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CD16" w14:textId="499941EA" w:rsidR="00AA7AEB" w:rsidRDefault="00B5279D" w:rsidP="00B5279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Рабінович Сергій Петрович. Права людини у природно-правовій думці неотомізму: дисертація канд. юрид. наук: 12.00.01 / Одеська національна юридична академія.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5279D" w:rsidRPr="00B5279D" w14:paraId="745CC5FD" w14:textId="77777777" w:rsidTr="00B527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279D" w:rsidRPr="00B5279D" w14:paraId="5E4FD0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7B5679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Рабінович С. П. Права людини у природно-правовій думці неотомізму. </w:t>
                  </w: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0BB15539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учень. – Одеська національна юридична академія, Одеса, 2003.</w:t>
                  </w:r>
                </w:p>
                <w:p w14:paraId="2D1F2986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системний аналіз неотомістичної концепції прав людини, відображеної у документах та інших джерелах соціальної доктрини католицизму.</w:t>
                  </w:r>
                </w:p>
                <w:p w14:paraId="1F88CDE7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еволюцію праворозуміння неотомізму у ХХ ст. На основі розгляду теоретико-методологічних, ціннісно-антропологічних і соціально-етичних основ неотомістичної концепції прав людини розкрито евристичні можливості інтерпретації поняття гідності людини у католицизмі, подано загальнотеоретичну характеристику феномену прав людини у сучасному неотомізмі. Виявлено внесок природно-правової доктрини католицизму у загальноцивілізаційний процес осмислення антропологічних основ прав людини та встановлено вплив міжнародно-правової ідеології прав людини на соціальну доктрину католицизму.</w:t>
                  </w:r>
                </w:p>
              </w:tc>
            </w:tr>
          </w:tbl>
          <w:p w14:paraId="3705CB80" w14:textId="77777777" w:rsidR="00B5279D" w:rsidRPr="00B5279D" w:rsidRDefault="00B5279D" w:rsidP="00B5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79D" w:rsidRPr="00B5279D" w14:paraId="3C1E6520" w14:textId="77777777" w:rsidTr="00B527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5279D" w:rsidRPr="00B5279D" w14:paraId="31885A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24689B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вирішення наукової задачі, котра полягає у тому, щоби на основі опрацювання сучасних досягнень загальної теорії права та держави, теорії прав людини, історії політичних та правових учень, а також філософії права подати комплексну характеристику сучасної неотомістичної концепції прав людини, відображеної у документах та інших джерелах католицького соціального вчення.</w:t>
                  </w:r>
                </w:p>
                <w:p w14:paraId="5DCDD926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дослідження дало змогу дійти наступних висновків.</w:t>
                  </w:r>
                </w:p>
                <w:p w14:paraId="3D1074A6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Найважливішими проявами еволюції природно-правової думки неотомізму у ХХ ст. стали: гуманізація змісту природного права; універсалізація вчення про права людини; модифікація теологічної аргументації прав людини, проявом якої стало зміщення акцентів в обґрунтуванні цих прав з закону природного на богооб’явлений; розширення переліку визнаних католицизмом прав людини; історичні зміни в інтерпретації основоположних соціально-економічних прав, котрі спрямовані загалом на розширення прав найманих робітників та обмеження прав власників засобів виробництва; систематизація вчення католицизму про права людини; “динамізація” природно-правової доктрини неотомізму.</w:t>
                  </w:r>
                </w:p>
                <w:p w14:paraId="3B57E915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теоретико-методологічних переваг неотомістичного розуміння права і прав людини можна віднести концептуальну цілісність і спробу дати відповіді на питання про буттєві основи цих прав, а також виявити й відобразити моральні, духовно-змістовні аспекти права як сутнісні, іманентні властивості цього явища. Завдяки цьому католицизмом пропонується внутрішньо несуперечливе розв’язання чи не найважливішого питання у праворозумінні. Поряд із тим, не можна не звернути увагу й на проблематичність обґрунтування природності деяких приписів католицької релігійної етики.</w:t>
                  </w:r>
                </w:p>
                <w:p w14:paraId="3695B03C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неотомістичних методологічних підходів на особливості католицької концепції прав людини полягає у наступному.</w:t>
                  </w:r>
                </w:p>
                <w:p w14:paraId="2796ACF7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Теолого-метафізичний підхід визначає, власне, надприродну зумовленість прав людини.</w:t>
                  </w:r>
                </w:p>
                <w:p w14:paraId="5A7637ED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br/>
                    <w:t>Розгляд прав людини у контексті релігійної соціальної етики спричинює те, що на перший план у неотомістичній доктрині висуваються принципи морально відповідального користування свободою, взаємозумовленості прав людини та її релігійно-моральних обов’язків.</w:t>
                  </w:r>
                </w:p>
                <w:p w14:paraId="044C61C8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Ціннісний телеологізм спричинює загальну детерміністичність католицької концепції свободи, а також такі її особливості, як: пріоритет трансцендентних релігійних обов’язків щодо прав людини; протиставлення негативістському (“ліберальному”) розумінню свободи як “свободи від чогось” позитивної етичної інтерпретації свободи як “свободи для”. Емпірично-соціальний же підхід до пізнання прав людини зробив можливим визначення й відображення об’єктивної конкретно-історичної зумовленості змісту прав людини, а також з’ясування соціальних передумов їх взаємопов’язаності.</w:t>
                  </w:r>
                </w:p>
                <w:p w14:paraId="014FF19A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Окремі методологічні підходи неотомістичної природно-правової доктрини (антропоцентризм та емпірично-соціальне пізнання прав людини) можуть бути ефективно використані у подальшій розробці основ загальної теорії прав людини.</w:t>
                  </w:r>
                </w:p>
                <w:p w14:paraId="72F46068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Специфіка сучасної католицької доктрини прав людини полягає у наступному: поєднання сакрального обґрунтування прав людини із емпірико-соціологічним аналізом соціальних передумов порушень цих прав; доповнення міжнародного каталогу прав людини “інтегральними” правами (а саме: правами на інтегральний розвиток, на участь у суспільному житті, на мирне життя), а також окремими вітальними та соціально-економічними правами; запровадження специфічних релігійно-етичних обмежень свобод людини; встановлення принципів ціннісно-ієрархічного співвимірювання окремих прав людини; встановлення первинності соціальних та релігійних обов’язків щодо прав людини; наголошування на ідеологічно-виховних підвалинах здійснення та забезпечення прав людини; розробка соціально-етичних засад комплексної реалізації цих прав.</w:t>
                  </w:r>
                </w:p>
                <w:p w14:paraId="24237038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 з природно-правовим вченням неотомізму, права людини виконують такі функції: соціально-аксіологічну (орієнтація на соціально-етичні цінності); соціально-інтегративну (засіб інтегрування, об’єднання суспільства в єдине ціле); “соціально-комунікативну”, або політичну (засіб діалогу католицької церкви зі світськими інституціями). При цьому саме остання функція відображає роль, котру відіграють права людини у соціальній практиці католицизму.</w:t>
                  </w:r>
                </w:p>
                <w:p w14:paraId="7E94CBB6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Етичні принципи організації суспільства, у якому права людини можуть знайти належну реалізацію, відображено у неотомізмі засадами справедливості, солідарності, субсидіарності та спільного блага. У сфері прав людини ці принципи видаються настільки універсальними й суттєвими, що заслуговують на закріплення у національних конституціях (прикладом цьому може слугувати чинна Конституція Республіки Польща (ст. 1). Тому було би доцільно ви-</w:t>
                  </w:r>
                </w:p>
                <w:p w14:paraId="2D580E3D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нести на обговорення пропозицію про закріплення деяких із них і в Конституції України. У ній ці засади могли би формулюватись наступним чином.</w:t>
                  </w:r>
                </w:p>
                <w:p w14:paraId="2626FD39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“Публічно-правове регулювання суспільних відносин в Україні ґрунтується на принципах допоміжності (субсидіарності) та спільного блага.</w:t>
                  </w:r>
                </w:p>
                <w:p w14:paraId="40CD3CFD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 компетенції вищого та центральних органів державної виконавчої влади належить виконання лише тих функцій і завдань, котрі не можуть бути самостійно виконані підпорядкованими їм органами державної влади, а також тих, котрі в інтересах спільного блага мають виконуватись виключно вищим та центральними органами державної виконавчої влади.</w:t>
                  </w:r>
                </w:p>
                <w:p w14:paraId="1CA9821D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компетенції місцевих органів державної виконавчої влади та органів місцевого самоврядування належить виконання лише тих функцій і завдань, які не можуть бути самостійно виконані іншими учасниками суспільного життя, не наділеними владними повноваженнями, а також тих завдань і функцій, котрі в інтересах спільного блага повинні виконуватись виключно місцевими органами державної виконавчої влади та органами місцевого самоврядування”.</w:t>
                  </w:r>
                </w:p>
                <w:p w14:paraId="2DF161F6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дослідження неотомістичної природно-правової концепції стало можливим запропонувати визначення і деяких загальнотеоретичних понять, котрі, як видається, сприятимуть удосконаленню категоріально-термінологічного апарату сучасної загальної теорії прав людини:</w:t>
                  </w:r>
                </w:p>
                <w:p w14:paraId="2047E287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права людини</w:t>
                  </w:r>
                  <w:r w:rsidRPr="00B5279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це антропно зумовлені моральні вимоги (праводомагання), об’єктами яких є умови вільного розвитку людини, що визначаються як універсальними, так і конкретно-історичними обставинами її існування та обмежуються спільним благом;</w:t>
                  </w:r>
                </w:p>
                <w:p w14:paraId="00CA0573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природно-правовий статус людини</w:t>
                  </w:r>
                  <w:r w:rsidRPr="00B5279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це сукупність її невід’ємних (природних) прав та обов’язків;</w:t>
                  </w:r>
                </w:p>
                <w:p w14:paraId="613FCD4A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природна правосуб’єктність людини</w:t>
                  </w:r>
                  <w:r w:rsidRPr="00B5279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це антропосоціально зумовлена властивість людини бути суб’єктом невід’ємних прав, актуалізована в її природно-правовому статусі. Вона є правовою характеристикою людини, що ґрунтується на її самоцінності як істоти, котра потребує розвитку задля розкриття своєї специфічної людської сутності (природи).</w:t>
                  </w:r>
                </w:p>
                <w:p w14:paraId="67B378C8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Природно-правова доктрина неотомізму зробила певний внесок у теоретичне осмислення й обґрунтування сучасних європейських та світових стандартів прав людини. Таким внеском можна вважати насамперед ідею гідності людини як фундамента усіх її невід’ємних прав. Своєю чергою, соціальне вчення католицької церкви зазнало й впливу міжнародної ідеології прав людини, відображеної у відповідних політико-правових документах. Це знайшло вияв у запровадженні в основні документи соціальної доктрини католицизму категоріально-термінологічного апарату прав людини, використовуваного у сучасній міжнародно-правовій практиці.</w:t>
                  </w:r>
                </w:p>
                <w:p w14:paraId="6B2D8159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Дієвість неотомістичної концепції прав людини визначається впливом останньої як на національне законодавство окремих держав Європи й на між-</w:t>
                  </w:r>
                </w:p>
                <w:p w14:paraId="4BC8145D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народні політико-правові документи, так і, опосередковано, на практику формування громадянського суспільства й розбудови соціальної держави в окремих посттоталітарних країнах (повоєнні ФРН та Австрія), а також на розвиток демократизаційних процесів 1970–1980-х років у деяких країнах Європи, Південної та Центральної Америки, Східної Азії та Південної Африки.</w:t>
                  </w:r>
                </w:p>
                <w:p w14:paraId="55C21651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 огляду на обмежений обсяг дослідження, деякі аспекти проблематики прав людини у неотомістичній природно-правовій думці не змогли отримати у ньому повного розкриття (так, предметом детального розгляду не був зміст та обсяг окремих прав людини у неотомізмі).</w:t>
                  </w:r>
                </w:p>
                <w:p w14:paraId="11DEF5CC" w14:textId="77777777" w:rsidR="00B5279D" w:rsidRPr="00B5279D" w:rsidRDefault="00B5279D" w:rsidP="00B5279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527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Загальнотеоретична спрямованість дисертації зумовила й те, що у ній також не розглядалась низка важливих аспектів соціальної практики католицизму у царині прав людини (зокрема, політико-правова діяльність держави-міста Ватикан та католицьких політичних партій і рухів, проблема забезпечення прав людини у внутрішньоцерковних відносинах тощо). Усі ці питання потребують окремого наукового аналізу.</w:t>
                  </w:r>
                </w:p>
              </w:tc>
            </w:tr>
          </w:tbl>
          <w:p w14:paraId="5710D73F" w14:textId="77777777" w:rsidR="00B5279D" w:rsidRPr="00B5279D" w:rsidRDefault="00B5279D" w:rsidP="00B52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827844" w14:textId="77777777" w:rsidR="00B5279D" w:rsidRPr="00B5279D" w:rsidRDefault="00B5279D" w:rsidP="00B5279D"/>
    <w:sectPr w:rsidR="00B5279D" w:rsidRPr="00B527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2774" w14:textId="77777777" w:rsidR="00F268F1" w:rsidRDefault="00F268F1">
      <w:pPr>
        <w:spacing w:after="0" w:line="240" w:lineRule="auto"/>
      </w:pPr>
      <w:r>
        <w:separator/>
      </w:r>
    </w:p>
  </w:endnote>
  <w:endnote w:type="continuationSeparator" w:id="0">
    <w:p w14:paraId="67524E20" w14:textId="77777777" w:rsidR="00F268F1" w:rsidRDefault="00F2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27FA" w14:textId="77777777" w:rsidR="00F268F1" w:rsidRDefault="00F268F1">
      <w:pPr>
        <w:spacing w:after="0" w:line="240" w:lineRule="auto"/>
      </w:pPr>
      <w:r>
        <w:separator/>
      </w:r>
    </w:p>
  </w:footnote>
  <w:footnote w:type="continuationSeparator" w:id="0">
    <w:p w14:paraId="6CD7ACA3" w14:textId="77777777" w:rsidR="00F268F1" w:rsidRDefault="00F2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68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8F1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44607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8750</cp:revision>
  <dcterms:created xsi:type="dcterms:W3CDTF">2024-06-20T08:51:00Z</dcterms:created>
  <dcterms:modified xsi:type="dcterms:W3CDTF">2024-08-04T08:52:00Z</dcterms:modified>
  <cp:category/>
</cp:coreProperties>
</file>