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E324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Гаврилова Людмила Анатольевна. Обоснование и выбор параметров и структуры спуско-подъемного комплекса установок для ремонта глубоких скважин : диссертация ... кандидата технических наук : 05.05.06.- Екатеринбург, 2002.- 277 с.: ил. РГБ ОД, 61 03-5/1743-0</w:t>
      </w:r>
    </w:p>
    <w:p w14:paraId="143ED7CA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</w:p>
    <w:p w14:paraId="49E90FAA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</w:p>
    <w:p w14:paraId="0D0AB7D7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</w:p>
    <w:p w14:paraId="6F3B66BA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Уральская государственная горно-геологическая академия</w:t>
      </w:r>
    </w:p>
    <w:p w14:paraId="54E0F38B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ГАВРИЛОВА ЛЮДМИЛА АНАТОЛЬЕВНА</w:t>
      </w:r>
    </w:p>
    <w:p w14:paraId="54EBECA4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УДК 622.27</w:t>
      </w:r>
    </w:p>
    <w:p w14:paraId="79E244EA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ОБОСНОВАНИЕ И ВЫБОР ПАРАМЕТРОВ И СТРУКТУРЫ</w:t>
      </w:r>
    </w:p>
    <w:p w14:paraId="787AB014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СПУСКО-ПОДЪЕМНОГО КОМПЛЕКСА УСТАНОВОК</w:t>
      </w:r>
    </w:p>
    <w:p w14:paraId="15C1DED6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ДЛЯ РЕМОНТА ГЛУБОКИХ СКВАЖИН</w:t>
      </w:r>
    </w:p>
    <w:p w14:paraId="498E7D0D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Специальность 05.05.06 - Горные машины</w:t>
      </w:r>
    </w:p>
    <w:p w14:paraId="7A60363C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Диссертация на соискание ученой степени</w:t>
      </w:r>
    </w:p>
    <w:p w14:paraId="580D85D2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кандидата технических наук</w:t>
      </w:r>
    </w:p>
    <w:p w14:paraId="19D3A408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Научный руководитель:</w:t>
      </w:r>
    </w:p>
    <w:p w14:paraId="6748791B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Екатеринбург - 2002 </w:t>
      </w:r>
    </w:p>
    <w:p w14:paraId="625AF578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ОГЛАВЛЕНИЕ</w:t>
      </w:r>
    </w:p>
    <w:p w14:paraId="5687F5AD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ПЕРЕЧЕНЬ НАИБОЛЕЕ УПОТРЕБИМЫХ УСЛОВНЫХ ТЕРМИНОВ</w:t>
      </w:r>
    </w:p>
    <w:p w14:paraId="38E8DC11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И ОБОЗНАЧЕНИЙ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5</w:t>
      </w:r>
    </w:p>
    <w:p w14:paraId="584F596E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7</w:t>
      </w:r>
    </w:p>
    <w:p w14:paraId="7726C852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1.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СОСТОЯНИЕ ВОПРОСА И ПОСТАНОВКА ЗАДАЧ</w:t>
      </w:r>
    </w:p>
    <w:p w14:paraId="25DFD931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ИССЛЕДОВАНИЯ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14</w:t>
      </w:r>
    </w:p>
    <w:p w14:paraId="179BF9C1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1Л. Анализ технического уровня СПК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21</w:t>
      </w:r>
    </w:p>
    <w:p w14:paraId="55C9297E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1.1Л. Анализ установок для ремонта скважин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21</w:t>
      </w:r>
    </w:p>
    <w:p w14:paraId="2149B273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1Л .2. Типы СПК установок для ремонта скважин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31</w:t>
      </w:r>
    </w:p>
    <w:p w14:paraId="234F99EE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1Л.З. Анализ конструкций верхнего и нижнего приводов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52</w:t>
      </w:r>
    </w:p>
    <w:p w14:paraId="3FD1031F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lastRenderedPageBreak/>
        <w:t>1.2.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 xml:space="preserve"> Обзор методов выбора и расчета основных параметров СПК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61</w:t>
      </w:r>
    </w:p>
    <w:p w14:paraId="507196ED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1.2 Л. Методики выбора основных параметров СПК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62</w:t>
      </w:r>
    </w:p>
    <w:p w14:paraId="30B7D3B2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1.2.2.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Методики определения затрат времени на СПО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64</w:t>
      </w:r>
    </w:p>
    <w:p w14:paraId="17412617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1.2.3.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Методики определения энергозатрат на СПО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72</w:t>
      </w:r>
    </w:p>
    <w:p w14:paraId="395EEC57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1.2.4.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Методики определения экономической</w:t>
      </w:r>
    </w:p>
    <w:p w14:paraId="099D90FD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эффективности установки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72</w:t>
      </w:r>
    </w:p>
    <w:p w14:paraId="7CCFE30B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1.3.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Задачи исследований при выборе рациональной схемы СПК установок</w:t>
      </w:r>
    </w:p>
    <w:p w14:paraId="4E46127C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для ремонта скважин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74</w:t>
      </w:r>
    </w:p>
    <w:p w14:paraId="713FF1B1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2.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У СТАНОВЛЕНИЕ ВЗАИМОСВЯЗЕЙ МЕЖДУ КОНСТРУКТИВНЫМИ И</w:t>
      </w:r>
    </w:p>
    <w:p w14:paraId="3D27FA8D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РЕЖИМНЫМИ ПАРАМЕТРАМИ СПК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75</w:t>
      </w:r>
    </w:p>
    <w:p w14:paraId="41C3D8C0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2.1.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Ранжирование конструктивных и режимных параметров СПК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78</w:t>
      </w:r>
    </w:p>
    <w:p w14:paraId="115F1C50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2.1.1.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Выбор критериев развития СПК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78</w:t>
      </w:r>
    </w:p>
    <w:p w14:paraId="08CDE562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2.1.2.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Ранжирование критериев развития СПК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85</w:t>
      </w:r>
    </w:p>
    <w:p w14:paraId="5DE59C8B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2.2.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Влияние компоновочной схемы СПК на производительность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87</w:t>
      </w:r>
    </w:p>
    <w:p w14:paraId="4CB36653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2.3.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Оценка энергозатрат на СПО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95</w:t>
      </w:r>
    </w:p>
    <w:p w14:paraId="19695239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2.4.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Выводы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102</w:t>
      </w:r>
    </w:p>
    <w:p w14:paraId="788426E6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3.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ЭКСПЕРИМЕНТАЛЬНЫЕ ИССЛЕДОВАНИЯ СПУСКО-ПОДЪЕМНЫХ</w:t>
      </w:r>
    </w:p>
    <w:p w14:paraId="00D54FBA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ОПЕРАЦИЙ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ЮЗ</w:t>
      </w:r>
    </w:p>
    <w:p w14:paraId="126043F4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3.1.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Методика экспериментальных производственных исследований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104</w:t>
      </w:r>
    </w:p>
    <w:p w14:paraId="121B8FA8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3.2.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Анализ формирования основных показателей спуско-подъемных</w:t>
      </w:r>
    </w:p>
    <w:p w14:paraId="4662DEDC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операций для различных условий эксплуатации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106</w:t>
      </w:r>
    </w:p>
    <w:p w14:paraId="5A0C704E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3.3.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Обработка экспериментальных данных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107</w:t>
      </w:r>
    </w:p>
    <w:p w14:paraId="2A3D4258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3.4.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Установление основных влияющих факторов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114</w:t>
      </w:r>
    </w:p>
    <w:p w14:paraId="0B26F3ED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3.5.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Обработка технических данных мобильных установок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122</w:t>
      </w:r>
    </w:p>
    <w:p w14:paraId="70688949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3.6.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Выводы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129</w:t>
      </w:r>
    </w:p>
    <w:p w14:paraId="7567AC94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4.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РАЗРАБОТКА МЕТОДИКИ ВЫБОРА СПУСКО-ПОДЪЕМНОГО</w:t>
      </w:r>
    </w:p>
    <w:p w14:paraId="25549BBC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КОМПЛЕКСА УСТАНОВОК ДЛЯ РЕМОНТА СКВАЖИН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131</w:t>
      </w:r>
    </w:p>
    <w:p w14:paraId="39E7396A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lastRenderedPageBreak/>
        <w:t>4.1.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Функции, выполняемые СПК при ремонте скважин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131</w:t>
      </w:r>
    </w:p>
    <w:p w14:paraId="7692613C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4.2.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Выбор элементов СПК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134</w:t>
      </w:r>
    </w:p>
    <w:p w14:paraId="68A930CF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4.2.1.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Выбор элементов СПК на основании выполняемых ими</w:t>
      </w:r>
    </w:p>
    <w:p w14:paraId="3DC25256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функций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142</w:t>
      </w:r>
    </w:p>
    <w:p w14:paraId="62DD7E9D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4.2.2.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Выбор элементов СПК с учетом заданных параметров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145</w:t>
      </w:r>
    </w:p>
    <w:p w14:paraId="664F30EA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4.2.3.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Составление вариантов компоновочных схем СПК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149</w:t>
      </w:r>
    </w:p>
    <w:p w14:paraId="07145FB9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4.3.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Определение эффективности применения выбранных компоновочных</w:t>
      </w:r>
    </w:p>
    <w:p w14:paraId="33A8E019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схем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153</w:t>
      </w:r>
    </w:p>
    <w:p w14:paraId="70A9F925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4.3.1.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Ранжирование критериев эффективности СПК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156</w:t>
      </w:r>
    </w:p>
    <w:p w14:paraId="43C7E705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4.3.2.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Составление целевой функции для оптимизации параметров</w:t>
      </w:r>
    </w:p>
    <w:p w14:paraId="66F677EA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СПК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156</w:t>
      </w:r>
    </w:p>
    <w:p w14:paraId="186348B1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4.3.3.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Оптимизация конструктивных и режимных параметров СПК. ..158</w:t>
      </w:r>
    </w:p>
    <w:p w14:paraId="33E86B5E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4.4.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Выводы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165</w:t>
      </w:r>
    </w:p>
    <w:p w14:paraId="766BD068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5.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ОБОСНОВАНИЕ РАЦИОНАЛЬНЫХ ПАРАМЕТРОВ СПК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166</w:t>
      </w:r>
    </w:p>
    <w:p w14:paraId="21272F21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5.1.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Влияние конструктивных параметров на технико-экономические</w:t>
      </w:r>
    </w:p>
    <w:p w14:paraId="7747B683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показатели установок для ремонта скважин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166</w:t>
      </w:r>
    </w:p>
    <w:p w14:paraId="1531C245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5.1.1.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Результаты исследования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177</w:t>
      </w:r>
    </w:p>
    <w:p w14:paraId="30F67C27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5.2.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Перспективные технические решения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178</w:t>
      </w:r>
    </w:p>
    <w:p w14:paraId="7B05A8A6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5.2.1.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Преимущества системы верхнего привода: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179</w:t>
      </w:r>
    </w:p>
    <w:p w14:paraId="2323E942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5.2.2.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Конструктивные схемы компоновки верхнего привода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180</w:t>
      </w:r>
    </w:p>
    <w:p w14:paraId="33B853AE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5.2.3.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Функции, выполняемые верхним приводом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186</w:t>
      </w:r>
    </w:p>
    <w:p w14:paraId="416F17B9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5.2.4.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Технологические процессы работы верхнего привода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187</w:t>
      </w:r>
    </w:p>
    <w:p w14:paraId="5DEDE20E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5.3.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Реализация методики выбора рациональных параметров СПК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194</w:t>
      </w:r>
    </w:p>
    <w:p w14:paraId="0A0628BA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5.4.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Выводы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195</w:t>
      </w:r>
    </w:p>
    <w:p w14:paraId="295521CB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ЗАКЛЮЧЕНИЕ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197</w:t>
      </w:r>
    </w:p>
    <w:p w14:paraId="41FE2164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БИБЛИОГРАФИЧЕСКИЙ СПИСОК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200</w:t>
      </w:r>
    </w:p>
    <w:p w14:paraId="4D53DF74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ПРИЛОЖЕНИЕ 1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208</w:t>
      </w:r>
    </w:p>
    <w:p w14:paraId="25B05516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lastRenderedPageBreak/>
        <w:t>ПРИЛОЖЕНИЕ 2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219</w:t>
      </w:r>
    </w:p>
    <w:p w14:paraId="78BCEEB3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ПРИЛОЖЕНИЕ 3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248</w:t>
      </w:r>
    </w:p>
    <w:p w14:paraId="031E54B3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ПРИЛОЖЕНИЕ 4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>264</w:t>
      </w:r>
    </w:p>
    <w:p w14:paraId="3DA3FA52" w14:textId="77777777" w:rsidR="00C615C4" w:rsidRPr="00C615C4" w:rsidRDefault="00C615C4" w:rsidP="00C615C4">
      <w:pPr>
        <w:rPr>
          <w:rFonts w:ascii="Times New Roman" w:hAnsi="Times New Roman" w:cs="Times New Roman"/>
          <w:noProof/>
          <w:sz w:val="26"/>
          <w:szCs w:val="26"/>
        </w:rPr>
      </w:pPr>
      <w:r w:rsidRPr="00C615C4">
        <w:rPr>
          <w:rFonts w:ascii="Times New Roman" w:hAnsi="Times New Roman" w:cs="Times New Roman"/>
          <w:noProof/>
          <w:sz w:val="26"/>
          <w:szCs w:val="26"/>
        </w:rPr>
        <w:t>ПРИЛОЖЕНИЕ 4. АКТЫ ВНЕДРЕНИЯ</w:t>
      </w:r>
      <w:r w:rsidRPr="00C615C4">
        <w:rPr>
          <w:rFonts w:ascii="Times New Roman" w:hAnsi="Times New Roman" w:cs="Times New Roman"/>
          <w:noProof/>
          <w:sz w:val="26"/>
          <w:szCs w:val="26"/>
        </w:rPr>
        <w:tab/>
        <w:t xml:space="preserve">272 </w:t>
      </w:r>
    </w:p>
    <w:p w14:paraId="1E0B0367" w14:textId="62038042" w:rsidR="00C615C4" w:rsidRDefault="00C615C4" w:rsidP="00C615C4"/>
    <w:p w14:paraId="3B5C3E44" w14:textId="625299E6" w:rsidR="00C615C4" w:rsidRDefault="00C615C4" w:rsidP="00C615C4"/>
    <w:p w14:paraId="15E6E98B" w14:textId="569A3CEE" w:rsidR="00C615C4" w:rsidRDefault="00C615C4" w:rsidP="00C615C4"/>
    <w:p w14:paraId="1AFAD9CB" w14:textId="77777777" w:rsidR="00C615C4" w:rsidRDefault="00C615C4" w:rsidP="00C615C4">
      <w:pPr>
        <w:pStyle w:val="50"/>
        <w:keepNext/>
        <w:keepLines/>
        <w:shd w:val="clear" w:color="auto" w:fill="auto"/>
        <w:spacing w:after="16" w:line="280" w:lineRule="exact"/>
        <w:ind w:firstLine="760"/>
      </w:pPr>
      <w:bookmarkStart w:id="0" w:name="bookmark76"/>
      <w:r>
        <w:rPr>
          <w:rStyle w:val="5"/>
          <w:b/>
          <w:bCs/>
          <w:color w:val="000000"/>
        </w:rPr>
        <w:t>ЗАКЛЮЧЕНИЕ</w:t>
      </w:r>
      <w:bookmarkEnd w:id="0"/>
    </w:p>
    <w:p w14:paraId="2481FF8A" w14:textId="77777777" w:rsidR="00C615C4" w:rsidRDefault="00C615C4" w:rsidP="00C615C4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В диссертационной работе дано новое решение актуальной технической задачи, связанной с повышением производительности и универсальности установок для ремонта глубоких скважин за счет изменения конструктивных параметров СПК.</w:t>
      </w:r>
    </w:p>
    <w:p w14:paraId="2A350CDA" w14:textId="77777777" w:rsidR="00C615C4" w:rsidRDefault="00C615C4" w:rsidP="00C615C4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Выполненный анализ известных технических решений СПК и методов их расчета позволил сформулировать задачи исследования и наметить пути их решения.</w:t>
      </w:r>
    </w:p>
    <w:p w14:paraId="503AD81E" w14:textId="77777777" w:rsidR="00C615C4" w:rsidRDefault="00C615C4" w:rsidP="00C615C4">
      <w:pPr>
        <w:pStyle w:val="210"/>
        <w:shd w:val="clear" w:color="auto" w:fill="auto"/>
        <w:spacing w:line="470" w:lineRule="exact"/>
        <w:ind w:firstLine="760"/>
        <w:jc w:val="both"/>
      </w:pPr>
      <w:r>
        <w:rPr>
          <w:rStyle w:val="21"/>
          <w:color w:val="000000"/>
        </w:rPr>
        <w:t>Основные научные и практические результаты работы заключаются в следующем:</w:t>
      </w:r>
    </w:p>
    <w:p w14:paraId="7C81D754" w14:textId="77777777" w:rsidR="00C615C4" w:rsidRDefault="00C615C4" w:rsidP="00224F9F">
      <w:pPr>
        <w:pStyle w:val="21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Исследование качества ремонта скважин, обеспеченности техническими средствами СПК на установках, применяемых на месторождениях Западной Сибири, говорит о необходимости перевооружения установок для ремонта скважин системами верхнего привода. Проведен анализ перспективных решений механизмов СПК, основанных на совмещении выполняемых функций в одном конструктивном элементе. Особое внимание уделено созданию </w:t>
      </w:r>
      <w:r>
        <w:rPr>
          <w:rStyle w:val="21"/>
          <w:color w:val="000000"/>
        </w:rPr>
        <w:lastRenderedPageBreak/>
        <w:t>унифицированных средств компоновки оборудования с совмещением функций, рассмотрена возможность применения данного оборудования в различных условиях работы.</w:t>
      </w:r>
    </w:p>
    <w:p w14:paraId="1C2EA8F4" w14:textId="77777777" w:rsidR="00C615C4" w:rsidRDefault="00C615C4" w:rsidP="00224F9F">
      <w:pPr>
        <w:pStyle w:val="21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Разработаны новые конструктивные исполнения СПК, позволяющие повысить надежность, снизить металлоемкость и энергопотребление при осуществлении ремонта глубоких скважин.</w:t>
      </w:r>
    </w:p>
    <w:p w14:paraId="451460CC" w14:textId="77777777" w:rsidR="00C615C4" w:rsidRDefault="00C615C4" w:rsidP="00224F9F">
      <w:pPr>
        <w:pStyle w:val="21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Разработан метод определения продолжительности цикла и энергозатрат на осуществление ремонта с учетом конкретных условий эксплуатации, основанный на использовании имитационных математических моделей работы механизмов СПК установки для ремонта скважин.</w:t>
      </w:r>
    </w:p>
    <w:p w14:paraId="39D248E1" w14:textId="77777777" w:rsidR="00C615C4" w:rsidRDefault="00C615C4" w:rsidP="00C615C4">
      <w:pPr>
        <w:pStyle w:val="210"/>
        <w:shd w:val="clear" w:color="auto" w:fill="auto"/>
        <w:spacing w:line="504" w:lineRule="exact"/>
        <w:ind w:firstLine="1020"/>
      </w:pPr>
      <w:r>
        <w:rPr>
          <w:rStyle w:val="21"/>
          <w:color w:val="000000"/>
        </w:rPr>
        <w:t>Метод учитывает конструктивное исполнение СПК установки и условия ее эксплуатации.</w:t>
      </w:r>
    </w:p>
    <w:p w14:paraId="5342A040" w14:textId="77777777" w:rsidR="00C615C4" w:rsidRDefault="00C615C4" w:rsidP="00C615C4">
      <w:pPr>
        <w:pStyle w:val="210"/>
        <w:shd w:val="clear" w:color="auto" w:fill="auto"/>
        <w:spacing w:line="480" w:lineRule="exact"/>
        <w:ind w:firstLine="1040"/>
        <w:jc w:val="both"/>
      </w:pPr>
      <w:r>
        <w:rPr>
          <w:rStyle w:val="21"/>
          <w:color w:val="000000"/>
        </w:rPr>
        <w:t>Для выполнения расчетов составлен алгоритм решения и разработана программа для ЭВМ, реализующая метод.</w:t>
      </w:r>
    </w:p>
    <w:p w14:paraId="3E0AA026" w14:textId="77777777" w:rsidR="00C615C4" w:rsidRDefault="00C615C4" w:rsidP="00C615C4">
      <w:pPr>
        <w:pStyle w:val="210"/>
        <w:shd w:val="clear" w:color="auto" w:fill="auto"/>
        <w:spacing w:line="480" w:lineRule="exact"/>
        <w:ind w:firstLine="1040"/>
        <w:jc w:val="both"/>
      </w:pPr>
      <w:r>
        <w:rPr>
          <w:rStyle w:val="21"/>
          <w:color w:val="000000"/>
        </w:rPr>
        <w:t>Проведена проверка точности расчетов по разработанному методу, для чего выполнено сравнение результатов расчетов по методу и данным эксперимента. Значения погрешности менее 2%, что подтверждает адекватность моделей реальному процессу.</w:t>
      </w:r>
    </w:p>
    <w:p w14:paraId="38AEB709" w14:textId="77777777" w:rsidR="00C615C4" w:rsidRDefault="00C615C4" w:rsidP="00C615C4">
      <w:pPr>
        <w:pStyle w:val="210"/>
        <w:shd w:val="clear" w:color="auto" w:fill="auto"/>
        <w:spacing w:line="480" w:lineRule="exact"/>
        <w:ind w:firstLine="1040"/>
        <w:jc w:val="both"/>
      </w:pPr>
      <w:r>
        <w:rPr>
          <w:rStyle w:val="21"/>
          <w:color w:val="000000"/>
        </w:rPr>
        <w:t>Проведены исследования влияния на длительность и энергозатраты при ремонте параметров скважины и схемы СПК. Доказана необходимость учета при выборе схемы СПК условий ремонта скважины.</w:t>
      </w:r>
    </w:p>
    <w:p w14:paraId="21B096F5" w14:textId="77777777" w:rsidR="00C615C4" w:rsidRDefault="00C615C4" w:rsidP="00224F9F">
      <w:pPr>
        <w:pStyle w:val="21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lastRenderedPageBreak/>
        <w:t>Разработан метод выбора оптимального конструктивного решения и определения оптимальных параметров элементов СПК, основанный на использовании критерия минимума себестоимости ремонта скважины в конкретных условиях эксплуатации.</w:t>
      </w:r>
    </w:p>
    <w:p w14:paraId="0E9C01CF" w14:textId="77777777" w:rsidR="00C615C4" w:rsidRDefault="00C615C4" w:rsidP="00C615C4">
      <w:pPr>
        <w:pStyle w:val="210"/>
        <w:shd w:val="clear" w:color="auto" w:fill="auto"/>
        <w:spacing w:line="480" w:lineRule="exact"/>
        <w:ind w:firstLine="1040"/>
        <w:jc w:val="both"/>
      </w:pPr>
      <w:r>
        <w:rPr>
          <w:rStyle w:val="21"/>
          <w:color w:val="000000"/>
        </w:rPr>
        <w:t>Для разработанного метода составлен алгоритм и программа для ЭВМ. Используя программу, проведены исследования значимости оптимизируемых переменных. В методе использованы структурные переменные (схемы СПК, конструктивные исполнения механизмов). Выявлено, что при ремонте с СПО и бурения интервала на глубине свыше 500 м предпочтительной является схема с верхним приводом массой до 1500 кг. При увеличении массы верхнего привода до 2200 кг применение нижнего привода дает экономию себестоимости. Приоритетность схемы СПК с нижним приводом возможна только при снижении затрат времени на свинчивание-</w:t>
      </w:r>
      <w:proofErr w:type="spellStart"/>
      <w:r>
        <w:rPr>
          <w:rStyle w:val="21"/>
          <w:color w:val="000000"/>
        </w:rPr>
        <w:t>развинчивание</w:t>
      </w:r>
      <w:proofErr w:type="spellEnd"/>
      <w:r>
        <w:rPr>
          <w:rStyle w:val="21"/>
          <w:color w:val="000000"/>
        </w:rPr>
        <w:t xml:space="preserve"> колонны труб при СПО и наращивании.</w:t>
      </w:r>
    </w:p>
    <w:p w14:paraId="11FE1CA5" w14:textId="77777777" w:rsidR="00C615C4" w:rsidRDefault="00C615C4" w:rsidP="00C615C4">
      <w:pPr>
        <w:pStyle w:val="210"/>
        <w:shd w:val="clear" w:color="auto" w:fill="auto"/>
        <w:spacing w:line="480" w:lineRule="exact"/>
        <w:ind w:firstLine="1040"/>
        <w:jc w:val="both"/>
      </w:pPr>
      <w:r>
        <w:rPr>
          <w:rStyle w:val="21"/>
          <w:color w:val="000000"/>
        </w:rPr>
        <w:t>Доказано, что задание оптимальных параметров с учетом условий эксплуатации позволяет получить наибольший эффект от эксплуатации установки в конкретных условиях.</w:t>
      </w:r>
    </w:p>
    <w:p w14:paraId="5C9DB37E" w14:textId="77777777" w:rsidR="00C615C4" w:rsidRDefault="00C615C4" w:rsidP="00224F9F">
      <w:pPr>
        <w:pStyle w:val="210"/>
        <w:numPr>
          <w:ilvl w:val="0"/>
          <w:numId w:val="1"/>
        </w:numPr>
        <w:shd w:val="clear" w:color="auto" w:fill="auto"/>
        <w:tabs>
          <w:tab w:val="left" w:pos="1344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Выбор оптимального варианта исполнения СПК и задание оптимальных конструктивных и режимных параметров согласно расчетам дает годовой экономический эффект от внедрения мероприятий по</w:t>
      </w:r>
    </w:p>
    <w:p w14:paraId="28FBC28A" w14:textId="77777777" w:rsidR="00C615C4" w:rsidRDefault="00C615C4" w:rsidP="00C615C4">
      <w:pPr>
        <w:pStyle w:val="210"/>
        <w:shd w:val="clear" w:color="auto" w:fill="auto"/>
        <w:spacing w:line="485" w:lineRule="exact"/>
        <w:jc w:val="both"/>
      </w:pPr>
      <w:r>
        <w:rPr>
          <w:rStyle w:val="21"/>
          <w:color w:val="000000"/>
        </w:rPr>
        <w:t>техническому перевооружению установок для ремонта 24 скважин в размере 100, 9 тыс. руб. на одну установку (Приложение 5).</w:t>
      </w:r>
    </w:p>
    <w:p w14:paraId="76206294" w14:textId="5D62F2D6" w:rsidR="00C615C4" w:rsidRPr="00C615C4" w:rsidRDefault="00C615C4" w:rsidP="00C615C4">
      <w:r>
        <w:rPr>
          <w:rStyle w:val="21"/>
          <w:color w:val="000000"/>
        </w:rPr>
        <w:lastRenderedPageBreak/>
        <w:t xml:space="preserve">Методика расчета режимных и конструктивных параметров вращательно-подающего механизма, принята для использования на ОАО “Машиностроительном заводе им. </w:t>
      </w:r>
      <w:proofErr w:type="spellStart"/>
      <w:r>
        <w:rPr>
          <w:rStyle w:val="21"/>
          <w:color w:val="000000"/>
        </w:rPr>
        <w:t>В.В.Воровского</w:t>
      </w:r>
      <w:proofErr w:type="spellEnd"/>
      <w:r>
        <w:rPr>
          <w:rStyle w:val="21"/>
          <w:color w:val="000000"/>
        </w:rPr>
        <w:t>” (</w:t>
      </w:r>
      <w:proofErr w:type="spellStart"/>
      <w:r>
        <w:rPr>
          <w:rStyle w:val="21"/>
          <w:color w:val="000000"/>
        </w:rPr>
        <w:t>г.Екатеринбург</w:t>
      </w:r>
      <w:proofErr w:type="spellEnd"/>
      <w:r>
        <w:rPr>
          <w:rStyle w:val="21"/>
          <w:color w:val="000000"/>
        </w:rPr>
        <w:t>); методика выбора СПК установок для ремонта глубоких скважин принята для использования в качестве рабочих программно-методических материалов на ОМЗ - Уралмаш (</w:t>
      </w:r>
      <w:proofErr w:type="spellStart"/>
      <w:r>
        <w:rPr>
          <w:rStyle w:val="21"/>
          <w:color w:val="000000"/>
        </w:rPr>
        <w:t>г.Екатеринбург</w:t>
      </w:r>
      <w:proofErr w:type="spellEnd"/>
      <w:r>
        <w:rPr>
          <w:rStyle w:val="21"/>
          <w:color w:val="000000"/>
        </w:rPr>
        <w:t>)</w:t>
      </w:r>
    </w:p>
    <w:sectPr w:rsidR="00C615C4" w:rsidRPr="00C615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8A31" w14:textId="77777777" w:rsidR="00224F9F" w:rsidRDefault="00224F9F">
      <w:pPr>
        <w:spacing w:after="0" w:line="240" w:lineRule="auto"/>
      </w:pPr>
      <w:r>
        <w:separator/>
      </w:r>
    </w:p>
  </w:endnote>
  <w:endnote w:type="continuationSeparator" w:id="0">
    <w:p w14:paraId="3CC1641B" w14:textId="77777777" w:rsidR="00224F9F" w:rsidRDefault="0022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1319" w14:textId="77777777" w:rsidR="00224F9F" w:rsidRDefault="00224F9F">
      <w:pPr>
        <w:spacing w:after="0" w:line="240" w:lineRule="auto"/>
      </w:pPr>
      <w:r>
        <w:separator/>
      </w:r>
    </w:p>
  </w:footnote>
  <w:footnote w:type="continuationSeparator" w:id="0">
    <w:p w14:paraId="3BAEF30E" w14:textId="77777777" w:rsidR="00224F9F" w:rsidRDefault="0022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4F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4F9F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115577</TotalTime>
  <Pages>7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3463</cp:revision>
  <dcterms:created xsi:type="dcterms:W3CDTF">2024-06-20T08:51:00Z</dcterms:created>
  <dcterms:modified xsi:type="dcterms:W3CDTF">2025-01-10T22:00:00Z</dcterms:modified>
  <cp:category/>
</cp:coreProperties>
</file>