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F66" w:rsidRPr="00655F66" w:rsidRDefault="00655F66" w:rsidP="00655F66">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655F66">
        <w:rPr>
          <w:rFonts w:ascii="Arial" w:hAnsi="Arial" w:cs="Arial"/>
          <w:b/>
          <w:bCs/>
          <w:color w:val="000000"/>
          <w:kern w:val="0"/>
          <w:sz w:val="28"/>
          <w:szCs w:val="28"/>
          <w:lang w:eastAsia="ru-RU"/>
        </w:rPr>
        <w:t>Стеблянко Аліна Володимирівна</w:t>
      </w:r>
      <w:r w:rsidRPr="00655F66">
        <w:rPr>
          <w:rFonts w:ascii="Arial" w:hAnsi="Arial" w:cs="Arial"/>
          <w:color w:val="000000"/>
          <w:kern w:val="0"/>
          <w:sz w:val="28"/>
          <w:szCs w:val="28"/>
          <w:lang w:eastAsia="ru-RU"/>
        </w:rPr>
        <w:t xml:space="preserve">, аспірант Сумського державного університету, тема дисертації: «Адміністративно-правові засади взаємодії правоохоронних органів з фінансовими установами щодо протидії легалізації злочинних доходів», (081 Право). Спеціалізована вчена рада ДФ 55.051.013 у Сумському державному університеті (м. </w:t>
      </w:r>
    </w:p>
    <w:p w:rsidR="00C26D80" w:rsidRPr="00655F66" w:rsidRDefault="00C26D80" w:rsidP="00655F66"/>
    <w:sectPr w:rsidR="00C26D80" w:rsidRPr="00655F6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655F66" w:rsidRPr="00655F6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9C7F2-1D12-4FE8-AFA6-7351DC61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48</Words>
  <Characters>275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2021-10-21T12:16:00Z</dcterms:created>
  <dcterms:modified xsi:type="dcterms:W3CDTF">2021-10-21T13:24:00Z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