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EEC9" w14:textId="6C1DC252" w:rsidR="000A10F6" w:rsidRDefault="004230CB" w:rsidP="004230CB">
      <w:pPr>
        <w:rPr>
          <w:rFonts w:ascii="Verdana" w:hAnsi="Verdana"/>
          <w:b/>
          <w:bCs/>
          <w:color w:val="000000"/>
          <w:shd w:val="clear" w:color="auto" w:fill="FFFFFF"/>
        </w:rPr>
      </w:pPr>
      <w:r>
        <w:rPr>
          <w:rFonts w:ascii="Verdana" w:hAnsi="Verdana"/>
          <w:b/>
          <w:bCs/>
          <w:color w:val="000000"/>
          <w:shd w:val="clear" w:color="auto" w:fill="FFFFFF"/>
        </w:rPr>
        <w:t xml:space="preserve">Перекрест Тетяна Вячеславівна. Удосконалення залучення інвестиційних ресурсів машінобудівними підприємствами за допомогою цінних паперів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30CB" w:rsidRPr="004230CB" w14:paraId="20C06ADA" w14:textId="77777777" w:rsidTr="004230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30CB" w:rsidRPr="004230CB" w14:paraId="58F48D1F" w14:textId="77777777">
              <w:trPr>
                <w:tblCellSpacing w:w="0" w:type="dxa"/>
              </w:trPr>
              <w:tc>
                <w:tcPr>
                  <w:tcW w:w="0" w:type="auto"/>
                  <w:vAlign w:val="center"/>
                  <w:hideMark/>
                </w:tcPr>
                <w:p w14:paraId="171E883E"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b/>
                      <w:bCs/>
                      <w:sz w:val="24"/>
                      <w:szCs w:val="24"/>
                    </w:rPr>
                    <w:lastRenderedPageBreak/>
                    <w:t>Перекрест Т.В. Удосконалення залучення інвестиційних ресурсів машинобудівними підприємства за допомогою цінних паперів. – Рукопис.</w:t>
                  </w:r>
                </w:p>
                <w:p w14:paraId="095D7EF4"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Гуманітарний університет “Запорізький інститут державного та муніципального управління”, Запоріжжя, 2006</w:t>
                  </w:r>
                </w:p>
                <w:p w14:paraId="62DC149B"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sz w:val="24"/>
                      <w:szCs w:val="24"/>
                    </w:rPr>
                    <w:t>Дисертація присвячена розробці теоретичних, методичних підходів та практичних рекомендацій з удосконалення залучення інвестиційних ресурсів підприємствами машинобудування за допомогою цінних паперів.</w:t>
                  </w:r>
                </w:p>
                <w:p w14:paraId="300F6077"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sz w:val="24"/>
                      <w:szCs w:val="24"/>
                    </w:rPr>
                    <w:t>Досліджено теоретичні засади залучення інвестиційних ресурсів на підприємствах. Визначено джерела та методи формування інвестиційних ресурсів на підприємствах. Розкрито сутність понять “цінний папір”, “емісія цінних паперів”, виходячи зі специфіки залучення інвестиційних ресурсів. Проаналізовано сучасні тенденції та перспективи залучення інвестиційних ресурсів на підприємствах машинобудування. Розроблено етапи емісійної програми підприємства на основі комплексного підходу до організації залучення інвестиційних ресурсів. Удосконалено механізм залучення підприємствами машинобудування інвестиційних ресурсів шляхом емісії цінних паперів.</w:t>
                  </w:r>
                </w:p>
              </w:tc>
            </w:tr>
          </w:tbl>
          <w:p w14:paraId="38D6BA93" w14:textId="77777777" w:rsidR="004230CB" w:rsidRPr="004230CB" w:rsidRDefault="004230CB" w:rsidP="004230CB">
            <w:pPr>
              <w:spacing w:after="0" w:line="240" w:lineRule="auto"/>
              <w:rPr>
                <w:rFonts w:ascii="Times New Roman" w:eastAsia="Times New Roman" w:hAnsi="Times New Roman" w:cs="Times New Roman"/>
                <w:sz w:val="24"/>
                <w:szCs w:val="24"/>
              </w:rPr>
            </w:pPr>
          </w:p>
        </w:tc>
      </w:tr>
      <w:tr w:rsidR="004230CB" w:rsidRPr="004230CB" w14:paraId="7525B54A" w14:textId="77777777" w:rsidTr="004230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30CB" w:rsidRPr="004230CB" w14:paraId="30D1A1DB" w14:textId="77777777">
              <w:trPr>
                <w:tblCellSpacing w:w="0" w:type="dxa"/>
              </w:trPr>
              <w:tc>
                <w:tcPr>
                  <w:tcW w:w="0" w:type="auto"/>
                  <w:vAlign w:val="center"/>
                  <w:hideMark/>
                </w:tcPr>
                <w:p w14:paraId="10CFF1AF"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sz w:val="24"/>
                      <w:szCs w:val="24"/>
                    </w:rPr>
                    <w:t>У дисертації на основі проведених досліджень здійснені методичні підходи і практичні рекомендації щодо вдосконалення залучення інвестиційних ресурсів підприємствами машинобудування за допомогою цінних паперів. Основні висновки зводяться до такого:</w:t>
                  </w:r>
                </w:p>
                <w:p w14:paraId="14777ACD"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sz w:val="24"/>
                      <w:szCs w:val="24"/>
                    </w:rPr>
                    <w:t>1. У процесі дослідження теоретичних засад залучення інвестиційних ресурсів на підприємствах України визначено, що підвищення ефективності їх господарювання відбудеться за рахунок збільшення всіх видів вкладень в об’єкти інвестування: фінансових, матеріальних, нематеріальних, трудових.</w:t>
                  </w:r>
                </w:p>
                <w:p w14:paraId="46AED51A"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sz w:val="24"/>
                      <w:szCs w:val="24"/>
                    </w:rPr>
                    <w:t>Особливості формування інвестиційних ресурсів на підприємствах визначають відповідні джерела та методи. Для формування інвестиційних ресурсів за рахунок власних джерел використовується метод самофінансування. Для формування інвестиційних ресурсів за рахунок позикових (боргових) джерел використовуються методи андеррайтинга, кредитне фінансування, лізинг і селенг. Для формування інвестиційних ресурсів за рахунок залучених джерел використовуються методи акціонування, державне фінансування. Для формування інвестиційних ресурсів також використовують метод змішаного фінансування, який базується на комбінації різних методів фінансування.</w:t>
                  </w:r>
                </w:p>
                <w:p w14:paraId="3C321CFD"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sz w:val="24"/>
                      <w:szCs w:val="24"/>
                    </w:rPr>
                    <w:t>2. В Україні найбільш вигідним і ефективним способом залучення інвестиційних ресурсів може стати емісія цінних паперів. Визначено, що цінний папір як специфічний інвестиційний товар має подвійний характер – правовий і економічний. Як юридична категорія цінний папір засвідчує майнові права його власника. Як економічна категорія цінний папір, беручи участь в інвестиційному процесі, є формою вираження інвестицій і опосередковує рух капіталу, втіленого у формі цінного папера. Шляхом порівняння найпоширеніших в Україні видів цінних паперів (акції, облігації) було виділено основні їх відмітні ознаки, а також визначено основні переваги й недоліки емісії акцій порівняно з облігаціями.</w:t>
                  </w:r>
                </w:p>
                <w:p w14:paraId="698EE7E1"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sz w:val="24"/>
                      <w:szCs w:val="24"/>
                    </w:rPr>
                    <w:lastRenderedPageBreak/>
                    <w:t>3. Емісія цінних паперів як механізм залучення інвестиційних ресурсів має бути спрямована на досягнення таких цілей: акумуляція тимчасово вільних коштів і залучення їх в інвестиційну сферу; формування власного і позикового капіталу (акції, облігації); покриття дефіциту державного бюджету (державні цінні папери); економія грошей в обігу (вексель, чек тощо). Досягнення завдань емісії передбачає здійснення організаційних, економічних і правових дій, спрямованих на залучення інвестиційних ресурсів.</w:t>
                  </w:r>
                </w:p>
                <w:p w14:paraId="2A629801"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sz w:val="24"/>
                      <w:szCs w:val="24"/>
                    </w:rPr>
                    <w:t>4. Проведений аналіз сучасного стану залучення інвестиційних ресурсів свідчить, що за останні роки дуже активно розвивається ринок облігацій. Збільшення залучення інвестиційних ресурсів на машинобудівних підприємствах за допомогою корпоративних облігацій відбувається за рахунок впливу таких чинників: вітчизняні підприємства починають використовувати облігації як додатковий інструмент у залученні позикового капіталу на оснащення й переобладнання виробництва; комерційні банки передбачають у посередницькій діяльності на ринку корпоративних облігацій нову лінію, яка дає їм комісійні доходи за розміщені цінні папери, та додаткове джерело отримання відсоткових доходів.</w:t>
                  </w:r>
                </w:p>
                <w:p w14:paraId="236E1C1B"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sz w:val="24"/>
                      <w:szCs w:val="24"/>
                    </w:rPr>
                    <w:t>5. Встановлено, що у галузевій структурі корпоративних облігацій частка підприємств машинобудування залишається незначною. Останніми роками відбувається збільшення обсягів залучених інвестиційних ресурсів за допомогою акцій. Однак такий спосіб залучення на підприємствах машинобудування не може розглядатися як перспективний напрям. Причиною цього є переміщення в 2005 – 2006 рр. інтересів інвесторів на підприємства коксохімічної галузі, гірничо-металургійного комплексу та нафтопереробки, де існує максимальна прибутковість.</w:t>
                  </w:r>
                </w:p>
                <w:p w14:paraId="5239050F"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sz w:val="24"/>
                      <w:szCs w:val="24"/>
                    </w:rPr>
                    <w:t>6. Запропоновано етапи емісійної програми підприємства машинобудування, які дають змогу найбільш ефективно організувати випуск та розміщення цінних паперів, мінімізувати витрати, пов’язані з організацією випуску, найбільш точно структурувати випуск цінних паперів, а також визначити найбільш сприятливий момент виходу підприємства на фондовий ринок: аналіз зовнішнього середовища підприємства-емітента; оцінка інвестиційної привабливості підприємства-емітента; структурування випуску цінних паперів; розробка схеми розміщення цінних паперів.</w:t>
                  </w:r>
                </w:p>
                <w:p w14:paraId="7083F4B3"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sz w:val="24"/>
                      <w:szCs w:val="24"/>
                    </w:rPr>
                    <w:t>7. У рамках реалізації емісійної програми розроблені методичні підходи до оцінки фінансового стану підприємства-емітента, що надають такі переваги керівництву, аналітикам, консультантам та інвесторам: можливість порівнювати компанію з конкурентами в галузі; можливість визначати основні рушійні сили і чинники бізнесу компанії; виявляти проблеми і відхилення у виробничо-господарській діяльності компанії з метою їх подальшого усунення; а також можливість зробити прозорою фінансову звітність підприємств машинобудування.</w:t>
                  </w:r>
                </w:p>
                <w:p w14:paraId="114F7895" w14:textId="77777777" w:rsidR="004230CB" w:rsidRPr="004230CB" w:rsidRDefault="004230CB" w:rsidP="00423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0CB">
                    <w:rPr>
                      <w:rFonts w:ascii="Times New Roman" w:eastAsia="Times New Roman" w:hAnsi="Times New Roman" w:cs="Times New Roman"/>
                      <w:sz w:val="24"/>
                      <w:szCs w:val="24"/>
                    </w:rPr>
                    <w:t>8. Розроблено механізм організації фінансування інвестиційних проектів машинобудівних підприємств за допомогою емісії корпоративних облігацій, що дає змогу оптимізувати графік обслуговування облігаційної позики емітентом з урахуванням особливостей реалізації інвестиційного проекту. Реалізація цього механізму дозволить розширити можливості машинобудівних підприємств щодо залучення інвестиційних ресурсів і підвищить гарантії виконання зобов'язань з цінних паперів для зовнішніх інвесторів.</w:t>
                  </w:r>
                </w:p>
              </w:tc>
            </w:tr>
          </w:tbl>
          <w:p w14:paraId="753B0B19" w14:textId="77777777" w:rsidR="004230CB" w:rsidRPr="004230CB" w:rsidRDefault="004230CB" w:rsidP="004230CB">
            <w:pPr>
              <w:spacing w:after="0" w:line="240" w:lineRule="auto"/>
              <w:rPr>
                <w:rFonts w:ascii="Times New Roman" w:eastAsia="Times New Roman" w:hAnsi="Times New Roman" w:cs="Times New Roman"/>
                <w:sz w:val="24"/>
                <w:szCs w:val="24"/>
              </w:rPr>
            </w:pPr>
          </w:p>
        </w:tc>
      </w:tr>
    </w:tbl>
    <w:p w14:paraId="5A8C36E2" w14:textId="77777777" w:rsidR="004230CB" w:rsidRPr="004230CB" w:rsidRDefault="004230CB" w:rsidP="004230CB"/>
    <w:sectPr w:rsidR="004230CB" w:rsidRPr="004230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35FC" w14:textId="77777777" w:rsidR="002A2065" w:rsidRDefault="002A2065">
      <w:pPr>
        <w:spacing w:after="0" w:line="240" w:lineRule="auto"/>
      </w:pPr>
      <w:r>
        <w:separator/>
      </w:r>
    </w:p>
  </w:endnote>
  <w:endnote w:type="continuationSeparator" w:id="0">
    <w:p w14:paraId="7327F680" w14:textId="77777777" w:rsidR="002A2065" w:rsidRDefault="002A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04B4" w14:textId="77777777" w:rsidR="002A2065" w:rsidRDefault="002A2065">
      <w:pPr>
        <w:spacing w:after="0" w:line="240" w:lineRule="auto"/>
      </w:pPr>
      <w:r>
        <w:separator/>
      </w:r>
    </w:p>
  </w:footnote>
  <w:footnote w:type="continuationSeparator" w:id="0">
    <w:p w14:paraId="17D1C6E0" w14:textId="77777777" w:rsidR="002A2065" w:rsidRDefault="002A2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20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065"/>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78073</TotalTime>
  <Pages>3</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1818</cp:revision>
  <dcterms:created xsi:type="dcterms:W3CDTF">2024-06-20T08:51:00Z</dcterms:created>
  <dcterms:modified xsi:type="dcterms:W3CDTF">2024-09-10T09:34:00Z</dcterms:modified>
  <cp:category/>
</cp:coreProperties>
</file>