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AD00" w14:textId="77777777" w:rsidR="007E15B2" w:rsidRDefault="007E15B2" w:rsidP="007E15B2">
      <w:pPr>
        <w:pStyle w:val="afffffffffffffffffffffffffff5"/>
        <w:rPr>
          <w:rFonts w:ascii="Verdana" w:hAnsi="Verdana"/>
          <w:color w:val="000000"/>
          <w:sz w:val="21"/>
          <w:szCs w:val="21"/>
        </w:rPr>
      </w:pPr>
      <w:r>
        <w:rPr>
          <w:rFonts w:ascii="Helvetica" w:hAnsi="Helvetica" w:cs="Helvetica"/>
          <w:b/>
          <w:bCs w:val="0"/>
          <w:color w:val="222222"/>
          <w:sz w:val="21"/>
          <w:szCs w:val="21"/>
        </w:rPr>
        <w:t>Конкин, Андрей Александрович.</w:t>
      </w:r>
    </w:p>
    <w:p w14:paraId="64F49F95" w14:textId="77777777" w:rsidR="007E15B2" w:rsidRDefault="007E15B2" w:rsidP="007E15B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Структурные особенности трансрегионального партнерства стран БРИКС и его потенциал в системе глобального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политических наук : 23.00.04 / Конкин Андрей Александрович; [Место защиты: Московский государственный институт международных отношений МИД РФ]. - Москва, 2018. - 216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9AF504" w14:textId="77777777" w:rsidR="007E15B2" w:rsidRDefault="007E15B2" w:rsidP="007E15B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Конкин, Андрей Александрович</w:t>
      </w:r>
    </w:p>
    <w:p w14:paraId="2EB664C9"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6452DB1"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F69B65"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КОНЦЕПТУАЛЬНЫЕ ОСНОВЫ ТРАНСРЕГИОНАЛЬНОГО ПАРТНЕРСТВА СТРАН БРИКС</w:t>
      </w:r>
    </w:p>
    <w:p w14:paraId="7DB43F17"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Теоретические и методологические подходы к проблеме </w:t>
      </w:r>
      <w:proofErr w:type="spellStart"/>
      <w:r>
        <w:rPr>
          <w:rFonts w:ascii="Arial" w:hAnsi="Arial" w:cs="Arial"/>
          <w:color w:val="333333"/>
          <w:sz w:val="21"/>
          <w:szCs w:val="21"/>
        </w:rPr>
        <w:t>трансрегиональных</w:t>
      </w:r>
      <w:proofErr w:type="spellEnd"/>
      <w:r>
        <w:rPr>
          <w:rFonts w:ascii="Arial" w:hAnsi="Arial" w:cs="Arial"/>
          <w:color w:val="333333"/>
          <w:sz w:val="21"/>
          <w:szCs w:val="21"/>
        </w:rPr>
        <w:t xml:space="preserve"> отношений</w:t>
      </w:r>
    </w:p>
    <w:p w14:paraId="06E5478D"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Теоретические основы </w:t>
      </w:r>
      <w:proofErr w:type="spellStart"/>
      <w:r>
        <w:rPr>
          <w:rFonts w:ascii="Arial" w:hAnsi="Arial" w:cs="Arial"/>
          <w:color w:val="333333"/>
          <w:sz w:val="21"/>
          <w:szCs w:val="21"/>
        </w:rPr>
        <w:t>трансрегионального</w:t>
      </w:r>
      <w:proofErr w:type="spellEnd"/>
      <w:r>
        <w:rPr>
          <w:rFonts w:ascii="Arial" w:hAnsi="Arial" w:cs="Arial"/>
          <w:color w:val="333333"/>
          <w:sz w:val="21"/>
          <w:szCs w:val="21"/>
        </w:rPr>
        <w:t xml:space="preserve"> сотрудничества стран БРИКС и его основные структурные параметры</w:t>
      </w:r>
    </w:p>
    <w:p w14:paraId="24F698CF"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СТРУКТУРНЫЕ ОСОБЕННОСТИ И ФАКТОРЫ РАЗВИТИЯ ТРАНСРЕГИОНАЛЬНОГО ПАРТНЕРСТВА СТРАН БРИКС</w:t>
      </w:r>
    </w:p>
    <w:p w14:paraId="2350F399"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Структурные элементы и факторы </w:t>
      </w:r>
      <w:proofErr w:type="spellStart"/>
      <w:r>
        <w:rPr>
          <w:rFonts w:ascii="Arial" w:hAnsi="Arial" w:cs="Arial"/>
          <w:color w:val="333333"/>
          <w:sz w:val="21"/>
          <w:szCs w:val="21"/>
        </w:rPr>
        <w:t>трансрегионального</w:t>
      </w:r>
      <w:proofErr w:type="spellEnd"/>
      <w:r>
        <w:rPr>
          <w:rFonts w:ascii="Arial" w:hAnsi="Arial" w:cs="Arial"/>
          <w:color w:val="333333"/>
          <w:sz w:val="21"/>
          <w:szCs w:val="21"/>
        </w:rPr>
        <w:t xml:space="preserve"> сотрудничества стран БРИКС</w:t>
      </w:r>
    </w:p>
    <w:p w14:paraId="739E0979"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Анализ структуры </w:t>
      </w:r>
      <w:proofErr w:type="spellStart"/>
      <w:r>
        <w:rPr>
          <w:rFonts w:ascii="Arial" w:hAnsi="Arial" w:cs="Arial"/>
          <w:color w:val="333333"/>
          <w:sz w:val="21"/>
          <w:szCs w:val="21"/>
        </w:rPr>
        <w:t>трансрегионального</w:t>
      </w:r>
      <w:proofErr w:type="spellEnd"/>
      <w:r>
        <w:rPr>
          <w:rFonts w:ascii="Arial" w:hAnsi="Arial" w:cs="Arial"/>
          <w:color w:val="333333"/>
          <w:sz w:val="21"/>
          <w:szCs w:val="21"/>
        </w:rPr>
        <w:t xml:space="preserve"> партнёрства стран БРИКС</w:t>
      </w:r>
    </w:p>
    <w:p w14:paraId="10DE5F72"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ТРАНСРЕГИОНАЛЬНОЕ СОТРУДНИЧЕСТВО СТРАН БРИКС И ЕГО ОЦЕНКА С ТОЧКИ ЗРЕНИЯ ПЕРСПЕКТИВ ВЛИЯНИЯ НА СИСТЕМУ ГЛОБАЛЬНОГО УПРАВЛЕНИЯ</w:t>
      </w:r>
    </w:p>
    <w:p w14:paraId="3E004EE3"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Страны БРИКС в системе глобального управления</w:t>
      </w:r>
    </w:p>
    <w:p w14:paraId="2CDF3654"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потенциала стран БРИКС в системе глобального управления</w:t>
      </w:r>
    </w:p>
    <w:p w14:paraId="0A340285"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8515F2B" w14:textId="77777777" w:rsidR="007E15B2" w:rsidRDefault="007E15B2" w:rsidP="007E1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294F55" w14:textId="6E34CA8B" w:rsidR="00050BAD" w:rsidRPr="007E15B2" w:rsidRDefault="00050BAD" w:rsidP="007E15B2"/>
    <w:sectPr w:rsidR="00050BAD" w:rsidRPr="007E15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059D" w14:textId="77777777" w:rsidR="003803FF" w:rsidRDefault="003803FF">
      <w:pPr>
        <w:spacing w:after="0" w:line="240" w:lineRule="auto"/>
      </w:pPr>
      <w:r>
        <w:separator/>
      </w:r>
    </w:p>
  </w:endnote>
  <w:endnote w:type="continuationSeparator" w:id="0">
    <w:p w14:paraId="755A7CD5" w14:textId="77777777" w:rsidR="003803FF" w:rsidRDefault="0038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C4A7" w14:textId="77777777" w:rsidR="003803FF" w:rsidRDefault="003803FF"/>
    <w:p w14:paraId="75D1F722" w14:textId="77777777" w:rsidR="003803FF" w:rsidRDefault="003803FF"/>
    <w:p w14:paraId="1302C399" w14:textId="77777777" w:rsidR="003803FF" w:rsidRDefault="003803FF"/>
    <w:p w14:paraId="6C167BF4" w14:textId="77777777" w:rsidR="003803FF" w:rsidRDefault="003803FF"/>
    <w:p w14:paraId="359E2266" w14:textId="77777777" w:rsidR="003803FF" w:rsidRDefault="003803FF"/>
    <w:p w14:paraId="0E9A661E" w14:textId="77777777" w:rsidR="003803FF" w:rsidRDefault="003803FF"/>
    <w:p w14:paraId="544C562D" w14:textId="77777777" w:rsidR="003803FF" w:rsidRDefault="003803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977F7" wp14:editId="4C8C31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2DC6" w14:textId="77777777" w:rsidR="003803FF" w:rsidRDefault="003803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977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402DC6" w14:textId="77777777" w:rsidR="003803FF" w:rsidRDefault="003803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92EEEB" w14:textId="77777777" w:rsidR="003803FF" w:rsidRDefault="003803FF"/>
    <w:p w14:paraId="12E4566F" w14:textId="77777777" w:rsidR="003803FF" w:rsidRDefault="003803FF"/>
    <w:p w14:paraId="5CD4A87B" w14:textId="77777777" w:rsidR="003803FF" w:rsidRDefault="003803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62FF13" wp14:editId="25E050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A7F00" w14:textId="77777777" w:rsidR="003803FF" w:rsidRDefault="003803FF"/>
                          <w:p w14:paraId="0406DA9A" w14:textId="77777777" w:rsidR="003803FF" w:rsidRDefault="003803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2FF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9A7F00" w14:textId="77777777" w:rsidR="003803FF" w:rsidRDefault="003803FF"/>
                    <w:p w14:paraId="0406DA9A" w14:textId="77777777" w:rsidR="003803FF" w:rsidRDefault="003803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504D73" w14:textId="77777777" w:rsidR="003803FF" w:rsidRDefault="003803FF"/>
    <w:p w14:paraId="54B81BA7" w14:textId="77777777" w:rsidR="003803FF" w:rsidRDefault="003803FF">
      <w:pPr>
        <w:rPr>
          <w:sz w:val="2"/>
          <w:szCs w:val="2"/>
        </w:rPr>
      </w:pPr>
    </w:p>
    <w:p w14:paraId="3609BE92" w14:textId="77777777" w:rsidR="003803FF" w:rsidRDefault="003803FF"/>
    <w:p w14:paraId="2EE0A5E8" w14:textId="77777777" w:rsidR="003803FF" w:rsidRDefault="003803FF">
      <w:pPr>
        <w:spacing w:after="0" w:line="240" w:lineRule="auto"/>
      </w:pPr>
    </w:p>
  </w:footnote>
  <w:footnote w:type="continuationSeparator" w:id="0">
    <w:p w14:paraId="4B7FC6D1" w14:textId="77777777" w:rsidR="003803FF" w:rsidRDefault="00380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3FF"/>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84612</TotalTime>
  <Pages>1</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3258</cp:revision>
  <cp:lastPrinted>2009-02-06T05:36:00Z</cp:lastPrinted>
  <dcterms:created xsi:type="dcterms:W3CDTF">2024-01-07T13:43:00Z</dcterms:created>
  <dcterms:modified xsi:type="dcterms:W3CDTF">2025-04-30T08:26:00Z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