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F3" w:rsidRDefault="00DE3FF3" w:rsidP="00DE3F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Сорокіна Любов Володимирівна, </w:t>
      </w:r>
      <w:r>
        <w:rPr>
          <w:rFonts w:ascii="CIDFont+F3" w:hAnsi="CIDFont+F3" w:cs="CIDFont+F3"/>
          <w:kern w:val="0"/>
          <w:sz w:val="28"/>
          <w:szCs w:val="28"/>
          <w:lang w:eastAsia="ru-RU"/>
        </w:rPr>
        <w:t>тимчасово не працює, тема</w:t>
      </w:r>
    </w:p>
    <w:p w:rsidR="00DE3FF3" w:rsidRDefault="00DE3FF3" w:rsidP="00DE3F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«Запобігання злочинам у сфері пенсійного забезпечення в</w:t>
      </w:r>
    </w:p>
    <w:p w:rsidR="00DE3FF3" w:rsidRDefault="00DE3FF3" w:rsidP="00DE3F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Україні», (081 - Право). Спеціалізована вчена рада ДФ 26.007.023 в</w:t>
      </w:r>
    </w:p>
    <w:p w:rsidR="00D66F00" w:rsidRPr="00DE3FF3" w:rsidRDefault="00DE3FF3" w:rsidP="00DE3FF3">
      <w:r>
        <w:rPr>
          <w:rFonts w:ascii="CIDFont+F3" w:hAnsi="CIDFont+F3" w:cs="CIDFont+F3"/>
          <w:kern w:val="0"/>
          <w:sz w:val="28"/>
          <w:szCs w:val="28"/>
          <w:lang w:eastAsia="ru-RU"/>
        </w:rPr>
        <w:t>Національній академії внутрішніх справ, МВС України</w:t>
      </w:r>
    </w:p>
    <w:sectPr w:rsidR="00D66F00" w:rsidRPr="00DE3FF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DE3FF3" w:rsidRPr="00DE3F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EDD55-54C1-4BA8-A7B8-D5A89BF5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2021-12-23T09:52:00Z</dcterms:created>
  <dcterms:modified xsi:type="dcterms:W3CDTF">2021-12-24T19:35:00Z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