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B35B" w14:textId="4C629803" w:rsidR="009E76A9" w:rsidRDefault="00D244F7" w:rsidP="00D244F7">
      <w:pPr>
        <w:rPr>
          <w:rFonts w:ascii="Verdana" w:hAnsi="Verdana"/>
          <w:b/>
          <w:bCs/>
          <w:color w:val="000000"/>
          <w:shd w:val="clear" w:color="auto" w:fill="FFFFFF"/>
        </w:rPr>
      </w:pPr>
      <w:r>
        <w:rPr>
          <w:rFonts w:ascii="Verdana" w:hAnsi="Verdana"/>
          <w:b/>
          <w:bCs/>
          <w:color w:val="000000"/>
          <w:shd w:val="clear" w:color="auto" w:fill="FFFFFF"/>
        </w:rPr>
        <w:t xml:space="preserve">Чуняєв Олег Миколайович. Масоперенос при хіміко-термічній обробці залізовуглецевих сплавів з використанням хлоридних активаторів в камерних печах : Дис... канд. наук: 05.17.08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44F7" w:rsidRPr="00D244F7" w14:paraId="2761C719" w14:textId="77777777" w:rsidTr="00D244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44F7" w:rsidRPr="00D244F7" w14:paraId="6162AFAE" w14:textId="77777777">
              <w:trPr>
                <w:tblCellSpacing w:w="0" w:type="dxa"/>
              </w:trPr>
              <w:tc>
                <w:tcPr>
                  <w:tcW w:w="0" w:type="auto"/>
                  <w:vAlign w:val="center"/>
                  <w:hideMark/>
                </w:tcPr>
                <w:p w14:paraId="3C67A51F" w14:textId="77777777" w:rsidR="00D244F7" w:rsidRPr="00D244F7" w:rsidRDefault="00D244F7" w:rsidP="00D24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4F7">
                    <w:rPr>
                      <w:rFonts w:ascii="Times New Roman" w:eastAsia="Times New Roman" w:hAnsi="Times New Roman" w:cs="Times New Roman"/>
                      <w:b/>
                      <w:bCs/>
                      <w:sz w:val="24"/>
                      <w:szCs w:val="24"/>
                    </w:rPr>
                    <w:lastRenderedPageBreak/>
                    <w:t>Чуняєв О. М. Масоперенос при хіміко-термічній обробці залізовуглецевих сплавів з використанням хлоридних активаторів в камерних печах. – Рукопис.</w:t>
                  </w:r>
                </w:p>
                <w:p w14:paraId="6F366B9A" w14:textId="77777777" w:rsidR="00D244F7" w:rsidRPr="00D244F7" w:rsidRDefault="00D244F7" w:rsidP="00D24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4F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05.17.08 – процеси та обладнання хімічної технології. – Національний технічний університет «Харківський політехнічний інститут», Харків, 2006.</w:t>
                  </w:r>
                </w:p>
                <w:p w14:paraId="15CAEEE1" w14:textId="77777777" w:rsidR="00D244F7" w:rsidRPr="00D244F7" w:rsidRDefault="00D244F7" w:rsidP="00D24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4F7">
                    <w:rPr>
                      <w:rFonts w:ascii="Times New Roman" w:eastAsia="Times New Roman" w:hAnsi="Times New Roman" w:cs="Times New Roman"/>
                      <w:sz w:val="24"/>
                      <w:szCs w:val="24"/>
                    </w:rPr>
                    <w:t>Виконано дослідження механізму масопереносу хрому при дифузійному карбідному поверхневому легуванні (ДКПЛ) залізовуглецевих сплавів і дифузійному поверхневому хромуванню в насичуючих порошкових сумішах карбідоутворювачів, або їх феросплавів, оксиду алюмінію і хлористого амонію. Проведено системний термодинамічний аналіз хімічних процесів при ДКПЛ з урахуванням побічних реакцій та впливу домішок в компонентах шихти, а також аналіз фазових переходів хлоридів, які утворюються під час хіміко-термічної обробки (ХТО). На підставі виведеного механізму масопереносу хрому, визначені стадії, що лімітують процес ДКПЛ та запропонована нова методика активації і коректування насичуючих сумішей.</w:t>
                  </w:r>
                </w:p>
                <w:p w14:paraId="253AF200" w14:textId="77777777" w:rsidR="00D244F7" w:rsidRPr="00D244F7" w:rsidRDefault="00D244F7" w:rsidP="00D24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4F7">
                    <w:rPr>
                      <w:rFonts w:ascii="Times New Roman" w:eastAsia="Times New Roman" w:hAnsi="Times New Roman" w:cs="Times New Roman"/>
                      <w:sz w:val="24"/>
                      <w:szCs w:val="24"/>
                    </w:rPr>
                    <w:t>Проведена експериментальна перевірка адекватності газово-рідинного механізму масопереносу при ДКПЛ, яка підтвердила утворення плівки сольового розплаву на металічних поверхнях під час ХТО. Експериментально показано підвищення відтворюваності результатів легування, та строку служби шихти, завдяки використанню нової методики активації і коректування.</w:t>
                  </w:r>
                </w:p>
              </w:tc>
            </w:tr>
          </w:tbl>
          <w:p w14:paraId="21FAA391" w14:textId="77777777" w:rsidR="00D244F7" w:rsidRPr="00D244F7" w:rsidRDefault="00D244F7" w:rsidP="00D244F7">
            <w:pPr>
              <w:spacing w:after="0" w:line="240" w:lineRule="auto"/>
              <w:rPr>
                <w:rFonts w:ascii="Times New Roman" w:eastAsia="Times New Roman" w:hAnsi="Times New Roman" w:cs="Times New Roman"/>
                <w:sz w:val="24"/>
                <w:szCs w:val="24"/>
              </w:rPr>
            </w:pPr>
          </w:p>
        </w:tc>
      </w:tr>
      <w:tr w:rsidR="00D244F7" w:rsidRPr="00D244F7" w14:paraId="076A453D" w14:textId="77777777" w:rsidTr="00D244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44F7" w:rsidRPr="00D244F7" w14:paraId="72CA0DFD" w14:textId="77777777">
              <w:trPr>
                <w:tblCellSpacing w:w="0" w:type="dxa"/>
              </w:trPr>
              <w:tc>
                <w:tcPr>
                  <w:tcW w:w="0" w:type="auto"/>
                  <w:vAlign w:val="center"/>
                  <w:hideMark/>
                </w:tcPr>
                <w:p w14:paraId="6D1FC041" w14:textId="77777777" w:rsidR="00D244F7" w:rsidRPr="00D244F7" w:rsidRDefault="00D244F7" w:rsidP="00D24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4F7">
                    <w:rPr>
                      <w:rFonts w:ascii="Times New Roman" w:eastAsia="Times New Roman" w:hAnsi="Times New Roman" w:cs="Times New Roman"/>
                      <w:sz w:val="24"/>
                      <w:szCs w:val="24"/>
                    </w:rPr>
                    <w:t>У дисертації проведено теоретичне дослідження та нове вирішення науково-практичної задачі, яка полягає у проведенні системного термодинамічного аналізу, та аналізу фазових переходів, на підставі яких теоретично виведено і експериментально доведено механізм масопереносу при ДКПЛ. Знання механізму масопереносу дозволило встановити його лімітуючи стадії та розробити нову методику коректування шихт.</w:t>
                  </w:r>
                </w:p>
                <w:p w14:paraId="761F63F6" w14:textId="77777777" w:rsidR="00D244F7" w:rsidRPr="00D244F7" w:rsidRDefault="00D244F7" w:rsidP="00D24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4F7">
                    <w:rPr>
                      <w:rFonts w:ascii="Times New Roman" w:eastAsia="Times New Roman" w:hAnsi="Times New Roman" w:cs="Times New Roman"/>
                      <w:sz w:val="24"/>
                      <w:szCs w:val="24"/>
                    </w:rPr>
                    <w:t>1. В роботі проведено системний термодинамічний аналіз хімічних процесів, які протікають при дифузійному карбідному поверхневому легуванні залізовуглецевих сплавів. Результати аналізу дозволили встановити побічні хімічні процеси і вплив елементів-домішок, які відіграють важливу роль в активації і пасивації (отруєнні) насичуючих сумішей.</w:t>
                  </w:r>
                </w:p>
                <w:p w14:paraId="2D4AD95E" w14:textId="77777777" w:rsidR="00D244F7" w:rsidRPr="00D244F7" w:rsidRDefault="00D244F7" w:rsidP="00D24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4F7">
                    <w:rPr>
                      <w:rFonts w:ascii="Times New Roman" w:eastAsia="Times New Roman" w:hAnsi="Times New Roman" w:cs="Times New Roman"/>
                      <w:sz w:val="24"/>
                      <w:szCs w:val="24"/>
                    </w:rPr>
                    <w:t>2. Показано, що відновні домішки Si і Al, що знаходяться у ферохромі та утворюють при хлоруванні SiCl</w:t>
                  </w:r>
                  <w:r w:rsidRPr="00D244F7">
                    <w:rPr>
                      <w:rFonts w:ascii="Times New Roman" w:eastAsia="Times New Roman" w:hAnsi="Times New Roman" w:cs="Times New Roman"/>
                      <w:sz w:val="24"/>
                      <w:szCs w:val="24"/>
                      <w:vertAlign w:val="subscript"/>
                    </w:rPr>
                    <w:t>4</w:t>
                  </w:r>
                  <w:r w:rsidRPr="00D244F7">
                    <w:rPr>
                      <w:rFonts w:ascii="Times New Roman" w:eastAsia="Times New Roman" w:hAnsi="Times New Roman" w:cs="Times New Roman"/>
                      <w:sz w:val="24"/>
                      <w:szCs w:val="24"/>
                    </w:rPr>
                    <w:t>, AlCl</w:t>
                  </w:r>
                  <w:r w:rsidRPr="00D244F7">
                    <w:rPr>
                      <w:rFonts w:ascii="Times New Roman" w:eastAsia="Times New Roman" w:hAnsi="Times New Roman" w:cs="Times New Roman"/>
                      <w:sz w:val="24"/>
                      <w:szCs w:val="24"/>
                      <w:vertAlign w:val="subscript"/>
                    </w:rPr>
                    <w:t>3</w:t>
                  </w:r>
                  <w:r w:rsidRPr="00D244F7">
                    <w:rPr>
                      <w:rFonts w:ascii="Times New Roman" w:eastAsia="Times New Roman" w:hAnsi="Times New Roman" w:cs="Times New Roman"/>
                      <w:sz w:val="24"/>
                      <w:szCs w:val="24"/>
                    </w:rPr>
                    <w:t>, підвищують строк служби насичуючої суміші і відтворюваність легування, завдяки розкисленню металевих поверхонь і непрямому хлоруванню оксидів хрому та заліза.</w:t>
                  </w:r>
                </w:p>
                <w:p w14:paraId="2B81AE83" w14:textId="77777777" w:rsidR="00D244F7" w:rsidRPr="00D244F7" w:rsidRDefault="00D244F7" w:rsidP="00D24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4F7">
                    <w:rPr>
                      <w:rFonts w:ascii="Times New Roman" w:eastAsia="Times New Roman" w:hAnsi="Times New Roman" w:cs="Times New Roman"/>
                      <w:sz w:val="24"/>
                      <w:szCs w:val="24"/>
                    </w:rPr>
                    <w:t>3. Встановлено, що при циклічному використанні шихти, частка CrCl</w:t>
                  </w:r>
                  <w:r w:rsidRPr="00D244F7">
                    <w:rPr>
                      <w:rFonts w:ascii="Times New Roman" w:eastAsia="Times New Roman" w:hAnsi="Times New Roman" w:cs="Times New Roman"/>
                      <w:sz w:val="24"/>
                      <w:szCs w:val="24"/>
                      <w:vertAlign w:val="subscript"/>
                    </w:rPr>
                    <w:t>2</w:t>
                  </w:r>
                  <w:r w:rsidRPr="00D244F7">
                    <w:rPr>
                      <w:rFonts w:ascii="Times New Roman" w:eastAsia="Times New Roman" w:hAnsi="Times New Roman" w:cs="Times New Roman"/>
                      <w:sz w:val="24"/>
                      <w:szCs w:val="24"/>
                    </w:rPr>
                    <w:t> в хлоридній масі збільшується, оскільки він є продуктом головних обмінних реакцій, має найменшу пружність парів, і один з самих стійких при зберіганні.</w:t>
                  </w:r>
                </w:p>
                <w:p w14:paraId="29109662" w14:textId="77777777" w:rsidR="00D244F7" w:rsidRPr="00D244F7" w:rsidRDefault="00D244F7" w:rsidP="00D24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4F7">
                    <w:rPr>
                      <w:rFonts w:ascii="Times New Roman" w:eastAsia="Times New Roman" w:hAnsi="Times New Roman" w:cs="Times New Roman"/>
                      <w:sz w:val="24"/>
                      <w:szCs w:val="24"/>
                    </w:rPr>
                    <w:t>4. Відновні, по відношенню до CrCl</w:t>
                  </w:r>
                  <w:r w:rsidRPr="00D244F7">
                    <w:rPr>
                      <w:rFonts w:ascii="Times New Roman" w:eastAsia="Times New Roman" w:hAnsi="Times New Roman" w:cs="Times New Roman"/>
                      <w:sz w:val="24"/>
                      <w:szCs w:val="24"/>
                      <w:vertAlign w:val="subscript"/>
                    </w:rPr>
                    <w:t>2</w:t>
                  </w:r>
                  <w:r w:rsidRPr="00D244F7">
                    <w:rPr>
                      <w:rFonts w:ascii="Times New Roman" w:eastAsia="Times New Roman" w:hAnsi="Times New Roman" w:cs="Times New Roman"/>
                      <w:sz w:val="24"/>
                      <w:szCs w:val="24"/>
                    </w:rPr>
                    <w:t> і CrCl</w:t>
                  </w:r>
                  <w:r w:rsidRPr="00D244F7">
                    <w:rPr>
                      <w:rFonts w:ascii="Times New Roman" w:eastAsia="Times New Roman" w:hAnsi="Times New Roman" w:cs="Times New Roman"/>
                      <w:sz w:val="24"/>
                      <w:szCs w:val="24"/>
                      <w:vertAlign w:val="subscript"/>
                    </w:rPr>
                    <w:t>3</w:t>
                  </w:r>
                  <w:r w:rsidRPr="00D244F7">
                    <w:rPr>
                      <w:rFonts w:ascii="Times New Roman" w:eastAsia="Times New Roman" w:hAnsi="Times New Roman" w:cs="Times New Roman"/>
                      <w:sz w:val="24"/>
                      <w:szCs w:val="24"/>
                    </w:rPr>
                    <w:t>, домішки в сплаві, що легується, наприклад Si, Ti, інтенсифікують хемосорбцію хрому на поверхні, яка підлягає легуванню. Вуглець сплаву, що підлягає легуванню, полегшує проходження реакцій відновлення хрому на залізі за участю CrCl</w:t>
                  </w:r>
                  <w:r w:rsidRPr="00D244F7">
                    <w:rPr>
                      <w:rFonts w:ascii="Times New Roman" w:eastAsia="Times New Roman" w:hAnsi="Times New Roman" w:cs="Times New Roman"/>
                      <w:sz w:val="24"/>
                      <w:szCs w:val="24"/>
                      <w:vertAlign w:val="subscript"/>
                    </w:rPr>
                    <w:t>2</w:t>
                  </w:r>
                  <w:r w:rsidRPr="00D244F7">
                    <w:rPr>
                      <w:rFonts w:ascii="Times New Roman" w:eastAsia="Times New Roman" w:hAnsi="Times New Roman" w:cs="Times New Roman"/>
                      <w:sz w:val="24"/>
                      <w:szCs w:val="24"/>
                    </w:rPr>
                    <w:t> і CrCl</w:t>
                  </w:r>
                  <w:r w:rsidRPr="00D244F7">
                    <w:rPr>
                      <w:rFonts w:ascii="Times New Roman" w:eastAsia="Times New Roman" w:hAnsi="Times New Roman" w:cs="Times New Roman"/>
                      <w:sz w:val="24"/>
                      <w:szCs w:val="24"/>
                      <w:vertAlign w:val="subscript"/>
                    </w:rPr>
                    <w:t>3</w:t>
                  </w:r>
                  <w:r w:rsidRPr="00D244F7">
                    <w:rPr>
                      <w:rFonts w:ascii="Times New Roman" w:eastAsia="Times New Roman" w:hAnsi="Times New Roman" w:cs="Times New Roman"/>
                      <w:sz w:val="24"/>
                      <w:szCs w:val="24"/>
                    </w:rPr>
                    <w:t> – головних реакцій легування. Показано також, що домішки азоту в хромуючому газі викликають попутне азотування чистих металевих поверхонь.</w:t>
                  </w:r>
                </w:p>
                <w:p w14:paraId="7C65E951" w14:textId="77777777" w:rsidR="00D244F7" w:rsidRPr="00D244F7" w:rsidRDefault="00D244F7" w:rsidP="00D24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4F7">
                    <w:rPr>
                      <w:rFonts w:ascii="Times New Roman" w:eastAsia="Times New Roman" w:hAnsi="Times New Roman" w:cs="Times New Roman"/>
                      <w:sz w:val="24"/>
                      <w:szCs w:val="24"/>
                    </w:rPr>
                    <w:lastRenderedPageBreak/>
                    <w:t>5. На підґрунті термодинамічного аналізу та аналізу фазових переходів хлоридів виведено, що дифузійне карбідне поверхневе легування відбувається по змішаному газово-рідинному механізмі, причому результати легування здебільшого визначаються саме кількістю і складом рідкої фази – хлоридів CrCl</w:t>
                  </w:r>
                  <w:r w:rsidRPr="00D244F7">
                    <w:rPr>
                      <w:rFonts w:ascii="Times New Roman" w:eastAsia="Times New Roman" w:hAnsi="Times New Roman" w:cs="Times New Roman"/>
                      <w:sz w:val="24"/>
                      <w:szCs w:val="24"/>
                      <w:vertAlign w:val="subscript"/>
                    </w:rPr>
                    <w:t>2</w:t>
                  </w:r>
                  <w:r w:rsidRPr="00D244F7">
                    <w:rPr>
                      <w:rFonts w:ascii="Times New Roman" w:eastAsia="Times New Roman" w:hAnsi="Times New Roman" w:cs="Times New Roman"/>
                      <w:sz w:val="24"/>
                      <w:szCs w:val="24"/>
                    </w:rPr>
                    <w:t>, FeCl</w:t>
                  </w:r>
                  <w:r w:rsidRPr="00D244F7">
                    <w:rPr>
                      <w:rFonts w:ascii="Times New Roman" w:eastAsia="Times New Roman" w:hAnsi="Times New Roman" w:cs="Times New Roman"/>
                      <w:sz w:val="24"/>
                      <w:szCs w:val="24"/>
                      <w:vertAlign w:val="subscript"/>
                    </w:rPr>
                    <w:t>2</w:t>
                  </w:r>
                  <w:r w:rsidRPr="00D244F7">
                    <w:rPr>
                      <w:rFonts w:ascii="Times New Roman" w:eastAsia="Times New Roman" w:hAnsi="Times New Roman" w:cs="Times New Roman"/>
                      <w:sz w:val="24"/>
                      <w:szCs w:val="24"/>
                    </w:rPr>
                    <w:t>, MnCl</w:t>
                  </w:r>
                  <w:r w:rsidRPr="00D244F7">
                    <w:rPr>
                      <w:rFonts w:ascii="Times New Roman" w:eastAsia="Times New Roman" w:hAnsi="Times New Roman" w:cs="Times New Roman"/>
                      <w:sz w:val="24"/>
                      <w:szCs w:val="24"/>
                      <w:vertAlign w:val="subscript"/>
                    </w:rPr>
                    <w:t>2</w:t>
                  </w:r>
                  <w:r w:rsidRPr="00D244F7">
                    <w:rPr>
                      <w:rFonts w:ascii="Times New Roman" w:eastAsia="Times New Roman" w:hAnsi="Times New Roman" w:cs="Times New Roman"/>
                      <w:sz w:val="24"/>
                      <w:szCs w:val="24"/>
                    </w:rPr>
                    <w:t>. Встановлено, що як виняток, в досліджуваних сумішах можливе здійснення газового механізму масопереносу у випадках гранично високих температур легування (вище 1150 </w:t>
                  </w:r>
                  <w:r w:rsidRPr="00D244F7">
                    <w:rPr>
                      <w:rFonts w:ascii="Times New Roman" w:eastAsia="Times New Roman" w:hAnsi="Times New Roman" w:cs="Times New Roman"/>
                      <w:sz w:val="24"/>
                      <w:szCs w:val="24"/>
                      <w:vertAlign w:val="superscript"/>
                    </w:rPr>
                    <w:t>о</w:t>
                  </w:r>
                  <w:r w:rsidRPr="00D244F7">
                    <w:rPr>
                      <w:rFonts w:ascii="Times New Roman" w:eastAsia="Times New Roman" w:hAnsi="Times New Roman" w:cs="Times New Roman"/>
                      <w:sz w:val="24"/>
                      <w:szCs w:val="24"/>
                    </w:rPr>
                    <w:t>С), наднизької відновної здатності шихти, вмісту NH</w:t>
                  </w:r>
                  <w:r w:rsidRPr="00D244F7">
                    <w:rPr>
                      <w:rFonts w:ascii="Times New Roman" w:eastAsia="Times New Roman" w:hAnsi="Times New Roman" w:cs="Times New Roman"/>
                      <w:sz w:val="24"/>
                      <w:szCs w:val="24"/>
                      <w:vertAlign w:val="subscript"/>
                    </w:rPr>
                    <w:t>4</w:t>
                  </w:r>
                  <w:r w:rsidRPr="00D244F7">
                    <w:rPr>
                      <w:rFonts w:ascii="Times New Roman" w:eastAsia="Times New Roman" w:hAnsi="Times New Roman" w:cs="Times New Roman"/>
                      <w:sz w:val="24"/>
                      <w:szCs w:val="24"/>
                    </w:rPr>
                    <w:t>Cl більшому за 10%, або якщо суміш активізується CrCl</w:t>
                  </w:r>
                  <w:r w:rsidRPr="00D244F7">
                    <w:rPr>
                      <w:rFonts w:ascii="Times New Roman" w:eastAsia="Times New Roman" w:hAnsi="Times New Roman" w:cs="Times New Roman"/>
                      <w:sz w:val="24"/>
                      <w:szCs w:val="24"/>
                      <w:vertAlign w:val="subscript"/>
                    </w:rPr>
                    <w:t>3</w:t>
                  </w:r>
                  <w:r w:rsidRPr="00D244F7">
                    <w:rPr>
                      <w:rFonts w:ascii="Times New Roman" w:eastAsia="Times New Roman" w:hAnsi="Times New Roman" w:cs="Times New Roman"/>
                      <w:sz w:val="24"/>
                      <w:szCs w:val="24"/>
                    </w:rPr>
                    <w:t>.</w:t>
                  </w:r>
                </w:p>
                <w:p w14:paraId="6CB4BFB6" w14:textId="77777777" w:rsidR="00D244F7" w:rsidRPr="00D244F7" w:rsidRDefault="00D244F7" w:rsidP="00D24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4F7">
                    <w:rPr>
                      <w:rFonts w:ascii="Times New Roman" w:eastAsia="Times New Roman" w:hAnsi="Times New Roman" w:cs="Times New Roman"/>
                      <w:sz w:val="24"/>
                      <w:szCs w:val="24"/>
                    </w:rPr>
                    <w:t>6. Проведено аналіз стадій, що лімітують процес ДКПЛ, який довів, що окрім стадії дифузії Cr, з поверхневої фази виробу в матрицю, процес можуть лімітувати стадії: дифузії Cr із матриці ферохрому до поверхневої фази; дифузії CrCl</w:t>
                  </w:r>
                  <w:r w:rsidRPr="00D244F7">
                    <w:rPr>
                      <w:rFonts w:ascii="Times New Roman" w:eastAsia="Times New Roman" w:hAnsi="Times New Roman" w:cs="Times New Roman"/>
                      <w:sz w:val="24"/>
                      <w:szCs w:val="24"/>
                      <w:vertAlign w:val="subscript"/>
                    </w:rPr>
                    <w:t>3</w:t>
                  </w:r>
                  <w:r w:rsidRPr="00D244F7">
                    <w:rPr>
                      <w:rFonts w:ascii="Times New Roman" w:eastAsia="Times New Roman" w:hAnsi="Times New Roman" w:cs="Times New Roman"/>
                      <w:sz w:val="24"/>
                      <w:szCs w:val="24"/>
                    </w:rPr>
                    <w:t>, CrCl</w:t>
                  </w:r>
                  <w:r w:rsidRPr="00D244F7">
                    <w:rPr>
                      <w:rFonts w:ascii="Times New Roman" w:eastAsia="Times New Roman" w:hAnsi="Times New Roman" w:cs="Times New Roman"/>
                      <w:sz w:val="24"/>
                      <w:szCs w:val="24"/>
                      <w:vertAlign w:val="subscript"/>
                    </w:rPr>
                    <w:t>2</w:t>
                  </w:r>
                  <w:r w:rsidRPr="00D244F7">
                    <w:rPr>
                      <w:rFonts w:ascii="Times New Roman" w:eastAsia="Times New Roman" w:hAnsi="Times New Roman" w:cs="Times New Roman"/>
                      <w:sz w:val="24"/>
                      <w:szCs w:val="24"/>
                    </w:rPr>
                    <w:t> через плівку розплаву солей CrCl</w:t>
                  </w:r>
                  <w:r w:rsidRPr="00D244F7">
                    <w:rPr>
                      <w:rFonts w:ascii="Times New Roman" w:eastAsia="Times New Roman" w:hAnsi="Times New Roman" w:cs="Times New Roman"/>
                      <w:sz w:val="24"/>
                      <w:szCs w:val="24"/>
                      <w:vertAlign w:val="subscript"/>
                    </w:rPr>
                    <w:t>2</w:t>
                  </w:r>
                  <w:r w:rsidRPr="00D244F7">
                    <w:rPr>
                      <w:rFonts w:ascii="Times New Roman" w:eastAsia="Times New Roman" w:hAnsi="Times New Roman" w:cs="Times New Roman"/>
                      <w:sz w:val="24"/>
                      <w:szCs w:val="24"/>
                    </w:rPr>
                    <w:t>, FeCl</w:t>
                  </w:r>
                  <w:r w:rsidRPr="00D244F7">
                    <w:rPr>
                      <w:rFonts w:ascii="Times New Roman" w:eastAsia="Times New Roman" w:hAnsi="Times New Roman" w:cs="Times New Roman"/>
                      <w:sz w:val="24"/>
                      <w:szCs w:val="24"/>
                      <w:vertAlign w:val="subscript"/>
                    </w:rPr>
                    <w:t>2</w:t>
                  </w:r>
                  <w:r w:rsidRPr="00D244F7">
                    <w:rPr>
                      <w:rFonts w:ascii="Times New Roman" w:eastAsia="Times New Roman" w:hAnsi="Times New Roman" w:cs="Times New Roman"/>
                      <w:sz w:val="24"/>
                      <w:szCs w:val="24"/>
                    </w:rPr>
                    <w:t>, MnCl</w:t>
                  </w:r>
                  <w:r w:rsidRPr="00D244F7">
                    <w:rPr>
                      <w:rFonts w:ascii="Times New Roman" w:eastAsia="Times New Roman" w:hAnsi="Times New Roman" w:cs="Times New Roman"/>
                      <w:sz w:val="24"/>
                      <w:szCs w:val="24"/>
                      <w:vertAlign w:val="subscript"/>
                    </w:rPr>
                    <w:t>2</w:t>
                  </w:r>
                  <w:r w:rsidRPr="00D244F7">
                    <w:rPr>
                      <w:rFonts w:ascii="Times New Roman" w:eastAsia="Times New Roman" w:hAnsi="Times New Roman" w:cs="Times New Roman"/>
                      <w:sz w:val="24"/>
                      <w:szCs w:val="24"/>
                    </w:rPr>
                    <w:t> на поверхні ферохрому та сплаву, що легується; дифузії солей CrCl</w:t>
                  </w:r>
                  <w:r w:rsidRPr="00D244F7">
                    <w:rPr>
                      <w:rFonts w:ascii="Times New Roman" w:eastAsia="Times New Roman" w:hAnsi="Times New Roman" w:cs="Times New Roman"/>
                      <w:sz w:val="24"/>
                      <w:szCs w:val="24"/>
                      <w:vertAlign w:val="subscript"/>
                    </w:rPr>
                    <w:t>3</w:t>
                  </w:r>
                  <w:r w:rsidRPr="00D244F7">
                    <w:rPr>
                      <w:rFonts w:ascii="Times New Roman" w:eastAsia="Times New Roman" w:hAnsi="Times New Roman" w:cs="Times New Roman"/>
                      <w:sz w:val="24"/>
                      <w:szCs w:val="24"/>
                    </w:rPr>
                    <w:t>, CrCl</w:t>
                  </w:r>
                  <w:r w:rsidRPr="00D244F7">
                    <w:rPr>
                      <w:rFonts w:ascii="Times New Roman" w:eastAsia="Times New Roman" w:hAnsi="Times New Roman" w:cs="Times New Roman"/>
                      <w:sz w:val="24"/>
                      <w:szCs w:val="24"/>
                      <w:vertAlign w:val="subscript"/>
                    </w:rPr>
                    <w:t>2</w:t>
                  </w:r>
                  <w:r w:rsidRPr="00D244F7">
                    <w:rPr>
                      <w:rFonts w:ascii="Times New Roman" w:eastAsia="Times New Roman" w:hAnsi="Times New Roman" w:cs="Times New Roman"/>
                      <w:sz w:val="24"/>
                      <w:szCs w:val="24"/>
                    </w:rPr>
                    <w:t> через поверхневі оксидні плівки Cr</w:t>
                  </w:r>
                  <w:r w:rsidRPr="00D244F7">
                    <w:rPr>
                      <w:rFonts w:ascii="Times New Roman" w:eastAsia="Times New Roman" w:hAnsi="Times New Roman" w:cs="Times New Roman"/>
                      <w:sz w:val="24"/>
                      <w:szCs w:val="24"/>
                      <w:vertAlign w:val="subscript"/>
                    </w:rPr>
                    <w:t>2</w:t>
                  </w:r>
                  <w:r w:rsidRPr="00D244F7">
                    <w:rPr>
                      <w:rFonts w:ascii="Times New Roman" w:eastAsia="Times New Roman" w:hAnsi="Times New Roman" w:cs="Times New Roman"/>
                      <w:sz w:val="24"/>
                      <w:szCs w:val="24"/>
                    </w:rPr>
                    <w:t>O</w:t>
                  </w:r>
                  <w:r w:rsidRPr="00D244F7">
                    <w:rPr>
                      <w:rFonts w:ascii="Times New Roman" w:eastAsia="Times New Roman" w:hAnsi="Times New Roman" w:cs="Times New Roman"/>
                      <w:sz w:val="24"/>
                      <w:szCs w:val="24"/>
                      <w:vertAlign w:val="subscript"/>
                    </w:rPr>
                    <w:t>3</w:t>
                  </w:r>
                  <w:r w:rsidRPr="00D244F7">
                    <w:rPr>
                      <w:rFonts w:ascii="Times New Roman" w:eastAsia="Times New Roman" w:hAnsi="Times New Roman" w:cs="Times New Roman"/>
                      <w:sz w:val="24"/>
                      <w:szCs w:val="24"/>
                    </w:rPr>
                    <w:t>, Fe</w:t>
                  </w:r>
                  <w:r w:rsidRPr="00D244F7">
                    <w:rPr>
                      <w:rFonts w:ascii="Times New Roman" w:eastAsia="Times New Roman" w:hAnsi="Times New Roman" w:cs="Times New Roman"/>
                      <w:sz w:val="24"/>
                      <w:szCs w:val="24"/>
                      <w:vertAlign w:val="subscript"/>
                    </w:rPr>
                    <w:t>2</w:t>
                  </w:r>
                  <w:r w:rsidRPr="00D244F7">
                    <w:rPr>
                      <w:rFonts w:ascii="Times New Roman" w:eastAsia="Times New Roman" w:hAnsi="Times New Roman" w:cs="Times New Roman"/>
                      <w:sz w:val="24"/>
                      <w:szCs w:val="24"/>
                    </w:rPr>
                    <w:t>O</w:t>
                  </w:r>
                  <w:r w:rsidRPr="00D244F7">
                    <w:rPr>
                      <w:rFonts w:ascii="Times New Roman" w:eastAsia="Times New Roman" w:hAnsi="Times New Roman" w:cs="Times New Roman"/>
                      <w:sz w:val="24"/>
                      <w:szCs w:val="24"/>
                      <w:vertAlign w:val="subscript"/>
                    </w:rPr>
                    <w:t>3</w:t>
                  </w:r>
                  <w:r w:rsidRPr="00D244F7">
                    <w:rPr>
                      <w:rFonts w:ascii="Times New Roman" w:eastAsia="Times New Roman" w:hAnsi="Times New Roman" w:cs="Times New Roman"/>
                      <w:sz w:val="24"/>
                      <w:szCs w:val="24"/>
                    </w:rPr>
                    <w:t> у випадку неповного розкислення металічних поверхонь в процесі нагріву.</w:t>
                  </w:r>
                </w:p>
                <w:p w14:paraId="6D2B898C" w14:textId="77777777" w:rsidR="00D244F7" w:rsidRPr="00D244F7" w:rsidRDefault="00D244F7" w:rsidP="00D24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4F7">
                    <w:rPr>
                      <w:rFonts w:ascii="Times New Roman" w:eastAsia="Times New Roman" w:hAnsi="Times New Roman" w:cs="Times New Roman"/>
                      <w:sz w:val="24"/>
                      <w:szCs w:val="24"/>
                    </w:rPr>
                    <w:t>7. На підставі визначених стадій, що можуть лімітувати інтенсивність легування, була розроблена перспективна методика коректування шихт, яка дозволяє послабити дифузійний супротив стадії дифузії Cr з матриці ферохрому до поверхневої фази, та попереджувати неповне розкислення металічних поверхонь в процесі нагріву. Вона полягає у введенні розкислювачів, наприклад феросілікохрому ФХС48 разом із безазотистим активатором – сіллю CrCl</w:t>
                  </w:r>
                  <w:r w:rsidRPr="00D244F7">
                    <w:rPr>
                      <w:rFonts w:ascii="Times New Roman" w:eastAsia="Times New Roman" w:hAnsi="Times New Roman" w:cs="Times New Roman"/>
                      <w:sz w:val="24"/>
                      <w:szCs w:val="24"/>
                      <w:vertAlign w:val="subscript"/>
                    </w:rPr>
                    <w:t>2</w:t>
                  </w:r>
                  <w:r w:rsidRPr="00D244F7">
                    <w:rPr>
                      <w:rFonts w:ascii="Times New Roman" w:eastAsia="Times New Roman" w:hAnsi="Times New Roman" w:cs="Times New Roman"/>
                      <w:sz w:val="24"/>
                      <w:szCs w:val="24"/>
                    </w:rPr>
                    <w:t>, під час активації шихти та коректувань у процесі циклічного використання.</w:t>
                  </w:r>
                </w:p>
                <w:p w14:paraId="3A48B75F" w14:textId="77777777" w:rsidR="00D244F7" w:rsidRPr="00D244F7" w:rsidRDefault="00D244F7" w:rsidP="00D24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4F7">
                    <w:rPr>
                      <w:rFonts w:ascii="Times New Roman" w:eastAsia="Times New Roman" w:hAnsi="Times New Roman" w:cs="Times New Roman"/>
                      <w:sz w:val="24"/>
                      <w:szCs w:val="24"/>
                    </w:rPr>
                    <w:t>8. Експериментальна перевірка довела адекватність запропонованого газово-рідинного механізму масопереносу і утворення шару розплаву хлоридів CrCl</w:t>
                  </w:r>
                  <w:r w:rsidRPr="00D244F7">
                    <w:rPr>
                      <w:rFonts w:ascii="Times New Roman" w:eastAsia="Times New Roman" w:hAnsi="Times New Roman" w:cs="Times New Roman"/>
                      <w:sz w:val="24"/>
                      <w:szCs w:val="24"/>
                      <w:vertAlign w:val="subscript"/>
                    </w:rPr>
                    <w:t>2</w:t>
                  </w:r>
                  <w:r w:rsidRPr="00D244F7">
                    <w:rPr>
                      <w:rFonts w:ascii="Times New Roman" w:eastAsia="Times New Roman" w:hAnsi="Times New Roman" w:cs="Times New Roman"/>
                      <w:sz w:val="24"/>
                      <w:szCs w:val="24"/>
                    </w:rPr>
                    <w:t>, FeCl</w:t>
                  </w:r>
                  <w:r w:rsidRPr="00D244F7">
                    <w:rPr>
                      <w:rFonts w:ascii="Times New Roman" w:eastAsia="Times New Roman" w:hAnsi="Times New Roman" w:cs="Times New Roman"/>
                      <w:sz w:val="24"/>
                      <w:szCs w:val="24"/>
                      <w:vertAlign w:val="subscript"/>
                    </w:rPr>
                    <w:t>2</w:t>
                  </w:r>
                  <w:r w:rsidRPr="00D244F7">
                    <w:rPr>
                      <w:rFonts w:ascii="Times New Roman" w:eastAsia="Times New Roman" w:hAnsi="Times New Roman" w:cs="Times New Roman"/>
                      <w:sz w:val="24"/>
                      <w:szCs w:val="24"/>
                    </w:rPr>
                    <w:t>, MnCl</w:t>
                  </w:r>
                  <w:r w:rsidRPr="00D244F7">
                    <w:rPr>
                      <w:rFonts w:ascii="Times New Roman" w:eastAsia="Times New Roman" w:hAnsi="Times New Roman" w:cs="Times New Roman"/>
                      <w:sz w:val="24"/>
                      <w:szCs w:val="24"/>
                      <w:vertAlign w:val="subscript"/>
                    </w:rPr>
                    <w:t>2</w:t>
                  </w:r>
                  <w:r w:rsidRPr="00D244F7">
                    <w:rPr>
                      <w:rFonts w:ascii="Times New Roman" w:eastAsia="Times New Roman" w:hAnsi="Times New Roman" w:cs="Times New Roman"/>
                      <w:sz w:val="24"/>
                      <w:szCs w:val="24"/>
                    </w:rPr>
                    <w:t> на поверхнях виробу, що легується, і легуючого компоненту який містить хром, в насичуючих сумішах, які активізують NH</w:t>
                  </w:r>
                  <w:r w:rsidRPr="00D244F7">
                    <w:rPr>
                      <w:rFonts w:ascii="Times New Roman" w:eastAsia="Times New Roman" w:hAnsi="Times New Roman" w:cs="Times New Roman"/>
                      <w:sz w:val="24"/>
                      <w:szCs w:val="24"/>
                      <w:vertAlign w:val="subscript"/>
                    </w:rPr>
                    <w:t>4</w:t>
                  </w:r>
                  <w:r w:rsidRPr="00D244F7">
                    <w:rPr>
                      <w:rFonts w:ascii="Times New Roman" w:eastAsia="Times New Roman" w:hAnsi="Times New Roman" w:cs="Times New Roman"/>
                      <w:sz w:val="24"/>
                      <w:szCs w:val="24"/>
                    </w:rPr>
                    <w:t>Cl. Експеримент також довів перевагу нової методики активації і коректування шихти – завдяки ній відтворюваність результатів легування в межах ±5 % відхилення зберігається до 55–60-го циклу використання шихти, у порівнянні з 10 циклами при використанні традиційної методики, тобто підвищується в 6 разів. Максимальний строк служби шихти підвищується з 25–30 до 100 і більше циклів.</w:t>
                  </w:r>
                </w:p>
                <w:p w14:paraId="12AF8690" w14:textId="77777777" w:rsidR="00D244F7" w:rsidRPr="00D244F7" w:rsidRDefault="00D244F7" w:rsidP="00D244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44F7">
                    <w:rPr>
                      <w:rFonts w:ascii="Times New Roman" w:eastAsia="Times New Roman" w:hAnsi="Times New Roman" w:cs="Times New Roman"/>
                      <w:sz w:val="24"/>
                      <w:szCs w:val="24"/>
                    </w:rPr>
                    <w:t>9. Промислові корозійні іспити партії робочих колес насосів НХ72/20, захищених за розробленою методикою, показали підвищення строку служби в 7 разів у порівнянні з незахищеними робочими колесами із нержавіючих сталей.</w:t>
                  </w:r>
                </w:p>
              </w:tc>
            </w:tr>
          </w:tbl>
          <w:p w14:paraId="4C878E48" w14:textId="77777777" w:rsidR="00D244F7" w:rsidRPr="00D244F7" w:rsidRDefault="00D244F7" w:rsidP="00D244F7">
            <w:pPr>
              <w:spacing w:after="0" w:line="240" w:lineRule="auto"/>
              <w:rPr>
                <w:rFonts w:ascii="Times New Roman" w:eastAsia="Times New Roman" w:hAnsi="Times New Roman" w:cs="Times New Roman"/>
                <w:sz w:val="24"/>
                <w:szCs w:val="24"/>
              </w:rPr>
            </w:pPr>
          </w:p>
        </w:tc>
      </w:tr>
    </w:tbl>
    <w:p w14:paraId="02BBA820" w14:textId="77777777" w:rsidR="00D244F7" w:rsidRPr="00D244F7" w:rsidRDefault="00D244F7" w:rsidP="00D244F7"/>
    <w:sectPr w:rsidR="00D244F7" w:rsidRPr="00D244F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FA4E7" w14:textId="77777777" w:rsidR="004F6C50" w:rsidRDefault="004F6C50">
      <w:pPr>
        <w:spacing w:after="0" w:line="240" w:lineRule="auto"/>
      </w:pPr>
      <w:r>
        <w:separator/>
      </w:r>
    </w:p>
  </w:endnote>
  <w:endnote w:type="continuationSeparator" w:id="0">
    <w:p w14:paraId="7FC36292" w14:textId="77777777" w:rsidR="004F6C50" w:rsidRDefault="004F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A2D1" w14:textId="77777777" w:rsidR="004F6C50" w:rsidRDefault="004F6C50">
      <w:pPr>
        <w:spacing w:after="0" w:line="240" w:lineRule="auto"/>
      </w:pPr>
      <w:r>
        <w:separator/>
      </w:r>
    </w:p>
  </w:footnote>
  <w:footnote w:type="continuationSeparator" w:id="0">
    <w:p w14:paraId="59A22EAA" w14:textId="77777777" w:rsidR="004F6C50" w:rsidRDefault="004F6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F6C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50"/>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88804</TotalTime>
  <Pages>3</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5710</cp:revision>
  <dcterms:created xsi:type="dcterms:W3CDTF">2024-06-20T08:51:00Z</dcterms:created>
  <dcterms:modified xsi:type="dcterms:W3CDTF">2024-12-07T09:49:00Z</dcterms:modified>
  <cp:category/>
</cp:coreProperties>
</file>