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6E1A" w14:textId="5ABE55E5" w:rsidR="00AB2F2F" w:rsidRPr="00441CAC" w:rsidRDefault="00441CAC" w:rsidP="00441CAC">
      <w:r>
        <w:rPr>
          <w:rFonts w:ascii="Verdana" w:hAnsi="Verdana"/>
          <w:b/>
          <w:bCs/>
          <w:color w:val="000000"/>
          <w:shd w:val="clear" w:color="auto" w:fill="FFFFFF"/>
        </w:rPr>
        <w:t>Ляхович Роман Мар'янович. Патогенетичне обґрунтування тривалої внутрішньошлункової оксигенації і метаболічної терапії в корекції гострого тетрахлорметанового гепатиту.- Дисертація канд. мед. наук: 14.03.04, Держ. вищ. навч. закл. "Терноп. держ. мед. ун-т ім. І. Я. Горбачевського". - Т., 2012.- 200 с. : рис., табл.</w:t>
      </w:r>
    </w:p>
    <w:sectPr w:rsidR="00AB2F2F" w:rsidRPr="00441CA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452F5" w14:textId="77777777" w:rsidR="004C5719" w:rsidRDefault="004C5719">
      <w:pPr>
        <w:spacing w:after="0" w:line="240" w:lineRule="auto"/>
      </w:pPr>
      <w:r>
        <w:separator/>
      </w:r>
    </w:p>
  </w:endnote>
  <w:endnote w:type="continuationSeparator" w:id="0">
    <w:p w14:paraId="3CE4BAA8" w14:textId="77777777" w:rsidR="004C5719" w:rsidRDefault="004C5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010AC" w14:textId="77777777" w:rsidR="004C5719" w:rsidRDefault="004C5719">
      <w:pPr>
        <w:spacing w:after="0" w:line="240" w:lineRule="auto"/>
      </w:pPr>
      <w:r>
        <w:separator/>
      </w:r>
    </w:p>
  </w:footnote>
  <w:footnote w:type="continuationSeparator" w:id="0">
    <w:p w14:paraId="75F827AD" w14:textId="77777777" w:rsidR="004C5719" w:rsidRDefault="004C5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C571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1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132003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6649</cp:revision>
  <dcterms:created xsi:type="dcterms:W3CDTF">2024-06-20T08:51:00Z</dcterms:created>
  <dcterms:modified xsi:type="dcterms:W3CDTF">2025-02-01T06:27:00Z</dcterms:modified>
  <cp:category/>
</cp:coreProperties>
</file>