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C31A" w14:textId="09178423" w:rsidR="00C32129" w:rsidRDefault="00FA0EE8" w:rsidP="00FA0EE8">
      <w:pPr>
        <w:rPr>
          <w:rFonts w:ascii="Verdana" w:hAnsi="Verdana"/>
          <w:b/>
          <w:bCs/>
          <w:color w:val="000000"/>
          <w:shd w:val="clear" w:color="auto" w:fill="FFFFFF"/>
        </w:rPr>
      </w:pPr>
      <w:r>
        <w:rPr>
          <w:rFonts w:ascii="Verdana" w:hAnsi="Verdana"/>
          <w:b/>
          <w:bCs/>
          <w:color w:val="000000"/>
          <w:shd w:val="clear" w:color="auto" w:fill="FFFFFF"/>
        </w:rPr>
        <w:t>Цуркан Володимир Георгійович. Оптимізація умов праці диспетчерів залізничного транспорту на основі гігієнічної оцінки за новою технологією управління процесом перевезень : Дис... канд. наук: 14.02.01 - 2008.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0EE8" w14:paraId="58B4DF85" w14:textId="77777777" w:rsidTr="00FA0E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EE8" w14:paraId="5CEAAADD" w14:textId="77777777">
              <w:trPr>
                <w:tblCellSpacing w:w="0" w:type="dxa"/>
              </w:trPr>
              <w:tc>
                <w:tcPr>
                  <w:tcW w:w="0" w:type="auto"/>
                  <w:vAlign w:val="center"/>
                  <w:hideMark/>
                </w:tcPr>
                <w:p w14:paraId="7AEC54F0" w14:textId="77777777" w:rsidR="00FA0EE8" w:rsidRDefault="00FA0EE8">
                  <w:pPr>
                    <w:pStyle w:val="aa"/>
                    <w:framePr w:hSpace="45" w:wrap="around" w:vAnchor="text" w:hAnchor="text" w:xAlign="right" w:yAlign="center"/>
                  </w:pPr>
                  <w:r>
                    <w:rPr>
                      <w:b/>
                      <w:bCs/>
                    </w:rPr>
                    <w:lastRenderedPageBreak/>
                    <w:t>Цуркан В.Г. Оптимізація умов праці диспетчерів залізничного транспорту на основі гігієнічної оцінки за новою технологією управління процесом перевезень. – Рукопис.</w:t>
                  </w:r>
                </w:p>
                <w:p w14:paraId="57837984" w14:textId="77777777" w:rsidR="00FA0EE8" w:rsidRDefault="00FA0EE8">
                  <w:pPr>
                    <w:pStyle w:val="aa"/>
                    <w:framePr w:hSpace="45" w:wrap="around" w:vAnchor="text" w:hAnchor="text" w:xAlign="right" w:yAlign="center"/>
                  </w:pPr>
                  <w:r>
                    <w:t>Дисертація на здобуття наукового ступеня кандидата медичних наук за спеціальністю 14.02.01 – гігієна та професійна патологія. – Державна установа "Інститут медицини праці АМН України", м. Київ, 2008.</w:t>
                  </w:r>
                </w:p>
                <w:p w14:paraId="69D9A061" w14:textId="77777777" w:rsidR="00FA0EE8" w:rsidRDefault="00FA0EE8">
                  <w:pPr>
                    <w:pStyle w:val="aa"/>
                    <w:framePr w:hSpace="45" w:wrap="around" w:vAnchor="text" w:hAnchor="text" w:xAlign="right" w:yAlign="center"/>
                  </w:pPr>
                  <w:r>
                    <w:t>Викладені результати гігієнічних досліджень умов праці і захворюваності диспетчерів, які керують рухом поїздів. На основі власних і літературних даних запропонована схема основних завдань по дослідженню проблеми гігієни праці і профпатології диспетчерів залізничного транспорту, які зайняті на нервово-емоційній роботі в умовах автоматизованої системи керування. Встановлено, що професійна діяльність диспетчерського персоналу здійснюється в умовах впливу фізичних, хімічних і психофізіологічних чинників виробничого середовища. Праця диспетчерів оцінена як дуже напружена. Показана необхідність виявленя початкових змін функціонального стану організму операторів, як засобу збереження стану здоров’я і працездатності. Матеріали досліджень дозволили розробити комплекс заходів, скерованих на попередження впливу факторів ризику напруженої праці. Апробовані рекомендації по оптимізації умов праці дали певний гігієнічний ефект, сприяючи зниженню загальної захворюваності і профілактиці розвитку обумовлених виробничо захворювань. Анкетне опитування підтвердило ефективність впроваджених заходів щодо нормалізації умов виробничої діяльності цієї професійної групи працівників. Розглянуті передумови розробки нової концепції керування професійним здоров’ям, яка базується на узагальненому уявленні про якість виробництва і на моніторингу здоров’я, оцінці ризику, здійсненні комплексу профілактичних заходів.</w:t>
                  </w:r>
                </w:p>
              </w:tc>
            </w:tr>
          </w:tbl>
          <w:p w14:paraId="31A9C344" w14:textId="77777777" w:rsidR="00FA0EE8" w:rsidRDefault="00FA0EE8"/>
        </w:tc>
      </w:tr>
      <w:tr w:rsidR="00FA0EE8" w14:paraId="68656CB5" w14:textId="77777777" w:rsidTr="00FA0E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EE8" w14:paraId="103955E3" w14:textId="77777777">
              <w:trPr>
                <w:tblCellSpacing w:w="0" w:type="dxa"/>
              </w:trPr>
              <w:tc>
                <w:tcPr>
                  <w:tcW w:w="0" w:type="auto"/>
                  <w:vAlign w:val="center"/>
                  <w:hideMark/>
                </w:tcPr>
                <w:p w14:paraId="2DEFC6A9" w14:textId="77777777" w:rsidR="00FA0EE8" w:rsidRDefault="00FA0EE8">
                  <w:pPr>
                    <w:pStyle w:val="aa"/>
                    <w:framePr w:hSpace="45" w:wrap="around" w:vAnchor="text" w:hAnchor="text" w:xAlign="right" w:yAlign="center"/>
                  </w:pPr>
                  <w:r>
                    <w:t>1. У дисертації вперше проведено комплексне гігієнічне дослідження умов праці на робочих місцях нової професійної групи диспетчерів ЄЦК, які працюють в умовах колективної операторської діяльності по керуванню рухом поїздів.</w:t>
                  </w:r>
                </w:p>
                <w:p w14:paraId="62A516F6" w14:textId="77777777" w:rsidR="00FA0EE8" w:rsidRDefault="00FA0EE8">
                  <w:pPr>
                    <w:pStyle w:val="aa"/>
                    <w:framePr w:hSpace="45" w:wrap="around" w:vAnchor="text" w:hAnchor="text" w:xAlign="right" w:yAlign="center"/>
                  </w:pPr>
                  <w:r>
                    <w:t>2. Праця диспетчерів при виробничий діяльності в умовах ЄЦК характеризується нервово-емоційним навантаженням, але на протязі зміни функціональний стан підтримується на незмінному рівні завдяки вибірковій мобілізації фізіологічних функцій. Почуття підвищеної напруженості і емоційного навантаження підтвердили 44% опитаних диспетчерів.</w:t>
                  </w:r>
                </w:p>
                <w:p w14:paraId="726EC5D6" w14:textId="77777777" w:rsidR="00FA0EE8" w:rsidRDefault="00FA0EE8">
                  <w:pPr>
                    <w:pStyle w:val="aa"/>
                    <w:framePr w:hSpace="45" w:wrap="around" w:vAnchor="text" w:hAnchor="text" w:xAlign="right" w:yAlign="center"/>
                  </w:pPr>
                  <w:r>
                    <w:t>3. Умови праці диспетчерів ЄЦК, при реалізованих гігієнічних заходах, характеризуються, як близькі до оптимальних за ГКП № 4137-86 та ГН 3.3.5.-3.3.8; 6.6.1-083-2001. Це підтверджено при анкетуванні диспетчерів (оцінюють свої умови праці як оптимальні 86,9% диспетчерів, задоволені своєю роботою 84% респондентів) та аналізом стану умов праці.</w:t>
                  </w:r>
                </w:p>
                <w:p w14:paraId="1EA8A738" w14:textId="77777777" w:rsidR="00FA0EE8" w:rsidRDefault="00FA0EE8">
                  <w:pPr>
                    <w:pStyle w:val="aa"/>
                    <w:framePr w:hSpace="45" w:wrap="around" w:vAnchor="text" w:hAnchor="text" w:xAlign="right" w:yAlign="center"/>
                  </w:pPr>
                  <w:r>
                    <w:t>4. Після впровадження комплексу заходів по поліпшенню умов праці, захворюваність серед диспетчерів ЄЦК (у порівнянні з початковим періодом його створення) знизилася в 1,49 рази за випадками і у 3,39 рази за днями непрацездатності, індекс здоров’я виріс у 1,23 рази, знижено рівень захворювань системи кровообігу, нервової системи та органів чуття, кістково-м'язової системи та сполучних тканин. Вичислені показники вікової захворюваності, у відповідності зі стандартом працівників залізниці, показали, що у групі диспетчерів ЄЦК вона також нижча, ніж у диспетчерів станцій, у 2,7 разу.</w:t>
                  </w:r>
                </w:p>
                <w:p w14:paraId="4723C837" w14:textId="77777777" w:rsidR="00FA0EE8" w:rsidRDefault="00FA0EE8">
                  <w:pPr>
                    <w:pStyle w:val="aa"/>
                    <w:framePr w:hSpace="45" w:wrap="around" w:vAnchor="text" w:hAnchor="text" w:xAlign="right" w:yAlign="center"/>
                  </w:pPr>
                  <w:r>
                    <w:lastRenderedPageBreak/>
                    <w:t>5. Результати досліджень використані при обґрунтуванні системи комплексних профілактичних заходів, що складається із рекомендацій по обладнанню робочих місць, загальних санітарно-гігієнічних вимог і заходів по підвищенню працездатності, при першочерговій увазі профілактиці емоційної напруженості та раціональному харчуванню, як засобу попередження розвитку захворювань шлунково-кишкового тракту, питома вага яких у диспетчерів ЄЦК збільшилася в 2,69 разу.</w:t>
                  </w:r>
                </w:p>
                <w:p w14:paraId="42C4BAA6" w14:textId="77777777" w:rsidR="00FA0EE8" w:rsidRDefault="00FA0EE8">
                  <w:pPr>
                    <w:pStyle w:val="aa"/>
                    <w:framePr w:hSpace="45" w:wrap="around" w:vAnchor="text" w:hAnchor="text" w:xAlign="right" w:yAlign="center"/>
                  </w:pPr>
                  <w:r>
                    <w:t>6. Розроблені організаційно-методичні засади гігієнічного забезпечення безпеки руху поїздів, при використанні ЄЦК, дозволяють здійснювати профілактичні заходи на трьох взаємопов’язаних рівнях: безпосередньо на виробництві – в ЄЦК і на станціях, в лінійних санепідстанціях при контролі дотримання гігієнічних вимог, при навчанні на факультеті післядипломної освіти та у Галузевому навчальному центрі з охорони праці Донецького інституту залізничного транспорту Української державної академії залізничного транспорту.</w:t>
                  </w:r>
                </w:p>
              </w:tc>
            </w:tr>
          </w:tbl>
          <w:p w14:paraId="02A0A84E" w14:textId="77777777" w:rsidR="00FA0EE8" w:rsidRDefault="00FA0EE8"/>
        </w:tc>
      </w:tr>
      <w:tr w:rsidR="00FA0EE8" w14:paraId="34E2B328" w14:textId="77777777" w:rsidTr="00FA0E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0EE8" w14:paraId="1258473B" w14:textId="77777777">
              <w:trPr>
                <w:tblCellSpacing w:w="0" w:type="dxa"/>
              </w:trPr>
              <w:tc>
                <w:tcPr>
                  <w:tcW w:w="0" w:type="auto"/>
                  <w:vAlign w:val="center"/>
                  <w:hideMark/>
                </w:tcPr>
                <w:p w14:paraId="16085AB0" w14:textId="77777777" w:rsidR="00FA0EE8" w:rsidRDefault="00FA0EE8">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Публікації автора:</w:t>
                  </w:r>
                </w:p>
                <w:p w14:paraId="598BD0E0" w14:textId="77777777" w:rsidR="00FA0EE8" w:rsidRDefault="00FA0EE8">
                  <w:pPr>
                    <w:pStyle w:val="aa"/>
                    <w:framePr w:hSpace="45" w:wrap="around" w:vAnchor="text" w:hAnchor="text" w:xAlign="right" w:yAlign="center"/>
                  </w:pPr>
                  <w:r>
                    <w:rPr>
                      <w:b/>
                      <w:bCs/>
                    </w:rPr>
                    <w:t>Наукові праці, опубліковані в фахових виданнях, рекомендованих ВАК України</w:t>
                  </w:r>
                </w:p>
                <w:p w14:paraId="63D91164" w14:textId="77777777" w:rsidR="00FA0EE8" w:rsidRDefault="00FA0EE8">
                  <w:pPr>
                    <w:pStyle w:val="aa"/>
                    <w:framePr w:hSpace="45" w:wrap="around" w:vAnchor="text" w:hAnchor="text" w:xAlign="right" w:yAlign="center"/>
                  </w:pPr>
                  <w:r>
                    <w:t>1. Дудник И.Н., Цуркан В.Г. Гигиенические аспекты труда поездных диспетчеров // Вестник гигиены и эпидемиологии. – 1999. – Приложение, Т.3, № 2. - С.43-44. </w:t>
                  </w:r>
                  <w:r>
                    <w:rPr>
                      <w:i/>
                      <w:iCs/>
                    </w:rPr>
                    <w:t>Диссертантом вивчені умови праці диспетчерів і узагальнені матеріали досліджень.</w:t>
                  </w:r>
                </w:p>
                <w:p w14:paraId="197D1860" w14:textId="77777777" w:rsidR="00FA0EE8" w:rsidRDefault="00FA0EE8">
                  <w:pPr>
                    <w:pStyle w:val="aa"/>
                    <w:framePr w:hSpace="45" w:wrap="around" w:vAnchor="text" w:hAnchor="text" w:xAlign="right" w:yAlign="center"/>
                  </w:pPr>
                  <w:r>
                    <w:t>2. Дудник И.Н., Цуркан В.Г., Псядло Э.М., Панасовская Л.С., Шаптала П.В., Шепотько С.Н., Малкин В.И. Физиолого-гигиеническая оценка напряженности труда диспетчерского персонала в условиях концентрации управления движением поездов // Вестник гигиены и эпидемиологии. - 2001. - Т.5, № 2. - С.180-184. </w:t>
                  </w:r>
                  <w:r>
                    <w:rPr>
                      <w:i/>
                      <w:iCs/>
                    </w:rPr>
                    <w:t>Дисертантом проведено обробку результатів вивчення напруженості праці диспетчерів, розроблені висновки.</w:t>
                  </w:r>
                </w:p>
                <w:p w14:paraId="6F1CD5B1" w14:textId="77777777" w:rsidR="00FA0EE8" w:rsidRDefault="00FA0EE8">
                  <w:pPr>
                    <w:pStyle w:val="aa"/>
                    <w:framePr w:hSpace="45" w:wrap="around" w:vAnchor="text" w:hAnchor="text" w:xAlign="right" w:yAlign="center"/>
                  </w:pPr>
                  <w:r>
                    <w:t>3. Уманський В.Я., Цуркан В.Г. Напрями вивчення і запобігання негативного впливу умов праці на стан здоров’я операторів залізничного транспорту при удосконаленні керування процесом перевезень (огляд) // Вестник гигиены и эпидемиологии. - 2003. - Т.7, № 1. - С.55-61. </w:t>
                  </w:r>
                  <w:r>
                    <w:rPr>
                      <w:i/>
                      <w:iCs/>
                    </w:rPr>
                    <w:t>Дисертантом проаналізовані і оброблені літературні дані, прийнята участь у розробці комплексу заходів профілактики несприятливого впливу виробничих факторів.</w:t>
                  </w:r>
                </w:p>
                <w:p w14:paraId="403ED7B2" w14:textId="77777777" w:rsidR="00FA0EE8" w:rsidRDefault="00FA0EE8">
                  <w:pPr>
                    <w:pStyle w:val="aa"/>
                    <w:framePr w:hSpace="45" w:wrap="around" w:vAnchor="text" w:hAnchor="text" w:xAlign="right" w:yAlign="center"/>
                  </w:pPr>
                  <w:r>
                    <w:t>4. Цуркан В.Г. Стан соматичного здоров’я як свідчення ефективності оптимізації умов праці диспетчерів, які керують рухом поїздів // Лікарська справа. Врачебное дело. – 2004. - №3-4. - С.103-107.</w:t>
                  </w:r>
                </w:p>
                <w:p w14:paraId="45E58CD3" w14:textId="77777777" w:rsidR="00FA0EE8" w:rsidRDefault="00FA0EE8">
                  <w:pPr>
                    <w:pStyle w:val="aa"/>
                    <w:framePr w:hSpace="45" w:wrap="around" w:vAnchor="text" w:hAnchor="text" w:xAlign="right" w:yAlign="center"/>
                  </w:pPr>
                  <w:r>
                    <w:t>5. Цуркан В.Г. Оптимізація умов праці диспетчерів на основі гігієнічної оцінки за новою технологією управління процесом перевезень // Вестник гигиены и эпидемиологии. – 2006. – Приложение, Т.10, № 1 - С.47-52.</w:t>
                  </w:r>
                </w:p>
              </w:tc>
            </w:tr>
          </w:tbl>
          <w:p w14:paraId="5FB16E56" w14:textId="77777777" w:rsidR="00FA0EE8" w:rsidRDefault="00FA0EE8"/>
        </w:tc>
      </w:tr>
    </w:tbl>
    <w:p w14:paraId="6634D5C7" w14:textId="77777777" w:rsidR="00FA0EE8" w:rsidRPr="00FA0EE8" w:rsidRDefault="00FA0EE8" w:rsidP="00FA0EE8"/>
    <w:sectPr w:rsidR="00FA0EE8" w:rsidRPr="00FA0E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3DFE" w14:textId="77777777" w:rsidR="006711E3" w:rsidRDefault="006711E3">
      <w:pPr>
        <w:spacing w:after="0" w:line="240" w:lineRule="auto"/>
      </w:pPr>
      <w:r>
        <w:separator/>
      </w:r>
    </w:p>
  </w:endnote>
  <w:endnote w:type="continuationSeparator" w:id="0">
    <w:p w14:paraId="727C5397" w14:textId="77777777" w:rsidR="006711E3" w:rsidRDefault="0067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3701" w14:textId="77777777" w:rsidR="006711E3" w:rsidRDefault="006711E3">
      <w:pPr>
        <w:spacing w:after="0" w:line="240" w:lineRule="auto"/>
      </w:pPr>
      <w:r>
        <w:separator/>
      </w:r>
    </w:p>
  </w:footnote>
  <w:footnote w:type="continuationSeparator" w:id="0">
    <w:p w14:paraId="16A39089" w14:textId="77777777" w:rsidR="006711E3" w:rsidRDefault="0067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11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9"/>
  </w:num>
  <w:num w:numId="28">
    <w:abstractNumId w:val="26"/>
  </w:num>
  <w:num w:numId="29">
    <w:abstractNumId w:val="28"/>
  </w:num>
  <w:num w:numId="30">
    <w:abstractNumId w:val="27"/>
  </w:num>
  <w:num w:numId="31">
    <w:abstractNumId w:val="31"/>
  </w:num>
  <w:num w:numId="32">
    <w:abstractNumId w:val="31"/>
    <w:lvlOverride w:ilvl="1">
      <w:startOverride w:val="3"/>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1E3"/>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118336</TotalTime>
  <Pages>3</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3713</cp:revision>
  <dcterms:created xsi:type="dcterms:W3CDTF">2024-06-20T08:51:00Z</dcterms:created>
  <dcterms:modified xsi:type="dcterms:W3CDTF">2025-01-14T18:47:00Z</dcterms:modified>
  <cp:category/>
</cp:coreProperties>
</file>