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88CD" w14:textId="697AC023" w:rsidR="00D74448" w:rsidRDefault="0009666C" w:rsidP="0009666C">
      <w:pPr>
        <w:rPr>
          <w:rFonts w:ascii="Verdana" w:hAnsi="Verdana"/>
          <w:b/>
          <w:bCs/>
          <w:color w:val="000000"/>
          <w:shd w:val="clear" w:color="auto" w:fill="FFFFFF"/>
        </w:rPr>
      </w:pPr>
      <w:r>
        <w:rPr>
          <w:rFonts w:ascii="Verdana" w:hAnsi="Verdana"/>
          <w:b/>
          <w:bCs/>
          <w:color w:val="000000"/>
          <w:shd w:val="clear" w:color="auto" w:fill="FFFFFF"/>
        </w:rPr>
        <w:t>Радченко Микола Юхимович. Регіональний механізм відновлення основних фондів міського електротранспорту : дис... канд. екон. наук: 08.10.01 / Харківська національна академія міського господарства.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666C" w:rsidRPr="0009666C" w14:paraId="6FAF1649" w14:textId="77777777" w:rsidTr="000966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66C" w:rsidRPr="0009666C" w14:paraId="69A0D5F5" w14:textId="77777777">
              <w:trPr>
                <w:tblCellSpacing w:w="0" w:type="dxa"/>
              </w:trPr>
              <w:tc>
                <w:tcPr>
                  <w:tcW w:w="0" w:type="auto"/>
                  <w:vAlign w:val="center"/>
                  <w:hideMark/>
                </w:tcPr>
                <w:p w14:paraId="08083C02" w14:textId="77777777" w:rsidR="0009666C" w:rsidRPr="0009666C" w:rsidRDefault="0009666C" w:rsidP="000966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b/>
                      <w:bCs/>
                      <w:sz w:val="24"/>
                      <w:szCs w:val="24"/>
                    </w:rPr>
                    <w:lastRenderedPageBreak/>
                    <w:t>Радченко М.Ю Регіональний механізм відновлення основних фондів міського електротранспорту. – Рукопис.</w:t>
                  </w:r>
                </w:p>
                <w:p w14:paraId="3EF2D6FE" w14:textId="77777777" w:rsidR="0009666C" w:rsidRPr="0009666C" w:rsidRDefault="0009666C" w:rsidP="000966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національна академія міського господарства, Харків, 2006.</w:t>
                  </w:r>
                </w:p>
                <w:p w14:paraId="052EA5F2" w14:textId="77777777" w:rsidR="0009666C" w:rsidRPr="0009666C" w:rsidRDefault="0009666C" w:rsidP="000966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Дисертація присвячена розробці теоретичних основ і методичних рекомендацій з удосконалення механізму відновлення основних фондів на підприємствах міського електротранспорту. У роботі узагальнено значення поняття “відновлення основних фондів”. Досліджено вплив умов підприємства на питомі капіталовкладення за допомогою економіко-математичних моделей. Запропоновані методичні підходи до удосконалення планування і ефективності використання капітальних вкладень, в основу яких покладено економіко – математичне моделювання і короткострокове прогнозування капітальних вкладень на відновлення основних фондів; оптимізація планів перевезень пасажирів по депо з цільовою функцією мінімізації капітальних вкладень; запропоновано лізингові операції як альтернатива фінансування капітальних вкладень на відновлення основних фондів.</w:t>
                  </w:r>
                </w:p>
              </w:tc>
            </w:tr>
          </w:tbl>
          <w:p w14:paraId="5A3CF5D0" w14:textId="77777777" w:rsidR="0009666C" w:rsidRPr="0009666C" w:rsidRDefault="0009666C" w:rsidP="0009666C">
            <w:pPr>
              <w:spacing w:after="0" w:line="240" w:lineRule="auto"/>
              <w:rPr>
                <w:rFonts w:ascii="Times New Roman" w:eastAsia="Times New Roman" w:hAnsi="Times New Roman" w:cs="Times New Roman"/>
                <w:sz w:val="24"/>
                <w:szCs w:val="24"/>
              </w:rPr>
            </w:pPr>
          </w:p>
        </w:tc>
      </w:tr>
      <w:tr w:rsidR="0009666C" w:rsidRPr="0009666C" w14:paraId="29DA95C6" w14:textId="77777777" w:rsidTr="000966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666C" w:rsidRPr="0009666C" w14:paraId="63EB10D9" w14:textId="77777777">
              <w:trPr>
                <w:tblCellSpacing w:w="0" w:type="dxa"/>
              </w:trPr>
              <w:tc>
                <w:tcPr>
                  <w:tcW w:w="0" w:type="auto"/>
                  <w:vAlign w:val="center"/>
                  <w:hideMark/>
                </w:tcPr>
                <w:p w14:paraId="2AF6D3AD" w14:textId="77777777" w:rsidR="0009666C" w:rsidRPr="0009666C" w:rsidRDefault="0009666C" w:rsidP="000966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 розробки теоретичних основ і методичних рекомендацій з удосконалення механізму відновлення основних фондів на підприємствах міського електротранспорту. Результати дослідження дозволяють сформулювати такі висновки й пропозиції:</w:t>
                  </w:r>
                </w:p>
                <w:p w14:paraId="5A234FB7"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Відновлення основних фондів пропонується розглядати як складний механізм, що включає інтегровану, органічно узгоджену цілісну систему відтворюваних відносин, економічних, організаційних та правових форм и методів господарювання, що найбільше відповідають параметрам зовнішнього і внутрішнього середовища підприємства та умовам його економічної діяльності. Новизна формулювання поняття “відновлення основних фондів” полягає в тому, що відновлення основних фондів розглядається як комплекс планованих заходів, спрямованих на відшкодування матеріально застарілих основних виробничих фондів на більш високому технічному рівні з досягненням відчутного соціально-економічного ефекту.</w:t>
                  </w:r>
                </w:p>
                <w:p w14:paraId="17B5FE58"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Проведений аналіз джерел формування інвестиційних ресурсів довів, що для реалізації інвестиційної ініціативи в умовах обмеження коштів бюджетів, недоступності довгострокових банківських кредитів підприємства міського електротранспорту мають розраховувати на власні джерела фінансування, що переважно складаються з прибутку та амортизаційного відшкодування.</w:t>
                  </w:r>
                </w:p>
                <w:p w14:paraId="3BEB27CC"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На основі статистичного аналізу функціонування підприємств міського електротранспорту визначено, що динаміка середніх значень коефіцієнтів зносу, вибуття та відновлення основних фондів на підприємствах міського електротранспорту Харківського регіону свідчить про погіршення якісних характеристик та показників руху основних фондів. По трамвайному господарству рівень зносу рухомого складу перевищує 70%.</w:t>
                  </w:r>
                </w:p>
                <w:p w14:paraId="47628EEE"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Планування відновлення основних фондів повинно бути безперервним і здійснюватися з урахуванням зовнішніх та внутрішніх умов функціонування підприємств, що постійно змінюються. Розглядаючи план як оформлене фінансове рішення, що підлягає виконанню, доведена необхідність взаємозв’язку прогнозування і планування фінансових ресурсів та їх використання у процесі управління підприємством міського електротранспорту.</w:t>
                  </w:r>
                </w:p>
                <w:p w14:paraId="2B1227CA"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lastRenderedPageBreak/>
                    <w:t>Запропоновано удосконалення системи планування фінансових потоків на відновлення основних фондів шляхом впровадження моделей короткострокового прогнозування. Використання моделей короткострокового прогнозування дозволяє підвищити ефективність планування процесу фінансування відновлення основних фондів та оцінити інвестиційну привабливість підприємства.</w:t>
                  </w:r>
                </w:p>
                <w:p w14:paraId="728D365D"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У зв’язку з мінливими умовами виробництва плани перевезень пасажирів коректуються без визначення оптимального варіанта. Передбачається оптимізувати план перевезень пасажирів в безваріантній постановці задачі на основі синтезу методів математичного прогнозування і математико-статистичних методів моделювання основних техніко-економічних показників роботи підприємств. При цьому зникає необхідність в перерозподілі трудових, фінансових та інших ресурсів, бо обмеженнями служать фактично досягнутий і плановий рівні перевезень пасажирів з урахуванням резервів виробничих потужностей.</w:t>
                  </w:r>
                </w:p>
                <w:p w14:paraId="2E6B80A7"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Доведено доцільність фінансування капітальних вкладень з використанням фінансового лізингу, як альтернативи традиційному банківському кредитуванню і використанню для придбання основних фондів власних фінансових ресурсів, що дає можливість отримати необхідні виробничі фонди без значних одноразових витрат, знизити ризик втрати фінансової стійкості, зберегти фінансову ліквідність, сприяючи вивільненню оборотного капіталу.</w:t>
                  </w:r>
                </w:p>
                <w:p w14:paraId="6D334BAD" w14:textId="77777777" w:rsidR="0009666C" w:rsidRPr="0009666C" w:rsidRDefault="0009666C" w:rsidP="0009666C">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9666C">
                    <w:rPr>
                      <w:rFonts w:ascii="Times New Roman" w:eastAsia="Times New Roman" w:hAnsi="Times New Roman" w:cs="Times New Roman"/>
                      <w:sz w:val="24"/>
                      <w:szCs w:val="24"/>
                    </w:rPr>
                    <w:t>Методичні розробки й результати виконаного дослідження можуть бути використані проектними й науково-дослідними галузевими інститутами, регіональними управліннями підприємств міського електротранспорту при розробці нормативів питомих капітальних вкладень для відновлення основних фондів підприємств і пошуку шляхів підвищення їх економічної ефективності за рахунок оптимізації рішень, що приймаються</w:t>
                  </w:r>
                </w:p>
              </w:tc>
            </w:tr>
          </w:tbl>
          <w:p w14:paraId="4BF24F57" w14:textId="77777777" w:rsidR="0009666C" w:rsidRPr="0009666C" w:rsidRDefault="0009666C" w:rsidP="0009666C">
            <w:pPr>
              <w:spacing w:after="0" w:line="240" w:lineRule="auto"/>
              <w:rPr>
                <w:rFonts w:ascii="Times New Roman" w:eastAsia="Times New Roman" w:hAnsi="Times New Roman" w:cs="Times New Roman"/>
                <w:sz w:val="24"/>
                <w:szCs w:val="24"/>
              </w:rPr>
            </w:pPr>
          </w:p>
        </w:tc>
      </w:tr>
    </w:tbl>
    <w:p w14:paraId="2529E0A6" w14:textId="77777777" w:rsidR="0009666C" w:rsidRPr="0009666C" w:rsidRDefault="0009666C" w:rsidP="0009666C"/>
    <w:sectPr w:rsidR="0009666C" w:rsidRPr="000966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572A" w14:textId="77777777" w:rsidR="001A3538" w:rsidRDefault="001A3538">
      <w:pPr>
        <w:spacing w:after="0" w:line="240" w:lineRule="auto"/>
      </w:pPr>
      <w:r>
        <w:separator/>
      </w:r>
    </w:p>
  </w:endnote>
  <w:endnote w:type="continuationSeparator" w:id="0">
    <w:p w14:paraId="72F1BDAB" w14:textId="77777777" w:rsidR="001A3538" w:rsidRDefault="001A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16D1" w14:textId="77777777" w:rsidR="001A3538" w:rsidRDefault="001A3538">
      <w:pPr>
        <w:spacing w:after="0" w:line="240" w:lineRule="auto"/>
      </w:pPr>
      <w:r>
        <w:separator/>
      </w:r>
    </w:p>
  </w:footnote>
  <w:footnote w:type="continuationSeparator" w:id="0">
    <w:p w14:paraId="1914C100" w14:textId="77777777" w:rsidR="001A3538" w:rsidRDefault="001A3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35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7"/>
  </w:num>
  <w:num w:numId="4">
    <w:abstractNumId w:val="26"/>
  </w:num>
  <w:num w:numId="5">
    <w:abstractNumId w:val="11"/>
  </w:num>
  <w:num w:numId="6">
    <w:abstractNumId w:val="17"/>
  </w:num>
  <w:num w:numId="7">
    <w:abstractNumId w:val="22"/>
  </w:num>
  <w:num w:numId="8">
    <w:abstractNumId w:val="4"/>
  </w:num>
  <w:num w:numId="9">
    <w:abstractNumId w:val="28"/>
  </w:num>
  <w:num w:numId="10">
    <w:abstractNumId w:val="27"/>
  </w:num>
  <w:num w:numId="11">
    <w:abstractNumId w:val="23"/>
  </w:num>
  <w:num w:numId="12">
    <w:abstractNumId w:val="24"/>
  </w:num>
  <w:num w:numId="13">
    <w:abstractNumId w:val="3"/>
  </w:num>
  <w:num w:numId="14">
    <w:abstractNumId w:val="9"/>
  </w:num>
  <w:num w:numId="15">
    <w:abstractNumId w:val="1"/>
  </w:num>
  <w:num w:numId="16">
    <w:abstractNumId w:val="19"/>
  </w:num>
  <w:num w:numId="17">
    <w:abstractNumId w:val="15"/>
  </w:num>
  <w:num w:numId="18">
    <w:abstractNumId w:val="12"/>
  </w:num>
  <w:num w:numId="19">
    <w:abstractNumId w:val="20"/>
  </w:num>
  <w:num w:numId="20">
    <w:abstractNumId w:val="10"/>
  </w:num>
  <w:num w:numId="21">
    <w:abstractNumId w:val="16"/>
  </w:num>
  <w:num w:numId="22">
    <w:abstractNumId w:val="5"/>
  </w:num>
  <w:num w:numId="23">
    <w:abstractNumId w:val="25"/>
  </w:num>
  <w:num w:numId="24">
    <w:abstractNumId w:val="6"/>
  </w:num>
  <w:num w:numId="25">
    <w:abstractNumId w:val="14"/>
  </w:num>
  <w:num w:numId="26">
    <w:abstractNumId w:val="2"/>
  </w:num>
  <w:num w:numId="27">
    <w:abstractNumId w:val="21"/>
  </w:num>
  <w:num w:numId="28">
    <w:abstractNumId w:val="13"/>
  </w:num>
  <w:num w:numId="29">
    <w:abstractNumId w:val="13"/>
    <w:lvlOverride w:ilvl="1">
      <w:startOverride w:val="5"/>
    </w:lvlOverride>
  </w:num>
  <w:num w:numId="30">
    <w:abstractNumId w:val="13"/>
    <w:lvlOverride w:ilvl="1"/>
    <w:lvlOverride w:ilvl="2">
      <w:startOverride w:val="5"/>
    </w:lvlOverride>
  </w:num>
  <w:num w:numId="31">
    <w:abstractNumId w:val="13"/>
    <w:lvlOverride w:ilvl="1"/>
    <w:lvlOverride w:ilvl="2"/>
    <w:lvlOverride w:ilvl="3">
      <w:startOverride w:val="5"/>
    </w:lvlOverride>
  </w:num>
  <w:num w:numId="32">
    <w:abstractNumId w:val="13"/>
    <w:lvlOverride w:ilvl="1"/>
    <w:lvlOverride w:ilvl="2"/>
    <w:lvlOverride w:ilvl="3"/>
    <w:lvlOverride w:ilvl="4">
      <w:startOverride w:val="5"/>
    </w:lvlOverride>
  </w:num>
  <w:num w:numId="33">
    <w:abstractNumId w:val="13"/>
    <w:lvlOverride w:ilvl="1"/>
    <w:lvlOverride w:ilvl="2"/>
    <w:lvlOverride w:ilvl="3"/>
    <w:lvlOverride w:ilvl="4"/>
    <w:lvlOverride w:ilvl="5">
      <w:startOverride w:val="5"/>
    </w:lvlOverride>
  </w:num>
  <w:num w:numId="3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538"/>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93751</TotalTime>
  <Pages>3</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4958</cp:revision>
  <dcterms:created xsi:type="dcterms:W3CDTF">2024-06-20T08:51:00Z</dcterms:created>
  <dcterms:modified xsi:type="dcterms:W3CDTF">2024-09-30T17:11:00Z</dcterms:modified>
  <cp:category/>
</cp:coreProperties>
</file>