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EFAFD" w14:textId="4C6EC0AD" w:rsidR="00A507A8" w:rsidRDefault="00A335E5" w:rsidP="00A335E5">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Арчегов Сослан Батразович. Академическая группа Государственного Совета (1906–1917 гг.): историко-правовое исследование</w:t>
      </w:r>
      <w:bookmarkEnd w:id="0"/>
      <w:r>
        <w:rPr>
          <w:rFonts w:ascii="Verdana" w:hAnsi="Verdana"/>
          <w:color w:val="000000"/>
          <w:sz w:val="18"/>
          <w:szCs w:val="18"/>
          <w:shd w:val="clear" w:color="auto" w:fill="FFFFFF"/>
        </w:rPr>
        <w:t>: диссертация ... кандидата Юридических наук: 12.00.01 / Арчегов Сослан Батразович;[Место защиты: Санкт-Петербургский государственный университет], 2016</w:t>
      </w:r>
    </w:p>
    <w:p w14:paraId="6F73C68D" w14:textId="77777777" w:rsidR="00A335E5" w:rsidRPr="00A335E5" w:rsidRDefault="00A335E5" w:rsidP="00A335E5">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A335E5">
        <w:rPr>
          <w:rFonts w:ascii="Verdana" w:eastAsia="Times New Roman" w:hAnsi="Verdana" w:cs="Times New Roman"/>
          <w:b/>
          <w:bCs/>
          <w:color w:val="AC370B"/>
          <w:kern w:val="0"/>
          <w:sz w:val="23"/>
          <w:szCs w:val="23"/>
          <w:lang w:eastAsia="ru-RU"/>
        </w:rPr>
        <w:t>Содержание к диссертации</w:t>
      </w:r>
    </w:p>
    <w:p w14:paraId="4794F0A1" w14:textId="77777777" w:rsidR="00A335E5" w:rsidRPr="00A335E5" w:rsidRDefault="00A335E5" w:rsidP="00A335E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335E5">
        <w:rPr>
          <w:rFonts w:ascii="Verdana" w:eastAsia="Times New Roman" w:hAnsi="Verdana" w:cs="Times New Roman"/>
          <w:color w:val="000000"/>
          <w:kern w:val="0"/>
          <w:sz w:val="18"/>
          <w:szCs w:val="18"/>
          <w:lang w:eastAsia="ru-RU"/>
        </w:rPr>
        <w:t>Введение</w:t>
      </w:r>
    </w:p>
    <w:p w14:paraId="37E02F6C" w14:textId="77777777" w:rsidR="00A335E5" w:rsidRPr="00A335E5" w:rsidRDefault="00A335E5" w:rsidP="00A335E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335E5">
        <w:rPr>
          <w:rFonts w:ascii="Verdana" w:eastAsia="Times New Roman" w:hAnsi="Verdana" w:cs="Times New Roman"/>
          <w:b/>
          <w:bCs/>
          <w:color w:val="000000"/>
          <w:kern w:val="0"/>
          <w:sz w:val="18"/>
          <w:szCs w:val="18"/>
          <w:lang w:eastAsia="ru-RU"/>
        </w:rPr>
        <w:t>ГЛАВА I. Формирование законодательства о академической группе государственного совета 19</w:t>
      </w:r>
    </w:p>
    <w:p w14:paraId="2E882165" w14:textId="77777777" w:rsidR="00A335E5" w:rsidRPr="00A335E5" w:rsidRDefault="00A335E5" w:rsidP="00A335E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335E5">
        <w:rPr>
          <w:rFonts w:ascii="Verdana" w:eastAsia="Times New Roman" w:hAnsi="Verdana" w:cs="Times New Roman"/>
          <w:color w:val="000000"/>
          <w:kern w:val="0"/>
          <w:sz w:val="18"/>
          <w:szCs w:val="18"/>
          <w:lang w:eastAsia="ru-RU"/>
        </w:rPr>
        <w:t>1.1 Идея корпоративного представительства ученых в Государственном Совете и ее законодательное оформление 19</w:t>
      </w:r>
    </w:p>
    <w:p w14:paraId="3775ED65" w14:textId="77777777" w:rsidR="00A335E5" w:rsidRPr="00A335E5" w:rsidRDefault="00A335E5" w:rsidP="00A335E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335E5">
        <w:rPr>
          <w:rFonts w:ascii="Verdana" w:eastAsia="Times New Roman" w:hAnsi="Verdana" w:cs="Times New Roman"/>
          <w:color w:val="000000"/>
          <w:kern w:val="0"/>
          <w:sz w:val="18"/>
          <w:szCs w:val="18"/>
          <w:lang w:eastAsia="ru-RU"/>
        </w:rPr>
        <w:t>1.2 Взаимодействие ученых с государственными органами Российской империи 34</w:t>
      </w:r>
    </w:p>
    <w:p w14:paraId="4220FD07" w14:textId="77777777" w:rsidR="00A335E5" w:rsidRPr="00A335E5" w:rsidRDefault="00A335E5" w:rsidP="00A335E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335E5">
        <w:rPr>
          <w:rFonts w:ascii="Verdana" w:eastAsia="Times New Roman" w:hAnsi="Verdana" w:cs="Times New Roman"/>
          <w:b/>
          <w:bCs/>
          <w:color w:val="000000"/>
          <w:kern w:val="0"/>
          <w:sz w:val="18"/>
          <w:szCs w:val="18"/>
          <w:lang w:eastAsia="ru-RU"/>
        </w:rPr>
        <w:t>ГЛАВА II. Правовой статус и состав академической группы 57</w:t>
      </w:r>
    </w:p>
    <w:p w14:paraId="0697DE5F" w14:textId="77777777" w:rsidR="00A335E5" w:rsidRPr="00A335E5" w:rsidRDefault="00A335E5" w:rsidP="00A335E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335E5">
        <w:rPr>
          <w:rFonts w:ascii="Verdana" w:eastAsia="Times New Roman" w:hAnsi="Verdana" w:cs="Times New Roman"/>
          <w:color w:val="000000"/>
          <w:kern w:val="0"/>
          <w:sz w:val="18"/>
          <w:szCs w:val="18"/>
          <w:lang w:eastAsia="ru-RU"/>
        </w:rPr>
        <w:t>2.1 Общая характеристика правового статуса Академической группы как выборных членов Государственного Совета 57</w:t>
      </w:r>
    </w:p>
    <w:p w14:paraId="0B3A9A69" w14:textId="77777777" w:rsidR="00A335E5" w:rsidRPr="00A335E5" w:rsidRDefault="00A335E5" w:rsidP="00A335E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335E5">
        <w:rPr>
          <w:rFonts w:ascii="Verdana" w:eastAsia="Times New Roman" w:hAnsi="Verdana" w:cs="Times New Roman"/>
          <w:color w:val="000000"/>
          <w:kern w:val="0"/>
          <w:sz w:val="18"/>
          <w:szCs w:val="18"/>
          <w:lang w:eastAsia="ru-RU"/>
        </w:rPr>
        <w:t>2.2 Особенности правового статуса Академической группы 79</w:t>
      </w:r>
    </w:p>
    <w:p w14:paraId="624274F3" w14:textId="77777777" w:rsidR="00A335E5" w:rsidRPr="00A335E5" w:rsidRDefault="00A335E5" w:rsidP="00A335E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335E5">
        <w:rPr>
          <w:rFonts w:ascii="Verdana" w:eastAsia="Times New Roman" w:hAnsi="Verdana" w:cs="Times New Roman"/>
          <w:color w:val="000000"/>
          <w:kern w:val="0"/>
          <w:sz w:val="18"/>
          <w:szCs w:val="18"/>
          <w:lang w:eastAsia="ru-RU"/>
        </w:rPr>
        <w:t>2.3 Выборы и состав Академической группы 103</w:t>
      </w:r>
    </w:p>
    <w:p w14:paraId="2A8D8112" w14:textId="77777777" w:rsidR="00A335E5" w:rsidRPr="00A335E5" w:rsidRDefault="00A335E5" w:rsidP="00A335E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335E5">
        <w:rPr>
          <w:rFonts w:ascii="Verdana" w:eastAsia="Times New Roman" w:hAnsi="Verdana" w:cs="Times New Roman"/>
          <w:b/>
          <w:bCs/>
          <w:color w:val="000000"/>
          <w:kern w:val="0"/>
          <w:sz w:val="18"/>
          <w:szCs w:val="18"/>
          <w:lang w:eastAsia="ru-RU"/>
        </w:rPr>
        <w:t>Глава III. Законотворческая деятельность академической группы в период I-XIII сессий государственного совета 128</w:t>
      </w:r>
    </w:p>
    <w:p w14:paraId="119D4D82" w14:textId="77777777" w:rsidR="00A335E5" w:rsidRPr="00A335E5" w:rsidRDefault="00A335E5" w:rsidP="00A335E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335E5">
        <w:rPr>
          <w:rFonts w:ascii="Verdana" w:eastAsia="Times New Roman" w:hAnsi="Verdana" w:cs="Times New Roman"/>
          <w:color w:val="000000"/>
          <w:kern w:val="0"/>
          <w:sz w:val="18"/>
          <w:szCs w:val="18"/>
          <w:lang w:eastAsia="ru-RU"/>
        </w:rPr>
        <w:t>3.1 Законотворческая деятельность в период I и II сессии Государственного Совета 128</w:t>
      </w:r>
    </w:p>
    <w:p w14:paraId="5AB33005" w14:textId="77777777" w:rsidR="00A335E5" w:rsidRPr="00A335E5" w:rsidRDefault="00A335E5" w:rsidP="00A335E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335E5">
        <w:rPr>
          <w:rFonts w:ascii="Verdana" w:eastAsia="Times New Roman" w:hAnsi="Verdana" w:cs="Times New Roman"/>
          <w:color w:val="000000"/>
          <w:kern w:val="0"/>
          <w:sz w:val="18"/>
          <w:szCs w:val="18"/>
          <w:lang w:eastAsia="ru-RU"/>
        </w:rPr>
        <w:t>3.2 Законотворческая деятельность в период III–VII сессий Государственного Совета 137</w:t>
      </w:r>
    </w:p>
    <w:p w14:paraId="274607B6" w14:textId="77777777" w:rsidR="00A335E5" w:rsidRPr="00A335E5" w:rsidRDefault="00A335E5" w:rsidP="00A335E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335E5">
        <w:rPr>
          <w:rFonts w:ascii="Verdana" w:eastAsia="Times New Roman" w:hAnsi="Verdana" w:cs="Times New Roman"/>
          <w:color w:val="000000"/>
          <w:kern w:val="0"/>
          <w:sz w:val="18"/>
          <w:szCs w:val="18"/>
          <w:lang w:eastAsia="ru-RU"/>
        </w:rPr>
        <w:t>3.3 Законотворческая деятельность в период VIII–XIII сессий Государственного Совета 154</w:t>
      </w:r>
    </w:p>
    <w:p w14:paraId="44A28711" w14:textId="77777777" w:rsidR="00A335E5" w:rsidRPr="00A335E5" w:rsidRDefault="00A335E5" w:rsidP="00A335E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335E5">
        <w:rPr>
          <w:rFonts w:ascii="Verdana" w:eastAsia="Times New Roman" w:hAnsi="Verdana" w:cs="Times New Roman"/>
          <w:color w:val="000000"/>
          <w:kern w:val="0"/>
          <w:sz w:val="18"/>
          <w:szCs w:val="18"/>
          <w:lang w:eastAsia="ru-RU"/>
        </w:rPr>
        <w:t>Заключение 180</w:t>
      </w:r>
    </w:p>
    <w:p w14:paraId="2A2468A0" w14:textId="77777777" w:rsidR="00A335E5" w:rsidRPr="00A335E5" w:rsidRDefault="00A335E5" w:rsidP="00A335E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335E5">
        <w:rPr>
          <w:rFonts w:ascii="Verdana" w:eastAsia="Times New Roman" w:hAnsi="Verdana" w:cs="Times New Roman"/>
          <w:color w:val="000000"/>
          <w:kern w:val="0"/>
          <w:sz w:val="18"/>
          <w:szCs w:val="18"/>
          <w:lang w:eastAsia="ru-RU"/>
        </w:rPr>
        <w:t>Источники и литература 184</w:t>
      </w:r>
    </w:p>
    <w:p w14:paraId="3C4AF3FC" w14:textId="77777777" w:rsidR="00A335E5" w:rsidRDefault="00A335E5" w:rsidP="00A335E5">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227ED182" w14:textId="77777777" w:rsidR="00A335E5" w:rsidRDefault="00A335E5" w:rsidP="00A335E5">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обусловлена тем, что в условиях реформирования правовой и государственной жизни нашего общества предметом особого внимания становится вопрос институционально-функционального содержания отечественных законодательных органов как существенной составляющей укрепления Российского государства и гармоничного развития эффективной, сбалансированной системы прав и свобод.</w:t>
      </w:r>
    </w:p>
    <w:p w14:paraId="76381C39"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Внимание к истории российского парламентаризма — насущная необходимость улучшения качества современного народного представительства. Тенденция пиетета со стороны отечественной мысли по отношению к дореволюционным государственно-правовым институтам определяет поиск оптимальной парадигмы законодательных и представительных органов.</w:t>
      </w:r>
    </w:p>
    <w:p w14:paraId="619FB928"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Изменения в государственном строе Российской империи начала ХХ в. вызывают немалый интерес. Существенно приблизиться к пониманию механизма так называемого монархического конституционализма той эпохи помогает исследование Государственного Совета как верхней палаты парламента, определения его места и роли в системе управления, а также анализ малочисленной, но самой сплоченной и, пожалуй, самой активной из всех групп, представленных в составе Государственного Совета 1906</w:t>
      </w:r>
      <w:r>
        <w:rPr>
          <w:rStyle w:val="af2"/>
          <w:rFonts w:ascii="Verdana" w:hAnsi="Verdana"/>
          <w:color w:val="000000"/>
          <w:sz w:val="18"/>
          <w:szCs w:val="18"/>
        </w:rPr>
        <w:t>–</w:t>
      </w:r>
      <w:r>
        <w:rPr>
          <w:rFonts w:ascii="Verdana" w:hAnsi="Verdana"/>
          <w:color w:val="000000"/>
          <w:sz w:val="18"/>
          <w:szCs w:val="18"/>
        </w:rPr>
        <w:t>1917 гг. — академической группы.</w:t>
      </w:r>
    </w:p>
    <w:p w14:paraId="478F1683"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темы исследования обусловлена также недостаточной изученностью более чем вековой деятельности Государственного Совета Российской империи как в отечественной, так и в зарубежной историко-правовой науке. Между тем, именно Государственный Совет как единственный законосовещательный орган при царе стал сердцевиной реформ государственного аппарата начала ХХ в.</w:t>
      </w:r>
    </w:p>
    <w:p w14:paraId="575F7768"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в настоящее время назрела необходимость уточнить правовой статус государственных академий наук, которые, функционируя в качестве самостоятельных юридических лиц, являются, тем не менее, носителями общегосударственных интересов.</w:t>
      </w:r>
      <w:r>
        <w:rPr>
          <w:rFonts w:ascii="Verdana" w:hAnsi="Verdana"/>
          <w:color w:val="000000"/>
          <w:sz w:val="18"/>
          <w:szCs w:val="18"/>
          <w:vertAlign w:val="superscript"/>
        </w:rPr>
        <w:t>1</w:t>
      </w:r>
    </w:p>
    <w:p w14:paraId="0474A621"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Все перечисленные обстоятельства позволяют говорить об актуальности темы диссертационной работы.</w:t>
      </w:r>
    </w:p>
    <w:p w14:paraId="0A15EF32" w14:textId="77777777" w:rsidR="00A335E5" w:rsidRDefault="00A335E5" w:rsidP="00A335E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разработанности темы.</w:t>
      </w:r>
      <w:r>
        <w:rPr>
          <w:rStyle w:val="apple-converted-space"/>
          <w:rFonts w:ascii="Verdana" w:hAnsi="Verdana"/>
          <w:color w:val="000000"/>
          <w:sz w:val="18"/>
          <w:szCs w:val="18"/>
        </w:rPr>
        <w:t> </w:t>
      </w:r>
      <w:r>
        <w:rPr>
          <w:rFonts w:ascii="Verdana" w:hAnsi="Verdana"/>
          <w:color w:val="000000"/>
          <w:sz w:val="18"/>
          <w:szCs w:val="18"/>
        </w:rPr>
        <w:t>Исследование проблемы образования и деятельности законодательной (представительной) власти в России в начале ХХ в. нашло разнообразное отражение в отечественной и зарубежной правовой, исторической, политологической и социальной науках. За столетие, прошедшее со времени учреждения Государственной Думы и реформы Государственного Совета, были опубликованы сотни работ, авторы которых рассмотрели различные аспекты их деятельности.</w:t>
      </w:r>
    </w:p>
    <w:p w14:paraId="06861547"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См.: Правовой статус Российской академии наук: с позиции конституционной</w:t>
      </w:r>
      <w:r>
        <w:rPr>
          <w:rFonts w:ascii="Verdana" w:hAnsi="Verdana"/>
          <w:color w:val="000000"/>
          <w:sz w:val="18"/>
          <w:szCs w:val="18"/>
        </w:rPr>
        <w:br/>
        <w:t>экономики. Материалы «круглого стола» на юридическом факультете МГУ</w:t>
      </w:r>
    </w:p>
    <w:p w14:paraId="60EAFC8A"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им. М.В. Ломоносова 16 февраля 2011 г. / отв. ред. Г.А. Гаджиев, А.К. Голиченков. М., 2011; Романовская О.В. Правовой статус государственных академий наук // Гражданин и право. 2009. № 10. С. 38–47.</w:t>
      </w:r>
    </w:p>
    <w:p w14:paraId="31E7195E"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В дореволюционной юридической науке следует выделить труды В.М. Гессена,</w:t>
      </w: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Д.Д. Гримма,</w:t>
      </w: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М.М. Ковалевского,</w:t>
      </w:r>
      <w:r>
        <w:rPr>
          <w:rFonts w:ascii="Verdana" w:hAnsi="Verdana"/>
          <w:color w:val="000000"/>
          <w:sz w:val="18"/>
          <w:szCs w:val="18"/>
          <w:vertAlign w:val="superscript"/>
        </w:rPr>
        <w:t>4</w:t>
      </w:r>
      <w:r>
        <w:rPr>
          <w:rStyle w:val="apple-converted-space"/>
          <w:rFonts w:ascii="Verdana" w:hAnsi="Verdana"/>
          <w:color w:val="000000"/>
          <w:sz w:val="18"/>
          <w:szCs w:val="18"/>
        </w:rPr>
        <w:t> </w:t>
      </w:r>
      <w:r>
        <w:rPr>
          <w:rFonts w:ascii="Verdana" w:hAnsi="Verdana"/>
          <w:color w:val="000000"/>
          <w:sz w:val="18"/>
          <w:szCs w:val="18"/>
        </w:rPr>
        <w:t>Н.И. Лазаревского</w:t>
      </w:r>
      <w:r>
        <w:rPr>
          <w:rFonts w:ascii="Verdana" w:hAnsi="Verdana"/>
          <w:color w:val="000000"/>
          <w:sz w:val="18"/>
          <w:szCs w:val="18"/>
          <w:vertAlign w:val="superscript"/>
        </w:rPr>
        <w:t>5</w:t>
      </w:r>
      <w:r>
        <w:rPr>
          <w:rStyle w:val="apple-converted-space"/>
          <w:rFonts w:ascii="Verdana" w:hAnsi="Verdana"/>
          <w:color w:val="000000"/>
          <w:sz w:val="18"/>
          <w:szCs w:val="18"/>
        </w:rPr>
        <w:t> </w:t>
      </w:r>
      <w:r>
        <w:rPr>
          <w:rFonts w:ascii="Verdana" w:hAnsi="Verdana"/>
          <w:color w:val="000000"/>
          <w:sz w:val="18"/>
          <w:szCs w:val="18"/>
        </w:rPr>
        <w:t>и др. Эти видные ученые значительное место в своих исследованиях уделили характеристике и анализу государственных реформ, а также правовому положению Государственного Совета как верхней палаты российского парламента. Их произведения по вопросам российского политического строя довольно часто публиковались в периодических изданиях того времени.</w:t>
      </w:r>
      <w:r>
        <w:rPr>
          <w:rFonts w:ascii="Verdana" w:hAnsi="Verdana"/>
          <w:color w:val="000000"/>
          <w:sz w:val="18"/>
          <w:szCs w:val="18"/>
          <w:vertAlign w:val="superscript"/>
        </w:rPr>
        <w:t>6</w:t>
      </w:r>
    </w:p>
    <w:p w14:paraId="09C4FFD2"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Подробному освещению жизни зарубежных университетов, в частности</w:t>
      </w:r>
      <w:r>
        <w:rPr>
          <w:rFonts w:ascii="Verdana" w:hAnsi="Verdana"/>
          <w:color w:val="000000"/>
          <w:sz w:val="18"/>
          <w:szCs w:val="18"/>
        </w:rPr>
        <w:br/>
        <w:t>английских, посвящены труды, принадлежащее перу П.Г. Мижуева, который</w:t>
      </w:r>
      <w:r>
        <w:rPr>
          <w:rFonts w:ascii="Verdana" w:hAnsi="Verdana"/>
          <w:color w:val="000000"/>
          <w:sz w:val="18"/>
          <w:szCs w:val="18"/>
        </w:rPr>
        <w:br/>
        <w:t>в своей работе «Оксфордский и Кембриджский университеты»</w:t>
      </w:r>
      <w:r>
        <w:rPr>
          <w:rFonts w:ascii="Verdana" w:hAnsi="Verdana"/>
          <w:color w:val="000000"/>
          <w:sz w:val="18"/>
          <w:szCs w:val="18"/>
          <w:vertAlign w:val="superscript"/>
        </w:rPr>
        <w:t>7</w:t>
      </w:r>
      <w:r>
        <w:rPr>
          <w:rStyle w:val="apple-converted-space"/>
          <w:rFonts w:ascii="Verdana" w:hAnsi="Verdana"/>
          <w:color w:val="000000"/>
          <w:sz w:val="18"/>
          <w:szCs w:val="18"/>
        </w:rPr>
        <w:t> </w:t>
      </w:r>
      <w:r>
        <w:rPr>
          <w:rFonts w:ascii="Verdana" w:hAnsi="Verdana"/>
          <w:color w:val="000000"/>
          <w:sz w:val="18"/>
          <w:szCs w:val="18"/>
        </w:rPr>
        <w:t>дает</w:t>
      </w:r>
    </w:p>
    <w:p w14:paraId="6596D881"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характеристику двум старейшим и наиболее влиятельным в академической и политической среде того времени университетам. Важным достижением в данной работе, на наш взгляд, является характеристика взаимосвязи профильной комиссии (по корректировке законодательства о правовом положении университетов) парламента и университетского руководства.</w:t>
      </w:r>
    </w:p>
    <w:p w14:paraId="66FCB610"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Примечательна также работа А.А. Башмакова, в которой дается</w:t>
      </w:r>
      <w:r>
        <w:rPr>
          <w:rFonts w:ascii="Verdana" w:hAnsi="Verdana"/>
          <w:color w:val="000000"/>
          <w:sz w:val="18"/>
          <w:szCs w:val="18"/>
        </w:rPr>
        <w:br/>
        <w:t>характеристика выборной системы. Раскрывая ее недостатки, автор считает</w:t>
      </w:r>
      <w:r>
        <w:rPr>
          <w:rFonts w:ascii="Verdana" w:hAnsi="Verdana"/>
          <w:color w:val="000000"/>
          <w:sz w:val="18"/>
          <w:szCs w:val="18"/>
        </w:rPr>
        <w:br/>
        <w:t>необходимым присутствие представителей науки в законодательном учреждении</w:t>
      </w:r>
      <w:r>
        <w:rPr>
          <w:rFonts w:ascii="Verdana" w:hAnsi="Verdana"/>
          <w:color w:val="000000"/>
          <w:sz w:val="18"/>
          <w:szCs w:val="18"/>
        </w:rPr>
        <w:br/>
        <w:t>страны.</w:t>
      </w:r>
      <w:r>
        <w:rPr>
          <w:rFonts w:ascii="Verdana" w:hAnsi="Verdana"/>
          <w:color w:val="000000"/>
          <w:sz w:val="18"/>
          <w:szCs w:val="18"/>
          <w:vertAlign w:val="superscript"/>
        </w:rPr>
        <w:t>8</w:t>
      </w:r>
      <w:r>
        <w:rPr>
          <w:rStyle w:val="apple-converted-space"/>
          <w:rFonts w:ascii="Verdana" w:hAnsi="Verdana"/>
          <w:color w:val="000000"/>
          <w:sz w:val="18"/>
          <w:szCs w:val="18"/>
        </w:rPr>
        <w:t> </w:t>
      </w:r>
      <w:r>
        <w:rPr>
          <w:rFonts w:ascii="Verdana" w:hAnsi="Verdana"/>
          <w:color w:val="000000"/>
          <w:sz w:val="18"/>
          <w:szCs w:val="18"/>
        </w:rPr>
        <w:t>Нельзя не отметить и работу выдающегося ученого, участника</w:t>
      </w:r>
      <w:r>
        <w:rPr>
          <w:rFonts w:ascii="Verdana" w:hAnsi="Verdana"/>
          <w:color w:val="000000"/>
          <w:sz w:val="18"/>
          <w:szCs w:val="18"/>
        </w:rPr>
        <w:br/>
        <w:t>государственных реформ начала ХХ в. Н.С. Таганцева,</w:t>
      </w:r>
      <w:r>
        <w:rPr>
          <w:rFonts w:ascii="Verdana" w:hAnsi="Verdana"/>
          <w:color w:val="000000"/>
          <w:sz w:val="18"/>
          <w:szCs w:val="18"/>
          <w:vertAlign w:val="superscript"/>
        </w:rPr>
        <w:t>9</w:t>
      </w:r>
      <w:r>
        <w:rPr>
          <w:rStyle w:val="apple-converted-space"/>
          <w:rFonts w:ascii="Verdana" w:hAnsi="Verdana"/>
          <w:color w:val="000000"/>
          <w:sz w:val="18"/>
          <w:szCs w:val="18"/>
        </w:rPr>
        <w:t> </w:t>
      </w:r>
      <w:r>
        <w:rPr>
          <w:rFonts w:ascii="Verdana" w:hAnsi="Verdana"/>
          <w:color w:val="000000"/>
          <w:sz w:val="18"/>
          <w:szCs w:val="18"/>
        </w:rPr>
        <w:t>который подробно</w:t>
      </w:r>
      <w:r>
        <w:rPr>
          <w:rFonts w:ascii="Verdana" w:hAnsi="Verdana"/>
          <w:color w:val="000000"/>
          <w:sz w:val="18"/>
          <w:szCs w:val="18"/>
        </w:rPr>
        <w:br/>
        <w:t>анализирует так называемые общественные проекты законодательных</w:t>
      </w:r>
    </w:p>
    <w:p w14:paraId="07E15E8E"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учреждений, поступившие из разных уголков Российской империи и обобщенные МВД. Общественные проекты содержали идею присутствия ученых в составе</w:t>
      </w:r>
    </w:p>
    <w:p w14:paraId="6BF51FC9"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Гессен В.М. Основы конституционного права. Петроград, 1917.</w:t>
      </w:r>
    </w:p>
    <w:p w14:paraId="35D156AF"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Гримм Д.Д. Представительство университетов в Государственном Совете. М., 1913.</w:t>
      </w:r>
    </w:p>
    <w:p w14:paraId="3AF74A5F"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4</w:t>
      </w:r>
      <w:r>
        <w:rPr>
          <w:rStyle w:val="apple-converted-space"/>
          <w:rFonts w:ascii="Verdana" w:hAnsi="Verdana"/>
          <w:color w:val="000000"/>
          <w:sz w:val="18"/>
          <w:szCs w:val="18"/>
        </w:rPr>
        <w:t> </w:t>
      </w:r>
      <w:r>
        <w:rPr>
          <w:rFonts w:ascii="Verdana" w:hAnsi="Verdana"/>
          <w:color w:val="000000"/>
          <w:sz w:val="18"/>
          <w:szCs w:val="18"/>
        </w:rPr>
        <w:t>Ковалевский М.М. 1) Действительная природа Государственной Думы: Доклад,</w:t>
      </w:r>
      <w:r>
        <w:rPr>
          <w:rFonts w:ascii="Verdana" w:hAnsi="Verdana"/>
          <w:color w:val="000000"/>
          <w:sz w:val="18"/>
          <w:szCs w:val="18"/>
        </w:rPr>
        <w:br/>
        <w:t>прочитанный в заседании Харьковского Юридического общества 11 сентября 1905 г. Харьков,</w:t>
      </w:r>
      <w:r>
        <w:rPr>
          <w:rFonts w:ascii="Verdana" w:hAnsi="Verdana"/>
          <w:color w:val="000000"/>
          <w:sz w:val="18"/>
          <w:szCs w:val="18"/>
        </w:rPr>
        <w:br/>
        <w:t>1905; 2) Общее конституционное право. Лекции, читанные в Санкт-Петербургском</w:t>
      </w:r>
      <w:r>
        <w:rPr>
          <w:rFonts w:ascii="Verdana" w:hAnsi="Verdana"/>
          <w:color w:val="000000"/>
          <w:sz w:val="18"/>
          <w:szCs w:val="18"/>
        </w:rPr>
        <w:br/>
        <w:t>университете и Политехникуме. 1907–1908. СПб., 1908.</w:t>
      </w:r>
    </w:p>
    <w:p w14:paraId="3BECED56"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5</w:t>
      </w:r>
      <w:r>
        <w:rPr>
          <w:rStyle w:val="apple-converted-space"/>
          <w:rFonts w:ascii="Verdana" w:hAnsi="Verdana"/>
          <w:color w:val="000000"/>
          <w:sz w:val="18"/>
          <w:szCs w:val="18"/>
        </w:rPr>
        <w:t> </w:t>
      </w:r>
      <w:r>
        <w:rPr>
          <w:rFonts w:ascii="Verdana" w:hAnsi="Verdana"/>
          <w:color w:val="000000"/>
          <w:sz w:val="18"/>
          <w:szCs w:val="18"/>
        </w:rPr>
        <w:t>Лазаревский Н.И</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Русское государственное право: Конституционное право. Изд. 3-е.</w:t>
      </w:r>
      <w:r>
        <w:rPr>
          <w:rFonts w:ascii="Verdana" w:hAnsi="Verdana"/>
          <w:color w:val="000000"/>
          <w:sz w:val="18"/>
          <w:szCs w:val="18"/>
        </w:rPr>
        <w:br/>
        <w:t>СПб., 1913. Т. 1.</w:t>
      </w:r>
    </w:p>
    <w:p w14:paraId="0B59D962"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6</w:t>
      </w:r>
      <w:r>
        <w:rPr>
          <w:rStyle w:val="apple-converted-space"/>
          <w:rFonts w:ascii="Verdana" w:hAnsi="Verdana"/>
          <w:color w:val="000000"/>
          <w:sz w:val="18"/>
          <w:szCs w:val="18"/>
        </w:rPr>
        <w:t> </w:t>
      </w:r>
      <w:r>
        <w:rPr>
          <w:rFonts w:ascii="Verdana" w:hAnsi="Verdana"/>
          <w:color w:val="000000"/>
          <w:sz w:val="18"/>
          <w:szCs w:val="18"/>
        </w:rPr>
        <w:t>См., например: Гессен В.М. О двухпалатной системе // Право. 1906. № 19. С. 1726–</w:t>
      </w:r>
      <w:r>
        <w:rPr>
          <w:rFonts w:ascii="Verdana" w:hAnsi="Verdana"/>
          <w:color w:val="000000"/>
          <w:sz w:val="18"/>
          <w:szCs w:val="18"/>
        </w:rPr>
        <w:br/>
        <w:t>1738; Гримм Д.Д. 1) Видимая законность и скрытое усмотрение. К конфликту Санкт</w:t>
      </w:r>
      <w:r>
        <w:rPr>
          <w:rFonts w:ascii="Verdana" w:hAnsi="Verdana"/>
          <w:color w:val="000000"/>
          <w:sz w:val="18"/>
          <w:szCs w:val="18"/>
        </w:rPr>
        <w:br/>
        <w:t>Петербургского университета с министром народного просвещения // Вестник Европы. 1913.</w:t>
      </w:r>
      <w:r>
        <w:rPr>
          <w:rFonts w:ascii="Verdana" w:hAnsi="Verdana"/>
          <w:color w:val="000000"/>
          <w:sz w:val="18"/>
          <w:szCs w:val="18"/>
        </w:rPr>
        <w:br/>
        <w:t>Кн. 2. С. 271–288; 2) К вопросу о временном устранении членов Государственной Думы и</w:t>
      </w:r>
      <w:r>
        <w:rPr>
          <w:rFonts w:ascii="Verdana" w:hAnsi="Verdana"/>
          <w:color w:val="000000"/>
          <w:sz w:val="18"/>
          <w:szCs w:val="18"/>
        </w:rPr>
        <w:br/>
        <w:t>Государственного Совета на основании ст. 21 учреждения Государственной Думы // Право.</w:t>
      </w:r>
      <w:r>
        <w:rPr>
          <w:rFonts w:ascii="Verdana" w:hAnsi="Verdana"/>
          <w:color w:val="000000"/>
          <w:sz w:val="18"/>
          <w:szCs w:val="18"/>
        </w:rPr>
        <w:br/>
        <w:t>1907. № 14. С. 1052–1058; 3) К вопросу о преемственности законодательных работ // Право.</w:t>
      </w:r>
      <w:r>
        <w:rPr>
          <w:rFonts w:ascii="Verdana" w:hAnsi="Verdana"/>
          <w:color w:val="000000"/>
          <w:sz w:val="18"/>
          <w:szCs w:val="18"/>
        </w:rPr>
        <w:br/>
        <w:t>1912. № 49–50. С. 2659–2667, 2733–2742; 4) Несколько замечаний по поводу отказа</w:t>
      </w:r>
      <w:r>
        <w:rPr>
          <w:rFonts w:ascii="Verdana" w:hAnsi="Verdana"/>
          <w:color w:val="000000"/>
          <w:sz w:val="18"/>
          <w:szCs w:val="18"/>
        </w:rPr>
        <w:br/>
        <w:t>правительствующего Сената в распубликовании Наказа Государственного Совета // Право.</w:t>
      </w:r>
      <w:r>
        <w:rPr>
          <w:rFonts w:ascii="Verdana" w:hAnsi="Verdana"/>
          <w:color w:val="000000"/>
          <w:sz w:val="18"/>
          <w:szCs w:val="18"/>
        </w:rPr>
        <w:br/>
        <w:t>1907. № 22. С. 1570–1583; Ковалевский М.М. Будет ли Дума законодательным или</w:t>
      </w:r>
      <w:r>
        <w:rPr>
          <w:rFonts w:ascii="Verdana" w:hAnsi="Verdana"/>
          <w:color w:val="000000"/>
          <w:sz w:val="18"/>
          <w:szCs w:val="18"/>
        </w:rPr>
        <w:br/>
        <w:t>совещательным органом // Политическая библиотека «Биржевых Ведомостей». Вып. 8. 2-е изд.</w:t>
      </w:r>
      <w:r>
        <w:rPr>
          <w:rFonts w:ascii="Verdana" w:hAnsi="Verdana"/>
          <w:color w:val="000000"/>
          <w:sz w:val="18"/>
          <w:szCs w:val="18"/>
        </w:rPr>
        <w:br/>
        <w:t>СПб., 1906.</w:t>
      </w:r>
    </w:p>
    <w:p w14:paraId="10F52F9D"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7</w:t>
      </w:r>
      <w:r>
        <w:rPr>
          <w:rStyle w:val="apple-converted-space"/>
          <w:rFonts w:ascii="Verdana" w:hAnsi="Verdana"/>
          <w:color w:val="000000"/>
          <w:sz w:val="18"/>
          <w:szCs w:val="18"/>
        </w:rPr>
        <w:t> </w:t>
      </w:r>
      <w:r>
        <w:rPr>
          <w:rFonts w:ascii="Verdana" w:hAnsi="Verdana"/>
          <w:color w:val="000000"/>
          <w:sz w:val="18"/>
          <w:szCs w:val="18"/>
        </w:rPr>
        <w:t>Мижуев П.Г. Оксфордский и Кембриджский университеты // Журнал Министерства</w:t>
      </w:r>
      <w:r>
        <w:rPr>
          <w:rFonts w:ascii="Verdana" w:hAnsi="Verdana"/>
          <w:color w:val="000000"/>
          <w:sz w:val="18"/>
          <w:szCs w:val="18"/>
        </w:rPr>
        <w:br/>
        <w:t>народного просвещения. СПб., 1912, 1913.</w:t>
      </w:r>
    </w:p>
    <w:p w14:paraId="2930578E"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8</w:t>
      </w:r>
      <w:r>
        <w:rPr>
          <w:rStyle w:val="apple-converted-space"/>
          <w:rFonts w:ascii="Verdana" w:hAnsi="Verdana"/>
          <w:color w:val="000000"/>
          <w:sz w:val="18"/>
          <w:szCs w:val="18"/>
        </w:rPr>
        <w:t> </w:t>
      </w:r>
      <w:r>
        <w:rPr>
          <w:rFonts w:ascii="Verdana" w:hAnsi="Verdana"/>
          <w:color w:val="000000"/>
          <w:sz w:val="18"/>
          <w:szCs w:val="18"/>
        </w:rPr>
        <w:t>Башмаков А.А. Органические недостатки нашей выборной системы. СПб., 1907. С. 10–</w:t>
      </w:r>
      <w:r>
        <w:rPr>
          <w:rFonts w:ascii="Verdana" w:hAnsi="Verdana"/>
          <w:color w:val="000000"/>
          <w:sz w:val="18"/>
          <w:szCs w:val="18"/>
        </w:rPr>
        <w:br/>
        <w:t>12.</w:t>
      </w:r>
    </w:p>
    <w:p w14:paraId="3E9B9AEF"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9</w:t>
      </w:r>
      <w:r>
        <w:rPr>
          <w:rStyle w:val="apple-converted-space"/>
          <w:rFonts w:ascii="Verdana" w:hAnsi="Verdana"/>
          <w:color w:val="000000"/>
          <w:sz w:val="18"/>
          <w:szCs w:val="18"/>
        </w:rPr>
        <w:t> </w:t>
      </w:r>
      <w:r>
        <w:rPr>
          <w:rFonts w:ascii="Verdana" w:hAnsi="Verdana"/>
          <w:color w:val="000000"/>
          <w:sz w:val="18"/>
          <w:szCs w:val="18"/>
        </w:rPr>
        <w:t>Таганцев Н.С. Голос России о преобразовании государственного строя // Пережитое.</w:t>
      </w:r>
      <w:r>
        <w:rPr>
          <w:rFonts w:ascii="Verdana" w:hAnsi="Verdana"/>
          <w:color w:val="000000"/>
          <w:sz w:val="18"/>
          <w:szCs w:val="18"/>
        </w:rPr>
        <w:br/>
        <w:t>Вып. 2. Пг., 1919. С. 81–120.</w:t>
      </w:r>
    </w:p>
    <w:p w14:paraId="72938D13"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законодательного органа.</w:t>
      </w:r>
    </w:p>
    <w:p w14:paraId="21981255"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Революция 1917 г. положила начало новому этапу в изучении истории представительной власти в России. В первую очередь обращают на себя внимание работы А.Д. Степанского, в которых исследовалось политическое оформление, состав и внутренне развитие Государственного Совета 1905</w:t>
      </w:r>
      <w:r>
        <w:rPr>
          <w:rStyle w:val="af2"/>
          <w:rFonts w:ascii="Verdana" w:hAnsi="Verdana"/>
          <w:color w:val="000000"/>
          <w:sz w:val="18"/>
          <w:szCs w:val="18"/>
        </w:rPr>
        <w:t>–</w:t>
      </w:r>
      <w:r>
        <w:rPr>
          <w:rFonts w:ascii="Verdana" w:hAnsi="Verdana"/>
          <w:color w:val="000000"/>
          <w:sz w:val="18"/>
          <w:szCs w:val="18"/>
        </w:rPr>
        <w:t>1907 гг. как часть процесса становления третьеиюньской монархии.</w:t>
      </w:r>
      <w:r>
        <w:rPr>
          <w:rFonts w:ascii="Verdana" w:hAnsi="Verdana"/>
          <w:color w:val="000000"/>
          <w:sz w:val="18"/>
          <w:szCs w:val="18"/>
          <w:vertAlign w:val="superscript"/>
        </w:rPr>
        <w:t>10</w:t>
      </w:r>
    </w:p>
    <w:p w14:paraId="6204073E"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На современном этапе работы А.П. Бородина,</w:t>
      </w:r>
      <w:r>
        <w:rPr>
          <w:rFonts w:ascii="Verdana" w:hAnsi="Verdana"/>
          <w:color w:val="000000"/>
          <w:sz w:val="18"/>
          <w:szCs w:val="18"/>
          <w:vertAlign w:val="superscript"/>
        </w:rPr>
        <w:t>11</w:t>
      </w:r>
      <w:r>
        <w:rPr>
          <w:rStyle w:val="apple-converted-space"/>
          <w:rFonts w:ascii="Verdana" w:hAnsi="Verdana"/>
          <w:color w:val="000000"/>
          <w:sz w:val="18"/>
          <w:szCs w:val="18"/>
        </w:rPr>
        <w:t> </w:t>
      </w:r>
      <w:r>
        <w:rPr>
          <w:rFonts w:ascii="Verdana" w:hAnsi="Verdana"/>
          <w:color w:val="000000"/>
          <w:sz w:val="18"/>
          <w:szCs w:val="18"/>
        </w:rPr>
        <w:t>Е.А. Юртаевой,</w:t>
      </w:r>
      <w:r>
        <w:rPr>
          <w:rFonts w:ascii="Verdana" w:hAnsi="Verdana"/>
          <w:color w:val="000000"/>
          <w:sz w:val="18"/>
          <w:szCs w:val="18"/>
          <w:vertAlign w:val="superscript"/>
        </w:rPr>
        <w:t>12</w:t>
      </w:r>
    </w:p>
    <w:p w14:paraId="4F96B07C"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В.А. Демина</w:t>
      </w:r>
      <w:r>
        <w:rPr>
          <w:rFonts w:ascii="Verdana" w:hAnsi="Verdana"/>
          <w:color w:val="000000"/>
          <w:sz w:val="18"/>
          <w:szCs w:val="18"/>
          <w:vertAlign w:val="superscript"/>
        </w:rPr>
        <w:t>13</w:t>
      </w:r>
      <w:r>
        <w:rPr>
          <w:rStyle w:val="apple-converted-space"/>
          <w:rFonts w:ascii="Verdana" w:hAnsi="Verdana"/>
          <w:color w:val="000000"/>
          <w:sz w:val="18"/>
          <w:szCs w:val="18"/>
        </w:rPr>
        <w:t> </w:t>
      </w:r>
      <w:r>
        <w:rPr>
          <w:rFonts w:ascii="Verdana" w:hAnsi="Verdana"/>
          <w:color w:val="000000"/>
          <w:sz w:val="18"/>
          <w:szCs w:val="18"/>
        </w:rPr>
        <w:t>посвящены организации и деятельности реформированного Государственного Совета на всем протяжении его существования и участия в нем представителей высших научно-учебных заведений страны.</w:t>
      </w:r>
    </w:p>
    <w:p w14:paraId="62FD7284"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несмотря на большое количество научных трудов, посвященных рассмотрению истории парламентаризма в дореволюционной России, нет комплексных монографических работ, раскрывающих правовой статус отдельных групп в составе Государственного Совета в историко-правовом аспекте. По-прежнему недооценивается либо игнорируется роль научной интеллигенции в развитии представительных учреждений разного образца в государственном механизме.</w:t>
      </w:r>
    </w:p>
    <w:p w14:paraId="301F1A41"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современной отечественной и, насколько можно судить, зарубежной</w:t>
      </w:r>
      <w:r>
        <w:rPr>
          <w:rFonts w:ascii="Verdana" w:hAnsi="Verdana"/>
          <w:color w:val="000000"/>
          <w:sz w:val="18"/>
          <w:szCs w:val="18"/>
        </w:rPr>
        <w:br/>
        <w:t>правовой науке проблематика верхней палаты парламента царской России</w:t>
      </w:r>
      <w:r>
        <w:rPr>
          <w:rFonts w:ascii="Verdana" w:hAnsi="Verdana"/>
          <w:color w:val="000000"/>
          <w:sz w:val="18"/>
          <w:szCs w:val="18"/>
        </w:rPr>
        <w:br/>
        <w:t>представляет узкий сегмент в массиве научных исследований: львиная доля работ</w:t>
      </w:r>
      <w:r>
        <w:rPr>
          <w:rFonts w:ascii="Verdana" w:hAnsi="Verdana"/>
          <w:color w:val="000000"/>
          <w:sz w:val="18"/>
          <w:szCs w:val="18"/>
        </w:rPr>
        <w:br/>
        <w:t>посвящена Государственной Думе. Очевидно, в контексте конституционно-</w:t>
      </w:r>
      <w:r>
        <w:rPr>
          <w:rFonts w:ascii="Verdana" w:hAnsi="Verdana"/>
          <w:color w:val="000000"/>
          <w:sz w:val="18"/>
          <w:szCs w:val="18"/>
        </w:rPr>
        <w:br/>
        <w:t>правовых преобразований в начале ХХ в. Государственный Совет остается в тени</w:t>
      </w:r>
      <w:r>
        <w:rPr>
          <w:rFonts w:ascii="Verdana" w:hAnsi="Verdana"/>
          <w:color w:val="000000"/>
          <w:sz w:val="18"/>
          <w:szCs w:val="18"/>
        </w:rPr>
        <w:br/>
        <w:t>Думы как более консервативный орган. В свою очередь подобная позиция</w:t>
      </w:r>
      <w:r>
        <w:rPr>
          <w:rFonts w:ascii="Verdana" w:hAnsi="Verdana"/>
          <w:color w:val="000000"/>
          <w:sz w:val="18"/>
          <w:szCs w:val="18"/>
        </w:rPr>
        <w:br/>
        <w:t>детерминировала преобладающее ныне мнение о малозначительности либо</w:t>
      </w:r>
      <w:r>
        <w:rPr>
          <w:rFonts w:ascii="Verdana" w:hAnsi="Verdana"/>
          <w:color w:val="000000"/>
          <w:sz w:val="18"/>
          <w:szCs w:val="18"/>
        </w:rPr>
        <w:br/>
        <w:t>неэффективности Совета в законотворчестве в целом. Проведенное</w:t>
      </w:r>
    </w:p>
    <w:p w14:paraId="343F0376"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диссертационное исследование опровергает справедливость подобных подходов и</w:t>
      </w:r>
      <w:r>
        <w:rPr>
          <w:rFonts w:ascii="Verdana" w:hAnsi="Verdana"/>
          <w:color w:val="000000"/>
          <w:sz w:val="18"/>
          <w:szCs w:val="18"/>
        </w:rPr>
        <w:br/>
        <w:t>восполняет существенные пробелы в истории как верхней законодательной</w:t>
      </w:r>
      <w:r>
        <w:rPr>
          <w:rFonts w:ascii="Verdana" w:hAnsi="Verdana"/>
          <w:color w:val="000000"/>
          <w:sz w:val="18"/>
          <w:szCs w:val="18"/>
        </w:rPr>
        <w:br/>
        <w:t>палаты, так и в целом академической жизни царской России</w:t>
      </w:r>
    </w:p>
    <w:p w14:paraId="70748328"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в межреволюционный период.</w:t>
      </w:r>
    </w:p>
    <w:p w14:paraId="40D885B3" w14:textId="77777777" w:rsidR="00A335E5" w:rsidRDefault="00A335E5" w:rsidP="00A335E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исследования</w:t>
      </w:r>
      <w:r>
        <w:rPr>
          <w:rStyle w:val="apple-converted-space"/>
          <w:rFonts w:ascii="Verdana" w:hAnsi="Verdana"/>
          <w:color w:val="000000"/>
          <w:sz w:val="18"/>
          <w:szCs w:val="18"/>
        </w:rPr>
        <w:t> </w:t>
      </w:r>
      <w:r>
        <w:rPr>
          <w:rFonts w:ascii="Verdana" w:hAnsi="Verdana"/>
          <w:color w:val="000000"/>
          <w:sz w:val="18"/>
          <w:szCs w:val="18"/>
        </w:rPr>
        <w:t>являются общественные отношения в сфере нормативного и организационного обеспечения государственной политики Российской империи в области законодательных представительных органов власти.</w:t>
      </w:r>
    </w:p>
    <w:p w14:paraId="4D8DFAB8" w14:textId="77777777" w:rsidR="00A335E5" w:rsidRDefault="00A335E5" w:rsidP="00A335E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в совокупности составили понятия и</w:t>
      </w:r>
    </w:p>
    <w:p w14:paraId="5AD844C0"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характеристики, образующие категориальный аппарат диссертации; объективные</w:t>
      </w:r>
    </w:p>
    <w:p w14:paraId="35D266C6"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10</w:t>
      </w:r>
      <w:r>
        <w:rPr>
          <w:rStyle w:val="apple-converted-space"/>
          <w:rFonts w:ascii="Verdana" w:hAnsi="Verdana"/>
          <w:color w:val="000000"/>
          <w:sz w:val="18"/>
          <w:szCs w:val="18"/>
        </w:rPr>
        <w:t> </w:t>
      </w:r>
      <w:r>
        <w:rPr>
          <w:rFonts w:ascii="Verdana" w:hAnsi="Verdana"/>
          <w:color w:val="000000"/>
          <w:sz w:val="18"/>
          <w:szCs w:val="18"/>
        </w:rPr>
        <w:t>Степанский А.Д. 1) Государственный Совет в период революции 1905–1907 гг. (Из</w:t>
      </w:r>
      <w:r>
        <w:rPr>
          <w:rFonts w:ascii="Verdana" w:hAnsi="Verdana"/>
          <w:color w:val="000000"/>
          <w:sz w:val="18"/>
          <w:szCs w:val="18"/>
        </w:rPr>
        <w:br/>
        <w:t>истории «второго шага по пути превращения в буржуазную монархию»): дис. …канд. истор.</w:t>
      </w:r>
      <w:r>
        <w:rPr>
          <w:rFonts w:ascii="Verdana" w:hAnsi="Verdana"/>
          <w:color w:val="000000"/>
          <w:sz w:val="18"/>
          <w:szCs w:val="18"/>
        </w:rPr>
        <w:br/>
        <w:t>наук. М., 1964; 2) Политические группировки в Государственном Совете в 1906–1907 гг. //</w:t>
      </w:r>
      <w:r>
        <w:rPr>
          <w:rFonts w:ascii="Verdana" w:hAnsi="Verdana"/>
          <w:color w:val="000000"/>
          <w:sz w:val="18"/>
          <w:szCs w:val="18"/>
        </w:rPr>
        <w:br/>
        <w:t>История СССР. 1965. № 4. С. 49–64; 3) Польская группа Государственного Совета в 1906–</w:t>
      </w:r>
      <w:r>
        <w:rPr>
          <w:rFonts w:ascii="Verdana" w:hAnsi="Verdana"/>
          <w:color w:val="000000"/>
          <w:sz w:val="18"/>
          <w:szCs w:val="18"/>
        </w:rPr>
        <w:br/>
        <w:t>1907 гг. // Исследования по истории польского общественного движения XIX — начала ХХ в.:</w:t>
      </w:r>
      <w:r>
        <w:rPr>
          <w:rFonts w:ascii="Verdana" w:hAnsi="Verdana"/>
          <w:color w:val="000000"/>
          <w:sz w:val="18"/>
          <w:szCs w:val="18"/>
        </w:rPr>
        <w:br/>
        <w:t>сборник статей. М., 1971. С. 362–372; 4) Реформа Государственного Совета в 1906 г. // Труды</w:t>
      </w:r>
      <w:r>
        <w:rPr>
          <w:rFonts w:ascii="Verdana" w:hAnsi="Verdana"/>
          <w:color w:val="000000"/>
          <w:sz w:val="18"/>
          <w:szCs w:val="18"/>
        </w:rPr>
        <w:br/>
        <w:t>Московского историко-архивного института. М., 1965. Т. 20. Вопросы архивоведения и истории</w:t>
      </w:r>
      <w:r>
        <w:rPr>
          <w:rFonts w:ascii="Verdana" w:hAnsi="Verdana"/>
          <w:color w:val="000000"/>
          <w:sz w:val="18"/>
          <w:szCs w:val="18"/>
        </w:rPr>
        <w:br/>
        <w:t>государственных учреждений СССР. С. 179–211.</w:t>
      </w:r>
    </w:p>
    <w:p w14:paraId="63BD786B"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11</w:t>
      </w:r>
      <w:r>
        <w:rPr>
          <w:rStyle w:val="apple-converted-space"/>
          <w:rFonts w:ascii="Verdana" w:hAnsi="Verdana"/>
          <w:color w:val="000000"/>
          <w:sz w:val="18"/>
          <w:szCs w:val="18"/>
        </w:rPr>
        <w:t> </w:t>
      </w:r>
      <w:r>
        <w:rPr>
          <w:rFonts w:ascii="Verdana" w:hAnsi="Verdana"/>
          <w:color w:val="000000"/>
          <w:sz w:val="18"/>
          <w:szCs w:val="18"/>
        </w:rPr>
        <w:t>Бородин А.П. Государственный Совет России (1906–1917). Киров, 1999.</w:t>
      </w:r>
    </w:p>
    <w:p w14:paraId="76C18D70"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12</w:t>
      </w:r>
      <w:r>
        <w:rPr>
          <w:rStyle w:val="apple-converted-space"/>
          <w:rFonts w:ascii="Verdana" w:hAnsi="Verdana"/>
          <w:color w:val="000000"/>
          <w:sz w:val="18"/>
          <w:szCs w:val="18"/>
        </w:rPr>
        <w:t> </w:t>
      </w:r>
      <w:r>
        <w:rPr>
          <w:rFonts w:ascii="Verdana" w:hAnsi="Verdana"/>
          <w:color w:val="000000"/>
          <w:sz w:val="18"/>
          <w:szCs w:val="18"/>
        </w:rPr>
        <w:t>Юртаева Е.А. Государственный Совет в России (1906–1917 гг.). М., 2001.</w:t>
      </w:r>
    </w:p>
    <w:p w14:paraId="7A5C0974"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13</w:t>
      </w:r>
      <w:r>
        <w:rPr>
          <w:rStyle w:val="apple-converted-space"/>
          <w:rFonts w:ascii="Verdana" w:hAnsi="Verdana"/>
          <w:color w:val="000000"/>
          <w:sz w:val="18"/>
          <w:szCs w:val="18"/>
        </w:rPr>
        <w:t> </w:t>
      </w:r>
      <w:r>
        <w:rPr>
          <w:rFonts w:ascii="Verdana" w:hAnsi="Verdana"/>
          <w:color w:val="000000"/>
          <w:sz w:val="18"/>
          <w:szCs w:val="18"/>
        </w:rPr>
        <w:t>Демин В.А. Верхняя палата Российской Империи, 1906–1917. М., 2006.</w:t>
      </w:r>
    </w:p>
    <w:p w14:paraId="37E3AC70"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предпосылки процесса парламентаризма в России; государственно-правовые принципы и нормативно-правовые основания функционирования академической группы в составе Государственного Совета в период 1906</w:t>
      </w:r>
      <w:r>
        <w:rPr>
          <w:rStyle w:val="af2"/>
          <w:rFonts w:ascii="Verdana" w:hAnsi="Verdana"/>
          <w:color w:val="000000"/>
          <w:sz w:val="18"/>
          <w:szCs w:val="18"/>
        </w:rPr>
        <w:t>–</w:t>
      </w:r>
      <w:r>
        <w:rPr>
          <w:rFonts w:ascii="Verdana" w:hAnsi="Verdana"/>
          <w:color w:val="000000"/>
          <w:sz w:val="18"/>
          <w:szCs w:val="18"/>
        </w:rPr>
        <w:t>1917 гг.</w:t>
      </w:r>
    </w:p>
    <w:p w14:paraId="345B23EC" w14:textId="77777777" w:rsidR="00A335E5" w:rsidRDefault="00A335E5" w:rsidP="00A335E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Хронологические</w:t>
      </w:r>
      <w:r>
        <w:rPr>
          <w:rStyle w:val="apple-converted-space"/>
          <w:rFonts w:ascii="Verdana" w:hAnsi="Verdana"/>
          <w:color w:val="000000"/>
          <w:sz w:val="18"/>
          <w:szCs w:val="18"/>
        </w:rPr>
        <w:t> </w:t>
      </w:r>
      <w:r>
        <w:rPr>
          <w:rStyle w:val="af2"/>
          <w:rFonts w:ascii="Verdana" w:hAnsi="Verdana"/>
          <w:color w:val="000000"/>
          <w:sz w:val="18"/>
          <w:szCs w:val="18"/>
        </w:rPr>
        <w:t>рамки</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охватывают временной</w:t>
      </w:r>
    </w:p>
    <w:p w14:paraId="277DE968"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промежуток с 1906 по февраль 1917 г. Период конституционной эволюции</w:t>
      </w:r>
      <w:r>
        <w:rPr>
          <w:rFonts w:ascii="Verdana" w:hAnsi="Verdana"/>
          <w:color w:val="000000"/>
          <w:sz w:val="18"/>
          <w:szCs w:val="18"/>
        </w:rPr>
        <w:br/>
        <w:t>самодержавия, неотъемлемой чертой которого являлось введение парламентского</w:t>
      </w:r>
      <w:r>
        <w:rPr>
          <w:rFonts w:ascii="Verdana" w:hAnsi="Verdana"/>
          <w:color w:val="000000"/>
          <w:sz w:val="18"/>
          <w:szCs w:val="18"/>
        </w:rPr>
        <w:br/>
        <w:t>правления, сыграл особую роль в развитии отношений научно-</w:t>
      </w:r>
    </w:p>
    <w:p w14:paraId="246FF800"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преподавательского сообщества и государства в целом. Несмотря на все разногласия между либеральной интеллигенцией и государственной властью это время ознаменовалось максимальным доверием самодержавия к депутатам от научно-вузовского сообщества. В ряде случаев для реализации задач исследования хронологические рамки несколько расширяются, затрагивая другие периоды отечественного парламентаризма.</w:t>
      </w:r>
    </w:p>
    <w:p w14:paraId="7689DAD5" w14:textId="77777777" w:rsidR="00A335E5" w:rsidRDefault="00A335E5" w:rsidP="00A335E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состоит в осуществлении комплексного историко-правового анализа академической группы в составе Государственного Совета с последующим конструированием оптимальной модели законодательных и представительных органов, адаптированной к современной отечественной конституционно-правовой традиции.</w:t>
      </w:r>
    </w:p>
    <w:p w14:paraId="219D1E7C"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Достижение поставленной цели потребовало решения следующих исследовательских</w:t>
      </w:r>
      <w:r>
        <w:rPr>
          <w:rStyle w:val="apple-converted-space"/>
          <w:rFonts w:ascii="Verdana" w:hAnsi="Verdana"/>
          <w:color w:val="000000"/>
          <w:sz w:val="18"/>
          <w:szCs w:val="18"/>
        </w:rPr>
        <w:t> </w:t>
      </w:r>
      <w:r>
        <w:rPr>
          <w:rStyle w:val="af2"/>
          <w:rFonts w:ascii="Verdana" w:hAnsi="Verdana"/>
          <w:color w:val="000000"/>
          <w:sz w:val="18"/>
          <w:szCs w:val="18"/>
        </w:rPr>
        <w:t>задач:</w:t>
      </w:r>
    </w:p>
    <w:p w14:paraId="23A72D53"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систематизировать и конкретизировать категориальный аппарат исследования;</w:t>
      </w:r>
    </w:p>
    <w:p w14:paraId="5F829E6B"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охарактеризовать геополитические, социально-экономические и правовые факторы образования и развития конституционной монархии в России в 1906</w:t>
      </w:r>
      <w:r>
        <w:rPr>
          <w:rStyle w:val="af2"/>
          <w:rFonts w:ascii="Verdana" w:hAnsi="Verdana"/>
          <w:color w:val="000000"/>
          <w:sz w:val="18"/>
          <w:szCs w:val="18"/>
        </w:rPr>
        <w:t>–</w:t>
      </w:r>
      <w:r>
        <w:rPr>
          <w:rFonts w:ascii="Verdana" w:hAnsi="Verdana"/>
          <w:color w:val="000000"/>
          <w:sz w:val="18"/>
          <w:szCs w:val="18"/>
        </w:rPr>
        <w:t>1917 гг.;</w:t>
      </w:r>
    </w:p>
    <w:p w14:paraId="310463D6"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политические предпосылки образования корпоративного академического представительства в составе Государственного Совета в начале XX в.;</w:t>
      </w:r>
    </w:p>
    <w:p w14:paraId="1076D0FA"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раскрыть правовой статус академической группы в составе Государственного Совета, уточнить преемственность традиций и новые положения данного института;</w:t>
      </w:r>
    </w:p>
    <w:p w14:paraId="393BBE31"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представить законотворческую работу академической группы в составе Государственного Совета, объединяемой корпоративно-избирательным принципом, а также характер взаимоотношений с другими группами верхней палаты парламента;</w:t>
      </w:r>
    </w:p>
    <w:p w14:paraId="43FC408E"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разработать рекомендации, направленные на оптимизацию законодательной власти, отвечающей потребностям формирования демократической правовой государственности и развитого гражданского общества в современной России.</w:t>
      </w:r>
    </w:p>
    <w:p w14:paraId="3F4570DC" w14:textId="77777777" w:rsidR="00A335E5" w:rsidRDefault="00A335E5" w:rsidP="00A335E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составили принципы познания</w:t>
      </w:r>
      <w:r>
        <w:rPr>
          <w:rFonts w:ascii="Verdana" w:hAnsi="Verdana"/>
          <w:color w:val="000000"/>
          <w:sz w:val="18"/>
          <w:szCs w:val="18"/>
        </w:rPr>
        <w:br/>
        <w:t>социальных явлений в их историческом развитии, взаимосвязи и</w:t>
      </w:r>
    </w:p>
    <w:p w14:paraId="660789A0"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взаимообусловленности с учетом их общецивилизационных и национальных особенностей.</w:t>
      </w:r>
    </w:p>
    <w:p w14:paraId="4A37B9EF"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Изучение процесса становления парламентаризма в Российской империи требует применения диалектического метода, благодаря которому можно выявить</w:t>
      </w:r>
    </w:p>
    <w:p w14:paraId="56E4D47F"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то новое, что возникло в ходе взаимодействия различных политико-правовых систем (монархического и конституционно-монархического).</w:t>
      </w:r>
    </w:p>
    <w:p w14:paraId="23B901B4"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Комплексный методологический подход к рассматриваемым проблемам потребовал применения принципов единства исторического и логического, абстрактного и конкретного, общего и особенного. В частности, исследование вопросов, связанных с воплощением идеи корпоративного представительства ученых в Государственном Совете, предполагает использование комплексного подхода, сочетающего приемы формально-юридического и сравнительно-правового анализа. Этим обусловлена необходимость использования методов реконструкции идей и теорий, нормативно-правового моделирования, системного и структурно-функционального анализа, статистического метода и др.</w:t>
      </w:r>
    </w:p>
    <w:p w14:paraId="0B8309A5" w14:textId="77777777" w:rsidR="00A335E5" w:rsidRDefault="00A335E5" w:rsidP="00A335E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основа диссертации.</w:t>
      </w:r>
      <w:r>
        <w:rPr>
          <w:rStyle w:val="apple-converted-space"/>
          <w:rFonts w:ascii="Verdana" w:hAnsi="Verdana"/>
          <w:color w:val="000000"/>
          <w:sz w:val="18"/>
          <w:szCs w:val="18"/>
        </w:rPr>
        <w:t> </w:t>
      </w:r>
      <w:r>
        <w:rPr>
          <w:rFonts w:ascii="Verdana" w:hAnsi="Verdana"/>
          <w:color w:val="000000"/>
          <w:sz w:val="18"/>
          <w:szCs w:val="18"/>
        </w:rPr>
        <w:t>Многокомпонентность обозначенного в работе предмета исследования требует применения комплексного подхода и использования данных нескольких научных дисциплин: юриспруденции, философии, истории, политологии, социологии, экономики, культурологии и т. п.</w:t>
      </w:r>
    </w:p>
    <w:p w14:paraId="3D15BBB5"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более полного и глубокого освещения национальной специфики</w:t>
      </w:r>
      <w:r>
        <w:rPr>
          <w:rFonts w:ascii="Verdana" w:hAnsi="Verdana"/>
          <w:color w:val="000000"/>
          <w:sz w:val="18"/>
          <w:szCs w:val="18"/>
        </w:rPr>
        <w:br/>
        <w:t>деятельности академической группы Государственного Совета</w:t>
      </w:r>
    </w:p>
    <w:p w14:paraId="05CEF483"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рассматриваемый период были изучены и проанализированы труды таких</w:t>
      </w:r>
      <w:r>
        <w:rPr>
          <w:rFonts w:ascii="Verdana" w:hAnsi="Verdana"/>
          <w:color w:val="000000"/>
          <w:sz w:val="18"/>
          <w:szCs w:val="18"/>
        </w:rPr>
        <w:br/>
        <w:t>видных ученых и государственных деятелей, как: С.А. Авакьян, А.С. Алексеев,</w:t>
      </w:r>
      <w:r>
        <w:rPr>
          <w:rFonts w:ascii="Verdana" w:hAnsi="Verdana"/>
          <w:color w:val="000000"/>
          <w:sz w:val="18"/>
          <w:szCs w:val="18"/>
        </w:rPr>
        <w:br/>
        <w:t>Д.И. Багалей, С.Е. Байкеева, А.П. Бородин, В.И. Вернадский, П.В. Верховский,</w:t>
      </w:r>
      <w:r>
        <w:rPr>
          <w:rFonts w:ascii="Verdana" w:hAnsi="Verdana"/>
          <w:color w:val="000000"/>
          <w:sz w:val="18"/>
          <w:szCs w:val="18"/>
        </w:rPr>
        <w:br/>
        <w:t>А.А. Вишневский, С.Ю. Витте, В.В. Водовозов, С.В. Волкова, Р.Ш. Ганелин,</w:t>
      </w:r>
      <w:r>
        <w:rPr>
          <w:rFonts w:ascii="Verdana" w:hAnsi="Verdana"/>
          <w:color w:val="000000"/>
          <w:sz w:val="18"/>
          <w:szCs w:val="18"/>
        </w:rPr>
        <w:br/>
        <w:t>В.М. Гессен, М.А. Горановский, М.И. Горемыкин, А.Д. Градовский,</w:t>
      </w:r>
    </w:p>
    <w:p w14:paraId="6F86EC53"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И.В. Гранкин, В.В. Грибовский, Д.Д. Гримм, Г.Ш. Гурвич, С.Е. Десницкий,</w:t>
      </w:r>
      <w:r>
        <w:rPr>
          <w:rFonts w:ascii="Verdana" w:hAnsi="Verdana"/>
          <w:color w:val="000000"/>
          <w:sz w:val="18"/>
          <w:szCs w:val="18"/>
        </w:rPr>
        <w:br/>
        <w:t>В.А. Демин, А.А. Дорская, Н.П. Дружинин, Г.А. Евреинов, А.И. Елистратов,</w:t>
      </w:r>
      <w:r>
        <w:rPr>
          <w:rFonts w:ascii="Verdana" w:hAnsi="Verdana"/>
          <w:color w:val="000000"/>
          <w:sz w:val="18"/>
          <w:szCs w:val="18"/>
        </w:rPr>
        <w:br/>
        <w:t>Н.П. Ерошкин, Н.П. Загоскин, А.Е. Иванов, В.В. Ивановский, А.В. Ильин,</w:t>
      </w:r>
      <w:r>
        <w:rPr>
          <w:rFonts w:ascii="Verdana" w:hAnsi="Verdana"/>
          <w:color w:val="000000"/>
          <w:sz w:val="18"/>
          <w:szCs w:val="18"/>
        </w:rPr>
        <w:br/>
        <w:t>М.А. Капустина, А.А. Кизеветтер, Б.А. Кистяковского, М.М. Ковалевский,</w:t>
      </w:r>
    </w:p>
    <w:p w14:paraId="262528D6"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И.Ю. Козлихин, Е.И. Колюшин, Н.М. Коркунов, И.А. Кравец, Н.И. Лазаревский,</w:t>
      </w:r>
      <w:r>
        <w:rPr>
          <w:rFonts w:ascii="Verdana" w:hAnsi="Verdana"/>
          <w:color w:val="000000"/>
          <w:sz w:val="18"/>
          <w:szCs w:val="18"/>
        </w:rPr>
        <w:br/>
        <w:t>Д.И. Луковская, И.В. Мальцева, А.Н. Медушевский, П.Н. Милюков,</w:t>
      </w:r>
    </w:p>
    <w:p w14:paraId="7A9C56CE"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В.С. Нерсесянц, Н.С. Нижник, Б.Э. Нольде, И.Х. Озеров, Д.А. Пашенцев,</w:t>
      </w:r>
    </w:p>
    <w:p w14:paraId="5ABB1E76"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Ф.А. Петров, А.В. Поляков, И.И. Попов, А.Д. Степанский, Н.С. Таганцев, Л.А. Тихомиров, Е.Н. Трубецкий, М.Ф. Хартанович, И.Л. Честнов, Л.А. Шалланд, В.В. Шелохаев, А.И. Шингарев, Г.И. Щетинина, Е.А. Юртаева и др.</w:t>
      </w:r>
    </w:p>
    <w:p w14:paraId="578C77FF" w14:textId="77777777" w:rsidR="00A335E5" w:rsidRDefault="00A335E5" w:rsidP="00A335E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Источниковую базу диссертации</w:t>
      </w:r>
      <w:r>
        <w:rPr>
          <w:rStyle w:val="apple-converted-space"/>
          <w:rFonts w:ascii="Verdana" w:hAnsi="Verdana"/>
          <w:color w:val="000000"/>
          <w:sz w:val="18"/>
          <w:szCs w:val="18"/>
        </w:rPr>
        <w:t> </w:t>
      </w:r>
      <w:r>
        <w:rPr>
          <w:rFonts w:ascii="Verdana" w:hAnsi="Verdana"/>
          <w:color w:val="000000"/>
          <w:sz w:val="18"/>
          <w:szCs w:val="18"/>
        </w:rPr>
        <w:t>составляет обширный комплекс нормативно-правовых актов Российской империи, опубликованных в трех Полных собраниях законов, Своде законов, в Собрании узаконений и распоряжений правительства, и иных источников.</w:t>
      </w:r>
    </w:p>
    <w:p w14:paraId="42E45764"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Ключевое место, занимаемое корпоративным академическим</w:t>
      </w:r>
    </w:p>
    <w:p w14:paraId="4CF9646E"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представительством в истории верхней законодательной палаты Российской империи, потребовало тщательного изучения комплекса официальных изданий Государственного Совета и Государственной Думы: стенографических отчетов заседаний с протоколами и приложениями к ним, обзоров деятельности комиссий; всеподданнейших отчетов председателя Государственного Совета. Информация по этому вопросу дополняется актами, которые определяли внутреннее устройство Государственного Совета.</w:t>
      </w:r>
    </w:p>
    <w:p w14:paraId="168EA648"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Богатый материал содержится в официальных журналах различных</w:t>
      </w:r>
    </w:p>
    <w:p w14:paraId="798DD538"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ведомств. Так, помимо издаваемого Министерством внутренних дел</w:t>
      </w:r>
    </w:p>
    <w:p w14:paraId="5139C6F8"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«Правительственного вестника», использованы материалы официального и неофициального разделов в «Журнале Министерства народного просвещения».</w:t>
      </w:r>
    </w:p>
    <w:p w14:paraId="3092FB3A"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Ценнейшие сведения содержатся в протоколах заседаний общего собрания Императорской Академии наук, а также протоколах заседаний Советов Императорских Российских университетов.</w:t>
      </w:r>
    </w:p>
    <w:p w14:paraId="11BC9F76"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Принципиально важна литература мемуарного характера: дневники, переписка и воспоминания государственных деятелей, в том числе чиновников высшего ранга и, конечно же, главы государства — Николая II. В целом, несмотря на субъективизм восприятия и оценок, неполноту и фрагментарность содержащихся в них фактов, эти источники позволяют высветить существенные нюансы правового положения академической группы Государственного Совета.</w:t>
      </w:r>
    </w:p>
    <w:p w14:paraId="0C3E3EF9"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Ценную информацию для характеристики правового статуса членов академического и вузовского сообщества содержат положения, правила, уставы, утвержденные Министерством народного просвещения.</w:t>
      </w:r>
    </w:p>
    <w:p w14:paraId="4B028669"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Основной корпус источников составили архивные материалы: отчеты,</w:t>
      </w:r>
      <w:r>
        <w:rPr>
          <w:rFonts w:ascii="Verdana" w:hAnsi="Verdana"/>
          <w:color w:val="000000"/>
          <w:sz w:val="18"/>
          <w:szCs w:val="18"/>
        </w:rPr>
        <w:br/>
        <w:t>записки, делопроизводственные материалы Министерства народного</w:t>
      </w:r>
    </w:p>
    <w:p w14:paraId="3AEB4D93"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просвещения; источники светской периодической печати; мемуары и дневники современников и т. п., хранящиеся в фондах Российского государственного исторического архива, а также в фондах Архива Российской Академии наук.</w:t>
      </w:r>
    </w:p>
    <w:p w14:paraId="700BDBAA"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Отдельную группу источников составляют документы и материалы</w:t>
      </w:r>
      <w:r>
        <w:rPr>
          <w:rFonts w:ascii="Verdana" w:hAnsi="Verdana"/>
          <w:color w:val="000000"/>
          <w:sz w:val="18"/>
          <w:szCs w:val="18"/>
        </w:rPr>
        <w:br/>
        <w:t>кадетской партии: практически все члены Государственного Совета</w:t>
      </w:r>
    </w:p>
    <w:p w14:paraId="11F6EBBE"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от академической избирательной курии, состояли членами партии кадетов или были близки к их идеологии. В этих источниках подробно раскрывается социальный состав, деятельность конституционно-демократической партии в целом и содержатся сведения о взаимоотношениях со своей фракцией в Государственном Совете.</w:t>
      </w:r>
    </w:p>
    <w:p w14:paraId="48BE898D"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обсуждения актуальных вопросов на партийно-фракционных собраниях доступны в периодических изданиях «Речь», «Новое время» и т. д. Среди указанных источников можно выделить также газету «Право», на страницах которой довольно часто поднимались вопросы юридического характера видными учеными и либеральными деятелями — современниками реформ, в том числе и самими депутатами Государственного Совета от академической избирательной курии. Следует отметить важность источников периодического характера. Учитывая ограниченный характер доступности документов заседаний законодательного собрания, только печать могла доносить до широкой публики взгляды и мнения, обсуждаемые в Думе и Государственном Совете. П.Н. Милюков, например, признавал, что кадетская «Речь» больше делала для популяризации идей кадетов, чем всякая иная общественная деятельность. Сам император в письме матери в марте 1907 г. отмечал, что «все было бы прекрасно, если бы все то, что говорится в Думе, оставалось в ее стенах. Дело в том, что каждое слово, сказанное там, появляется на другой день в газетах,</w:t>
      </w:r>
    </w:p>
    <w:p w14:paraId="50AFC289"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которые народ с жадностью читает».</w:t>
      </w:r>
      <w:r>
        <w:rPr>
          <w:rFonts w:ascii="Verdana" w:hAnsi="Verdana"/>
          <w:color w:val="000000"/>
          <w:sz w:val="18"/>
          <w:szCs w:val="18"/>
          <w:vertAlign w:val="superscript"/>
        </w:rPr>
        <w:t>14</w:t>
      </w:r>
    </w:p>
    <w:p w14:paraId="01C6D339" w14:textId="77777777" w:rsidR="00A335E5" w:rsidRDefault="00A335E5" w:rsidP="00A335E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диссертации</w:t>
      </w:r>
      <w:r>
        <w:rPr>
          <w:rStyle w:val="apple-converted-space"/>
          <w:rFonts w:ascii="Verdana" w:hAnsi="Verdana"/>
          <w:color w:val="000000"/>
          <w:sz w:val="18"/>
          <w:szCs w:val="18"/>
        </w:rPr>
        <w:t> </w:t>
      </w:r>
      <w:r>
        <w:rPr>
          <w:rFonts w:ascii="Verdana" w:hAnsi="Verdana"/>
          <w:color w:val="000000"/>
          <w:sz w:val="18"/>
          <w:szCs w:val="18"/>
        </w:rPr>
        <w:t>предопределяется подбором и компоновкой рассматриваемого материала, а также междисциплинарным характером методологии исследования.</w:t>
      </w:r>
    </w:p>
    <w:p w14:paraId="43A1CFD4"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диссертации подвергаются углубленному историко-правовому анализу явления и события, отражающие специфику государственной политики Российской империи в области законодательных и представительных органов в начале XX в. Основное внимание в работе акцентируется на нормативных и организационно-правовых основаниях формирования и функционирования механизма корпоративного представительства ученых в Государственном Совете с 1906 г.</w:t>
      </w:r>
    </w:p>
    <w:p w14:paraId="31AED29C"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Впервые в научный оборот вводится понятие «академическая группа</w:t>
      </w:r>
      <w:r>
        <w:rPr>
          <w:rFonts w:ascii="Verdana" w:hAnsi="Verdana"/>
          <w:color w:val="000000"/>
          <w:sz w:val="18"/>
          <w:szCs w:val="18"/>
        </w:rPr>
        <w:br/>
        <w:t>Государственного Совета». В отличие от предыдущих исследователей,</w:t>
      </w:r>
      <w:r>
        <w:rPr>
          <w:rFonts w:ascii="Verdana" w:hAnsi="Verdana"/>
          <w:color w:val="000000"/>
          <w:sz w:val="18"/>
          <w:szCs w:val="18"/>
        </w:rPr>
        <w:br/>
        <w:t>использовавших его при исследовании той или иной проблемы в основном</w:t>
      </w:r>
      <w:r>
        <w:rPr>
          <w:rFonts w:ascii="Verdana" w:hAnsi="Verdana"/>
          <w:color w:val="000000"/>
          <w:sz w:val="18"/>
          <w:szCs w:val="18"/>
        </w:rPr>
        <w:br/>
        <w:t>в качестве описания структуры Государственного Совета, в контексте</w:t>
      </w:r>
      <w:r>
        <w:rPr>
          <w:rFonts w:ascii="Verdana" w:hAnsi="Verdana"/>
          <w:color w:val="000000"/>
          <w:sz w:val="18"/>
          <w:szCs w:val="18"/>
        </w:rPr>
        <w:br/>
        <w:t>корпоративного представительства он используется впервые. Термин</w:t>
      </w:r>
    </w:p>
    <w:p w14:paraId="1AD265F1"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«академическая группа Государственного Совета» подразумевает группу выборных членов Государственного Совета, избранных на общих собраниях академико-профессорских корпораций (императорских российских Академии наук и университетов) и идейно-политически объединенных впоследствии в левую группу Государственного Совета. Ученые были также и в назначенной части Государственного Совета, однако они не всегда были солидарны во мнениях с выборными коллегами.</w:t>
      </w:r>
    </w:p>
    <w:p w14:paraId="149D9C08"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Данная позиция обстоятельно изложена в диссертации, новизна которой заключается в том, что она представляет собой первое в отечественной историко-правовой литературе комплексное, логически завершенное монографическое исследование корпоративного академического представительства в составе верхней законодательной палаты Российской империи — Государственного Совета. В частности, диссертантом:</w:t>
      </w:r>
    </w:p>
    <w:p w14:paraId="7D778B56"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обоснован тезис о закономерности непосредственного представительства академической корпорации в государственных органах в эпоху становления и развития индустриального общества;</w:t>
      </w:r>
    </w:p>
    <w:p w14:paraId="6E29576D"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проанализирован организационно-правовой опыт представительства академического сообщества в дореформенном законосовещательном Государственном Совете Российской империи;</w:t>
      </w:r>
    </w:p>
    <w:p w14:paraId="430BF419"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показана преемственность традиции академического представительства в законосовещательном и в законодательном Государственном Совете;</w:t>
      </w:r>
    </w:p>
    <w:p w14:paraId="3CA03488"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охарактеризованы организационно-правовые формы взаимодействия научно-вузовского сообщества и государственного аппарата в Российской империи;</w:t>
      </w:r>
    </w:p>
    <w:p w14:paraId="690C09E3"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конкретизированы особенности корпоративных выборов в Государственный Совет по академической курии;</w:t>
      </w:r>
    </w:p>
    <w:p w14:paraId="0DE44A6B"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14</w:t>
      </w:r>
      <w:r>
        <w:rPr>
          <w:rStyle w:val="apple-converted-space"/>
          <w:rFonts w:ascii="Verdana" w:hAnsi="Verdana"/>
          <w:color w:val="000000"/>
          <w:sz w:val="18"/>
          <w:szCs w:val="18"/>
        </w:rPr>
        <w:t> </w:t>
      </w:r>
      <w:r>
        <w:rPr>
          <w:rFonts w:ascii="Verdana" w:hAnsi="Verdana"/>
          <w:color w:val="000000"/>
          <w:sz w:val="18"/>
          <w:szCs w:val="18"/>
        </w:rPr>
        <w:t>Дейли Дж. Пресса и государство в России (1906</w:t>
      </w:r>
      <w:r>
        <w:rPr>
          <w:rStyle w:val="af2"/>
          <w:rFonts w:ascii="Verdana" w:hAnsi="Verdana"/>
          <w:color w:val="000000"/>
          <w:sz w:val="18"/>
          <w:szCs w:val="18"/>
        </w:rPr>
        <w:t>–</w:t>
      </w:r>
      <w:r>
        <w:rPr>
          <w:rFonts w:ascii="Verdana" w:hAnsi="Verdana"/>
          <w:color w:val="000000"/>
          <w:sz w:val="18"/>
          <w:szCs w:val="18"/>
        </w:rPr>
        <w:t>1917 гг.) // Вопросы истории. 2001. № 10. С. 25–26.</w:t>
      </w:r>
    </w:p>
    <w:p w14:paraId="0A07B581"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выявлены отличия в правовом статусе членов Государственного Совета, избираемых от императорских российских университетов и от Императорской Академии наук;</w:t>
      </w:r>
    </w:p>
    <w:p w14:paraId="64CAC60A"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верифицирован персональный состав академической группы Государственного Совета в 1906–1917 гг.;</w:t>
      </w:r>
    </w:p>
    <w:p w14:paraId="521C65F8"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установлены ведущие направления законотворческой деятельности представителей Императорской Академии наук и императорских университетов в верхней законодательной палате Российской империи;</w:t>
      </w:r>
    </w:p>
    <w:p w14:paraId="2680A9FF"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доказана либерально-реформаторская направленность деятельности академической группы в Государственном Совете.</w:t>
      </w:r>
    </w:p>
    <w:p w14:paraId="31065961"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В ходе работы над диссертацией соискателем были введены в широкий научный оборот архивные и мемуарные материалы, по различным причинам не получившие отражения в отечественной историко-правовой науке.</w:t>
      </w:r>
    </w:p>
    <w:p w14:paraId="5B9FAB7D" w14:textId="77777777" w:rsidR="00A335E5" w:rsidRDefault="00A335E5" w:rsidP="00A335E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Основные положения, выносимые на защиту:</w:t>
      </w:r>
    </w:p>
    <w:p w14:paraId="1782BEAB" w14:textId="77777777" w:rsidR="00A335E5" w:rsidRDefault="00A335E5" w:rsidP="00DF5669">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Непосредственное участие ученых в создании нормативно-правовых основ управления государством связано с качественным усложнением социальных отношений в период становления и развития индустриального и постиндустриального общества. Соответственно, к началу ХХ в. в Российской империи был накоплен значительный опыт взаимодействия профессуры (представителей научно-вузовского сообщества) и правящих кругов в решении задач государственного управления, в том числе в области законотворчества.</w:t>
      </w:r>
    </w:p>
    <w:p w14:paraId="0DD95AF3" w14:textId="77777777" w:rsidR="00A335E5" w:rsidRDefault="00A335E5" w:rsidP="00DF5669">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Нерегулярное включение представителей научно-вузовского сообщества в работу дореформенного Государственного Совета осуществлялось в соответствии с нормами законодательства, которые определяли степень участия представителей академического сообщества в зависимости от сложности рассматриваемого вопроса — с совещательным или решающим голосом. Этот опыт был учтен при корректировке в 1906 г. идеи народного представительства, в результате чего при реформировании Государственного Совета в верхнюю законодательную палату в его составе была выделена квота обязательного представительства императорской Академии наук и императорских университетов (академическая группа).</w:t>
      </w:r>
    </w:p>
    <w:p w14:paraId="6682D1ED" w14:textId="77777777" w:rsidR="00A335E5" w:rsidRDefault="00A335E5" w:rsidP="00DF5669">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Законодательство, регулировавшее процедуру выборов от академической курии в Государственный Совет, имело существенные юридико-технические изъяны, которые не были устранены вплоть до падения монархии. Наиболее заметным недостатком электорального законодательства были его бессистемность и преимущественно ссылочный характер. Советы университетов при проведении выборов кандидатов в члены Государственного Совета пользовались общеуниверситетским уставом, что привело к частым нарушениям общих принципов избирательного права Российской империи: участие в выборах иностранных профессоров; передача голоса отсутствующего профессора присутствующему; нарушение процедуры выборов (перебаллотировка) и т. п.</w:t>
      </w:r>
    </w:p>
    <w:p w14:paraId="43BC4D09" w14:textId="77777777" w:rsidR="00A335E5" w:rsidRDefault="00A335E5" w:rsidP="00DF5669">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Исполнительная власть сохраняла широкие возможности для организационного воздействия на университетскую часть академической курии, включая лишение депутатских полномочий. Так, министр народного просвещения мог устранять неугодных профессоров — членов академической группы</w:t>
      </w:r>
    </w:p>
    <w:p w14:paraId="29E4273D"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Государственного Совета посредством их увольнения из университета, таким</w:t>
      </w:r>
      <w:r>
        <w:rPr>
          <w:rFonts w:ascii="Verdana" w:hAnsi="Verdana"/>
          <w:color w:val="000000"/>
          <w:sz w:val="18"/>
          <w:szCs w:val="18"/>
        </w:rPr>
        <w:br/>
        <w:t>образом, лишая их корпоративного ценза, необходимого для избрания в верхнюю</w:t>
      </w:r>
      <w:r>
        <w:rPr>
          <w:rFonts w:ascii="Verdana" w:hAnsi="Verdana"/>
          <w:color w:val="000000"/>
          <w:sz w:val="18"/>
          <w:szCs w:val="18"/>
        </w:rPr>
        <w:br/>
        <w:t>законодательную палату. Это потенциальное средство воздействия на членов</w:t>
      </w:r>
      <w:r>
        <w:rPr>
          <w:rFonts w:ascii="Verdana" w:hAnsi="Verdana"/>
          <w:color w:val="000000"/>
          <w:sz w:val="18"/>
          <w:szCs w:val="18"/>
        </w:rPr>
        <w:br/>
        <w:t>академической группы Государственного Совета являлось следствием</w:t>
      </w:r>
    </w:p>
    <w:p w14:paraId="30C22840"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непреднамеренного пробела в законодательстве, который формально так и не был устранен. Однако этот канал влияния исполнительной власти на членов Государственного Совета, избранных от университетов, был, в конечном счете, заблокирован постановлением верхней палаты, которая фактически посчитала данный ценз безусловно обязательным только для избрания, но не для дальнейшего пребывания в составе Государственного Совета.</w:t>
      </w:r>
    </w:p>
    <w:p w14:paraId="238EF7F8" w14:textId="77777777" w:rsidR="00A335E5" w:rsidRDefault="00A335E5" w:rsidP="00DF5669">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Члены Государственного Совета от императорской Академии наук имели исключительный правовой статус, поскольку пожизненное звание ординарного академика предоставляло определенные гарантии несменяемости в течение созыва Государственного Совета и, следовательно, максимальной формальной независимости от исполнительной власти при осуществлении депутатских полномочий. Такой привилегией не обладал ни один член верхней законодательной палаты, избранный от какой-либо другой корпоративной избирательной курии.</w:t>
      </w:r>
    </w:p>
    <w:p w14:paraId="3ECB9AF8" w14:textId="77777777" w:rsidR="00A335E5" w:rsidRDefault="00A335E5" w:rsidP="00DF5669">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Характерной особенностью выборов в Государственный Совет по академической курии стала сравнительно однородная партийная принадлежность кандидатов. Значительное большинство депутатов принадлежали к кадетской партии (партии народной свободы) либо поддерживали ее политический курс. Около половины депутатов, избранных от академической курии, входили в руководство партии кадетов. Высокая степень партийно-политической однородности академической группы Государственного Совета способствовала ее максимальной сплоченности при голосовании по ключевым законопроектам.</w:t>
      </w:r>
    </w:p>
    <w:p w14:paraId="2404E693" w14:textId="77777777" w:rsidR="00A335E5" w:rsidRDefault="00A335E5" w:rsidP="00DF5669">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Вклад, который внесла академическая группа в законотворческую работу Государственного Совета, обратно пропорционален ее численности. Будучи одной из миноритарных групп в составе верхней законодательной палаты, при голосовании она неоднократно добивалась поддержки большинства общего собрания Государственного Совета. Это, в частности, достигалось путем активного участия в прениях по спорным законопроектам, когда решения принимались с разницей всего лишь в два голоса, а в комиссиях Государственного Совета — в один. Таким образом, члены академической группы успешно представляли либеральную позицию кадетской партии в верхней палате первого российского парламента, прежде всего в кризисный период Первой мировой войны. Вместе с тем академическая группа не выдвинула задачу планомерного законодательного регулирования научно-вузовской деятельности в Российской империи. Это связано как с ее малочисленностью, так и недооценкой социальной роли науки и высшей школы в начале XX в.</w:t>
      </w:r>
    </w:p>
    <w:p w14:paraId="6B0E5E01" w14:textId="77777777" w:rsidR="00A335E5" w:rsidRDefault="00A335E5" w:rsidP="00A335E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 сформулированные и обоснованные в нем положения и выводы могут быть использованы при проведении дальнейших научных исследований по истории права и государства, истории учений о праве и государстве, конституционному</w:t>
      </w:r>
    </w:p>
    <w:p w14:paraId="21394CF1"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праву, философии, политологии и социологии права, прежде всего при изучении проблем участия представителей академического сообщества в деятельности парламента, парламентского представительства, избирательной системы и т. д. Таким образом, материалы диссертационного исследования могут быть учтены при теоретическом конструировании оптимальных конституционно-правовых институтов как в России, так и за рубежом, включая избирательное и парламентское право.</w:t>
      </w:r>
    </w:p>
    <w:p w14:paraId="2E4987B4" w14:textId="77777777" w:rsidR="00A335E5" w:rsidRDefault="00A335E5" w:rsidP="00A335E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Полученные в ходе исследования результаты могут быть использованы:</w:t>
      </w:r>
    </w:p>
    <w:p w14:paraId="55E7C92C"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в законотворческом процессе — при подготовке нормативно-правовых актов, закрепляющих принципы организации и функционирования представительных и законодательных органов власти, а также государственного управления в Российской Федерации;</w:t>
      </w:r>
    </w:p>
    <w:p w14:paraId="381D9372"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практической деятельности, направленной на конструирование оптимальных конституционно-правовых институтов, совершенствование правового и организационного обеспечения социального контроля со стороны научной элиты современной России, повышение престижа научно-преподавательской профессии и статуса ученого;</w:t>
      </w:r>
    </w:p>
    <w:p w14:paraId="61AE5CEC"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в дальнейших научных исследованиях в исторической ретроспективе проблем законотворчества, парламентаризма, народного представительства;</w:t>
      </w:r>
    </w:p>
    <w:p w14:paraId="792FA1C6"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процессе преподавания истории и теории права и государства, истории учений о праве и государстве, философии и социологии права, отечественной истории, конституционного, административного, парламентского, избирательного права и др.;</w:t>
      </w:r>
    </w:p>
    <w:p w14:paraId="335E132E"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 при разработке спецкурса «История парламентаризма в России».</w:t>
      </w:r>
      <w:r>
        <w:rPr>
          <w:rFonts w:ascii="Verdana" w:hAnsi="Verdana"/>
          <w:color w:val="000000"/>
          <w:sz w:val="18"/>
          <w:szCs w:val="18"/>
        </w:rPr>
        <w:br/>
      </w: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Диссертация подготовлена и</w:t>
      </w:r>
    </w:p>
    <w:p w14:paraId="3B129511"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обсуждена на кафедре теории и истории государства и права Санкт-Петербургского государственного университета.</w:t>
      </w:r>
    </w:p>
    <w:p w14:paraId="52ED8058"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и выводы исследования изложены в двенадцати публикациях автора, общим объемом 7 п. л.</w:t>
      </w:r>
    </w:p>
    <w:p w14:paraId="7C61A1A2"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Содержание диссертации, ее основные идеи и теоретические положения</w:t>
      </w:r>
      <w:r>
        <w:rPr>
          <w:rFonts w:ascii="Verdana" w:hAnsi="Verdana"/>
          <w:color w:val="000000"/>
          <w:sz w:val="18"/>
          <w:szCs w:val="18"/>
        </w:rPr>
        <w:br/>
        <w:t>изложены в научных статьях, тезисах выступлений на научно-практических,</w:t>
      </w:r>
      <w:r>
        <w:rPr>
          <w:rFonts w:ascii="Verdana" w:hAnsi="Verdana"/>
          <w:color w:val="000000"/>
          <w:sz w:val="18"/>
          <w:szCs w:val="18"/>
        </w:rPr>
        <w:br/>
        <w:t>научно-теоретических конференциях и семинарах, а также круглых столах:</w:t>
      </w:r>
      <w:r>
        <w:rPr>
          <w:rFonts w:ascii="Verdana" w:hAnsi="Verdana"/>
          <w:color w:val="000000"/>
          <w:sz w:val="18"/>
          <w:szCs w:val="18"/>
        </w:rPr>
        <w:br/>
        <w:t>Международной научно-практической конференции «Современная юридическая</w:t>
      </w:r>
      <w:r>
        <w:rPr>
          <w:rFonts w:ascii="Verdana" w:hAnsi="Verdana"/>
          <w:color w:val="000000"/>
          <w:sz w:val="18"/>
          <w:szCs w:val="18"/>
        </w:rPr>
        <w:br/>
        <w:t>наука и ее проблематизация» (Санкт-Петербург, 28 марта 2009 г.); 2-й</w:t>
      </w:r>
      <w:r>
        <w:rPr>
          <w:rFonts w:ascii="Verdana" w:hAnsi="Verdana"/>
          <w:color w:val="000000"/>
          <w:sz w:val="18"/>
          <w:szCs w:val="18"/>
        </w:rPr>
        <w:br/>
        <w:t>международной конференции «Федерализм и регионализм: приоритеты ХХI в.»</w:t>
      </w:r>
      <w:r>
        <w:rPr>
          <w:rFonts w:ascii="Verdana" w:hAnsi="Verdana"/>
          <w:color w:val="000000"/>
          <w:sz w:val="18"/>
          <w:szCs w:val="18"/>
        </w:rPr>
        <w:br/>
        <w:t>(Владикавказ, 25–26 сентября 2009 г.); Международной научно-практической</w:t>
      </w:r>
      <w:r>
        <w:rPr>
          <w:rFonts w:ascii="Verdana" w:hAnsi="Verdana"/>
          <w:color w:val="000000"/>
          <w:sz w:val="18"/>
          <w:szCs w:val="18"/>
        </w:rPr>
        <w:br/>
        <w:t>конференции «Российский парламентаризм: опыт, проблемы, перспективы»</w:t>
      </w:r>
      <w:r>
        <w:rPr>
          <w:rFonts w:ascii="Verdana" w:hAnsi="Verdana"/>
          <w:color w:val="000000"/>
          <w:sz w:val="18"/>
          <w:szCs w:val="18"/>
        </w:rPr>
        <w:br/>
        <w:t>(Владикавказ, 19–20 ноября 2009 г.); Международной научно-практической</w:t>
      </w:r>
      <w:r>
        <w:rPr>
          <w:rFonts w:ascii="Verdana" w:hAnsi="Verdana"/>
          <w:color w:val="000000"/>
          <w:sz w:val="18"/>
          <w:szCs w:val="18"/>
        </w:rPr>
        <w:br/>
        <w:t>конференции «Право в современном мире: история, теория, практика» (Санкт-</w:t>
      </w:r>
      <w:r>
        <w:rPr>
          <w:rFonts w:ascii="Verdana" w:hAnsi="Verdana"/>
          <w:color w:val="000000"/>
          <w:sz w:val="18"/>
          <w:szCs w:val="18"/>
        </w:rPr>
        <w:br/>
        <w:t>Петербург, 26 апреля 2012 г.); Круглом столе «Актуальные вопросы развития</w:t>
      </w:r>
      <w:r>
        <w:rPr>
          <w:rFonts w:ascii="Verdana" w:hAnsi="Verdana"/>
          <w:color w:val="000000"/>
          <w:sz w:val="18"/>
          <w:szCs w:val="18"/>
        </w:rPr>
        <w:br/>
        <w:t>российского парламентаризма на современном этапе» (Санкт-Петербург, 22 марта</w:t>
      </w:r>
      <w:r>
        <w:rPr>
          <w:rFonts w:ascii="Verdana" w:hAnsi="Verdana"/>
          <w:color w:val="000000"/>
          <w:sz w:val="18"/>
          <w:szCs w:val="18"/>
        </w:rPr>
        <w:br/>
        <w:t>2012 г.); X международном научном форуме «Государственная власть и местное</w:t>
      </w:r>
      <w:r>
        <w:rPr>
          <w:rFonts w:ascii="Verdana" w:hAnsi="Verdana"/>
          <w:color w:val="000000"/>
          <w:sz w:val="18"/>
          <w:szCs w:val="18"/>
        </w:rPr>
        <w:br/>
        <w:t>самоуправление в России: история и современность» (Санкт-Петербург, 31 мая —</w:t>
      </w:r>
      <w:r>
        <w:rPr>
          <w:rFonts w:ascii="Verdana" w:hAnsi="Verdana"/>
          <w:color w:val="000000"/>
          <w:sz w:val="18"/>
          <w:szCs w:val="18"/>
        </w:rPr>
        <w:br/>
        <w:t>1 июня 2012 г.); Международной научно-практической конференции</w:t>
      </w:r>
    </w:p>
    <w:p w14:paraId="4882B2BF"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«Государство и человек: социально-антропологическая конструкция» (Санкт-</w:t>
      </w:r>
      <w:r>
        <w:rPr>
          <w:rFonts w:ascii="Verdana" w:hAnsi="Verdana"/>
          <w:color w:val="000000"/>
          <w:sz w:val="18"/>
          <w:szCs w:val="18"/>
        </w:rPr>
        <w:br/>
        <w:t>Петербург, 22–23 марта 2013 г.); Международной научно-практической</w:t>
      </w:r>
      <w:r>
        <w:rPr>
          <w:rFonts w:ascii="Verdana" w:hAnsi="Verdana"/>
          <w:color w:val="000000"/>
          <w:sz w:val="18"/>
          <w:szCs w:val="18"/>
        </w:rPr>
        <w:br/>
        <w:t>конференции «Актуальные проблемы социально-правовой защиты человека и</w:t>
      </w:r>
      <w:r>
        <w:rPr>
          <w:rFonts w:ascii="Verdana" w:hAnsi="Verdana"/>
          <w:color w:val="000000"/>
          <w:sz w:val="18"/>
          <w:szCs w:val="18"/>
        </w:rPr>
        <w:br/>
        <w:t>гражданина» (Санкт-Петербург, 16 ноября 2013 г.); Международной научно-</w:t>
      </w:r>
      <w:r>
        <w:rPr>
          <w:rFonts w:ascii="Verdana" w:hAnsi="Verdana"/>
          <w:color w:val="000000"/>
          <w:sz w:val="18"/>
          <w:szCs w:val="18"/>
        </w:rPr>
        <w:br/>
        <w:t>практической конференции «Роль образования в формировании политической и</w:t>
      </w:r>
      <w:r>
        <w:rPr>
          <w:rFonts w:ascii="Verdana" w:hAnsi="Verdana"/>
          <w:color w:val="000000"/>
          <w:sz w:val="18"/>
          <w:szCs w:val="18"/>
        </w:rPr>
        <w:br/>
        <w:t>правовой культуры» (Санкт-Петербург, 23–24 октября 2013 г.); Международной</w:t>
      </w:r>
      <w:r>
        <w:rPr>
          <w:rFonts w:ascii="Verdana" w:hAnsi="Verdana"/>
          <w:color w:val="000000"/>
          <w:sz w:val="18"/>
          <w:szCs w:val="18"/>
        </w:rPr>
        <w:br/>
        <w:t>научно-практической конференции «Россия и правовое государство: теория и</w:t>
      </w:r>
      <w:r>
        <w:rPr>
          <w:rFonts w:ascii="Verdana" w:hAnsi="Verdana"/>
          <w:color w:val="000000"/>
          <w:sz w:val="18"/>
          <w:szCs w:val="18"/>
        </w:rPr>
        <w:br/>
      </w:r>
      <w:r>
        <w:rPr>
          <w:rFonts w:ascii="Verdana" w:hAnsi="Verdana"/>
          <w:color w:val="000000"/>
          <w:sz w:val="18"/>
          <w:szCs w:val="18"/>
        </w:rPr>
        <w:lastRenderedPageBreak/>
        <w:t>практика. К 20-летию принятия Конституции Российской Федерации» (Санкт-</w:t>
      </w:r>
      <w:r>
        <w:rPr>
          <w:rFonts w:ascii="Verdana" w:hAnsi="Verdana"/>
          <w:color w:val="000000"/>
          <w:sz w:val="18"/>
          <w:szCs w:val="18"/>
        </w:rPr>
        <w:br/>
        <w:t>Петербург, 6–7 декабря 2013 г.); Научно-практической конференции «Уроки</w:t>
      </w:r>
      <w:r>
        <w:rPr>
          <w:rFonts w:ascii="Verdana" w:hAnsi="Verdana"/>
          <w:color w:val="000000"/>
          <w:sz w:val="18"/>
          <w:szCs w:val="18"/>
        </w:rPr>
        <w:br/>
        <w:t>парламентаризма: исторический опыт и современные практики» (Санкт-</w:t>
      </w:r>
      <w:r>
        <w:rPr>
          <w:rFonts w:ascii="Verdana" w:hAnsi="Verdana"/>
          <w:color w:val="000000"/>
          <w:sz w:val="18"/>
          <w:szCs w:val="18"/>
        </w:rPr>
        <w:br/>
        <w:t>Петербург, 24 апреля 2014 г.); Межвузовской студенческой научно-теоретической</w:t>
      </w:r>
      <w:r>
        <w:rPr>
          <w:rFonts w:ascii="Verdana" w:hAnsi="Verdana"/>
          <w:color w:val="000000"/>
          <w:sz w:val="18"/>
          <w:szCs w:val="18"/>
        </w:rPr>
        <w:br/>
        <w:t>конференции «Личность, общество, государство в меняющемся мире: проблема</w:t>
      </w:r>
      <w:r>
        <w:rPr>
          <w:rFonts w:ascii="Verdana" w:hAnsi="Verdana"/>
          <w:color w:val="000000"/>
          <w:sz w:val="18"/>
          <w:szCs w:val="18"/>
        </w:rPr>
        <w:br/>
        <w:t>соотношения интересов» (Санкт-Петербург, 5 декабря 2014 г.); Научно-</w:t>
      </w:r>
      <w:r>
        <w:rPr>
          <w:rFonts w:ascii="Verdana" w:hAnsi="Verdana"/>
          <w:color w:val="000000"/>
          <w:sz w:val="18"/>
          <w:szCs w:val="18"/>
        </w:rPr>
        <w:br/>
        <w:t>практической конференции «Уроки парламентаризма: исторический опыт и</w:t>
      </w:r>
      <w:r>
        <w:rPr>
          <w:rFonts w:ascii="Verdana" w:hAnsi="Verdana"/>
          <w:color w:val="000000"/>
          <w:sz w:val="18"/>
          <w:szCs w:val="18"/>
        </w:rPr>
        <w:br/>
        <w:t>современные практики — 2015» (Санкт-Петербург, 23 апреля 2015 г.);</w:t>
      </w:r>
      <w:r>
        <w:rPr>
          <w:rFonts w:ascii="Verdana" w:hAnsi="Verdana"/>
          <w:color w:val="000000"/>
          <w:sz w:val="18"/>
          <w:szCs w:val="18"/>
        </w:rPr>
        <w:br/>
        <w:t>Всероссийской научно-практической конференции студентов, магистрантов,</w:t>
      </w:r>
      <w:r>
        <w:rPr>
          <w:rFonts w:ascii="Verdana" w:hAnsi="Verdana"/>
          <w:color w:val="000000"/>
          <w:sz w:val="18"/>
          <w:szCs w:val="18"/>
        </w:rPr>
        <w:br/>
        <w:t>аспирантов «Судебная власть в российской государственно-правовой системе:</w:t>
      </w:r>
      <w:r>
        <w:rPr>
          <w:rFonts w:ascii="Verdana" w:hAnsi="Verdana"/>
          <w:color w:val="000000"/>
          <w:sz w:val="18"/>
          <w:szCs w:val="18"/>
        </w:rPr>
        <w:br/>
        <w:t>традиции и новации», посвященной 70-летию Победы советского народа</w:t>
      </w:r>
      <w:r>
        <w:rPr>
          <w:rFonts w:ascii="Verdana" w:hAnsi="Verdana"/>
          <w:color w:val="000000"/>
          <w:sz w:val="18"/>
          <w:szCs w:val="18"/>
        </w:rPr>
        <w:br/>
        <w:t>в Великой Отечественной войне (Санкт-Петербург, 29 апреля 2015 г.);</w:t>
      </w:r>
      <w:r>
        <w:rPr>
          <w:rFonts w:ascii="Verdana" w:hAnsi="Verdana"/>
          <w:color w:val="000000"/>
          <w:sz w:val="18"/>
          <w:szCs w:val="18"/>
        </w:rPr>
        <w:br/>
        <w:t>II всероссийской научно-практической конференции студентов, магистрантов,</w:t>
      </w:r>
      <w:r>
        <w:rPr>
          <w:rFonts w:ascii="Verdana" w:hAnsi="Verdana"/>
          <w:color w:val="000000"/>
          <w:sz w:val="18"/>
          <w:szCs w:val="18"/>
        </w:rPr>
        <w:br/>
        <w:t>аспирантов «Судебная власть в российской государственно-правовой системе:</w:t>
      </w:r>
      <w:r>
        <w:rPr>
          <w:rFonts w:ascii="Verdana" w:hAnsi="Verdana"/>
          <w:color w:val="000000"/>
          <w:sz w:val="18"/>
          <w:szCs w:val="18"/>
        </w:rPr>
        <w:br/>
        <w:t>традиции и новации», посвященной 75-летию Победы советского народа в</w:t>
      </w:r>
      <w:r>
        <w:rPr>
          <w:rFonts w:ascii="Verdana" w:hAnsi="Verdana"/>
          <w:color w:val="000000"/>
          <w:sz w:val="18"/>
          <w:szCs w:val="18"/>
        </w:rPr>
        <w:br/>
        <w:t>Великой Отечественной войне (Санкт-Петербург, 6 ноября 2015 г.);</w:t>
      </w:r>
    </w:p>
    <w:p w14:paraId="59101CA1"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Международной научно-практической конференции «Российское правосудие:</w:t>
      </w:r>
      <w:r>
        <w:rPr>
          <w:rFonts w:ascii="Verdana" w:hAnsi="Verdana"/>
          <w:color w:val="000000"/>
          <w:sz w:val="18"/>
          <w:szCs w:val="18"/>
        </w:rPr>
        <w:br/>
        <w:t>история современность, перспективы», посвященной 75-летию Санкт-</w:t>
      </w:r>
    </w:p>
    <w:p w14:paraId="5A27451F"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Петербургского городского суда (Санкт-Петербург, 27 ноября 2015 г.); Международной научно-практической конференции «Право и государство: российская модель государственности в прошлом, настоящем и будущем» (Санкт-Петербург, 10 декабря 2015 г.); IX ежегодной научной конференции студентов, магистрантов и соискателей «Право и правосудие в современном мире» (Санкт-Петербург, 24 марта 2016 г.).</w:t>
      </w:r>
    </w:p>
    <w:p w14:paraId="2F93A109" w14:textId="77777777" w:rsidR="00A335E5" w:rsidRDefault="00A335E5" w:rsidP="00A335E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w:t>
      </w:r>
      <w:r>
        <w:rPr>
          <w:rStyle w:val="apple-converted-space"/>
          <w:rFonts w:ascii="Verdana" w:hAnsi="Verdana"/>
          <w:color w:val="000000"/>
          <w:sz w:val="18"/>
          <w:szCs w:val="18"/>
        </w:rPr>
        <w:t> </w:t>
      </w:r>
      <w:r>
        <w:rPr>
          <w:rStyle w:val="af2"/>
          <w:rFonts w:ascii="Verdana" w:hAnsi="Verdana"/>
          <w:color w:val="000000"/>
          <w:sz w:val="18"/>
          <w:szCs w:val="18"/>
        </w:rPr>
        <w:t>диссертации</w:t>
      </w:r>
      <w:r>
        <w:rPr>
          <w:rFonts w:ascii="Verdana" w:hAnsi="Verdana"/>
          <w:color w:val="000000"/>
          <w:sz w:val="18"/>
          <w:szCs w:val="18"/>
        </w:rPr>
        <w:t>. Диссертация построена по предметно-</w:t>
      </w:r>
    </w:p>
    <w:p w14:paraId="4D95A9E4"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тематическому принципу и состоит из введения, трех глав, объединяющих восемь параграфов, заключения, списка использованных источников и литературы и приложений, в которых в девяти таблицах суммируется важная фактическая информация по предмету исследования.</w:t>
      </w:r>
    </w:p>
    <w:p w14:paraId="01A35E95" w14:textId="77777777" w:rsidR="00A335E5" w:rsidRDefault="00A335E5" w:rsidP="00A335E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Взаимодействие ученых с государственными органами Российской империи</w:t>
      </w:r>
    </w:p>
    <w:p w14:paraId="737029EE"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Вскоре, после Высочайшего Манифеста от 17 октября 1905 г.18 провозгласившего конституционный путь развития России, законосовещательная Дума должна была обратиться в Думу законодательную, неизбежно приводившую к реформе Государственного Совета.</w:t>
      </w:r>
    </w:p>
    <w:p w14:paraId="31058B52"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Включением в существующий около века в неизменном виде сословно-чиновничий состав Государственного Совета выборных представителей из разных слоев общества ознаменовалась его реформа.</w:t>
      </w:r>
    </w:p>
    <w:p w14:paraId="3CBE918C"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Шесть мест в составе обновленного Государственного Совета было отведено представителям академической курии – императорским Академии наук и российским университетов. Будучи относительно немногочисленной по своему составу,19 они, тем не менее, сыграли заметную роль в истории верхней палаты парламента Российской империи.</w:t>
      </w:r>
    </w:p>
    <w:p w14:paraId="75E269A5"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идея наделения представителей российских научных и вузовских учреждений законодательными полномочиями в начале ХХ века, не отличалась новизной и оригинальностью. Ко времени государственных реформ в России, научное сообщество в лице профессоров университетов было представлено (иногда и пожизненно) парламентах ряда стран, например, некоторых германских государств, в частности Прусской палате господ. В составе первой палаты сословного собрания герцогства Баденского, также заседали ординарные профессора двух университетов.20 В состав верхней законодательной палаты Саксонии входил депутат Лейпцигского университета, избранный из среды ординарных профессоров.21 Австрийская палата господ состояла из пожизненных членов, пожалованных императором за услуги перед государством, в частности, наукам и искусству.22 Профессора Гельсингфоргского (Хельсинского) университета, вместе с представителями средних учебных заведений были в составе Сейма Великого Княжества Финляндского.23 Итальянский Сенат, согласно п. 18, ст. 33. Статута королевства от 4 марта 1848 г. состоял, в том числе, из членов королевской Академии Наук, «не менее как через семь лет после назначения».24 В состав португальской палаты пэров входили деканы университетов Коимбре и профессора того же университета или другого высшего учебного заведения, находящиеся в должности не менее 10 лет. В палату пэров Японии император имел право назначать пожизненных пэров из числа лиц, выдающихся своими знаниями или оказавших государству важные услуги. В члены Испанского Сената избирались 6 членов от академий, а также 10 членов от 10 университетов.25 В палате общин Англии также заседали 9 представителей от 6 университетов страны.26 Известно также что, значительная часть администрации городов Оксфорда и Кембриджа, состояла из представителей одноименных университетов, которые избирались общим собранием членов университетов (бывших и настоящих). А в былые времена, как утверждают исследователи, «университету (Оксфорда – А.С.) фактически принадлежало почти полное распоряжение и самим городом».27</w:t>
      </w:r>
    </w:p>
    <w:p w14:paraId="09FBCB37"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видно, государственный строй зарубежных стран был достаточно близко знаком с участием учёных в законодательных органах. Не претендовала такая идея на новизну и в теоретических учениях.</w:t>
      </w:r>
    </w:p>
    <w:p w14:paraId="1BAFC297"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 о степени и формах участии деятелей науки в делах государства не раз упоминался в политико-правовых учениях на протяжении веков. Образ великого правителя и знаменитого ученого в одном лице встречаются у мыслителей древнего периода: Пифагор, Гераклит, Конфуций, Хань Фэй, Демокрит, Сократ, Платон, Аристотель, Марк Туллий Цицерон.</w:t>
      </w:r>
    </w:p>
    <w:p w14:paraId="40C8EAE1"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Об участии ученых в публичной власти упоминается в работах философов и мыслителей эпохи Возрождения и Реформации: Томмазо Кампанелла, Бенедикта Спинозы.</w:t>
      </w:r>
    </w:p>
    <w:p w14:paraId="76E79346"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Немало внимания уделял данной теме в своих работах один из основоположников российской Академии наук – Г.-В. Лейбниц.28 Он рассматривал науку, в том числе как средство улучшения государственных дел как внутригосударственных, так и международных. В этой связи он пропагандировал идею союза ученых и политиков, смысл которой заключался не только в поддержании и развитии естественных и гуманитарных наук, но и внедрение их достижений в практику. Только там, где наука занимает подобающее ей место и принимает активное участие в решении важных проблем в жизни страны, писал Г.-В. Лейбниц, государство держится собственной силой и способно успешно вести свою внутреннюю и внешнюю политику.29</w:t>
      </w:r>
    </w:p>
    <w:p w14:paraId="2D09E6F5"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Сторонник законности, Г.-В. Лейбниц отстаивал идеи оптимальной организации законодательной деятельности. Он уповал на то, что уровень знаний и образованности законодателей будет повышаться, а, следовательно, повысится и качество издаваемых законов, а вслед за этим и справедливость наказаний, неотвратимость ответственности.</w:t>
      </w:r>
    </w:p>
    <w:p w14:paraId="6FEE08A9"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У русских мыслителей подобных идей придерживался С.Е. Десницкий.30 В своих работах реформистски настроенный просветитель также проводил мысль об огромном значении науки для просвещения человечества, которая тесно переплетается с развитием государства. Вкратце, идею С.Е. Десницкого можно сформулировать так: нет наук, нет и истины и суда.31</w:t>
      </w:r>
    </w:p>
    <w:p w14:paraId="19CF3C6C" w14:textId="77777777" w:rsidR="00A335E5" w:rsidRDefault="00A335E5" w:rsidP="00A335E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правового статуса Академической группы</w:t>
      </w:r>
    </w:p>
    <w:p w14:paraId="3E4DCCFB"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Неотъемлемым условием избирательных прав (активного и пассивного) являлось гражданство Российской империи. Не могли избираться в Государственный Совет лица, не имевшие права избираться в Государственную Думу (ст. 20 УГС). Статья 61 Основных законов запрещала быть одновременно членом Государственной Думы и Государственного Совета. Не участвовали в выборах губернаторы, вице-губернаторы, градоначальники и их помощники, а также чины полиции.</w:t>
      </w:r>
    </w:p>
    <w:p w14:paraId="49BD998B"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В течение всего срока полномочий члены Государственного Совета по выборам пользовались покровительством уголовного закона: на основании ст. 286, прим. 2 Уложения о наказаниях (по прод. 1906 г.), виновные в оскорблении этих членов при исполнении или по поводу исполнения ими обязанностей своего звания подвергались наказаниям как за оскорбление должностных лиц. Кроме того, ст. 328, прим. 8 того же Уложения не допускала принуждение члена</w:t>
      </w:r>
    </w:p>
    <w:p w14:paraId="09B8339B"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Государственного Совета к исполнению обязанностей данного звания в чьих-либо интересах посредством угроз, насилия над личностью, путем злоупотребления властью.</w:t>
      </w:r>
    </w:p>
    <w:p w14:paraId="7AA06712"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всех членов Государственного Совета действовало правило о подписании ими присяги, и, вне зависимости от статуса депутата, отказ от подписи под присягой, трактовался как добровольный отказ от мандата. Однако, на практике, как отмечают исследователи, таких случаев не было.153</w:t>
      </w:r>
    </w:p>
    <w:p w14:paraId="769F0C5B"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Существовал, собственно, и сам отказ от звания (на любом сроке полномочий), который обязательно должен был быть оформлен письменно на имя председателя Государственного Совета (ст. 17 Учреждения).</w:t>
      </w:r>
    </w:p>
    <w:p w14:paraId="4EA9F1C6"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Закон не устанавливал срок для выбытия члена Совета после подачи соответствующего заявления, он зависел от самой процедуры выработанной палатами где, безусловно, субъективное выражение воли самого лица, слагающего свои депутатские полномочия, было особенно важно. Однако практика признала недостаточным для прекращения полномочий наличие одного лишь заявления соответствующего лица в виду того, что, во-первых, лицо, настаивающее на своем выбытии, могло отозвать свое заявление пока оно не дошло до председателя, во-вторых, последний был вправе отказать в принятии по формальным основаниям (отсутствие подписи, неразборчивость и т.п.).154 Таким образом, юридическое значение для признания факта выбытия по данному основанию, имела резолюция председателя палаты. Сообщение палате носило «исключительно информационный характер» и никаких прений по существу не допускалось.155 О заявлении немедленно должно было быть поставлено в известность правительство и только после получения председателем совета министров извещения о сложении депутатом полномочий, последний считался выбывшим из состав Государственного Совета (ст. 25 Наказа). Таким образом, мы видим три существенных условия, при наступлении которых депутат считался удаленным из состава Государственного Совета в добровольном порядке. Прежде всего, это воля лица, выраженная в соответствующем заявлении, затем – резолюция председателя палаты и, наконец, извещение правительства в лице председателя совета министров.156 Только после соблюдения этих трех условий в очередном порядке, полномочия депутата прекращались. От добровольного способа прекращения полномочий депутата Государственного Совета, различали принудительный – вследствие утраты избирательного ценза. В данном случае закон строго различал прекращение полномочий как образование вакансии и временную приостановку полномочий.</w:t>
      </w:r>
    </w:p>
    <w:p w14:paraId="68AD165D"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Прекращения полномочий членов законодательного собрания по выборам регулировались статьями 17 – 19 УГД, положения которых, согласно ст. 27 УГС, распространялись на депутатов Государственного Совета.</w:t>
      </w:r>
    </w:p>
    <w:p w14:paraId="533FDB08"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Ни одно из заключенных в их положениях обстоятельств, влекущих за собой выбытие члена состава Государственного Совета, особых затруднений в толковании не вызывает, за исключением п. 2, ст. 18 УГД, согласно которому выборный член Государственного Совета выбывал из его состава в случае «утраты ценза, дающего право на участие в выборах».157</w:t>
      </w:r>
    </w:p>
    <w:p w14:paraId="53C2954D"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Данная статья не раз становились предметом обсуждения, как в Государственном Совете, так и на страницах периодической печати, а также специальной юридической литературе. Спор развернулся вокруг понятия ценз, который в понимании сторонников буквального толкования п. 2 указанной статьи, санкционировал выбытие члена Государственного Совета из его состава при утрате определенных условий избрания. Тем самым понятие ценз имело более широкое (распространительное) значение, чем ему придавали сторонники узкого его понимания. По мнению последних, ценз, дающий право на участие в выборах не имел ничего общего с условиями избрания в состав законодательного собрания, а употреблялся как ценз имущественный, в соответствии с которым приобретались избирательные права.</w:t>
      </w:r>
    </w:p>
    <w:p w14:paraId="6AE68B2E"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Решения Государственного Совета были неоднозначны по этому поводу.158 Некоторые исследователи связывают с потерей депутатского мандата и назначение на государственную </w:t>
      </w:r>
      <w:r>
        <w:rPr>
          <w:rFonts w:ascii="Verdana" w:hAnsi="Verdana"/>
          <w:color w:val="000000"/>
          <w:sz w:val="18"/>
          <w:szCs w:val="18"/>
        </w:rPr>
        <w:lastRenderedPageBreak/>
        <w:t>гражданскую службу с определенным окладом содержания (п. 4. ст. 18 УГД).159 Однако такое утверждение на наш взгляд не соответствует действительности, так как никакого нормативного подтверждения данный вывод не имеет. Напротив, ст. 28 Учреждения Государственного Совета указывает на наличие возможности одновременного замещения депутатской должности и других должностей, «коим присвоено содержание». В последнем случае, они получали его «лишь в случае отказа от суточного довольствия».160 Кроме того, статья 27 УГС содержит исчерпывающий перечень положений УГД, при наступлении которых выборный член Государственного Совета утрачивал свой мандат. В частности в ст. 27 УГС приводится лишь первые два пункта ст. 18 УГД. Остальные пункты данной статьи относятся только к членам Государственной Думы, на выборных депутатов Государственного Совета они не распространялись.</w:t>
      </w:r>
    </w:p>
    <w:p w14:paraId="2976463E" w14:textId="77777777" w:rsidR="00A335E5" w:rsidRDefault="00A335E5" w:rsidP="00A335E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Выборы и состав Академической группы</w:t>
      </w:r>
    </w:p>
    <w:p w14:paraId="39718CF8"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На общем собрании Государственного Совета выступил по этому вопросу Д.И. Багалей. Согласившись с правильными выборами, вполне точно соблюденными с буквальным требованием закона, а именно ст. 16 и ст. 20 УГС профессор, тем самым, поддержал вывод комиссии. По его мнению: «эти две статьи закона имеют ввиду две различные стадии выборов и совершенно точно определяют порядок выборов, как в первой стадии, так и во второй… Что касается той первой стадии выборов, о котором только что говорилось, то закон в применении к ней дает только одно, и я должен отметить и подчеркнуть это, единственное требование, заключающееся в том, что выборщики должны быть избраны Академиею – из числа ординарных академиков, а Советом каждого университета – из числа ординарных его профессоров. Следовательно, этому единственному требованию и должны были удовлетворять те коллегии, в которых происходила первая стадия выборного производства».280 Таким образом, Д.И. Багалей, вслед за комиссией посчитал не противоречащим закону факт участия двух иностранных подданных в выборах, так как они на момент производства выборов являлись полноценными членами совета Юрьевского университета.</w:t>
      </w:r>
    </w:p>
    <w:p w14:paraId="5439D4C4"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Столь однозначный вывод вызвал несогласие некоторых членов Государственного Совета в связи с чем, породил продолжительные дебаты по данному вопросу на заседании общего состава Совета 26 мая 1906 г.</w:t>
      </w:r>
    </w:p>
    <w:p w14:paraId="49A458C4"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Противоположную позицию занял князь Н.Ф. Касаткин-Ростовский. Он нашел противозаконными действия иностранных профессоров и полагал, что выборы «подлежат кассации».281 Далее в обсуждении стало преобладать мнение о неправильности произведенных выборов. Н.А. Зиновьев вслед за Ф.Д. Самариным, привел следующие доводы: «на основании ст. 44 устава о службе по определению от правительства, иностранцы принимаются на службу в качестве преподавателей в учебных заведениях и могут быть ординарными или экстраординарными профессорами; но когда устанавливалось это правило, тогда не имелось ввиду, что состав университета будет действовать в качестве политического учреждения и производить выборы в Государственный Совет. В настоящее время в законе обнаружился пробел, который должен быть разъяснен по точному духу закона. Ни в одной стране иностранцы не принимают участие в политических выборах, а потому и у нас никогда не могут быть допущены к участию в этом </w:t>
      </w:r>
      <w:r>
        <w:rPr>
          <w:rFonts w:ascii="Verdana" w:hAnsi="Verdana"/>
          <w:color w:val="000000"/>
          <w:sz w:val="18"/>
          <w:szCs w:val="18"/>
        </w:rPr>
        <w:lastRenderedPageBreak/>
        <w:t>политическом акте. В нашем законодательстве проводится принцип совершенного устранения от участия в каких бы то ни было политических действиях… и если при издании закона было упущено из виду, что в состав университетского совета могут входить иностранные подданные, то, казалось бы, что таким иностранцам профессорам следовало самим устраниться от участия от участия в выборах, потому что такое участие является незаконным».</w:t>
      </w:r>
    </w:p>
    <w:p w14:paraId="40EE30D1"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мнения участников прений по данному вопросу разделились на тех, которые признали выборы правильными, не подлежащими кассации (комиссия по выборам, Д.И. Багалей) и сторонников отрицательного отношения к производству выборов. Последние, в свою очередь, разделились на тех, кто из-за незначительности допущенных отступлений от смысла законодательства не требовал перевыборов (Ф.Д. Самарин, Н.А. Зиновьев, П.Х. Шванебах, А.С. Ермолов) и тех, которые коренным образом были против признания легитимности выборов первой шестерки представителей вузов и академической науки избранных в Государственный Совет (Н.Ф. Касаткин-Ростовский и еще два члена Государственного Совета, проголосовавшие, впоследствии, за проведение перевыборов).</w:t>
      </w:r>
    </w:p>
    <w:p w14:paraId="0CD3A50F"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Всвязи с несовершенством законодательства о выборах в Государственный Совет может показаться, на первый взгляд, что каждое отдельно взятое мнение выступивших по данному вопросу вполне состоятельно и заслуживает внимания. Вместе с тем, при детальном рассмотрении изложенных в них доводов, трудно признать преимущество какого-либо одного мнения.</w:t>
      </w:r>
    </w:p>
    <w:p w14:paraId="2E6FEFD7"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Тон по обсуждаемому вопросу был задан комиссией по выборам, доклад, от имени которой зачитал М.В. Красовский. Однако, учитывая авторитет комиссии, в состав которой входили видные государственные деятели той эпохи, попробуем, тем не менее, выявить слабые стороны ее позиции.</w:t>
      </w:r>
    </w:p>
    <w:p w14:paraId="1750D836"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На наш взгляд, не совсем правильным является вывод Комиссии, касающийся вопроса о предоставлении полной свободы действий в избрании выборщиков коллегиям научно-учебных корпораций, в виду того, что в составе последних, наравне с гражданами российской империи присутствовали иностранные подданные, со всеми вытекающими правами и обязанностями. Несмотря на прямой запрет избирать представителей других государств в Государственный Совет, тем не менее, по действующему на тот момент общему уставу университетов иностранцы, в данном случае профессора университетов, без каких-либо ограничений могли пользоваться активным избирательным правом, поддерживая тем самым в выборах наиболее близких своих коллег. В данном случае формально статья 20 УГС хоть и не была нарушена, вместе с тем следует признать, что часть избирательных прав иностранцев признана, и, следовательно, пожелания иностранных профессоров видеть своих доверенных лиц в Государственном Совете учтены. Таким образом, в этой части доклад комиссии, на наш взгляд, противоречил общему смыслу закона исключающего иностранца как участника публичных взаимоотношений с российским государством.</w:t>
      </w:r>
    </w:p>
    <w:p w14:paraId="13833F93" w14:textId="77777777" w:rsidR="00A335E5" w:rsidRDefault="00A335E5" w:rsidP="00A335E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Законотворческая деятельность в период III–VII сессий Государственного Совета</w:t>
      </w:r>
    </w:p>
    <w:p w14:paraId="2D2AA778"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Развитие государственно-политического мировоззрения современного общества тесно связано со становлением концепции «правового государства», отражающей представление об </w:t>
      </w:r>
      <w:r>
        <w:rPr>
          <w:rFonts w:ascii="Verdana" w:hAnsi="Verdana"/>
          <w:color w:val="000000"/>
          <w:sz w:val="18"/>
          <w:szCs w:val="18"/>
        </w:rPr>
        <w:lastRenderedPageBreak/>
        <w:t>идеальном строении государственного организма. Неприкосновенность личности, свобода слова, собраний, вероисповеданий, участие народа в верховной законодательной деятельности признаны аксиомой политической доктрины либеральных реформаторов второй половины XIX – начала XX в.</w:t>
      </w:r>
    </w:p>
    <w:p w14:paraId="586781DB"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Русскими мыслителями начала вырабатываться новая модель государственности – правовая, в котором само общество принимало участие в государственной деятельности, в котором уважалась личность и соблюдалась законность во всех многообразных отношениях граждан между собой и правительством. Режим правовой государственности реально утверждает высшие, нравственные ценности человека, обеспечивает их определяющую роль в жизни общества, исключает произвол и насилие над личностью, то есть правовое государство – это государство, власть которого имеет пределы.526 Конкретно это выражается в демократичных методах государственного управления, справедливости правосудия, в приоритете прав и свобод личности во взаимоотношениях с государством, защите прав меньшинства, терпимости к религиозным воззрениям и т. п.</w:t>
      </w:r>
    </w:p>
    <w:p w14:paraId="15ED918B"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Духовная насыщенность государственной жизни в значительной степени определяет нравственную зрелость общества в целом, уровень его цивилизованности, гуманизм в социально-экономических и политических отношениях.</w:t>
      </w:r>
    </w:p>
    <w:p w14:paraId="55F532F3"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Процесс реформирования системы органов государственной власти, оформленной Основными государственными законами Российской империи в редакции от 23 апреля 1906 г., в которую вошли вновь созданная Государственная</w:t>
      </w:r>
    </w:p>
    <w:p w14:paraId="3AB0699F"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Дума, реорганизованные Государственный Совет и Совет Министров, был вызван революционными событиями 1905 гг. Но в целом реформы 1905-1906 гг. были обусловлены всем ходом общественно-политического развития России в течение предшествующего XIX в., в том числе, опытом государственно-правовых реформ (образование министерств в 1802 г., создание законосовещательного Государственного Совета в 1810 г., образование Совета Министров в 1861 г., а также судебная реформа 1864 г., в результате которой отчасти произошло обособление судебной власти). Теоретическими предпосылками реформ 1905-1906 гг. стали конституционные проекты М.М. Сперанского (Уложение государственных законов), П.А. Валуева, М.Т. Лорис-Меликова и др.</w:t>
      </w:r>
    </w:p>
    <w:p w14:paraId="1CD0CE55"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Преобразованный в 1906 г. Государственный Совет Российской империи по порядку формирования имел много общих черт с верхними палатами современных ему парламентов: назначаемость части членов главой государства; представительство высшей аристократии (знати) и духовенства; выборность от различных корпораций; территориальное представительство (от губернских земских собраний и дворянских собраний по губерниям и областям) как в большинстве верхних палат современных парламентов.</w:t>
      </w:r>
    </w:p>
    <w:p w14:paraId="118856FE"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Несмотря на огромный материал по народному представительству начала ХХ в., на сегодняшний день с определенной долей уверенности можно полагать, что некоторые вопросы участия народных представителей, как в выработке законодательства о государственных реформ, так и законодательной работе в парламенте страны остаются невыясненными в достаточной </w:t>
      </w:r>
      <w:r>
        <w:rPr>
          <w:rFonts w:ascii="Verdana" w:hAnsi="Verdana"/>
          <w:color w:val="000000"/>
          <w:sz w:val="18"/>
          <w:szCs w:val="18"/>
        </w:rPr>
        <w:lastRenderedPageBreak/>
        <w:t>степени. Между тем, еще накануне указанных реформ в обществе стал подниматься вопрос о характере предстоящих реформ. Немалый интерес вызывали вопросы о роли и форме участия общественного элемента в ней.527 Научно-учебные заведения Российской империи всегда были прочно связаны с государством. Стержнем такой взаимосвязи, взаимозависимости служила наука, с развитием которой, несомненно, улучшалось благосостояние страны. Основанные по прямой инициативе государства, научные учреждения тесным образом были использованы в его интересах.</w:t>
      </w:r>
    </w:p>
    <w:p w14:paraId="367E0605"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Поныне в государственном управлении в Российской Федерации распространены такие негативные черты, как коррупция, широкое распространение неформальных связей, формализм, волокита, непрофессионализм значительной части государственных служащих. Многие видят в чиновниках и в депутатах не работников государства, которые должны защищать их интересы, а представителей элиты, стремящихся обогатиться за счет других граждан.</w:t>
      </w:r>
    </w:p>
    <w:p w14:paraId="1BB9CD0E"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Такое положение тормозит проведение экономических реформ, является причиной социальных конфликтов, политической неустойчивости. Мероприятия, направленные на повышения качества государственной службы, часто проводятся формально. Поэтому в современных условиях преобразования российского общества и государства весьма полезным для теории и практики государственного строительства может оказаться обращение к истории отечественного государства и права, к насыщенному с юридической точки зрения периоду начала ХХ в.</w:t>
      </w:r>
    </w:p>
    <w:p w14:paraId="41FC4064"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Высшим руководством РФ не раз были сформулированы основные практические задачи по модернизации России, при этом в первую очередь была предложена комплексная реформа политической системы, которая охватывает такие аспекты как выборы в парламент.528</w:t>
      </w:r>
    </w:p>
    <w:p w14:paraId="053F1FE9" w14:textId="77777777" w:rsidR="00A335E5" w:rsidRDefault="00A335E5" w:rsidP="00A335E5">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развитие этих предложений, проводились разнообразные научные конференции, посвященные актуальным вопросам развития российского парламентаризма на современном этапе. В частности 22 марта 2012 г. в Санкт-Петербурге Советом Федерации Федерального Собрания РФ в лице его Комитетов: по Регламенту и организации парламентской деятельности, Комитета по конституционному законодательству, правовым и судебным спорам, развития гражданского общества и Комитету по науке, образованию, культуре и информационной политике, был организован круглый стол. Одной из основных тем, поднимавшихся в дискуссиях, был вопрос о реформировании порядка формирования верхней палаты российского парламента. Предлагались различные пути для решения данной проблемы. Дискуссии были обращены и к истории формирования верхней палаты имперского парламента с его элементами выборности.529 Однако подходящей формулы формирования Совета Федерации, отвечающей вызовам современности, на сегодняшний день так и не найдено.530 Затронутые в рамках данного мероприятия темы свидетельствуют о возрастающем интересе к оптимизации не только палат парламента, но и структуры и деятельности всего государственного аппарата</w:t>
      </w:r>
    </w:p>
    <w:p w14:paraId="4FE2923A" w14:textId="77777777" w:rsidR="00A335E5" w:rsidRPr="00A335E5" w:rsidRDefault="00A335E5" w:rsidP="00A335E5"/>
    <w:sectPr w:rsidR="00A335E5" w:rsidRPr="00A335E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D17E0" w14:textId="77777777" w:rsidR="00DF5669" w:rsidRDefault="00DF5669">
      <w:pPr>
        <w:spacing w:after="0" w:line="240" w:lineRule="auto"/>
      </w:pPr>
      <w:r>
        <w:separator/>
      </w:r>
    </w:p>
  </w:endnote>
  <w:endnote w:type="continuationSeparator" w:id="0">
    <w:p w14:paraId="41101EB4" w14:textId="77777777" w:rsidR="00DF5669" w:rsidRDefault="00DF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BAF2F" w14:textId="77777777" w:rsidR="00DF5669" w:rsidRDefault="00DF5669">
      <w:pPr>
        <w:spacing w:after="0" w:line="240" w:lineRule="auto"/>
      </w:pPr>
      <w:r>
        <w:separator/>
      </w:r>
    </w:p>
  </w:footnote>
  <w:footnote w:type="continuationSeparator" w:id="0">
    <w:p w14:paraId="34296646" w14:textId="77777777" w:rsidR="00DF5669" w:rsidRDefault="00DF56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174DAE"/>
    <w:multiLevelType w:val="multilevel"/>
    <w:tmpl w:val="9822E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CF14C10"/>
    <w:multiLevelType w:val="multilevel"/>
    <w:tmpl w:val="6E0C19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6"/>
  </w:num>
  <w:num w:numId="7">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669"/>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31631</TotalTime>
  <Pages>20</Pages>
  <Words>8197</Words>
  <Characters>46723</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54811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6066</cp:revision>
  <cp:lastPrinted>2009-02-06T05:36:00Z</cp:lastPrinted>
  <dcterms:created xsi:type="dcterms:W3CDTF">2016-09-19T15:12:00Z</dcterms:created>
  <dcterms:modified xsi:type="dcterms:W3CDTF">2017-02-20T11:57:00Z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