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5B16" w14:textId="77777777" w:rsidR="00EF725B" w:rsidRDefault="00EF725B" w:rsidP="00EF725B">
      <w:pPr>
        <w:pStyle w:val="afffffffffffffffffffffffffff5"/>
        <w:rPr>
          <w:rFonts w:ascii="Verdana" w:hAnsi="Verdana"/>
          <w:color w:val="000000"/>
          <w:sz w:val="21"/>
          <w:szCs w:val="21"/>
        </w:rPr>
      </w:pPr>
      <w:r>
        <w:rPr>
          <w:rFonts w:ascii="Helvetica" w:hAnsi="Helvetica" w:cs="Helvetica"/>
          <w:b/>
          <w:bCs w:val="0"/>
          <w:color w:val="222222"/>
          <w:sz w:val="21"/>
          <w:szCs w:val="21"/>
        </w:rPr>
        <w:t>Кожина, Анна Александровна.</w:t>
      </w:r>
    </w:p>
    <w:p w14:paraId="393A476A" w14:textId="77777777" w:rsidR="00EF725B" w:rsidRDefault="00EF725B" w:rsidP="00EF725B">
      <w:pPr>
        <w:pStyle w:val="20"/>
        <w:spacing w:before="0" w:after="312"/>
        <w:rPr>
          <w:rFonts w:ascii="Arial" w:hAnsi="Arial" w:cs="Arial"/>
          <w:caps/>
          <w:color w:val="333333"/>
          <w:sz w:val="27"/>
          <w:szCs w:val="27"/>
        </w:rPr>
      </w:pPr>
      <w:r>
        <w:rPr>
          <w:rFonts w:ascii="Helvetica" w:hAnsi="Helvetica" w:cs="Helvetica"/>
          <w:caps/>
          <w:color w:val="222222"/>
          <w:sz w:val="21"/>
          <w:szCs w:val="21"/>
        </w:rPr>
        <w:t>Метод параметрикса и его применения в теории вероятностей = Parametrix Method and its Applications in Probability Theory : Parametrix Method and its Applications in Probability Theory : диссертация ... кандидата физико-математических наук : 01.00.00 / Anna Kozhina; [Место защиты: НИУ "Высшая школа экономики"]. - Москва, 2018. - 96 с.</w:t>
      </w:r>
    </w:p>
    <w:p w14:paraId="0BD280FB" w14:textId="77777777" w:rsidR="00EF725B" w:rsidRDefault="00EF725B" w:rsidP="00EF725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Кожина Анна Александровна</w:t>
      </w:r>
    </w:p>
    <w:p w14:paraId="25AADE00" w14:textId="77777777" w:rsidR="00EF725B" w:rsidRPr="00EF725B" w:rsidRDefault="00EF725B" w:rsidP="00EF725B">
      <w:pPr>
        <w:pStyle w:val="afffffffffffffffffffffffffff5"/>
        <w:spacing w:before="0" w:beforeAutospacing="0" w:after="312" w:afterAutospacing="0"/>
        <w:rPr>
          <w:rFonts w:ascii="Arial" w:hAnsi="Arial" w:cs="Arial"/>
          <w:color w:val="333333"/>
          <w:sz w:val="21"/>
          <w:szCs w:val="21"/>
          <w:lang w:val="en-US"/>
        </w:rPr>
      </w:pPr>
      <w:r w:rsidRPr="00EF725B">
        <w:rPr>
          <w:rFonts w:ascii="Arial" w:hAnsi="Arial" w:cs="Arial"/>
          <w:color w:val="333333"/>
          <w:sz w:val="21"/>
          <w:szCs w:val="21"/>
          <w:lang w:val="en-US"/>
        </w:rPr>
        <w:t>Contents</w:t>
      </w:r>
    </w:p>
    <w:p w14:paraId="27135E0C" w14:textId="77777777" w:rsidR="00EF725B" w:rsidRPr="00EF725B" w:rsidRDefault="00EF725B" w:rsidP="00EF725B">
      <w:pPr>
        <w:pStyle w:val="afffffffffffffffffffffffffff5"/>
        <w:spacing w:before="0" w:beforeAutospacing="0" w:after="312" w:afterAutospacing="0"/>
        <w:rPr>
          <w:rFonts w:ascii="Arial" w:hAnsi="Arial" w:cs="Arial"/>
          <w:color w:val="333333"/>
          <w:sz w:val="21"/>
          <w:szCs w:val="21"/>
          <w:lang w:val="en-US"/>
        </w:rPr>
      </w:pPr>
      <w:r w:rsidRPr="00EF725B">
        <w:rPr>
          <w:rFonts w:ascii="Arial" w:hAnsi="Arial" w:cs="Arial"/>
          <w:color w:val="333333"/>
          <w:sz w:val="21"/>
          <w:szCs w:val="21"/>
          <w:lang w:val="en-US"/>
        </w:rPr>
        <w:t>Glossary</w:t>
      </w:r>
    </w:p>
    <w:p w14:paraId="2D0BC71B" w14:textId="77777777" w:rsidR="00EF725B" w:rsidRPr="00EF725B" w:rsidRDefault="00EF725B" w:rsidP="00EF725B">
      <w:pPr>
        <w:pStyle w:val="afffffffffffffffffffffffffff5"/>
        <w:spacing w:before="0" w:beforeAutospacing="0" w:after="312" w:afterAutospacing="0"/>
        <w:rPr>
          <w:rFonts w:ascii="Arial" w:hAnsi="Arial" w:cs="Arial"/>
          <w:color w:val="333333"/>
          <w:sz w:val="21"/>
          <w:szCs w:val="21"/>
          <w:lang w:val="en-US"/>
        </w:rPr>
      </w:pPr>
      <w:r w:rsidRPr="00EF725B">
        <w:rPr>
          <w:rFonts w:ascii="Arial" w:hAnsi="Arial" w:cs="Arial"/>
          <w:color w:val="333333"/>
          <w:sz w:val="21"/>
          <w:szCs w:val="21"/>
          <w:lang w:val="en-US"/>
        </w:rPr>
        <w:t>1 Introduction</w:t>
      </w:r>
    </w:p>
    <w:p w14:paraId="37E21AFF" w14:textId="77777777" w:rsidR="00EF725B" w:rsidRPr="00EF725B" w:rsidRDefault="00EF725B" w:rsidP="00EF725B">
      <w:pPr>
        <w:pStyle w:val="afffffffffffffffffffffffffff5"/>
        <w:spacing w:before="0" w:beforeAutospacing="0" w:after="312" w:afterAutospacing="0"/>
        <w:rPr>
          <w:rFonts w:ascii="Arial" w:hAnsi="Arial" w:cs="Arial"/>
          <w:color w:val="333333"/>
          <w:sz w:val="21"/>
          <w:szCs w:val="21"/>
          <w:lang w:val="en-US"/>
        </w:rPr>
      </w:pPr>
      <w:r w:rsidRPr="00EF725B">
        <w:rPr>
          <w:rFonts w:ascii="Arial" w:hAnsi="Arial" w:cs="Arial"/>
          <w:color w:val="333333"/>
          <w:sz w:val="21"/>
          <w:szCs w:val="21"/>
          <w:lang w:val="en-US"/>
        </w:rPr>
        <w:t>2 Parametrix technique</w:t>
      </w:r>
    </w:p>
    <w:p w14:paraId="78326759" w14:textId="77777777" w:rsidR="00EF725B" w:rsidRPr="00EF725B" w:rsidRDefault="00EF725B" w:rsidP="00EF725B">
      <w:pPr>
        <w:pStyle w:val="afffffffffffffffffffffffffff5"/>
        <w:spacing w:before="0" w:beforeAutospacing="0" w:after="312" w:afterAutospacing="0"/>
        <w:rPr>
          <w:rFonts w:ascii="Arial" w:hAnsi="Arial" w:cs="Arial"/>
          <w:color w:val="333333"/>
          <w:sz w:val="21"/>
          <w:szCs w:val="21"/>
          <w:lang w:val="en-US"/>
        </w:rPr>
      </w:pPr>
      <w:r w:rsidRPr="00EF725B">
        <w:rPr>
          <w:rFonts w:ascii="Arial" w:hAnsi="Arial" w:cs="Arial"/>
          <w:color w:val="333333"/>
          <w:sz w:val="21"/>
          <w:szCs w:val="21"/>
          <w:lang w:val="en-US"/>
        </w:rPr>
        <w:t>2.1 Review</w:t>
      </w:r>
    </w:p>
    <w:p w14:paraId="40B3C2CF" w14:textId="77777777" w:rsidR="00EF725B" w:rsidRPr="00EF725B" w:rsidRDefault="00EF725B" w:rsidP="00EF725B">
      <w:pPr>
        <w:pStyle w:val="afffffffffffffffffffffffffff5"/>
        <w:spacing w:before="0" w:beforeAutospacing="0" w:after="312" w:afterAutospacing="0"/>
        <w:rPr>
          <w:rFonts w:ascii="Arial" w:hAnsi="Arial" w:cs="Arial"/>
          <w:color w:val="333333"/>
          <w:sz w:val="21"/>
          <w:szCs w:val="21"/>
          <w:lang w:val="en-US"/>
        </w:rPr>
      </w:pPr>
      <w:r w:rsidRPr="00EF725B">
        <w:rPr>
          <w:rFonts w:ascii="Arial" w:hAnsi="Arial" w:cs="Arial"/>
          <w:color w:val="333333"/>
          <w:sz w:val="21"/>
          <w:szCs w:val="21"/>
          <w:lang w:val="en-US"/>
        </w:rPr>
        <w:t>2.2 Other developments in Parametrix</w:t>
      </w:r>
    </w:p>
    <w:p w14:paraId="4B45543E" w14:textId="77777777" w:rsidR="00EF725B" w:rsidRPr="00EF725B" w:rsidRDefault="00EF725B" w:rsidP="00EF725B">
      <w:pPr>
        <w:pStyle w:val="afffffffffffffffffffffffffff5"/>
        <w:spacing w:before="0" w:beforeAutospacing="0" w:after="312" w:afterAutospacing="0"/>
        <w:rPr>
          <w:rFonts w:ascii="Arial" w:hAnsi="Arial" w:cs="Arial"/>
          <w:color w:val="333333"/>
          <w:sz w:val="21"/>
          <w:szCs w:val="21"/>
          <w:lang w:val="en-US"/>
        </w:rPr>
      </w:pPr>
      <w:r w:rsidRPr="00EF725B">
        <w:rPr>
          <w:rFonts w:ascii="Arial" w:hAnsi="Arial" w:cs="Arial"/>
          <w:color w:val="333333"/>
          <w:sz w:val="21"/>
          <w:szCs w:val="21"/>
          <w:lang w:val="en-US"/>
        </w:rPr>
        <w:t>2.3 The parametrix method for diffusion processes</w:t>
      </w:r>
    </w:p>
    <w:p w14:paraId="3DBDAE95" w14:textId="77777777" w:rsidR="00EF725B" w:rsidRPr="00EF725B" w:rsidRDefault="00EF725B" w:rsidP="00EF725B">
      <w:pPr>
        <w:pStyle w:val="afffffffffffffffffffffffffff5"/>
        <w:spacing w:before="0" w:beforeAutospacing="0" w:after="312" w:afterAutospacing="0"/>
        <w:rPr>
          <w:rFonts w:ascii="Arial" w:hAnsi="Arial" w:cs="Arial"/>
          <w:color w:val="333333"/>
          <w:sz w:val="21"/>
          <w:szCs w:val="21"/>
          <w:lang w:val="en-US"/>
        </w:rPr>
      </w:pPr>
      <w:r w:rsidRPr="00EF725B">
        <w:rPr>
          <w:rFonts w:ascii="Arial" w:hAnsi="Arial" w:cs="Arial"/>
          <w:color w:val="333333"/>
          <w:sz w:val="21"/>
          <w:szCs w:val="21"/>
          <w:lang w:val="en-US"/>
        </w:rPr>
        <w:t>2.4 Markov Chains</w:t>
      </w:r>
    </w:p>
    <w:p w14:paraId="30DF5EB9" w14:textId="77777777" w:rsidR="00EF725B" w:rsidRPr="00EF725B" w:rsidRDefault="00EF725B" w:rsidP="00EF725B">
      <w:pPr>
        <w:pStyle w:val="afffffffffffffffffffffffffff5"/>
        <w:spacing w:before="0" w:beforeAutospacing="0" w:after="312" w:afterAutospacing="0"/>
        <w:rPr>
          <w:rFonts w:ascii="Arial" w:hAnsi="Arial" w:cs="Arial"/>
          <w:color w:val="333333"/>
          <w:sz w:val="21"/>
          <w:szCs w:val="21"/>
          <w:lang w:val="en-US"/>
        </w:rPr>
      </w:pPr>
      <w:r w:rsidRPr="00EF725B">
        <w:rPr>
          <w:rFonts w:ascii="Arial" w:hAnsi="Arial" w:cs="Arial"/>
          <w:color w:val="333333"/>
          <w:sz w:val="21"/>
          <w:szCs w:val="21"/>
          <w:lang w:val="en-US"/>
        </w:rPr>
        <w:t>3 Stability of diffusion transition densities</w:t>
      </w:r>
    </w:p>
    <w:p w14:paraId="0441BBD3"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Stability results</w:t>
      </w:r>
    </w:p>
    <w:p w14:paraId="68CF2E3E"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Assumptions and Main Results</w:t>
      </w:r>
    </w:p>
    <w:p w14:paraId="6F2E013F"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On Some Related Applications</w:t>
      </w:r>
    </w:p>
    <w:p w14:paraId="52F2D056"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Derivation of formal series expansion for densities</w:t>
      </w:r>
    </w:p>
    <w:p w14:paraId="482F5639"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Stability of Parametrix Series</w:t>
      </w:r>
    </w:p>
    <w:p w14:paraId="5B0BA086"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Stability for Markov Chains</w:t>
      </w:r>
    </w:p>
    <w:p w14:paraId="681A0A05"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Degenerate diffusions</w:t>
      </w:r>
    </w:p>
    <w:p w14:paraId="49FF5DBF"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Introduction</w:t>
      </w:r>
    </w:p>
    <w:p w14:paraId="64BC52DC"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4.1.1 Hypoellipticity</w:t>
      </w:r>
    </w:p>
    <w:p w14:paraId="27C3A009"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Kolmogorov's example</w:t>
      </w:r>
    </w:p>
    <w:p w14:paraId="16DF3225"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Degeneracy and Hormander conditions</w:t>
      </w:r>
    </w:p>
    <w:p w14:paraId="0B9363C0"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General models</w:t>
      </w:r>
    </w:p>
    <w:p w14:paraId="306679F8"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Preliminary results from [KMM10]</w:t>
      </w:r>
    </w:p>
    <w:p w14:paraId="6661E1EE"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Parametrix in the degenerate case</w:t>
      </w:r>
    </w:p>
    <w:p w14:paraId="54254233"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Assumptions</w:t>
      </w:r>
    </w:p>
    <w:p w14:paraId="34697718"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Parametrix expansion. Diffusion</w:t>
      </w:r>
    </w:p>
    <w:p w14:paraId="4D0AA205"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Stability results</w:t>
      </w:r>
    </w:p>
    <w:p w14:paraId="2BF66C8A"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Stability for perturbed diffusions</w:t>
      </w:r>
    </w:p>
    <w:p w14:paraId="27AEB1FE"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Weak error</w:t>
      </w:r>
    </w:p>
    <w:p w14:paraId="73EF182A"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Global error</w:t>
      </w:r>
    </w:p>
    <w:p w14:paraId="367EFA9F"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Proof of Theorem</w:t>
      </w:r>
    </w:p>
    <w:p w14:paraId="406166E0" w14:textId="77777777" w:rsidR="00EF725B" w:rsidRDefault="00EF725B" w:rsidP="00EF72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Appendix</w:t>
      </w:r>
    </w:p>
    <w:p w14:paraId="4FDAD129" w14:textId="5ACD63BC" w:rsidR="00BD642D" w:rsidRPr="00EF725B" w:rsidRDefault="00BD642D" w:rsidP="00EF725B"/>
    <w:sectPr w:rsidR="00BD642D" w:rsidRPr="00EF72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5CC8" w14:textId="77777777" w:rsidR="0075779F" w:rsidRDefault="0075779F">
      <w:pPr>
        <w:spacing w:after="0" w:line="240" w:lineRule="auto"/>
      </w:pPr>
      <w:r>
        <w:separator/>
      </w:r>
    </w:p>
  </w:endnote>
  <w:endnote w:type="continuationSeparator" w:id="0">
    <w:p w14:paraId="7FCC9483" w14:textId="77777777" w:rsidR="0075779F" w:rsidRDefault="0075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CCEB" w14:textId="77777777" w:rsidR="0075779F" w:rsidRDefault="0075779F"/>
    <w:p w14:paraId="5B09123C" w14:textId="77777777" w:rsidR="0075779F" w:rsidRDefault="0075779F"/>
    <w:p w14:paraId="060D70DA" w14:textId="77777777" w:rsidR="0075779F" w:rsidRDefault="0075779F"/>
    <w:p w14:paraId="4CAF01A2" w14:textId="77777777" w:rsidR="0075779F" w:rsidRDefault="0075779F"/>
    <w:p w14:paraId="70DE84A8" w14:textId="77777777" w:rsidR="0075779F" w:rsidRDefault="0075779F"/>
    <w:p w14:paraId="239414F3" w14:textId="77777777" w:rsidR="0075779F" w:rsidRDefault="0075779F"/>
    <w:p w14:paraId="02F461C2" w14:textId="77777777" w:rsidR="0075779F" w:rsidRDefault="007577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8AF37D" wp14:editId="5DABC6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4E18" w14:textId="77777777" w:rsidR="0075779F" w:rsidRDefault="00757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8AF3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404E18" w14:textId="77777777" w:rsidR="0075779F" w:rsidRDefault="00757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56FAC8" w14:textId="77777777" w:rsidR="0075779F" w:rsidRDefault="0075779F"/>
    <w:p w14:paraId="47DFCA69" w14:textId="77777777" w:rsidR="0075779F" w:rsidRDefault="0075779F"/>
    <w:p w14:paraId="6F65035F" w14:textId="77777777" w:rsidR="0075779F" w:rsidRDefault="007577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DA7B34" wp14:editId="55B54B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5DA3F" w14:textId="77777777" w:rsidR="0075779F" w:rsidRDefault="0075779F"/>
                          <w:p w14:paraId="02D27CBB" w14:textId="77777777" w:rsidR="0075779F" w:rsidRDefault="00757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DA7B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45DA3F" w14:textId="77777777" w:rsidR="0075779F" w:rsidRDefault="0075779F"/>
                    <w:p w14:paraId="02D27CBB" w14:textId="77777777" w:rsidR="0075779F" w:rsidRDefault="00757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3F3C90" w14:textId="77777777" w:rsidR="0075779F" w:rsidRDefault="0075779F"/>
    <w:p w14:paraId="42032D44" w14:textId="77777777" w:rsidR="0075779F" w:rsidRDefault="0075779F">
      <w:pPr>
        <w:rPr>
          <w:sz w:val="2"/>
          <w:szCs w:val="2"/>
        </w:rPr>
      </w:pPr>
    </w:p>
    <w:p w14:paraId="0EEC5216" w14:textId="77777777" w:rsidR="0075779F" w:rsidRDefault="0075779F"/>
    <w:p w14:paraId="1B15DB4E" w14:textId="77777777" w:rsidR="0075779F" w:rsidRDefault="0075779F">
      <w:pPr>
        <w:spacing w:after="0" w:line="240" w:lineRule="auto"/>
      </w:pPr>
    </w:p>
  </w:footnote>
  <w:footnote w:type="continuationSeparator" w:id="0">
    <w:p w14:paraId="3D47D9BA" w14:textId="77777777" w:rsidR="0075779F" w:rsidRDefault="00757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9F"/>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99452</TotalTime>
  <Pages>2</Pages>
  <Words>191</Words>
  <Characters>1092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917</cp:revision>
  <cp:lastPrinted>2009-02-06T05:36:00Z</cp:lastPrinted>
  <dcterms:created xsi:type="dcterms:W3CDTF">2024-01-07T13:43:00Z</dcterms:created>
  <dcterms:modified xsi:type="dcterms:W3CDTF">2025-05-27T18:37:00Z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