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267E" w14:textId="77777777" w:rsidR="00A741EA" w:rsidRPr="00A741EA" w:rsidRDefault="00A741EA" w:rsidP="00A741EA">
      <w:pPr>
        <w:rPr>
          <w:rFonts w:ascii="Helvetica" w:eastAsia="Symbol" w:hAnsi="Helvetica" w:cs="Helvetica"/>
          <w:b/>
          <w:bCs/>
          <w:color w:val="222222"/>
          <w:kern w:val="0"/>
          <w:sz w:val="21"/>
          <w:szCs w:val="21"/>
          <w:lang w:eastAsia="ru-RU"/>
        </w:rPr>
      </w:pPr>
      <w:r w:rsidRPr="00A741EA">
        <w:rPr>
          <w:rFonts w:ascii="Helvetica" w:eastAsia="Symbol" w:hAnsi="Helvetica" w:cs="Helvetica"/>
          <w:b/>
          <w:bCs/>
          <w:color w:val="222222"/>
          <w:kern w:val="0"/>
          <w:sz w:val="21"/>
          <w:szCs w:val="21"/>
          <w:lang w:eastAsia="ru-RU"/>
        </w:rPr>
        <w:t>Соколов, Вячеслав Георгиевич.</w:t>
      </w:r>
    </w:p>
    <w:p w14:paraId="02DA5F48" w14:textId="77777777" w:rsidR="00A741EA" w:rsidRPr="00A741EA" w:rsidRDefault="00A741EA" w:rsidP="00A741EA">
      <w:pPr>
        <w:rPr>
          <w:rFonts w:ascii="Helvetica" w:eastAsia="Symbol" w:hAnsi="Helvetica" w:cs="Helvetica"/>
          <w:b/>
          <w:bCs/>
          <w:color w:val="222222"/>
          <w:kern w:val="0"/>
          <w:sz w:val="21"/>
          <w:szCs w:val="21"/>
          <w:lang w:eastAsia="ru-RU"/>
        </w:rPr>
      </w:pPr>
      <w:r w:rsidRPr="00A741EA">
        <w:rPr>
          <w:rFonts w:ascii="Helvetica" w:eastAsia="Symbol" w:hAnsi="Helvetica" w:cs="Helvetica"/>
          <w:b/>
          <w:bCs/>
          <w:color w:val="222222"/>
          <w:kern w:val="0"/>
          <w:sz w:val="21"/>
          <w:szCs w:val="21"/>
          <w:lang w:eastAsia="ru-RU"/>
        </w:rPr>
        <w:t>Численное моделирование физических процессов в инжекторах отрицательных ионов : диссертация ... кандидата физико-математических наук : 01.04.08. - Москва, 1982. - 154 с. : ил.</w:t>
      </w:r>
    </w:p>
    <w:p w14:paraId="0E8606C8" w14:textId="77777777" w:rsidR="00A741EA" w:rsidRPr="00A741EA" w:rsidRDefault="00A741EA" w:rsidP="00A741EA">
      <w:pPr>
        <w:rPr>
          <w:rFonts w:ascii="Helvetica" w:eastAsia="Symbol" w:hAnsi="Helvetica" w:cs="Helvetica"/>
          <w:b/>
          <w:bCs/>
          <w:color w:val="222222"/>
          <w:kern w:val="0"/>
          <w:sz w:val="21"/>
          <w:szCs w:val="21"/>
          <w:lang w:eastAsia="ru-RU"/>
        </w:rPr>
      </w:pPr>
      <w:r w:rsidRPr="00A741EA">
        <w:rPr>
          <w:rFonts w:ascii="Helvetica" w:eastAsia="Symbol" w:hAnsi="Helvetica" w:cs="Helvetica"/>
          <w:b/>
          <w:bCs/>
          <w:color w:val="222222"/>
          <w:kern w:val="0"/>
          <w:sz w:val="21"/>
          <w:szCs w:val="21"/>
          <w:lang w:eastAsia="ru-RU"/>
        </w:rPr>
        <w:t>Оглавление диссертациикандидат физико-математических наук Соколов, Вячеслав Георгиевич</w:t>
      </w:r>
    </w:p>
    <w:p w14:paraId="46BECDEC" w14:textId="77777777" w:rsidR="00A741EA" w:rsidRPr="00A741EA" w:rsidRDefault="00A741EA" w:rsidP="00A741EA">
      <w:pPr>
        <w:rPr>
          <w:rFonts w:ascii="Helvetica" w:eastAsia="Symbol" w:hAnsi="Helvetica" w:cs="Helvetica"/>
          <w:b/>
          <w:bCs/>
          <w:color w:val="222222"/>
          <w:kern w:val="0"/>
          <w:sz w:val="21"/>
          <w:szCs w:val="21"/>
          <w:lang w:eastAsia="ru-RU"/>
        </w:rPr>
      </w:pPr>
      <w:r w:rsidRPr="00A741EA">
        <w:rPr>
          <w:rFonts w:ascii="Helvetica" w:eastAsia="Symbol" w:hAnsi="Helvetica" w:cs="Helvetica"/>
          <w:b/>
          <w:bCs/>
          <w:color w:val="222222"/>
          <w:kern w:val="0"/>
          <w:sz w:val="21"/>
          <w:szCs w:val="21"/>
          <w:lang w:eastAsia="ru-RU"/>
        </w:rPr>
        <w:t>ВВЕДЕНИЕ.</w:t>
      </w:r>
    </w:p>
    <w:p w14:paraId="20EEA81C" w14:textId="77777777" w:rsidR="00A741EA" w:rsidRPr="00A741EA" w:rsidRDefault="00A741EA" w:rsidP="00A741EA">
      <w:pPr>
        <w:rPr>
          <w:rFonts w:ascii="Helvetica" w:eastAsia="Symbol" w:hAnsi="Helvetica" w:cs="Helvetica"/>
          <w:b/>
          <w:bCs/>
          <w:color w:val="222222"/>
          <w:kern w:val="0"/>
          <w:sz w:val="21"/>
          <w:szCs w:val="21"/>
          <w:lang w:eastAsia="ru-RU"/>
        </w:rPr>
      </w:pPr>
      <w:r w:rsidRPr="00A741EA">
        <w:rPr>
          <w:rFonts w:ascii="Helvetica" w:eastAsia="Symbol" w:hAnsi="Helvetica" w:cs="Helvetica"/>
          <w:b/>
          <w:bCs/>
          <w:color w:val="222222"/>
          <w:kern w:val="0"/>
          <w:sz w:val="21"/>
          <w:szCs w:val="21"/>
          <w:lang w:eastAsia="ru-RU"/>
        </w:rPr>
        <w:t>ГЛАВА. I. ОБЗОР ПРОБЛЕМ, СВЯЗАННЫХ С СОЗДАНИЕМ И ТРАНСПОРТИРОВКОЙ ПУЧКОВ ОТРИЦАТЕЛЬНЫХ ИОНОВ И ИХ МТШАТИЧЕСКИМ МОДЕЛИРОВАНИЙ! .ю</w:t>
      </w:r>
    </w:p>
    <w:p w14:paraId="7EB3F7AF" w14:textId="77777777" w:rsidR="00A741EA" w:rsidRPr="00A741EA" w:rsidRDefault="00A741EA" w:rsidP="00A741EA">
      <w:pPr>
        <w:rPr>
          <w:rFonts w:ascii="Helvetica" w:eastAsia="Symbol" w:hAnsi="Helvetica" w:cs="Helvetica"/>
          <w:b/>
          <w:bCs/>
          <w:color w:val="222222"/>
          <w:kern w:val="0"/>
          <w:sz w:val="21"/>
          <w:szCs w:val="21"/>
          <w:lang w:eastAsia="ru-RU"/>
        </w:rPr>
      </w:pPr>
      <w:r w:rsidRPr="00A741EA">
        <w:rPr>
          <w:rFonts w:ascii="Helvetica" w:eastAsia="Symbol" w:hAnsi="Helvetica" w:cs="Helvetica"/>
          <w:b/>
          <w:bCs/>
          <w:color w:val="222222"/>
          <w:kern w:val="0"/>
          <w:sz w:val="21"/>
          <w:szCs w:val="21"/>
          <w:lang w:eastAsia="ru-RU"/>
        </w:rPr>
        <w:t>§ 1.1 Требования,предъявляемые к параметрам пучка отрицательных ионов,инжектируемого в термоядерные установки,и способы получения таких пучков</w:t>
      </w:r>
    </w:p>
    <w:p w14:paraId="5931F9A5" w14:textId="77777777" w:rsidR="00A741EA" w:rsidRPr="00A741EA" w:rsidRDefault="00A741EA" w:rsidP="00A741EA">
      <w:pPr>
        <w:rPr>
          <w:rFonts w:ascii="Helvetica" w:eastAsia="Symbol" w:hAnsi="Helvetica" w:cs="Helvetica"/>
          <w:b/>
          <w:bCs/>
          <w:color w:val="222222"/>
          <w:kern w:val="0"/>
          <w:sz w:val="21"/>
          <w:szCs w:val="21"/>
          <w:lang w:eastAsia="ru-RU"/>
        </w:rPr>
      </w:pPr>
      <w:r w:rsidRPr="00A741EA">
        <w:rPr>
          <w:rFonts w:ascii="Helvetica" w:eastAsia="Symbol" w:hAnsi="Helvetica" w:cs="Helvetica"/>
          <w:b/>
          <w:bCs/>
          <w:color w:val="222222"/>
          <w:kern w:val="0"/>
          <w:sz w:val="21"/>
          <w:szCs w:val="21"/>
          <w:lang w:eastAsia="ru-RU"/>
        </w:rPr>
        <w:t>§ 1.2 Обзор численных методов,применяемых при расчетах ионно-оптических систем.</w:t>
      </w:r>
    </w:p>
    <w:p w14:paraId="6D431F8E" w14:textId="77777777" w:rsidR="00A741EA" w:rsidRPr="00A741EA" w:rsidRDefault="00A741EA" w:rsidP="00A741EA">
      <w:pPr>
        <w:rPr>
          <w:rFonts w:ascii="Helvetica" w:eastAsia="Symbol" w:hAnsi="Helvetica" w:cs="Helvetica"/>
          <w:b/>
          <w:bCs/>
          <w:color w:val="222222"/>
          <w:kern w:val="0"/>
          <w:sz w:val="21"/>
          <w:szCs w:val="21"/>
          <w:lang w:eastAsia="ru-RU"/>
        </w:rPr>
      </w:pPr>
      <w:r w:rsidRPr="00A741EA">
        <w:rPr>
          <w:rFonts w:ascii="Helvetica" w:eastAsia="Symbol" w:hAnsi="Helvetica" w:cs="Helvetica"/>
          <w:b/>
          <w:bCs/>
          <w:color w:val="222222"/>
          <w:kern w:val="0"/>
          <w:sz w:val="21"/>
          <w:szCs w:val="21"/>
          <w:lang w:eastAsia="ru-RU"/>
        </w:rPr>
        <w:t>§ 1.3 Обзор методов математического моделирования процессов компенсации собственного.-.заряда ионных пучков.</w:t>
      </w:r>
    </w:p>
    <w:p w14:paraId="431E8B03" w14:textId="77777777" w:rsidR="00A741EA" w:rsidRPr="00A741EA" w:rsidRDefault="00A741EA" w:rsidP="00A741EA">
      <w:pPr>
        <w:rPr>
          <w:rFonts w:ascii="Helvetica" w:eastAsia="Symbol" w:hAnsi="Helvetica" w:cs="Helvetica"/>
          <w:b/>
          <w:bCs/>
          <w:color w:val="222222"/>
          <w:kern w:val="0"/>
          <w:sz w:val="21"/>
          <w:szCs w:val="21"/>
          <w:lang w:eastAsia="ru-RU"/>
        </w:rPr>
      </w:pPr>
      <w:r w:rsidRPr="00A741EA">
        <w:rPr>
          <w:rFonts w:ascii="Helvetica" w:eastAsia="Symbol" w:hAnsi="Helvetica" w:cs="Helvetica"/>
          <w:b/>
          <w:bCs/>
          <w:color w:val="222222"/>
          <w:kern w:val="0"/>
          <w:sz w:val="21"/>
          <w:szCs w:val="21"/>
          <w:lang w:eastAsia="ru-RU"/>
        </w:rPr>
        <w:t>§ 1.4 Использование перезарядных Сверхзвуковых струй в качестве вакуумных затворов и насосов</w:t>
      </w:r>
    </w:p>
    <w:p w14:paraId="05C7D8D2" w14:textId="77777777" w:rsidR="00A741EA" w:rsidRPr="00A741EA" w:rsidRDefault="00A741EA" w:rsidP="00A741EA">
      <w:pPr>
        <w:rPr>
          <w:rFonts w:ascii="Helvetica" w:eastAsia="Symbol" w:hAnsi="Helvetica" w:cs="Helvetica"/>
          <w:b/>
          <w:bCs/>
          <w:color w:val="222222"/>
          <w:kern w:val="0"/>
          <w:sz w:val="21"/>
          <w:szCs w:val="21"/>
          <w:lang w:eastAsia="ru-RU"/>
        </w:rPr>
      </w:pPr>
      <w:r w:rsidRPr="00A741EA">
        <w:rPr>
          <w:rFonts w:ascii="Helvetica" w:eastAsia="Symbol" w:hAnsi="Helvetica" w:cs="Helvetica"/>
          <w:b/>
          <w:bCs/>
          <w:color w:val="222222"/>
          <w:kern w:val="0"/>
          <w:sz w:val="21"/>
          <w:szCs w:val="21"/>
          <w:lang w:eastAsia="ru-RU"/>
        </w:rPr>
        <w:t>ГЛАВА II. МОДЕЛИРОВАНИЕ ПРОЦЕССОВ ДОУСКОРЕНИЯ ПУЧКОВ</w:t>
      </w:r>
    </w:p>
    <w:p w14:paraId="5ED5A4E3" w14:textId="77777777" w:rsidR="00A741EA" w:rsidRPr="00A741EA" w:rsidRDefault="00A741EA" w:rsidP="00A741EA">
      <w:pPr>
        <w:rPr>
          <w:rFonts w:ascii="Helvetica" w:eastAsia="Symbol" w:hAnsi="Helvetica" w:cs="Helvetica"/>
          <w:b/>
          <w:bCs/>
          <w:color w:val="222222"/>
          <w:kern w:val="0"/>
          <w:sz w:val="21"/>
          <w:szCs w:val="21"/>
          <w:lang w:eastAsia="ru-RU"/>
        </w:rPr>
      </w:pPr>
      <w:r w:rsidRPr="00A741EA">
        <w:rPr>
          <w:rFonts w:ascii="Helvetica" w:eastAsia="Symbol" w:hAnsi="Helvetica" w:cs="Helvetica"/>
          <w:b/>
          <w:bCs/>
          <w:color w:val="222222"/>
          <w:kern w:val="0"/>
          <w:sz w:val="21"/>
          <w:szCs w:val="21"/>
          <w:lang w:eastAsia="ru-RU"/>
        </w:rPr>
        <w:t>ОТРИЦАТЕЛЬНЫХ ИОНОВ.</w:t>
      </w:r>
    </w:p>
    <w:p w14:paraId="452385EF" w14:textId="77777777" w:rsidR="00A741EA" w:rsidRPr="00A741EA" w:rsidRDefault="00A741EA" w:rsidP="00A741EA">
      <w:pPr>
        <w:rPr>
          <w:rFonts w:ascii="Helvetica" w:eastAsia="Symbol" w:hAnsi="Helvetica" w:cs="Helvetica"/>
          <w:b/>
          <w:bCs/>
          <w:color w:val="222222"/>
          <w:kern w:val="0"/>
          <w:sz w:val="21"/>
          <w:szCs w:val="21"/>
          <w:lang w:eastAsia="ru-RU"/>
        </w:rPr>
      </w:pPr>
      <w:r w:rsidRPr="00A741EA">
        <w:rPr>
          <w:rFonts w:ascii="Helvetica" w:eastAsia="Symbol" w:hAnsi="Helvetica" w:cs="Helvetica"/>
          <w:b/>
          <w:bCs/>
          <w:color w:val="222222"/>
          <w:kern w:val="0"/>
          <w:sz w:val="21"/>
          <w:szCs w:val="21"/>
          <w:lang w:eastAsia="ru-RU"/>
        </w:rPr>
        <w:t>§ 2.1 Одномерный анализ.</w:t>
      </w:r>
    </w:p>
    <w:p w14:paraId="7ED60A1F" w14:textId="77777777" w:rsidR="00A741EA" w:rsidRPr="00A741EA" w:rsidRDefault="00A741EA" w:rsidP="00A741EA">
      <w:pPr>
        <w:rPr>
          <w:rFonts w:ascii="Helvetica" w:eastAsia="Symbol" w:hAnsi="Helvetica" w:cs="Helvetica"/>
          <w:b/>
          <w:bCs/>
          <w:color w:val="222222"/>
          <w:kern w:val="0"/>
          <w:sz w:val="21"/>
          <w:szCs w:val="21"/>
          <w:lang w:eastAsia="ru-RU"/>
        </w:rPr>
      </w:pPr>
      <w:r w:rsidRPr="00A741EA">
        <w:rPr>
          <w:rFonts w:ascii="Helvetica" w:eastAsia="Symbol" w:hAnsi="Helvetica" w:cs="Helvetica"/>
          <w:b/>
          <w:bCs/>
          <w:color w:val="222222"/>
          <w:kern w:val="0"/>
          <w:sz w:val="21"/>
          <w:szCs w:val="21"/>
          <w:lang w:eastAsia="ru-RU"/>
        </w:rPr>
        <w:t>§ 2.2 Моделирование переходного слоя между ускоряющим пространством и компенсированной областью пучка</w:t>
      </w:r>
    </w:p>
    <w:p w14:paraId="744F4178" w14:textId="77777777" w:rsidR="00A741EA" w:rsidRPr="00A741EA" w:rsidRDefault="00A741EA" w:rsidP="00A741EA">
      <w:pPr>
        <w:rPr>
          <w:rFonts w:ascii="Helvetica" w:eastAsia="Symbol" w:hAnsi="Helvetica" w:cs="Helvetica"/>
          <w:b/>
          <w:bCs/>
          <w:color w:val="222222"/>
          <w:kern w:val="0"/>
          <w:sz w:val="21"/>
          <w:szCs w:val="21"/>
          <w:lang w:eastAsia="ru-RU"/>
        </w:rPr>
      </w:pPr>
      <w:r w:rsidRPr="00A741EA">
        <w:rPr>
          <w:rFonts w:ascii="Helvetica" w:eastAsia="Symbol" w:hAnsi="Helvetica" w:cs="Helvetica"/>
          <w:b/>
          <w:bCs/>
          <w:color w:val="222222"/>
          <w:kern w:val="0"/>
          <w:sz w:val="21"/>
          <w:szCs w:val="21"/>
          <w:lang w:eastAsia="ru-RU"/>
        </w:rPr>
        <w:t>§ 2.3 Численная модель системы доускорения в двумерной геометрии.</w:t>
      </w:r>
    </w:p>
    <w:p w14:paraId="1F8F7C53" w14:textId="77777777" w:rsidR="00A741EA" w:rsidRPr="00A741EA" w:rsidRDefault="00A741EA" w:rsidP="00A741EA">
      <w:pPr>
        <w:rPr>
          <w:rFonts w:ascii="Helvetica" w:eastAsia="Symbol" w:hAnsi="Helvetica" w:cs="Helvetica"/>
          <w:b/>
          <w:bCs/>
          <w:color w:val="222222"/>
          <w:kern w:val="0"/>
          <w:sz w:val="21"/>
          <w:szCs w:val="21"/>
          <w:lang w:eastAsia="ru-RU"/>
        </w:rPr>
      </w:pPr>
      <w:r w:rsidRPr="00A741EA">
        <w:rPr>
          <w:rFonts w:ascii="Helvetica" w:eastAsia="Symbol" w:hAnsi="Helvetica" w:cs="Helvetica"/>
          <w:b/>
          <w:bCs/>
          <w:color w:val="222222"/>
          <w:kern w:val="0"/>
          <w:sz w:val="21"/>
          <w:szCs w:val="21"/>
          <w:lang w:eastAsia="ru-RU"/>
        </w:rPr>
        <w:t>§ 2.4 Результаты численных экспериментов по моделированию системы доускорения</w:t>
      </w:r>
    </w:p>
    <w:p w14:paraId="5EA14D00" w14:textId="77777777" w:rsidR="00A741EA" w:rsidRPr="00A741EA" w:rsidRDefault="00A741EA" w:rsidP="00A741EA">
      <w:pPr>
        <w:rPr>
          <w:rFonts w:ascii="Helvetica" w:eastAsia="Symbol" w:hAnsi="Helvetica" w:cs="Helvetica"/>
          <w:b/>
          <w:bCs/>
          <w:color w:val="222222"/>
          <w:kern w:val="0"/>
          <w:sz w:val="21"/>
          <w:szCs w:val="21"/>
          <w:lang w:eastAsia="ru-RU"/>
        </w:rPr>
      </w:pPr>
      <w:r w:rsidRPr="00A741EA">
        <w:rPr>
          <w:rFonts w:ascii="Helvetica" w:eastAsia="Symbol" w:hAnsi="Helvetica" w:cs="Helvetica"/>
          <w:b/>
          <w:bCs/>
          <w:color w:val="222222"/>
          <w:kern w:val="0"/>
          <w:sz w:val="21"/>
          <w:szCs w:val="21"/>
          <w:lang w:eastAsia="ru-RU"/>
        </w:rPr>
        <w:t>§ 2.5 Доускорение многокомпонентных пучков</w:t>
      </w:r>
    </w:p>
    <w:p w14:paraId="6D13D276" w14:textId="77777777" w:rsidR="00A741EA" w:rsidRPr="00A741EA" w:rsidRDefault="00A741EA" w:rsidP="00A741EA">
      <w:pPr>
        <w:rPr>
          <w:rFonts w:ascii="Helvetica" w:eastAsia="Symbol" w:hAnsi="Helvetica" w:cs="Helvetica"/>
          <w:b/>
          <w:bCs/>
          <w:color w:val="222222"/>
          <w:kern w:val="0"/>
          <w:sz w:val="21"/>
          <w:szCs w:val="21"/>
          <w:lang w:eastAsia="ru-RU"/>
        </w:rPr>
      </w:pPr>
      <w:r w:rsidRPr="00A741EA">
        <w:rPr>
          <w:rFonts w:ascii="Helvetica" w:eastAsia="Symbol" w:hAnsi="Helvetica" w:cs="Helvetica"/>
          <w:b/>
          <w:bCs/>
          <w:color w:val="222222"/>
          <w:kern w:val="0"/>
          <w:sz w:val="21"/>
          <w:szCs w:val="21"/>
          <w:lang w:eastAsia="ru-RU"/>
        </w:rPr>
        <w:t>ВЫВОДЫ.</w:t>
      </w:r>
    </w:p>
    <w:p w14:paraId="2C7DF46D" w14:textId="77777777" w:rsidR="00A741EA" w:rsidRPr="00A741EA" w:rsidRDefault="00A741EA" w:rsidP="00A741EA">
      <w:pPr>
        <w:rPr>
          <w:rFonts w:ascii="Helvetica" w:eastAsia="Symbol" w:hAnsi="Helvetica" w:cs="Helvetica"/>
          <w:b/>
          <w:bCs/>
          <w:color w:val="222222"/>
          <w:kern w:val="0"/>
          <w:sz w:val="21"/>
          <w:szCs w:val="21"/>
          <w:lang w:eastAsia="ru-RU"/>
        </w:rPr>
      </w:pPr>
      <w:r w:rsidRPr="00A741EA">
        <w:rPr>
          <w:rFonts w:ascii="Helvetica" w:eastAsia="Symbol" w:hAnsi="Helvetica" w:cs="Helvetica"/>
          <w:b/>
          <w:bCs/>
          <w:color w:val="222222"/>
          <w:kern w:val="0"/>
          <w:sz w:val="21"/>
          <w:szCs w:val="21"/>
          <w:lang w:eastAsia="ru-RU"/>
        </w:rPr>
        <w:t>ГЛАВА III. МОДЕЛИРОВАНИЕ ПРОЦЕССОВ КОМПЕНСАЦИИ ОБЪЕМНОГО ЗАРЯДА</w:t>
      </w:r>
    </w:p>
    <w:p w14:paraId="7716C14D" w14:textId="77777777" w:rsidR="00A741EA" w:rsidRPr="00A741EA" w:rsidRDefault="00A741EA" w:rsidP="00A741EA">
      <w:pPr>
        <w:rPr>
          <w:rFonts w:ascii="Helvetica" w:eastAsia="Symbol" w:hAnsi="Helvetica" w:cs="Helvetica"/>
          <w:b/>
          <w:bCs/>
          <w:color w:val="222222"/>
          <w:kern w:val="0"/>
          <w:sz w:val="21"/>
          <w:szCs w:val="21"/>
          <w:lang w:eastAsia="ru-RU"/>
        </w:rPr>
      </w:pPr>
      <w:r w:rsidRPr="00A741EA">
        <w:rPr>
          <w:rFonts w:ascii="Helvetica" w:eastAsia="Symbol" w:hAnsi="Helvetica" w:cs="Helvetica"/>
          <w:b/>
          <w:bCs/>
          <w:color w:val="222222"/>
          <w:kern w:val="0"/>
          <w:sz w:val="21"/>
          <w:szCs w:val="21"/>
          <w:lang w:eastAsia="ru-RU"/>
        </w:rPr>
        <w:t>ПУЧКОВ ОТРИЦАТЕЛЬНЫХ ИОНОВ.</w:t>
      </w:r>
    </w:p>
    <w:p w14:paraId="3F02A0A8" w14:textId="77777777" w:rsidR="00A741EA" w:rsidRPr="00A741EA" w:rsidRDefault="00A741EA" w:rsidP="00A741EA">
      <w:pPr>
        <w:rPr>
          <w:rFonts w:ascii="Helvetica" w:eastAsia="Symbol" w:hAnsi="Helvetica" w:cs="Helvetica"/>
          <w:b/>
          <w:bCs/>
          <w:color w:val="222222"/>
          <w:kern w:val="0"/>
          <w:sz w:val="21"/>
          <w:szCs w:val="21"/>
          <w:lang w:eastAsia="ru-RU"/>
        </w:rPr>
      </w:pPr>
      <w:r w:rsidRPr="00A741EA">
        <w:rPr>
          <w:rFonts w:ascii="Helvetica" w:eastAsia="Symbol" w:hAnsi="Helvetica" w:cs="Helvetica"/>
          <w:b/>
          <w:bCs/>
          <w:color w:val="222222"/>
          <w:kern w:val="0"/>
          <w:sz w:val="21"/>
          <w:szCs w:val="21"/>
          <w:lang w:eastAsia="ru-RU"/>
        </w:rPr>
        <w:t>§ 3.1 Особенности компенсации объемного заряда пучков отрицательных ионов и общие вопросы,касающиеся построения моделей пучково-плазменных систем</w:t>
      </w:r>
    </w:p>
    <w:p w14:paraId="62DA2645" w14:textId="77777777" w:rsidR="00A741EA" w:rsidRPr="00A741EA" w:rsidRDefault="00A741EA" w:rsidP="00A741EA">
      <w:pPr>
        <w:rPr>
          <w:rFonts w:ascii="Helvetica" w:eastAsia="Symbol" w:hAnsi="Helvetica" w:cs="Helvetica"/>
          <w:b/>
          <w:bCs/>
          <w:color w:val="222222"/>
          <w:kern w:val="0"/>
          <w:sz w:val="21"/>
          <w:szCs w:val="21"/>
          <w:lang w:eastAsia="ru-RU"/>
        </w:rPr>
      </w:pPr>
      <w:r w:rsidRPr="00A741EA">
        <w:rPr>
          <w:rFonts w:ascii="Helvetica" w:eastAsia="Symbol" w:hAnsi="Helvetica" w:cs="Helvetica"/>
          <w:b/>
          <w:bCs/>
          <w:color w:val="222222"/>
          <w:kern w:val="0"/>
          <w:sz w:val="21"/>
          <w:szCs w:val="21"/>
          <w:lang w:eastAsia="ru-RU"/>
        </w:rPr>
        <w:t>§ 3.2 Изучение компенсации положительного объемного заряда электронами.</w:t>
      </w:r>
    </w:p>
    <w:p w14:paraId="65FB0BB7" w14:textId="77777777" w:rsidR="00A741EA" w:rsidRPr="00A741EA" w:rsidRDefault="00A741EA" w:rsidP="00A741EA">
      <w:pPr>
        <w:rPr>
          <w:rFonts w:ascii="Helvetica" w:eastAsia="Symbol" w:hAnsi="Helvetica" w:cs="Helvetica"/>
          <w:b/>
          <w:bCs/>
          <w:color w:val="222222"/>
          <w:kern w:val="0"/>
          <w:sz w:val="21"/>
          <w:szCs w:val="21"/>
          <w:lang w:eastAsia="ru-RU"/>
        </w:rPr>
      </w:pPr>
      <w:r w:rsidRPr="00A741EA">
        <w:rPr>
          <w:rFonts w:ascii="Helvetica" w:eastAsia="Symbol" w:hAnsi="Helvetica" w:cs="Helvetica"/>
          <w:b/>
          <w:bCs/>
          <w:color w:val="222222"/>
          <w:kern w:val="0"/>
          <w:sz w:val="21"/>
          <w:szCs w:val="21"/>
          <w:lang w:eastAsia="ru-RU"/>
        </w:rPr>
        <w:t>§ 3,3 Моделирование компенсации объемного заряда пучка отрицательных ионов</w:t>
      </w:r>
    </w:p>
    <w:p w14:paraId="6AFD65D6" w14:textId="77777777" w:rsidR="00A741EA" w:rsidRPr="00A741EA" w:rsidRDefault="00A741EA" w:rsidP="00A741EA">
      <w:pPr>
        <w:rPr>
          <w:rFonts w:ascii="Helvetica" w:eastAsia="Symbol" w:hAnsi="Helvetica" w:cs="Helvetica"/>
          <w:b/>
          <w:bCs/>
          <w:color w:val="222222"/>
          <w:kern w:val="0"/>
          <w:sz w:val="21"/>
          <w:szCs w:val="21"/>
          <w:lang w:eastAsia="ru-RU"/>
        </w:rPr>
      </w:pPr>
      <w:r w:rsidRPr="00A741EA">
        <w:rPr>
          <w:rFonts w:ascii="Helvetica" w:eastAsia="Symbol" w:hAnsi="Helvetica" w:cs="Helvetica"/>
          <w:b/>
          <w:bCs/>
          <w:color w:val="222222"/>
          <w:kern w:val="0"/>
          <w:sz w:val="21"/>
          <w:szCs w:val="21"/>
          <w:lang w:eastAsia="ru-RU"/>
        </w:rPr>
        <w:t>§ 3.4 Анализ устойчивости пучково-плазменной системы,образующейся при компенсации объемного заряда пучка отрицательных ионов</w:t>
      </w:r>
    </w:p>
    <w:p w14:paraId="1638B456" w14:textId="77777777" w:rsidR="00A741EA" w:rsidRPr="00A741EA" w:rsidRDefault="00A741EA" w:rsidP="00A741EA">
      <w:pPr>
        <w:rPr>
          <w:rFonts w:ascii="Helvetica" w:eastAsia="Symbol" w:hAnsi="Helvetica" w:cs="Helvetica"/>
          <w:b/>
          <w:bCs/>
          <w:color w:val="222222"/>
          <w:kern w:val="0"/>
          <w:sz w:val="21"/>
          <w:szCs w:val="21"/>
          <w:lang w:eastAsia="ru-RU"/>
        </w:rPr>
      </w:pPr>
      <w:r w:rsidRPr="00A741EA">
        <w:rPr>
          <w:rFonts w:ascii="Helvetica" w:eastAsia="Symbol" w:hAnsi="Helvetica" w:cs="Helvetica"/>
          <w:b/>
          <w:bCs/>
          <w:color w:val="222222"/>
          <w:kern w:val="0"/>
          <w:sz w:val="21"/>
          <w:szCs w:val="21"/>
          <w:lang w:eastAsia="ru-RU"/>
        </w:rPr>
        <w:t>ГЛАВА 1У. ЧИСЛЕННОЕ МОДЕЛИРОВАНИЕ ПРОНИКНОВЕНИЯ ГАЗА ЧЕРЕЗ ;</w:t>
      </w:r>
    </w:p>
    <w:p w14:paraId="186B08CF" w14:textId="77777777" w:rsidR="00A741EA" w:rsidRPr="00A741EA" w:rsidRDefault="00A741EA" w:rsidP="00A741EA">
      <w:pPr>
        <w:rPr>
          <w:rFonts w:ascii="Helvetica" w:eastAsia="Symbol" w:hAnsi="Helvetica" w:cs="Helvetica"/>
          <w:b/>
          <w:bCs/>
          <w:color w:val="222222"/>
          <w:kern w:val="0"/>
          <w:sz w:val="21"/>
          <w:szCs w:val="21"/>
          <w:lang w:eastAsia="ru-RU"/>
        </w:rPr>
      </w:pPr>
      <w:r w:rsidRPr="00A741EA">
        <w:rPr>
          <w:rFonts w:ascii="Helvetica" w:eastAsia="Symbol" w:hAnsi="Helvetica" w:cs="Helvetica"/>
          <w:b/>
          <w:bCs/>
          <w:color w:val="222222"/>
          <w:kern w:val="0"/>
          <w:sz w:val="21"/>
          <w:szCs w:val="21"/>
          <w:lang w:eastAsia="ru-RU"/>
        </w:rPr>
        <w:t>СВЕРХЗВУКОВУЮ ПАРОМЕТАЛЛИЧЕСКУЮ СТРУЮ ПРИ ИЗУЧЕНИИ ЗАТВОРНЫХ СВОЙСТВ ПЕРЕЗАРЯДНОЙ СТРУИ В ИНЖЕКТОРАХ.</w:t>
      </w:r>
    </w:p>
    <w:p w14:paraId="5D3D9E33" w14:textId="77777777" w:rsidR="00A741EA" w:rsidRPr="00A741EA" w:rsidRDefault="00A741EA" w:rsidP="00A741EA">
      <w:pPr>
        <w:rPr>
          <w:rFonts w:ascii="Helvetica" w:eastAsia="Symbol" w:hAnsi="Helvetica" w:cs="Helvetica"/>
          <w:b/>
          <w:bCs/>
          <w:color w:val="222222"/>
          <w:kern w:val="0"/>
          <w:sz w:val="21"/>
          <w:szCs w:val="21"/>
          <w:lang w:eastAsia="ru-RU"/>
        </w:rPr>
      </w:pPr>
      <w:r w:rsidRPr="00A741EA">
        <w:rPr>
          <w:rFonts w:ascii="Helvetica" w:eastAsia="Symbol" w:hAnsi="Helvetica" w:cs="Helvetica"/>
          <w:b/>
          <w:bCs/>
          <w:color w:val="222222"/>
          <w:kern w:val="0"/>
          <w:sz w:val="21"/>
          <w:szCs w:val="21"/>
          <w:lang w:eastAsia="ru-RU"/>
        </w:rPr>
        <w:lastRenderedPageBreak/>
        <w:t>§ 4.1 Постановка задачи и методы решения.</w:t>
      </w:r>
    </w:p>
    <w:p w14:paraId="1FEB02CA" w14:textId="77777777" w:rsidR="00A741EA" w:rsidRPr="00A741EA" w:rsidRDefault="00A741EA" w:rsidP="00A741EA">
      <w:pPr>
        <w:rPr>
          <w:rFonts w:ascii="Helvetica" w:eastAsia="Symbol" w:hAnsi="Helvetica" w:cs="Helvetica"/>
          <w:b/>
          <w:bCs/>
          <w:color w:val="222222"/>
          <w:kern w:val="0"/>
          <w:sz w:val="21"/>
          <w:szCs w:val="21"/>
          <w:lang w:eastAsia="ru-RU"/>
        </w:rPr>
      </w:pPr>
      <w:r w:rsidRPr="00A741EA">
        <w:rPr>
          <w:rFonts w:ascii="Helvetica" w:eastAsia="Symbol" w:hAnsi="Helvetica" w:cs="Helvetica"/>
          <w:b/>
          <w:bCs/>
          <w:color w:val="222222"/>
          <w:kern w:val="0"/>
          <w:sz w:val="21"/>
          <w:szCs w:val="21"/>
          <w:lang w:eastAsia="ru-RU"/>
        </w:rPr>
        <w:t>§ 4.2 Описание алгоритма расчета и выбор вычислительных параметров</w:t>
      </w:r>
    </w:p>
    <w:p w14:paraId="15D6C751" w14:textId="77777777" w:rsidR="00A741EA" w:rsidRPr="00A741EA" w:rsidRDefault="00A741EA" w:rsidP="00A741EA">
      <w:pPr>
        <w:rPr>
          <w:rFonts w:ascii="Helvetica" w:eastAsia="Symbol" w:hAnsi="Helvetica" w:cs="Helvetica"/>
          <w:b/>
          <w:bCs/>
          <w:color w:val="222222"/>
          <w:kern w:val="0"/>
          <w:sz w:val="21"/>
          <w:szCs w:val="21"/>
          <w:lang w:eastAsia="ru-RU"/>
        </w:rPr>
      </w:pPr>
      <w:r w:rsidRPr="00A741EA">
        <w:rPr>
          <w:rFonts w:ascii="Helvetica" w:eastAsia="Symbol" w:hAnsi="Helvetica" w:cs="Helvetica"/>
          <w:b/>
          <w:bCs/>
          <w:color w:val="222222"/>
          <w:kern w:val="0"/>
          <w:sz w:val="21"/>
          <w:szCs w:val="21"/>
          <w:lang w:eastAsia="ru-RU"/>
        </w:rPr>
        <w:t>§ 4.3 Обсуждение результатов расчетов</w:t>
      </w:r>
    </w:p>
    <w:p w14:paraId="6BA93049" w14:textId="77777777" w:rsidR="00A741EA" w:rsidRPr="00A741EA" w:rsidRDefault="00A741EA" w:rsidP="00A741EA">
      <w:pPr>
        <w:rPr>
          <w:rFonts w:ascii="Helvetica" w:eastAsia="Symbol" w:hAnsi="Helvetica" w:cs="Helvetica"/>
          <w:b/>
          <w:bCs/>
          <w:color w:val="222222"/>
          <w:kern w:val="0"/>
          <w:sz w:val="21"/>
          <w:szCs w:val="21"/>
          <w:lang w:eastAsia="ru-RU"/>
        </w:rPr>
      </w:pPr>
      <w:r w:rsidRPr="00A741EA">
        <w:rPr>
          <w:rFonts w:ascii="Helvetica" w:eastAsia="Symbol" w:hAnsi="Helvetica" w:cs="Helvetica"/>
          <w:b/>
          <w:bCs/>
          <w:color w:val="222222"/>
          <w:kern w:val="0"/>
          <w:sz w:val="21"/>
          <w:szCs w:val="21"/>
          <w:lang w:eastAsia="ru-RU"/>
        </w:rPr>
        <w:t>ВЫВОДЫ.</w:t>
      </w:r>
    </w:p>
    <w:p w14:paraId="3869883D" w14:textId="4F6FA0A7" w:rsidR="00F11235" w:rsidRPr="00A741EA" w:rsidRDefault="00F11235" w:rsidP="00A741EA"/>
    <w:sectPr w:rsidR="00F11235" w:rsidRPr="00A741E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2B4B1" w14:textId="77777777" w:rsidR="007A5BFE" w:rsidRDefault="007A5BFE">
      <w:pPr>
        <w:spacing w:after="0" w:line="240" w:lineRule="auto"/>
      </w:pPr>
      <w:r>
        <w:separator/>
      </w:r>
    </w:p>
  </w:endnote>
  <w:endnote w:type="continuationSeparator" w:id="0">
    <w:p w14:paraId="0125BF98" w14:textId="77777777" w:rsidR="007A5BFE" w:rsidRDefault="007A5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9AD41" w14:textId="77777777" w:rsidR="007A5BFE" w:rsidRDefault="007A5BFE"/>
    <w:p w14:paraId="20689FF6" w14:textId="77777777" w:rsidR="007A5BFE" w:rsidRDefault="007A5BFE"/>
    <w:p w14:paraId="68CD51E5" w14:textId="77777777" w:rsidR="007A5BFE" w:rsidRDefault="007A5BFE"/>
    <w:p w14:paraId="27CB9A81" w14:textId="77777777" w:rsidR="007A5BFE" w:rsidRDefault="007A5BFE"/>
    <w:p w14:paraId="48F3184F" w14:textId="77777777" w:rsidR="007A5BFE" w:rsidRDefault="007A5BFE"/>
    <w:p w14:paraId="30F8798C" w14:textId="77777777" w:rsidR="007A5BFE" w:rsidRDefault="007A5BFE"/>
    <w:p w14:paraId="475BCA73" w14:textId="77777777" w:rsidR="007A5BFE" w:rsidRDefault="007A5BF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114EB8" wp14:editId="49059BA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9574F" w14:textId="77777777" w:rsidR="007A5BFE" w:rsidRDefault="007A5B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114E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49574F" w14:textId="77777777" w:rsidR="007A5BFE" w:rsidRDefault="007A5B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726868" w14:textId="77777777" w:rsidR="007A5BFE" w:rsidRDefault="007A5BFE"/>
    <w:p w14:paraId="6B1C3452" w14:textId="77777777" w:rsidR="007A5BFE" w:rsidRDefault="007A5BFE"/>
    <w:p w14:paraId="34102620" w14:textId="77777777" w:rsidR="007A5BFE" w:rsidRDefault="007A5BF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30F420" wp14:editId="2C12566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584C0" w14:textId="77777777" w:rsidR="007A5BFE" w:rsidRDefault="007A5BFE"/>
                          <w:p w14:paraId="4C42B741" w14:textId="77777777" w:rsidR="007A5BFE" w:rsidRDefault="007A5B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30F4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8584C0" w14:textId="77777777" w:rsidR="007A5BFE" w:rsidRDefault="007A5BFE"/>
                    <w:p w14:paraId="4C42B741" w14:textId="77777777" w:rsidR="007A5BFE" w:rsidRDefault="007A5B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9368AC" w14:textId="77777777" w:rsidR="007A5BFE" w:rsidRDefault="007A5BFE"/>
    <w:p w14:paraId="34238087" w14:textId="77777777" w:rsidR="007A5BFE" w:rsidRDefault="007A5BFE">
      <w:pPr>
        <w:rPr>
          <w:sz w:val="2"/>
          <w:szCs w:val="2"/>
        </w:rPr>
      </w:pPr>
    </w:p>
    <w:p w14:paraId="5106800D" w14:textId="77777777" w:rsidR="007A5BFE" w:rsidRDefault="007A5BFE"/>
    <w:p w14:paraId="016B57BB" w14:textId="77777777" w:rsidR="007A5BFE" w:rsidRDefault="007A5BFE">
      <w:pPr>
        <w:spacing w:after="0" w:line="240" w:lineRule="auto"/>
      </w:pPr>
    </w:p>
  </w:footnote>
  <w:footnote w:type="continuationSeparator" w:id="0">
    <w:p w14:paraId="18CBA565" w14:textId="77777777" w:rsidR="007A5BFE" w:rsidRDefault="007A5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BFE"/>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170047</TotalTime>
  <Pages>2</Pages>
  <Words>310</Words>
  <Characters>1772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5413</cp:revision>
  <cp:lastPrinted>2009-02-06T05:36:00Z</cp:lastPrinted>
  <dcterms:created xsi:type="dcterms:W3CDTF">2024-01-07T13:43:00Z</dcterms:created>
  <dcterms:modified xsi:type="dcterms:W3CDTF">2025-09-26T19:41:00Z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