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C9" w:rsidRDefault="00217319" w:rsidP="00217319">
      <w:pPr>
        <w:rPr>
          <w:rFonts w:ascii="Times New Roman" w:eastAsia="Times New Roman" w:hAnsi="Times New Roman" w:cs="Times New Roman"/>
          <w:b/>
          <w:bCs/>
          <w:kern w:val="0"/>
          <w:lang w:val="uk-UA" w:eastAsia="ru-RU"/>
        </w:rPr>
      </w:pPr>
      <w:r w:rsidRPr="00217319">
        <w:rPr>
          <w:rFonts w:ascii="Times New Roman" w:eastAsia="Times New Roman" w:hAnsi="Times New Roman" w:cs="Times New Roman" w:hint="eastAsia"/>
          <w:b/>
          <w:bCs/>
          <w:kern w:val="0"/>
          <w:lang w:val="uk-UA" w:eastAsia="ru-RU"/>
        </w:rPr>
        <w:t>Репкина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Марина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Юрьевна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Профилактика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прогрессирования</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диабетической</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ретинопатии</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с</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контролем</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биомаркеов</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метаболических</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нарушений</w:t>
      </w:r>
      <w:r w:rsidRPr="00217319">
        <w:rPr>
          <w:rFonts w:ascii="Times New Roman" w:eastAsia="Times New Roman" w:hAnsi="Times New Roman" w:cs="Times New Roman"/>
          <w:b/>
          <w:bCs/>
          <w:kern w:val="0"/>
          <w:lang w:val="uk-UA" w:eastAsia="ru-RU"/>
        </w:rPr>
        <w:t xml:space="preserve"> : </w:t>
      </w:r>
      <w:r w:rsidRPr="00217319">
        <w:rPr>
          <w:rFonts w:ascii="Times New Roman" w:eastAsia="Times New Roman" w:hAnsi="Times New Roman" w:cs="Times New Roman" w:hint="eastAsia"/>
          <w:b/>
          <w:bCs/>
          <w:kern w:val="0"/>
          <w:lang w:val="uk-UA" w:eastAsia="ru-RU"/>
        </w:rPr>
        <w:t>диссертация</w:t>
      </w:r>
      <w:r w:rsidRPr="00217319">
        <w:rPr>
          <w:rFonts w:ascii="Times New Roman" w:eastAsia="Times New Roman" w:hAnsi="Times New Roman" w:cs="Times New Roman"/>
          <w:b/>
          <w:bCs/>
          <w:kern w:val="0"/>
          <w:lang w:val="uk-UA" w:eastAsia="ru-RU"/>
        </w:rPr>
        <w:t xml:space="preserve"> ... </w:t>
      </w:r>
      <w:r w:rsidRPr="00217319">
        <w:rPr>
          <w:rFonts w:ascii="Times New Roman" w:eastAsia="Times New Roman" w:hAnsi="Times New Roman" w:cs="Times New Roman" w:hint="eastAsia"/>
          <w:b/>
          <w:bCs/>
          <w:kern w:val="0"/>
          <w:lang w:val="uk-UA" w:eastAsia="ru-RU"/>
        </w:rPr>
        <w:t>кандидата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медицинских</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наук</w:t>
      </w:r>
      <w:r w:rsidRPr="00217319">
        <w:rPr>
          <w:rFonts w:ascii="Times New Roman" w:eastAsia="Times New Roman" w:hAnsi="Times New Roman" w:cs="Times New Roman"/>
          <w:b/>
          <w:bCs/>
          <w:kern w:val="0"/>
          <w:lang w:val="uk-UA" w:eastAsia="ru-RU"/>
        </w:rPr>
        <w:t xml:space="preserve"> : 14.01.07 / </w:t>
      </w:r>
      <w:r w:rsidRPr="00217319">
        <w:rPr>
          <w:rFonts w:ascii="Times New Roman" w:eastAsia="Times New Roman" w:hAnsi="Times New Roman" w:cs="Times New Roman" w:hint="eastAsia"/>
          <w:b/>
          <w:bCs/>
          <w:kern w:val="0"/>
          <w:lang w:val="uk-UA" w:eastAsia="ru-RU"/>
        </w:rPr>
        <w:t>Репкина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Марина</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Юрьевна</w:t>
      </w:r>
      <w:r w:rsidRPr="00217319">
        <w:rPr>
          <w:rFonts w:ascii="Times New Roman" w:eastAsia="Times New Roman" w:hAnsi="Times New Roman" w:cs="Times New Roman"/>
          <w:b/>
          <w:bCs/>
          <w:kern w:val="0"/>
          <w:lang w:val="uk-UA" w:eastAsia="ru-RU"/>
        </w:rPr>
        <w:t>; [</w:t>
      </w:r>
      <w:r w:rsidRPr="00217319">
        <w:rPr>
          <w:rFonts w:ascii="Times New Roman" w:eastAsia="Times New Roman" w:hAnsi="Times New Roman" w:cs="Times New Roman" w:hint="eastAsia"/>
          <w:b/>
          <w:bCs/>
          <w:kern w:val="0"/>
          <w:lang w:val="uk-UA" w:eastAsia="ru-RU"/>
        </w:rPr>
        <w:t>Место</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защиты</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ГОУДПО</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Российская</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медицинская</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академия</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последипломного</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образования</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Москва</w:t>
      </w:r>
      <w:r w:rsidRPr="00217319">
        <w:rPr>
          <w:rFonts w:ascii="Times New Roman" w:eastAsia="Times New Roman" w:hAnsi="Times New Roman" w:cs="Times New Roman"/>
          <w:b/>
          <w:bCs/>
          <w:kern w:val="0"/>
          <w:lang w:val="uk-UA" w:eastAsia="ru-RU"/>
        </w:rPr>
        <w:t xml:space="preserve">, 2010.- 144 </w:t>
      </w:r>
      <w:r w:rsidRPr="00217319">
        <w:rPr>
          <w:rFonts w:ascii="Times New Roman" w:eastAsia="Times New Roman" w:hAnsi="Times New Roman" w:cs="Times New Roman" w:hint="eastAsia"/>
          <w:b/>
          <w:bCs/>
          <w:kern w:val="0"/>
          <w:lang w:val="uk-UA" w:eastAsia="ru-RU"/>
        </w:rPr>
        <w:t>с</w:t>
      </w:r>
      <w:r w:rsidRPr="00217319">
        <w:rPr>
          <w:rFonts w:ascii="Times New Roman" w:eastAsia="Times New Roman" w:hAnsi="Times New Roman" w:cs="Times New Roman"/>
          <w:b/>
          <w:bCs/>
          <w:kern w:val="0"/>
          <w:lang w:val="uk-UA" w:eastAsia="ru-RU"/>
        </w:rPr>
        <w:t xml:space="preserve">.: </w:t>
      </w:r>
      <w:r w:rsidRPr="00217319">
        <w:rPr>
          <w:rFonts w:ascii="Times New Roman" w:eastAsia="Times New Roman" w:hAnsi="Times New Roman" w:cs="Times New Roman" w:hint="eastAsia"/>
          <w:b/>
          <w:bCs/>
          <w:kern w:val="0"/>
          <w:lang w:val="uk-UA" w:eastAsia="ru-RU"/>
        </w:rPr>
        <w:t>ил</w:t>
      </w:r>
      <w:r w:rsidRPr="00217319">
        <w:rPr>
          <w:rFonts w:ascii="Times New Roman" w:eastAsia="Times New Roman" w:hAnsi="Times New Roman" w:cs="Times New Roman"/>
          <w:b/>
          <w:bCs/>
          <w:kern w:val="0"/>
          <w:lang w:val="uk-UA" w:eastAsia="ru-RU"/>
        </w:rPr>
        <w:t>.</w:t>
      </w:r>
    </w:p>
    <w:p w:rsidR="00217319" w:rsidRDefault="00217319" w:rsidP="00217319">
      <w:pPr>
        <w:rPr>
          <w:rFonts w:ascii="Times New Roman" w:eastAsia="Times New Roman" w:hAnsi="Times New Roman" w:cs="Times New Roman"/>
          <w:b/>
          <w:bCs/>
          <w:kern w:val="0"/>
          <w:lang w:val="uk-UA" w:eastAsia="ru-RU"/>
        </w:rPr>
      </w:pPr>
    </w:p>
    <w:p w:rsidR="00217319" w:rsidRDefault="00217319" w:rsidP="00217319">
      <w:pPr>
        <w:rPr>
          <w:rFonts w:ascii="Times New Roman" w:eastAsia="Times New Roman" w:hAnsi="Times New Roman" w:cs="Times New Roman"/>
          <w:b/>
          <w:bCs/>
          <w:kern w:val="0"/>
          <w:lang w:val="uk-UA" w:eastAsia="ru-RU"/>
        </w:rPr>
      </w:pPr>
    </w:p>
    <w:p w:rsidR="00217319" w:rsidRDefault="00217319" w:rsidP="00217319">
      <w:pPr>
        <w:rPr>
          <w:rFonts w:ascii="Times New Roman" w:eastAsia="Times New Roman" w:hAnsi="Times New Roman" w:cs="Times New Roman"/>
          <w:b/>
          <w:bCs/>
          <w:kern w:val="0"/>
          <w:lang w:val="uk-UA" w:eastAsia="ru-RU"/>
        </w:rPr>
      </w:pPr>
    </w:p>
    <w:p w:rsidR="00217319" w:rsidRPr="00217319" w:rsidRDefault="00217319" w:rsidP="00217319">
      <w:pPr>
        <w:widowControl/>
        <w:tabs>
          <w:tab w:val="clear" w:pos="709"/>
        </w:tabs>
        <w:suppressAutoHyphens w:val="0"/>
        <w:spacing w:after="1418" w:line="317" w:lineRule="exact"/>
        <w:ind w:firstLine="0"/>
        <w:jc w:val="center"/>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ГОСУДАРСТВЕННОЕ ОБРАЗОВАТЕЛЬНОЕ УЧРЕЖДЕНИЕ ДОПОЛНИТЕЛЬНОГО ПРОФЕССИОНАЛЬНОГО ОБРАЗОВАНИЯ «РОССИЙСКАЯ МЕДИЦИНСКАЯ АКАДЕМИЯ ПОСЛЕДИПЛОМНОГО ОБРАЗОВАНИЯ ФЕДЕРАЛЬНОГО АГЕНТСТВА ПО ЗДРАВООХРАНЕНИЮ И СОЦИАЛЬНОМУ РАЗВИТИЮ»</w:t>
      </w:r>
    </w:p>
    <w:p w:rsidR="00217319" w:rsidRPr="00217319" w:rsidRDefault="00217319" w:rsidP="00217319">
      <w:pPr>
        <w:widowControl/>
        <w:tabs>
          <w:tab w:val="clear" w:pos="709"/>
          <w:tab w:val="left" w:pos="6786"/>
        </w:tabs>
        <w:suppressAutoHyphens w:val="0"/>
        <w:spacing w:after="1122" w:line="270" w:lineRule="exact"/>
        <w:ind w:left="2240" w:firstLine="0"/>
        <w:jc w:val="left"/>
        <w:rPr>
          <w:rFonts w:ascii="Times New Roman" w:eastAsia="Times New Roman" w:hAnsi="Times New Roman" w:cs="Times New Roman"/>
          <w:i/>
          <w:iCs/>
          <w:kern w:val="0"/>
          <w:sz w:val="27"/>
          <w:szCs w:val="27"/>
          <w:lang w:eastAsia="ru-RU"/>
        </w:rPr>
      </w:pPr>
      <w:r w:rsidRPr="00217319">
        <w:rPr>
          <w:rFonts w:ascii="Times New Roman" w:eastAsia="Times New Roman" w:hAnsi="Times New Roman" w:cs="Times New Roman"/>
          <w:b/>
          <w:bCs/>
          <w:i/>
          <w:iCs/>
          <w:spacing w:val="40"/>
          <w:kern w:val="0"/>
          <w:sz w:val="26"/>
          <w:szCs w:val="26"/>
          <w:lang w:eastAsia="ru-RU"/>
        </w:rPr>
        <w:t>О'Ч ¿0/0018$^</w:t>
      </w:r>
      <w:r w:rsidRPr="00217319">
        <w:rPr>
          <w:rFonts w:ascii="Times New Roman" w:eastAsia="Times New Roman" w:hAnsi="Times New Roman" w:cs="Times New Roman"/>
          <w:i/>
          <w:iCs/>
          <w:kern w:val="0"/>
          <w:sz w:val="27"/>
          <w:szCs w:val="27"/>
          <w:lang w:eastAsia="ru-RU"/>
        </w:rPr>
        <w:tab/>
        <w:t>На правах рукописи</w:t>
      </w:r>
    </w:p>
    <w:p w:rsidR="00217319" w:rsidRPr="00217319" w:rsidRDefault="00217319" w:rsidP="00217319">
      <w:pPr>
        <w:widowControl/>
        <w:tabs>
          <w:tab w:val="clear" w:pos="709"/>
        </w:tabs>
        <w:suppressAutoHyphens w:val="0"/>
        <w:spacing w:after="954" w:line="270" w:lineRule="exact"/>
        <w:ind w:firstLine="0"/>
        <w:jc w:val="center"/>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Репкина Марина Юрьевна</w:t>
      </w:r>
    </w:p>
    <w:p w:rsidR="00217319" w:rsidRPr="00217319" w:rsidRDefault="00217319" w:rsidP="00217319">
      <w:pPr>
        <w:widowControl/>
        <w:tabs>
          <w:tab w:val="clear" w:pos="709"/>
        </w:tabs>
        <w:suppressAutoHyphens w:val="0"/>
        <w:spacing w:after="900" w:line="480" w:lineRule="exact"/>
        <w:ind w:left="40" w:firstLine="0"/>
        <w:jc w:val="center"/>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ПРОФИЛАКТИКА ПРОГРЕССИРОВАНИЯ ДИАБЕТИЧЕСКОИ РЕТИНОПАТИИ С КОНТРОЛЕМ БИОМАРКЕРОВ МЕТАБОЛИЧЕСКИХ НАРУШЕНИЙ</w:t>
      </w:r>
    </w:p>
    <w:p w:rsidR="00217319" w:rsidRPr="00217319" w:rsidRDefault="00217319" w:rsidP="00217319">
      <w:pPr>
        <w:widowControl/>
        <w:tabs>
          <w:tab w:val="clear" w:pos="709"/>
        </w:tabs>
        <w:suppressAutoHyphens w:val="0"/>
        <w:spacing w:after="416" w:line="480" w:lineRule="exact"/>
        <w:ind w:left="3000" w:right="330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14.01.07 - Глазные болезни 03.01.04 - Биохимия</w:t>
      </w:r>
    </w:p>
    <w:p w:rsidR="00217319" w:rsidRPr="00217319" w:rsidRDefault="00217319" w:rsidP="00217319">
      <w:pPr>
        <w:widowControl/>
        <w:tabs>
          <w:tab w:val="clear" w:pos="709"/>
        </w:tabs>
        <w:suppressAutoHyphens w:val="0"/>
        <w:spacing w:after="428" w:line="485" w:lineRule="exact"/>
        <w:ind w:left="40" w:firstLine="0"/>
        <w:jc w:val="center"/>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Диссертация на соискание ученой степени кандидата медицинских наук</w:t>
      </w:r>
    </w:p>
    <w:p w:rsidR="00217319" w:rsidRPr="00217319" w:rsidRDefault="00217319" w:rsidP="00217319">
      <w:pPr>
        <w:widowControl/>
        <w:tabs>
          <w:tab w:val="clear" w:pos="709"/>
        </w:tabs>
        <w:suppressAutoHyphens w:val="0"/>
        <w:spacing w:after="0" w:line="475" w:lineRule="exact"/>
        <w:ind w:left="3560" w:right="360" w:firstLine="0"/>
        <w:jc w:val="righ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Научные руководители: академик РАМН, доктор медицинских наук,</w:t>
      </w:r>
    </w:p>
    <w:p w:rsidR="00217319" w:rsidRPr="00217319" w:rsidRDefault="00217319" w:rsidP="00217319">
      <w:pPr>
        <w:widowControl/>
        <w:tabs>
          <w:tab w:val="clear" w:pos="709"/>
        </w:tabs>
        <w:suppressAutoHyphens w:val="0"/>
        <w:spacing w:after="0" w:line="475" w:lineRule="exact"/>
        <w:ind w:left="3560" w:right="360" w:firstLine="0"/>
        <w:jc w:val="righ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профессор Л.К. Мошетова доктор биологических наук, профессор</w:t>
      </w:r>
    </w:p>
    <w:p w:rsidR="00217319" w:rsidRPr="00217319" w:rsidRDefault="00217319" w:rsidP="00217319">
      <w:pPr>
        <w:widowControl/>
        <w:tabs>
          <w:tab w:val="clear" w:pos="709"/>
        </w:tabs>
        <w:suppressAutoHyphens w:val="0"/>
        <w:spacing w:after="0" w:line="475" w:lineRule="exact"/>
        <w:ind w:right="360" w:firstLine="0"/>
        <w:jc w:val="righ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В1А. Метельская</w:t>
      </w:r>
    </w:p>
    <w:p w:rsidR="00217319" w:rsidRPr="00217319" w:rsidRDefault="00217319" w:rsidP="00217319">
      <w:pPr>
        <w:widowControl/>
        <w:tabs>
          <w:tab w:val="clear" w:pos="709"/>
        </w:tabs>
        <w:suppressAutoHyphens w:val="0"/>
        <w:spacing w:after="0" w:line="475" w:lineRule="exact"/>
        <w:ind w:firstLine="0"/>
        <w:jc w:val="center"/>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Москва - 2010</w:t>
      </w:r>
    </w:p>
    <w:p w:rsidR="00217319" w:rsidRPr="00217319" w:rsidRDefault="00217319" w:rsidP="00217319">
      <w:pPr>
        <w:keepNext/>
        <w:keepLines/>
        <w:widowControl/>
        <w:tabs>
          <w:tab w:val="clear" w:pos="709"/>
        </w:tabs>
        <w:suppressAutoHyphens w:val="0"/>
        <w:spacing w:after="637" w:line="270" w:lineRule="exact"/>
        <w:ind w:left="3720" w:firstLine="0"/>
        <w:jc w:val="left"/>
        <w:outlineLvl w:val="3"/>
        <w:rPr>
          <w:rFonts w:ascii="Times New Roman" w:eastAsia="Times New Roman" w:hAnsi="Times New Roman" w:cs="Times New Roman"/>
          <w:b/>
          <w:bCs/>
          <w:kern w:val="0"/>
          <w:sz w:val="27"/>
          <w:szCs w:val="27"/>
          <w:lang w:eastAsia="ru-RU"/>
        </w:rPr>
      </w:pPr>
      <w:bookmarkStart w:id="0" w:name="bookmark0"/>
      <w:r w:rsidRPr="00217319">
        <w:rPr>
          <w:rFonts w:ascii="Times New Roman" w:eastAsia="Times New Roman" w:hAnsi="Times New Roman" w:cs="Times New Roman"/>
          <w:b/>
          <w:bCs/>
          <w:kern w:val="0"/>
          <w:sz w:val="27"/>
          <w:szCs w:val="27"/>
          <w:lang w:eastAsia="ru-RU"/>
        </w:rPr>
        <w:t>ОГЛАВЛЕНИЕ</w:t>
      </w:r>
      <w:bookmarkEnd w:id="0"/>
    </w:p>
    <w:p w:rsidR="00217319" w:rsidRPr="00217319" w:rsidRDefault="00217319" w:rsidP="00217319">
      <w:pPr>
        <w:widowControl/>
        <w:tabs>
          <w:tab w:val="clear" w:pos="709"/>
          <w:tab w:val="right" w:leader="dot" w:pos="9533"/>
        </w:tabs>
        <w:suppressAutoHyphens w:val="0"/>
        <w:spacing w:after="337" w:line="270" w:lineRule="exact"/>
        <w:ind w:firstLine="0"/>
        <w:jc w:val="lef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fldChar w:fldCharType="begin"/>
      </w:r>
      <w:r w:rsidRPr="00217319">
        <w:rPr>
          <w:rFonts w:ascii="Times New Roman" w:eastAsia="Times New Roman" w:hAnsi="Times New Roman" w:cs="Times New Roman"/>
          <w:b/>
          <w:bCs/>
          <w:kern w:val="0"/>
          <w:sz w:val="27"/>
          <w:szCs w:val="27"/>
          <w:lang w:eastAsia="ru-RU"/>
        </w:rPr>
        <w:instrText xml:space="preserve"> TOC \o "1-3" \h \z </w:instrText>
      </w:r>
      <w:r w:rsidRPr="00217319">
        <w:rPr>
          <w:rFonts w:ascii="Times New Roman" w:eastAsia="Times New Roman" w:hAnsi="Times New Roman" w:cs="Times New Roman"/>
          <w:b/>
          <w:bCs/>
          <w:kern w:val="0"/>
          <w:sz w:val="27"/>
          <w:szCs w:val="27"/>
          <w:lang w:eastAsia="ru-RU"/>
        </w:rPr>
        <w:fldChar w:fldCharType="separate"/>
      </w:r>
      <w:hyperlink w:anchor="bookmark1" w:tooltip="Current Document" w:history="1">
        <w:r w:rsidRPr="00217319">
          <w:rPr>
            <w:rFonts w:ascii="Times New Roman" w:eastAsia="Times New Roman" w:hAnsi="Times New Roman" w:cs="Times New Roman"/>
            <w:b/>
            <w:bCs/>
            <w:kern w:val="0"/>
            <w:sz w:val="27"/>
            <w:szCs w:val="27"/>
            <w:lang w:eastAsia="ru-RU"/>
          </w:rPr>
          <w:t>Список сокращений</w:t>
        </w:r>
        <w:r w:rsidRPr="00217319">
          <w:rPr>
            <w:rFonts w:ascii="Times New Roman" w:eastAsia="Times New Roman" w:hAnsi="Times New Roman" w:cs="Times New Roman"/>
            <w:b/>
            <w:bCs/>
            <w:kern w:val="0"/>
            <w:sz w:val="27"/>
            <w:szCs w:val="27"/>
            <w:lang w:eastAsia="ru-RU"/>
          </w:rPr>
          <w:tab/>
          <w:t>4</w:t>
        </w:r>
      </w:hyperlink>
    </w:p>
    <w:p w:rsidR="00217319" w:rsidRPr="00217319" w:rsidRDefault="00217319" w:rsidP="00217319">
      <w:pPr>
        <w:widowControl/>
        <w:tabs>
          <w:tab w:val="clear" w:pos="709"/>
          <w:tab w:val="right" w:leader="dot" w:pos="9533"/>
        </w:tabs>
        <w:suppressAutoHyphens w:val="0"/>
        <w:spacing w:after="652" w:line="270" w:lineRule="exact"/>
        <w:ind w:firstLine="0"/>
        <w:jc w:val="lef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ВВЕДЕНИЕ</w:t>
      </w:r>
      <w:r w:rsidRPr="00217319">
        <w:rPr>
          <w:rFonts w:ascii="Times New Roman" w:eastAsia="Times New Roman" w:hAnsi="Times New Roman" w:cs="Times New Roman"/>
          <w:b/>
          <w:bCs/>
          <w:kern w:val="0"/>
          <w:sz w:val="27"/>
          <w:szCs w:val="27"/>
          <w:lang w:eastAsia="ru-RU"/>
        </w:rPr>
        <w:tab/>
        <w:t xml:space="preserve"> 5</w:t>
      </w:r>
    </w:p>
    <w:p w:rsidR="00217319" w:rsidRPr="00217319" w:rsidRDefault="00217319" w:rsidP="00217319">
      <w:pPr>
        <w:widowControl/>
        <w:tabs>
          <w:tab w:val="clear" w:pos="709"/>
          <w:tab w:val="right" w:leader="dot" w:pos="9533"/>
        </w:tabs>
        <w:suppressAutoHyphens w:val="0"/>
        <w:spacing w:after="0" w:line="638" w:lineRule="exact"/>
        <w:ind w:firstLine="0"/>
        <w:jc w:val="left"/>
        <w:rPr>
          <w:rFonts w:ascii="Times New Roman" w:eastAsia="Times New Roman" w:hAnsi="Times New Roman" w:cs="Times New Roman"/>
          <w:b/>
          <w:bCs/>
          <w:kern w:val="0"/>
          <w:sz w:val="27"/>
          <w:szCs w:val="27"/>
          <w:lang w:eastAsia="ru-RU"/>
        </w:rPr>
      </w:pPr>
      <w:hyperlink w:anchor="bookmark10" w:tooltip="Current Document" w:history="1">
        <w:r w:rsidRPr="00217319">
          <w:rPr>
            <w:rFonts w:ascii="Times New Roman" w:eastAsia="Times New Roman" w:hAnsi="Times New Roman" w:cs="Times New Roman"/>
            <w:b/>
            <w:bCs/>
            <w:kern w:val="0"/>
            <w:sz w:val="27"/>
            <w:szCs w:val="27"/>
            <w:lang w:eastAsia="ru-RU"/>
          </w:rPr>
          <w:t>ГЛАВА I. ОБЗОР ЛИТЕРАТУРЫ</w:t>
        </w:r>
        <w:r w:rsidRPr="00217319">
          <w:rPr>
            <w:rFonts w:ascii="Times New Roman" w:eastAsia="Times New Roman" w:hAnsi="Times New Roman" w:cs="Times New Roman"/>
            <w:b/>
            <w:bCs/>
            <w:kern w:val="0"/>
            <w:sz w:val="27"/>
            <w:szCs w:val="27"/>
            <w:lang w:eastAsia="ru-RU"/>
          </w:rPr>
          <w:tab/>
          <w:t>11</w:t>
        </w:r>
      </w:hyperlink>
    </w:p>
    <w:p w:rsidR="00217319" w:rsidRPr="00217319" w:rsidRDefault="00217319" w:rsidP="00217319">
      <w:pPr>
        <w:widowControl/>
        <w:numPr>
          <w:ilvl w:val="0"/>
          <w:numId w:val="1"/>
        </w:numPr>
        <w:tabs>
          <w:tab w:val="clear" w:pos="360"/>
          <w:tab w:val="clear" w:pos="709"/>
          <w:tab w:val="left" w:pos="1613"/>
          <w:tab w:val="right" w:leader="dot" w:pos="9533"/>
        </w:tabs>
        <w:suppressAutoHyphens w:val="0"/>
        <w:spacing w:after="0" w:line="638" w:lineRule="exact"/>
        <w:ind w:left="0" w:right="60" w:firstLine="680"/>
        <w:jc w:val="left"/>
        <w:rPr>
          <w:rFonts w:ascii="Times New Roman" w:eastAsia="Times New Roman" w:hAnsi="Times New Roman" w:cs="Times New Roman"/>
          <w:kern w:val="0"/>
          <w:sz w:val="27"/>
          <w:szCs w:val="27"/>
          <w:lang w:eastAsia="ru-RU"/>
        </w:rPr>
      </w:pPr>
      <w:hyperlink w:anchor="bookmark11" w:tooltip="Current Document" w:history="1">
        <w:r w:rsidRPr="00217319">
          <w:rPr>
            <w:rFonts w:ascii="Times New Roman" w:eastAsia="Times New Roman" w:hAnsi="Times New Roman" w:cs="Times New Roman"/>
            <w:kern w:val="0"/>
            <w:sz w:val="27"/>
            <w:szCs w:val="27"/>
            <w:lang w:eastAsia="ru-RU"/>
          </w:rPr>
          <w:t>Основные механизмы этиопатогенеза диабетической ретинопатии</w:t>
        </w:r>
        <w:r w:rsidRPr="00217319">
          <w:rPr>
            <w:rFonts w:ascii="Times New Roman" w:eastAsia="Times New Roman" w:hAnsi="Times New Roman" w:cs="Times New Roman"/>
            <w:kern w:val="0"/>
            <w:sz w:val="27"/>
            <w:szCs w:val="27"/>
            <w:lang w:eastAsia="ru-RU"/>
          </w:rPr>
          <w:tab/>
          <w:t>12</w:t>
        </w:r>
      </w:hyperlink>
    </w:p>
    <w:p w:rsidR="00217319" w:rsidRPr="00217319" w:rsidRDefault="00217319" w:rsidP="00217319">
      <w:pPr>
        <w:widowControl/>
        <w:numPr>
          <w:ilvl w:val="0"/>
          <w:numId w:val="1"/>
        </w:numPr>
        <w:tabs>
          <w:tab w:val="clear" w:pos="360"/>
          <w:tab w:val="clear" w:pos="709"/>
          <w:tab w:val="left" w:pos="1640"/>
        </w:tabs>
        <w:suppressAutoHyphens w:val="0"/>
        <w:spacing w:after="0" w:line="638" w:lineRule="exact"/>
        <w:ind w:left="0" w:firstLine="68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Роль оксида азота в патогенезе диабетической ретинопатии... 23</w:t>
      </w:r>
    </w:p>
    <w:p w:rsidR="00217319" w:rsidRPr="00217319" w:rsidRDefault="00217319" w:rsidP="00217319">
      <w:pPr>
        <w:widowControl/>
        <w:numPr>
          <w:ilvl w:val="0"/>
          <w:numId w:val="1"/>
        </w:numPr>
        <w:tabs>
          <w:tab w:val="clear" w:pos="360"/>
          <w:tab w:val="clear" w:pos="709"/>
          <w:tab w:val="left" w:pos="1570"/>
          <w:tab w:val="right" w:leader="dot" w:pos="9533"/>
        </w:tabs>
        <w:suppressAutoHyphens w:val="0"/>
        <w:spacing w:after="0" w:line="638" w:lineRule="exact"/>
        <w:ind w:left="0" w:right="60" w:firstLine="68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Основные принципы консервативного и хирургического лечения диабетической ретинопатии</w:t>
      </w:r>
      <w:r w:rsidRPr="00217319">
        <w:rPr>
          <w:rFonts w:ascii="Times New Roman" w:eastAsia="Times New Roman" w:hAnsi="Times New Roman" w:cs="Times New Roman"/>
          <w:kern w:val="0"/>
          <w:sz w:val="27"/>
          <w:szCs w:val="27"/>
          <w:lang w:eastAsia="ru-RU"/>
        </w:rPr>
        <w:tab/>
        <w:t>28</w:t>
      </w:r>
    </w:p>
    <w:p w:rsidR="00217319" w:rsidRPr="00217319" w:rsidRDefault="00217319" w:rsidP="00217319">
      <w:pPr>
        <w:widowControl/>
        <w:numPr>
          <w:ilvl w:val="0"/>
          <w:numId w:val="1"/>
        </w:numPr>
        <w:tabs>
          <w:tab w:val="clear" w:pos="360"/>
          <w:tab w:val="clear" w:pos="709"/>
          <w:tab w:val="left" w:pos="1651"/>
          <w:tab w:val="right" w:leader="dot" w:pos="9533"/>
        </w:tabs>
        <w:suppressAutoHyphens w:val="0"/>
        <w:spacing w:after="895" w:line="638" w:lineRule="exact"/>
        <w:ind w:left="0" w:right="60" w:firstLine="680"/>
        <w:jc w:val="left"/>
        <w:rPr>
          <w:rFonts w:ascii="Times New Roman" w:eastAsia="Times New Roman" w:hAnsi="Times New Roman" w:cs="Times New Roman"/>
          <w:kern w:val="0"/>
          <w:sz w:val="27"/>
          <w:szCs w:val="27"/>
          <w:lang w:eastAsia="ru-RU"/>
        </w:rPr>
      </w:pPr>
      <w:hyperlink w:anchor="bookmark18" w:tooltip="Current Document" w:history="1">
        <w:r w:rsidRPr="00217319">
          <w:rPr>
            <w:rFonts w:ascii="Times New Roman" w:eastAsia="Times New Roman" w:hAnsi="Times New Roman" w:cs="Times New Roman"/>
            <w:kern w:val="0"/>
            <w:sz w:val="27"/>
            <w:szCs w:val="27"/>
            <w:lang w:eastAsia="ru-RU"/>
          </w:rPr>
          <w:t>Применение альфа-липоевой кислоты у больных сахарным диабетом и ее роль в организме человека</w:t>
        </w:r>
        <w:r w:rsidRPr="00217319">
          <w:rPr>
            <w:rFonts w:ascii="Times New Roman" w:eastAsia="Times New Roman" w:hAnsi="Times New Roman" w:cs="Times New Roman"/>
            <w:kern w:val="0"/>
            <w:sz w:val="27"/>
            <w:szCs w:val="27"/>
            <w:lang w:eastAsia="ru-RU"/>
          </w:rPr>
          <w:tab/>
          <w:t>44</w:t>
        </w:r>
      </w:hyperlink>
    </w:p>
    <w:p w:rsidR="00217319" w:rsidRPr="00217319" w:rsidRDefault="00217319" w:rsidP="00217319">
      <w:pPr>
        <w:widowControl/>
        <w:tabs>
          <w:tab w:val="clear" w:pos="709"/>
          <w:tab w:val="right" w:leader="dot" w:pos="9533"/>
        </w:tabs>
        <w:suppressAutoHyphens w:val="0"/>
        <w:spacing w:after="52" w:line="270" w:lineRule="exact"/>
        <w:ind w:firstLine="0"/>
        <w:jc w:val="lef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ГЛАВА II. МАТЕРИАЛЫ И МЕТОДЫ ИССЛЕДОВАНИЯ</w:t>
      </w:r>
      <w:r w:rsidRPr="00217319">
        <w:rPr>
          <w:rFonts w:ascii="Times New Roman" w:eastAsia="Times New Roman" w:hAnsi="Times New Roman" w:cs="Times New Roman"/>
          <w:b/>
          <w:bCs/>
          <w:kern w:val="0"/>
          <w:sz w:val="27"/>
          <w:szCs w:val="27"/>
          <w:lang w:eastAsia="ru-RU"/>
        </w:rPr>
        <w:tab/>
        <w:t>48</w:t>
      </w:r>
    </w:p>
    <w:p w:rsidR="00217319" w:rsidRPr="00217319" w:rsidRDefault="00217319" w:rsidP="00217319">
      <w:pPr>
        <w:widowControl/>
        <w:numPr>
          <w:ilvl w:val="0"/>
          <w:numId w:val="13"/>
        </w:numPr>
        <w:tabs>
          <w:tab w:val="clear" w:pos="709"/>
          <w:tab w:val="left" w:pos="1752"/>
          <w:tab w:val="right" w:leader="dot" w:pos="9533"/>
        </w:tabs>
        <w:suppressAutoHyphens w:val="0"/>
        <w:spacing w:after="0" w:line="638" w:lineRule="exact"/>
        <w:ind w:right="60" w:firstLine="680"/>
        <w:jc w:val="left"/>
        <w:rPr>
          <w:rFonts w:ascii="Times New Roman" w:eastAsia="Times New Roman" w:hAnsi="Times New Roman" w:cs="Times New Roman"/>
          <w:kern w:val="0"/>
          <w:sz w:val="27"/>
          <w:szCs w:val="27"/>
          <w:lang w:eastAsia="ru-RU"/>
        </w:rPr>
      </w:pPr>
      <w:hyperlink w:anchor="bookmark20" w:tooltip="Current Document" w:history="1">
        <w:r w:rsidRPr="00217319">
          <w:rPr>
            <w:rFonts w:ascii="Times New Roman" w:eastAsia="Times New Roman" w:hAnsi="Times New Roman" w:cs="Times New Roman"/>
            <w:kern w:val="0"/>
            <w:sz w:val="27"/>
            <w:szCs w:val="27"/>
            <w:lang w:eastAsia="ru-RU"/>
          </w:rPr>
          <w:t>Объем исследований и общая характеристика пациентов</w:t>
        </w:r>
        <w:r w:rsidRPr="00217319">
          <w:rPr>
            <w:rFonts w:ascii="Times New Roman" w:eastAsia="Times New Roman" w:hAnsi="Times New Roman" w:cs="Times New Roman"/>
            <w:kern w:val="0"/>
            <w:sz w:val="27"/>
            <w:szCs w:val="27"/>
            <w:lang w:eastAsia="ru-RU"/>
          </w:rPr>
          <w:tab/>
        </w:r>
        <w:r w:rsidRPr="00217319">
          <w:rPr>
            <w:rFonts w:ascii="Times New Roman" w:eastAsia="Times New Roman" w:hAnsi="Times New Roman" w:cs="Times New Roman"/>
            <w:b/>
            <w:bCs/>
            <w:kern w:val="0"/>
            <w:sz w:val="27"/>
            <w:szCs w:val="27"/>
            <w:lang w:eastAsia="ru-RU"/>
          </w:rPr>
          <w:t>48</w:t>
        </w:r>
      </w:hyperlink>
    </w:p>
    <w:p w:rsidR="00217319" w:rsidRPr="00217319" w:rsidRDefault="00217319" w:rsidP="00217319">
      <w:pPr>
        <w:widowControl/>
        <w:numPr>
          <w:ilvl w:val="0"/>
          <w:numId w:val="13"/>
        </w:numPr>
        <w:tabs>
          <w:tab w:val="clear" w:pos="709"/>
          <w:tab w:val="left" w:pos="1674"/>
          <w:tab w:val="left" w:leader="dot" w:pos="9234"/>
        </w:tabs>
        <w:suppressAutoHyphens w:val="0"/>
        <w:spacing w:after="0" w:line="638" w:lineRule="exact"/>
        <w:ind w:firstLine="680"/>
        <w:jc w:val="left"/>
        <w:rPr>
          <w:rFonts w:ascii="Times New Roman" w:eastAsia="Times New Roman" w:hAnsi="Times New Roman" w:cs="Times New Roman"/>
          <w:kern w:val="0"/>
          <w:sz w:val="27"/>
          <w:szCs w:val="27"/>
          <w:lang w:eastAsia="ru-RU"/>
        </w:rPr>
      </w:pPr>
      <w:hyperlink w:anchor="bookmark21" w:tooltip="Current Document" w:history="1">
        <w:r w:rsidRPr="00217319">
          <w:rPr>
            <w:rFonts w:ascii="Times New Roman" w:eastAsia="Times New Roman" w:hAnsi="Times New Roman" w:cs="Times New Roman"/>
            <w:kern w:val="0"/>
            <w:sz w:val="27"/>
            <w:szCs w:val="27"/>
            <w:lang w:eastAsia="ru-RU"/>
          </w:rPr>
          <w:t>Методы офтальмологического исследования</w:t>
        </w:r>
        <w:r w:rsidRPr="00217319">
          <w:rPr>
            <w:rFonts w:ascii="Times New Roman" w:eastAsia="Times New Roman" w:hAnsi="Times New Roman" w:cs="Times New Roman"/>
            <w:kern w:val="0"/>
            <w:sz w:val="27"/>
            <w:szCs w:val="27"/>
            <w:lang w:eastAsia="ru-RU"/>
          </w:rPr>
          <w:tab/>
          <w:t>49</w:t>
        </w:r>
      </w:hyperlink>
    </w:p>
    <w:p w:rsidR="00217319" w:rsidRPr="00217319" w:rsidRDefault="00217319" w:rsidP="00217319">
      <w:pPr>
        <w:widowControl/>
        <w:numPr>
          <w:ilvl w:val="0"/>
          <w:numId w:val="13"/>
        </w:numPr>
        <w:tabs>
          <w:tab w:val="clear" w:pos="709"/>
          <w:tab w:val="left" w:pos="1669"/>
          <w:tab w:val="left" w:leader="dot" w:pos="9181"/>
        </w:tabs>
        <w:suppressAutoHyphens w:val="0"/>
        <w:spacing w:after="0" w:line="638" w:lineRule="exact"/>
        <w:ind w:firstLine="68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Биохимические методы исследования</w:t>
      </w:r>
      <w:r w:rsidRPr="00217319">
        <w:rPr>
          <w:rFonts w:ascii="Times New Roman" w:eastAsia="Times New Roman" w:hAnsi="Times New Roman" w:cs="Times New Roman"/>
          <w:kern w:val="0"/>
          <w:sz w:val="27"/>
          <w:szCs w:val="27"/>
          <w:lang w:eastAsia="ru-RU"/>
        </w:rPr>
        <w:tab/>
        <w:t>52</w:t>
      </w:r>
    </w:p>
    <w:p w:rsidR="00217319" w:rsidRPr="00217319" w:rsidRDefault="00217319" w:rsidP="00217319">
      <w:pPr>
        <w:widowControl/>
        <w:numPr>
          <w:ilvl w:val="0"/>
          <w:numId w:val="13"/>
        </w:numPr>
        <w:tabs>
          <w:tab w:val="clear" w:pos="709"/>
          <w:tab w:val="left" w:pos="1678"/>
          <w:tab w:val="left" w:leader="dot" w:pos="9205"/>
        </w:tabs>
        <w:suppressAutoHyphens w:val="0"/>
        <w:spacing w:after="0" w:line="638" w:lineRule="exact"/>
        <w:ind w:firstLine="680"/>
        <w:jc w:val="left"/>
        <w:rPr>
          <w:rFonts w:ascii="Times New Roman" w:eastAsia="Times New Roman" w:hAnsi="Times New Roman" w:cs="Times New Roman"/>
          <w:kern w:val="0"/>
          <w:sz w:val="27"/>
          <w:szCs w:val="27"/>
          <w:lang w:eastAsia="ru-RU"/>
        </w:rPr>
      </w:pPr>
      <w:hyperlink w:anchor="bookmark22" w:tooltip="Current Document" w:history="1">
        <w:r w:rsidRPr="00217319">
          <w:rPr>
            <w:rFonts w:ascii="Times New Roman" w:eastAsia="Times New Roman" w:hAnsi="Times New Roman" w:cs="Times New Roman"/>
            <w:kern w:val="0"/>
            <w:sz w:val="27"/>
            <w:szCs w:val="27"/>
            <w:lang w:eastAsia="ru-RU"/>
          </w:rPr>
          <w:t>Статистическая обработка данных</w:t>
        </w:r>
        <w:r w:rsidRPr="00217319">
          <w:rPr>
            <w:rFonts w:ascii="Times New Roman" w:eastAsia="Times New Roman" w:hAnsi="Times New Roman" w:cs="Times New Roman"/>
            <w:kern w:val="0"/>
            <w:sz w:val="27"/>
            <w:szCs w:val="27"/>
            <w:lang w:eastAsia="ru-RU"/>
          </w:rPr>
          <w:tab/>
          <w:t>57</w:t>
        </w:r>
      </w:hyperlink>
    </w:p>
    <w:p w:rsidR="00217319" w:rsidRPr="00217319" w:rsidRDefault="00217319" w:rsidP="00217319">
      <w:pPr>
        <w:widowControl/>
        <w:tabs>
          <w:tab w:val="clear" w:pos="709"/>
          <w:tab w:val="right" w:leader="dot" w:pos="9557"/>
        </w:tabs>
        <w:suppressAutoHyphens w:val="0"/>
        <w:spacing w:after="0" w:line="634" w:lineRule="exact"/>
        <w:ind w:left="20" w:firstLine="0"/>
        <w:jc w:val="left"/>
        <w:rPr>
          <w:rFonts w:ascii="Times New Roman" w:eastAsia="Times New Roman" w:hAnsi="Times New Roman" w:cs="Times New Roman"/>
          <w:b/>
          <w:bCs/>
          <w:kern w:val="0"/>
          <w:sz w:val="27"/>
          <w:szCs w:val="27"/>
          <w:lang w:eastAsia="ru-RU"/>
        </w:rPr>
      </w:pPr>
      <w:hyperlink w:anchor="bookmark24" w:tooltip="Current Document" w:history="1">
        <w:r w:rsidRPr="00217319">
          <w:rPr>
            <w:rFonts w:ascii="Times New Roman" w:eastAsia="Times New Roman" w:hAnsi="Times New Roman" w:cs="Times New Roman"/>
            <w:b/>
            <w:bCs/>
            <w:kern w:val="0"/>
            <w:sz w:val="27"/>
            <w:szCs w:val="27"/>
            <w:lang w:eastAsia="ru-RU"/>
          </w:rPr>
          <w:t xml:space="preserve">ГЛАВА </w:t>
        </w:r>
        <w:r w:rsidRPr="00217319">
          <w:rPr>
            <w:rFonts w:ascii="Times New Roman" w:eastAsia="Times New Roman" w:hAnsi="Times New Roman" w:cs="Times New Roman"/>
            <w:b/>
            <w:bCs/>
            <w:kern w:val="0"/>
            <w:sz w:val="27"/>
            <w:szCs w:val="27"/>
            <w:lang w:val="de-DE" w:eastAsia="de-DE"/>
          </w:rPr>
          <w:t xml:space="preserve">III. </w:t>
        </w:r>
        <w:r w:rsidRPr="00217319">
          <w:rPr>
            <w:rFonts w:ascii="Times New Roman" w:eastAsia="Times New Roman" w:hAnsi="Times New Roman" w:cs="Times New Roman"/>
            <w:b/>
            <w:bCs/>
            <w:kern w:val="0"/>
            <w:sz w:val="27"/>
            <w:szCs w:val="27"/>
            <w:lang w:eastAsia="ru-RU"/>
          </w:rPr>
          <w:t>СОБСТВЕННЫЕ ИССЛЕДОВАНИЯ</w:t>
        </w:r>
        <w:r w:rsidRPr="00217319">
          <w:rPr>
            <w:rFonts w:ascii="Times New Roman" w:eastAsia="Times New Roman" w:hAnsi="Times New Roman" w:cs="Times New Roman"/>
            <w:b/>
            <w:bCs/>
            <w:kern w:val="0"/>
            <w:sz w:val="27"/>
            <w:szCs w:val="27"/>
            <w:lang w:eastAsia="ru-RU"/>
          </w:rPr>
          <w:tab/>
          <w:t>58</w:t>
        </w:r>
      </w:hyperlink>
    </w:p>
    <w:p w:rsidR="00217319" w:rsidRPr="00217319" w:rsidRDefault="00217319" w:rsidP="00217319">
      <w:pPr>
        <w:widowControl/>
        <w:numPr>
          <w:ilvl w:val="0"/>
          <w:numId w:val="14"/>
        </w:numPr>
        <w:tabs>
          <w:tab w:val="clear" w:pos="709"/>
          <w:tab w:val="left" w:pos="1286"/>
        </w:tabs>
        <w:suppressAutoHyphens w:val="0"/>
        <w:spacing w:after="0" w:line="634" w:lineRule="exact"/>
        <w:ind w:left="7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Исследование метаболитов оксида азота в слезной жидкости .... 68</w:t>
      </w:r>
    </w:p>
    <w:p w:rsidR="00217319" w:rsidRPr="00217319" w:rsidRDefault="00217319" w:rsidP="00217319">
      <w:pPr>
        <w:widowControl/>
        <w:numPr>
          <w:ilvl w:val="0"/>
          <w:numId w:val="14"/>
        </w:numPr>
        <w:tabs>
          <w:tab w:val="clear" w:pos="709"/>
          <w:tab w:val="left" w:pos="1282"/>
          <w:tab w:val="right" w:leader="dot" w:pos="9555"/>
        </w:tabs>
        <w:suppressAutoHyphens w:val="0"/>
        <w:spacing w:after="0" w:line="634" w:lineRule="exact"/>
        <w:ind w:left="720" w:firstLine="0"/>
        <w:jc w:val="left"/>
        <w:rPr>
          <w:rFonts w:ascii="Times New Roman" w:eastAsia="Times New Roman" w:hAnsi="Times New Roman" w:cs="Times New Roman"/>
          <w:kern w:val="0"/>
          <w:sz w:val="27"/>
          <w:szCs w:val="27"/>
          <w:lang w:eastAsia="ru-RU"/>
        </w:rPr>
      </w:pPr>
      <w:hyperlink w:anchor="bookmark29" w:tooltip="Current Document" w:history="1">
        <w:r w:rsidRPr="00217319">
          <w:rPr>
            <w:rFonts w:ascii="Times New Roman" w:eastAsia="Times New Roman" w:hAnsi="Times New Roman" w:cs="Times New Roman"/>
            <w:kern w:val="0"/>
            <w:sz w:val="27"/>
            <w:szCs w:val="27"/>
            <w:lang w:eastAsia="ru-RU"/>
          </w:rPr>
          <w:t>Показатели углеводного обмена</w:t>
        </w:r>
        <w:r w:rsidRPr="00217319">
          <w:rPr>
            <w:rFonts w:ascii="Times New Roman" w:eastAsia="Times New Roman" w:hAnsi="Times New Roman" w:cs="Times New Roman"/>
            <w:kern w:val="0"/>
            <w:sz w:val="27"/>
            <w:szCs w:val="27"/>
            <w:lang w:eastAsia="ru-RU"/>
          </w:rPr>
          <w:tab/>
          <w:t>72</w:t>
        </w:r>
      </w:hyperlink>
    </w:p>
    <w:p w:rsidR="00217319" w:rsidRPr="00217319" w:rsidRDefault="00217319" w:rsidP="00217319">
      <w:pPr>
        <w:widowControl/>
        <w:numPr>
          <w:ilvl w:val="0"/>
          <w:numId w:val="14"/>
        </w:numPr>
        <w:tabs>
          <w:tab w:val="clear" w:pos="709"/>
          <w:tab w:val="left" w:pos="1286"/>
          <w:tab w:val="right" w:leader="dot" w:pos="9555"/>
        </w:tabs>
        <w:suppressAutoHyphens w:val="0"/>
        <w:spacing w:after="0" w:line="634" w:lineRule="exact"/>
        <w:ind w:left="720" w:firstLine="0"/>
        <w:jc w:val="left"/>
        <w:rPr>
          <w:rFonts w:ascii="Times New Roman" w:eastAsia="Times New Roman" w:hAnsi="Times New Roman" w:cs="Times New Roman"/>
          <w:kern w:val="0"/>
          <w:sz w:val="27"/>
          <w:szCs w:val="27"/>
          <w:lang w:eastAsia="ru-RU"/>
        </w:rPr>
      </w:pPr>
      <w:hyperlink w:anchor="bookmark30" w:tooltip="Current Document" w:history="1">
        <w:r w:rsidRPr="00217319">
          <w:rPr>
            <w:rFonts w:ascii="Times New Roman" w:eastAsia="Times New Roman" w:hAnsi="Times New Roman" w:cs="Times New Roman"/>
            <w:kern w:val="0"/>
            <w:sz w:val="27"/>
            <w:szCs w:val="27"/>
            <w:lang w:eastAsia="ru-RU"/>
          </w:rPr>
          <w:t>Показателей липидного обмена</w:t>
        </w:r>
        <w:r w:rsidRPr="00217319">
          <w:rPr>
            <w:rFonts w:ascii="Times New Roman" w:eastAsia="Times New Roman" w:hAnsi="Times New Roman" w:cs="Times New Roman"/>
            <w:kern w:val="0"/>
            <w:sz w:val="27"/>
            <w:szCs w:val="27"/>
            <w:lang w:eastAsia="ru-RU"/>
          </w:rPr>
          <w:tab/>
          <w:t>73</w:t>
        </w:r>
      </w:hyperlink>
    </w:p>
    <w:p w:rsidR="00217319" w:rsidRPr="00217319" w:rsidRDefault="00217319" w:rsidP="00217319">
      <w:pPr>
        <w:widowControl/>
        <w:numPr>
          <w:ilvl w:val="0"/>
          <w:numId w:val="14"/>
        </w:numPr>
        <w:tabs>
          <w:tab w:val="clear" w:pos="709"/>
          <w:tab w:val="left" w:pos="1291"/>
          <w:tab w:val="right" w:leader="dot" w:pos="9555"/>
        </w:tabs>
        <w:suppressAutoHyphens w:val="0"/>
        <w:spacing w:after="0" w:line="634" w:lineRule="exact"/>
        <w:ind w:left="720" w:firstLine="0"/>
        <w:jc w:val="left"/>
        <w:rPr>
          <w:rFonts w:ascii="Times New Roman" w:eastAsia="Times New Roman" w:hAnsi="Times New Roman" w:cs="Times New Roman"/>
          <w:kern w:val="0"/>
          <w:sz w:val="27"/>
          <w:szCs w:val="27"/>
          <w:lang w:eastAsia="ru-RU"/>
        </w:rPr>
      </w:pPr>
      <w:hyperlink w:anchor="bookmark31" w:tooltip="Current Document" w:history="1">
        <w:r w:rsidRPr="00217319">
          <w:rPr>
            <w:rFonts w:ascii="Times New Roman" w:eastAsia="Times New Roman" w:hAnsi="Times New Roman" w:cs="Times New Roman"/>
            <w:kern w:val="0"/>
            <w:sz w:val="27"/>
            <w:szCs w:val="27"/>
            <w:lang w:eastAsia="ru-RU"/>
          </w:rPr>
          <w:t>Динамика остроты зрения на фоне лечения</w:t>
        </w:r>
        <w:r w:rsidRPr="00217319">
          <w:rPr>
            <w:rFonts w:ascii="Times New Roman" w:eastAsia="Times New Roman" w:hAnsi="Times New Roman" w:cs="Times New Roman"/>
            <w:kern w:val="0"/>
            <w:sz w:val="27"/>
            <w:szCs w:val="27"/>
            <w:lang w:eastAsia="ru-RU"/>
          </w:rPr>
          <w:tab/>
          <w:t>74</w:t>
        </w:r>
      </w:hyperlink>
    </w:p>
    <w:p w:rsidR="00217319" w:rsidRPr="00217319" w:rsidRDefault="00217319" w:rsidP="00217319">
      <w:pPr>
        <w:widowControl/>
        <w:numPr>
          <w:ilvl w:val="0"/>
          <w:numId w:val="14"/>
        </w:numPr>
        <w:tabs>
          <w:tab w:val="clear" w:pos="709"/>
          <w:tab w:val="left" w:pos="1291"/>
          <w:tab w:val="right" w:leader="dot" w:pos="9555"/>
        </w:tabs>
        <w:suppressAutoHyphens w:val="0"/>
        <w:spacing w:after="0" w:line="634" w:lineRule="exact"/>
        <w:ind w:left="720" w:firstLine="0"/>
        <w:jc w:val="left"/>
        <w:rPr>
          <w:rFonts w:ascii="Times New Roman" w:eastAsia="Times New Roman" w:hAnsi="Times New Roman" w:cs="Times New Roman"/>
          <w:kern w:val="0"/>
          <w:sz w:val="27"/>
          <w:szCs w:val="27"/>
          <w:lang w:eastAsia="ru-RU"/>
        </w:rPr>
      </w:pPr>
      <w:hyperlink w:anchor="bookmark32" w:tooltip="Current Document" w:history="1">
        <w:r w:rsidRPr="00217319">
          <w:rPr>
            <w:rFonts w:ascii="Times New Roman" w:eastAsia="Times New Roman" w:hAnsi="Times New Roman" w:cs="Times New Roman"/>
            <w:kern w:val="0"/>
            <w:sz w:val="27"/>
            <w:szCs w:val="27"/>
            <w:lang w:eastAsia="ru-RU"/>
          </w:rPr>
          <w:t>Картина глазного дна</w:t>
        </w:r>
        <w:r w:rsidRPr="00217319">
          <w:rPr>
            <w:rFonts w:ascii="Times New Roman" w:eastAsia="Times New Roman" w:hAnsi="Times New Roman" w:cs="Times New Roman"/>
            <w:kern w:val="0"/>
            <w:sz w:val="27"/>
            <w:szCs w:val="27"/>
            <w:lang w:eastAsia="ru-RU"/>
          </w:rPr>
          <w:tab/>
          <w:t>77</w:t>
        </w:r>
      </w:hyperlink>
    </w:p>
    <w:p w:rsidR="00217319" w:rsidRPr="00217319" w:rsidRDefault="00217319" w:rsidP="00217319">
      <w:pPr>
        <w:widowControl/>
        <w:numPr>
          <w:ilvl w:val="0"/>
          <w:numId w:val="14"/>
        </w:numPr>
        <w:tabs>
          <w:tab w:val="clear" w:pos="709"/>
          <w:tab w:val="left" w:pos="1286"/>
          <w:tab w:val="right" w:leader="dot" w:pos="9555"/>
        </w:tabs>
        <w:suppressAutoHyphens w:val="0"/>
        <w:spacing w:after="0" w:line="634" w:lineRule="exact"/>
        <w:ind w:left="720" w:firstLine="0"/>
        <w:jc w:val="left"/>
        <w:rPr>
          <w:rFonts w:ascii="Times New Roman" w:eastAsia="Times New Roman" w:hAnsi="Times New Roman" w:cs="Times New Roman"/>
          <w:kern w:val="0"/>
          <w:sz w:val="27"/>
          <w:szCs w:val="27"/>
          <w:lang w:eastAsia="ru-RU"/>
        </w:rPr>
      </w:pPr>
      <w:hyperlink w:anchor="bookmark35" w:tooltip="Current Document" w:history="1">
        <w:r w:rsidRPr="00217319">
          <w:rPr>
            <w:rFonts w:ascii="Times New Roman" w:eastAsia="Times New Roman" w:hAnsi="Times New Roman" w:cs="Times New Roman"/>
            <w:kern w:val="0"/>
            <w:sz w:val="27"/>
            <w:szCs w:val="27"/>
            <w:lang w:eastAsia="ru-RU"/>
          </w:rPr>
          <w:t>Результаты оптической когерентной томографии</w:t>
        </w:r>
        <w:r w:rsidRPr="00217319">
          <w:rPr>
            <w:rFonts w:ascii="Times New Roman" w:eastAsia="Times New Roman" w:hAnsi="Times New Roman" w:cs="Times New Roman"/>
            <w:kern w:val="0"/>
            <w:sz w:val="27"/>
            <w:szCs w:val="27"/>
            <w:lang w:eastAsia="ru-RU"/>
          </w:rPr>
          <w:tab/>
          <w:t>81</w:t>
        </w:r>
      </w:hyperlink>
    </w:p>
    <w:p w:rsidR="00217319" w:rsidRPr="00217319" w:rsidRDefault="00217319" w:rsidP="00217319">
      <w:pPr>
        <w:widowControl/>
        <w:numPr>
          <w:ilvl w:val="0"/>
          <w:numId w:val="14"/>
        </w:numPr>
        <w:tabs>
          <w:tab w:val="clear" w:pos="709"/>
          <w:tab w:val="left" w:pos="1291"/>
          <w:tab w:val="right" w:leader="dot" w:pos="9555"/>
        </w:tabs>
        <w:suppressAutoHyphens w:val="0"/>
        <w:spacing w:after="593" w:line="634" w:lineRule="exact"/>
        <w:ind w:left="720" w:firstLine="0"/>
        <w:jc w:val="left"/>
        <w:rPr>
          <w:rFonts w:ascii="Times New Roman" w:eastAsia="Times New Roman" w:hAnsi="Times New Roman" w:cs="Times New Roman"/>
          <w:kern w:val="0"/>
          <w:sz w:val="27"/>
          <w:szCs w:val="27"/>
          <w:lang w:eastAsia="ru-RU"/>
        </w:rPr>
      </w:pPr>
      <w:hyperlink w:anchor="bookmark37" w:tooltip="Current Document" w:history="1">
        <w:r w:rsidRPr="00217319">
          <w:rPr>
            <w:rFonts w:ascii="Times New Roman" w:eastAsia="Times New Roman" w:hAnsi="Times New Roman" w:cs="Times New Roman"/>
            <w:kern w:val="0"/>
            <w:sz w:val="27"/>
            <w:szCs w:val="27"/>
            <w:lang w:eastAsia="ru-RU"/>
          </w:rPr>
          <w:t>Переносимость препарата</w:t>
        </w:r>
        <w:r w:rsidRPr="00217319">
          <w:rPr>
            <w:rFonts w:ascii="Times New Roman" w:eastAsia="Times New Roman" w:hAnsi="Times New Roman" w:cs="Times New Roman"/>
            <w:kern w:val="0"/>
            <w:sz w:val="27"/>
            <w:szCs w:val="27"/>
            <w:lang w:eastAsia="ru-RU"/>
          </w:rPr>
          <w:tab/>
          <w:t>98</w:t>
        </w:r>
      </w:hyperlink>
    </w:p>
    <w:p w:rsidR="00217319" w:rsidRPr="00217319" w:rsidRDefault="00217319" w:rsidP="00217319">
      <w:pPr>
        <w:widowControl/>
        <w:tabs>
          <w:tab w:val="clear" w:pos="709"/>
          <w:tab w:val="right" w:leader="dot" w:pos="9557"/>
        </w:tabs>
        <w:suppressAutoHyphens w:val="0"/>
        <w:spacing w:after="604" w:line="643" w:lineRule="exact"/>
        <w:ind w:left="20" w:right="340" w:firstLine="0"/>
        <w:jc w:val="left"/>
        <w:rPr>
          <w:rFonts w:ascii="Times New Roman" w:eastAsia="Times New Roman" w:hAnsi="Times New Roman" w:cs="Times New Roman"/>
          <w:b/>
          <w:bCs/>
          <w:kern w:val="0"/>
          <w:sz w:val="27"/>
          <w:szCs w:val="27"/>
          <w:lang w:eastAsia="ru-RU"/>
        </w:rPr>
      </w:pPr>
      <w:hyperlink w:anchor="bookmark39" w:tooltip="Current Document" w:history="1">
        <w:r w:rsidRPr="00217319">
          <w:rPr>
            <w:rFonts w:ascii="Times New Roman" w:eastAsia="Times New Roman" w:hAnsi="Times New Roman" w:cs="Times New Roman"/>
            <w:b/>
            <w:bCs/>
            <w:kern w:val="0"/>
            <w:sz w:val="27"/>
            <w:szCs w:val="27"/>
            <w:lang w:eastAsia="ru-RU"/>
          </w:rPr>
          <w:t>ГЛАВА IV. ОБСУЖДЕНИЕ РЕЗУЛЬТАТОВ СОБСТВЕННЫХ ИССЛЕДОВАНИЙ</w:t>
        </w:r>
        <w:r w:rsidRPr="00217319">
          <w:rPr>
            <w:rFonts w:ascii="Times New Roman" w:eastAsia="Times New Roman" w:hAnsi="Times New Roman" w:cs="Times New Roman"/>
            <w:b/>
            <w:bCs/>
            <w:kern w:val="0"/>
            <w:sz w:val="27"/>
            <w:szCs w:val="27"/>
            <w:lang w:eastAsia="ru-RU"/>
          </w:rPr>
          <w:tab/>
          <w:t>100</w:t>
        </w:r>
      </w:hyperlink>
    </w:p>
    <w:p w:rsidR="00217319" w:rsidRPr="00217319" w:rsidRDefault="00217319" w:rsidP="00217319">
      <w:pPr>
        <w:widowControl/>
        <w:tabs>
          <w:tab w:val="clear" w:pos="709"/>
          <w:tab w:val="right" w:leader="dot" w:pos="9557"/>
        </w:tabs>
        <w:suppressAutoHyphens w:val="0"/>
        <w:spacing w:after="0" w:line="638" w:lineRule="exact"/>
        <w:ind w:left="20" w:firstLine="0"/>
        <w:jc w:val="left"/>
        <w:rPr>
          <w:rFonts w:ascii="Times New Roman" w:eastAsia="Times New Roman" w:hAnsi="Times New Roman" w:cs="Times New Roman"/>
          <w:b/>
          <w:bCs/>
          <w:kern w:val="0"/>
          <w:sz w:val="27"/>
          <w:szCs w:val="27"/>
          <w:lang w:eastAsia="ru-RU"/>
        </w:rPr>
      </w:pPr>
      <w:hyperlink w:anchor="bookmark41" w:tooltip="Current Document" w:history="1">
        <w:r w:rsidRPr="00217319">
          <w:rPr>
            <w:rFonts w:ascii="Times New Roman" w:eastAsia="Times New Roman" w:hAnsi="Times New Roman" w:cs="Times New Roman"/>
            <w:b/>
            <w:bCs/>
            <w:kern w:val="0"/>
            <w:sz w:val="27"/>
            <w:szCs w:val="27"/>
            <w:lang w:eastAsia="ru-RU"/>
          </w:rPr>
          <w:t>ЗАКЛЮЧЕНИЕ</w:t>
        </w:r>
        <w:r w:rsidRPr="00217319">
          <w:rPr>
            <w:rFonts w:ascii="Times New Roman" w:eastAsia="Times New Roman" w:hAnsi="Times New Roman" w:cs="Times New Roman"/>
            <w:b/>
            <w:bCs/>
            <w:kern w:val="0"/>
            <w:sz w:val="27"/>
            <w:szCs w:val="27"/>
            <w:lang w:eastAsia="ru-RU"/>
          </w:rPr>
          <w:tab/>
        </w:r>
        <w:r w:rsidRPr="00217319">
          <w:rPr>
            <w:rFonts w:ascii="Times New Roman" w:eastAsia="Times New Roman" w:hAnsi="Times New Roman" w:cs="Times New Roman"/>
            <w:b/>
            <w:bCs/>
            <w:spacing w:val="30"/>
            <w:kern w:val="0"/>
            <w:sz w:val="27"/>
            <w:szCs w:val="27"/>
            <w:lang w:eastAsia="ru-RU"/>
          </w:rPr>
          <w:t>115</w:t>
        </w:r>
      </w:hyperlink>
    </w:p>
    <w:p w:rsidR="00217319" w:rsidRPr="00217319" w:rsidRDefault="00217319" w:rsidP="00217319">
      <w:pPr>
        <w:widowControl/>
        <w:tabs>
          <w:tab w:val="clear" w:pos="709"/>
          <w:tab w:val="right" w:leader="dot" w:pos="9557"/>
        </w:tabs>
        <w:suppressAutoHyphens w:val="0"/>
        <w:spacing w:after="0" w:line="638" w:lineRule="exact"/>
        <w:ind w:left="20" w:firstLine="0"/>
        <w:jc w:val="left"/>
        <w:rPr>
          <w:rFonts w:ascii="Times New Roman" w:eastAsia="Times New Roman" w:hAnsi="Times New Roman" w:cs="Times New Roman"/>
          <w:b/>
          <w:bCs/>
          <w:kern w:val="0"/>
          <w:sz w:val="27"/>
          <w:szCs w:val="27"/>
          <w:lang w:eastAsia="ru-RU"/>
        </w:rPr>
      </w:pPr>
      <w:hyperlink w:anchor="bookmark42" w:tooltip="Current Document" w:history="1">
        <w:r w:rsidRPr="00217319">
          <w:rPr>
            <w:rFonts w:ascii="Times New Roman" w:eastAsia="Times New Roman" w:hAnsi="Times New Roman" w:cs="Times New Roman"/>
            <w:b/>
            <w:bCs/>
            <w:kern w:val="0"/>
            <w:sz w:val="27"/>
            <w:szCs w:val="27"/>
            <w:lang w:eastAsia="ru-RU"/>
          </w:rPr>
          <w:t>ВЫВОДЫ</w:t>
        </w:r>
        <w:r w:rsidRPr="00217319">
          <w:rPr>
            <w:rFonts w:ascii="Times New Roman" w:eastAsia="Times New Roman" w:hAnsi="Times New Roman" w:cs="Times New Roman"/>
            <w:b/>
            <w:bCs/>
            <w:kern w:val="0"/>
            <w:sz w:val="27"/>
            <w:szCs w:val="27"/>
            <w:lang w:eastAsia="ru-RU"/>
          </w:rPr>
          <w:tab/>
        </w:r>
        <w:r w:rsidRPr="00217319">
          <w:rPr>
            <w:rFonts w:ascii="Times New Roman" w:eastAsia="Times New Roman" w:hAnsi="Times New Roman" w:cs="Times New Roman"/>
            <w:b/>
            <w:bCs/>
            <w:spacing w:val="30"/>
            <w:kern w:val="0"/>
            <w:sz w:val="27"/>
            <w:szCs w:val="27"/>
            <w:lang w:eastAsia="ru-RU"/>
          </w:rPr>
          <w:t>117</w:t>
        </w:r>
      </w:hyperlink>
    </w:p>
    <w:p w:rsidR="00217319" w:rsidRPr="00217319" w:rsidRDefault="00217319" w:rsidP="00217319">
      <w:pPr>
        <w:widowControl/>
        <w:tabs>
          <w:tab w:val="clear" w:pos="709"/>
          <w:tab w:val="right" w:leader="dot" w:pos="9557"/>
        </w:tabs>
        <w:suppressAutoHyphens w:val="0"/>
        <w:spacing w:after="0" w:line="638" w:lineRule="exact"/>
        <w:ind w:left="20" w:firstLine="0"/>
        <w:jc w:val="left"/>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t>ПРАКТИЧЕСКИЕ РЕКОМЕНДАЦИИ</w:t>
      </w:r>
      <w:r w:rsidRPr="00217319">
        <w:rPr>
          <w:rFonts w:ascii="Times New Roman" w:eastAsia="Times New Roman" w:hAnsi="Times New Roman" w:cs="Times New Roman"/>
          <w:b/>
          <w:bCs/>
          <w:kern w:val="0"/>
          <w:sz w:val="27"/>
          <w:szCs w:val="27"/>
          <w:lang w:eastAsia="ru-RU"/>
        </w:rPr>
        <w:tab/>
      </w:r>
      <w:r w:rsidRPr="00217319">
        <w:rPr>
          <w:rFonts w:ascii="Times New Roman" w:eastAsia="Times New Roman" w:hAnsi="Times New Roman" w:cs="Times New Roman"/>
          <w:b/>
          <w:bCs/>
          <w:spacing w:val="30"/>
          <w:kern w:val="0"/>
          <w:sz w:val="27"/>
          <w:szCs w:val="27"/>
          <w:lang w:eastAsia="ru-RU"/>
        </w:rPr>
        <w:t>118</w:t>
      </w:r>
    </w:p>
    <w:p w:rsidR="00217319" w:rsidRPr="00217319" w:rsidRDefault="00217319" w:rsidP="00217319">
      <w:pPr>
        <w:widowControl/>
        <w:tabs>
          <w:tab w:val="clear" w:pos="709"/>
          <w:tab w:val="right" w:leader="dot" w:pos="9557"/>
        </w:tabs>
        <w:suppressAutoHyphens w:val="0"/>
        <w:spacing w:after="0" w:line="638" w:lineRule="exact"/>
        <w:ind w:left="20" w:firstLine="0"/>
        <w:jc w:val="left"/>
        <w:rPr>
          <w:rFonts w:ascii="Times New Roman" w:eastAsia="Times New Roman" w:hAnsi="Times New Roman" w:cs="Times New Roman"/>
          <w:b/>
          <w:bCs/>
          <w:kern w:val="0"/>
          <w:sz w:val="27"/>
          <w:szCs w:val="27"/>
          <w:lang w:eastAsia="ru-RU"/>
        </w:rPr>
        <w:sectPr w:rsidR="00217319" w:rsidRPr="00217319">
          <w:type w:val="continuous"/>
          <w:pgSz w:w="16837" w:h="23810"/>
          <w:pgMar w:top="4591" w:right="3259" w:bottom="4826" w:left="3684" w:header="0" w:footer="3" w:gutter="0"/>
          <w:cols w:space="720"/>
          <w:noEndnote/>
          <w:docGrid w:linePitch="360"/>
        </w:sectPr>
      </w:pPr>
      <w:hyperlink w:anchor="bookmark44" w:tooltip="Current Document" w:history="1">
        <w:r w:rsidRPr="00217319">
          <w:rPr>
            <w:rFonts w:ascii="Times New Roman" w:eastAsia="Times New Roman" w:hAnsi="Times New Roman" w:cs="Times New Roman"/>
            <w:b/>
            <w:bCs/>
            <w:kern w:val="0"/>
            <w:sz w:val="27"/>
            <w:szCs w:val="27"/>
            <w:lang w:eastAsia="ru-RU"/>
          </w:rPr>
          <w:t>СПИСОК ЛИТЕРАТУРЫ</w:t>
        </w:r>
        <w:r w:rsidRPr="00217319">
          <w:rPr>
            <w:rFonts w:ascii="Times New Roman" w:eastAsia="Times New Roman" w:hAnsi="Times New Roman" w:cs="Times New Roman"/>
            <w:b/>
            <w:bCs/>
            <w:kern w:val="0"/>
            <w:sz w:val="27"/>
            <w:szCs w:val="27"/>
            <w:lang w:eastAsia="ru-RU"/>
          </w:rPr>
          <w:tab/>
          <w:t>120</w:t>
        </w:r>
      </w:hyperlink>
    </w:p>
    <w:p w:rsidR="00217319" w:rsidRPr="00217319" w:rsidRDefault="00217319" w:rsidP="00217319">
      <w:pPr>
        <w:keepNext/>
        <w:keepLines/>
        <w:widowControl/>
        <w:tabs>
          <w:tab w:val="clear" w:pos="709"/>
        </w:tabs>
        <w:suppressAutoHyphens w:val="0"/>
        <w:spacing w:after="419" w:line="270" w:lineRule="exact"/>
        <w:ind w:left="2940" w:firstLine="0"/>
        <w:jc w:val="left"/>
        <w:outlineLvl w:val="3"/>
        <w:rPr>
          <w:rFonts w:ascii="Times New Roman" w:eastAsia="Times New Roman" w:hAnsi="Times New Roman" w:cs="Times New Roman"/>
          <w:b/>
          <w:bCs/>
          <w:kern w:val="0"/>
          <w:sz w:val="27"/>
          <w:szCs w:val="27"/>
          <w:lang w:eastAsia="ru-RU"/>
        </w:rPr>
      </w:pPr>
      <w:r w:rsidRPr="00217319">
        <w:rPr>
          <w:rFonts w:ascii="Times New Roman" w:eastAsia="Times New Roman" w:hAnsi="Times New Roman" w:cs="Times New Roman"/>
          <w:b/>
          <w:bCs/>
          <w:kern w:val="0"/>
          <w:sz w:val="27"/>
          <w:szCs w:val="27"/>
          <w:lang w:eastAsia="ru-RU"/>
        </w:rPr>
        <w:fldChar w:fldCharType="end"/>
      </w:r>
      <w:bookmarkStart w:id="1" w:name="bookmark1"/>
      <w:r w:rsidRPr="00217319">
        <w:rPr>
          <w:rFonts w:ascii="Times New Roman" w:eastAsia="Times New Roman" w:hAnsi="Times New Roman" w:cs="Times New Roman"/>
          <w:b/>
          <w:bCs/>
          <w:kern w:val="0"/>
          <w:sz w:val="27"/>
          <w:szCs w:val="27"/>
          <w:lang w:eastAsia="ru-RU"/>
        </w:rPr>
        <w:t>СПИСОК СОКРАЩЕНИЙ</w:t>
      </w:r>
      <w:bookmarkEnd w:id="1"/>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АЛК — альфа-липоевая кислота</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АПФ - ангиотензинпревращающий фермент</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ДР - диабетическая ретинопатия</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ИЗСД - инсулинозависимый сахарный диабет</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ИНСД - инсулинонезависимый сахарный диабет</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ЛНП — липопротеиды низкой плотности</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ЛВП - липопротеиды высокой плотности</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ОКТ - оптическая когерентная томография</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ПОЛ - перекисное окисление липидов</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ПССП - пероральные сахароснижающие препараты</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СД - сахарный диабет</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СЖ - слезная жидкость</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ТГ - триглицериды</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ФАГ - флюоресцентная ангиография</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ХС - холестерин</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ЦИК - циркулирующие иммунные комплексы</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ELAM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val="en-US" w:eastAsia="en-US"/>
        </w:rPr>
        <w:t>endothelial leucocyte adhesion molecule</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FGF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val="en-US" w:eastAsia="en-US"/>
        </w:rPr>
        <w:t>fibroblast growth factor</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Hb Ale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гликозилированный</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гемоглобин</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ru-RU"/>
        </w:rPr>
        <w:t>1</w:t>
      </w:r>
      <w:r w:rsidRPr="00217319">
        <w:rPr>
          <w:rFonts w:ascii="Times New Roman" w:eastAsia="Times New Roman" w:hAnsi="Times New Roman" w:cs="Times New Roman"/>
          <w:kern w:val="0"/>
          <w:sz w:val="27"/>
          <w:szCs w:val="27"/>
          <w:lang w:eastAsia="ru-RU"/>
        </w:rPr>
        <w:t>С</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val="en-US" w:eastAsia="en-US"/>
        </w:rPr>
        <w:t xml:space="preserve">AM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val="en-US" w:eastAsia="en-US"/>
        </w:rPr>
        <w:t>intercellular adhesion molecule</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IGF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val="en-US" w:eastAsia="en-US"/>
        </w:rPr>
        <w:t>insulin-like growth factor</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IL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интерлейкины</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NO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оксид</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азота</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kern w:val="0"/>
          <w:sz w:val="27"/>
          <w:szCs w:val="27"/>
          <w:lang w:val="en-US" w:eastAsia="en-US"/>
        </w:rPr>
        <w:t xml:space="preserve">NO2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нитраты</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pPr>
      <w:r w:rsidRPr="00217319">
        <w:rPr>
          <w:rFonts w:ascii="Times New Roman" w:eastAsia="Times New Roman" w:hAnsi="Times New Roman" w:cs="Times New Roman"/>
          <w:spacing w:val="-10"/>
          <w:kern w:val="0"/>
          <w:sz w:val="28"/>
          <w:lang w:val="en-US" w:eastAsia="en-US"/>
        </w:rPr>
        <w:t>NO3</w:t>
      </w:r>
      <w:r w:rsidRPr="00217319">
        <w:rPr>
          <w:rFonts w:ascii="Times New Roman" w:eastAsia="Times New Roman" w:hAnsi="Times New Roman" w:cs="Times New Roman"/>
          <w:kern w:val="0"/>
          <w:sz w:val="27"/>
          <w:szCs w:val="27"/>
          <w:lang w:val="en-US" w:eastAsia="en-US"/>
        </w:rPr>
        <w:t xml:space="preserve">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eastAsia="ru-RU"/>
        </w:rPr>
        <w:t>нитриты</w:t>
      </w:r>
    </w:p>
    <w:p w:rsidR="00217319" w:rsidRPr="00217319" w:rsidRDefault="00217319" w:rsidP="00217319">
      <w:pPr>
        <w:widowControl/>
        <w:tabs>
          <w:tab w:val="clear" w:pos="709"/>
        </w:tabs>
        <w:suppressAutoHyphens w:val="0"/>
        <w:spacing w:after="0" w:line="480" w:lineRule="exact"/>
        <w:ind w:left="20" w:firstLine="0"/>
        <w:jc w:val="left"/>
        <w:rPr>
          <w:rFonts w:ascii="Times New Roman" w:eastAsia="Times New Roman" w:hAnsi="Times New Roman" w:cs="Times New Roman"/>
          <w:kern w:val="0"/>
          <w:sz w:val="27"/>
          <w:szCs w:val="27"/>
          <w:lang w:val="en-US" w:eastAsia="ru-RU"/>
        </w:rPr>
        <w:sectPr w:rsidR="00217319" w:rsidRPr="00217319">
          <w:type w:val="continuous"/>
          <w:pgSz w:w="16837" w:h="23810"/>
          <w:pgMar w:top="5180" w:right="6150" w:bottom="5382" w:left="3880" w:header="0" w:footer="3" w:gutter="0"/>
          <w:cols w:space="720"/>
          <w:noEndnote/>
          <w:docGrid w:linePitch="360"/>
        </w:sectPr>
      </w:pPr>
      <w:r w:rsidRPr="00217319">
        <w:rPr>
          <w:rFonts w:ascii="Times New Roman" w:eastAsia="Times New Roman" w:hAnsi="Times New Roman" w:cs="Times New Roman"/>
          <w:kern w:val="0"/>
          <w:sz w:val="27"/>
          <w:szCs w:val="27"/>
          <w:lang w:val="en-US" w:eastAsia="en-US"/>
        </w:rPr>
        <w:t xml:space="preserve">VEGF </w:t>
      </w:r>
      <w:r w:rsidRPr="00217319">
        <w:rPr>
          <w:rFonts w:ascii="Times New Roman" w:eastAsia="Times New Roman" w:hAnsi="Times New Roman" w:cs="Times New Roman"/>
          <w:kern w:val="0"/>
          <w:sz w:val="27"/>
          <w:szCs w:val="27"/>
          <w:lang w:val="en-US" w:eastAsia="ru-RU"/>
        </w:rPr>
        <w:t xml:space="preserve">- </w:t>
      </w:r>
      <w:r w:rsidRPr="00217319">
        <w:rPr>
          <w:rFonts w:ascii="Times New Roman" w:eastAsia="Times New Roman" w:hAnsi="Times New Roman" w:cs="Times New Roman"/>
          <w:kern w:val="0"/>
          <w:sz w:val="27"/>
          <w:szCs w:val="27"/>
          <w:lang w:val="en-US" w:eastAsia="en-US"/>
        </w:rPr>
        <w:t>vessels endothelial growth factor</w:t>
      </w:r>
    </w:p>
    <w:p w:rsidR="00217319" w:rsidRPr="00217319" w:rsidRDefault="00217319" w:rsidP="00217319">
      <w:pPr>
        <w:keepNext/>
        <w:keepLines/>
        <w:widowControl/>
        <w:tabs>
          <w:tab w:val="clear" w:pos="709"/>
        </w:tabs>
        <w:suppressAutoHyphens w:val="0"/>
        <w:spacing w:after="0" w:line="955" w:lineRule="exact"/>
        <w:ind w:left="20" w:firstLine="0"/>
        <w:jc w:val="center"/>
        <w:outlineLvl w:val="4"/>
        <w:rPr>
          <w:rFonts w:ascii="Times New Roman" w:eastAsia="Times New Roman" w:hAnsi="Times New Roman" w:cs="Times New Roman"/>
          <w:b/>
          <w:bCs/>
          <w:kern w:val="0"/>
          <w:sz w:val="27"/>
          <w:szCs w:val="27"/>
          <w:lang w:eastAsia="ru-RU"/>
        </w:rPr>
      </w:pPr>
      <w:bookmarkStart w:id="2" w:name="bookmark2"/>
      <w:r w:rsidRPr="00217319">
        <w:rPr>
          <w:rFonts w:ascii="Times New Roman" w:eastAsia="Times New Roman" w:hAnsi="Times New Roman" w:cs="Times New Roman"/>
          <w:b/>
          <w:bCs/>
          <w:kern w:val="0"/>
          <w:sz w:val="27"/>
          <w:szCs w:val="27"/>
          <w:lang w:eastAsia="ru-RU"/>
        </w:rPr>
        <w:t>ВВЕДЕНИЕ Актуальность темы.</w:t>
      </w:r>
      <w:bookmarkEnd w:id="2"/>
    </w:p>
    <w:p w:rsidR="00217319" w:rsidRPr="00217319" w:rsidRDefault="00217319" w:rsidP="00217319">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Сахарный диабет занимает третье место среди причин смерти после сердечно-сосудистых и онкологических заболеваний. Слепота при СД встречается в двадцать пять раз чаще, чем в общей популяции. Скрининг и ранняя диагностика диабетической ретинопатии (ДР) позволяют сохранить зрение по данным ВОЗ в 70% случаев. Многие исследования направлены на новые подходы к ранней диагностике и лечению этой тяжелой патологии.</w:t>
      </w:r>
    </w:p>
    <w:p w:rsidR="00217319" w:rsidRPr="00217319" w:rsidRDefault="00217319" w:rsidP="00217319">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По данным Л.А. Кацнельсона, 1990г. в этиопатогенезе ДР ведущим механизмом является процесс нарушения проницаемости ретинальных капилляров и прогрессирующая облитерация ретинальной капиллярной сети с последующим развитием ишемии сетчатки, что приводит к стимуляции синтеза факторов роста, пролиферации и образованию неоваскулярных сосудов.</w:t>
      </w:r>
    </w:p>
    <w:p w:rsidR="00217319" w:rsidRPr="00217319" w:rsidRDefault="00217319" w:rsidP="00217319">
      <w:pPr>
        <w:widowControl/>
        <w:tabs>
          <w:tab w:val="clear" w:pos="709"/>
        </w:tabs>
        <w:suppressAutoHyphens w:val="0"/>
        <w:spacing w:after="0" w:line="480" w:lineRule="exact"/>
        <w:ind w:left="20" w:right="20" w:firstLine="68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Исследования последних лет показали, что ведущее значение в этих процессах играют нарушения функциональной активности сосудистого эндотелия, которые в значительной мере определяются способностью эндотелия продуцировать оксид азота (N0). Оксид азота играет роль универсального регулятора клеточного и тканевого метаболизма: ингибирует агрегацию тромбоцитов и их адгезию к клеточной стенке, регулирует сосудистый тонус, функционирует как нейромедиатор в центральной и вегетативной нервной системе, оказывает цитотоксическое действие, участвуя в иммунных процессах [А.Ф.Ванин, 1998]. Поскольку дисфункция эндотелия является наиболее ранним нарушением, задолго предшествующим клиническим проявлениям ДР, разработка подходов к ее оценке с помощью адекватных биохимических маркеров представляется особенно важной с точки зрения ранней диагностики и прогноза заболевания.</w:t>
      </w:r>
    </w:p>
    <w:p w:rsidR="00217319" w:rsidRPr="00217319" w:rsidRDefault="00217319" w:rsidP="00217319">
      <w:pPr>
        <w:widowControl/>
        <w:tabs>
          <w:tab w:val="clear" w:pos="709"/>
        </w:tabs>
        <w:suppressAutoHyphens w:val="0"/>
        <w:spacing w:after="0" w:line="475"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Существует гипотеза о том, что при ДР в связи с нарушением клеточного дыхания и развитием гипоксии происходит активация синтеза N0 из Ь-аргинина, что приводит к активации свободно-радикальных процессов в результате увеличения продукции пероксинитрита, повреждающего многие клеточные структуры, включая ДНК. При прогрессировании заболевания происходит истощение синтеза N0, приводящее к повышению агрегационной способности тромбоцитов, нарушению регуляции сосудистого тонуса и развитию микротромбозов сосудистой системы сетчатки [А.Ф.Ванин, 1998]. При сильно выраженной патологии преобладает действие индуцибельной ЫО-синтазы, что приводит к повышению уровня оксида азота.</w:t>
      </w:r>
    </w:p>
    <w:p w:rsidR="00217319" w:rsidRPr="00217319" w:rsidRDefault="00217319" w:rsidP="00217319">
      <w:pPr>
        <w:widowControl/>
        <w:tabs>
          <w:tab w:val="clear" w:pos="709"/>
        </w:tabs>
        <w:suppressAutoHyphens w:val="0"/>
        <w:spacing w:after="0" w:line="475"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Использование лабораторного метода исследования метаболитов оксида азота в слезной жидкости можно применить для оценки степени выраженности метаболических изменений в сетчатке на ранних стадиях ДР, что поможет своевременно начать антигипоксическую и антиоксидантную терапию.</w:t>
      </w:r>
    </w:p>
    <w:p w:rsidR="00217319" w:rsidRPr="00217319" w:rsidRDefault="00217319" w:rsidP="00217319">
      <w:pPr>
        <w:widowControl/>
        <w:tabs>
          <w:tab w:val="clear" w:pos="709"/>
        </w:tabs>
        <w:suppressAutoHyphens w:val="0"/>
        <w:spacing w:after="0" w:line="475"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 целью предупреждения прогрессирования ДР на кафедрах эндокринологии и офтальмологии РМАПО в 2002-2004 гг. проводилось двойное слепое плацебо-контролируемое рандомизированное исследование с фоторегистрацией семи полей зрения по оценке эффективности применения альфа-липоевой кислоты на ранних стадиях ДР. В результате исследования была доказана возможность предупреждения диабетической ретинопатии на ранних стадиях, а также выявлена клиническая эффективность этого препарата при диабетической полинейропатии.</w:t>
      </w:r>
    </w:p>
    <w:p w:rsidR="00217319" w:rsidRPr="00217319" w:rsidRDefault="00217319" w:rsidP="00217319">
      <w:pPr>
        <w:widowControl/>
        <w:tabs>
          <w:tab w:val="clear" w:pos="709"/>
        </w:tabs>
        <w:suppressAutoHyphens w:val="0"/>
        <w:spacing w:after="0" w:line="475"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В последнее время появился новый препарат тиоктовой кислоты быстрого высвобождения — Тиоктацид БВ. Исследование Бус1пеу-11 показало, что Тиоктацид БВ в дозе 600 мг при пероральном применении дает такой же эффект, как и Тиоктацид 600Т, вводимый внутривенно. Тиоктацид БВ является эндогенным антиоксидантом, связывающим свободные радикалы, гепатопротектором, способствует утилизации глюкозы тканями, преодолевает инсулинорезистентность, регулирует обмен веществ и энергетический баланс клеток.</w:t>
      </w:r>
    </w:p>
    <w:p w:rsidR="00217319" w:rsidRPr="00217319" w:rsidRDefault="00217319" w:rsidP="00217319">
      <w:pPr>
        <w:widowControl/>
        <w:tabs>
          <w:tab w:val="clear" w:pos="709"/>
        </w:tabs>
        <w:suppressAutoHyphens w:val="0"/>
        <w:spacing w:after="416" w:line="475" w:lineRule="exact"/>
        <w:ind w:left="20" w:right="20" w:firstLine="70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Поскольку ишемия сетчатки считается ведущим патогенетическим механизмом в развитии ДР, то изучение подходов к ее ранней диагностике является актуальным.</w:t>
      </w:r>
    </w:p>
    <w:p w:rsidR="00217319" w:rsidRPr="00217319" w:rsidRDefault="00217319" w:rsidP="00217319">
      <w:pPr>
        <w:widowControl/>
        <w:tabs>
          <w:tab w:val="clear" w:pos="709"/>
        </w:tabs>
        <w:suppressAutoHyphens w:val="0"/>
        <w:spacing w:after="424" w:line="480" w:lineRule="exact"/>
        <w:ind w:left="20" w:right="20" w:firstLine="70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b/>
          <w:bCs/>
          <w:kern w:val="0"/>
          <w:sz w:val="27"/>
          <w:szCs w:val="27"/>
          <w:lang w:eastAsia="ru-RU"/>
        </w:rPr>
        <w:t>Цель исследования</w:t>
      </w:r>
      <w:r w:rsidRPr="00217319">
        <w:rPr>
          <w:rFonts w:ascii="Times New Roman" w:eastAsia="Times New Roman" w:hAnsi="Times New Roman" w:cs="Times New Roman"/>
          <w:kern w:val="0"/>
          <w:sz w:val="27"/>
          <w:szCs w:val="27"/>
          <w:lang w:eastAsia="ru-RU"/>
        </w:rPr>
        <w:t xml:space="preserve"> - ранняя диагностика и лечение ДР у больных СД 2 типа с учетом динамики биохимических маркеров метаболических нарушений.</w:t>
      </w:r>
    </w:p>
    <w:p w:rsidR="00217319" w:rsidRPr="00217319" w:rsidRDefault="00217319" w:rsidP="00217319">
      <w:pPr>
        <w:keepNext/>
        <w:keepLines/>
        <w:widowControl/>
        <w:tabs>
          <w:tab w:val="clear" w:pos="709"/>
        </w:tabs>
        <w:suppressAutoHyphens w:val="0"/>
        <w:spacing w:after="0" w:line="475" w:lineRule="exact"/>
        <w:ind w:left="20" w:firstLine="700"/>
        <w:outlineLvl w:val="4"/>
        <w:rPr>
          <w:rFonts w:ascii="Times New Roman" w:eastAsia="Times New Roman" w:hAnsi="Times New Roman" w:cs="Times New Roman"/>
          <w:b/>
          <w:bCs/>
          <w:kern w:val="0"/>
          <w:sz w:val="27"/>
          <w:szCs w:val="27"/>
          <w:lang w:eastAsia="ru-RU"/>
        </w:rPr>
      </w:pPr>
      <w:bookmarkStart w:id="3" w:name="bookmark3"/>
      <w:r w:rsidRPr="00217319">
        <w:rPr>
          <w:rFonts w:ascii="Times New Roman" w:eastAsia="Times New Roman" w:hAnsi="Times New Roman" w:cs="Times New Roman"/>
          <w:b/>
          <w:bCs/>
          <w:kern w:val="0"/>
          <w:sz w:val="27"/>
          <w:szCs w:val="27"/>
          <w:lang w:eastAsia="ru-RU"/>
        </w:rPr>
        <w:t>Задачи:</w:t>
      </w:r>
      <w:bookmarkEnd w:id="3"/>
    </w:p>
    <w:p w:rsidR="00217319" w:rsidRPr="00217319" w:rsidRDefault="00217319" w:rsidP="00217319">
      <w:pPr>
        <w:widowControl/>
        <w:numPr>
          <w:ilvl w:val="0"/>
          <w:numId w:val="15"/>
        </w:numPr>
        <w:tabs>
          <w:tab w:val="clear" w:pos="709"/>
          <w:tab w:val="left" w:pos="750"/>
        </w:tabs>
        <w:suppressAutoHyphens w:val="0"/>
        <w:spacing w:after="0" w:line="475" w:lineRule="exact"/>
        <w:ind w:left="2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Определить клиническое состояние сетчатки при СД 2 типа на доклинической и непролиферативной стадиях ДР и выявить корреляционную</w:t>
      </w:r>
    </w:p>
    <w:p w:rsidR="00217319" w:rsidRPr="00217319" w:rsidRDefault="00217319" w:rsidP="00217319">
      <w:pPr>
        <w:widowControl/>
        <w:tabs>
          <w:tab w:val="clear" w:pos="709"/>
        </w:tabs>
        <w:suppressAutoHyphens w:val="0"/>
        <w:spacing w:after="0" w:line="270" w:lineRule="exact"/>
        <w:ind w:left="848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I</w:t>
      </w:r>
    </w:p>
    <w:p w:rsidR="00217319" w:rsidRPr="00217319" w:rsidRDefault="00217319" w:rsidP="00217319">
      <w:pPr>
        <w:widowControl/>
        <w:tabs>
          <w:tab w:val="clear" w:pos="709"/>
        </w:tabs>
        <w:suppressAutoHyphens w:val="0"/>
        <w:spacing w:after="0" w:line="480" w:lineRule="exact"/>
        <w:ind w:left="20" w:firstLine="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зависимость с содержанием в слезной жидкости метаболитов оксида азота;</w:t>
      </w:r>
    </w:p>
    <w:p w:rsidR="00217319" w:rsidRPr="00217319" w:rsidRDefault="00217319" w:rsidP="00217319">
      <w:pPr>
        <w:widowControl/>
        <w:numPr>
          <w:ilvl w:val="0"/>
          <w:numId w:val="15"/>
        </w:numPr>
        <w:tabs>
          <w:tab w:val="clear" w:pos="709"/>
          <w:tab w:val="left" w:pos="754"/>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Сравнить клинико-биохимические результаты у больных СД 2 типа до лечения и на фоне терапии препаратом тиоктацид БВ с учетом данных оптической когерентной томографии;</w:t>
      </w:r>
    </w:p>
    <w:p w:rsidR="00217319" w:rsidRPr="00217319" w:rsidRDefault="00217319" w:rsidP="00217319">
      <w:pPr>
        <w:widowControl/>
        <w:numPr>
          <w:ilvl w:val="0"/>
          <w:numId w:val="15"/>
        </w:numPr>
        <w:tabs>
          <w:tab w:val="clear" w:pos="709"/>
          <w:tab w:val="left" w:pos="735"/>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Провести сравнительный анализ клинико-биохимических результатов терапии препаратом тиоктацид БВ у больных СД 2 типа с пациентами, получающими традиционную терапию;</w:t>
      </w:r>
    </w:p>
    <w:p w:rsidR="00217319" w:rsidRPr="00217319" w:rsidRDefault="00217319" w:rsidP="00217319">
      <w:pPr>
        <w:widowControl/>
        <w:numPr>
          <w:ilvl w:val="0"/>
          <w:numId w:val="15"/>
        </w:numPr>
        <w:tabs>
          <w:tab w:val="clear" w:pos="709"/>
          <w:tab w:val="left" w:pos="740"/>
        </w:tabs>
        <w:suppressAutoHyphens w:val="0"/>
        <w:spacing w:after="420" w:line="480" w:lineRule="exact"/>
        <w:ind w:left="2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Разработать тактику лечения ДР на доклинической и непролиферативной стадиях с учетом динамики биохимических маркеров метаболических нарушений.</w:t>
      </w:r>
    </w:p>
    <w:p w:rsidR="00217319" w:rsidRPr="00217319" w:rsidRDefault="00217319" w:rsidP="00217319">
      <w:pPr>
        <w:keepNext/>
        <w:keepLines/>
        <w:widowControl/>
        <w:tabs>
          <w:tab w:val="clear" w:pos="709"/>
        </w:tabs>
        <w:suppressAutoHyphens w:val="0"/>
        <w:spacing w:after="0" w:line="480" w:lineRule="exact"/>
        <w:ind w:left="20" w:firstLine="700"/>
        <w:outlineLvl w:val="4"/>
        <w:rPr>
          <w:rFonts w:ascii="Times New Roman" w:eastAsia="Times New Roman" w:hAnsi="Times New Roman" w:cs="Times New Roman"/>
          <w:b/>
          <w:bCs/>
          <w:kern w:val="0"/>
          <w:sz w:val="27"/>
          <w:szCs w:val="27"/>
          <w:lang w:eastAsia="ru-RU"/>
        </w:rPr>
      </w:pPr>
      <w:bookmarkStart w:id="4" w:name="bookmark4"/>
      <w:r w:rsidRPr="00217319">
        <w:rPr>
          <w:rFonts w:ascii="Times New Roman" w:eastAsia="Times New Roman" w:hAnsi="Times New Roman" w:cs="Times New Roman"/>
          <w:b/>
          <w:bCs/>
          <w:kern w:val="0"/>
          <w:sz w:val="27"/>
          <w:szCs w:val="27"/>
          <w:lang w:eastAsia="ru-RU"/>
        </w:rPr>
        <w:t>Научная новизна:</w:t>
      </w:r>
      <w:bookmarkEnd w:id="4"/>
    </w:p>
    <w:p w:rsidR="00217319" w:rsidRPr="00217319" w:rsidRDefault="00217319" w:rsidP="00217319">
      <w:pPr>
        <w:widowControl/>
        <w:numPr>
          <w:ilvl w:val="1"/>
          <w:numId w:val="15"/>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Впервые применен экспресс-метод определения конечных стабильных суммарных метаболитов оксида азота в слезной жидкости у больных СД 2 типа в качестве метода ранней диагностики ДР;</w:t>
      </w:r>
    </w:p>
    <w:p w:rsidR="00217319" w:rsidRPr="00217319" w:rsidRDefault="00217319" w:rsidP="00217319">
      <w:pPr>
        <w:widowControl/>
        <w:numPr>
          <w:ilvl w:val="1"/>
          <w:numId w:val="15"/>
        </w:numPr>
        <w:tabs>
          <w:tab w:val="clear" w:pos="709"/>
        </w:tabs>
        <w:suppressAutoHyphens w:val="0"/>
        <w:spacing w:after="0" w:line="480" w:lineRule="exact"/>
        <w:ind w:left="2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Впервые установлена корреляционная зависимость между содержанием в слезной жидкости метаболитов оксида азота и клиническим</w:t>
      </w:r>
    </w:p>
    <w:p w:rsidR="00217319" w:rsidRPr="00217319" w:rsidRDefault="00217319" w:rsidP="00217319">
      <w:pPr>
        <w:widowControl/>
        <w:tabs>
          <w:tab w:val="clear" w:pos="709"/>
        </w:tabs>
        <w:suppressAutoHyphens w:val="0"/>
        <w:spacing w:after="0" w:line="475" w:lineRule="exact"/>
        <w:ind w:left="160" w:right="20" w:firstLine="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состоянием сетчатки при СД 2 типа на доклинической и непролиферативной стадиях ДР;</w:t>
      </w:r>
    </w:p>
    <w:p w:rsidR="00217319" w:rsidRPr="00217319" w:rsidRDefault="00217319" w:rsidP="00217319">
      <w:pPr>
        <w:widowControl/>
        <w:numPr>
          <w:ilvl w:val="1"/>
          <w:numId w:val="15"/>
        </w:numPr>
        <w:tabs>
          <w:tab w:val="clear" w:pos="709"/>
          <w:tab w:val="left" w:pos="875"/>
        </w:tabs>
        <w:suppressAutoHyphens w:val="0"/>
        <w:spacing w:after="0" w:line="475" w:lineRule="exact"/>
        <w:ind w:left="16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В ходе исследования установлено, что пероральный прием препарата Тиоктацид БВ в дозе 600 мг оказывает стабилизирующее влияние на течение ранних стадий ДР у больных СД 2 типа, подтвержденное данными визометрии, офтальмоскопии, ОКТ и данными биохимических исследований (снижение уровня гликозилированного гемоглобина, гликемии натощак, общего холестерина крови и метаболитов оксида азота в слезной жидкости);</w:t>
      </w:r>
    </w:p>
    <w:p w:rsidR="00217319" w:rsidRPr="00217319" w:rsidRDefault="00217319" w:rsidP="00217319">
      <w:pPr>
        <w:widowControl/>
        <w:numPr>
          <w:ilvl w:val="1"/>
          <w:numId w:val="15"/>
        </w:numPr>
        <w:tabs>
          <w:tab w:val="clear" w:pos="709"/>
          <w:tab w:val="left" w:pos="866"/>
        </w:tabs>
        <w:suppressAutoHyphens w:val="0"/>
        <w:spacing w:after="416" w:line="475" w:lineRule="exact"/>
        <w:ind w:left="16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Разработана тактика лечения ДР на доклинической и непролиферативной стадиях с учетом динамики биохимических маркеров метаболических нарушений.</w:t>
      </w:r>
    </w:p>
    <w:p w:rsidR="00217319" w:rsidRPr="00217319" w:rsidRDefault="00217319" w:rsidP="00217319">
      <w:pPr>
        <w:keepNext/>
        <w:keepLines/>
        <w:widowControl/>
        <w:tabs>
          <w:tab w:val="clear" w:pos="709"/>
        </w:tabs>
        <w:suppressAutoHyphens w:val="0"/>
        <w:spacing w:after="0" w:line="480" w:lineRule="exact"/>
        <w:ind w:left="860" w:firstLine="0"/>
        <w:jc w:val="left"/>
        <w:outlineLvl w:val="4"/>
        <w:rPr>
          <w:rFonts w:ascii="Times New Roman" w:eastAsia="Times New Roman" w:hAnsi="Times New Roman" w:cs="Times New Roman"/>
          <w:b/>
          <w:bCs/>
          <w:kern w:val="0"/>
          <w:sz w:val="27"/>
          <w:szCs w:val="27"/>
          <w:lang w:eastAsia="ru-RU"/>
        </w:rPr>
      </w:pPr>
      <w:bookmarkStart w:id="5" w:name="bookmark5"/>
      <w:r w:rsidRPr="00217319">
        <w:rPr>
          <w:rFonts w:ascii="Times New Roman" w:eastAsia="Times New Roman" w:hAnsi="Times New Roman" w:cs="Times New Roman"/>
          <w:b/>
          <w:bCs/>
          <w:kern w:val="0"/>
          <w:sz w:val="27"/>
          <w:szCs w:val="27"/>
          <w:lang w:eastAsia="ru-RU"/>
        </w:rPr>
        <w:t>Практическая значимость:</w:t>
      </w:r>
      <w:bookmarkEnd w:id="5"/>
    </w:p>
    <w:p w:rsidR="00217319" w:rsidRPr="00217319" w:rsidRDefault="00217319" w:rsidP="00217319">
      <w:pPr>
        <w:widowControl/>
        <w:numPr>
          <w:ilvl w:val="2"/>
          <w:numId w:val="15"/>
        </w:numPr>
        <w:tabs>
          <w:tab w:val="clear" w:pos="709"/>
          <w:tab w:val="left" w:pos="875"/>
        </w:tabs>
        <w:suppressAutoHyphens w:val="0"/>
        <w:spacing w:after="0" w:line="480" w:lineRule="exact"/>
        <w:ind w:left="16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Предложен новый неинвазивный способ доклинической диагностики сосудистых осложнений СД 2 типа (определение конечных стабильных метаболитов оксида азота в слезной жидкости) с целью своевременного проведения поддерживающей консервативной терапии;</w:t>
      </w:r>
    </w:p>
    <w:p w:rsidR="00217319" w:rsidRPr="00217319" w:rsidRDefault="00217319" w:rsidP="00217319">
      <w:pPr>
        <w:widowControl/>
        <w:numPr>
          <w:ilvl w:val="2"/>
          <w:numId w:val="15"/>
        </w:numPr>
        <w:tabs>
          <w:tab w:val="clear" w:pos="709"/>
          <w:tab w:val="left" w:pos="885"/>
        </w:tabs>
        <w:suppressAutoHyphens w:val="0"/>
        <w:spacing w:after="420" w:line="480" w:lineRule="exact"/>
        <w:ind w:left="160" w:right="20" w:firstLine="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Установлено общее благоприятное влияние перорального препарата Тиоктацид БВ в дозе 600 мг на состояние сетчатки у пациентов с непролиферативной ДР по различным клинико-биохимическим показателям (достоверное повышение остроты зрения, данные ОКТ, уровень метаболитов оксида азота в слезной жидкости, показатели углеводного и липидного обменов).</w:t>
      </w:r>
    </w:p>
    <w:p w:rsidR="00217319" w:rsidRPr="00217319" w:rsidRDefault="00217319" w:rsidP="00217319">
      <w:pPr>
        <w:keepNext/>
        <w:keepLines/>
        <w:widowControl/>
        <w:tabs>
          <w:tab w:val="clear" w:pos="709"/>
        </w:tabs>
        <w:suppressAutoHyphens w:val="0"/>
        <w:spacing w:after="0" w:line="480" w:lineRule="exact"/>
        <w:ind w:left="1060" w:firstLine="0"/>
        <w:jc w:val="left"/>
        <w:outlineLvl w:val="4"/>
        <w:rPr>
          <w:rFonts w:ascii="Times New Roman" w:eastAsia="Times New Roman" w:hAnsi="Times New Roman" w:cs="Times New Roman"/>
          <w:b/>
          <w:bCs/>
          <w:kern w:val="0"/>
          <w:sz w:val="27"/>
          <w:szCs w:val="27"/>
          <w:lang w:eastAsia="ru-RU"/>
        </w:rPr>
      </w:pPr>
      <w:bookmarkStart w:id="6" w:name="bookmark6"/>
      <w:r w:rsidRPr="00217319">
        <w:rPr>
          <w:rFonts w:ascii="Times New Roman" w:eastAsia="Times New Roman" w:hAnsi="Times New Roman" w:cs="Times New Roman"/>
          <w:b/>
          <w:bCs/>
          <w:kern w:val="0"/>
          <w:sz w:val="27"/>
          <w:szCs w:val="27"/>
          <w:lang w:eastAsia="ru-RU"/>
        </w:rPr>
        <w:t>Основные положения, выносимые на защиту:</w:t>
      </w:r>
      <w:bookmarkEnd w:id="6"/>
    </w:p>
    <w:p w:rsidR="00217319" w:rsidRPr="00217319" w:rsidRDefault="00217319" w:rsidP="00217319">
      <w:pPr>
        <w:widowControl/>
        <w:tabs>
          <w:tab w:val="clear" w:pos="709"/>
        </w:tabs>
        <w:suppressAutoHyphens w:val="0"/>
        <w:spacing w:after="0" w:line="480" w:lineRule="exact"/>
        <w:ind w:left="160" w:right="20" w:firstLine="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1. Увеличение содержания метаболитов N0 в слезной жидкости у больных СД 2 типа является ранним прогностическим маркером прогрессирования ДР (эндотелиальная дисфункция).</w:t>
      </w:r>
    </w:p>
    <w:p w:rsidR="00217319" w:rsidRPr="00217319" w:rsidRDefault="00217319" w:rsidP="00217319">
      <w:pPr>
        <w:widowControl/>
        <w:tabs>
          <w:tab w:val="clear" w:pos="709"/>
        </w:tabs>
        <w:suppressAutoHyphens w:val="0"/>
        <w:spacing w:after="412" w:line="470" w:lineRule="exact"/>
        <w:ind w:left="180" w:right="20" w:hanging="18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2. Пероральная терапия препаратом Тиоктацид БВ в дозе 600 мг в течение 6 месяцев является эффективным и безопасным методом профилактики прогрессирования ДР на ее ранних стадиях.</w:t>
      </w:r>
    </w:p>
    <w:p w:rsidR="00217319" w:rsidRPr="00217319" w:rsidRDefault="00217319" w:rsidP="00217319">
      <w:pPr>
        <w:keepNext/>
        <w:keepLines/>
        <w:widowControl/>
        <w:tabs>
          <w:tab w:val="clear" w:pos="709"/>
        </w:tabs>
        <w:suppressAutoHyphens w:val="0"/>
        <w:spacing w:after="0" w:line="480" w:lineRule="exact"/>
        <w:ind w:left="1080" w:firstLine="0"/>
        <w:jc w:val="left"/>
        <w:outlineLvl w:val="4"/>
        <w:rPr>
          <w:rFonts w:ascii="Times New Roman" w:eastAsia="Times New Roman" w:hAnsi="Times New Roman" w:cs="Times New Roman"/>
          <w:b/>
          <w:bCs/>
          <w:kern w:val="0"/>
          <w:sz w:val="27"/>
          <w:szCs w:val="27"/>
          <w:lang w:eastAsia="ru-RU"/>
        </w:rPr>
      </w:pPr>
      <w:bookmarkStart w:id="7" w:name="bookmark7"/>
      <w:r w:rsidRPr="00217319">
        <w:rPr>
          <w:rFonts w:ascii="Times New Roman" w:eastAsia="Times New Roman" w:hAnsi="Times New Roman" w:cs="Times New Roman"/>
          <w:b/>
          <w:bCs/>
          <w:kern w:val="0"/>
          <w:sz w:val="27"/>
          <w:szCs w:val="27"/>
          <w:lang w:eastAsia="ru-RU"/>
        </w:rPr>
        <w:t>Внедрение в практику</w:t>
      </w:r>
      <w:bookmarkEnd w:id="7"/>
    </w:p>
    <w:p w:rsidR="00217319" w:rsidRPr="00217319" w:rsidRDefault="00217319" w:rsidP="00217319">
      <w:pPr>
        <w:widowControl/>
        <w:tabs>
          <w:tab w:val="clear" w:pos="709"/>
        </w:tabs>
        <w:suppressAutoHyphens w:val="0"/>
        <w:spacing w:after="588" w:line="480" w:lineRule="exact"/>
        <w:ind w:left="18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Результаты проведенных исследований внедрены в практику Офтальмологической клинической больницы г.Москвы. Материалы исследования применяются в учебном процессе при чтении лекций на циклах повышения квалификации, проведении семинаров на кафедре офтальмологии с курсом детской офтальмологии, офтальмоонкологии и орбитальной патологии ГОУ ДПО «Российская медицинская академия последипломного образования».</w:t>
      </w:r>
    </w:p>
    <w:p w:rsidR="00217319" w:rsidRPr="00217319" w:rsidRDefault="00217319" w:rsidP="00217319">
      <w:pPr>
        <w:keepNext/>
        <w:keepLines/>
        <w:widowControl/>
        <w:tabs>
          <w:tab w:val="clear" w:pos="709"/>
        </w:tabs>
        <w:suppressAutoHyphens w:val="0"/>
        <w:spacing w:after="4" w:line="270" w:lineRule="exact"/>
        <w:ind w:left="180" w:firstLine="720"/>
        <w:outlineLvl w:val="4"/>
        <w:rPr>
          <w:rFonts w:ascii="Times New Roman" w:eastAsia="Times New Roman" w:hAnsi="Times New Roman" w:cs="Times New Roman"/>
          <w:b/>
          <w:bCs/>
          <w:kern w:val="0"/>
          <w:sz w:val="27"/>
          <w:szCs w:val="27"/>
          <w:lang w:eastAsia="ru-RU"/>
        </w:rPr>
      </w:pPr>
      <w:bookmarkStart w:id="8" w:name="bookmark8"/>
      <w:r w:rsidRPr="00217319">
        <w:rPr>
          <w:rFonts w:ascii="Times New Roman" w:eastAsia="Times New Roman" w:hAnsi="Times New Roman" w:cs="Times New Roman"/>
          <w:b/>
          <w:bCs/>
          <w:kern w:val="0"/>
          <w:sz w:val="27"/>
          <w:szCs w:val="27"/>
          <w:lang w:eastAsia="ru-RU"/>
        </w:rPr>
        <w:t>Апробация работы</w:t>
      </w:r>
      <w:bookmarkEnd w:id="8"/>
    </w:p>
    <w:p w:rsidR="00217319" w:rsidRPr="00217319" w:rsidRDefault="00217319" w:rsidP="00217319">
      <w:pPr>
        <w:widowControl/>
        <w:tabs>
          <w:tab w:val="clear" w:pos="709"/>
        </w:tabs>
        <w:suppressAutoHyphens w:val="0"/>
        <w:spacing w:after="416" w:line="480" w:lineRule="exact"/>
        <w:ind w:left="18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Апробация работы состоялась на совместной научной конференции кафедры офтальмологии с курсом детской офтальмологии, офтальмоонкологии и орбитальной патологии РМАПО и сотрудников Офтальмологической клинической больницы 13 октября 2009 года. Основные материалы диссертации были доложены и обсуждены на конференции «Всероссийская школа офтальмолога» (Москва, 2009).</w:t>
      </w:r>
    </w:p>
    <w:p w:rsidR="00217319" w:rsidRPr="00217319" w:rsidRDefault="00217319" w:rsidP="00217319">
      <w:pPr>
        <w:widowControl/>
        <w:tabs>
          <w:tab w:val="clear" w:pos="709"/>
        </w:tabs>
        <w:suppressAutoHyphens w:val="0"/>
        <w:spacing w:after="424" w:line="485" w:lineRule="exact"/>
        <w:ind w:left="18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b/>
          <w:bCs/>
          <w:kern w:val="0"/>
          <w:sz w:val="27"/>
          <w:szCs w:val="27"/>
          <w:lang w:eastAsia="ru-RU"/>
        </w:rPr>
        <w:t>Публикации.</w:t>
      </w:r>
      <w:r w:rsidRPr="00217319">
        <w:rPr>
          <w:rFonts w:ascii="Times New Roman" w:eastAsia="Times New Roman" w:hAnsi="Times New Roman" w:cs="Times New Roman"/>
          <w:kern w:val="0"/>
          <w:sz w:val="27"/>
          <w:szCs w:val="27"/>
          <w:lang w:eastAsia="ru-RU"/>
        </w:rPr>
        <w:t xml:space="preserve"> По теме диссертации опубликовано 10 статей, из них одна в центральной печати. Издано одно учебно-методическое пособие и одно учебное пособие для врачей.</w:t>
      </w:r>
    </w:p>
    <w:p w:rsidR="00217319" w:rsidRPr="00217319" w:rsidRDefault="00217319" w:rsidP="00217319">
      <w:pPr>
        <w:keepNext/>
        <w:keepLines/>
        <w:widowControl/>
        <w:tabs>
          <w:tab w:val="clear" w:pos="709"/>
        </w:tabs>
        <w:suppressAutoHyphens w:val="0"/>
        <w:spacing w:after="0" w:line="480" w:lineRule="exact"/>
        <w:ind w:left="180" w:firstLine="720"/>
        <w:outlineLvl w:val="4"/>
        <w:rPr>
          <w:rFonts w:ascii="Times New Roman" w:eastAsia="Times New Roman" w:hAnsi="Times New Roman" w:cs="Times New Roman"/>
          <w:b/>
          <w:bCs/>
          <w:kern w:val="0"/>
          <w:sz w:val="27"/>
          <w:szCs w:val="27"/>
          <w:lang w:eastAsia="ru-RU"/>
        </w:rPr>
      </w:pPr>
      <w:bookmarkStart w:id="9" w:name="bookmark9"/>
      <w:r w:rsidRPr="00217319">
        <w:rPr>
          <w:rFonts w:ascii="Times New Roman" w:eastAsia="Times New Roman" w:hAnsi="Times New Roman" w:cs="Times New Roman"/>
          <w:b/>
          <w:bCs/>
          <w:kern w:val="0"/>
          <w:sz w:val="27"/>
          <w:szCs w:val="27"/>
          <w:lang w:eastAsia="ru-RU"/>
        </w:rPr>
        <w:t>Структура и объем работы.</w:t>
      </w:r>
      <w:bookmarkEnd w:id="9"/>
    </w:p>
    <w:p w:rsidR="00217319" w:rsidRPr="00217319" w:rsidRDefault="00217319" w:rsidP="00217319">
      <w:pPr>
        <w:widowControl/>
        <w:tabs>
          <w:tab w:val="clear" w:pos="709"/>
        </w:tabs>
        <w:suppressAutoHyphens w:val="0"/>
        <w:spacing w:after="0" w:line="480" w:lineRule="exact"/>
        <w:ind w:left="18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Диссертация представлена на 143 страницах машинописного текста, состоит из введения, обзора литературы, описания материалов и методов, собственных исследований, обсуждения полученных результатов, выводов, практических рекомендаций. Список литературы содержит 225 источников,</w:t>
      </w:r>
    </w:p>
    <w:p w:rsidR="00217319" w:rsidRDefault="00217319" w:rsidP="00217319">
      <w:pPr>
        <w:rPr>
          <w:rFonts w:ascii="Courier New" w:eastAsia="Times New Roman" w:hAnsi="Courier New"/>
          <w:color w:val="000000"/>
          <w:kern w:val="0"/>
          <w:sz w:val="24"/>
          <w:szCs w:val="24"/>
          <w:lang w:eastAsia="ru-RU"/>
        </w:rPr>
      </w:pPr>
      <w:r w:rsidRPr="00217319">
        <w:rPr>
          <w:rFonts w:ascii="Courier New" w:eastAsia="Times New Roman" w:hAnsi="Courier New"/>
          <w:color w:val="000000"/>
          <w:kern w:val="0"/>
          <w:sz w:val="24"/>
          <w:szCs w:val="24"/>
          <w:lang w:eastAsia="ru-RU"/>
        </w:rPr>
        <w:t>из них 140 - отечественных и 85 - зарубежных авторов. Диссертация иллюстрирована 17 таблицами, 42 рисунками.</w:t>
      </w:r>
    </w:p>
    <w:p w:rsidR="00217319" w:rsidRDefault="00217319" w:rsidP="00217319">
      <w:pPr>
        <w:rPr>
          <w:rFonts w:ascii="Courier New" w:eastAsia="Times New Roman" w:hAnsi="Courier New"/>
          <w:color w:val="000000"/>
          <w:kern w:val="0"/>
          <w:sz w:val="24"/>
          <w:szCs w:val="24"/>
          <w:lang w:eastAsia="ru-RU"/>
        </w:rPr>
      </w:pPr>
    </w:p>
    <w:p w:rsidR="00217319" w:rsidRDefault="00217319" w:rsidP="00217319">
      <w:pPr>
        <w:rPr>
          <w:rFonts w:ascii="Courier New" w:eastAsia="Times New Roman" w:hAnsi="Courier New"/>
          <w:color w:val="000000"/>
          <w:kern w:val="0"/>
          <w:sz w:val="24"/>
          <w:szCs w:val="24"/>
          <w:lang w:eastAsia="ru-RU"/>
        </w:rPr>
      </w:pPr>
    </w:p>
    <w:p w:rsidR="00217319" w:rsidRDefault="00217319" w:rsidP="00217319">
      <w:pPr>
        <w:rPr>
          <w:rFonts w:ascii="Courier New" w:eastAsia="Times New Roman" w:hAnsi="Courier New"/>
          <w:color w:val="000000"/>
          <w:kern w:val="0"/>
          <w:sz w:val="24"/>
          <w:szCs w:val="24"/>
          <w:lang w:eastAsia="ru-RU"/>
        </w:rPr>
      </w:pPr>
    </w:p>
    <w:p w:rsidR="00217319" w:rsidRPr="00217319" w:rsidRDefault="00217319" w:rsidP="00217319">
      <w:pPr>
        <w:keepNext/>
        <w:keepLines/>
        <w:widowControl/>
        <w:tabs>
          <w:tab w:val="clear" w:pos="709"/>
        </w:tabs>
        <w:suppressAutoHyphens w:val="0"/>
        <w:spacing w:after="484" w:line="270" w:lineRule="exact"/>
        <w:ind w:left="4020" w:firstLine="0"/>
        <w:jc w:val="left"/>
        <w:outlineLvl w:val="5"/>
        <w:rPr>
          <w:rFonts w:ascii="Times New Roman" w:eastAsia="Times New Roman" w:hAnsi="Times New Roman" w:cs="Times New Roman"/>
          <w:kern w:val="0"/>
          <w:sz w:val="27"/>
          <w:szCs w:val="27"/>
          <w:lang w:eastAsia="ru-RU"/>
        </w:rPr>
      </w:pPr>
      <w:bookmarkStart w:id="10" w:name="bookmark41"/>
      <w:r w:rsidRPr="00217319">
        <w:rPr>
          <w:rFonts w:ascii="Times New Roman" w:eastAsia="Times New Roman" w:hAnsi="Times New Roman" w:cs="Times New Roman"/>
          <w:kern w:val="0"/>
          <w:sz w:val="27"/>
          <w:szCs w:val="27"/>
          <w:lang w:eastAsia="ru-RU"/>
        </w:rPr>
        <w:t>Заключение.</w:t>
      </w:r>
      <w:bookmarkEnd w:id="10"/>
    </w:p>
    <w:p w:rsidR="00217319" w:rsidRPr="00217319" w:rsidRDefault="00217319" w:rsidP="00217319">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В результате проведенного исследования, были выявлены основные особенности метаболических нарушений у пациентов с доклинической и непролиферативной ДР и изучены особенности влияния препарата Тиоктацид БВ на углеводный, липидный обмены и уровень метаболитов N0 в слезной жидкости. Доказана высокая эффективность препарата, что проявлялось в виде нормализации обменных процессов, стабилизации состояния сетчатки и частичном обратном развитии диабетических изменений на глазном дне.</w:t>
      </w:r>
    </w:p>
    <w:p w:rsidR="00217319" w:rsidRPr="00217319" w:rsidRDefault="00217319" w:rsidP="00217319">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Диагностическая значимость новой медицинской технологии (экспресс-метод определения метаболитов оксида азота в биологических жидкостях) заключается в том, что она позволяет на ранних этапах развития ДР выявить нарушения функциональной активности эндотелия сосудов. Можно полагать, что такие сведения позволят более точно прогнозировать течение заболевания и планировать дифференцированную тактику ведения пациентов. Кроме того, появляется возможность оценивать способность фармакологических препаратов стимулировать &gt;Ю-продуцирующую активность эндотелия сосудов, что в значительной мере увеличит эффективность проводимой терапии.</w:t>
      </w:r>
    </w:p>
    <w:p w:rsidR="00217319" w:rsidRPr="00217319" w:rsidRDefault="00217319" w:rsidP="00217319">
      <w:pPr>
        <w:widowControl/>
        <w:tabs>
          <w:tab w:val="clear" w:pos="709"/>
        </w:tabs>
        <w:suppressAutoHyphens w:val="0"/>
        <w:spacing w:after="0" w:line="480" w:lineRule="exact"/>
        <w:ind w:left="20" w:right="20" w:firstLine="72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Подводя итоги исследования метаболитов N0 в СЖ у больных СД 2 типа необходимо выделить основные результаты:</w:t>
      </w:r>
    </w:p>
    <w:p w:rsidR="00217319" w:rsidRPr="00217319" w:rsidRDefault="00217319" w:rsidP="00217319">
      <w:pPr>
        <w:widowControl/>
        <w:numPr>
          <w:ilvl w:val="0"/>
          <w:numId w:val="16"/>
        </w:numPr>
        <w:tabs>
          <w:tab w:val="clear" w:pos="709"/>
          <w:tab w:val="left" w:pos="735"/>
        </w:tabs>
        <w:suppressAutoHyphens w:val="0"/>
        <w:spacing w:after="0" w:line="485" w:lineRule="exact"/>
        <w:ind w:left="74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Установлено участие N0 в патогенезе сосудистых осложнений СД уже на ранних стадиях, в частности диабетической ретинопатии;</w:t>
      </w:r>
    </w:p>
    <w:p w:rsidR="00217319" w:rsidRPr="00217319" w:rsidRDefault="00217319" w:rsidP="00217319">
      <w:pPr>
        <w:widowControl/>
        <w:numPr>
          <w:ilvl w:val="0"/>
          <w:numId w:val="16"/>
        </w:numPr>
        <w:tabs>
          <w:tab w:val="clear" w:pos="709"/>
        </w:tabs>
        <w:suppressAutoHyphens w:val="0"/>
        <w:spacing w:after="0" w:line="480" w:lineRule="exact"/>
        <w:ind w:left="74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Исследование уровня метаболитов N0 в СЖ больных СД 2 типа показало статистически достоверно более высокое содержание конечных метаболитов N0 в СЖ в сравнении с показателями группы контроля (р&lt;0,05);</w:t>
      </w:r>
    </w:p>
    <w:p w:rsidR="00217319" w:rsidRPr="00217319" w:rsidRDefault="00217319" w:rsidP="00217319">
      <w:pPr>
        <w:widowControl/>
        <w:tabs>
          <w:tab w:val="clear" w:pos="709"/>
        </w:tabs>
        <w:suppressAutoHyphens w:val="0"/>
        <w:spacing w:after="0" w:line="480" w:lineRule="exact"/>
        <w:ind w:left="760" w:right="20" w:hanging="34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 Установлена зависимость содержания метаболитов N0 в СЖ от тяжести клинических проявлений ДР на глазном дне, оцененной в баллах, что подтверждается выявленными прямыми корреляционными связями (р&lt;0,05, г=0,39).</w:t>
      </w:r>
    </w:p>
    <w:p w:rsidR="00217319" w:rsidRPr="00217319" w:rsidRDefault="00217319" w:rsidP="00217319">
      <w:pPr>
        <w:widowControl/>
        <w:tabs>
          <w:tab w:val="clear" w:pos="709"/>
        </w:tabs>
        <w:suppressAutoHyphens w:val="0"/>
        <w:spacing w:after="0" w:line="480" w:lineRule="exact"/>
        <w:ind w:left="20" w:right="20" w:firstLine="90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Таким образом, использование методики определения конечных метаболитов N0 в слезной жидкости позволяет выявлять прогрессирование диабетических осложнений еще на ранних стадиях ДР. Оценка конечных метаболитов оксида азота в слезной жидкости может применяться с целью выявления ДР на доклиническом этапе у пациентов с СД 2 типа и служить скрининговым методом для раннего выявления ДР, так как методика проста в исполнении, неинвазивна, низка по стоимости, методику можно наладить в условиях стандартной клинико-диагностической лаборатории, получение результатов анализа в тот же день.</w:t>
      </w:r>
    </w:p>
    <w:p w:rsidR="00217319" w:rsidRPr="00217319" w:rsidRDefault="00217319" w:rsidP="00217319">
      <w:pPr>
        <w:widowControl/>
        <w:tabs>
          <w:tab w:val="clear" w:pos="709"/>
        </w:tabs>
        <w:suppressAutoHyphens w:val="0"/>
        <w:spacing w:after="0" w:line="480" w:lineRule="exact"/>
        <w:ind w:left="20" w:right="20" w:firstLine="54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Субклиническая стадия является обратимой стадией ДР, поэтому ранняя диагностика является важной для своевременного начала лечения. Для скрининговой диагностики и динамики офтальмологических осложнений сахарного диабета целесообразна фоторегистрация глазного дна и проведение оптической когерентной томографии.</w:t>
      </w:r>
    </w:p>
    <w:p w:rsidR="00217319" w:rsidRPr="00217319" w:rsidRDefault="00217319" w:rsidP="00217319">
      <w:pPr>
        <w:widowControl/>
        <w:tabs>
          <w:tab w:val="clear" w:pos="709"/>
        </w:tabs>
        <w:suppressAutoHyphens w:val="0"/>
        <w:spacing w:after="0" w:line="480" w:lineRule="exact"/>
        <w:ind w:left="20" w:right="20" w:firstLine="540"/>
        <w:rPr>
          <w:rFonts w:ascii="Times New Roman" w:eastAsia="Times New Roman" w:hAnsi="Times New Roman" w:cs="Times New Roman"/>
          <w:kern w:val="0"/>
          <w:sz w:val="27"/>
          <w:szCs w:val="27"/>
          <w:lang w:eastAsia="ru-RU"/>
        </w:rPr>
        <w:sectPr w:rsidR="00217319" w:rsidRPr="00217319">
          <w:type w:val="continuous"/>
          <w:pgSz w:w="16837" w:h="23810"/>
          <w:pgMar w:top="4757" w:right="3355" w:bottom="5295" w:left="3825" w:header="0" w:footer="3" w:gutter="0"/>
          <w:cols w:space="720"/>
          <w:noEndnote/>
          <w:docGrid w:linePitch="360"/>
        </w:sectPr>
      </w:pPr>
      <w:r w:rsidRPr="00217319">
        <w:rPr>
          <w:rFonts w:ascii="Times New Roman" w:eastAsia="Times New Roman" w:hAnsi="Times New Roman" w:cs="Times New Roman"/>
          <w:kern w:val="0"/>
          <w:sz w:val="27"/>
          <w:szCs w:val="27"/>
          <w:lang w:eastAsia="ru-RU"/>
        </w:rPr>
        <w:t>На основании полученных результатов исследования с учетом патогенетических особенностей, клинических стадий течения ДР нами разработан лечебная тактика ДР на ранних стадиях с учетом динамики маркера эндотелиальной дисфункции - метаболитов оксида азота в слезной жидкости у больных СД 2типа.</w:t>
      </w:r>
    </w:p>
    <w:p w:rsidR="00217319" w:rsidRPr="00217319" w:rsidRDefault="00217319" w:rsidP="00217319">
      <w:pPr>
        <w:keepNext/>
        <w:keepLines/>
        <w:widowControl/>
        <w:tabs>
          <w:tab w:val="clear" w:pos="709"/>
        </w:tabs>
        <w:suppressAutoHyphens w:val="0"/>
        <w:spacing w:after="484" w:line="270" w:lineRule="exact"/>
        <w:ind w:left="3820" w:firstLine="0"/>
        <w:jc w:val="left"/>
        <w:outlineLvl w:val="4"/>
        <w:rPr>
          <w:rFonts w:ascii="Times New Roman" w:eastAsia="Times New Roman" w:hAnsi="Times New Roman" w:cs="Times New Roman"/>
          <w:b/>
          <w:bCs/>
          <w:kern w:val="0"/>
          <w:sz w:val="27"/>
          <w:szCs w:val="27"/>
          <w:lang w:eastAsia="ru-RU"/>
        </w:rPr>
      </w:pPr>
      <w:bookmarkStart w:id="11" w:name="bookmark42"/>
      <w:r w:rsidRPr="00217319">
        <w:rPr>
          <w:rFonts w:ascii="Times New Roman" w:eastAsia="Times New Roman" w:hAnsi="Times New Roman" w:cs="Times New Roman"/>
          <w:kern w:val="0"/>
          <w:sz w:val="27"/>
          <w:szCs w:val="27"/>
          <w:shd w:val="clear" w:color="auto" w:fill="FFFFFF"/>
          <w:lang w:eastAsia="ru-RU"/>
        </w:rPr>
        <w:t>ВЫВОДЫ</w:t>
      </w:r>
      <w:bookmarkEnd w:id="11"/>
    </w:p>
    <w:p w:rsidR="00217319" w:rsidRPr="00217319" w:rsidRDefault="00217319" w:rsidP="00217319">
      <w:pPr>
        <w:widowControl/>
        <w:numPr>
          <w:ilvl w:val="1"/>
          <w:numId w:val="16"/>
        </w:numPr>
        <w:tabs>
          <w:tab w:val="clear" w:pos="709"/>
          <w:tab w:val="left" w:pos="366"/>
        </w:tabs>
        <w:suppressAutoHyphens w:val="0"/>
        <w:spacing w:after="0" w:line="480" w:lineRule="exact"/>
        <w:ind w:left="38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Определение метаболитов оксида азота в слезной жидкости может служить скрининговым неинвазивным тестом ранней диагностики ДР и мониторирования консервативной терапии. Установлена прямая корреляционная зависимость (г=0,39; р&lt;0,05) у больных СД 2 типа на ранних стадиях ДР между содержанием в слезной жидкости метаболитов оксида азота и клиническим состоянием сетчатки.</w:t>
      </w:r>
    </w:p>
    <w:p w:rsidR="00217319" w:rsidRPr="00217319" w:rsidRDefault="00217319" w:rsidP="00217319">
      <w:pPr>
        <w:widowControl/>
        <w:numPr>
          <w:ilvl w:val="1"/>
          <w:numId w:val="16"/>
        </w:numPr>
        <w:tabs>
          <w:tab w:val="clear" w:pos="709"/>
          <w:tab w:val="left" w:pos="452"/>
        </w:tabs>
        <w:suppressAutoHyphens w:val="0"/>
        <w:spacing w:after="0" w:line="480" w:lineRule="exact"/>
        <w:ind w:left="38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Обнаружены высокие концентрации метаболитов оксида азота в слезной жидкости у больных СД 2 типа с непролиферативной ДР, что свидетельствует о дисфункции эндотелия сосудов сетчатки. На фоне лечения препаратом Тиоктацид БВ уровень метаболитов оксида азота в слезной жидкости достоверно снижается, что свидетельствует о нормализации эндотелиальной функции.</w:t>
      </w:r>
    </w:p>
    <w:p w:rsidR="00217319" w:rsidRPr="00217319" w:rsidRDefault="00217319" w:rsidP="00217319">
      <w:pPr>
        <w:widowControl/>
        <w:numPr>
          <w:ilvl w:val="1"/>
          <w:numId w:val="16"/>
        </w:numPr>
        <w:tabs>
          <w:tab w:val="clear" w:pos="709"/>
          <w:tab w:val="left" w:pos="380"/>
        </w:tabs>
        <w:suppressAutoHyphens w:val="0"/>
        <w:spacing w:after="0" w:line="480" w:lineRule="exact"/>
        <w:ind w:left="38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Доказан положительный эффект перорального препарата Тиоктацид БВ на клинико-биохимические показатели: достоверное снижение уровня гликозилированного гемоглобина, гликемии натощак, снижение уровня общего холестерина крови, достоверное улучшение остроты зрения в 31,7% случаев и картины глазного дна в 40% случаев. У пациентов, получавших традиционную терапию, отмечалось повышение остроты зрения только в 4% случаев.</w:t>
      </w:r>
    </w:p>
    <w:p w:rsidR="00217319" w:rsidRPr="00217319" w:rsidRDefault="00217319" w:rsidP="00217319">
      <w:pPr>
        <w:widowControl/>
        <w:numPr>
          <w:ilvl w:val="1"/>
          <w:numId w:val="16"/>
        </w:numPr>
        <w:tabs>
          <w:tab w:val="clear" w:pos="709"/>
          <w:tab w:val="left" w:pos="380"/>
        </w:tabs>
        <w:suppressAutoHyphens w:val="0"/>
        <w:spacing w:after="0" w:line="480" w:lineRule="exact"/>
        <w:ind w:left="38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Разработана тактика лечения диабетической ретинопатии на доклинической и непролиферативной стадиях с учетом динамики биохимических маркеров метаболических нарушений.</w:t>
      </w:r>
    </w:p>
    <w:p w:rsidR="00217319" w:rsidRPr="00217319" w:rsidRDefault="00217319" w:rsidP="00217319">
      <w:pPr>
        <w:widowControl/>
        <w:numPr>
          <w:ilvl w:val="1"/>
          <w:numId w:val="16"/>
        </w:numPr>
        <w:tabs>
          <w:tab w:val="clear" w:pos="709"/>
          <w:tab w:val="left" w:pos="375"/>
        </w:tabs>
        <w:suppressAutoHyphens w:val="0"/>
        <w:spacing w:after="0" w:line="480" w:lineRule="exact"/>
        <w:ind w:left="380" w:right="20" w:hanging="36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Доказана информативность оптической когерентной томографии в диагностике ДР на субклинической стадии. При непролиферативной стадии на фоне терапии Тиоктацидом БВ отмечается достоверное уменьшение ретинальной толщины и объема макулярной зоны сетчатки по данным оптической когерентной томографии.</w:t>
      </w:r>
    </w:p>
    <w:p w:rsidR="00217319" w:rsidRPr="00217319" w:rsidRDefault="00217319" w:rsidP="00217319">
      <w:pPr>
        <w:keepNext/>
        <w:keepLines/>
        <w:widowControl/>
        <w:tabs>
          <w:tab w:val="clear" w:pos="709"/>
        </w:tabs>
        <w:suppressAutoHyphens w:val="0"/>
        <w:spacing w:after="0" w:line="946" w:lineRule="exact"/>
        <w:ind w:left="160" w:firstLine="0"/>
        <w:jc w:val="center"/>
        <w:outlineLvl w:val="5"/>
        <w:rPr>
          <w:rFonts w:ascii="Times New Roman" w:eastAsia="Times New Roman" w:hAnsi="Times New Roman" w:cs="Times New Roman"/>
          <w:b/>
          <w:bCs/>
          <w:kern w:val="0"/>
          <w:sz w:val="27"/>
          <w:szCs w:val="27"/>
          <w:lang w:eastAsia="ru-RU"/>
        </w:rPr>
      </w:pPr>
      <w:bookmarkStart w:id="12" w:name="bookmark43"/>
      <w:r w:rsidRPr="00217319">
        <w:rPr>
          <w:rFonts w:ascii="Times New Roman" w:eastAsia="Times New Roman" w:hAnsi="Times New Roman" w:cs="Times New Roman"/>
          <w:kern w:val="0"/>
          <w:sz w:val="27"/>
          <w:szCs w:val="27"/>
          <w:shd w:val="clear" w:color="auto" w:fill="FFFFFF"/>
          <w:lang w:eastAsia="ru-RU"/>
        </w:rPr>
        <w:t>ПРАКТИЧЕСКИЕ РЕКОМЕНДАЦИИ Лечебная тактика при диабетической ретинопатии</w:t>
      </w:r>
      <w:bookmarkEnd w:id="12"/>
    </w:p>
    <w:p w:rsidR="00217319" w:rsidRPr="00217319" w:rsidRDefault="00217319" w:rsidP="00217319">
      <w:pPr>
        <w:widowControl/>
        <w:numPr>
          <w:ilvl w:val="2"/>
          <w:numId w:val="16"/>
        </w:numPr>
        <w:tabs>
          <w:tab w:val="clear" w:pos="709"/>
          <w:tab w:val="left" w:pos="346"/>
        </w:tabs>
        <w:suppressAutoHyphens w:val="0"/>
        <w:spacing w:after="0" w:line="475" w:lineRule="exact"/>
        <w:ind w:left="360" w:right="20" w:hanging="34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При отсутствии диабетических изменений на глазном дне (ДР 0 по Международной шкале тяжести) рекомендуется использовать экспресс- метод определения уровня метаболитов оксида азота в слезной жидкости для выявления эндотелиальной дисфункции.</w:t>
      </w:r>
    </w:p>
    <w:p w:rsidR="00217319" w:rsidRPr="00217319" w:rsidRDefault="00217319" w:rsidP="00217319">
      <w:pPr>
        <w:widowControl/>
        <w:tabs>
          <w:tab w:val="clear" w:pos="709"/>
        </w:tabs>
        <w:suppressAutoHyphens w:val="0"/>
        <w:spacing w:after="0" w:line="480" w:lineRule="exact"/>
        <w:ind w:left="360" w:right="20" w:firstLine="34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При отсутствии метаболитов оксида азота в слезной жидкости осмотры один раз в год.</w:t>
      </w:r>
    </w:p>
    <w:p w:rsidR="00217319" w:rsidRPr="00217319" w:rsidRDefault="00217319" w:rsidP="00217319">
      <w:pPr>
        <w:widowControl/>
        <w:tabs>
          <w:tab w:val="clear" w:pos="709"/>
        </w:tabs>
        <w:suppressAutoHyphens w:val="0"/>
        <w:spacing w:after="0" w:line="480" w:lineRule="exact"/>
        <w:ind w:left="360" w:right="20" w:firstLine="34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При обнаружении метаболитов оксида азота в слезной жидкости рекомендуется назначение антиоксиданта Тиоктацида БВ в течение трех месяцев.</w:t>
      </w:r>
    </w:p>
    <w:p w:rsidR="00217319" w:rsidRPr="00217319" w:rsidRDefault="00217319" w:rsidP="00217319">
      <w:pPr>
        <w:widowControl/>
        <w:tabs>
          <w:tab w:val="clear" w:pos="709"/>
        </w:tabs>
        <w:suppressAutoHyphens w:val="0"/>
        <w:spacing w:after="0" w:line="480" w:lineRule="exact"/>
        <w:ind w:left="360" w:right="20" w:firstLine="34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После постановки диагноза ДР осмотры один раз в 6 месяцев с обязательным назначением антиоксидантов (Тиоктацид БВ) на 6 месяцев и контроль уровня метаболитов оксида азота в слезной жидкости.</w:t>
      </w:r>
    </w:p>
    <w:p w:rsidR="00217319" w:rsidRPr="00217319" w:rsidRDefault="00217319" w:rsidP="00217319">
      <w:pPr>
        <w:widowControl/>
        <w:tabs>
          <w:tab w:val="clear" w:pos="709"/>
        </w:tabs>
        <w:suppressAutoHyphens w:val="0"/>
        <w:spacing w:after="416" w:line="480" w:lineRule="exact"/>
        <w:ind w:left="360" w:right="20" w:firstLine="340"/>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При выявлении ДР</w:t>
      </w:r>
      <w:r w:rsidRPr="00217319">
        <w:rPr>
          <w:rFonts w:ascii="Times New Roman" w:eastAsia="Times New Roman" w:hAnsi="Times New Roman" w:cs="Times New Roman"/>
          <w:b/>
          <w:bCs/>
          <w:kern w:val="0"/>
          <w:sz w:val="27"/>
          <w:szCs w:val="27"/>
          <w:shd w:val="clear" w:color="auto" w:fill="FFFFFF"/>
          <w:lang w:eastAsia="ru-RU"/>
        </w:rPr>
        <w:t xml:space="preserve"> II,</w:t>
      </w:r>
      <w:r w:rsidRPr="00217319">
        <w:rPr>
          <w:rFonts w:ascii="Times New Roman" w:eastAsia="Times New Roman" w:hAnsi="Times New Roman" w:cs="Times New Roman"/>
          <w:kern w:val="0"/>
          <w:sz w:val="27"/>
          <w:szCs w:val="27"/>
          <w:lang w:eastAsia="ru-RU"/>
        </w:rPr>
        <w:t xml:space="preserve"> ДР</w:t>
      </w:r>
      <w:r w:rsidRPr="00217319">
        <w:rPr>
          <w:rFonts w:ascii="Times New Roman" w:eastAsia="Times New Roman" w:hAnsi="Times New Roman" w:cs="Times New Roman"/>
          <w:b/>
          <w:bCs/>
          <w:kern w:val="0"/>
          <w:sz w:val="27"/>
          <w:szCs w:val="27"/>
          <w:shd w:val="clear" w:color="auto" w:fill="FFFFFF"/>
          <w:lang w:eastAsia="ru-RU"/>
        </w:rPr>
        <w:t xml:space="preserve"> III</w:t>
      </w:r>
      <w:r w:rsidRPr="00217319">
        <w:rPr>
          <w:rFonts w:ascii="Times New Roman" w:eastAsia="Times New Roman" w:hAnsi="Times New Roman" w:cs="Times New Roman"/>
          <w:kern w:val="0"/>
          <w:sz w:val="27"/>
          <w:szCs w:val="27"/>
          <w:lang w:eastAsia="ru-RU"/>
        </w:rPr>
        <w:t xml:space="preserve"> назначение антиоксидантов рекомендуется сочетать с другими методами лечения (лазеркоагуляция, витреальная хирургия).</w:t>
      </w:r>
    </w:p>
    <w:p w:rsidR="00217319" w:rsidRPr="00217319" w:rsidRDefault="00217319" w:rsidP="00217319">
      <w:pPr>
        <w:widowControl/>
        <w:numPr>
          <w:ilvl w:val="2"/>
          <w:numId w:val="16"/>
        </w:numPr>
        <w:tabs>
          <w:tab w:val="clear" w:pos="709"/>
          <w:tab w:val="left" w:pos="390"/>
        </w:tabs>
        <w:suppressAutoHyphens w:val="0"/>
        <w:spacing w:after="0" w:line="485" w:lineRule="exact"/>
        <w:ind w:left="360" w:right="20" w:hanging="340"/>
        <w:jc w:val="left"/>
        <w:rPr>
          <w:rFonts w:ascii="Times New Roman" w:eastAsia="Times New Roman" w:hAnsi="Times New Roman" w:cs="Times New Roman"/>
          <w:kern w:val="0"/>
          <w:sz w:val="27"/>
          <w:szCs w:val="27"/>
          <w:lang w:eastAsia="ru-RU"/>
        </w:rPr>
      </w:pPr>
      <w:r w:rsidRPr="00217319">
        <w:rPr>
          <w:rFonts w:ascii="Times New Roman" w:eastAsia="Times New Roman" w:hAnsi="Times New Roman" w:cs="Times New Roman"/>
          <w:kern w:val="0"/>
          <w:sz w:val="27"/>
          <w:szCs w:val="27"/>
          <w:lang w:eastAsia="ru-RU"/>
        </w:rPr>
        <w:t>С целью предупреждения прогрессирования и лечения ДР у больных СД 2 типа рекомендуется применение препарата Тиоктацид БВ в дозе 600 мг в сутки за 30 минут до еды в течение 3-6 месяцев; при выраженных проявлениях диабетической полинейропатии с целью замены внутривенных введений а-липоевый кислоты рекомендуется применение препарата Тиоктацид БВ в дозе 1800 мг/сутки в течение трех недель с дальнейшим переходом на обычную дозу - 600 мг однократно утром. Положительные результаты применения препарата</w:t>
      </w:r>
    </w:p>
    <w:p w:rsidR="00217319" w:rsidRPr="00217319" w:rsidRDefault="00217319" w:rsidP="00217319">
      <w:r w:rsidRPr="00217319">
        <w:rPr>
          <w:rFonts w:ascii="Courier New" w:eastAsia="Times New Roman" w:hAnsi="Courier New"/>
          <w:color w:val="000000"/>
          <w:kern w:val="0"/>
          <w:sz w:val="24"/>
          <w:szCs w:val="24"/>
          <w:lang w:eastAsia="ru-RU"/>
        </w:rPr>
        <w:t>Тиоктацид БВ (не имеет побочных эффектов и противопоказаний при длительном приеме) в лечении непролиферативной ДР позволяют рекомендовать его для широкого клинического применения с целью профилактики и лечения сосудистых осложнений СД.</w:t>
      </w:r>
    </w:p>
    <w:sectPr w:rsidR="00217319" w:rsidRPr="0021731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10" w:rsidRDefault="00657010">
      <w:pPr>
        <w:spacing w:after="0" w:line="240" w:lineRule="auto"/>
      </w:pPr>
      <w:r>
        <w:separator/>
      </w:r>
    </w:p>
  </w:endnote>
  <w:endnote w:type="continuationSeparator" w:id="0">
    <w:p w:rsidR="00657010" w:rsidRDefault="00657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57010" w:rsidRDefault="00657010">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57010" w:rsidRDefault="00657010">
                <w:pPr>
                  <w:spacing w:line="240" w:lineRule="auto"/>
                </w:pPr>
                <w:fldSimple w:instr=" PAGE \* MERGEFORMAT ">
                  <w:r w:rsidR="00217319" w:rsidRPr="00217319">
                    <w:rPr>
                      <w:rStyle w:val="afffff9"/>
                      <w:noProof/>
                    </w:rPr>
                    <w:t>14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10" w:rsidRDefault="00657010"/>
    <w:p w:rsidR="00657010" w:rsidRDefault="00657010"/>
    <w:p w:rsidR="00657010" w:rsidRDefault="00657010"/>
    <w:p w:rsidR="00657010" w:rsidRDefault="00657010"/>
    <w:p w:rsidR="00657010" w:rsidRDefault="00657010"/>
    <w:p w:rsidR="00657010" w:rsidRDefault="00657010"/>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57010" w:rsidRDefault="00657010">
                  <w:pPr>
                    <w:spacing w:line="240" w:lineRule="auto"/>
                  </w:pPr>
                  <w:fldSimple w:instr=" PAGE \* MERGEFORMAT ">
                    <w:r w:rsidRPr="001D7C47">
                      <w:rPr>
                        <w:rStyle w:val="afffff9"/>
                        <w:b w:val="0"/>
                        <w:bCs w:val="0"/>
                        <w:noProof/>
                      </w:rPr>
                      <w:t>23</w:t>
                    </w:r>
                  </w:fldSimple>
                </w:p>
              </w:txbxContent>
            </v:textbox>
            <w10:wrap anchorx="page" anchory="page"/>
          </v:shape>
        </w:pict>
      </w:r>
    </w:p>
    <w:p w:rsidR="00657010" w:rsidRDefault="00657010"/>
    <w:p w:rsidR="00657010" w:rsidRDefault="00657010"/>
    <w:p w:rsidR="00657010" w:rsidRDefault="00657010">
      <w:pPr>
        <w:rPr>
          <w:sz w:val="2"/>
          <w:szCs w:val="2"/>
        </w:rPr>
      </w:pPr>
      <w:r w:rsidRPr="00574F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57010" w:rsidRDefault="00657010"/>
              </w:txbxContent>
            </v:textbox>
            <w10:wrap anchorx="page" anchory="page"/>
          </v:shape>
        </w:pict>
      </w:r>
    </w:p>
    <w:p w:rsidR="00657010" w:rsidRDefault="00657010"/>
    <w:p w:rsidR="00657010" w:rsidRDefault="00657010">
      <w:pPr>
        <w:rPr>
          <w:sz w:val="2"/>
          <w:szCs w:val="2"/>
        </w:rPr>
      </w:pPr>
    </w:p>
    <w:p w:rsidR="00657010" w:rsidRDefault="00657010"/>
    <w:p w:rsidR="00657010" w:rsidRDefault="00657010">
      <w:pPr>
        <w:spacing w:after="0" w:line="240" w:lineRule="auto"/>
      </w:pPr>
    </w:p>
  </w:footnote>
  <w:footnote w:type="continuationSeparator" w:id="0">
    <w:p w:rsidR="00657010" w:rsidRDefault="00657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657010" w:rsidRDefault="0065701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pPr>
      <w:rPr>
        <w:sz w:val="2"/>
        <w:szCs w:val="2"/>
      </w:rPr>
    </w:pPr>
    <w:r w:rsidRPr="00574F1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657010" w:rsidRDefault="00657010"/>
            </w:txbxContent>
          </v:textbox>
          <w10:wrap anchorx="page" anchory="page"/>
        </v:shape>
      </w:pict>
    </w:r>
  </w:p>
  <w:p w:rsidR="00657010" w:rsidRPr="005856C0" w:rsidRDefault="0065701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010" w:rsidRDefault="0065701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8"/>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2"/>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4"/>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7"/>
      <w:numFmt w:val="decimal"/>
      <w:lvlText w:val="%9."/>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1">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3">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16"/>
    <w:lvl w:ilvl="0">
      <w:start w:val="1"/>
      <w:numFmt w:val="decimal"/>
      <w:lvlText w:val="%1."/>
      <w:lvlJc w:val="left"/>
      <w:pPr>
        <w:tabs>
          <w:tab w:val="num" w:pos="0"/>
        </w:tabs>
        <w:ind w:left="502" w:hanging="360"/>
      </w:pPr>
    </w:lvl>
  </w:abstractNum>
  <w:abstractNum w:abstractNumId="33">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4">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7">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0007A3"/>
    <w:multiLevelType w:val="singleLevel"/>
    <w:tmpl w:val="461E5612"/>
    <w:lvl w:ilvl="0">
      <w:start w:val="1"/>
      <w:numFmt w:val="decimal"/>
      <w:lvlText w:val="2.%1."/>
      <w:legacy w:legacy="1" w:legacySpace="0" w:legacyIndent="490"/>
      <w:lvlJc w:val="left"/>
      <w:rPr>
        <w:rFonts w:ascii="Times New Roman" w:hAnsi="Times New Roman" w:cs="Times New Roman" w:hint="default"/>
      </w:rPr>
    </w:lvl>
  </w:abstractNum>
  <w:abstractNum w:abstractNumId="81">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7">
    <w:nsid w:val="149A029D"/>
    <w:multiLevelType w:val="singleLevel"/>
    <w:tmpl w:val="02FCC8CA"/>
    <w:lvl w:ilvl="0">
      <w:start w:val="1"/>
      <w:numFmt w:val="decimal"/>
      <w:lvlText w:val="%1."/>
      <w:legacy w:legacy="1" w:legacySpace="0" w:legacyIndent="322"/>
      <w:lvlJc w:val="left"/>
      <w:rPr>
        <w:rFonts w:ascii="Times New Roman" w:hAnsi="Times New Roman" w:cs="Times New Roman" w:hint="default"/>
      </w:rPr>
    </w:lvl>
  </w:abstractNum>
  <w:abstractNum w:abstractNumId="88">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0">
    <w:nsid w:val="1FA23389"/>
    <w:multiLevelType w:val="singleLevel"/>
    <w:tmpl w:val="9C18DCF8"/>
    <w:lvl w:ilvl="0">
      <w:start w:val="1"/>
      <w:numFmt w:val="decimal"/>
      <w:lvlText w:val="1.%1."/>
      <w:legacy w:legacy="1" w:legacySpace="0" w:legacyIndent="490"/>
      <w:lvlJc w:val="left"/>
      <w:rPr>
        <w:rFonts w:ascii="Times New Roman" w:hAnsi="Times New Roman" w:cs="Times New Roman" w:hint="default"/>
      </w:rPr>
    </w:lvl>
  </w:abstractNum>
  <w:abstractNum w:abstractNumId="91">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2">
    <w:nsid w:val="35746462"/>
    <w:multiLevelType w:val="singleLevel"/>
    <w:tmpl w:val="B218E678"/>
    <w:lvl w:ilvl="0">
      <w:start w:val="1"/>
      <w:numFmt w:val="decimal"/>
      <w:lvlText w:val="3.%1."/>
      <w:legacy w:legacy="1" w:legacySpace="0" w:legacyIndent="490"/>
      <w:lvlJc w:val="left"/>
      <w:rPr>
        <w:rFonts w:ascii="Times New Roman" w:hAnsi="Times New Roman" w:cs="Times New Roman" w:hint="default"/>
      </w:rPr>
    </w:lvl>
  </w:abstractNum>
  <w:abstractNum w:abstractNumId="93">
    <w:nsid w:val="38555822"/>
    <w:multiLevelType w:val="singleLevel"/>
    <w:tmpl w:val="97C29D00"/>
    <w:lvl w:ilvl="0">
      <w:start w:val="3"/>
      <w:numFmt w:val="decimal"/>
      <w:lvlText w:val="%1."/>
      <w:legacy w:legacy="1" w:legacySpace="0" w:legacyIndent="303"/>
      <w:lvlJc w:val="left"/>
      <w:rPr>
        <w:rFonts w:ascii="Times New Roman" w:hAnsi="Times New Roman" w:cs="Times New Roman" w:hint="default"/>
      </w:rPr>
    </w:lvl>
  </w:abstractNum>
  <w:abstractNum w:abstractNumId="9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6">
    <w:nsid w:val="55613622"/>
    <w:multiLevelType w:val="singleLevel"/>
    <w:tmpl w:val="DD06CB84"/>
    <w:lvl w:ilvl="0">
      <w:start w:val="2"/>
      <w:numFmt w:val="decimal"/>
      <w:lvlText w:val="%1."/>
      <w:legacy w:legacy="1" w:legacySpace="0" w:legacyIndent="284"/>
      <w:lvlJc w:val="left"/>
      <w:rPr>
        <w:rFonts w:ascii="Times New Roman" w:hAnsi="Times New Roman" w:cs="Times New Roman" w:hint="default"/>
      </w:rPr>
    </w:lvl>
  </w:abstractNum>
  <w:abstractNum w:abstractNumId="97">
    <w:nsid w:val="680E3E8C"/>
    <w:multiLevelType w:val="singleLevel"/>
    <w:tmpl w:val="7884DA06"/>
    <w:lvl w:ilvl="0">
      <w:start w:val="1"/>
      <w:numFmt w:val="decimal"/>
      <w:lvlText w:val="%1."/>
      <w:legacy w:legacy="1" w:legacySpace="0" w:legacyIndent="297"/>
      <w:lvlJc w:val="left"/>
      <w:rPr>
        <w:rFonts w:ascii="Times New Roman" w:hAnsi="Times New Roman" w:cs="Times New Roman" w:hint="default"/>
      </w:rPr>
    </w:lvl>
  </w:abstractNum>
  <w:abstractNum w:abstractNumId="9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0"/>
  </w:num>
  <w:num w:numId="8">
    <w:abstractNumId w:val="92"/>
  </w:num>
  <w:num w:numId="9">
    <w:abstractNumId w:val="96"/>
  </w:num>
  <w:num w:numId="10">
    <w:abstractNumId w:val="87"/>
  </w:num>
  <w:num w:numId="11">
    <w:abstractNumId w:val="93"/>
  </w:num>
  <w:num w:numId="12">
    <w:abstractNumId w:val="97"/>
  </w:num>
  <w:num w:numId="13">
    <w:abstractNumId w:val="5"/>
  </w:num>
  <w:num w:numId="14">
    <w:abstractNumId w:val="6"/>
  </w:num>
  <w:num w:numId="15">
    <w:abstractNumId w:val="7"/>
  </w:num>
  <w:num w:numId="16">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70"/>
    <o:shapelayout v:ext="edit">
      <o:idmap v:ext="edit" data="1"/>
      <o:rules v:ext="edit">
        <o:r id="V:Rule1" type="connector" idref="#_x0000_s1120">
          <o:proxy start="" idref="#_x0000_s1118" connectloc="1"/>
          <o:proxy end="" idref="#_x0000_s1111" connectloc="1"/>
        </o:r>
        <o:r id="V:Rule2" type="connector" idref="#_x0000_s1121">
          <o:proxy start="" idref="#_x0000_s1118" connectloc="1"/>
          <o:proxy end="" idref="#_x0000_s1112" connectloc="1"/>
        </o:r>
        <o:r id="V:Rule3" type="connector" idref="#_x0000_s1122">
          <o:proxy start="" idref="#_x0000_s1118" connectloc="1"/>
          <o:proxy end="" idref="#_x0000_s1119" connectloc="1"/>
        </o:r>
        <o:r id="V:Rule4" type="connector" idref="#_x0000_s1123">
          <o:proxy start="" idref="#_x0000_s1118" connectloc="1"/>
          <o:proxy end="" idref="#_x0000_s1113" connectloc="1"/>
        </o:r>
        <o:r id="V:Rule5" type="connector" idref="#_x0000_s1124">
          <o:proxy start="" idref="#_x0000_s1118" connectloc="3"/>
          <o:proxy end="" idref="#_x0000_s1111" connectloc="3"/>
        </o:r>
        <o:r id="V:Rule6" type="connector" idref="#_x0000_s1125">
          <o:proxy start="" idref="#_x0000_s1118" connectloc="3"/>
          <o:proxy end="" idref="#_x0000_s1112" connectloc="3"/>
        </o:r>
        <o:r id="V:Rule7" type="connector" idref="#_x0000_s1126">
          <o:proxy start="" idref="#_x0000_s1118" connectloc="3"/>
          <o:proxy end="" idref="#_x0000_s1119" connectloc="3"/>
        </o:r>
        <o:r id="V:Rule8" type="connector" idref="#_x0000_s1127">
          <o:proxy start="" idref="#_x0000_s1118" connectloc="3"/>
          <o:proxy end="" idref="#_x0000_s1113" connectloc="3"/>
        </o:r>
        <o:r id="V:Rule9" type="connector" idref="#_x0000_s1128">
          <o:proxy start="" idref="#_x0000_s1109" connectloc="1"/>
          <o:proxy end="" idref="#_x0000_s1115" connectloc="1"/>
        </o:r>
        <o:r id="V:Rule10" type="connector" idref="#_x0000_s1129">
          <o:proxy start="" idref="#_x0000_s1109" connectloc="3"/>
          <o:proxy end="" idref="#_x0000_s1115" connectloc="3"/>
        </o:r>
        <o:r id="V:Rule11" type="connector" idref="#_x0000_s1248"/>
        <o:r id="V:Rule12" type="connector" idref="#_x0000_s1249"/>
        <o:r id="V:Rule13" type="connector" idref="#_x0000_s1250"/>
        <o:r id="V:Rule14" type="connector" idref="#_x0000_s1251"/>
        <o:r id="V:Rule15" type="connector" idref="#_x0000_s1252"/>
        <o:r id="V:Rule16" type="connector" idref="#_x0000_s1253"/>
        <o:r id="V:Rule17" type="connector" idref="#_x0000_s1254"/>
        <o:r id="V:Rule18" type="connector" idref="#_x0000_s1255"/>
        <o:r id="V:Rule19" type="connector" idref="#_x0000_s1256"/>
        <o:r id="V:Rule20" type="connector" idref="#_x0000_s125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footer" w:uiPriority="0"/>
    <w:lsdException w:name="caption" w:uiPriority="0" w:qFormat="1"/>
    <w:lsdException w:name="footnote reference"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nhideWhenUsed="0" w:qFormat="1"/>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B70E1-8C7E-4145-B56D-F6E7755EE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14</Pages>
  <Words>2670</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2020-09-30T12:00:00Z</dcterms:created>
  <dcterms:modified xsi:type="dcterms:W3CDTF">2020-10-03T09:11:00Z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