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EA96" w14:textId="77777777" w:rsidR="00EC180A" w:rsidRDefault="00EC180A" w:rsidP="00EC180A">
      <w:pPr>
        <w:pStyle w:val="afffffffffffffffffffffffffff5"/>
        <w:rPr>
          <w:rFonts w:ascii="Verdana" w:hAnsi="Verdana"/>
          <w:color w:val="000000"/>
          <w:sz w:val="21"/>
          <w:szCs w:val="21"/>
        </w:rPr>
      </w:pPr>
      <w:r>
        <w:rPr>
          <w:rFonts w:ascii="Helvetica Neue" w:hAnsi="Helvetica Neue"/>
          <w:b/>
          <w:bCs w:val="0"/>
          <w:color w:val="222222"/>
          <w:sz w:val="21"/>
          <w:szCs w:val="21"/>
        </w:rPr>
        <w:t>Сильченко, Александр Николаевич.</w:t>
      </w:r>
    </w:p>
    <w:p w14:paraId="25FB4B3E" w14:textId="77777777" w:rsidR="00EC180A" w:rsidRDefault="00EC180A" w:rsidP="00EC180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Синхронизация колебаний в стохастических и хаотических </w:t>
      </w:r>
      <w:proofErr w:type="gramStart"/>
      <w:r>
        <w:rPr>
          <w:rFonts w:ascii="Helvetica Neue" w:hAnsi="Helvetica Neue" w:cs="Arial"/>
          <w:caps/>
          <w:color w:val="222222"/>
          <w:sz w:val="21"/>
          <w:szCs w:val="21"/>
        </w:rPr>
        <w:t>системах :</w:t>
      </w:r>
      <w:proofErr w:type="gramEnd"/>
      <w:r>
        <w:rPr>
          <w:rFonts w:ascii="Helvetica Neue" w:hAnsi="Helvetica Neue" w:cs="Arial"/>
          <w:caps/>
          <w:color w:val="222222"/>
          <w:sz w:val="21"/>
          <w:szCs w:val="21"/>
        </w:rPr>
        <w:t xml:space="preserve"> диссертация ... кандидата физико-математических наук : 01.04.03. - Саратов, 1998. - 142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4825FB1" w14:textId="77777777" w:rsidR="00EC180A" w:rsidRDefault="00EC180A" w:rsidP="00EC18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Сильченко, Александр Николаевич</w:t>
      </w:r>
    </w:p>
    <w:p w14:paraId="089DDECC"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2B78F541"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Вынужденная синхронизация переключений в стохастических и хаотических бистабильных системах</w:t>
      </w:r>
    </w:p>
    <w:p w14:paraId="5A657A7B"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Мгновенная фаза колебаний в стохастических и хаотических бистабильных системах.</w:t>
      </w:r>
    </w:p>
    <w:p w14:paraId="02189F8C"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Фазовая синхронизация переключений в стохастической бистабильной системе, возмущаемой внешним периодическим сигналом.</w:t>
      </w:r>
    </w:p>
    <w:p w14:paraId="05AD6FB1"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Фазовая синхронизация переключений в стохастической бистабильной системе при апериодическом воздействии</w:t>
      </w:r>
    </w:p>
    <w:p w14:paraId="69A284C2"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Фазовая синхронизация переключений в хаотической бистабильной системе с дискретным временем.</w:t>
      </w:r>
    </w:p>
    <w:p w14:paraId="1ACC04CD"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Взаимная синхронизация переключений в связанных стохастических и хаотических бистабильных системах</w:t>
      </w:r>
    </w:p>
    <w:p w14:paraId="1FE0DA1B"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Фазовая синхронизация переключений в связанных стохастических бистабильных системах.</w:t>
      </w:r>
    </w:p>
    <w:p w14:paraId="101C090A"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Взаимная синхронизация хаотических бистабильных систем</w:t>
      </w:r>
    </w:p>
    <w:p w14:paraId="1E938633"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Исследуемая модель и результаты численных экспериментов</w:t>
      </w:r>
    </w:p>
    <w:p w14:paraId="1C900388"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w:t>
      </w:r>
      <w:proofErr w:type="spellStart"/>
      <w:r>
        <w:rPr>
          <w:rFonts w:ascii="Arial" w:hAnsi="Arial" w:cs="Arial"/>
          <w:color w:val="333333"/>
          <w:sz w:val="21"/>
          <w:szCs w:val="21"/>
        </w:rPr>
        <w:t>Бифуркационный</w:t>
      </w:r>
      <w:proofErr w:type="spellEnd"/>
      <w:r>
        <w:rPr>
          <w:rFonts w:ascii="Arial" w:hAnsi="Arial" w:cs="Arial"/>
          <w:color w:val="333333"/>
          <w:sz w:val="21"/>
          <w:szCs w:val="21"/>
        </w:rPr>
        <w:t xml:space="preserve"> анализ взаимной синхронизации систем Лоренца.</w:t>
      </w:r>
    </w:p>
    <w:p w14:paraId="5BE44A4D"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Синхронизация хаотических систем посредством управления 104 3.1 Нелинейная динамика двух связанных через емкость цепей </w:t>
      </w:r>
      <w:proofErr w:type="spellStart"/>
      <w:r>
        <w:rPr>
          <w:rFonts w:ascii="Arial" w:hAnsi="Arial" w:cs="Arial"/>
          <w:color w:val="333333"/>
          <w:sz w:val="21"/>
          <w:szCs w:val="21"/>
        </w:rPr>
        <w:t>Чуа</w:t>
      </w:r>
      <w:proofErr w:type="spellEnd"/>
      <w:r>
        <w:rPr>
          <w:rFonts w:ascii="Arial" w:hAnsi="Arial" w:cs="Arial"/>
          <w:color w:val="333333"/>
          <w:sz w:val="21"/>
          <w:szCs w:val="21"/>
        </w:rPr>
        <w:t>.</w:t>
      </w:r>
    </w:p>
    <w:p w14:paraId="60035A44" w14:textId="77777777" w:rsidR="00EC180A" w:rsidRDefault="00EC180A" w:rsidP="00EC1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Синхронизация как управляемый переход.</w:t>
      </w:r>
    </w:p>
    <w:p w14:paraId="071EBB05" w14:textId="32D8A506" w:rsidR="00E67B85" w:rsidRPr="00EC180A" w:rsidRDefault="00E67B85" w:rsidP="00EC180A"/>
    <w:sectPr w:rsidR="00E67B85" w:rsidRPr="00EC18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7B95" w14:textId="77777777" w:rsidR="00D93EDD" w:rsidRDefault="00D93EDD">
      <w:pPr>
        <w:spacing w:after="0" w:line="240" w:lineRule="auto"/>
      </w:pPr>
      <w:r>
        <w:separator/>
      </w:r>
    </w:p>
  </w:endnote>
  <w:endnote w:type="continuationSeparator" w:id="0">
    <w:p w14:paraId="5881F882" w14:textId="77777777" w:rsidR="00D93EDD" w:rsidRDefault="00D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A83C" w14:textId="77777777" w:rsidR="00D93EDD" w:rsidRDefault="00D93EDD"/>
    <w:p w14:paraId="4868B680" w14:textId="77777777" w:rsidR="00D93EDD" w:rsidRDefault="00D93EDD"/>
    <w:p w14:paraId="742E28E2" w14:textId="77777777" w:rsidR="00D93EDD" w:rsidRDefault="00D93EDD"/>
    <w:p w14:paraId="29E364E2" w14:textId="77777777" w:rsidR="00D93EDD" w:rsidRDefault="00D93EDD"/>
    <w:p w14:paraId="13A1F278" w14:textId="77777777" w:rsidR="00D93EDD" w:rsidRDefault="00D93EDD"/>
    <w:p w14:paraId="46DF9A31" w14:textId="77777777" w:rsidR="00D93EDD" w:rsidRDefault="00D93EDD"/>
    <w:p w14:paraId="0B2B3746" w14:textId="77777777" w:rsidR="00D93EDD" w:rsidRDefault="00D93E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5BDC0" wp14:editId="395D20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A9E" w14:textId="77777777" w:rsidR="00D93EDD" w:rsidRDefault="00D93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5BD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88EA9E" w14:textId="77777777" w:rsidR="00D93EDD" w:rsidRDefault="00D93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43A5F" w14:textId="77777777" w:rsidR="00D93EDD" w:rsidRDefault="00D93EDD"/>
    <w:p w14:paraId="1B6FFBFF" w14:textId="77777777" w:rsidR="00D93EDD" w:rsidRDefault="00D93EDD"/>
    <w:p w14:paraId="322322EE" w14:textId="77777777" w:rsidR="00D93EDD" w:rsidRDefault="00D93E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A6605D" wp14:editId="3DCBA9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01D49" w14:textId="77777777" w:rsidR="00D93EDD" w:rsidRDefault="00D93EDD"/>
                          <w:p w14:paraId="01207ADA" w14:textId="77777777" w:rsidR="00D93EDD" w:rsidRDefault="00D93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660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701D49" w14:textId="77777777" w:rsidR="00D93EDD" w:rsidRDefault="00D93EDD"/>
                    <w:p w14:paraId="01207ADA" w14:textId="77777777" w:rsidR="00D93EDD" w:rsidRDefault="00D93E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FCE45" w14:textId="77777777" w:rsidR="00D93EDD" w:rsidRDefault="00D93EDD"/>
    <w:p w14:paraId="5898DD52" w14:textId="77777777" w:rsidR="00D93EDD" w:rsidRDefault="00D93EDD">
      <w:pPr>
        <w:rPr>
          <w:sz w:val="2"/>
          <w:szCs w:val="2"/>
        </w:rPr>
      </w:pPr>
    </w:p>
    <w:p w14:paraId="7B6F6BBA" w14:textId="77777777" w:rsidR="00D93EDD" w:rsidRDefault="00D93EDD"/>
    <w:p w14:paraId="7C84AFB5" w14:textId="77777777" w:rsidR="00D93EDD" w:rsidRDefault="00D93EDD">
      <w:pPr>
        <w:spacing w:after="0" w:line="240" w:lineRule="auto"/>
      </w:pPr>
    </w:p>
  </w:footnote>
  <w:footnote w:type="continuationSeparator" w:id="0">
    <w:p w14:paraId="08CB07B9" w14:textId="77777777" w:rsidR="00D93EDD" w:rsidRDefault="00D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EDD"/>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118086</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2512</cp:revision>
  <cp:lastPrinted>2009-02-06T05:36:00Z</cp:lastPrinted>
  <dcterms:created xsi:type="dcterms:W3CDTF">2024-01-07T13:43:00Z</dcterms:created>
  <dcterms:modified xsi:type="dcterms:W3CDTF">2025-06-19T21:19:00Z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