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6A58E" w14:textId="77777777" w:rsidR="00224249" w:rsidRPr="00224249" w:rsidRDefault="00224249" w:rsidP="00224249">
      <w:pPr>
        <w:rPr>
          <w:rFonts w:ascii="Helvetica" w:eastAsia="Symbol" w:hAnsi="Helvetica" w:cs="Helvetica"/>
          <w:b/>
          <w:bCs/>
          <w:color w:val="222222"/>
          <w:kern w:val="0"/>
          <w:sz w:val="21"/>
          <w:szCs w:val="21"/>
          <w:lang w:eastAsia="ru-RU"/>
        </w:rPr>
      </w:pPr>
      <w:r w:rsidRPr="00224249">
        <w:rPr>
          <w:rFonts w:ascii="Helvetica" w:eastAsia="Symbol" w:hAnsi="Helvetica" w:cs="Helvetica"/>
          <w:b/>
          <w:bCs/>
          <w:color w:val="222222"/>
          <w:kern w:val="0"/>
          <w:sz w:val="21"/>
          <w:szCs w:val="21"/>
          <w:lang w:eastAsia="ru-RU"/>
        </w:rPr>
        <w:t>Гасанов, Ильхам Солтан оглы.</w:t>
      </w:r>
    </w:p>
    <w:p w14:paraId="206A33B2" w14:textId="77777777" w:rsidR="00224249" w:rsidRPr="00224249" w:rsidRDefault="00224249" w:rsidP="00224249">
      <w:pPr>
        <w:rPr>
          <w:rFonts w:ascii="Helvetica" w:eastAsia="Symbol" w:hAnsi="Helvetica" w:cs="Helvetica"/>
          <w:b/>
          <w:bCs/>
          <w:color w:val="222222"/>
          <w:kern w:val="0"/>
          <w:sz w:val="21"/>
          <w:szCs w:val="21"/>
          <w:lang w:eastAsia="ru-RU"/>
        </w:rPr>
      </w:pPr>
      <w:r w:rsidRPr="00224249">
        <w:rPr>
          <w:rFonts w:ascii="Helvetica" w:eastAsia="Symbol" w:hAnsi="Helvetica" w:cs="Helvetica"/>
          <w:b/>
          <w:bCs/>
          <w:color w:val="222222"/>
          <w:kern w:val="0"/>
          <w:sz w:val="21"/>
          <w:szCs w:val="21"/>
          <w:lang w:eastAsia="ru-RU"/>
        </w:rPr>
        <w:t>Исследование физических процессов в плазменной линзе, определяющих динамику фокусируемых ионных пучков : диссертация ... кандидата физико-математических наук : 01.04.04. - Киев, 1984. - 109 с. : ил.</w:t>
      </w:r>
    </w:p>
    <w:p w14:paraId="254DF7ED" w14:textId="77777777" w:rsidR="00224249" w:rsidRPr="00224249" w:rsidRDefault="00224249" w:rsidP="00224249">
      <w:pPr>
        <w:rPr>
          <w:rFonts w:ascii="Helvetica" w:eastAsia="Symbol" w:hAnsi="Helvetica" w:cs="Helvetica"/>
          <w:b/>
          <w:bCs/>
          <w:color w:val="222222"/>
          <w:kern w:val="0"/>
          <w:sz w:val="21"/>
          <w:szCs w:val="21"/>
          <w:lang w:eastAsia="ru-RU"/>
        </w:rPr>
      </w:pPr>
      <w:r w:rsidRPr="00224249">
        <w:rPr>
          <w:rFonts w:ascii="Helvetica" w:eastAsia="Symbol" w:hAnsi="Helvetica" w:cs="Helvetica"/>
          <w:b/>
          <w:bCs/>
          <w:color w:val="222222"/>
          <w:kern w:val="0"/>
          <w:sz w:val="21"/>
          <w:szCs w:val="21"/>
          <w:lang w:eastAsia="ru-RU"/>
        </w:rPr>
        <w:t>Оглавление диссертациикандидат физико-математических наук Гасанов, Ильхам Солтан оглы</w:t>
      </w:r>
    </w:p>
    <w:p w14:paraId="3B2D04C8" w14:textId="77777777" w:rsidR="00224249" w:rsidRPr="00224249" w:rsidRDefault="00224249" w:rsidP="00224249">
      <w:pPr>
        <w:rPr>
          <w:rFonts w:ascii="Helvetica" w:eastAsia="Symbol" w:hAnsi="Helvetica" w:cs="Helvetica"/>
          <w:b/>
          <w:bCs/>
          <w:color w:val="222222"/>
          <w:kern w:val="0"/>
          <w:sz w:val="21"/>
          <w:szCs w:val="21"/>
          <w:lang w:eastAsia="ru-RU"/>
        </w:rPr>
      </w:pPr>
      <w:r w:rsidRPr="00224249">
        <w:rPr>
          <w:rFonts w:ascii="Helvetica" w:eastAsia="Symbol" w:hAnsi="Helvetica" w:cs="Helvetica"/>
          <w:b/>
          <w:bCs/>
          <w:color w:val="222222"/>
          <w:kern w:val="0"/>
          <w:sz w:val="21"/>
          <w:szCs w:val="21"/>
          <w:lang w:eastAsia="ru-RU"/>
        </w:rPr>
        <w:t>ВВЕДЕНИЕ.</w:t>
      </w:r>
    </w:p>
    <w:p w14:paraId="491D43A6" w14:textId="77777777" w:rsidR="00224249" w:rsidRPr="00224249" w:rsidRDefault="00224249" w:rsidP="00224249">
      <w:pPr>
        <w:rPr>
          <w:rFonts w:ascii="Helvetica" w:eastAsia="Symbol" w:hAnsi="Helvetica" w:cs="Helvetica"/>
          <w:b/>
          <w:bCs/>
          <w:color w:val="222222"/>
          <w:kern w:val="0"/>
          <w:sz w:val="21"/>
          <w:szCs w:val="21"/>
          <w:lang w:eastAsia="ru-RU"/>
        </w:rPr>
      </w:pPr>
      <w:r w:rsidRPr="00224249">
        <w:rPr>
          <w:rFonts w:ascii="Helvetica" w:eastAsia="Symbol" w:hAnsi="Helvetica" w:cs="Helvetica"/>
          <w:b/>
          <w:bCs/>
          <w:color w:val="222222"/>
          <w:kern w:val="0"/>
          <w:sz w:val="21"/>
          <w:szCs w:val="21"/>
          <w:lang w:eastAsia="ru-RU"/>
        </w:rPr>
        <w:t>ГЛАВА I. ИСПОЛЬЗОВАНИЕ ЭЛЕКТРОСТАТИЧЕСКИХ ПОЛЕЙ В ПЛАЗМЕ ДЛЯ ФОКУСИРОВКИ И ТРАНСПОРТИРОВКИ ПОТОКОВ БЫСТРЫХ ИОНОВ.</w:t>
      </w:r>
    </w:p>
    <w:p w14:paraId="02B90CBA" w14:textId="77777777" w:rsidR="00224249" w:rsidRPr="00224249" w:rsidRDefault="00224249" w:rsidP="00224249">
      <w:pPr>
        <w:rPr>
          <w:rFonts w:ascii="Helvetica" w:eastAsia="Symbol" w:hAnsi="Helvetica" w:cs="Helvetica"/>
          <w:b/>
          <w:bCs/>
          <w:color w:val="222222"/>
          <w:kern w:val="0"/>
          <w:sz w:val="21"/>
          <w:szCs w:val="21"/>
          <w:lang w:eastAsia="ru-RU"/>
        </w:rPr>
      </w:pPr>
      <w:r w:rsidRPr="00224249">
        <w:rPr>
          <w:rFonts w:ascii="Helvetica" w:eastAsia="Symbol" w:hAnsi="Helvetica" w:cs="Helvetica"/>
          <w:b/>
          <w:bCs/>
          <w:color w:val="222222"/>
          <w:kern w:val="0"/>
          <w:sz w:val="21"/>
          <w:szCs w:val="21"/>
          <w:lang w:eastAsia="ru-RU"/>
        </w:rPr>
        <w:t>1.1. Плазменные линзы</w:t>
      </w:r>
    </w:p>
    <w:p w14:paraId="1029F1BF" w14:textId="77777777" w:rsidR="00224249" w:rsidRPr="00224249" w:rsidRDefault="00224249" w:rsidP="00224249">
      <w:pPr>
        <w:rPr>
          <w:rFonts w:ascii="Helvetica" w:eastAsia="Symbol" w:hAnsi="Helvetica" w:cs="Helvetica"/>
          <w:b/>
          <w:bCs/>
          <w:color w:val="222222"/>
          <w:kern w:val="0"/>
          <w:sz w:val="21"/>
          <w:szCs w:val="21"/>
          <w:lang w:eastAsia="ru-RU"/>
        </w:rPr>
      </w:pPr>
      <w:r w:rsidRPr="00224249">
        <w:rPr>
          <w:rFonts w:ascii="Helvetica" w:eastAsia="Symbol" w:hAnsi="Helvetica" w:cs="Helvetica"/>
          <w:b/>
          <w:bCs/>
          <w:color w:val="222222"/>
          <w:kern w:val="0"/>
          <w:sz w:val="21"/>
          <w:szCs w:val="21"/>
          <w:lang w:eastAsia="ru-RU"/>
        </w:rPr>
        <w:t>1.2. О неустойчивости заряженной плазмы во внешнем магнитном поле</w:t>
      </w:r>
    </w:p>
    <w:p w14:paraId="342BEC61" w14:textId="77777777" w:rsidR="00224249" w:rsidRPr="00224249" w:rsidRDefault="00224249" w:rsidP="00224249">
      <w:pPr>
        <w:rPr>
          <w:rFonts w:ascii="Helvetica" w:eastAsia="Symbol" w:hAnsi="Helvetica" w:cs="Helvetica"/>
          <w:b/>
          <w:bCs/>
          <w:color w:val="222222"/>
          <w:kern w:val="0"/>
          <w:sz w:val="21"/>
          <w:szCs w:val="21"/>
          <w:lang w:eastAsia="ru-RU"/>
        </w:rPr>
      </w:pPr>
      <w:r w:rsidRPr="00224249">
        <w:rPr>
          <w:rFonts w:ascii="Helvetica" w:eastAsia="Symbol" w:hAnsi="Helvetica" w:cs="Helvetica"/>
          <w:b/>
          <w:bCs/>
          <w:color w:val="222222"/>
          <w:kern w:val="0"/>
          <w:sz w:val="21"/>
          <w:szCs w:val="21"/>
          <w:lang w:eastAsia="ru-RU"/>
        </w:rPr>
        <w:t>ГЛАВА П. ЭКСПЕРИМЕНТАЛЬНАЯ МЕТОДИКА.</w:t>
      </w:r>
    </w:p>
    <w:p w14:paraId="1418145E" w14:textId="77777777" w:rsidR="00224249" w:rsidRPr="00224249" w:rsidRDefault="00224249" w:rsidP="00224249">
      <w:pPr>
        <w:rPr>
          <w:rFonts w:ascii="Helvetica" w:eastAsia="Symbol" w:hAnsi="Helvetica" w:cs="Helvetica"/>
          <w:b/>
          <w:bCs/>
          <w:color w:val="222222"/>
          <w:kern w:val="0"/>
          <w:sz w:val="21"/>
          <w:szCs w:val="21"/>
          <w:lang w:eastAsia="ru-RU"/>
        </w:rPr>
      </w:pPr>
      <w:r w:rsidRPr="00224249">
        <w:rPr>
          <w:rFonts w:ascii="Helvetica" w:eastAsia="Symbol" w:hAnsi="Helvetica" w:cs="Helvetica"/>
          <w:b/>
          <w:bCs/>
          <w:color w:val="222222"/>
          <w:kern w:val="0"/>
          <w:sz w:val="21"/>
          <w:szCs w:val="21"/>
          <w:lang w:eastAsia="ru-RU"/>
        </w:rPr>
        <w:t>2.1. Установка для изучения свойств плазменных линз в стационарном и импульсном режимах.</w:t>
      </w:r>
    </w:p>
    <w:p w14:paraId="7AD2066E" w14:textId="77777777" w:rsidR="00224249" w:rsidRPr="00224249" w:rsidRDefault="00224249" w:rsidP="00224249">
      <w:pPr>
        <w:rPr>
          <w:rFonts w:ascii="Helvetica" w:eastAsia="Symbol" w:hAnsi="Helvetica" w:cs="Helvetica"/>
          <w:b/>
          <w:bCs/>
          <w:color w:val="222222"/>
          <w:kern w:val="0"/>
          <w:sz w:val="21"/>
          <w:szCs w:val="21"/>
          <w:lang w:eastAsia="ru-RU"/>
        </w:rPr>
      </w:pPr>
      <w:r w:rsidRPr="00224249">
        <w:rPr>
          <w:rFonts w:ascii="Helvetica" w:eastAsia="Symbol" w:hAnsi="Helvetica" w:cs="Helvetica"/>
          <w:b/>
          <w:bCs/>
          <w:color w:val="222222"/>
          <w:kern w:val="0"/>
          <w:sz w:val="21"/>
          <w:szCs w:val="21"/>
          <w:lang w:eastAsia="ru-RU"/>
        </w:rPr>
        <w:t>2.2. Методика измерений.</w:t>
      </w:r>
    </w:p>
    <w:p w14:paraId="664D9136" w14:textId="77777777" w:rsidR="00224249" w:rsidRPr="00224249" w:rsidRDefault="00224249" w:rsidP="00224249">
      <w:pPr>
        <w:rPr>
          <w:rFonts w:ascii="Helvetica" w:eastAsia="Symbol" w:hAnsi="Helvetica" w:cs="Helvetica"/>
          <w:b/>
          <w:bCs/>
          <w:color w:val="222222"/>
          <w:kern w:val="0"/>
          <w:sz w:val="21"/>
          <w:szCs w:val="21"/>
          <w:lang w:eastAsia="ru-RU"/>
        </w:rPr>
      </w:pPr>
      <w:r w:rsidRPr="00224249">
        <w:rPr>
          <w:rFonts w:ascii="Helvetica" w:eastAsia="Symbol" w:hAnsi="Helvetica" w:cs="Helvetica"/>
          <w:b/>
          <w:bCs/>
          <w:color w:val="222222"/>
          <w:kern w:val="0"/>
          <w:sz w:val="21"/>
          <w:szCs w:val="21"/>
          <w:lang w:eastAsia="ru-RU"/>
        </w:rPr>
        <w:t>ГЛАВА Ш. ЭЛЕКТРИЧЕСКИЕ ПОЛЯ В ЛИНЗЕ И ИХ ВОЗДЕЙСТВИЕ</w:t>
      </w:r>
    </w:p>
    <w:p w14:paraId="48C8AA25" w14:textId="77777777" w:rsidR="00224249" w:rsidRPr="00224249" w:rsidRDefault="00224249" w:rsidP="00224249">
      <w:pPr>
        <w:rPr>
          <w:rFonts w:ascii="Helvetica" w:eastAsia="Symbol" w:hAnsi="Helvetica" w:cs="Helvetica"/>
          <w:b/>
          <w:bCs/>
          <w:color w:val="222222"/>
          <w:kern w:val="0"/>
          <w:sz w:val="21"/>
          <w:szCs w:val="21"/>
          <w:lang w:eastAsia="ru-RU"/>
        </w:rPr>
      </w:pPr>
      <w:r w:rsidRPr="00224249">
        <w:rPr>
          <w:rFonts w:ascii="Helvetica" w:eastAsia="Symbol" w:hAnsi="Helvetica" w:cs="Helvetica"/>
          <w:b/>
          <w:bCs/>
          <w:color w:val="222222"/>
          <w:kern w:val="0"/>
          <w:sz w:val="21"/>
          <w:szCs w:val="21"/>
          <w:lang w:eastAsia="ru-RU"/>
        </w:rPr>
        <w:t>НА СТАЦИОНАРНЫЕ ИОННЫЕ ПУЧКИ.</w:t>
      </w:r>
    </w:p>
    <w:p w14:paraId="55342C00" w14:textId="77777777" w:rsidR="00224249" w:rsidRPr="00224249" w:rsidRDefault="00224249" w:rsidP="00224249">
      <w:pPr>
        <w:rPr>
          <w:rFonts w:ascii="Helvetica" w:eastAsia="Symbol" w:hAnsi="Helvetica" w:cs="Helvetica"/>
          <w:b/>
          <w:bCs/>
          <w:color w:val="222222"/>
          <w:kern w:val="0"/>
          <w:sz w:val="21"/>
          <w:szCs w:val="21"/>
          <w:lang w:eastAsia="ru-RU"/>
        </w:rPr>
      </w:pPr>
      <w:r w:rsidRPr="00224249">
        <w:rPr>
          <w:rFonts w:ascii="Helvetica" w:eastAsia="Symbol" w:hAnsi="Helvetica" w:cs="Helvetica"/>
          <w:b/>
          <w:bCs/>
          <w:color w:val="222222"/>
          <w:kern w:val="0"/>
          <w:sz w:val="21"/>
          <w:szCs w:val="21"/>
          <w:lang w:eastAsia="ru-RU"/>
        </w:rPr>
        <w:t>3.1. Образование плазмы и степень перекомпенсации пучка электронами в короткой и длинной системах.</w:t>
      </w:r>
    </w:p>
    <w:p w14:paraId="4D88DEAE" w14:textId="77777777" w:rsidR="00224249" w:rsidRPr="00224249" w:rsidRDefault="00224249" w:rsidP="00224249">
      <w:pPr>
        <w:rPr>
          <w:rFonts w:ascii="Helvetica" w:eastAsia="Symbol" w:hAnsi="Helvetica" w:cs="Helvetica"/>
          <w:b/>
          <w:bCs/>
          <w:color w:val="222222"/>
          <w:kern w:val="0"/>
          <w:sz w:val="21"/>
          <w:szCs w:val="21"/>
          <w:lang w:eastAsia="ru-RU"/>
        </w:rPr>
      </w:pPr>
      <w:r w:rsidRPr="00224249">
        <w:rPr>
          <w:rFonts w:ascii="Helvetica" w:eastAsia="Symbol" w:hAnsi="Helvetica" w:cs="Helvetica"/>
          <w:b/>
          <w:bCs/>
          <w:color w:val="222222"/>
          <w:kern w:val="0"/>
          <w:sz w:val="21"/>
          <w:szCs w:val="21"/>
          <w:lang w:eastAsia="ru-RU"/>
        </w:rPr>
        <w:t>3.2. О достижимых радиальных электрических полях в плазменных линзах</w:t>
      </w:r>
    </w:p>
    <w:p w14:paraId="16D39B85" w14:textId="77777777" w:rsidR="00224249" w:rsidRPr="00224249" w:rsidRDefault="00224249" w:rsidP="00224249">
      <w:pPr>
        <w:rPr>
          <w:rFonts w:ascii="Helvetica" w:eastAsia="Symbol" w:hAnsi="Helvetica" w:cs="Helvetica"/>
          <w:b/>
          <w:bCs/>
          <w:color w:val="222222"/>
          <w:kern w:val="0"/>
          <w:sz w:val="21"/>
          <w:szCs w:val="21"/>
          <w:lang w:eastAsia="ru-RU"/>
        </w:rPr>
      </w:pPr>
      <w:r w:rsidRPr="00224249">
        <w:rPr>
          <w:rFonts w:ascii="Helvetica" w:eastAsia="Symbol" w:hAnsi="Helvetica" w:cs="Helvetica"/>
          <w:b/>
          <w:bCs/>
          <w:color w:val="222222"/>
          <w:kern w:val="0"/>
          <w:sz w:val="21"/>
          <w:szCs w:val="21"/>
          <w:lang w:eastAsia="ru-RU"/>
        </w:rPr>
        <w:t>ГЛАВА 1У. ОСОБЕННОСТИ ФОКУСИРОВКИ ИМПУЛЬСНЫХ</w:t>
      </w:r>
    </w:p>
    <w:p w14:paraId="4F01FCC8" w14:textId="77777777" w:rsidR="00224249" w:rsidRPr="00224249" w:rsidRDefault="00224249" w:rsidP="00224249">
      <w:pPr>
        <w:rPr>
          <w:rFonts w:ascii="Helvetica" w:eastAsia="Symbol" w:hAnsi="Helvetica" w:cs="Helvetica"/>
          <w:b/>
          <w:bCs/>
          <w:color w:val="222222"/>
          <w:kern w:val="0"/>
          <w:sz w:val="21"/>
          <w:szCs w:val="21"/>
          <w:lang w:eastAsia="ru-RU"/>
        </w:rPr>
      </w:pPr>
      <w:r w:rsidRPr="00224249">
        <w:rPr>
          <w:rFonts w:ascii="Helvetica" w:eastAsia="Symbol" w:hAnsi="Helvetica" w:cs="Helvetica"/>
          <w:b/>
          <w:bCs/>
          <w:color w:val="222222"/>
          <w:kern w:val="0"/>
          <w:sz w:val="21"/>
          <w:szCs w:val="21"/>
          <w:lang w:eastAsia="ru-RU"/>
        </w:rPr>
        <w:t>ИОННЫХ ПУЧКОВ.</w:t>
      </w:r>
    </w:p>
    <w:p w14:paraId="1A4B58BA" w14:textId="77777777" w:rsidR="00224249" w:rsidRPr="00224249" w:rsidRDefault="00224249" w:rsidP="00224249">
      <w:pPr>
        <w:rPr>
          <w:rFonts w:ascii="Helvetica" w:eastAsia="Symbol" w:hAnsi="Helvetica" w:cs="Helvetica"/>
          <w:b/>
          <w:bCs/>
          <w:color w:val="222222"/>
          <w:kern w:val="0"/>
          <w:sz w:val="21"/>
          <w:szCs w:val="21"/>
          <w:lang w:eastAsia="ru-RU"/>
        </w:rPr>
      </w:pPr>
      <w:r w:rsidRPr="00224249">
        <w:rPr>
          <w:rFonts w:ascii="Helvetica" w:eastAsia="Symbol" w:hAnsi="Helvetica" w:cs="Helvetica"/>
          <w:b/>
          <w:bCs/>
          <w:color w:val="222222"/>
          <w:kern w:val="0"/>
          <w:sz w:val="21"/>
          <w:szCs w:val="21"/>
          <w:lang w:eastAsia="ru-RU"/>
        </w:rPr>
        <w:t>4.1. Динамика образования пространственного заряда.</w:t>
      </w:r>
    </w:p>
    <w:p w14:paraId="5797A9C4" w14:textId="77777777" w:rsidR="00224249" w:rsidRPr="00224249" w:rsidRDefault="00224249" w:rsidP="00224249">
      <w:pPr>
        <w:rPr>
          <w:rFonts w:ascii="Helvetica" w:eastAsia="Symbol" w:hAnsi="Helvetica" w:cs="Helvetica"/>
          <w:b/>
          <w:bCs/>
          <w:color w:val="222222"/>
          <w:kern w:val="0"/>
          <w:sz w:val="21"/>
          <w:szCs w:val="21"/>
          <w:lang w:eastAsia="ru-RU"/>
        </w:rPr>
      </w:pPr>
      <w:r w:rsidRPr="00224249">
        <w:rPr>
          <w:rFonts w:ascii="Helvetica" w:eastAsia="Symbol" w:hAnsi="Helvetica" w:cs="Helvetica"/>
          <w:b/>
          <w:bCs/>
          <w:color w:val="222222"/>
          <w:kern w:val="0"/>
          <w:sz w:val="21"/>
          <w:szCs w:val="21"/>
          <w:lang w:eastAsia="ru-RU"/>
        </w:rPr>
        <w:t>4.2. Самофокусировка пучка в режиме без внешних потенциалов на электродах линзы.</w:t>
      </w:r>
    </w:p>
    <w:p w14:paraId="7058A801" w14:textId="77777777" w:rsidR="00224249" w:rsidRPr="00224249" w:rsidRDefault="00224249" w:rsidP="00224249">
      <w:pPr>
        <w:rPr>
          <w:rFonts w:ascii="Helvetica" w:eastAsia="Symbol" w:hAnsi="Helvetica" w:cs="Helvetica"/>
          <w:b/>
          <w:bCs/>
          <w:color w:val="222222"/>
          <w:kern w:val="0"/>
          <w:sz w:val="21"/>
          <w:szCs w:val="21"/>
          <w:lang w:eastAsia="ru-RU"/>
        </w:rPr>
      </w:pPr>
      <w:r w:rsidRPr="00224249">
        <w:rPr>
          <w:rFonts w:ascii="Helvetica" w:eastAsia="Symbol" w:hAnsi="Helvetica" w:cs="Helvetica"/>
          <w:b/>
          <w:bCs/>
          <w:color w:val="222222"/>
          <w:kern w:val="0"/>
          <w:sz w:val="21"/>
          <w:szCs w:val="21"/>
          <w:lang w:eastAsia="ru-RU"/>
        </w:rPr>
        <w:t>ГЛАВА У. КОЛЛЕКТИВНЫЕ КОЛЕБАНИЯ В ПЛАЗМЕННОЙ ЛИНЗЕ.</w:t>
      </w:r>
    </w:p>
    <w:p w14:paraId="14322C78" w14:textId="77777777" w:rsidR="00224249" w:rsidRPr="00224249" w:rsidRDefault="00224249" w:rsidP="00224249">
      <w:pPr>
        <w:rPr>
          <w:rFonts w:ascii="Helvetica" w:eastAsia="Symbol" w:hAnsi="Helvetica" w:cs="Helvetica"/>
          <w:b/>
          <w:bCs/>
          <w:color w:val="222222"/>
          <w:kern w:val="0"/>
          <w:sz w:val="21"/>
          <w:szCs w:val="21"/>
          <w:lang w:eastAsia="ru-RU"/>
        </w:rPr>
      </w:pPr>
      <w:r w:rsidRPr="00224249">
        <w:rPr>
          <w:rFonts w:ascii="Helvetica" w:eastAsia="Symbol" w:hAnsi="Helvetica" w:cs="Helvetica"/>
          <w:b/>
          <w:bCs/>
          <w:color w:val="222222"/>
          <w:kern w:val="0"/>
          <w:sz w:val="21"/>
          <w:szCs w:val="21"/>
          <w:lang w:eastAsia="ru-RU"/>
        </w:rPr>
        <w:t>5.1, Диокотронная неустойчивость в линзе.</w:t>
      </w:r>
    </w:p>
    <w:p w14:paraId="63E0C60B" w14:textId="77777777" w:rsidR="00224249" w:rsidRPr="00224249" w:rsidRDefault="00224249" w:rsidP="00224249">
      <w:pPr>
        <w:rPr>
          <w:rFonts w:ascii="Helvetica" w:eastAsia="Symbol" w:hAnsi="Helvetica" w:cs="Helvetica"/>
          <w:b/>
          <w:bCs/>
          <w:color w:val="222222"/>
          <w:kern w:val="0"/>
          <w:sz w:val="21"/>
          <w:szCs w:val="21"/>
          <w:lang w:eastAsia="ru-RU"/>
        </w:rPr>
      </w:pPr>
      <w:r w:rsidRPr="00224249">
        <w:rPr>
          <w:rFonts w:ascii="Helvetica" w:eastAsia="Symbol" w:hAnsi="Helvetica" w:cs="Helvetica"/>
          <w:b/>
          <w:bCs/>
          <w:color w:val="222222"/>
          <w:kern w:val="0"/>
          <w:sz w:val="21"/>
          <w:szCs w:val="21"/>
          <w:lang w:eastAsia="ru-RU"/>
        </w:rPr>
        <w:t>5.2. Электрон-ионная неустойчивость</w:t>
      </w:r>
    </w:p>
    <w:p w14:paraId="411A74A7" w14:textId="77777777" w:rsidR="00224249" w:rsidRPr="00224249" w:rsidRDefault="00224249" w:rsidP="00224249">
      <w:pPr>
        <w:rPr>
          <w:rFonts w:ascii="Helvetica" w:eastAsia="Symbol" w:hAnsi="Helvetica" w:cs="Helvetica"/>
          <w:b/>
          <w:bCs/>
          <w:color w:val="222222"/>
          <w:kern w:val="0"/>
          <w:sz w:val="21"/>
          <w:szCs w:val="21"/>
          <w:lang w:eastAsia="ru-RU"/>
        </w:rPr>
      </w:pPr>
      <w:r w:rsidRPr="00224249">
        <w:rPr>
          <w:rFonts w:ascii="Helvetica" w:eastAsia="Symbol" w:hAnsi="Helvetica" w:cs="Helvetica"/>
          <w:b/>
          <w:bCs/>
          <w:color w:val="222222"/>
          <w:kern w:val="0"/>
          <w:sz w:val="21"/>
          <w:szCs w:val="21"/>
          <w:lang w:eastAsia="ru-RU"/>
        </w:rPr>
        <w:t>5.3. Влияние колебаний на фокусировку ионного пучка.</w:t>
      </w:r>
    </w:p>
    <w:p w14:paraId="3869883D" w14:textId="60BA7A88" w:rsidR="00F11235" w:rsidRPr="00224249" w:rsidRDefault="00F11235" w:rsidP="00224249"/>
    <w:sectPr w:rsidR="00F11235" w:rsidRPr="0022424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151B8" w14:textId="77777777" w:rsidR="00D1270F" w:rsidRDefault="00D1270F">
      <w:pPr>
        <w:spacing w:after="0" w:line="240" w:lineRule="auto"/>
      </w:pPr>
      <w:r>
        <w:separator/>
      </w:r>
    </w:p>
  </w:endnote>
  <w:endnote w:type="continuationSeparator" w:id="0">
    <w:p w14:paraId="203A41BA" w14:textId="77777777" w:rsidR="00D1270F" w:rsidRDefault="00D12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B55F4" w14:textId="77777777" w:rsidR="00D1270F" w:rsidRDefault="00D1270F"/>
    <w:p w14:paraId="7CCD47F5" w14:textId="77777777" w:rsidR="00D1270F" w:rsidRDefault="00D1270F"/>
    <w:p w14:paraId="6A4E70E5" w14:textId="77777777" w:rsidR="00D1270F" w:rsidRDefault="00D1270F"/>
    <w:p w14:paraId="5E4DFACC" w14:textId="77777777" w:rsidR="00D1270F" w:rsidRDefault="00D1270F"/>
    <w:p w14:paraId="709B5CBE" w14:textId="77777777" w:rsidR="00D1270F" w:rsidRDefault="00D1270F"/>
    <w:p w14:paraId="1341CFCD" w14:textId="77777777" w:rsidR="00D1270F" w:rsidRDefault="00D1270F"/>
    <w:p w14:paraId="5ECD98CD" w14:textId="77777777" w:rsidR="00D1270F" w:rsidRDefault="00D1270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3227D3" wp14:editId="382EBA6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750A0" w14:textId="77777777" w:rsidR="00D1270F" w:rsidRDefault="00D127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3227D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5750A0" w14:textId="77777777" w:rsidR="00D1270F" w:rsidRDefault="00D127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6BEC8F" w14:textId="77777777" w:rsidR="00D1270F" w:rsidRDefault="00D1270F"/>
    <w:p w14:paraId="175ED5A3" w14:textId="77777777" w:rsidR="00D1270F" w:rsidRDefault="00D1270F"/>
    <w:p w14:paraId="2C367DB9" w14:textId="77777777" w:rsidR="00D1270F" w:rsidRDefault="00D1270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B282F2" wp14:editId="2256633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A1EC4" w14:textId="77777777" w:rsidR="00D1270F" w:rsidRDefault="00D1270F"/>
                          <w:p w14:paraId="40AB2855" w14:textId="77777777" w:rsidR="00D1270F" w:rsidRDefault="00D127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B282F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EA1EC4" w14:textId="77777777" w:rsidR="00D1270F" w:rsidRDefault="00D1270F"/>
                    <w:p w14:paraId="40AB2855" w14:textId="77777777" w:rsidR="00D1270F" w:rsidRDefault="00D127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81DBD4" w14:textId="77777777" w:rsidR="00D1270F" w:rsidRDefault="00D1270F"/>
    <w:p w14:paraId="2DDB21A5" w14:textId="77777777" w:rsidR="00D1270F" w:rsidRDefault="00D1270F">
      <w:pPr>
        <w:rPr>
          <w:sz w:val="2"/>
          <w:szCs w:val="2"/>
        </w:rPr>
      </w:pPr>
    </w:p>
    <w:p w14:paraId="4AA6714F" w14:textId="77777777" w:rsidR="00D1270F" w:rsidRDefault="00D1270F"/>
    <w:p w14:paraId="6E55D0A4" w14:textId="77777777" w:rsidR="00D1270F" w:rsidRDefault="00D1270F">
      <w:pPr>
        <w:spacing w:after="0" w:line="240" w:lineRule="auto"/>
      </w:pPr>
    </w:p>
  </w:footnote>
  <w:footnote w:type="continuationSeparator" w:id="0">
    <w:p w14:paraId="307D39AF" w14:textId="77777777" w:rsidR="00D1270F" w:rsidRDefault="00D12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70F"/>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173823</TotalTime>
  <Pages>1</Pages>
  <Words>194</Words>
  <Characters>1111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5561</cp:revision>
  <cp:lastPrinted>2009-02-06T05:36:00Z</cp:lastPrinted>
  <dcterms:created xsi:type="dcterms:W3CDTF">2024-01-07T13:43:00Z</dcterms:created>
  <dcterms:modified xsi:type="dcterms:W3CDTF">2025-09-30T16:15:00Z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