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4B3B" w14:textId="1F9FBAFF" w:rsidR="008E3CE9" w:rsidRDefault="003524E7" w:rsidP="003524E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Тохидлу Гасем Абдоллах. Становление и развитие законодательства о выборах в представительные органы Таджикистана (1917-2015гг.)</w:t>
      </w:r>
      <w:bookmarkEnd w:id="0"/>
      <w:r>
        <w:rPr>
          <w:rFonts w:ascii="Verdana" w:hAnsi="Verdana"/>
          <w:color w:val="000000"/>
          <w:sz w:val="18"/>
          <w:szCs w:val="18"/>
          <w:shd w:val="clear" w:color="auto" w:fill="FFFFFF"/>
        </w:rPr>
        <w:t>: диссертация ... кандидата юридических наук: 12.00.01 / Тохидлу Гасем Абдоллах;[Место защиты: Таджикский национальный университет].- Душанбе, 2016.- 218 с.</w:t>
      </w:r>
    </w:p>
    <w:p w14:paraId="3739D2BB" w14:textId="77777777" w:rsidR="003524E7" w:rsidRPr="003524E7" w:rsidRDefault="003524E7" w:rsidP="003524E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524E7">
        <w:rPr>
          <w:rFonts w:ascii="Verdana" w:eastAsia="Times New Roman" w:hAnsi="Verdana" w:cs="Times New Roman"/>
          <w:b/>
          <w:bCs/>
          <w:color w:val="AC370B"/>
          <w:kern w:val="0"/>
          <w:sz w:val="23"/>
          <w:szCs w:val="23"/>
          <w:lang w:eastAsia="ru-RU"/>
        </w:rPr>
        <w:t>Содержание к диссертации</w:t>
      </w:r>
    </w:p>
    <w:p w14:paraId="40561BB0"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Введение</w:t>
      </w:r>
    </w:p>
    <w:p w14:paraId="4270FAEA"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24E7">
        <w:rPr>
          <w:rFonts w:ascii="Verdana" w:eastAsia="Times New Roman" w:hAnsi="Verdana" w:cs="Times New Roman"/>
          <w:b/>
          <w:bCs/>
          <w:color w:val="000000"/>
          <w:kern w:val="0"/>
          <w:sz w:val="18"/>
          <w:szCs w:val="18"/>
          <w:lang w:eastAsia="ru-RU"/>
        </w:rPr>
        <w:t>ГЛАВА 1. Историко-теоретические основы законодательства о выборах в представительные органы РТ 20</w:t>
      </w:r>
    </w:p>
    <w:p w14:paraId="0356C3E5"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1.1. Становление и развитие законодательства о выборах в представительные органы в Советском Таджикистане 20</w:t>
      </w:r>
    </w:p>
    <w:p w14:paraId="32A5D659"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1.2. Избирательная система Советского Таджикистана как результат реализации законодательства о выборах в представительные органы государственной власти 62</w:t>
      </w:r>
    </w:p>
    <w:p w14:paraId="1F1CE9FA"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24E7">
        <w:rPr>
          <w:rFonts w:ascii="Verdana" w:eastAsia="Times New Roman" w:hAnsi="Verdana" w:cs="Times New Roman"/>
          <w:b/>
          <w:bCs/>
          <w:color w:val="000000"/>
          <w:kern w:val="0"/>
          <w:sz w:val="18"/>
          <w:szCs w:val="18"/>
          <w:lang w:eastAsia="ru-RU"/>
        </w:rPr>
        <w:t>ГЛАВА 2. Состояние, принципы, проблемы и тенденции развития законодательства рт о выборах в представительные органы в условиях суверенного развития 92</w:t>
      </w:r>
    </w:p>
    <w:p w14:paraId="3348E6E6"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2.1. Состояние законодательства о выборах в представительные органы Республики Таджикистан 92</w:t>
      </w:r>
    </w:p>
    <w:p w14:paraId="0ECEDF8C"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2.2. Основные принципы и проблемы формирования законодательства о выборах в представительные органы Республики Таджикистан 127</w:t>
      </w:r>
    </w:p>
    <w:p w14:paraId="3162B71B"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2.3. О роли политических партий в формировании представительных органов РТ и институционализации законодательства о выборах в эти органы 138</w:t>
      </w:r>
    </w:p>
    <w:p w14:paraId="331757F5"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2.4. Тенденции и перспективы развития законодательства о выборах в представительные органы РТ 174</w:t>
      </w:r>
    </w:p>
    <w:p w14:paraId="219620FB"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Заключение 184</w:t>
      </w:r>
    </w:p>
    <w:p w14:paraId="177C01E5" w14:textId="77777777" w:rsidR="003524E7" w:rsidRPr="003524E7" w:rsidRDefault="003524E7" w:rsidP="003524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4E7">
        <w:rPr>
          <w:rFonts w:ascii="Verdana" w:eastAsia="Times New Roman" w:hAnsi="Verdana" w:cs="Times New Roman"/>
          <w:color w:val="000000"/>
          <w:kern w:val="0"/>
          <w:sz w:val="18"/>
          <w:szCs w:val="18"/>
          <w:lang w:eastAsia="ru-RU"/>
        </w:rPr>
        <w:t>Список использованных источников и литературы</w:t>
      </w:r>
    </w:p>
    <w:p w14:paraId="4602741C" w14:textId="77777777" w:rsidR="003524E7" w:rsidRDefault="003524E7" w:rsidP="003524E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72D3F12" w14:textId="77777777" w:rsidR="003524E7" w:rsidRDefault="003524E7" w:rsidP="003524E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диссертационной работы</w:t>
      </w:r>
      <w:r>
        <w:rPr>
          <w:rStyle w:val="apple-converted-space"/>
          <w:rFonts w:ascii="Verdana" w:hAnsi="Verdana"/>
          <w:color w:val="000000"/>
          <w:sz w:val="18"/>
          <w:szCs w:val="18"/>
        </w:rPr>
        <w:t> </w:t>
      </w:r>
      <w:r>
        <w:rPr>
          <w:rFonts w:ascii="Verdana" w:hAnsi="Verdana"/>
          <w:color w:val="000000"/>
          <w:sz w:val="18"/>
          <w:szCs w:val="18"/>
        </w:rPr>
        <w:t>определяется тем, что анализ феномена становления и развития законодательства о выборах в представительные органы Республики Таджикистан (далее - РТ) и множественности форм ее проявления относился и относится к числу сверхсложных проблем государственно-правовой теории и практики. Да и построение и продвижение демократического, правового, светского и социального государства в Таджикистане без глубокого изучения эволюции избирательного права в целом, законодательного обеспечения и развития организуемых в стране выборов в представительные органы РТ, как ведущего звена демократического правления, развития парламентаризма в стране представляется немыслимым. Более того, парламентаризм как теория и практика организации и функционирования парламента и других представительных органов «является для Республики Таджикистан новым, не до конца еще познанным и реализованным» (З. Ализода).</w:t>
      </w:r>
    </w:p>
    <w:p w14:paraId="4DD97AC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тому же реально адекватное обеспечение конституционно закрепленных прав и свобод человека и гражданина (избирать и быть избранным), является одной из основных целей построения правового государства. А выявление наиболее общих ведущих закономерностей и особенностей становления и развития законодательного обеспечения выборов в представительные органы РТ, с учетом того, что среди любых правовых актов, в особенности нормативных, любого государства Конституция и законы, устанавливающие статус представительных органов и института выборов в эти органы, занимают особое место и выступают в качестве одной из общепризнанных платформ сосуществования общества и государства, представляют собой официальное выражение публичных интересов, и, в частности, государственных интересов РТ, приобретает особо актуальное значение.</w:t>
      </w:r>
    </w:p>
    <w:p w14:paraId="2B479A41"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 другой стороны, на современном переходном этапе развития РТ, как и других стран СНГ, «процессы государственно-правового строительства нередко напоминают метод проб и ошибок» (Дж.М. Зоиров). Поэтому исследование исторической эволюции законодательного обеспечения и развития выборов в представительные органы РТ, особенно с позиций истории права и сравнительно-правового исследования, не только дает возможность для более углубленного изучения развития данного конкретного правового института в данной конкретной стране, но и способствует научно обоснованному выявлению и систематизации проблем формирования и развития законодательства о представительных органах власти РТ и его дальнейшему совершенствованию.</w:t>
      </w:r>
    </w:p>
    <w:p w14:paraId="74F57C69"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и то, что современное теоретическое государствоведение рассматривает институты законодательства о выборах и сами выборы в представительные органы не только и не столько как важный элемент продвижения демократии, сколько как основу демократического правления и развития в целом. Важнейшее место в этом процессе занимают выборы, посредством которых реализуется избирательное право в целом, и</w:t>
      </w:r>
    </w:p>
    <w:p w14:paraId="08B2CF5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законодательное обеспечение и развитие выборов в представительные органы государственной власти (далее - ПОГВ) РТ, в частности.</w:t>
      </w:r>
    </w:p>
    <w:p w14:paraId="4EC823FA"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Законодательное обеспечение и развитие выборов является основным инструментом реализации суверенитета народа, развития общественного мнения, обеспечения стабильности и эффективности функционирования государственного механизма. Не случайно, что в новой Конституции РТ 1994 г. (ст. 6) народ однозначно провозглашается носителем суверенитета и единственным источником государственной власти. Ясно, что власть народа осуществляется через выборы и референдумы, так как именно посредством формирования системы власти, в особенности представительных органов, реализации избирательного права, граждане, используя в то же время и другие политические права и свободы, принимают участие в управлении государственными и общественными делами.</w:t>
      </w:r>
    </w:p>
    <w:p w14:paraId="6F190795"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рассмотрение и глубокий анализ исторической эволюции законодательства о представительных органах РТ, на фоне этой тенденции и возросшего внимания в странах СНГ, в частности и в РТ, к законодательству о представительных органах как к явлению в общественной жизни, - это не только свидетельство осознания гражданским обществом ее громадной роли, но и </w:t>
      </w:r>
      <w:r>
        <w:rPr>
          <w:rFonts w:ascii="Verdana" w:hAnsi="Verdana"/>
          <w:color w:val="000000"/>
          <w:sz w:val="18"/>
          <w:szCs w:val="18"/>
        </w:rPr>
        <w:lastRenderedPageBreak/>
        <w:t>твердой необходимости и насущной потребности идти по пути развития законодательства о представительных органах РТ. Ведь, как правильно отмечает И.Б. Буриев, изучение истории государственных и правовых институтов - «необходимый элемент нашей правовой культуры, исторической памяти». Отталкиваясь от исторических основ, «мы более осознанно можем решать возникшие проблемы и трудности современного общества». А это, в свою очередь, делает изучение рассматриваемой темы в любой стране, и, конечно, в Таджикистане, поистине конструктивной научной идеей и позицией, могущей быть определяющим фактором законодательного, правового развития страны.</w:t>
      </w:r>
    </w:p>
    <w:p w14:paraId="2E44D03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много лет назад О.И. Чистяков отмечал, что «в нашей стране (имея в виду Союз ССР) история национально-государственного строительства изучена и изучается больше всего. Удовлетворительно исследуются проблемы развития государства и права в СССР в период перехода от капитализма к социализму, т. е. проблемы истории государства и права диктатуры пролетариата. При этом больше внимания уделяется первым периодам истории нашего государства, в основном Октябрю и гражданской войне, несколько меньше – восстановительному периоду. Что касается изучения истории развития тех или иных проблем, то можно отметить «закономерность, что степень исследованности убывает по мере приближения к современности». Это касается, в частности, и исследования законодательного обеспечения и развития выборов в ПОГВ РТ,</w:t>
      </w:r>
      <w:r>
        <w:rPr>
          <w:rStyle w:val="apple-converted-space"/>
          <w:rFonts w:ascii="Verdana" w:hAnsi="Verdana"/>
          <w:color w:val="000000"/>
          <w:sz w:val="18"/>
          <w:szCs w:val="18"/>
        </w:rPr>
        <w:t> </w:t>
      </w:r>
      <w:r>
        <w:rPr>
          <w:rStyle w:val="af2"/>
          <w:rFonts w:ascii="Verdana" w:hAnsi="Verdana"/>
          <w:color w:val="000000"/>
          <w:sz w:val="18"/>
          <w:szCs w:val="18"/>
        </w:rPr>
        <w:t>что имеет и научное, и практическое, и эмпирическое значение.</w:t>
      </w:r>
    </w:p>
    <w:p w14:paraId="20F3EBC0"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значение законодательства о выборах обусловлено рядом обстоятельств: так, только через выборы можно сформировать дееспособные и компетентные органы власти, могущие охранять и обеспечивать интересы населения; именно выборы в течение многих лет, и даже веков, остаются единственной формой участия населения в управлении делами государства и</w:t>
      </w:r>
    </w:p>
    <w:p w14:paraId="48A7F99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общества. Это означает и убеждает в том, что тема диссертационного исследования «Становление и развитие законодательства о представительных органах Таджикистана»</w:t>
      </w:r>
      <w:r>
        <w:rPr>
          <w:rStyle w:val="apple-converted-space"/>
          <w:rFonts w:ascii="Verdana" w:hAnsi="Verdana"/>
          <w:color w:val="000000"/>
          <w:sz w:val="18"/>
          <w:szCs w:val="18"/>
        </w:rPr>
        <w:t> </w:t>
      </w:r>
      <w:r>
        <w:rPr>
          <w:rStyle w:val="af2"/>
          <w:rFonts w:ascii="Verdana" w:hAnsi="Verdana"/>
          <w:color w:val="000000"/>
          <w:sz w:val="18"/>
          <w:szCs w:val="18"/>
        </w:rPr>
        <w:t>актуальна, практически и теоретически значима.</w:t>
      </w:r>
    </w:p>
    <w:p w14:paraId="6F1E2131"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течение более чем двух десятков лет постсоветского развития происходящие коренные изменения в праве, законодательстве и юридическом мышлении, неоднозначность и неадекватность освещенности вопросов становления и развития законодательства о представительных органах РТ и стран СНГ, необходимость в осмыслении и новом концептуальном видении происходящих процессов и тенденций делают исследование темы о становлении и развитии законодательства о представительных органах РТ одним из насущных велений нашего времени.</w:t>
      </w:r>
    </w:p>
    <w:p w14:paraId="71EC35C1"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изученности исследования,</w:t>
      </w:r>
      <w:r>
        <w:rPr>
          <w:rStyle w:val="apple-converted-space"/>
          <w:rFonts w:ascii="Verdana" w:hAnsi="Verdana"/>
          <w:color w:val="000000"/>
          <w:sz w:val="18"/>
          <w:szCs w:val="18"/>
        </w:rPr>
        <w:t> </w:t>
      </w:r>
      <w:r>
        <w:rPr>
          <w:rFonts w:ascii="Verdana" w:hAnsi="Verdana"/>
          <w:color w:val="000000"/>
          <w:sz w:val="18"/>
          <w:szCs w:val="18"/>
        </w:rPr>
        <w:t>прежде всего, вызывает интерес тем, что если сама практика выборов в представительные органы в Таджикистане уже имеет историю в несколько десятков лет, то вопросы законодательного обеспечения и развития выборов в ПОГВ РТ стали предметом более пристального внимания ученых только в начале XXI века.</w:t>
      </w:r>
    </w:p>
    <w:p w14:paraId="0DD72F1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Справедливости ради следует отметить, что первые работы и обобщения о выборах в представительные органы в бывшем Советском Таджикистане оказались в сфере изучения ученых-юристов РТ с начала 60-х годов XX века. И прежде всего - в работах С.А. Раджабова, Ф.Т. Тахирова, </w:t>
      </w:r>
      <w:r>
        <w:rPr>
          <w:rFonts w:ascii="Verdana" w:hAnsi="Verdana"/>
          <w:color w:val="000000"/>
          <w:sz w:val="18"/>
          <w:szCs w:val="18"/>
        </w:rPr>
        <w:lastRenderedPageBreak/>
        <w:t>Х.К. Андрусенко, Н. Бободжонова, А.И. Имомова, Л.И. Зиминой, А.М. Мавлянова, С.Р. Раджабова, С.М. Касымова и др.</w:t>
      </w:r>
    </w:p>
    <w:p w14:paraId="13374B1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становления и развития законодательства о выборах в представительные органы в бывшем Советском Таджикистане освещены в общих работах в связи с исследованием других проблем в научных работах Р.С. Гимпелевича, А.А. Гордиенко, В.Г. Гранберга, Н.Д. Дегтяренко, М. Искандарова, Ш. Разыкова, А.И. Сонина, Л.С. Явича, советского и постсоветского Таджикистана - в отдельных работах А. Абдуджалилова, Г.С. Азизкуловой, З. Ализода, Н. Бободжанова, И.Б. Буриева, Б.С. Гадоева, М.Х. Джалилова, А.М. Зарецкого, Дж.М. Зоирова, Р.Х. Зойирова, Ш.М. Исмаилова, М.А. Махмудова, А.Р. Нематова, Б.Х. Раззокова, М.З. Рахимова, О.У. Усманова, К.Н. Холикова, Р. Холикова, Х. Хамидова, Д.Х. Эльназарова и др.</w:t>
      </w:r>
    </w:p>
    <w:p w14:paraId="4B47BBB8"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Отдельным аспектам исследуемой проблемы посвятили свои работы, в частности, диссертационные, ученые второй полов</w:t>
      </w:r>
      <w:r>
        <w:rPr>
          <w:rFonts w:ascii="Verdana" w:hAnsi="Verdana"/>
          <w:color w:val="000000"/>
          <w:sz w:val="18"/>
          <w:szCs w:val="18"/>
          <w:u w:val="single"/>
        </w:rPr>
        <w:t>ины ХХ века, ча</w:t>
      </w:r>
      <w:r>
        <w:rPr>
          <w:rFonts w:ascii="Verdana" w:hAnsi="Verdana"/>
          <w:color w:val="000000"/>
          <w:sz w:val="18"/>
          <w:szCs w:val="18"/>
        </w:rPr>
        <w:t>сть из них трудятся и сегодня. Среди них - Ф.Т. Тахиров,</w:t>
      </w:r>
      <w:r>
        <w:rPr>
          <w:rStyle w:val="apple-converted-space"/>
          <w:rFonts w:ascii="Verdana" w:hAnsi="Verdana"/>
          <w:color w:val="000000"/>
          <w:sz w:val="18"/>
          <w:szCs w:val="18"/>
        </w:rPr>
        <w:t> </w:t>
      </w:r>
      <w:r>
        <w:rPr>
          <w:rFonts w:ascii="Verdana" w:hAnsi="Verdana"/>
          <w:color w:val="000000"/>
          <w:sz w:val="18"/>
          <w:szCs w:val="18"/>
          <w:u w:val="single"/>
        </w:rPr>
        <w:t>Х.К. Андрусенко</w:t>
      </w:r>
      <w:r>
        <w:rPr>
          <w:rFonts w:ascii="Verdana" w:hAnsi="Verdana"/>
          <w:color w:val="000000"/>
          <w:sz w:val="18"/>
          <w:szCs w:val="18"/>
        </w:rPr>
        <w:t>, Л.И.</w:t>
      </w:r>
    </w:p>
    <w:p w14:paraId="19F954F1"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Зимина, Т. Орипов, Г. Сатторов, Р. Халиков и др., а также ученые периода государственной независимости РТ – Б. Аминджанов, Б.С. Гадоев, М.С. Гафуров, А.М. Диноршоев, А. Достиев, А.Х. Маликова, К.Т. Мухторов, А.Р. Нематов, А.А. Сайфиддинов, Ш. Хакимов и др.</w:t>
      </w:r>
    </w:p>
    <w:p w14:paraId="0D3C65E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независимого развития РТ появились сборники научных трудов специального, отраслевого характера, в том числе авторские, и, наконец, учебники по отраслям права РТ для вузов. Из научных исследований последних лет следует выделить работы З. Ализода, М. Дододжанова и А. Сайфиддинова.</w:t>
      </w:r>
    </w:p>
    <w:p w14:paraId="611D821D"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Разработан и опубликован ряд учебников по теории и истории государства и права, принадлежащих перу таджикских авторов, соответственно Р.Ш. Сативалдыева (по теории), И. Буриева, Ф.Т. Тахирова, А. Холикова и др. И, наконец, в 2015 г. историко-правовая наука РТ обогатилась первой фундаментальной хрестоматией, составителем которой является Ф.Т. Тахиров.</w:t>
      </w:r>
    </w:p>
    <w:p w14:paraId="44158BC5"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 дискуссионных и научно значимых вопросов законодательного обеспечения и развития выборов было поднято представителями научной общественности, как в ходе происходившей в стране правовой реформы, так и, особенно, в процессе внесения изменений и дополнений в Конституцию РТ 1994 г., проходившем в два этапа - в 1999 и 2003 гг. В то же время ряд вопросов, касающихся законодательного обеспечения и развития выборов в представительные органы РТ, в монографическом виде до сих пор еще не был предметом специального исследования.</w:t>
      </w:r>
    </w:p>
    <w:p w14:paraId="099FDA5D"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Специфичность степени изученности исследуемой проблемы связана и с</w:t>
      </w:r>
      <w:r>
        <w:rPr>
          <w:rStyle w:val="apple-converted-space"/>
          <w:rFonts w:ascii="Verdana" w:hAnsi="Verdana"/>
          <w:color w:val="000000"/>
          <w:sz w:val="18"/>
          <w:szCs w:val="18"/>
        </w:rPr>
        <w:t> </w:t>
      </w:r>
      <w:r>
        <w:rPr>
          <w:rStyle w:val="af2"/>
          <w:rFonts w:ascii="Verdana" w:hAnsi="Verdana"/>
          <w:color w:val="000000"/>
          <w:sz w:val="18"/>
          <w:szCs w:val="18"/>
        </w:rPr>
        <w:t>хронологическими рамками исследования</w:t>
      </w:r>
      <w:r>
        <w:rPr>
          <w:rFonts w:ascii="Verdana" w:hAnsi="Verdana"/>
          <w:color w:val="000000"/>
          <w:sz w:val="18"/>
          <w:szCs w:val="18"/>
        </w:rPr>
        <w:t>, так как её рамки охватывают советский период и период становления РТ как суверенного государства, в особенности на основе действующей Конституции РТ, т.е. в современный период. Кроме того, эти процессы рассматриваются в диссертационном исследовании, главным образом, в двух аспектах: историко-правовом и сравнительно-правовом.</w:t>
      </w:r>
    </w:p>
    <w:p w14:paraId="5488D470"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Теоретические основы исследования</w:t>
      </w:r>
      <w:r>
        <w:rPr>
          <w:rStyle w:val="apple-converted-space"/>
          <w:rFonts w:ascii="Verdana" w:hAnsi="Verdana"/>
          <w:color w:val="000000"/>
          <w:sz w:val="18"/>
          <w:szCs w:val="18"/>
        </w:rPr>
        <w:t> </w:t>
      </w:r>
      <w:r>
        <w:rPr>
          <w:rFonts w:ascii="Verdana" w:hAnsi="Verdana"/>
          <w:color w:val="000000"/>
          <w:sz w:val="18"/>
          <w:szCs w:val="18"/>
        </w:rPr>
        <w:t>имеют своим источником теорию представительной системы власти и выборов в эти органы, основы которой были заложены в трудах ученых эпохи буржуазных революций и становления конституционализма и парламентаризма из Великобритании, Франции, США, Германии, в частности, крупными представителями западной теории представительных органов власти ХХ века. Сюда же следует отнести ученых дореволюционной России и начала эпохи советской власти.</w:t>
      </w:r>
    </w:p>
    <w:p w14:paraId="204A9E70"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ученых России и стран СНГ второй половины двадцатого века и на современном этапе назовем С.А. Авакьяна, А. Агзамходжаева, М.В. Баглая, С.В. Боботова, В.А. Власихина, С.З.Зиманова, Д.Л.Златопольского, И.П. Ильинского, И.А. Исаева, А.И. Ишанова, Р.К. Каюмова, Е.И. Колюшина, А.П. Косицына, В.Т. Котока, Н.С. Крылова, Б.С. Крылова, М.А. Крутоголова, М.И. Кукушкина, Ю.С. Кукушкина, В.М. Курыцина, Ю.И. Лейбо, В.В. Маклакова, А.Х. Махненко, Н.А. Михалевой, А.А. Мишина, Р.С. Мулукаева, В.А. Рыжова, В.А. Савельева, А.Х. Саидова, В.П. Серебренникова, Н.А. Сидорова, Б.А. Страшуна, У. Таджиханова, Б.Н. Топорнина, Ш. Уразаева, Ю.П. Урьяса, Н.П. Фарберова, И.Е. Фарбера, О.И. Чистякова, Ю.Л.Шульженко, Л.М. Энтина, Ю.А. Юдина и др.</w:t>
      </w:r>
    </w:p>
    <w:p w14:paraId="69ACE8A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даёт возможность сделать вывод, что при наличии достаточно большого количества опубликованной литературы, в определенной степени рассматривающей те или иные вопросы эволюции законодательства о представительных органах РТ, в то же время в Таджикистане еще нет ни одной комплексной монографической работы,</w:t>
      </w:r>
    </w:p>
    <w:p w14:paraId="29674BA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посвященной исследуемой проблеме. Именно поэтому в данной работе указанный круг вопросов и стал предметом диссертационного исследования.</w:t>
      </w:r>
      <w:r>
        <w:rPr>
          <w:rStyle w:val="apple-converted-space"/>
          <w:rFonts w:ascii="Verdana" w:hAnsi="Verdana"/>
          <w:color w:val="000000"/>
          <w:sz w:val="18"/>
          <w:szCs w:val="18"/>
        </w:rPr>
        <w:t> </w:t>
      </w:r>
      <w:r>
        <w:rPr>
          <w:rStyle w:val="af2"/>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составляет вся совокупность общественных отношений, нормативных, правовых и иных источников, научно-теоретической базы в аспекте законодательного обеспечения и развития выборов в представительные органы Таджикистана в рассматриваемый период.</w:t>
      </w:r>
    </w:p>
    <w:p w14:paraId="7ACF1E56"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составили общеметодологический и историко-теоретический анализ истории и проблем законодательного обеспечения и развития выборов в представительные органы в Таджикистане.</w:t>
      </w:r>
    </w:p>
    <w:p w14:paraId="76CBB80F"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 xml:space="preserve">исследования составил, прежде всего, методологический инструментарий, находящийся в распоряжении историков права и компаративистов. Конечно, как и в любом юридическом исследовании, в нашей работе применяется метод формально-логического анализа, который необходим для уяснения и разъяснения, соответственно, толкования содержания исследуемых нормативных материалов. Этому соответствует и исторический подход, который предполагает выявление тех исторических обстоятельств которые обусловили изучаемые правовые явления. И естественно, что выявление социальной эффективности и реальной роли историко-теоретических и сравнительно-правовых исследований немыслимо без основательных социологических обобщений, тщательного изучения правовой практики и статистики и т.п. Постановка исследовательских задач и выбор путей их решения также требуют применения системно-структурного анализа, более широкого системного подхода. Конечно же, особое значение </w:t>
      </w:r>
      <w:r>
        <w:rPr>
          <w:rFonts w:ascii="Verdana" w:hAnsi="Verdana"/>
          <w:color w:val="000000"/>
          <w:sz w:val="18"/>
          <w:szCs w:val="18"/>
        </w:rPr>
        <w:lastRenderedPageBreak/>
        <w:t>в ходе нашего исследования имеет сравнительный, т.е. компаративный, метод исследования. И, безусловно, основу методологии настоящей работы составляют историко-правовой и сравнительно-правовой методы, взятые в единстве.</w:t>
      </w:r>
    </w:p>
    <w:p w14:paraId="00610A2B"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Источниковая база исследования</w:t>
      </w:r>
      <w:r>
        <w:rPr>
          <w:rStyle w:val="apple-converted-space"/>
          <w:rFonts w:ascii="Verdana" w:hAnsi="Verdana"/>
          <w:color w:val="000000"/>
          <w:sz w:val="18"/>
          <w:szCs w:val="18"/>
        </w:rPr>
        <w:t> </w:t>
      </w:r>
      <w:r>
        <w:rPr>
          <w:rFonts w:ascii="Verdana" w:hAnsi="Verdana"/>
          <w:color w:val="000000"/>
          <w:sz w:val="18"/>
          <w:szCs w:val="18"/>
        </w:rPr>
        <w:t>опирается на большой нормативно-правовой материал, начиная от нормативных правовых актов первых лет советской власти, включая Конституции РСФСР, Туркестана и Бухары, Конституции Таджикистана 1929, 1931, 1937, 1978 и 1994 гг., разработку и принятие иных актов в области выборов в представительные органы РТ, изменения и дополнения в Основной закон и другие законодательные акты о выборах. Кроме того, нами изучены все нормативные правовые акты (НПА), связанные с избирательным правом и избирательной системой - законы и другие нормативные правовые акты о выборах в органы государственной власти РТ различных уровней, и для сравнения - ряда других государств.</w:t>
      </w:r>
    </w:p>
    <w:p w14:paraId="25CFCAB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нами также использован достаточно широкий круг научных и научно-популярных публикаций, опубликованных сборников документов, в особенности архивных источников, значительная часть которых впервые была введена в научный оборот.</w:t>
      </w:r>
    </w:p>
    <w:p w14:paraId="2F9FD58D"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 и задачи работы</w:t>
      </w:r>
      <w:r>
        <w:rPr>
          <w:rStyle w:val="apple-converted-space"/>
          <w:rFonts w:ascii="Verdana" w:hAnsi="Verdana"/>
          <w:color w:val="000000"/>
          <w:sz w:val="18"/>
          <w:szCs w:val="18"/>
        </w:rPr>
        <w:t> </w:t>
      </w:r>
      <w:r>
        <w:rPr>
          <w:rFonts w:ascii="Verdana" w:hAnsi="Verdana"/>
          <w:color w:val="000000"/>
          <w:sz w:val="18"/>
          <w:szCs w:val="18"/>
        </w:rPr>
        <w:t>определяются следующим образом. Основная цель - историко-теоретико-сравнительно-правовое исследование законодательного обеспечения и развития выборов о представительных</w:t>
      </w:r>
    </w:p>
    <w:p w14:paraId="21D03DA5"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органах Республики Таджикистан, имея в виду под последним период с 1917 по 2015 гг., т.е. советский и постсоветский Таджикистан.</w:t>
      </w:r>
    </w:p>
    <w:p w14:paraId="4CD997FD"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проведенной работы</w:t>
      </w:r>
      <w:r>
        <w:rPr>
          <w:rStyle w:val="apple-converted-space"/>
          <w:rFonts w:ascii="Verdana" w:hAnsi="Verdana"/>
          <w:color w:val="000000"/>
          <w:sz w:val="18"/>
          <w:szCs w:val="18"/>
        </w:rPr>
        <w:t> </w:t>
      </w:r>
      <w:r>
        <w:rPr>
          <w:rFonts w:ascii="Verdana" w:hAnsi="Verdana"/>
          <w:color w:val="000000"/>
          <w:sz w:val="18"/>
          <w:szCs w:val="18"/>
        </w:rPr>
        <w:t>закономерно определяются указанной целью и исходят из логики и методики её реализации, что обеспечило их объективное и системное раскрытие. Это:</w:t>
      </w:r>
    </w:p>
    <w:p w14:paraId="52A8B5D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Историко-теоретические основы законодательного обеспечения и развития выборов в представительные органы РТ;</w:t>
      </w:r>
    </w:p>
    <w:p w14:paraId="2D545597"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этапы, принципы и проблемы законодательного обеспечения и развития выборов в представительные органы РТ;</w:t>
      </w:r>
    </w:p>
    <w:p w14:paraId="176457F3"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институционализации и тенденций развития законодательного обеспечения выборов в представительные органы РТ.</w:t>
      </w:r>
    </w:p>
    <w:p w14:paraId="7F8ED3CC"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Разрешение указанных выше задач определило содержание диссертационного исследования, которое получило отражение в настоящей работе.</w:t>
      </w:r>
    </w:p>
    <w:p w14:paraId="2560471A"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прежде всего, в том, что в нем впервые с позиций историко-теоретико-сравнительно-правового методов и подходов осуществляется комплексное монографическое исследование законодательного обеспечения и развития выборов в ПОГВ РТ.</w:t>
      </w:r>
    </w:p>
    <w:p w14:paraId="79946C03"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Кроме того, элементы научной новизны содержатся в постановке вопросов и подходах к исследованию, а также в характере использованных источников, значительная часть которых также впервые вводится в научный оборот.</w:t>
      </w:r>
    </w:p>
    <w:p w14:paraId="4E009870"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несколько методов законадательства ИРИ связанные с выборам Собрания исламского совета с материалами Конституции и Закона о выборах ИРИ связаные с работой были сравнены в научный оборот во второй главе в сжатом виде.</w:t>
      </w:r>
    </w:p>
    <w:p w14:paraId="07E4E984"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73DF24D9"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1. Законодательство Таджикистана о выборах в представительные органы в процессе своего становления и развития прошло четыре неравномерных, противоречивых, но находящихся друг с другом в преемственной связи, этапов. Первый этап охватывает с 1918 по 1935 гг., когда, главным образом, происходило формирование представительных органов государственной власти в Таджикской ССР как системы и законодательства об этих органах. Юридическое оформление первого этапа было завершено на основе Конституции ТаджССР 1931 г., принятой в новой редакции в 1935 г. Второй этап ознаменовался формированием единой советской представительной системы - Советов депутатов трудящихся и новой системы выборов на основе Конституции Тадж ССР 1937 г., которая, как избирательная и представительная система, почти без изменений функционировала более 40 лет. Третий этап ознаменовался превращением представительной и избирательной систем в единую систему Советов народных депутатов как политическую основу государства, с конституционализацией коммунистической партии как «руководящей и направляющей силы», получив свое юридическое оформление в</w:t>
      </w:r>
    </w:p>
    <w:p w14:paraId="52958600"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ТаджССР 1978 г. На этом этапе, охватывающем период до 1994 г., постепенно началась демократизация и расширение избирательной системы и публичной власти, с постепенным разграничением представительной системы государственной власти (ПОГВ) и представительных органов местного самоуправления (ПОМС), в совокупности составляющих конструкцию представительных органов публичной власти (ПОПВ). Четвертый этап приходится на период принятия и реализации Конституции РТ от 6 ноября 1994 г., которая юридически закрепила наличие самостоятельных ПОГВ и ПОМС, с формированием законодательства о них, которое продолжается в настоящее время.</w:t>
      </w:r>
    </w:p>
    <w:p w14:paraId="4D42A0DD" w14:textId="77777777" w:rsidR="003524E7" w:rsidRDefault="003524E7" w:rsidP="0095727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 первом этапе произошла институционализация представительной системы как советской власти; на втором этапе – институционализация института выборов в представительные органы государственной власти (ПОГВ) как правового института, без выделения из этого института местного самоуправления; на третьем этапе произошло постепенное выделение института местного самоуправления из системы ПОГВ, и на четвертом этапе произошла институционализация представительных органов местного самоуправления (ПОМС), и ныне происходит формирование законодательства о ПОМС как правового института.</w:t>
      </w:r>
    </w:p>
    <w:p w14:paraId="10222996" w14:textId="77777777" w:rsidR="003524E7" w:rsidRDefault="003524E7" w:rsidP="0095727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Каждый из отмеченных этапов развития законодательства о выборах в представительные органы имел свою существенную специфику и закономерности. На первом этапе это было сохранение ограничений по социально-классовому признаку и ряд других отступлений от демократических принципов избирательного права, которые детерминировались закономерностями развития правовой системы ТаджССР. На втором этапе вводилось всеобщее, равное, прямое избирательное право при тайном голосовании, что не могло существенно не изменить социально-классовую основу системы ПОГВ, и советская избирательная система в Таджикистане сформировалась как результат именно выборов в </w:t>
      </w:r>
      <w:r>
        <w:rPr>
          <w:rFonts w:ascii="Verdana" w:hAnsi="Verdana"/>
          <w:color w:val="000000"/>
          <w:sz w:val="18"/>
          <w:szCs w:val="18"/>
        </w:rPr>
        <w:lastRenderedPageBreak/>
        <w:t>ПОГВ. На третьем этапе поиск путей и противоречивость развития законодательства о выборах в ПОГВ и реальных общественных отношений в сфере представительных органов РТ создали предпосылки и основу законодательства о выборах ПОГВ и ПОМС, которое несло в себе заряд как советской, так и постсоветской избирательной системы. На четвертом этапе наиболее приоритетное развитие получило законодательство о выборах Президента РТ, уже оформившись как институт права, и происходит институционализация законодательства о выборах в ПОМС.</w:t>
      </w:r>
    </w:p>
    <w:p w14:paraId="09A2172B" w14:textId="77777777" w:rsidR="003524E7" w:rsidRDefault="003524E7" w:rsidP="0095727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Опыт показывает, что практика выборов в ПОГВ закономерно отставала от развития законодательства об этих органах, одновременно оказывая обратное влияние, направленное на его совершенствование. Так, законодательство о выборах в представительные органы на первом этапе сформировалось в 1918 - 1937 гг., а практика его реализации стала возможной в Таджикистане только в 1925 – 1939 гг., т.е. советская избирательная система в Таджикистане как результат</w:t>
      </w:r>
    </w:p>
    <w:p w14:paraId="2A5F7E86"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выборов в ПОГВ сформировалась окончательно к 1939 г., и, по существу, без изменений, функционировала до второй половины 80-х гг. ХХ в.</w:t>
      </w:r>
    </w:p>
    <w:p w14:paraId="2C85B379" w14:textId="77777777" w:rsidR="003524E7" w:rsidRDefault="003524E7" w:rsidP="0095727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Особенностью развития законодательства о выборах в ПОГВ в условиях независимой РТ заключается в том, что не признававшееся в условиях советской действительности понятие «местное самоуправление» вошло в систему представительных органов публичной власти (ПОПВ) как самостоятельный институт представительных органов местного самоуправления (ПОМС), т.е. в условиях постсоветского развития законодательство о ПОМС значительно отстает от созревших общественных отношений и складывающейся системы ПОМС.</w:t>
      </w:r>
    </w:p>
    <w:p w14:paraId="2042E5CD" w14:textId="77777777" w:rsidR="003524E7" w:rsidRDefault="003524E7" w:rsidP="0095727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современных условиях развития законодательства о представительных органах как государственной власти, так и местного самоуправления, на приоритетное место вышли уже законодательно сформулированные принципы избирательного права, которые обладают в новых условиях не только свойствами основных начал, руководящих норм, универсальностью, но и высшей императивностью (обязательностью) и общезначимостью. Только в современных условиях принципы избирательного права выросли до уровня системы, для которой характерно наличие особых связей, отражающих роль и значение отдельных правовых начал для формирования и развития не только избирательной системы, но и всей правовой системы РТ.</w:t>
      </w:r>
    </w:p>
    <w:p w14:paraId="4176AFD5" w14:textId="77777777" w:rsidR="003524E7" w:rsidRDefault="003524E7" w:rsidP="0095727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Законодательству РТ о выборах в представительные органы присущи и определенные тенденции, прежде всего, конституционализация и усложнение механизмов обеспечения принципа народовластия. Другая тенденция – структурная институционализация самой избирательной системы. Не менее важная тенденция – возрастание роли и необходимости систематизации избирательного права и законодательства, главным образом в форме кодификации. В связи с этим возникает насущная потребность и необходимость разработки Избирательного кодекса РТ, который должен выступить основным фактором дальнейшей специализации избирательного права на уровне комплексной подотрасли, а затем и отрасли права.</w:t>
      </w:r>
    </w:p>
    <w:p w14:paraId="0144475D" w14:textId="77777777" w:rsidR="003524E7" w:rsidRDefault="003524E7" w:rsidP="0095727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современных условиях развития Республики Таджикистан, наряду с транформацией всей её политической системы, стоит острая задача трансформации избирательной системы. Институт выборов в ПОГВ в Таджикистане уже сегодня приобрел статус субинститута права. Кроме того, практика показывает, что выбор и переход к пропорциональной системе в выборах в ПОГВ в значительной мере позволят преодолеть преобладание специфического кланового принципа в условиях таджикской действительности.</w:t>
      </w:r>
    </w:p>
    <w:p w14:paraId="33726B1D" w14:textId="77777777" w:rsidR="003524E7" w:rsidRDefault="003524E7" w:rsidP="0095727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Основные проблемы и противоречия развития законодательства о выборах в представительные органы связаны с низким уровнем культуры не только избирателей, но и других субъектов избирательного процесса (избирательных комиссий, политических</w:t>
      </w:r>
    </w:p>
    <w:p w14:paraId="4784177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партий, СМИ), а еще более – с отсутствием конструктивного диалога между ними в процессе избирательных кампаний. В этих условиях разработка правовых механизмом социального партнерства, заключения политических договоров взаимной ответственности между ними является эффективным и стабильным залогом развития как законодательства, так и, в особенности, практики его реализации.</w:t>
      </w:r>
      <w:r>
        <w:rPr>
          <w:rStyle w:val="apple-converted-space"/>
          <w:rFonts w:ascii="Verdana" w:hAnsi="Verdana"/>
          <w:color w:val="000000"/>
          <w:sz w:val="18"/>
          <w:szCs w:val="18"/>
        </w:rPr>
        <w:t> </w:t>
      </w: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определяется тем, что оно в научно-методологическом смысле углубленно изучает, а учебно-методическом плане освещает, одну из ключевых тем, как в курсе теории и истории государства и права, так и в курсе конституционного </w:t>
      </w:r>
      <w:r>
        <w:rPr>
          <w:rFonts w:ascii="Verdana" w:hAnsi="Verdana"/>
          <w:color w:val="000000"/>
          <w:sz w:val="18"/>
          <w:szCs w:val="18"/>
        </w:rPr>
        <w:lastRenderedPageBreak/>
        <w:t>права и сравнительного права, и тем самым в значительной степени восполняет имеющийся пробел в таджикской юридической науке. Также значимым в теоретическом плане представляется раскрытие конкретных возможностей использования историко-правовых и сравнительно-правовых исследований, направленных на решение актуальных задач законодательного обеспечения и развития представительных органов власти РТ на современном этапе.</w:t>
      </w:r>
    </w:p>
    <w:p w14:paraId="31844293"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Результаты исследования прошли определенную апробацию.</w:t>
      </w:r>
      <w:r>
        <w:rPr>
          <w:rStyle w:val="apple-converted-space"/>
          <w:rFonts w:ascii="Verdana" w:hAnsi="Verdana"/>
          <w:color w:val="000000"/>
          <w:sz w:val="18"/>
          <w:szCs w:val="18"/>
        </w:rPr>
        <w:t> </w:t>
      </w:r>
      <w:r>
        <w:rPr>
          <w:rFonts w:ascii="Verdana" w:hAnsi="Verdana"/>
          <w:color w:val="000000"/>
          <w:sz w:val="18"/>
          <w:szCs w:val="18"/>
        </w:rPr>
        <w:t>В частности основная содержательная часть работы, ряд выводов и предложений, сформулированных на основе диссертации, прошли апробацию на ряде региональных и республиканских научно-теоретических и практических конференций и семинаров, прежде всего, на конференциях, проводившихся в Душанбе и Тегеране в 2010-2015 гг., и др.</w:t>
      </w:r>
    </w:p>
    <w:p w14:paraId="39FACE94"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имеющихся возможностях использования полученных теоретических результатов не только в теории и учебном процессе по теории и истории государства и права, конституционному праву, но и для решения ряда актуальных практических задач. В частности они могут быть востребованы при подготовке и реализации концепций правового развития страны, разработке проблем законодательного обеспечения и развития выборов в Таджикистане, могут найти плодотворное применение в разработке и преподавании специальных курсов.</w:t>
      </w:r>
    </w:p>
    <w:p w14:paraId="65D3E10D" w14:textId="77777777" w:rsidR="003524E7" w:rsidRDefault="003524E7" w:rsidP="003524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Структуру работы</w:t>
      </w:r>
      <w:r>
        <w:rPr>
          <w:rStyle w:val="apple-converted-space"/>
          <w:rFonts w:ascii="Verdana" w:hAnsi="Verdana"/>
          <w:color w:val="000000"/>
          <w:sz w:val="18"/>
          <w:szCs w:val="18"/>
        </w:rPr>
        <w:t> </w:t>
      </w:r>
      <w:r>
        <w:rPr>
          <w:rFonts w:ascii="Verdana" w:hAnsi="Verdana"/>
          <w:color w:val="000000"/>
          <w:sz w:val="18"/>
          <w:szCs w:val="18"/>
        </w:rPr>
        <w:t>определили как цели и задачи исследования, так и логика их раскрытия. Поэтому работа состоит из введения, двух глав, разделенных на 6 параграфов, заключения, приложений и списка использованных источников и литературы.</w:t>
      </w:r>
    </w:p>
    <w:p w14:paraId="0C6D8F09" w14:textId="77777777" w:rsidR="003524E7" w:rsidRDefault="003524E7" w:rsidP="003524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и развитие законодательства о выборах в представительные органы в Советском Таджикистане</w:t>
      </w:r>
    </w:p>
    <w:p w14:paraId="6215018B"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дореволюционном Таджикистане сложилась специфическая правовая система42, вызванная, как правильно отмечает Ф.Т. Тахиров, тройственностью права43. Одновременно и параллельно действовали имперское русское, мусульманское и обычное право. «Общее, что объединяло действовавшие в дореволюционном Таджикистане правовые системы, - пишет Ф.Т. Тахиров, -это их регулятивно-функциональная роль. Последнее и составило основу их совместного (параллельного) действия»44. Но, тем не менее, на территории дореволюционного, т.е. досоветского, Таджикистана дело не дошло до возникновения ни законодательства о выборах, ни практики организации и проведения выборов в представительные органы государственной власти.</w:t>
      </w:r>
    </w:p>
    <w:p w14:paraId="5AE910F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Соответственно, становление законодательства о выборах в представительные органы в Таджикистане началось с Октябрьской революции 1917 года, ибо до тех пор, как выше отметили, в Таджикистане не было, собственно, ни ПОГВ в его современном значении, ни избирательного законодательства. И это становление имело немало особенностей, что, прежде всего, было связано с тем, что с Октябрьской революции 1917 года и до октября 1924 года, т.е. до образования Таджикской АССР в ходе национально-территориального размежевания в Средней Азии, территория современного Таджикистана входила частью в состав Туркестанской АССР (Северный Таджикистан), и соответственно в состав РСФСР, большей частью входила в состав Бухарского эмирата, а с 1920 </w:t>
      </w:r>
      <w:r>
        <w:rPr>
          <w:rFonts w:ascii="Verdana" w:hAnsi="Verdana"/>
          <w:color w:val="000000"/>
          <w:sz w:val="18"/>
          <w:szCs w:val="18"/>
        </w:rPr>
        <w:lastRenderedPageBreak/>
        <w:t>по 1924 годы - в состав Бухарской Народной Советской Республики (Центральный и Южный Таджикистан); соответственно здесь происходили различные процессы формирования избирательного законодательства45.</w:t>
      </w:r>
    </w:p>
    <w:p w14:paraId="3A3C4A37"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Важнейшее значение для Туркестана, в частности и для Северного Таджикистана, имел V Краевой съезд Советов рабочих, солдатских, крестьянских и дехканских депутатов, который проходил с 20 апреля по 1 мая 1918 г. в Ташкенте. Съезд принял постановление об образовании Туркестанской Автономной Советской Социалистической Республики, вошедший в состав РСФСР46. 30 апреля 1918 г.V Краевой съезд Советов утвердил Положение о Туркестанской Автономной Советской Федеративной Республике, которое до VI Краевого съезда Советов, по существу, «играло роль ее временной конституции»47.</w:t>
      </w:r>
    </w:p>
    <w:p w14:paraId="35F7F733"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4 июля 1918 г. в Москве открылся V Всероссийский съезд Советов, который 10 июля 1918 г. утвердил Конституцию РСФСР48 - первую советскую Конституцию, на основе которой с 1918 по 1920 гг. развитие республик шло по пути вхождения республик и автономных областей в состав РСФСР, которая и установила структуру ПОГВ и порядок выборов в эти органы49.</w:t>
      </w:r>
    </w:p>
    <w:p w14:paraId="04D3237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событием осени 1918 года явился VI Чрезвычайный съезд Советов Туркестана, который обсудил и утвердил Конституцию Туркестанской АССР, которая была разработана с учетом конкретных исторических, географических, экономических, бытовых и других особенностей республики в соответствии с Конституцией РСФСР 1918 года.</w:t>
      </w:r>
    </w:p>
    <w:p w14:paraId="33054296"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Туркестанской АССР 1918 года состояла из 6 разделов50. Пятый раздел был посвящен избирательной системе и состоял из трех глав и 18 параграфов51. И как важную особенность данного периода следует отметить, что до 1921 г. Туркестанская АССР являлась единственной автономной республикой того периода, имевшей свою конституцию, и, соответственно, свою структуру ПОГВ и выборов в эти органы.</w:t>
      </w:r>
    </w:p>
    <w:p w14:paraId="6BD8359A"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можно сделать вывод, что после победы Октябрьской революции установление советской власти в Туркестанском крае, признание Конституции РСФСР, принятие Конституции ТуркАССР 1918 года и первых Декретов послереволюционного периода, а также создание в северных районах Таджикистана по форме советских социалистических государственных органов и учреждений были существенными факторами в зарождении и становлении национальной государственности таджикского народа, в частности ПОГВ.</w:t>
      </w:r>
    </w:p>
    <w:p w14:paraId="608D4F3A"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Установление советской власти на Памире произошло позднее, чем в центральных районах Центральной Азии, и прежде всего это было обусловлено географическим положением области, её большой отдаленностью от центральных районов и железнодорожных магистралей.52 До 1923 г. весь Памир входил в Туркестанскую АССР, будучи частью Ферганской области. В целях более быстрого преодоления экономической и культурной отсталости Памира в июле 1923 г. Президиум Туркестанского ЦИКа постановил включить Памир в Туркестанскую республику на правах самостоятельной области с непосредственным подчинением правительству ТуркАССР. 15 августа 1923 г. Памирский район был переименован в Памирскую область.53 сентября 1920 г. IX съезд Советов Туркестана обсудил и принял новую Конституцию Туркестанской АССР, закрепившую итоги </w:t>
      </w:r>
      <w:r>
        <w:rPr>
          <w:rFonts w:ascii="Verdana" w:hAnsi="Verdana"/>
          <w:color w:val="000000"/>
          <w:sz w:val="18"/>
          <w:szCs w:val="18"/>
        </w:rPr>
        <w:lastRenderedPageBreak/>
        <w:t>истекших трех лет национально-государственного строительства и оформившую государственно-правовое положение Туркестанской АССР в форме, отвечающей интересам народов Туркестана и РСФСР.54 11 апреля 1921 г. Президиум ВЦИКа обсудил вопрос о Конституции Туркестанской АССР и принял решение утвердить и опубликовать постановление ВЦИКа об объявлении Туркестанской Советской Социалистической Республики автономной частью РСФСР.55 Это постановление ВЦИКа как бы завершает процесс государственно-правового оформления Туркестанской АССР.</w:t>
      </w:r>
    </w:p>
    <w:p w14:paraId="28254EB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Четвертый раздел Конституции состоял из семи глав. В этом разделе говорилось об организации центральной власти Туркестанской республики, в том числе о представительных органах государственной власти в ТуркАССР, соответственно, в Северном Таджикистане. Пятый раздел Конституции состоял из трех глав и назывался «Активное и пассивное избирательное право». В этом разделе говорилось о том, кто имеет право избирать и быть избранным в Советы, перечислялись категории людей, лишенных права избирать и быть избранными в Советы, а также о производстве выборов, их проверке и отмене, об отзыве депутатов.</w:t>
      </w:r>
    </w:p>
    <w:p w14:paraId="3A48C859" w14:textId="77777777" w:rsidR="003524E7" w:rsidRDefault="003524E7" w:rsidP="003524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Избирательная система Советского Таджикистана как результат реализации законодательства о выборах в представительные органы государственной власти</w:t>
      </w:r>
    </w:p>
    <w:p w14:paraId="153AD55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Осень 1950 года оказалась плодотворным временем в конкретизации и развитии законодательного обеспечения выборов в ПОГВ и ПОМС в его современном значении, т.е. Советов депутатов трудящихся, снизу доверху. Так, 5 октября 1950 г. Указом ПВС ТаджССР было утверждено Положение о выборах в областной, районные, городские, кишлачные и поселковые СДТ ТаджССР, которое состояло из 12 глав и 118 статей. Глава I «Избирательная система» в своих 11 статьях полностью воспроизводила нормы Конституции</w:t>
      </w:r>
    </w:p>
    <w:p w14:paraId="0D16A693"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Глава II «Списки избирателей» (ст. 12-23), глава IV «Избирательные округа и избиркомы по выборам в районные Советы депутатов трудящихся» (ст. 32-39), глава V - то же самое применительно к городам и районам в городах выборам (ст. 40-47), глава VI -применительно к выборам в кишлачные и поселковые СДТ (ст. 48-55), глава VII «Избирательные участки и участковые избиркомы» (ст. 56-65), глава VIII «Порядок выставления кандидатов в депутаты» (ст. 66-79), глава X «Порядок голосования» (ст. 83-93) и глава XI «Определение результатов выборов» (ст. 94-117), исходили из общих положений и конструкции организации выборов, что было идентичным как для местных Советов, так и для Верховного Совета ТаджССР.</w:t>
      </w:r>
    </w:p>
    <w:p w14:paraId="39010B9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Спустя 2 месяца, Указом ПВС ТаджССР от 9 декабря 1950 г. было утверждено новое Положение о выборах в Верховный Совет ТаджССР119, которое состояло из 8 глав и 100 статей. В главе первой, озаглавленной «Избирательная система»120, воспроизводились нормы Конституции ТаджССР 1937 г. без изменений и под тем же названием. Вся разница между Положениями о выборах в местные Советы и в Верховный Совет ТаджССР была в том, что нормы Конституции ТаджССР 1937 г. воспроизводились в первом Положении в 11 статьях, а во втором Положении – в 12 статьях.</w:t>
      </w:r>
    </w:p>
    <w:p w14:paraId="7825ECC0"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Вторая глава указанного положения, также состоящая из 12 статей (ст. 13-24), была посвящена спискам избирателей. Третья глава «Избирательные округа по выборам в Верховный </w:t>
      </w:r>
      <w:r>
        <w:rPr>
          <w:rFonts w:ascii="Verdana" w:hAnsi="Verdana"/>
          <w:color w:val="000000"/>
          <w:sz w:val="18"/>
          <w:szCs w:val="18"/>
        </w:rPr>
        <w:lastRenderedPageBreak/>
        <w:t>Совет ТаджССР» состояла всего из 2 статей (25 и 26), а в четвертой главе, озаглавленной «Избирательные участки» (ст. 27-34), был определен порядок образования и деятельности избирательных участков со всеми вытекающими из этой деятельности полномочиями и порядком их осуществления. Работу избиркомов регламентировала глава пятая, состоящая из 14 статей (ст. 35-48). В шестой главе регулировался порядок выставления кандидатов в депутаты Верховного Совета ТаджССР, и эта глава включала 13 статей (ст. 49-61). Важнейшей главой, с точки зрения практического осуществления избирательного права, в рассматриваемый период была глава VII «Порядок голосования», состоящая из 14 статей (ст. 62-75) и включающая в себя ряд других вопросов (ст.76-100).</w:t>
      </w:r>
    </w:p>
    <w:p w14:paraId="61F88699"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также отметить, что, по нашему мнению, указанные Положения о выборах как в местные Советы, так и в высший представительный орган государственной власти, с точки зрения доступности изложения, практического осуществления и по некоторым другим параметрам, были доступными, прагматичными и позитивными с точки зрения их усвоения, отличались в лучшую сторону от позже принятых нормативных правовых актов подобного рода, включая и ныне действующие законы о выборах, пожалуй, за исключением Закона о выборах 1989 года, как на уровне Верховного Совета121, так и на местном уровне122.</w:t>
      </w:r>
    </w:p>
    <w:p w14:paraId="1650775F"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Они по языку и стилю изложения, а также критериям структурного деления были однотипными. Также следует отметить, что в Положении о выборах в местные Советы было и своеобразие. Это, прежде всего, глава III «Избирательные округа и избиркомы по выборам в Совет депутатов трудящихся Горно-Бадахшанской автономной области» (ст. 24-31), глава IX «День выборов» (ст. 80-82) и выделение специальной главы XII «Ответственность за нарушения избирательных прав граждан» (всего одна ст. 118), которая в Положении о выборах в Верховный Совет ТаджССР была последней статьей (ст.100) в последней главе VIII «Определение результатов выборов».</w:t>
      </w:r>
    </w:p>
    <w:p w14:paraId="28003E8C"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следует отметить, что при проведении выборов депутатов в местные Советы по отдельным избирательным округам вместо выбывших депутатов избирательная кампания должна была начинаться за две недели до дня выборов, вместо 45 дней, предусмотренных Положением о выборах в местные Советы ТаджССР.</w:t>
      </w:r>
    </w:p>
    <w:p w14:paraId="2C6C3BD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этим: а) утверждение Окружных и Участковых избиркомов, а также образование избирательных участков производилось не позднее, чем за 12 дней до выборов; б) списки избирателей вывешивались для всеобщего обозрения за 10 дней до выборов; в) кандидаты в депутаты должны были зарегистрироваться в Окризбиркомах не позднее, чем за 7 дней до выборов, и данные о кандидатах в депутаты, прошедших регистрацию, и наименования общественных объединений, выдвинувших кандидатов, обна-родовались не позднее, чем за 5 дней до выборов.</w:t>
      </w:r>
    </w:p>
    <w:p w14:paraId="4F400BFB"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следует отметить, что 23 декабря 1958 г. ПВС ТаджССР принял Указ об избирательных нормах по выборам в местные СДТ ТаджССР123, согласно которому ПВС ТаджССР признал целесообразным дальнейшее сохранение в Конституции ТаджССР перечня норм по </w:t>
      </w:r>
      <w:r>
        <w:rPr>
          <w:rFonts w:ascii="Verdana" w:hAnsi="Verdana"/>
          <w:color w:val="000000"/>
          <w:sz w:val="18"/>
          <w:szCs w:val="18"/>
        </w:rPr>
        <w:lastRenderedPageBreak/>
        <w:t>образованию избирательных округов при выборах в местные Советы ТаджССР и внес на рассмотрение Верховного Совета ТаджССР предложение об исключении из текста Конституции ТаджССР перечня норм по образованию избирательных округов при выборах в местные Советы ТаджССР с указанием в Конституции ТаджССР, что эти нормы определяются Положением о выборах в местные Советы ТаджССР.</w:t>
      </w:r>
    </w:p>
    <w:p w14:paraId="67187F76" w14:textId="77777777" w:rsidR="003524E7" w:rsidRDefault="003524E7" w:rsidP="003524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принципы и проблемы формирования законодательства о выборах в представительные органы Республики Таджикистан</w:t>
      </w:r>
    </w:p>
    <w:p w14:paraId="31DEC58F"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избирательного законодательства в ИРИ важными основами представляются конституционные новеллы, закрепленные в ст. 6, 62, 63, 67, 68, 99. Статья 26 Конституции Ирана устанавливает свободу ПП, общественных организаций и объединений, религиозные советы, также съезд религиозных меньшинств268, что соответствует статьи 28 Конституции РТ. Только эти политические и другие организации и объединения не должны, действовать против свободы, метод суверенитета, единства нации, исламское равноправие и основа исламской республики. По сравнениям двух Основных законов государств стало очевидно, что в Конституции РТ основное внимание уделяется защите и реализации демократических прав, а в Конституции ИРИ кроме этих прав и свобод учитываются те права, которые не должны быт против исламской основы. В ст.ст. 27-28 Конституции ИРИ приводится митинги, демонстрации и протесты должны организоваться без оружия и не должны наносит ущерб исламским основам269.</w:t>
      </w:r>
    </w:p>
    <w:p w14:paraId="4A4DC3CF"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Выборы депутатов МО РТ, сроком на 5 лет, и Президента РТ, вначале, также сроком на 5 лет, а с 1999 года – сроком на 7 лет, в соответствии с Основным законом страны и международными стандартами демократических выборов должны проходить на основе «всеобщего, равного и прямого изби-264 В последующем в ст. 28 Конституции Республики Таджикистан после слов «в создании политических партий» было внесено дополнение: «в том числе демократического, религиозного и атеистического характера». Основной закон установил условия и порядок избрания как Президента РТ271, так и депутатов во все представительные органы РТ – как в ПОГВ, так и в ПОМС, и что выборы во все эти органы, включая и порядок выборов, определяются конституционными законами272.</w:t>
      </w:r>
    </w:p>
    <w:p w14:paraId="245DB345"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 ИРИ государственная власть страны должно управляться на основе воля народа, путем выборов Президента, представителей Собрание исламского совета, членов Совета или референдумом в случаях если предвидено другими статями этого закона. (ст.6 Конституции ИРИ)273.</w:t>
      </w:r>
    </w:p>
    <w:p w14:paraId="39B31417"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особенностей избирательной системы РТ является то, что в ее составе имеется ГБАО, конституционный статус которой определен в главе седьмой Конституции РТ274. В соответствии с ней ГБАО является составной и неделимой частью РТ. Народные депутаты РТ от ГБАО избираются в соответствии с установленной законом нормой, независимо от численности населения275 и полномочий ГБАО в социальной, экономической, культурной сферах жизни, и другие полномочия области определяются конституционным законом.</w:t>
      </w:r>
    </w:p>
    <w:p w14:paraId="26168EC6"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Принятый 1 декабря 1994 г. Закон о выборах МО РТ состоял из 9 глав и 50 статей276 и являлся первым конституционным законом о выборах в РТ. Он устанавливал общие положения </w:t>
      </w:r>
      <w:r>
        <w:rPr>
          <w:rFonts w:ascii="Verdana" w:hAnsi="Verdana"/>
          <w:color w:val="000000"/>
          <w:sz w:val="18"/>
          <w:szCs w:val="18"/>
        </w:rPr>
        <w:lastRenderedPageBreak/>
        <w:t>проведения выборов277, порядок создания и функционирования избирательных округов и участков278, избиркомов279.</w:t>
      </w:r>
    </w:p>
    <w:p w14:paraId="4A70024B"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Отдельной главой была определена процедура выдвижения и регистрации кандидатов в народные депутаты и гарантии их деятельности280, а также порядок голосования и подведения итогов выборов, их публикации281. Установлены были и требования к повторным выборам и повторным голосованиям282.</w:t>
      </w:r>
    </w:p>
    <w:p w14:paraId="4614D236"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Аналогичный по статусу, т.е. Конституционный закон о выборах депутатов в местные МНД, был принят также 1 декабря 1994 г.283 Он состоял уже из 8 глав, т.е. был на одну главу меньше, чем вышерассмотренный закон, но также состоял из 50 статей. Закон определял общие положения284, порядок образования и деятельности избирательных округов285, участков и комиссий,286 устанавливал процедуру выдвижения и регистрации кандидатов, гарантии их деятельности287, а также порядок голосования и подведения итогов выборов288. В законе был регламентирован и порядок организации и проведения выборов, подведения итогов выборов289, повторного голосования и повторных выборов, но все это уже применительно к выборам местных МНД на уровне областей, городов и районов РТ290.</w:t>
      </w:r>
    </w:p>
    <w:p w14:paraId="27D128BA"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30 июня 1999 г. МО РТ принял постановление291, в соответствии с которым были вынесены на всенародное голосование изменения и дополнения в Конституцию РТ, которые явились итогом работы Комиссии по национальному примирению в части избирательной реформы, и они были представлены в МО РТ Президентом РТ292. В соответствии с этими изменениями и до полнениями 27 статей Конституции были изложены в новой редакции293, в частности в ст. 28 Конституции РТ было внесено дополнение о том, что могут быть созданы ПП «демократического, религиозного и атеистического характера», что вызвало в обществе значительную дискуссию и противоречивую оценку294.</w:t>
      </w:r>
    </w:p>
    <w:p w14:paraId="1E14298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Глава третья Конституции (ст. 48-63) была полностью изложена в новой редакции, так как старый однопалатный, не постоянно действующий парламент, был заменен на двухпалатный, с постоянно действующей нижней палатой парламента. Теперь, в новой редакции, данная глава исходила из того, что Маджлиси Оли – Парламент РТ - является высшим представительным и законодательным органом РТ и состоит из двух собраний (маджлисов) – Маджлиси милли и Маджлиси намояндагон. Срок полномочий МО РТ 5 лет. Полномочия ММ и МН прекращаются в день начала деятельности МО РТ нового созыва. Организация и деятельность МО РТ определяются конституционным законом (ст. 48).</w:t>
      </w:r>
    </w:p>
    <w:p w14:paraId="06893413"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Исламской Республике Иран действует однопалатный парламент высший законодательный орган - Собрание исламского совета. Срок полномочий 4 года. Представители этого парламента избираются тайным и самостоятельным голосованием избирателей. Это значит, что в обеих странах избирание парламента одинаковы, то есть не имеют различия. В ст. 62 Конституции Ирана говорится, что Собрание исламского совета избирается путем прямого избирательного права при тайном голосовании295. Мы пришли к выводу, что ст. 49 Основного Закона Республика Таджикистан и ст.62 Конституции ИРИ соответствуют. Это обеспечивает права и </w:t>
      </w:r>
      <w:r>
        <w:rPr>
          <w:rFonts w:ascii="Verdana" w:hAnsi="Verdana"/>
          <w:color w:val="000000"/>
          <w:sz w:val="18"/>
          <w:szCs w:val="18"/>
        </w:rPr>
        <w:lastRenderedPageBreak/>
        <w:t>человека, и гражданина. Свобода в выборах для назначения национальной власти и благополучия народа путём выборов, это признак того что демократия в подлинном своем значение реализуется законом. Поэтому власть не зависеть от внешних сил, но прямо избирается народом.</w:t>
      </w:r>
    </w:p>
    <w:p w14:paraId="589F7A31" w14:textId="77777777" w:rsidR="003524E7" w:rsidRDefault="003524E7" w:rsidP="003524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 роли политических партий в формировании представительных органов РТ и институционализации законодательства о выборах в эти органы</w:t>
      </w:r>
    </w:p>
    <w:p w14:paraId="791F99F7"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на выдвижение кандидатов в депутаты областного МНД, городских, районных МНД также принадлежит ПП, а также гражданам путем самовыдвижения. Политическая партия может выдвигать кандидатов в депутаты местных МНД при условии, что она зарегистрирована Министерством юстиции РТ в установленном законом порядке465. Нам кажется, что решающее значение для определения роли политических ПП на выборах имеет законодательное закрепление монополии политических ПП на участие в избирательном процессе, и в первую очередь - в его важнейшей стадии – выдвижении кандидатов.</w:t>
      </w:r>
    </w:p>
    <w:p w14:paraId="4C6295B6"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Особенностью законодательства РТ в этом вопросе является то, что хотя выдвижение независимых кандидатов непосредственно избирателями допускается, но законодательство ставит ПП в привилегированное положение. Например, согласно ст. 31 Конституционного закона РТ о выборах МО</w:t>
      </w:r>
    </w:p>
    <w:p w14:paraId="7D16400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РТ выдвижение кандидата в депутаты МН по одномандатному избирательному округу в порядке самовыдвижения производится путем подачи в окружной избирком заявления о намерении баллотироваться кандидатом. Однако кандидат должен собрать в свою поддержку не менее 500 подписей избирателей данного округа. Каждый избиратель должен подписаться только за одного кандидата от округа своего места проживания. Подписные листы должны содержать сведения о фамилии, имени, отчестве кандидата и члена инициативной группы кандидата, месте жительства, серии и номере паспорта или иного документа, удостоверяющего личность члена инициативной группы, порядковые номера, фамилию, имя, отчество, день, месяц и год рождения, паспорт или иной документ, удостоверяющий личность подписавшего лица, серию и номер этого документа, место жительства, личную подпись подписавшего и дату подписания листа466.</w:t>
      </w:r>
    </w:p>
    <w:p w14:paraId="59A44A3A"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регулировании ПП как главных субъектов избирательного процесса следует отметить два момента, характерных для законодательства РТ. Во-первых, ставятся определенные условия допуска ПП к выборам. Это установление минимальной численности ПП и установление необходимого срока регистрации ПП, предшествующего выборам. Оба эти ограничения направлены на то, чтобы воспрепятствовать участию в выборах мелких, случайных, временных политических группировок, создаваемых амбициозными политиками в пропагандистских целях накануне выборов, и исчезающих с их завершением467.</w:t>
      </w:r>
    </w:p>
    <w:p w14:paraId="0EC077B4"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существенными является ограничение, состоящее в требовании, чтобы ПП зарегистрировалась в избирательном органе для участия в данных выборах. Например, в России при допуске к выборам ПП, имеющие парламентские фракции, пользуются некоторыми преимуществами по сравнению с внепарламентскими партиями, что, на наш взгляд, является правильным.</w:t>
      </w:r>
    </w:p>
    <w:p w14:paraId="08BCE5B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Помимо рассмотренной правовой регламентации допуска ПП к участию в выборах и статусов различных ПП, можно выделить следующие важные объекты такой регламентации: процедура выдвижения ПП своих кандидатов на выборах и составление списков кандидатов; участие ПП в формировании, деятельности органов избирательной администрации и контроле за ней; деятельность ПП в ходе избирательной компании (в особенности использование СМИ); финансирование избирательных кампаний ПП.</w:t>
      </w:r>
    </w:p>
    <w:p w14:paraId="51C4A512"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Выдвижение кандидатов ПП – сфера внутрипартийных организационных отношений, регулируемых ее уставом, регламентом и другими партийными документами. Но, как мы видели в предыдущих главах, законодательство вторгается и в сферу внутрипартийных организационных отношений, устанавливая ряд требований общего характера, призванных обеспечить соблюдение демократических принципов469. Эти требования конкретно проявляются и в правовых предписаниях, относящихся к процедуре выдвижения партиями своих кандидатов. Таким образом, внутрипартийная процедура становится предметом политико-правовой регламентации. Поэтому в статье 31 Конституционного закона РТ о выборах МО РТ прямо говорится о порядке выдвижения кандидатов в депутаты МН МО РТ. Выдвижение кандидатов в депутаты МН по одномандатным избирательным округам начинается за 60 дней до выборов, а по спискам кандидатов - со дня назначения выборов, и завершается за 45 дней до выборов.</w:t>
      </w:r>
    </w:p>
    <w:p w14:paraId="7FFD8159"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важной в аспекте реализации ПП права выдвижения своих кандидатов (в многомандатных округах) является регламентация правил, относящихся к составлению списков кандидатов. По общему правилу, избирательное законодательство закрепляет в качестве основного принципа ПП определять состав списка и порядок размещения в нем кандидатов. Так, согласно статье 31 Конституционного закона РТ о выборах МО РТ список кандидатов в депутаты МН по единому общереспубликанскому округу выдвигается</w:t>
      </w:r>
    </w:p>
    <w:p w14:paraId="3B581D0E"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ПП на их съездах (конференциях). Состав списка кандидатов и порядок размещения в нем кандидатов определяется ПП. После представления списка кандидатов в ЦКВР его состав и порядок размещения в нем кандидатов может быть изменен, за исключением изменений, вызванных выбытием кандидатов. Общее число кандидатов, выдвигаемых ПП по списку, не может превышать 35 процентов от общего числа депутатов МН470. После последних изменений в указанный Закон в феврале 2015 г. этот процент был повышен до 45 %, что на последних выборах 2015 года использовали только две партии – НДПТ и ПИВТ.</w:t>
      </w:r>
    </w:p>
    <w:p w14:paraId="3E5F8751" w14:textId="77777777" w:rsidR="003524E7" w:rsidRDefault="003524E7" w:rsidP="003524E7">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кандидатов, выдвинутых ПП, протокол и постановление съезда (конференции) ПП, в котором указан список выдвинутых кандидатов, представляются в ЦКВР. Постановление должно содержать следующие данные: название органа и постановления, дата и место, решение рассмотренного вопроса, подпись председательствующего и печать. Список выдвинутых кандидатур прилагается к постановлению. Протокол охватывает следующие вопросы: название органа, дата и место, общая численность органа, количество участников, рассмотренный вопрос, предложения по кандидатам, обсуждение кандидатур, форма голосования, результат голосования, текст принятого решения, подписи председательствующего, секретаря собрания и печать</w:t>
      </w:r>
    </w:p>
    <w:p w14:paraId="4DD594C3" w14:textId="77777777" w:rsidR="003524E7" w:rsidRPr="003524E7" w:rsidRDefault="003524E7" w:rsidP="003524E7"/>
    <w:sectPr w:rsidR="003524E7" w:rsidRPr="003524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B369E" w14:textId="77777777" w:rsidR="00957272" w:rsidRDefault="00957272">
      <w:pPr>
        <w:spacing w:after="0" w:line="240" w:lineRule="auto"/>
      </w:pPr>
      <w:r>
        <w:separator/>
      </w:r>
    </w:p>
  </w:endnote>
  <w:endnote w:type="continuationSeparator" w:id="0">
    <w:p w14:paraId="097E5436" w14:textId="77777777" w:rsidR="00957272" w:rsidRDefault="0095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B60A7" w14:textId="77777777" w:rsidR="00957272" w:rsidRDefault="00957272">
      <w:pPr>
        <w:spacing w:after="0" w:line="240" w:lineRule="auto"/>
      </w:pPr>
      <w:r>
        <w:separator/>
      </w:r>
    </w:p>
  </w:footnote>
  <w:footnote w:type="continuationSeparator" w:id="0">
    <w:p w14:paraId="25B39BE7" w14:textId="77777777" w:rsidR="00957272" w:rsidRDefault="00957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BF34B42"/>
    <w:multiLevelType w:val="multilevel"/>
    <w:tmpl w:val="D610D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76078"/>
    <w:multiLevelType w:val="multilevel"/>
    <w:tmpl w:val="4F26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272"/>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31703</TotalTime>
  <Pages>17</Pages>
  <Words>7385</Words>
  <Characters>42098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6136</cp:revision>
  <cp:lastPrinted>2009-02-06T05:36:00Z</cp:lastPrinted>
  <dcterms:created xsi:type="dcterms:W3CDTF">2016-09-19T15:12:00Z</dcterms:created>
  <dcterms:modified xsi:type="dcterms:W3CDTF">2017-02-20T13:10:00Z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