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023C" w14:textId="3BF40470" w:rsidR="00995C0C" w:rsidRDefault="00B72B59" w:rsidP="00B72B59">
      <w:pPr>
        <w:rPr>
          <w:rFonts w:ascii="Verdana" w:hAnsi="Verdana"/>
          <w:b/>
          <w:bCs/>
          <w:color w:val="000000"/>
          <w:shd w:val="clear" w:color="auto" w:fill="FFFFFF"/>
        </w:rPr>
      </w:pPr>
      <w:r>
        <w:rPr>
          <w:rFonts w:ascii="Verdana" w:hAnsi="Verdana"/>
          <w:b/>
          <w:bCs/>
          <w:color w:val="000000"/>
          <w:shd w:val="clear" w:color="auto" w:fill="FFFFFF"/>
        </w:rPr>
        <w:t xml:space="preserve">Колеснік Олексій Петрович. Клініко-морфологічні критерії прогресування раку прямої кишки. : Дис... канд. наук: 14.01.07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72B59" w:rsidRPr="00B72B59" w14:paraId="4BF92444" w14:textId="77777777" w:rsidTr="00B72B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72B59" w:rsidRPr="00B72B59" w14:paraId="4A10F6E9" w14:textId="77777777">
              <w:trPr>
                <w:tblCellSpacing w:w="0" w:type="dxa"/>
              </w:trPr>
              <w:tc>
                <w:tcPr>
                  <w:tcW w:w="0" w:type="auto"/>
                  <w:vAlign w:val="center"/>
                  <w:hideMark/>
                </w:tcPr>
                <w:p w14:paraId="6305E7C9" w14:textId="77777777" w:rsidR="00B72B59" w:rsidRPr="00B72B59" w:rsidRDefault="00B72B59" w:rsidP="00B72B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lastRenderedPageBreak/>
                    <w:t>Колеснік О.П. Клініко-морфологічні критерії прогресування раку прямої кишки. – Рукопис.</w:t>
                  </w:r>
                </w:p>
                <w:p w14:paraId="7499F577" w14:textId="77777777" w:rsidR="00B72B59" w:rsidRPr="00B72B59" w:rsidRDefault="00B72B59" w:rsidP="00B72B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14.01.07– онкологія. – Донецький державний медичний університет ім. М. Горького, Донецьк, 2007.</w:t>
                  </w:r>
                </w:p>
                <w:p w14:paraId="516AC234" w14:textId="77777777" w:rsidR="00B72B59" w:rsidRPr="00B72B59" w:rsidRDefault="00B72B59" w:rsidP="00B72B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t>Дисертація присвячена вивченню факторів, пов’язаних із прогресуванням раку прямої кишки та ефективністю передопераційної променевої терапії і ад’ювантної хіміотерапії.</w:t>
                  </w:r>
                </w:p>
                <w:p w14:paraId="07A914FE" w14:textId="77777777" w:rsidR="00B72B59" w:rsidRPr="00B72B59" w:rsidRDefault="00B72B59" w:rsidP="00B72B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t>За допомогою клініко-морфологічних критеріїв прогресування побудована математична модель, що дозволяє на діагностичному етапі прогнозувати перебіг захворювання та виживання хворого. Чутливість побудованої моделі склала 84,2% (ВІ 70,6%–94,2%), специфічність моделі – 86,3% (ВІ 77,4%–93,3%). На тестовій множині чутливість моделі склала 88,9% (ВІ 56,1%–100%), специфічність – 90,5% (ВІ 60,5%–95,1%).</w:t>
                  </w:r>
                </w:p>
                <w:p w14:paraId="7C970E6A" w14:textId="77777777" w:rsidR="00B72B59" w:rsidRPr="00B72B59" w:rsidRDefault="00B72B59" w:rsidP="00B72B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t>Виділені фактори, від яких залежить ефективність передопераційної променевої терапії та ад’ювантної хіміотерапії. У пацієнтів із низьким індексом проліферації та відсутністю експресії індукованої синтази оксиду азоту передопераційна променева терапія не покращує виживання. У хворих із високим індексом проліферації до початку лікування, при незначному зниженні індексу проліферації після передопераційної променевої терапії, необхідне проведення ад’ювантної хіміотерпії. Також, ад’ювантну хіміотерапію необхідно призначати хворим на рак прямої кишки з високим індексом проліферації та високою експресією індукованої синтази оксиду азоту.</w:t>
                  </w:r>
                </w:p>
              </w:tc>
            </w:tr>
          </w:tbl>
          <w:p w14:paraId="07DD32F9" w14:textId="77777777" w:rsidR="00B72B59" w:rsidRPr="00B72B59" w:rsidRDefault="00B72B59" w:rsidP="00B72B59">
            <w:pPr>
              <w:spacing w:after="0" w:line="240" w:lineRule="auto"/>
              <w:rPr>
                <w:rFonts w:ascii="Times New Roman" w:eastAsia="Times New Roman" w:hAnsi="Times New Roman" w:cs="Times New Roman"/>
                <w:sz w:val="24"/>
                <w:szCs w:val="24"/>
              </w:rPr>
            </w:pPr>
          </w:p>
        </w:tc>
      </w:tr>
      <w:tr w:rsidR="00B72B59" w:rsidRPr="00B72B59" w14:paraId="449009F7" w14:textId="77777777" w:rsidTr="00B72B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72B59" w:rsidRPr="00B72B59" w14:paraId="4BD2A10C" w14:textId="77777777">
              <w:trPr>
                <w:tblCellSpacing w:w="0" w:type="dxa"/>
              </w:trPr>
              <w:tc>
                <w:tcPr>
                  <w:tcW w:w="0" w:type="auto"/>
                  <w:vAlign w:val="center"/>
                  <w:hideMark/>
                </w:tcPr>
                <w:p w14:paraId="2FF12C2E" w14:textId="77777777" w:rsidR="00B72B59" w:rsidRPr="00B72B59" w:rsidRDefault="00B72B59" w:rsidP="005C1DF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t>Вивчені найбільш важливі клініко-морфологічні критерії прогресування раку прямої кишки, на основі яких розроблено тактику індивідуального призначення передопераційної променевої терапії та ад’ювантної хіміотерапії.</w:t>
                  </w:r>
                </w:p>
                <w:p w14:paraId="5238B4A1" w14:textId="77777777" w:rsidR="00B72B59" w:rsidRPr="00B72B59" w:rsidRDefault="00B72B59" w:rsidP="005C1DF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t>Індекс проліферації у хворих на РПК, що загинули від прогресування склав 1129,4Ч10</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±39,8Ч10</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/мм</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 у хворих, що вижили індекс проліферації склав 740,4Ч10</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±23,1Ч10</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/мм</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 різниця між показниками статистично вірогідна (p&lt;0,001).</w:t>
                  </w:r>
                </w:p>
                <w:p w14:paraId="64766F1C" w14:textId="77777777" w:rsidR="00B72B59" w:rsidRPr="00B72B59" w:rsidRDefault="00B72B59" w:rsidP="005C1DF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t>Експресія індукованої синтази оксиду азоту у тих, які вижили, та загиблих від прогресування хворих склала, відповідно, 191,7Ч10</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±21,2Ч10</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 і 791,9Ч10</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±71,5Ч10</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 різниця між показниками статистично вірогідна (p&lt;0,001).</w:t>
                  </w:r>
                </w:p>
                <w:p w14:paraId="2E917138" w14:textId="77777777" w:rsidR="00B72B59" w:rsidRPr="00B72B59" w:rsidRDefault="00B72B59" w:rsidP="005C1DF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t>Побудовано математичну модель прогнозу віддалених результатів лікування, чутливість моделі – 84,2% (ВІ 70,6%–94,2%), специфічність – 86,3% (ВІ 77,4%–93,3%). До найбільш значущих у прогностичному відношенні ознак належать: локалізація пухлини у прямій кишці, стадія захворювання, індекс проліферації раку прямої кишки, кількість індукованої форми синтази оксиду азоту у карциномі прямої кишки.</w:t>
                  </w:r>
                </w:p>
                <w:p w14:paraId="1CB14857" w14:textId="77777777" w:rsidR="00B72B59" w:rsidRPr="00B72B59" w:rsidRDefault="00B72B59" w:rsidP="005C1DF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t>Існує слабкий кореляційний зв’язок (r&lt;0,3) між стадією раку прямої кишки, морфологічними диференціюванням пухлини, кількістю проліферуючих клітин та експресією індукованої синтази оксиду азоту.</w:t>
                  </w:r>
                </w:p>
                <w:p w14:paraId="5830E0A9" w14:textId="77777777" w:rsidR="00B72B59" w:rsidRPr="00B72B59" w:rsidRDefault="00B72B59" w:rsidP="005C1DF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t>Передопераційна променева терапія покращує виживання у тих хворих, які на момент початку лікування мають проліферативну активність пухлини &gt;1000Ч10</w:t>
                  </w:r>
                  <w:r w:rsidRPr="00B72B59">
                    <w:rPr>
                      <w:rFonts w:ascii="Times New Roman" w:eastAsia="Times New Roman" w:hAnsi="Times New Roman" w:cs="Times New Roman"/>
                      <w:sz w:val="24"/>
                      <w:szCs w:val="24"/>
                      <w:vertAlign w:val="superscript"/>
                    </w:rPr>
                    <w:t>3 </w:t>
                  </w:r>
                  <w:r w:rsidRPr="00B72B59">
                    <w:rPr>
                      <w:rFonts w:ascii="Times New Roman" w:eastAsia="Times New Roman" w:hAnsi="Times New Roman" w:cs="Times New Roman"/>
                      <w:sz w:val="24"/>
                      <w:szCs w:val="24"/>
                    </w:rPr>
                    <w:t>мкм</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 що після лікування знижується нижче 700Ч10</w:t>
                  </w:r>
                  <w:r w:rsidRPr="00B72B59">
                    <w:rPr>
                      <w:rFonts w:ascii="Times New Roman" w:eastAsia="Times New Roman" w:hAnsi="Times New Roman" w:cs="Times New Roman"/>
                      <w:sz w:val="24"/>
                      <w:szCs w:val="24"/>
                      <w:vertAlign w:val="superscript"/>
                    </w:rPr>
                    <w:t>3 </w:t>
                  </w:r>
                  <w:r w:rsidRPr="00B72B59">
                    <w:rPr>
                      <w:rFonts w:ascii="Times New Roman" w:eastAsia="Times New Roman" w:hAnsi="Times New Roman" w:cs="Times New Roman"/>
                      <w:sz w:val="24"/>
                      <w:szCs w:val="24"/>
                    </w:rPr>
                    <w:t>мкм</w:t>
                  </w:r>
                  <w:r w:rsidRPr="00B72B59">
                    <w:rPr>
                      <w:rFonts w:ascii="Times New Roman" w:eastAsia="Times New Roman" w:hAnsi="Times New Roman" w:cs="Times New Roman"/>
                      <w:sz w:val="24"/>
                      <w:szCs w:val="24"/>
                      <w:vertAlign w:val="superscript"/>
                    </w:rPr>
                    <w:t>-3 </w:t>
                  </w:r>
                  <w:r w:rsidRPr="00B72B59">
                    <w:rPr>
                      <w:rFonts w:ascii="Times New Roman" w:eastAsia="Times New Roman" w:hAnsi="Times New Roman" w:cs="Times New Roman"/>
                      <w:sz w:val="24"/>
                      <w:szCs w:val="24"/>
                    </w:rPr>
                    <w:t>(p&lt;0,05).</w:t>
                  </w:r>
                </w:p>
                <w:p w14:paraId="66278FEE" w14:textId="77777777" w:rsidR="00B72B59" w:rsidRPr="00B72B59" w:rsidRDefault="00B72B59" w:rsidP="005C1DF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t>Показанням до проведення ад’ювантної хіміотерапії у хворих на рак прямої кишки є високий індекс проліферації (більш ніж 1000Ч10</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 клітин у мкм</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 та наявність високої експресії індукованої синтази оксиду азоту (більш ніж 700Ч10</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 клітин у</w:t>
                  </w:r>
                  <w:r w:rsidRPr="00B72B59">
                    <w:rPr>
                      <w:rFonts w:ascii="Times New Roman" w:eastAsia="Times New Roman" w:hAnsi="Times New Roman" w:cs="Times New Roman"/>
                      <w:sz w:val="24"/>
                      <w:szCs w:val="24"/>
                      <w:vertAlign w:val="superscript"/>
                    </w:rPr>
                    <w:t> </w:t>
                  </w:r>
                  <w:r w:rsidRPr="00B72B59">
                    <w:rPr>
                      <w:rFonts w:ascii="Times New Roman" w:eastAsia="Times New Roman" w:hAnsi="Times New Roman" w:cs="Times New Roman"/>
                      <w:sz w:val="24"/>
                      <w:szCs w:val="24"/>
                    </w:rPr>
                    <w:t>мкм</w:t>
                  </w:r>
                  <w:r w:rsidRPr="00B72B59">
                    <w:rPr>
                      <w:rFonts w:ascii="Times New Roman" w:eastAsia="Times New Roman" w:hAnsi="Times New Roman" w:cs="Times New Roman"/>
                      <w:sz w:val="24"/>
                      <w:szCs w:val="24"/>
                      <w:vertAlign w:val="superscript"/>
                    </w:rPr>
                    <w:t>-3</w:t>
                  </w:r>
                  <w:r w:rsidRPr="00B72B59">
                    <w:rPr>
                      <w:rFonts w:ascii="Times New Roman" w:eastAsia="Times New Roman" w:hAnsi="Times New Roman" w:cs="Times New Roman"/>
                      <w:sz w:val="24"/>
                      <w:szCs w:val="24"/>
                    </w:rPr>
                    <w:t>).</w:t>
                  </w:r>
                </w:p>
                <w:p w14:paraId="16C983D1" w14:textId="77777777" w:rsidR="00B72B59" w:rsidRPr="00B72B59" w:rsidRDefault="00B72B59" w:rsidP="005C1DF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72B59">
                    <w:rPr>
                      <w:rFonts w:ascii="Times New Roman" w:eastAsia="Times New Roman" w:hAnsi="Times New Roman" w:cs="Times New Roman"/>
                      <w:sz w:val="24"/>
                      <w:szCs w:val="24"/>
                    </w:rPr>
                    <w:lastRenderedPageBreak/>
                    <w:t>Імуногістохімічне визначення показників проліферативної активності та експресії індукованої форми синтази оксиду азоту викорустовується для індивідуалізації призначення передопераційної променевої терапії та ад’ювантної хіміотерапії у хворих на рак прямої кишки в роботі абдомінальних відділень обласних, районних онкологічних центрів і диспансерів.</w:t>
                  </w:r>
                </w:p>
              </w:tc>
            </w:tr>
          </w:tbl>
          <w:p w14:paraId="6A792512" w14:textId="77777777" w:rsidR="00B72B59" w:rsidRPr="00B72B59" w:rsidRDefault="00B72B59" w:rsidP="00B72B59">
            <w:pPr>
              <w:spacing w:after="0" w:line="240" w:lineRule="auto"/>
              <w:rPr>
                <w:rFonts w:ascii="Times New Roman" w:eastAsia="Times New Roman" w:hAnsi="Times New Roman" w:cs="Times New Roman"/>
                <w:sz w:val="24"/>
                <w:szCs w:val="24"/>
              </w:rPr>
            </w:pPr>
          </w:p>
        </w:tc>
      </w:tr>
    </w:tbl>
    <w:p w14:paraId="20FB8167" w14:textId="77777777" w:rsidR="00B72B59" w:rsidRPr="00B72B59" w:rsidRDefault="00B72B59" w:rsidP="00B72B59"/>
    <w:sectPr w:rsidR="00B72B59" w:rsidRPr="00B72B5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36F7" w14:textId="77777777" w:rsidR="005C1DFA" w:rsidRDefault="005C1DFA">
      <w:pPr>
        <w:spacing w:after="0" w:line="240" w:lineRule="auto"/>
      </w:pPr>
      <w:r>
        <w:separator/>
      </w:r>
    </w:p>
  </w:endnote>
  <w:endnote w:type="continuationSeparator" w:id="0">
    <w:p w14:paraId="702E023E" w14:textId="77777777" w:rsidR="005C1DFA" w:rsidRDefault="005C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3F039" w14:textId="77777777" w:rsidR="005C1DFA" w:rsidRDefault="005C1DFA">
      <w:pPr>
        <w:spacing w:after="0" w:line="240" w:lineRule="auto"/>
      </w:pPr>
      <w:r>
        <w:separator/>
      </w:r>
    </w:p>
  </w:footnote>
  <w:footnote w:type="continuationSeparator" w:id="0">
    <w:p w14:paraId="251281FE" w14:textId="77777777" w:rsidR="005C1DFA" w:rsidRDefault="005C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C1DF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96E"/>
    <w:multiLevelType w:val="multilevel"/>
    <w:tmpl w:val="59CAED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DF3C6F"/>
    <w:multiLevelType w:val="multilevel"/>
    <w:tmpl w:val="70A6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DFA"/>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129545</TotalTime>
  <Pages>3</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5987</cp:revision>
  <dcterms:created xsi:type="dcterms:W3CDTF">2024-06-20T08:51:00Z</dcterms:created>
  <dcterms:modified xsi:type="dcterms:W3CDTF">2025-01-28T12:52:00Z</dcterms:modified>
  <cp:category/>
</cp:coreProperties>
</file>