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ectPr>
          <w:headerReference w:type="default" r:id="rId7"/>
          <w:pgSz w:orient="portrait" w:w="11870" w:h="16787"/>
          <w:pgMar w:top="1440" w:right="1440" w:bottom="1440" w:left="1440" w:header="720" w:footer="720" w:gutter="0"/>
          <w:cols w:num="1" w:space="720"/>
        </w:sectPr>
      </w:pPr>
    </w:p>
    <w:p>
      <w:pPr>
        <w:jc w:val="both"/>
      </w:pPr>
      <w:r>
        <w:rPr>
          <w:rFonts w:ascii="Verdana" w:hAnsi="Verdana" w:eastAsia="Verdana" w:cs="Verdana"/>
          <w:color w:val="000000"/>
          <w:sz w:val="22"/>
          <w:szCs w:val="22"/>
          <w:b/>
        </w:rPr>
        <w:t xml:space="preserve">Куприянычева Наталья Ивановна. Формирование эвристических умений при профессиональной подготовке инженеров в техническом вузе : Дис. ... канд. пед. наук : 13.00.08 : Самара, 2004 240 c. РГБ ОД, 61:04-13/1914</w:t>
      </w:r>
    </w:p>
    <w:sectPr>
      <w:pgSz w:orient="portrait" w:w="11870" w:h="16787"/>
      <w:pgMar w:top="1440" w:right="1440" w:bottom="1440" w:left="144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both"/>
    </w:pPr>
    <w:r>
      <w:rPr>
        <w:rFonts w:ascii="Verdana" w:hAnsi="Verdana" w:eastAsia="Verdana" w:cs="Verdana"/>
        <w:color w:val="800000"/>
        <w:sz w:val="28"/>
        <w:szCs w:val="28"/>
      </w:rPr>
      <w:t xml:space="preserve">Для заказа доставки данной работы воспользуйтесь поиском на сайте по ссылке:</w:t>
    </w:r>
  </w:p>
  <w:p>
    <w:pPr>
      <w:jc w:val="both"/>
    </w:pPr>
    <w:r>
      <w:rPr>
        <w:rFonts w:ascii="Verdana" w:hAnsi="Verdana" w:eastAsia="Verdana" w:cs="Verdana"/>
        <w:color w:val="080080"/>
        <w:sz w:val="28"/>
        <w:szCs w:val="28"/>
      </w:rPr>
      <w:t xml:space="preserve">http://www.mydisser.com/search.html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2018-05-25T16:24:45+04:00</dcterms:created>
  <dcterms:modified xsi:type="dcterms:W3CDTF">2018-05-25T16:24:45+04:00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