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ectPr>
          <w:headerReference w:type="default" r:id="rId7"/>
          <w:pgSz w:orient="portrait" w:w="11870" w:h="16787"/>
          <w:pgMar w:top="1440" w:right="1440" w:bottom="1440" w:left="1440" w:header="720" w:footer="720" w:gutter="0"/>
          <w:cols w:num="1" w:space="720"/>
        </w:sectPr>
      </w:pPr>
    </w:p>
    <w:p>
      <w:pPr>
        <w:jc w:val="both"/>
      </w:pPr>
      <w:r>
        <w:rPr>
          <w:rFonts w:ascii="Verdana" w:hAnsi="Verdana" w:eastAsia="Verdana" w:cs="Verdana"/>
          <w:color w:val="000000"/>
          <w:sz w:val="22"/>
          <w:szCs w:val="22"/>
          <w:b/>
        </w:rPr>
        <w:t xml:space="preserve">Материалы и технологии изделий с регулируемой вариатропией структуры бетона из активированных бетонных смесей Стельмах Сергей Анатольевич. [Место защиты:  «Донской государственный технический университет»], 2025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both"/>
    </w:pPr>
    <w:r>
      <w:rPr>
        <w:rFonts w:ascii="Verdana" w:hAnsi="Verdana" w:eastAsia="Verdana" w:cs="Verdana"/>
        <w:color w:val="800000"/>
        <w:sz w:val="28"/>
        <w:szCs w:val="28"/>
      </w:rPr>
      <w:t xml:space="preserve">Для заказа доставки данной работы воспользуйтесь поиском на сайте по ссылке:</w:t>
    </w:r>
  </w:p>
  <w:p>
    <w:pPr>
      <w:jc w:val="both"/>
    </w:pPr>
    <w:r>
      <w:rPr>
        <w:rFonts w:ascii="Verdana" w:hAnsi="Verdana" w:eastAsia="Verdana" w:cs="Verdana"/>
        <w:color w:val="080080"/>
        <w:sz w:val="28"/>
        <w:szCs w:val="28"/>
      </w:rPr>
      <w:t xml:space="preserve">http://www.mydisser.com/search.html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2026-03-18T10:23:15+03:00</dcterms:created>
  <dcterms:modified xsi:type="dcterms:W3CDTF">2026-03-18T10:23:15+03:00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