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ectPr>
          <w:headerReference w:type="default" r:id="rId7"/>
          <w:pgSz w:orient="portrait" w:w="11870" w:h="16787"/>
          <w:pgMar w:top="1440" w:right="1440" w:bottom="1440" w:left="1440" w:header="720" w:footer="720" w:gutter="0"/>
          <w:cols w:num="1" w:space="720"/>
        </w:sectPr>
      </w:pPr>
    </w:p>
    <w:p>
      <w:pPr>
        <w:jc w:val="both"/>
      </w:pPr>
      <w:r>
        <w:rPr>
          <w:rFonts w:ascii="Verdana" w:hAnsi="Verdana" w:eastAsia="Verdana" w:cs="Verdana"/>
          <w:color w:val="000000"/>
          <w:sz w:val="22"/>
          <w:szCs w:val="22"/>
          <w:b/>
        </w:rPr>
        <w:t xml:space="preserve">Комплексная оценка экологического состояния городских территорий (на примере г. Хабаровска) Кошельков Антон Михайлович. [Место защиты:  Тихоокеанский институт географии Дальневосточного отделения Российской академии наук], 2025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both"/>
    </w:pPr>
    <w:r>
      <w:rPr>
        <w:rFonts w:ascii="Verdana" w:hAnsi="Verdana" w:eastAsia="Verdana" w:cs="Verdana"/>
        <w:color w:val="800000"/>
        <w:sz w:val="28"/>
        <w:szCs w:val="28"/>
      </w:rPr>
      <w:t xml:space="preserve">Для заказа доставки данной работы воспользуйтесь поиском на сайте по ссылке:</w:t>
    </w:r>
  </w:p>
  <w:p>
    <w:pPr>
      <w:jc w:val="both"/>
    </w:pPr>
    <w:r>
      <w:rPr>
        <w:rFonts w:ascii="Verdana" w:hAnsi="Verdana" w:eastAsia="Verdana" w:cs="Verdana"/>
        <w:color w:val="080080"/>
        <w:sz w:val="28"/>
        <w:szCs w:val="28"/>
      </w:rPr>
      <w:t xml:space="preserve">http://www.mydisser.com/search.html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2026-03-18T21:16:40+03:00</dcterms:created>
  <dcterms:modified xsi:type="dcterms:W3CDTF">2026-03-18T21:16:40+03:00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