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ectPr><w:headerReference w:type="default" r:id="rId7"/><w:pgSz w:orient="portrait" w:w="11870" w:h="16787"/><w:pgMar w:top="1440" w:right="1440" w:bottom="1440" w:left="1440" w:header="720" w:footer="720" w:gutter="0"/><w:cols w:num="1" w:space="720"/></w:sectPr></w:pPr></w:p><w:p><w:pPr><w:jc w:val="both"/></w:pPr><w:r><w:rPr><w:rFonts w:ascii="Verdana" w:hAnsi="Verdana" w:eastAsia="Verdana" w:cs="Verdana"/><w:color w:val="000000"/><w:sz w:val="22"/><w:szCs w:val="22"/><w:b/></w:rPr><w:t xml:space="preserve">Калпакчиева Румяна Георгиева. Экспериментальное исследование структуры нейтроноизбыточных cлабосвязанных и несвязанных ядер в области 1 =< Z =< 6 : диссертация ... доктора физико-математических наук : 01.04.16 / Калпакчиева Румяна Георгиева; [Место защиты: Объединенный институт ядерных исследований].- Дубна, 2009.- 147 с.: ил.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2017-06-20T20:33:00+04:00</dcterms:created>
  <dcterms:modified xsi:type="dcterms:W3CDTF">2017-06-20T20:33:00+04:00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