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19F" w:rsidRPr="00B1119F" w:rsidRDefault="00B1119F" w:rsidP="00B1119F">
      <w:pPr>
        <w:tabs>
          <w:tab w:val="clear" w:pos="709"/>
        </w:tabs>
        <w:suppressAutoHyphens w:val="0"/>
        <w:spacing w:after="596" w:line="322" w:lineRule="exact"/>
        <w:ind w:left="420" w:firstLine="0"/>
        <w:jc w:val="center"/>
        <w:rPr>
          <w:rFonts w:ascii="Times New Roman" w:eastAsia="Times New Roman" w:hAnsi="Times New Roman" w:cs="Times New Roman"/>
          <w:b/>
          <w:bCs/>
          <w:kern w:val="0"/>
          <w:sz w:val="26"/>
          <w:szCs w:val="26"/>
          <w:lang w:val="uk-UA" w:eastAsia="uk-UA" w:bidi="uk-UA"/>
        </w:rPr>
      </w:pPr>
      <w:r w:rsidRPr="00B1119F">
        <w:rPr>
          <w:rFonts w:ascii="Times New Roman" w:eastAsia="Times New Roman" w:hAnsi="Times New Roman" w:cs="Times New Roman"/>
          <w:b/>
          <w:bCs/>
          <w:color w:val="000000"/>
          <w:kern w:val="0"/>
          <w:sz w:val="26"/>
          <w:szCs w:val="26"/>
          <w:lang w:val="uk-UA" w:eastAsia="uk-UA" w:bidi="uk-UA"/>
        </w:rPr>
        <w:t>УНІВЕРСИТЕТ БАНКІВСЬКОЇ СПРАВИ</w:t>
      </w:r>
      <w:r w:rsidRPr="00B1119F">
        <w:rPr>
          <w:rFonts w:ascii="Times New Roman" w:eastAsia="Times New Roman" w:hAnsi="Times New Roman" w:cs="Times New Roman"/>
          <w:b/>
          <w:bCs/>
          <w:color w:val="000000"/>
          <w:kern w:val="0"/>
          <w:sz w:val="26"/>
          <w:szCs w:val="26"/>
          <w:lang w:val="uk-UA" w:eastAsia="uk-UA" w:bidi="uk-UA"/>
        </w:rPr>
        <w:br/>
        <w:t>НАЦІОНАЛЬНОГО БАНКУ УКРАЇНИ (м. Київ)</w:t>
      </w:r>
    </w:p>
    <w:p w:rsidR="00B1119F" w:rsidRPr="00B1119F" w:rsidRDefault="00B1119F" w:rsidP="00B1119F">
      <w:pPr>
        <w:framePr w:h="768" w:wrap="notBeside" w:vAnchor="text" w:hAnchor="text" w:xAlign="right" w:y="1"/>
        <w:tabs>
          <w:tab w:val="clear" w:pos="709"/>
        </w:tabs>
        <w:suppressAutoHyphens w:val="0"/>
        <w:spacing w:after="0" w:line="240" w:lineRule="auto"/>
        <w:ind w:firstLine="0"/>
        <w:jc w:val="right"/>
        <w:rPr>
          <w:rFonts w:ascii="Arial Unicode MS" w:eastAsia="Arial Unicode MS" w:hAnsi="Arial Unicode MS" w:cs="Arial Unicode MS"/>
          <w:color w:val="000000"/>
          <w:kern w:val="0"/>
          <w:sz w:val="2"/>
          <w:szCs w:val="2"/>
          <w:lang w:val="uk-UA" w:eastAsia="uk-UA" w:bidi="uk-UA"/>
        </w:rPr>
      </w:pPr>
      <w:r>
        <w:rPr>
          <w:rFonts w:ascii="Arial Unicode MS" w:eastAsia="Arial Unicode MS" w:hAnsi="Arial Unicode MS" w:cs="Arial Unicode MS"/>
          <w:noProof/>
          <w:color w:val="000000"/>
          <w:kern w:val="0"/>
          <w:sz w:val="24"/>
          <w:szCs w:val="24"/>
          <w:lang w:eastAsia="ru-RU"/>
        </w:rPr>
        <w:drawing>
          <wp:inline distT="0" distB="0" distL="0" distR="0">
            <wp:extent cx="1066800" cy="478790"/>
            <wp:effectExtent l="19050" t="0" r="0" b="0"/>
            <wp:docPr id="3" name="Рисунок 95" descr="C:\Users\Pavel\AppData\Local\Temp\Rar$DIa0.749\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Pavel\AppData\Local\Temp\Rar$DIa0.749\media\image1.jpeg"/>
                    <pic:cNvPicPr>
                      <a:picLocks noChangeAspect="1" noChangeArrowheads="1"/>
                    </pic:cNvPicPr>
                  </pic:nvPicPr>
                  <pic:blipFill>
                    <a:blip r:embed="rId8" cstate="print"/>
                    <a:srcRect/>
                    <a:stretch>
                      <a:fillRect/>
                    </a:stretch>
                  </pic:blipFill>
                  <pic:spPr bwMode="auto">
                    <a:xfrm>
                      <a:off x="0" y="0"/>
                      <a:ext cx="1066800" cy="478790"/>
                    </a:xfrm>
                    <a:prstGeom prst="rect">
                      <a:avLst/>
                    </a:prstGeom>
                    <a:noFill/>
                    <a:ln w="9525">
                      <a:noFill/>
                      <a:miter lim="800000"/>
                      <a:headEnd/>
                      <a:tailEnd/>
                    </a:ln>
                  </pic:spPr>
                </pic:pic>
              </a:graphicData>
            </a:graphic>
          </wp:inline>
        </w:drawing>
      </w:r>
    </w:p>
    <w:p w:rsidR="00B1119F" w:rsidRPr="00B1119F" w:rsidRDefault="00B1119F" w:rsidP="00B1119F">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B1119F" w:rsidRPr="00B1119F" w:rsidRDefault="00B1119F" w:rsidP="00B1119F">
      <w:pPr>
        <w:tabs>
          <w:tab w:val="clear" w:pos="709"/>
        </w:tabs>
        <w:suppressAutoHyphens w:val="0"/>
        <w:spacing w:before="224" w:after="592" w:line="260" w:lineRule="exact"/>
        <w:ind w:left="1640" w:firstLine="0"/>
        <w:jc w:val="left"/>
        <w:rPr>
          <w:rFonts w:ascii="Times New Roman" w:eastAsia="Times New Roman" w:hAnsi="Times New Roman" w:cs="Times New Roman"/>
          <w:b/>
          <w:bCs/>
          <w:kern w:val="0"/>
          <w:sz w:val="26"/>
          <w:szCs w:val="26"/>
          <w:lang w:val="uk-UA" w:eastAsia="uk-UA" w:bidi="uk-UA"/>
        </w:rPr>
      </w:pPr>
      <w:r w:rsidRPr="00B1119F">
        <w:rPr>
          <w:rFonts w:ascii="Times New Roman" w:eastAsia="Times New Roman" w:hAnsi="Times New Roman" w:cs="Times New Roman"/>
          <w:b/>
          <w:bCs/>
          <w:color w:val="000000"/>
          <w:kern w:val="0"/>
          <w:sz w:val="26"/>
          <w:szCs w:val="26"/>
          <w:lang w:val="uk-UA" w:eastAsia="uk-UA" w:bidi="uk-UA"/>
        </w:rPr>
        <w:t>РЯБОКОНЬ НАТАЛІЯ ПЕТРІВНА</w:t>
      </w:r>
    </w:p>
    <w:p w:rsidR="00B1119F" w:rsidRPr="00B1119F" w:rsidRDefault="00B1119F" w:rsidP="00B1119F">
      <w:pPr>
        <w:tabs>
          <w:tab w:val="clear" w:pos="709"/>
        </w:tabs>
        <w:suppressAutoHyphens w:val="0"/>
        <w:spacing w:after="99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УДК</w:t>
      </w:r>
      <w:hyperlink r:id="rId9" w:history="1">
        <w:r w:rsidRPr="00B1119F">
          <w:rPr>
            <w:rFonts w:ascii="Arial Unicode MS" w:eastAsia="Arial Unicode MS" w:hAnsi="Arial Unicode MS" w:cs="Arial Unicode MS"/>
            <w:color w:val="0066CC"/>
            <w:kern w:val="0"/>
            <w:sz w:val="24"/>
            <w:szCs w:val="24"/>
            <w:u w:val="single"/>
            <w:lang w:val="uk-UA" w:eastAsia="uk-UA" w:bidi="uk-UA"/>
          </w:rPr>
          <w:t xml:space="preserve"> 368.021:</w:t>
        </w:r>
      </w:hyperlink>
      <w:r w:rsidRPr="00B1119F">
        <w:rPr>
          <w:rFonts w:ascii="Arial Unicode MS" w:eastAsia="Arial Unicode MS" w:hAnsi="Arial Unicode MS" w:cs="Arial Unicode MS"/>
          <w:color w:val="000000"/>
          <w:kern w:val="0"/>
          <w:sz w:val="24"/>
          <w:szCs w:val="24"/>
          <w:lang w:val="uk-UA" w:eastAsia="uk-UA" w:bidi="uk-UA"/>
        </w:rPr>
        <w:t>347.732.6</w:t>
      </w:r>
    </w:p>
    <w:p w:rsidR="00B1119F" w:rsidRPr="00B1119F" w:rsidRDefault="00B1119F" w:rsidP="00B1119F">
      <w:pPr>
        <w:tabs>
          <w:tab w:val="clear" w:pos="709"/>
        </w:tabs>
        <w:suppressAutoHyphens w:val="0"/>
        <w:spacing w:after="1665" w:line="320" w:lineRule="exact"/>
        <w:ind w:firstLine="0"/>
        <w:jc w:val="left"/>
        <w:rPr>
          <w:rFonts w:ascii="Times New Roman" w:eastAsia="Times New Roman" w:hAnsi="Times New Roman" w:cs="Times New Roman"/>
          <w:b/>
          <w:bCs/>
          <w:kern w:val="0"/>
          <w:sz w:val="32"/>
          <w:szCs w:val="32"/>
          <w:lang w:val="uk-UA" w:eastAsia="uk-UA" w:bidi="uk-UA"/>
        </w:rPr>
      </w:pPr>
      <w:r w:rsidRPr="00B1119F">
        <w:rPr>
          <w:rFonts w:ascii="Times New Roman" w:eastAsia="Times New Roman" w:hAnsi="Times New Roman" w:cs="Times New Roman"/>
          <w:b/>
          <w:bCs/>
          <w:color w:val="000000"/>
          <w:kern w:val="0"/>
          <w:sz w:val="32"/>
          <w:szCs w:val="32"/>
          <w:lang w:val="uk-UA" w:eastAsia="uk-UA" w:bidi="uk-UA"/>
        </w:rPr>
        <w:t>СИСТЕМА РЕАЛІЗАЦІЇ СТРАХОВИХ ПРОДУКТІВ</w:t>
      </w:r>
    </w:p>
    <w:p w:rsidR="00B1119F" w:rsidRPr="00B1119F" w:rsidRDefault="00B1119F" w:rsidP="00B1119F">
      <w:pPr>
        <w:tabs>
          <w:tab w:val="clear" w:pos="709"/>
        </w:tabs>
        <w:suppressAutoHyphens w:val="0"/>
        <w:spacing w:after="1623" w:line="260" w:lineRule="exact"/>
        <w:ind w:left="420" w:firstLine="0"/>
        <w:jc w:val="center"/>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Спеціальність 08.00.08 - гроші, фінанси і кредит</w:t>
      </w:r>
    </w:p>
    <w:p w:rsidR="00B1119F" w:rsidRPr="00B1119F" w:rsidRDefault="00B1119F" w:rsidP="00B1119F">
      <w:pPr>
        <w:tabs>
          <w:tab w:val="clear" w:pos="709"/>
        </w:tabs>
        <w:suppressAutoHyphens w:val="0"/>
        <w:spacing w:after="0" w:line="322" w:lineRule="exact"/>
        <w:ind w:left="420" w:firstLine="0"/>
        <w:jc w:val="center"/>
        <w:rPr>
          <w:rFonts w:ascii="Times New Roman" w:eastAsia="Times New Roman" w:hAnsi="Times New Roman" w:cs="Times New Roman"/>
          <w:b/>
          <w:bCs/>
          <w:kern w:val="0"/>
          <w:sz w:val="26"/>
          <w:szCs w:val="26"/>
          <w:lang w:val="uk-UA" w:eastAsia="uk-UA" w:bidi="uk-UA"/>
        </w:rPr>
      </w:pPr>
      <w:r w:rsidRPr="00B1119F">
        <w:rPr>
          <w:rFonts w:ascii="Times New Roman" w:eastAsia="Times New Roman" w:hAnsi="Times New Roman" w:cs="Times New Roman"/>
          <w:b/>
          <w:bCs/>
          <w:color w:val="000000"/>
          <w:kern w:val="0"/>
          <w:sz w:val="26"/>
          <w:szCs w:val="26"/>
          <w:lang w:val="uk-UA" w:eastAsia="uk-UA" w:bidi="uk-UA"/>
        </w:rPr>
        <w:t>АВТОРЕФЕРАТ</w:t>
      </w:r>
    </w:p>
    <w:p w:rsidR="00B1119F" w:rsidRPr="00B1119F" w:rsidRDefault="00B1119F" w:rsidP="00B1119F">
      <w:pPr>
        <w:tabs>
          <w:tab w:val="clear" w:pos="709"/>
        </w:tabs>
        <w:suppressAutoHyphens w:val="0"/>
        <w:spacing w:after="4189" w:line="322" w:lineRule="exact"/>
        <w:ind w:left="420" w:firstLine="0"/>
        <w:jc w:val="center"/>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дисертації на здобуття наукового ступеня</w:t>
      </w:r>
      <w:r w:rsidRPr="00B1119F">
        <w:rPr>
          <w:rFonts w:ascii="Arial Unicode MS" w:eastAsia="Arial Unicode MS" w:hAnsi="Arial Unicode MS" w:cs="Arial Unicode MS"/>
          <w:color w:val="000000"/>
          <w:kern w:val="0"/>
          <w:sz w:val="24"/>
          <w:szCs w:val="24"/>
          <w:lang w:val="uk-UA" w:eastAsia="uk-UA" w:bidi="uk-UA"/>
        </w:rPr>
        <w:br/>
        <w:t>кандидата економічних наук</w:t>
      </w:r>
    </w:p>
    <w:p w:rsidR="00B1119F" w:rsidRPr="00B1119F" w:rsidRDefault="00B1119F" w:rsidP="00B1119F">
      <w:pPr>
        <w:tabs>
          <w:tab w:val="clear" w:pos="709"/>
        </w:tabs>
        <w:suppressAutoHyphens w:val="0"/>
        <w:spacing w:after="0" w:line="260" w:lineRule="exact"/>
        <w:ind w:left="420" w:firstLine="0"/>
        <w:jc w:val="center"/>
        <w:rPr>
          <w:rFonts w:ascii="Times New Roman" w:eastAsia="Times New Roman" w:hAnsi="Times New Roman" w:cs="Times New Roman"/>
          <w:b/>
          <w:bCs/>
          <w:kern w:val="0"/>
          <w:sz w:val="26"/>
          <w:szCs w:val="26"/>
          <w:lang w:val="uk-UA" w:eastAsia="uk-UA" w:bidi="uk-UA"/>
        </w:rPr>
        <w:sectPr w:rsidR="00B1119F" w:rsidRPr="00B1119F" w:rsidSect="00B1119F">
          <w:type w:val="continuous"/>
          <w:pgSz w:w="11900" w:h="16840"/>
          <w:pgMar w:top="1094" w:right="552" w:bottom="1094" w:left="2685" w:header="0" w:footer="3" w:gutter="0"/>
          <w:cols w:space="720"/>
          <w:noEndnote/>
          <w:docGrid w:linePitch="360"/>
        </w:sectPr>
      </w:pPr>
      <w:r w:rsidRPr="00B1119F">
        <w:rPr>
          <w:rFonts w:ascii="Times New Roman" w:eastAsia="Times New Roman" w:hAnsi="Times New Roman" w:cs="Times New Roman"/>
          <w:b/>
          <w:bCs/>
          <w:color w:val="000000"/>
          <w:kern w:val="0"/>
          <w:sz w:val="26"/>
          <w:szCs w:val="26"/>
          <w:lang w:val="uk-UA" w:eastAsia="uk-UA" w:bidi="uk-UA"/>
        </w:rPr>
        <w:t>Київ - 2014</w:t>
      </w:r>
    </w:p>
    <w:p w:rsidR="00B1119F" w:rsidRPr="00B1119F" w:rsidRDefault="00B1119F" w:rsidP="00B1119F">
      <w:pPr>
        <w:tabs>
          <w:tab w:val="clear" w:pos="709"/>
        </w:tabs>
        <w:suppressAutoHyphens w:val="0"/>
        <w:spacing w:before="79" w:after="79" w:line="240" w:lineRule="exact"/>
        <w:ind w:firstLine="0"/>
        <w:jc w:val="left"/>
        <w:rPr>
          <w:rFonts w:ascii="Arial Unicode MS" w:eastAsia="Arial Unicode MS" w:hAnsi="Arial Unicode MS" w:cs="Arial Unicode MS"/>
          <w:color w:val="000000"/>
          <w:kern w:val="0"/>
          <w:sz w:val="19"/>
          <w:szCs w:val="19"/>
          <w:lang w:val="uk-UA" w:eastAsia="uk-UA" w:bidi="uk-UA"/>
        </w:rPr>
      </w:pPr>
    </w:p>
    <w:p w:rsidR="00B1119F" w:rsidRPr="00B1119F" w:rsidRDefault="00B1119F" w:rsidP="00B1119F">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sectPr w:rsidR="00B1119F" w:rsidRPr="00B1119F">
          <w:pgSz w:w="11900" w:h="16840"/>
          <w:pgMar w:top="986" w:right="0" w:bottom="1124" w:left="0" w:header="0" w:footer="3" w:gutter="0"/>
          <w:cols w:space="720"/>
          <w:noEndnote/>
          <w:docGrid w:linePitch="360"/>
        </w:sectPr>
      </w:pPr>
    </w:p>
    <w:p w:rsidR="00B1119F" w:rsidRPr="00B1119F" w:rsidRDefault="00B1119F" w:rsidP="00B1119F">
      <w:pPr>
        <w:tabs>
          <w:tab w:val="clear" w:pos="709"/>
        </w:tabs>
        <w:suppressAutoHyphens w:val="0"/>
        <w:spacing w:after="309" w:line="260" w:lineRule="exact"/>
        <w:ind w:firstLine="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Дисертацією є рукопис.</w:t>
      </w:r>
    </w:p>
    <w:p w:rsidR="00B1119F" w:rsidRPr="00B1119F" w:rsidRDefault="00B1119F" w:rsidP="00B1119F">
      <w:pPr>
        <w:tabs>
          <w:tab w:val="clear" w:pos="709"/>
        </w:tabs>
        <w:suppressAutoHyphens w:val="0"/>
        <w:spacing w:after="244" w:line="326" w:lineRule="exact"/>
        <w:ind w:right="1480"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Робота виконана в Університеті банківської справи Національного банку України (м. Київ).</w:t>
      </w:r>
    </w:p>
    <w:p w:rsidR="00B1119F" w:rsidRPr="00B1119F" w:rsidRDefault="00B1119F" w:rsidP="00B1119F">
      <w:pPr>
        <w:tabs>
          <w:tab w:val="clear" w:pos="709"/>
          <w:tab w:val="left" w:pos="3530"/>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26"/>
          <w:szCs w:val="26"/>
          <w:lang w:val="uk-UA" w:eastAsia="uk-UA" w:bidi="uk-UA"/>
        </w:rPr>
        <w:t>Науковий керівник:</w:t>
      </w:r>
      <w:r w:rsidRPr="00B1119F">
        <w:rPr>
          <w:rFonts w:ascii="Times New Roman" w:eastAsia="Arial Unicode MS" w:hAnsi="Times New Roman" w:cs="Times New Roman"/>
          <w:b/>
          <w:bCs/>
          <w:color w:val="000000"/>
          <w:kern w:val="0"/>
          <w:sz w:val="26"/>
          <w:szCs w:val="26"/>
          <w:lang w:val="uk-UA" w:eastAsia="uk-UA" w:bidi="uk-UA"/>
        </w:rPr>
        <w:tab/>
      </w:r>
      <w:r w:rsidRPr="00B1119F">
        <w:rPr>
          <w:rFonts w:ascii="Arial Unicode MS" w:eastAsia="Arial Unicode MS" w:hAnsi="Arial Unicode MS" w:cs="Arial Unicode MS"/>
          <w:color w:val="000000"/>
          <w:kern w:val="0"/>
          <w:sz w:val="24"/>
          <w:szCs w:val="24"/>
          <w:lang w:val="uk-UA" w:eastAsia="uk-UA" w:bidi="uk-UA"/>
        </w:rPr>
        <w:t>доктор економічних наук, професор</w:t>
      </w:r>
    </w:p>
    <w:p w:rsidR="00B1119F" w:rsidRPr="00B1119F" w:rsidRDefault="00B1119F" w:rsidP="00B1119F">
      <w:pPr>
        <w:tabs>
          <w:tab w:val="clear" w:pos="709"/>
        </w:tabs>
        <w:suppressAutoHyphens w:val="0"/>
        <w:spacing w:after="0" w:line="322" w:lineRule="exact"/>
        <w:ind w:left="3580" w:firstLine="0"/>
        <w:jc w:val="left"/>
        <w:rPr>
          <w:rFonts w:ascii="Times New Roman" w:eastAsia="Times New Roman" w:hAnsi="Times New Roman" w:cs="Times New Roman"/>
          <w:b/>
          <w:bCs/>
          <w:kern w:val="0"/>
          <w:sz w:val="26"/>
          <w:szCs w:val="26"/>
          <w:lang w:val="uk-UA" w:eastAsia="uk-UA" w:bidi="uk-UA"/>
        </w:rPr>
      </w:pPr>
      <w:r w:rsidRPr="00B1119F">
        <w:rPr>
          <w:rFonts w:ascii="Times New Roman" w:eastAsia="Times New Roman" w:hAnsi="Times New Roman" w:cs="Times New Roman"/>
          <w:b/>
          <w:bCs/>
          <w:color w:val="000000"/>
          <w:kern w:val="0"/>
          <w:sz w:val="26"/>
          <w:szCs w:val="26"/>
          <w:lang w:val="uk-UA" w:eastAsia="ru-RU" w:bidi="ru-RU"/>
        </w:rPr>
        <w:t xml:space="preserve">Ткаченко </w:t>
      </w:r>
      <w:r w:rsidRPr="00B1119F">
        <w:rPr>
          <w:rFonts w:ascii="Times New Roman" w:eastAsia="Times New Roman" w:hAnsi="Times New Roman" w:cs="Times New Roman"/>
          <w:b/>
          <w:bCs/>
          <w:color w:val="000000"/>
          <w:kern w:val="0"/>
          <w:sz w:val="26"/>
          <w:szCs w:val="26"/>
          <w:lang w:val="uk-UA" w:eastAsia="uk-UA" w:bidi="uk-UA"/>
        </w:rPr>
        <w:t>Наталія Володимирівна,</w:t>
      </w:r>
    </w:p>
    <w:p w:rsidR="00B1119F" w:rsidRPr="00B1119F" w:rsidRDefault="00B1119F" w:rsidP="00B1119F">
      <w:pPr>
        <w:tabs>
          <w:tab w:val="clear" w:pos="709"/>
        </w:tabs>
        <w:suppressAutoHyphens w:val="0"/>
        <w:spacing w:after="240" w:line="322" w:lineRule="exact"/>
        <w:ind w:left="3580" w:right="1240"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Черкаський інститут банківської справи Університету банківської справи Національного банку України </w:t>
      </w:r>
      <w:r w:rsidRPr="00B1119F">
        <w:rPr>
          <w:rFonts w:ascii="Arial Unicode MS" w:eastAsia="Arial Unicode MS" w:hAnsi="Arial Unicode MS" w:cs="Arial Unicode MS"/>
          <w:color w:val="000000"/>
          <w:kern w:val="0"/>
          <w:sz w:val="24"/>
          <w:szCs w:val="24"/>
          <w:lang w:val="uk-UA" w:eastAsia="ru-RU" w:bidi="ru-RU"/>
        </w:rPr>
        <w:t xml:space="preserve">(м. </w:t>
      </w:r>
      <w:r w:rsidRPr="00B1119F">
        <w:rPr>
          <w:rFonts w:ascii="Arial Unicode MS" w:eastAsia="Arial Unicode MS" w:hAnsi="Arial Unicode MS" w:cs="Arial Unicode MS"/>
          <w:color w:val="000000"/>
          <w:kern w:val="0"/>
          <w:sz w:val="24"/>
          <w:szCs w:val="24"/>
          <w:lang w:val="uk-UA" w:eastAsia="uk-UA" w:bidi="uk-UA"/>
        </w:rPr>
        <w:t>Київ), завідувач кафедри фінансів</w:t>
      </w:r>
    </w:p>
    <w:p w:rsidR="00B1119F" w:rsidRPr="00B1119F" w:rsidRDefault="00B1119F" w:rsidP="00B1119F">
      <w:pPr>
        <w:tabs>
          <w:tab w:val="clear" w:pos="709"/>
          <w:tab w:val="left" w:pos="3530"/>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26"/>
          <w:szCs w:val="26"/>
          <w:lang w:val="uk-UA" w:eastAsia="uk-UA" w:bidi="uk-UA"/>
        </w:rPr>
        <w:t>Офіційні опоненти:</w:t>
      </w:r>
      <w:r w:rsidRPr="00B1119F">
        <w:rPr>
          <w:rFonts w:ascii="Times New Roman" w:eastAsia="Arial Unicode MS" w:hAnsi="Times New Roman" w:cs="Times New Roman"/>
          <w:b/>
          <w:bCs/>
          <w:color w:val="000000"/>
          <w:kern w:val="0"/>
          <w:sz w:val="26"/>
          <w:szCs w:val="26"/>
          <w:lang w:val="uk-UA" w:eastAsia="uk-UA" w:bidi="uk-UA"/>
        </w:rPr>
        <w:tab/>
      </w:r>
      <w:r w:rsidRPr="00B1119F">
        <w:rPr>
          <w:rFonts w:ascii="Arial Unicode MS" w:eastAsia="Arial Unicode MS" w:hAnsi="Arial Unicode MS" w:cs="Arial Unicode MS"/>
          <w:color w:val="000000"/>
          <w:kern w:val="0"/>
          <w:sz w:val="24"/>
          <w:szCs w:val="24"/>
          <w:lang w:val="uk-UA" w:eastAsia="uk-UA" w:bidi="uk-UA"/>
        </w:rPr>
        <w:t>доктор економічних наук, професор</w:t>
      </w:r>
    </w:p>
    <w:p w:rsidR="00B1119F" w:rsidRPr="00B1119F" w:rsidRDefault="00B1119F" w:rsidP="00B1119F">
      <w:pPr>
        <w:tabs>
          <w:tab w:val="clear" w:pos="709"/>
        </w:tabs>
        <w:suppressAutoHyphens w:val="0"/>
        <w:spacing w:after="0" w:line="322" w:lineRule="exact"/>
        <w:ind w:left="3580" w:firstLine="0"/>
        <w:jc w:val="left"/>
        <w:rPr>
          <w:rFonts w:ascii="Times New Roman" w:eastAsia="Times New Roman" w:hAnsi="Times New Roman" w:cs="Times New Roman"/>
          <w:b/>
          <w:bCs/>
          <w:kern w:val="0"/>
          <w:sz w:val="26"/>
          <w:szCs w:val="26"/>
          <w:lang w:val="uk-UA" w:eastAsia="uk-UA" w:bidi="uk-UA"/>
        </w:rPr>
      </w:pPr>
      <w:r w:rsidRPr="00B1119F">
        <w:rPr>
          <w:rFonts w:ascii="Times New Roman" w:eastAsia="Times New Roman" w:hAnsi="Times New Roman" w:cs="Times New Roman"/>
          <w:b/>
          <w:bCs/>
          <w:color w:val="000000"/>
          <w:kern w:val="0"/>
          <w:sz w:val="26"/>
          <w:szCs w:val="26"/>
          <w:lang w:val="uk-UA" w:eastAsia="uk-UA" w:bidi="uk-UA"/>
        </w:rPr>
        <w:t>Гаманкова Ольга Олексіївна,</w:t>
      </w:r>
    </w:p>
    <w:p w:rsidR="00B1119F" w:rsidRPr="00B1119F" w:rsidRDefault="00B1119F" w:rsidP="00B1119F">
      <w:pPr>
        <w:tabs>
          <w:tab w:val="clear" w:pos="709"/>
        </w:tabs>
        <w:suppressAutoHyphens w:val="0"/>
        <w:spacing w:after="0" w:line="322" w:lineRule="exact"/>
        <w:ind w:left="3580" w:right="1240"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ДВНЗ “Київський національний економічний університет імені </w:t>
      </w:r>
      <w:r w:rsidRPr="00B1119F">
        <w:rPr>
          <w:rFonts w:ascii="Arial Unicode MS" w:eastAsia="Arial Unicode MS" w:hAnsi="Arial Unicode MS" w:cs="Arial Unicode MS"/>
          <w:color w:val="000000"/>
          <w:kern w:val="0"/>
          <w:sz w:val="24"/>
          <w:szCs w:val="24"/>
          <w:lang w:val="uk-UA" w:eastAsia="ru-RU" w:bidi="ru-RU"/>
        </w:rPr>
        <w:t xml:space="preserve">Вадима </w:t>
      </w:r>
      <w:r w:rsidRPr="00B1119F">
        <w:rPr>
          <w:rFonts w:ascii="Arial Unicode MS" w:eastAsia="Arial Unicode MS" w:hAnsi="Arial Unicode MS" w:cs="Arial Unicode MS"/>
          <w:color w:val="000000"/>
          <w:kern w:val="0"/>
          <w:sz w:val="24"/>
          <w:szCs w:val="24"/>
          <w:lang w:val="uk-UA" w:eastAsia="uk-UA" w:bidi="uk-UA"/>
        </w:rPr>
        <w:t xml:space="preserve">Г етьмана”, завідувач кафедри страхування доктор економічних наук, доцент </w:t>
      </w:r>
      <w:r w:rsidRPr="00B1119F">
        <w:rPr>
          <w:rFonts w:ascii="Times New Roman" w:eastAsia="Arial Unicode MS" w:hAnsi="Times New Roman" w:cs="Times New Roman"/>
          <w:b/>
          <w:bCs/>
          <w:color w:val="000000"/>
          <w:kern w:val="0"/>
          <w:sz w:val="26"/>
          <w:szCs w:val="26"/>
          <w:lang w:val="uk-UA" w:eastAsia="uk-UA" w:bidi="uk-UA"/>
        </w:rPr>
        <w:t>Кнейслер Ольга Володимирівна,</w:t>
      </w:r>
    </w:p>
    <w:p w:rsidR="00B1119F" w:rsidRPr="00B1119F" w:rsidRDefault="00B1119F" w:rsidP="00B1119F">
      <w:pPr>
        <w:tabs>
          <w:tab w:val="clear" w:pos="709"/>
        </w:tabs>
        <w:suppressAutoHyphens w:val="0"/>
        <w:spacing w:after="900" w:line="322" w:lineRule="exact"/>
        <w:ind w:left="3580" w:right="1240"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Тернопільський національний економічний університет </w:t>
      </w:r>
      <w:r w:rsidRPr="00B1119F">
        <w:rPr>
          <w:rFonts w:ascii="Arial Unicode MS" w:eastAsia="Arial Unicode MS" w:hAnsi="Arial Unicode MS" w:cs="Arial Unicode MS"/>
          <w:color w:val="000000"/>
          <w:kern w:val="0"/>
          <w:sz w:val="24"/>
          <w:szCs w:val="24"/>
          <w:lang w:val="uk-UA" w:eastAsia="ru-RU" w:bidi="ru-RU"/>
        </w:rPr>
        <w:t xml:space="preserve">(м. </w:t>
      </w:r>
      <w:r w:rsidRPr="00B1119F">
        <w:rPr>
          <w:rFonts w:ascii="Arial Unicode MS" w:eastAsia="Arial Unicode MS" w:hAnsi="Arial Unicode MS" w:cs="Arial Unicode MS"/>
          <w:color w:val="000000"/>
          <w:kern w:val="0"/>
          <w:sz w:val="24"/>
          <w:szCs w:val="24"/>
          <w:lang w:val="uk-UA" w:eastAsia="uk-UA" w:bidi="uk-UA"/>
        </w:rPr>
        <w:t>Тернопіль), доцент кафедри фінансів суб’єктів господарювання і страхування</w:t>
      </w:r>
    </w:p>
    <w:p w:rsidR="00B1119F" w:rsidRPr="00B1119F" w:rsidRDefault="00B1119F" w:rsidP="00B1119F">
      <w:pPr>
        <w:tabs>
          <w:tab w:val="clear" w:pos="709"/>
        </w:tabs>
        <w:suppressAutoHyphens w:val="0"/>
        <w:spacing w:after="24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Захист відбудеться «24» березня 2014 року о 15 годині на засіданні спеціалізованої вченої ради Д 26.883.01 в Університеті банківської справи Національного банку України (м. Київ) за адресою: 04070, м. Київ, вул. Андріївська, 1/1, ауд. 207.</w:t>
      </w:r>
    </w:p>
    <w:p w:rsidR="00B1119F" w:rsidRPr="00B1119F" w:rsidRDefault="00B1119F" w:rsidP="00B1119F">
      <w:pPr>
        <w:tabs>
          <w:tab w:val="clear" w:pos="709"/>
        </w:tabs>
        <w:suppressAutoHyphens w:val="0"/>
        <w:spacing w:after="289"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Із дисертацією можна ознайомитися у бібліотеці Університету банківської справи Національного банку України (м. Київ) за адресою: 04119, м. Київ, вул. Білоруська, 17.</w:t>
      </w:r>
    </w:p>
    <w:p w:rsidR="00B1119F" w:rsidRPr="00B1119F" w:rsidRDefault="00B1119F" w:rsidP="00B1119F">
      <w:pPr>
        <w:tabs>
          <w:tab w:val="clear" w:pos="709"/>
          <w:tab w:val="left" w:leader="underscore" w:pos="4158"/>
        </w:tabs>
        <w:suppressAutoHyphens w:val="0"/>
        <w:spacing w:after="598" w:line="260"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Автореферат розісланий</w:t>
      </w:r>
      <w:r w:rsidRPr="00B1119F">
        <w:rPr>
          <w:rFonts w:ascii="Arial Unicode MS" w:eastAsia="Arial Unicode MS" w:hAnsi="Arial Unicode MS" w:cs="Arial Unicode MS"/>
          <w:color w:val="000000"/>
          <w:kern w:val="0"/>
          <w:sz w:val="24"/>
          <w:szCs w:val="24"/>
          <w:lang w:val="uk-UA" w:eastAsia="uk-UA" w:bidi="uk-UA"/>
        </w:rPr>
        <w:tab/>
        <w:t>лютого 2014 року.</w:t>
      </w:r>
    </w:p>
    <w:p w:rsidR="00B1119F" w:rsidRPr="00B1119F" w:rsidRDefault="00B1119F" w:rsidP="00B1119F">
      <w:pPr>
        <w:tabs>
          <w:tab w:val="clear" w:pos="709"/>
        </w:tabs>
        <w:suppressAutoHyphens w:val="0"/>
        <w:spacing w:after="0" w:line="322" w:lineRule="exact"/>
        <w:ind w:right="5920" w:firstLine="0"/>
        <w:jc w:val="left"/>
        <w:rPr>
          <w:rFonts w:ascii="Arial Unicode MS" w:eastAsia="Arial Unicode MS" w:hAnsi="Arial Unicode MS" w:cs="Arial Unicode MS"/>
          <w:color w:val="000000"/>
          <w:kern w:val="0"/>
          <w:sz w:val="24"/>
          <w:szCs w:val="24"/>
          <w:lang w:val="uk-UA" w:eastAsia="uk-UA" w:bidi="uk-UA"/>
        </w:rPr>
        <w:sectPr w:rsidR="00B1119F" w:rsidRPr="00B1119F">
          <w:type w:val="continuous"/>
          <w:pgSz w:w="11900" w:h="16840"/>
          <w:pgMar w:top="986" w:right="482" w:bottom="1124" w:left="1059" w:header="0" w:footer="3" w:gutter="0"/>
          <w:cols w:space="720"/>
          <w:noEndnote/>
          <w:docGrid w:linePitch="360"/>
        </w:sectPr>
      </w:pPr>
      <w:r w:rsidRPr="00B1119F">
        <w:rPr>
          <w:rFonts w:ascii="Arial Unicode MS" w:eastAsia="Arial Unicode MS" w:hAnsi="Arial Unicode MS" w:cs="Arial Unicode MS"/>
          <w:color w:val="000000"/>
          <w:kern w:val="0"/>
          <w:sz w:val="24"/>
          <w:szCs w:val="24"/>
          <w:lang w:val="uk-UA" w:eastAsia="uk-UA" w:bidi="uk-UA"/>
        </w:rPr>
        <w:pict>
          <v:shapetype id="_x0000_t202" coordsize="21600,21600" o:spt="202" path="m,l,21600r21600,l21600,xe">
            <v:stroke joinstyle="miter"/>
            <v:path gradientshapeok="t" o:connecttype="rect"/>
          </v:shapetype>
          <v:shape id="_x0000_s1164" type="#_x0000_t202" style="position:absolute;margin-left:428.15pt;margin-top:30.15pt;width:69.6pt;height:15.85pt;z-index:-251656192;mso-wrap-distance-left:5pt;mso-wrap-distance-top:25.5pt;mso-wrap-distance-right:5pt;mso-position-horizontal-relative:margin" filled="f" stroked="f">
            <v:textbox style="mso-fit-shape-to-text:t" inset="0,0,0,0">
              <w:txbxContent>
                <w:p w:rsidR="00B1119F" w:rsidRDefault="00B1119F" w:rsidP="00B1119F">
                  <w:pPr>
                    <w:spacing w:after="0" w:line="260"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square" side="left" anchorx="margin"/>
          </v:shape>
        </w:pict>
      </w:r>
      <w:r w:rsidRPr="00B1119F">
        <w:rPr>
          <w:rFonts w:ascii="Arial Unicode MS" w:eastAsia="Arial Unicode MS" w:hAnsi="Arial Unicode MS" w:cs="Arial Unicode MS"/>
          <w:color w:val="000000"/>
          <w:kern w:val="0"/>
          <w:sz w:val="24"/>
          <w:szCs w:val="24"/>
          <w:lang w:val="uk-UA" w:eastAsia="uk-UA" w:bidi="uk-UA"/>
        </w:rPr>
        <w:t>Учений секретар спеціалізованої вченої ради, доктор економічних наук, професор</w:t>
      </w:r>
    </w:p>
    <w:p w:rsidR="00B1119F" w:rsidRPr="00B1119F" w:rsidRDefault="00B1119F" w:rsidP="00B1119F">
      <w:pPr>
        <w:keepNext/>
        <w:keepLines/>
        <w:tabs>
          <w:tab w:val="clear" w:pos="709"/>
        </w:tabs>
        <w:suppressAutoHyphens w:val="0"/>
        <w:spacing w:after="248" w:line="260" w:lineRule="exact"/>
        <w:ind w:left="2680" w:firstLine="0"/>
        <w:jc w:val="left"/>
        <w:outlineLvl w:val="1"/>
        <w:rPr>
          <w:rFonts w:ascii="Times New Roman" w:eastAsia="Times New Roman" w:hAnsi="Times New Roman" w:cs="Times New Roman"/>
          <w:b/>
          <w:bCs/>
          <w:kern w:val="0"/>
          <w:sz w:val="26"/>
          <w:szCs w:val="26"/>
          <w:lang w:val="uk-UA" w:eastAsia="uk-UA" w:bidi="uk-UA"/>
        </w:rPr>
      </w:pPr>
      <w:bookmarkStart w:id="0" w:name="bookmark0"/>
      <w:r w:rsidRPr="00B1119F">
        <w:rPr>
          <w:rFonts w:ascii="Times New Roman" w:eastAsia="Times New Roman" w:hAnsi="Times New Roman" w:cs="Times New Roman"/>
          <w:b/>
          <w:bCs/>
          <w:color w:val="000000"/>
          <w:kern w:val="0"/>
          <w:sz w:val="26"/>
          <w:szCs w:val="26"/>
          <w:lang w:val="uk-UA" w:eastAsia="uk-UA" w:bidi="uk-UA"/>
        </w:rPr>
        <w:t>ЗАГАЛЬНА ХАРАКТЕРИСТИКА РОБОТИ</w:t>
      </w:r>
      <w:bookmarkEnd w:id="0"/>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26"/>
          <w:szCs w:val="26"/>
          <w:lang w:val="uk-UA" w:eastAsia="uk-UA" w:bidi="uk-UA"/>
        </w:rPr>
        <w:t xml:space="preserve">Актуальність теми дослідження. </w:t>
      </w:r>
      <w:r w:rsidRPr="00B1119F">
        <w:rPr>
          <w:rFonts w:ascii="Arial Unicode MS" w:eastAsia="Arial Unicode MS" w:hAnsi="Arial Unicode MS" w:cs="Arial Unicode MS"/>
          <w:color w:val="000000"/>
          <w:kern w:val="0"/>
          <w:sz w:val="24"/>
          <w:szCs w:val="24"/>
          <w:lang w:val="uk-UA" w:eastAsia="uk-UA" w:bidi="uk-UA"/>
        </w:rPr>
        <w:t>Тенденції розвитку страхової галузі свідчать про вихід страхових компаній на нові сегменти ринку та розробку модернізованих страхових продуктів. Каталізатором цих явищ є зростання процесів глобалізації. Це вимагає від страховиків докорінного переосмислення ролі реалізації страхових продуктів із метою підвищення ефективності власної діяльності. В умовах зростаючої конкуренції на страховому ринку, реалізація страхових продуктів є базовою складовою розвитку страхових компаній, що відображає фактичне задоволення страхових інтересів суспільства. Тому сьогодні страхові компанії приділяють особливу увагу організації та вдосконаленню системи реалізації страхових продуктів.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Окремі аспекти теоретико-методологічного обґрунтування специфіки діяльності страхових компаній та реалізації страхових продуктів розглядають такі зарубіжні фахівці, як: О. Архіпов, А. Бакіров, А. Баутов, Т. Гварліані, Ю. Гризенкова, М. Грищенко, С. Дедіков, С. Єрмасов, С. Єфімов, М. Зубець, М. Калінін, І. </w:t>
      </w:r>
      <w:r w:rsidRPr="00B1119F">
        <w:rPr>
          <w:rFonts w:ascii="Arial Unicode MS" w:eastAsia="Arial Unicode MS" w:hAnsi="Arial Unicode MS" w:cs="Arial Unicode MS"/>
          <w:color w:val="000000"/>
          <w:kern w:val="0"/>
          <w:sz w:val="24"/>
          <w:szCs w:val="24"/>
          <w:lang w:val="uk-UA" w:eastAsia="ru-RU" w:bidi="ru-RU"/>
        </w:rPr>
        <w:t xml:space="preserve">Краснова, </w:t>
      </w:r>
      <w:r w:rsidRPr="00B1119F">
        <w:rPr>
          <w:rFonts w:ascii="Arial Unicode MS" w:eastAsia="Arial Unicode MS" w:hAnsi="Arial Unicode MS" w:cs="Arial Unicode MS"/>
          <w:color w:val="000000"/>
          <w:kern w:val="0"/>
          <w:sz w:val="24"/>
          <w:szCs w:val="24"/>
          <w:lang w:val="uk-UA" w:eastAsia="uk-UA" w:bidi="uk-UA"/>
        </w:rPr>
        <w:t xml:space="preserve">О. Крутік, Н. Нікуліна, Н. Сахірова, Б. Сербіновський, </w:t>
      </w:r>
      <w:r w:rsidRPr="00B1119F">
        <w:rPr>
          <w:rFonts w:ascii="Arial Unicode MS" w:eastAsia="Arial Unicode MS" w:hAnsi="Arial Unicode MS" w:cs="Arial Unicode MS"/>
          <w:color w:val="000000"/>
          <w:kern w:val="0"/>
          <w:sz w:val="24"/>
          <w:szCs w:val="24"/>
          <w:lang w:val="uk-UA" w:eastAsia="ru-RU" w:bidi="ru-RU"/>
        </w:rPr>
        <w:t xml:space="preserve">Л. </w:t>
      </w:r>
      <w:r w:rsidRPr="00B1119F">
        <w:rPr>
          <w:rFonts w:ascii="Arial Unicode MS" w:eastAsia="Arial Unicode MS" w:hAnsi="Arial Unicode MS" w:cs="Arial Unicode MS"/>
          <w:color w:val="000000"/>
          <w:kern w:val="0"/>
          <w:sz w:val="24"/>
          <w:szCs w:val="24"/>
          <w:lang w:val="uk-UA" w:eastAsia="uk-UA" w:bidi="uk-UA"/>
        </w:rPr>
        <w:t>Скамай, Ю. Сплетухов та інші.</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Теоретичним </w:t>
      </w:r>
      <w:r w:rsidRPr="00B1119F">
        <w:rPr>
          <w:rFonts w:ascii="Arial Unicode MS" w:eastAsia="Arial Unicode MS" w:hAnsi="Arial Unicode MS" w:cs="Arial Unicode MS"/>
          <w:color w:val="000000"/>
          <w:kern w:val="0"/>
          <w:sz w:val="24"/>
          <w:szCs w:val="24"/>
          <w:lang w:val="uk-UA" w:eastAsia="ru-RU" w:bidi="ru-RU"/>
        </w:rPr>
        <w:t xml:space="preserve">засадам </w:t>
      </w:r>
      <w:r w:rsidRPr="00B1119F">
        <w:rPr>
          <w:rFonts w:ascii="Arial Unicode MS" w:eastAsia="Arial Unicode MS" w:hAnsi="Arial Unicode MS" w:cs="Arial Unicode MS"/>
          <w:color w:val="000000"/>
          <w:kern w:val="0"/>
          <w:sz w:val="24"/>
          <w:szCs w:val="24"/>
          <w:lang w:val="uk-UA" w:eastAsia="uk-UA" w:bidi="uk-UA"/>
        </w:rPr>
        <w:t xml:space="preserve">формування та розвитку механізмів реалізації страхових продуктів присвячено роботи вітчизняних науковців: </w:t>
      </w:r>
      <w:r w:rsidRPr="00B1119F">
        <w:rPr>
          <w:rFonts w:ascii="Arial Unicode MS" w:eastAsia="Arial Unicode MS" w:hAnsi="Arial Unicode MS" w:cs="Arial Unicode MS"/>
          <w:color w:val="000000"/>
          <w:kern w:val="0"/>
          <w:sz w:val="24"/>
          <w:szCs w:val="24"/>
          <w:lang w:val="uk-UA" w:eastAsia="ru-RU" w:bidi="ru-RU"/>
        </w:rPr>
        <w:t xml:space="preserve">А. Александровой В. Базилевича, В. </w:t>
      </w:r>
      <w:r w:rsidRPr="00B1119F">
        <w:rPr>
          <w:rFonts w:ascii="Arial Unicode MS" w:eastAsia="Arial Unicode MS" w:hAnsi="Arial Unicode MS" w:cs="Arial Unicode MS"/>
          <w:color w:val="000000"/>
          <w:kern w:val="0"/>
          <w:sz w:val="24"/>
          <w:szCs w:val="24"/>
          <w:lang w:val="uk-UA" w:eastAsia="uk-UA" w:bidi="uk-UA"/>
        </w:rPr>
        <w:t xml:space="preserve">Бігдаша, </w:t>
      </w:r>
      <w:r w:rsidRPr="00B1119F">
        <w:rPr>
          <w:rFonts w:ascii="Arial Unicode MS" w:eastAsia="Arial Unicode MS" w:hAnsi="Arial Unicode MS" w:cs="Arial Unicode MS"/>
          <w:color w:val="000000"/>
          <w:kern w:val="0"/>
          <w:sz w:val="24"/>
          <w:szCs w:val="24"/>
          <w:lang w:val="uk-UA" w:eastAsia="ru-RU" w:bidi="ru-RU"/>
        </w:rPr>
        <w:t xml:space="preserve">О. Барановського, Н. </w:t>
      </w:r>
      <w:r w:rsidRPr="00B1119F">
        <w:rPr>
          <w:rFonts w:ascii="Arial Unicode MS" w:eastAsia="Arial Unicode MS" w:hAnsi="Arial Unicode MS" w:cs="Arial Unicode MS"/>
          <w:color w:val="000000"/>
          <w:kern w:val="0"/>
          <w:sz w:val="24"/>
          <w:szCs w:val="24"/>
          <w:lang w:val="uk-UA" w:eastAsia="uk-UA" w:bidi="uk-UA"/>
        </w:rPr>
        <w:t xml:space="preserve">Внукової, </w:t>
      </w:r>
      <w:r w:rsidRPr="00B1119F">
        <w:rPr>
          <w:rFonts w:ascii="Arial Unicode MS" w:eastAsia="Arial Unicode MS" w:hAnsi="Arial Unicode MS" w:cs="Arial Unicode MS"/>
          <w:color w:val="000000"/>
          <w:kern w:val="0"/>
          <w:sz w:val="24"/>
          <w:szCs w:val="24"/>
          <w:lang w:val="uk-UA" w:eastAsia="ru-RU" w:bidi="ru-RU"/>
        </w:rPr>
        <w:t xml:space="preserve">О. Вовчак, О. </w:t>
      </w:r>
      <w:r w:rsidRPr="00B1119F">
        <w:rPr>
          <w:rFonts w:ascii="Arial Unicode MS" w:eastAsia="Arial Unicode MS" w:hAnsi="Arial Unicode MS" w:cs="Arial Unicode MS"/>
          <w:color w:val="000000"/>
          <w:kern w:val="0"/>
          <w:sz w:val="24"/>
          <w:szCs w:val="24"/>
          <w:lang w:val="uk-UA" w:eastAsia="uk-UA" w:bidi="uk-UA"/>
        </w:rPr>
        <w:t xml:space="preserve">Гаманкової, Т. Говорушко, Л. Горбач, О. Залєтова, </w:t>
      </w:r>
      <w:r w:rsidRPr="00B1119F">
        <w:rPr>
          <w:rFonts w:ascii="Arial Unicode MS" w:eastAsia="Arial Unicode MS" w:hAnsi="Arial Unicode MS" w:cs="Arial Unicode MS"/>
          <w:color w:val="000000"/>
          <w:kern w:val="0"/>
          <w:sz w:val="24"/>
          <w:szCs w:val="24"/>
          <w:lang w:val="uk-UA" w:eastAsia="ru-RU" w:bidi="ru-RU"/>
        </w:rPr>
        <w:t xml:space="preserve">О. Кнейслер, Л. Нечипорук, </w:t>
      </w:r>
      <w:r w:rsidRPr="00B1119F">
        <w:rPr>
          <w:rFonts w:ascii="Arial Unicode MS" w:eastAsia="Arial Unicode MS" w:hAnsi="Arial Unicode MS" w:cs="Arial Unicode MS"/>
          <w:color w:val="000000"/>
          <w:kern w:val="0"/>
          <w:sz w:val="24"/>
          <w:szCs w:val="24"/>
          <w:lang w:val="uk-UA" w:eastAsia="uk-UA" w:bidi="uk-UA"/>
        </w:rPr>
        <w:t xml:space="preserve">Т. Ротової, Т. Яворської та ін.; оцінці ефективності системи дистрибуції страхових продуктів та її впливу на фінансову стійкість страхової компанії - А. Єрмошенко, М. Клапків, Г. Козоріз, С. Кулікова, Г. Піратовського, Н. </w:t>
      </w:r>
      <w:r w:rsidRPr="00B1119F">
        <w:rPr>
          <w:rFonts w:ascii="Arial Unicode MS" w:eastAsia="Arial Unicode MS" w:hAnsi="Arial Unicode MS" w:cs="Arial Unicode MS"/>
          <w:color w:val="000000"/>
          <w:kern w:val="0"/>
          <w:sz w:val="24"/>
          <w:szCs w:val="24"/>
          <w:lang w:val="uk-UA" w:eastAsia="ru-RU" w:bidi="ru-RU"/>
        </w:rPr>
        <w:t xml:space="preserve">Ткаченко </w:t>
      </w:r>
      <w:r w:rsidRPr="00B1119F">
        <w:rPr>
          <w:rFonts w:ascii="Arial Unicode MS" w:eastAsia="Arial Unicode MS" w:hAnsi="Arial Unicode MS" w:cs="Arial Unicode MS"/>
          <w:color w:val="000000"/>
          <w:kern w:val="0"/>
          <w:sz w:val="24"/>
          <w:szCs w:val="24"/>
          <w:lang w:val="uk-UA" w:eastAsia="uk-UA" w:bidi="uk-UA"/>
        </w:rPr>
        <w:t>та ін.; розробці та обґрунтуванню інструментів покращення організації системи реалізації страхових продуктів - В. Баранової, О. Козьменко, О. Охріменко, В. Тринчука та інших.</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Незважаючи на значну кількість опублікованих праць, недостатньо обґрунтованими залишаються питання створення комплексної системи реалізації страхових продуктів, не лише з позиції маркетингового аспекту - оцінки попиту на страхові продукти, дослідження клієнтів і безпосереднього </w:t>
      </w:r>
      <w:r w:rsidRPr="00B1119F">
        <w:rPr>
          <w:rFonts w:ascii="Arial Unicode MS" w:eastAsia="Arial Unicode MS" w:hAnsi="Arial Unicode MS" w:cs="Arial Unicode MS"/>
          <w:color w:val="000000"/>
          <w:kern w:val="0"/>
          <w:sz w:val="24"/>
          <w:szCs w:val="24"/>
          <w:lang w:val="uk-UA" w:eastAsia="ru-RU" w:bidi="ru-RU"/>
        </w:rPr>
        <w:t xml:space="preserve">продажу </w:t>
      </w:r>
      <w:r w:rsidRPr="00B1119F">
        <w:rPr>
          <w:rFonts w:ascii="Arial Unicode MS" w:eastAsia="Arial Unicode MS" w:hAnsi="Arial Unicode MS" w:cs="Arial Unicode MS"/>
          <w:color w:val="000000"/>
          <w:kern w:val="0"/>
          <w:sz w:val="24"/>
          <w:szCs w:val="24"/>
          <w:lang w:val="uk-UA" w:eastAsia="uk-UA" w:bidi="uk-UA"/>
        </w:rPr>
        <w:t>страхових продуктів, а й з позиції впливу на фінансову стійкість та ефективність функціонування страхової компанії, оскільки правильно структурована система реалізації страхових продуктів дозволяє збільшити обсяги страхових премій, зменшити витрати на ведення справи, а також сприяє прийняттю на страхування якісних ризиків.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Необхідність вирішення проблем, пов’язаних із формуванням ефективної системи реалізації страхових продуктів, є підтвердженням актуальності та практичної значущості обраного напряму наукових досліджень, що зумовило вибір теми дисертаційної роботи, її мету, завдання та зміст.</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26"/>
          <w:szCs w:val="26"/>
          <w:lang w:val="uk-UA" w:eastAsia="uk-UA" w:bidi="uk-UA"/>
        </w:rPr>
        <w:t xml:space="preserve">Зв’язок роботи з науковими програмами, планами, темами. </w:t>
      </w:r>
      <w:r w:rsidRPr="00B1119F">
        <w:rPr>
          <w:rFonts w:ascii="Arial Unicode MS" w:eastAsia="Arial Unicode MS" w:hAnsi="Arial Unicode MS" w:cs="Arial Unicode MS"/>
          <w:color w:val="000000"/>
          <w:kern w:val="0"/>
          <w:sz w:val="24"/>
          <w:szCs w:val="24"/>
          <w:lang w:val="uk-UA" w:eastAsia="uk-UA" w:bidi="uk-UA"/>
        </w:rPr>
        <w:t xml:space="preserve">Дисертація виконувалася у межах науково-дослідних робіт Черкаського державного технологічного університету за темами: «Економічні основи модернізації регіональних господарських комплексів в інвестиційно-інноваційному напрямі» (державний реєстраційний номер </w:t>
      </w:r>
      <w:r w:rsidRPr="00B1119F">
        <w:rPr>
          <w:rFonts w:ascii="Arial Unicode MS" w:eastAsia="Arial Unicode MS" w:hAnsi="Arial Unicode MS" w:cs="Arial Unicode MS"/>
          <w:color w:val="000000"/>
          <w:kern w:val="0"/>
          <w:sz w:val="24"/>
          <w:szCs w:val="24"/>
          <w:lang w:val="uk-UA" w:eastAsia="en-US" w:bidi="en-US"/>
        </w:rPr>
        <w:t>0112</w:t>
      </w:r>
      <w:r w:rsidRPr="00B1119F">
        <w:rPr>
          <w:rFonts w:ascii="Arial Unicode MS" w:eastAsia="Arial Unicode MS" w:hAnsi="Arial Unicode MS" w:cs="Arial Unicode MS"/>
          <w:color w:val="000000"/>
          <w:kern w:val="0"/>
          <w:sz w:val="24"/>
          <w:szCs w:val="24"/>
          <w:lang w:val="en-US" w:eastAsia="en-US" w:bidi="en-US"/>
        </w:rPr>
        <w:t>U</w:t>
      </w:r>
      <w:r w:rsidRPr="00B1119F">
        <w:rPr>
          <w:rFonts w:ascii="Arial Unicode MS" w:eastAsia="Arial Unicode MS" w:hAnsi="Arial Unicode MS" w:cs="Arial Unicode MS"/>
          <w:color w:val="000000"/>
          <w:kern w:val="0"/>
          <w:sz w:val="24"/>
          <w:szCs w:val="24"/>
          <w:lang w:val="uk-UA" w:eastAsia="en-US" w:bidi="en-US"/>
        </w:rPr>
        <w:t xml:space="preserve">001704), </w:t>
      </w:r>
      <w:r w:rsidRPr="00B1119F">
        <w:rPr>
          <w:rFonts w:ascii="Arial Unicode MS" w:eastAsia="Arial Unicode MS" w:hAnsi="Arial Unicode MS" w:cs="Arial Unicode MS"/>
          <w:color w:val="000000"/>
          <w:kern w:val="0"/>
          <w:sz w:val="24"/>
          <w:szCs w:val="24"/>
          <w:lang w:val="uk-UA" w:eastAsia="uk-UA" w:bidi="uk-UA"/>
        </w:rPr>
        <w:t xml:space="preserve">до звіту за якою увійшли пропозиції автора щодо обґрунтування впливу системи реалізації страхових продуктів на фінансову стійкість страховиків та розробки науково -методичного підходу до моделювання граничного розміру франшизи за умов диференціації параметрів страхування; «Теорія та методологія формування моделі «нової» економіки України в умовах глобалізації» (державний реєстраційний номер </w:t>
      </w:r>
      <w:r w:rsidRPr="00B1119F">
        <w:rPr>
          <w:rFonts w:ascii="Arial Unicode MS" w:eastAsia="Arial Unicode MS" w:hAnsi="Arial Unicode MS" w:cs="Arial Unicode MS"/>
          <w:color w:val="000000"/>
          <w:kern w:val="0"/>
          <w:sz w:val="24"/>
          <w:szCs w:val="24"/>
          <w:lang w:val="uk-UA" w:eastAsia="en-US" w:bidi="en-US"/>
        </w:rPr>
        <w:t>0110</w:t>
      </w:r>
      <w:r w:rsidRPr="00B1119F">
        <w:rPr>
          <w:rFonts w:ascii="Arial Unicode MS" w:eastAsia="Arial Unicode MS" w:hAnsi="Arial Unicode MS" w:cs="Arial Unicode MS"/>
          <w:color w:val="000000"/>
          <w:kern w:val="0"/>
          <w:sz w:val="24"/>
          <w:szCs w:val="24"/>
          <w:lang w:val="en-US" w:eastAsia="en-US" w:bidi="en-US"/>
        </w:rPr>
        <w:t>U</w:t>
      </w:r>
      <w:r w:rsidRPr="00B1119F">
        <w:rPr>
          <w:rFonts w:ascii="Arial Unicode MS" w:eastAsia="Arial Unicode MS" w:hAnsi="Arial Unicode MS" w:cs="Arial Unicode MS"/>
          <w:color w:val="000000"/>
          <w:kern w:val="0"/>
          <w:sz w:val="24"/>
          <w:szCs w:val="24"/>
          <w:lang w:val="uk-UA" w:eastAsia="en-US" w:bidi="en-US"/>
        </w:rPr>
        <w:t xml:space="preserve">000850), </w:t>
      </w:r>
      <w:r w:rsidRPr="00B1119F">
        <w:rPr>
          <w:rFonts w:ascii="Arial Unicode MS" w:eastAsia="Arial Unicode MS" w:hAnsi="Arial Unicode MS" w:cs="Arial Unicode MS"/>
          <w:color w:val="000000"/>
          <w:kern w:val="0"/>
          <w:sz w:val="24"/>
          <w:szCs w:val="24"/>
          <w:lang w:val="uk-UA" w:eastAsia="uk-UA" w:bidi="uk-UA"/>
        </w:rPr>
        <w:t xml:space="preserve">у межах якої автором досліджено особливості </w:t>
      </w:r>
      <w:r w:rsidRPr="00B1119F">
        <w:rPr>
          <w:rFonts w:ascii="Arial Unicode MS" w:eastAsia="Arial Unicode MS" w:hAnsi="Arial Unicode MS" w:cs="Arial Unicode MS"/>
          <w:color w:val="000000"/>
          <w:kern w:val="0"/>
          <w:sz w:val="24"/>
          <w:szCs w:val="24"/>
          <w:lang w:val="uk-UA" w:eastAsia="ru-RU" w:bidi="ru-RU"/>
        </w:rPr>
        <w:t xml:space="preserve">продажу </w:t>
      </w:r>
      <w:r w:rsidRPr="00B1119F">
        <w:rPr>
          <w:rFonts w:ascii="Arial Unicode MS" w:eastAsia="Arial Unicode MS" w:hAnsi="Arial Unicode MS" w:cs="Arial Unicode MS"/>
          <w:color w:val="000000"/>
          <w:kern w:val="0"/>
          <w:sz w:val="24"/>
          <w:szCs w:val="24"/>
          <w:lang w:val="uk-UA" w:eastAsia="uk-UA" w:bidi="uk-UA"/>
        </w:rPr>
        <w:t>страхових продуктів вітчизняними страховиками та визначено напрями удосконалення системи їх реалізації.</w:t>
      </w:r>
    </w:p>
    <w:p w:rsidR="00B1119F" w:rsidRPr="00B1119F" w:rsidRDefault="00B1119F" w:rsidP="00B1119F">
      <w:pPr>
        <w:tabs>
          <w:tab w:val="clear" w:pos="709"/>
        </w:tabs>
        <w:suppressAutoHyphens w:val="0"/>
        <w:spacing w:after="0" w:line="326"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26"/>
          <w:szCs w:val="26"/>
          <w:lang w:val="uk-UA" w:eastAsia="uk-UA" w:bidi="uk-UA"/>
        </w:rPr>
        <w:t xml:space="preserve">Мета і завдання дослідження. </w:t>
      </w:r>
      <w:r w:rsidRPr="00B1119F">
        <w:rPr>
          <w:rFonts w:ascii="Arial Unicode MS" w:eastAsia="Arial Unicode MS" w:hAnsi="Arial Unicode MS" w:cs="Arial Unicode MS"/>
          <w:color w:val="000000"/>
          <w:kern w:val="0"/>
          <w:sz w:val="24"/>
          <w:szCs w:val="24"/>
          <w:lang w:val="uk-UA" w:eastAsia="uk-UA" w:bidi="uk-UA"/>
        </w:rPr>
        <w:t>Метою дисертаційної роботи є розвиток теоретичних засад системи реалізації страхових продуктів, удосконалення науково - методичних підходів та розробка практичних рекомендацій щодо покращення її організації в Україні.</w:t>
      </w:r>
    </w:p>
    <w:p w:rsidR="00B1119F" w:rsidRPr="00B1119F" w:rsidRDefault="00B1119F" w:rsidP="00B1119F">
      <w:pPr>
        <w:tabs>
          <w:tab w:val="clear" w:pos="709"/>
        </w:tabs>
        <w:suppressAutoHyphens w:val="0"/>
        <w:spacing w:after="0" w:line="326"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Для досягнення поставленої мети в роботі визначено і виконано такі завдання:</w:t>
      </w:r>
    </w:p>
    <w:p w:rsidR="00B1119F" w:rsidRPr="00B1119F" w:rsidRDefault="00B1119F" w:rsidP="00B1119F">
      <w:pPr>
        <w:numPr>
          <w:ilvl w:val="0"/>
          <w:numId w:val="13"/>
        </w:numPr>
        <w:tabs>
          <w:tab w:val="clear" w:pos="709"/>
          <w:tab w:val="left" w:pos="1141"/>
        </w:tabs>
        <w:suppressAutoHyphens w:val="0"/>
        <w:spacing w:after="0" w:line="336"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уточнити сутність поняття «страховий продукт» та його співвідношення із поняттям «страхова послуга»;</w:t>
      </w:r>
    </w:p>
    <w:p w:rsidR="00B1119F" w:rsidRPr="00B1119F" w:rsidRDefault="00B1119F" w:rsidP="00B1119F">
      <w:pPr>
        <w:numPr>
          <w:ilvl w:val="0"/>
          <w:numId w:val="13"/>
        </w:numPr>
        <w:tabs>
          <w:tab w:val="clear" w:pos="709"/>
          <w:tab w:val="left" w:pos="1141"/>
        </w:tabs>
        <w:suppressAutoHyphens w:val="0"/>
        <w:spacing w:after="0" w:line="336"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систематизувати види страхових продуктів;</w:t>
      </w:r>
    </w:p>
    <w:p w:rsidR="00B1119F" w:rsidRPr="00B1119F" w:rsidRDefault="00B1119F" w:rsidP="00B1119F">
      <w:pPr>
        <w:numPr>
          <w:ilvl w:val="0"/>
          <w:numId w:val="13"/>
        </w:numPr>
        <w:tabs>
          <w:tab w:val="clear" w:pos="709"/>
          <w:tab w:val="left" w:pos="1141"/>
        </w:tabs>
        <w:suppressAutoHyphens w:val="0"/>
        <w:spacing w:after="0" w:line="260"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формалізувати систему реалізації страхових продуктів;</w:t>
      </w:r>
    </w:p>
    <w:p w:rsidR="00B1119F" w:rsidRPr="00B1119F" w:rsidRDefault="00B1119F" w:rsidP="00B1119F">
      <w:pPr>
        <w:numPr>
          <w:ilvl w:val="0"/>
          <w:numId w:val="13"/>
        </w:numPr>
        <w:tabs>
          <w:tab w:val="clear" w:pos="709"/>
          <w:tab w:val="left" w:pos="1141"/>
        </w:tabs>
        <w:suppressAutoHyphens w:val="0"/>
        <w:spacing w:after="0" w:line="336"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уточнити класифікацію каналів збуту страхових продуктів;</w:t>
      </w:r>
    </w:p>
    <w:p w:rsidR="00B1119F" w:rsidRPr="00B1119F" w:rsidRDefault="00B1119F" w:rsidP="00B1119F">
      <w:pPr>
        <w:numPr>
          <w:ilvl w:val="0"/>
          <w:numId w:val="13"/>
        </w:numPr>
        <w:tabs>
          <w:tab w:val="clear" w:pos="709"/>
          <w:tab w:val="left" w:pos="1141"/>
        </w:tabs>
        <w:suppressAutoHyphens w:val="0"/>
        <w:spacing w:after="0" w:line="336"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виявити особливості реалізації страхових продуктів вітчизняними страховиками;</w:t>
      </w:r>
    </w:p>
    <w:p w:rsidR="00B1119F" w:rsidRPr="00B1119F" w:rsidRDefault="00B1119F" w:rsidP="00B1119F">
      <w:pPr>
        <w:numPr>
          <w:ilvl w:val="0"/>
          <w:numId w:val="13"/>
        </w:numPr>
        <w:tabs>
          <w:tab w:val="clear" w:pos="709"/>
          <w:tab w:val="left" w:pos="1141"/>
        </w:tabs>
        <w:suppressAutoHyphens w:val="0"/>
        <w:spacing w:after="0" w:line="336"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з’ясувати роль реалізації страхових продуктів у забезпеченні фінансової стійкості страхової компанії;</w:t>
      </w:r>
    </w:p>
    <w:p w:rsidR="00B1119F" w:rsidRPr="00B1119F" w:rsidRDefault="00B1119F" w:rsidP="00B1119F">
      <w:pPr>
        <w:numPr>
          <w:ilvl w:val="0"/>
          <w:numId w:val="13"/>
        </w:numPr>
        <w:tabs>
          <w:tab w:val="clear" w:pos="709"/>
          <w:tab w:val="left" w:pos="1141"/>
        </w:tabs>
        <w:suppressAutoHyphens w:val="0"/>
        <w:spacing w:after="0" w:line="326"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поглибити науково-методичний підхід до організації комплексних продажів в системі реалізації страхових продуктів;</w:t>
      </w:r>
    </w:p>
    <w:p w:rsidR="00B1119F" w:rsidRPr="00B1119F" w:rsidRDefault="00B1119F" w:rsidP="00B1119F">
      <w:pPr>
        <w:numPr>
          <w:ilvl w:val="0"/>
          <w:numId w:val="13"/>
        </w:numPr>
        <w:tabs>
          <w:tab w:val="clear" w:pos="709"/>
          <w:tab w:val="left" w:pos="1141"/>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обґрунтувати наукові засади формування клієнтоорієнтованого підходу до реалізації страхових продуктів;</w:t>
      </w:r>
    </w:p>
    <w:p w:rsidR="00B1119F" w:rsidRPr="00B1119F" w:rsidRDefault="00B1119F" w:rsidP="00B1119F">
      <w:pPr>
        <w:numPr>
          <w:ilvl w:val="0"/>
          <w:numId w:val="13"/>
        </w:numPr>
        <w:tabs>
          <w:tab w:val="clear" w:pos="709"/>
          <w:tab w:val="left" w:pos="1141"/>
        </w:tabs>
        <w:suppressAutoHyphens w:val="0"/>
        <w:spacing w:after="0" w:line="326"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розвинути методичний підхід до оцінювання якості системи реалізації страхових продуктів;</w:t>
      </w:r>
    </w:p>
    <w:p w:rsidR="00B1119F" w:rsidRPr="00B1119F" w:rsidRDefault="00B1119F" w:rsidP="00B1119F">
      <w:pPr>
        <w:numPr>
          <w:ilvl w:val="0"/>
          <w:numId w:val="13"/>
        </w:numPr>
        <w:tabs>
          <w:tab w:val="clear" w:pos="709"/>
          <w:tab w:val="left" w:pos="1141"/>
        </w:tabs>
        <w:suppressAutoHyphens w:val="0"/>
        <w:spacing w:after="0" w:line="326"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побудувати математичну імітаційну модель для оптимізації тарифної політики з використанням франшизи як засобу стимулювання збуту страхових продуктів.</w:t>
      </w:r>
    </w:p>
    <w:p w:rsidR="00B1119F" w:rsidRPr="00B1119F" w:rsidRDefault="00B1119F" w:rsidP="00B1119F">
      <w:pPr>
        <w:tabs>
          <w:tab w:val="clear" w:pos="709"/>
        </w:tabs>
        <w:suppressAutoHyphens w:val="0"/>
        <w:spacing w:after="0" w:line="326"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i/>
          <w:iCs/>
          <w:color w:val="000000"/>
          <w:kern w:val="0"/>
          <w:sz w:val="26"/>
          <w:szCs w:val="26"/>
          <w:lang w:val="uk-UA" w:eastAsia="uk-UA" w:bidi="uk-UA"/>
        </w:rPr>
        <w:t>Об’єктом дослідження</w:t>
      </w:r>
      <w:r w:rsidRPr="00B1119F">
        <w:rPr>
          <w:rFonts w:ascii="Arial Unicode MS" w:eastAsia="Arial Unicode MS" w:hAnsi="Arial Unicode MS" w:cs="Arial Unicode MS"/>
          <w:color w:val="000000"/>
          <w:kern w:val="0"/>
          <w:sz w:val="24"/>
          <w:szCs w:val="24"/>
          <w:lang w:val="uk-UA" w:eastAsia="uk-UA" w:bidi="uk-UA"/>
        </w:rPr>
        <w:t xml:space="preserve"> є економічні відносини, що виникають в процесі реалізації страхових продуктів.</w:t>
      </w:r>
    </w:p>
    <w:p w:rsidR="00B1119F" w:rsidRPr="00B1119F" w:rsidRDefault="00B1119F" w:rsidP="00B1119F">
      <w:pPr>
        <w:tabs>
          <w:tab w:val="clear" w:pos="709"/>
        </w:tabs>
        <w:suppressAutoHyphens w:val="0"/>
        <w:spacing w:after="0" w:line="326"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i/>
          <w:iCs/>
          <w:color w:val="000000"/>
          <w:kern w:val="0"/>
          <w:sz w:val="26"/>
          <w:szCs w:val="26"/>
          <w:lang w:val="uk-UA" w:eastAsia="uk-UA" w:bidi="uk-UA"/>
        </w:rPr>
        <w:t>Предметом дослідження</w:t>
      </w:r>
      <w:r w:rsidRPr="00B1119F">
        <w:rPr>
          <w:rFonts w:ascii="Arial Unicode MS" w:eastAsia="Arial Unicode MS" w:hAnsi="Arial Unicode MS" w:cs="Arial Unicode MS"/>
          <w:color w:val="000000"/>
          <w:kern w:val="0"/>
          <w:sz w:val="24"/>
          <w:szCs w:val="24"/>
          <w:lang w:val="uk-UA" w:eastAsia="uk-UA" w:bidi="uk-UA"/>
        </w:rPr>
        <w:t xml:space="preserve"> є теоретичні, методичні та практичні аспекти організації системи реалізації страхових продуктів.</w:t>
      </w:r>
    </w:p>
    <w:p w:rsidR="00B1119F" w:rsidRPr="00B1119F" w:rsidRDefault="00B1119F" w:rsidP="00B1119F">
      <w:pPr>
        <w:tabs>
          <w:tab w:val="clear" w:pos="709"/>
        </w:tabs>
        <w:suppressAutoHyphens w:val="0"/>
        <w:spacing w:after="0" w:line="326"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i/>
          <w:iCs/>
          <w:color w:val="000000"/>
          <w:kern w:val="0"/>
          <w:sz w:val="26"/>
          <w:szCs w:val="26"/>
          <w:lang w:val="uk-UA" w:eastAsia="uk-UA" w:bidi="uk-UA"/>
        </w:rPr>
        <w:t>Методи дослідження.</w:t>
      </w:r>
      <w:r w:rsidRPr="00B1119F">
        <w:rPr>
          <w:rFonts w:ascii="Arial Unicode MS" w:eastAsia="Arial Unicode MS" w:hAnsi="Arial Unicode MS" w:cs="Arial Unicode MS"/>
          <w:color w:val="000000"/>
          <w:kern w:val="0"/>
          <w:sz w:val="24"/>
          <w:szCs w:val="24"/>
          <w:lang w:val="uk-UA" w:eastAsia="uk-UA" w:bidi="uk-UA"/>
        </w:rPr>
        <w:t xml:space="preserve"> Методологічною базою дослідження є діалектичний і системний підходи до вивчення економічних і соціальних явищ. Для вирішення поставлених завдань у дисертаційній роботі використано такі методи: наукової абстракції, індукції та дедукції, аналізу і синтезу - для уточнення понятійного апарату системи реалізації страхових продуктів, обґрунтування принципів організації ефективного комплексного </w:t>
      </w:r>
      <w:r w:rsidRPr="00B1119F">
        <w:rPr>
          <w:rFonts w:ascii="Arial Unicode MS" w:eastAsia="Arial Unicode MS" w:hAnsi="Arial Unicode MS" w:cs="Arial Unicode MS"/>
          <w:color w:val="000000"/>
          <w:kern w:val="0"/>
          <w:sz w:val="24"/>
          <w:szCs w:val="24"/>
          <w:lang w:val="uk-UA" w:eastAsia="ru-RU" w:bidi="ru-RU"/>
        </w:rPr>
        <w:t xml:space="preserve">продажу </w:t>
      </w:r>
      <w:r w:rsidRPr="00B1119F">
        <w:rPr>
          <w:rFonts w:ascii="Arial Unicode MS" w:eastAsia="Arial Unicode MS" w:hAnsi="Arial Unicode MS" w:cs="Arial Unicode MS"/>
          <w:color w:val="000000"/>
          <w:kern w:val="0"/>
          <w:sz w:val="24"/>
          <w:szCs w:val="24"/>
          <w:lang w:val="uk-UA" w:eastAsia="uk-UA" w:bidi="uk-UA"/>
        </w:rPr>
        <w:t xml:space="preserve">у роздрібному страхуванні; економіко- статистичні методи збору та обробки інформації, зокрема групування, статистичного порівняння, експертних оцінок - для дослідження сучасного стану розвитку </w:t>
      </w:r>
      <w:r w:rsidRPr="00B1119F">
        <w:rPr>
          <w:rFonts w:ascii="Arial Unicode MS" w:eastAsia="Arial Unicode MS" w:hAnsi="Arial Unicode MS" w:cs="Arial Unicode MS"/>
          <w:color w:val="000000"/>
          <w:kern w:val="0"/>
          <w:sz w:val="24"/>
          <w:szCs w:val="24"/>
          <w:lang w:val="uk-UA" w:eastAsia="ru-RU" w:bidi="ru-RU"/>
        </w:rPr>
        <w:t xml:space="preserve">продажу </w:t>
      </w:r>
      <w:r w:rsidRPr="00B1119F">
        <w:rPr>
          <w:rFonts w:ascii="Arial Unicode MS" w:eastAsia="Arial Unicode MS" w:hAnsi="Arial Unicode MS" w:cs="Arial Unicode MS"/>
          <w:color w:val="000000"/>
          <w:kern w:val="0"/>
          <w:sz w:val="24"/>
          <w:szCs w:val="24"/>
          <w:lang w:val="uk-UA" w:eastAsia="uk-UA" w:bidi="uk-UA"/>
        </w:rPr>
        <w:t>страхових продуктів вітчизняними страховиками; математичної логіки - для оцінки якості системи реалізації страхових продуктів; методи функціонального та кореляційного аналізу, методи теорії імовірностей та математичної статистики, теорії оптимізації та чисельних методів, математичного та імітаційного моделювання складних систем - у процесі оптимізації тарифної політики компанії при використанні франшизи.</w:t>
      </w:r>
    </w:p>
    <w:p w:rsidR="00B1119F" w:rsidRPr="00B1119F" w:rsidRDefault="00B1119F" w:rsidP="00B1119F">
      <w:pPr>
        <w:tabs>
          <w:tab w:val="clear" w:pos="709"/>
        </w:tabs>
        <w:suppressAutoHyphens w:val="0"/>
        <w:spacing w:after="0" w:line="326"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i/>
          <w:iCs/>
          <w:color w:val="000000"/>
          <w:kern w:val="0"/>
          <w:sz w:val="26"/>
          <w:szCs w:val="26"/>
          <w:lang w:val="uk-UA" w:eastAsia="uk-UA" w:bidi="uk-UA"/>
        </w:rPr>
        <w:t>Інформаційною базою дослідження</w:t>
      </w:r>
      <w:r w:rsidRPr="00B1119F">
        <w:rPr>
          <w:rFonts w:ascii="Arial Unicode MS" w:eastAsia="Arial Unicode MS" w:hAnsi="Arial Unicode MS" w:cs="Arial Unicode MS"/>
          <w:color w:val="000000"/>
          <w:kern w:val="0"/>
          <w:sz w:val="24"/>
          <w:szCs w:val="24"/>
          <w:lang w:val="uk-UA" w:eastAsia="uk-UA" w:bidi="uk-UA"/>
        </w:rPr>
        <w:t xml:space="preserve"> є законодавчі та нормативно-правові акти з питань регулювання діяльності страхових компаній, статистичні дані Національної комісії, яка здійснює державне регулювання у сфері ринків фінансових послуг України, матеріали Ліги страхових організацій України, інформаційно-аналітичних видань, звітні дані страхових компаній, наукові праці вітчизняних і зарубіжних науковців-економістів. Емпіричною базою стали результати здійснених автором розрахунків.</w:t>
      </w:r>
    </w:p>
    <w:p w:rsidR="00B1119F" w:rsidRPr="00B1119F" w:rsidRDefault="00B1119F" w:rsidP="00B1119F">
      <w:pPr>
        <w:tabs>
          <w:tab w:val="clear" w:pos="709"/>
        </w:tabs>
        <w:suppressAutoHyphens w:val="0"/>
        <w:spacing w:after="0" w:line="326"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26"/>
          <w:szCs w:val="26"/>
          <w:lang w:val="uk-UA" w:eastAsia="uk-UA" w:bidi="uk-UA"/>
        </w:rPr>
        <w:t xml:space="preserve">Наукова новизна одержаних результатів </w:t>
      </w:r>
      <w:r w:rsidRPr="00B1119F">
        <w:rPr>
          <w:rFonts w:ascii="Arial Unicode MS" w:eastAsia="Arial Unicode MS" w:hAnsi="Arial Unicode MS" w:cs="Arial Unicode MS"/>
          <w:color w:val="000000"/>
          <w:kern w:val="0"/>
          <w:sz w:val="24"/>
          <w:szCs w:val="24"/>
          <w:lang w:val="uk-UA" w:eastAsia="uk-UA" w:bidi="uk-UA"/>
        </w:rPr>
        <w:t>полягає в поглибленні теоретичних положень та обґрунтуванні науково-методичних підходів до організації системи реалізації страхових продуктів.</w:t>
      </w:r>
    </w:p>
    <w:p w:rsidR="00B1119F" w:rsidRPr="00B1119F" w:rsidRDefault="00B1119F" w:rsidP="00B1119F">
      <w:pPr>
        <w:tabs>
          <w:tab w:val="clear" w:pos="709"/>
        </w:tabs>
        <w:suppressAutoHyphens w:val="0"/>
        <w:spacing w:after="0" w:line="326"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До найбільш вагомих результатів роботи, що визначають її наукову новизну, належать такі:</w:t>
      </w:r>
    </w:p>
    <w:p w:rsidR="00B1119F" w:rsidRPr="00B1119F" w:rsidRDefault="00B1119F" w:rsidP="00B1119F">
      <w:pPr>
        <w:tabs>
          <w:tab w:val="clear" w:pos="709"/>
        </w:tabs>
        <w:suppressAutoHyphens w:val="0"/>
        <w:spacing w:after="0" w:line="326" w:lineRule="exact"/>
        <w:ind w:firstLine="740"/>
        <w:rPr>
          <w:rFonts w:ascii="Times New Roman" w:eastAsia="Times New Roman" w:hAnsi="Times New Roman" w:cs="Times New Roman"/>
          <w:i/>
          <w:iCs/>
          <w:kern w:val="0"/>
          <w:sz w:val="26"/>
          <w:szCs w:val="26"/>
          <w:lang w:val="uk-UA" w:eastAsia="uk-UA" w:bidi="uk-UA"/>
        </w:rPr>
      </w:pPr>
      <w:r w:rsidRPr="00B1119F">
        <w:rPr>
          <w:rFonts w:ascii="Times New Roman" w:eastAsia="Times New Roman" w:hAnsi="Times New Roman" w:cs="Times New Roman"/>
          <w:i/>
          <w:iCs/>
          <w:color w:val="000000"/>
          <w:kern w:val="0"/>
          <w:sz w:val="26"/>
          <w:szCs w:val="26"/>
          <w:lang w:val="uk-UA" w:eastAsia="uk-UA" w:bidi="uk-UA"/>
        </w:rPr>
        <w:t>удосконалено:</w:t>
      </w:r>
    </w:p>
    <w:p w:rsidR="00B1119F" w:rsidRPr="00B1119F" w:rsidRDefault="00B1119F" w:rsidP="00B1119F">
      <w:pPr>
        <w:numPr>
          <w:ilvl w:val="0"/>
          <w:numId w:val="13"/>
        </w:numPr>
        <w:tabs>
          <w:tab w:val="clear" w:pos="709"/>
          <w:tab w:val="left" w:pos="1134"/>
        </w:tabs>
        <w:suppressAutoHyphens w:val="0"/>
        <w:spacing w:after="0" w:line="326"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поняття страхового продукту, яке, на відміну від тлумачень попередників, ґрунтується на виокремленні та урахуванні ієрархічних класифікаційних рівнів (типу, класу, родини, роду, виду, різновиду) страхування. Це дозволяє трактувати страховий продукт як різновид страхових послуг, що втілюється у вигляді комплексного страхового покриття, яке надається страховою компанією і призначене для найбільш повного задоволення </w:t>
      </w:r>
      <w:r w:rsidRPr="00B1119F">
        <w:rPr>
          <w:rFonts w:ascii="Arial Unicode MS" w:eastAsia="Arial Unicode MS" w:hAnsi="Arial Unicode MS" w:cs="Arial Unicode MS"/>
          <w:color w:val="000000"/>
          <w:kern w:val="0"/>
          <w:sz w:val="24"/>
          <w:szCs w:val="24"/>
          <w:lang w:eastAsia="ru-RU" w:bidi="ru-RU"/>
        </w:rPr>
        <w:t xml:space="preserve">потреб </w:t>
      </w:r>
      <w:r w:rsidRPr="00B1119F">
        <w:rPr>
          <w:rFonts w:ascii="Arial Unicode MS" w:eastAsia="Arial Unicode MS" w:hAnsi="Arial Unicode MS" w:cs="Arial Unicode MS"/>
          <w:color w:val="000000"/>
          <w:kern w:val="0"/>
          <w:sz w:val="24"/>
          <w:szCs w:val="24"/>
          <w:lang w:val="uk-UA" w:eastAsia="uk-UA" w:bidi="uk-UA"/>
        </w:rPr>
        <w:t>страхувальника, застрахованого (вигодонабувача) та третіх осіб, через надання їм страхового захисту на обумовлених сторонами умовах, у визначених ними обсягах та/або згідно з чинним законодавством, що досягається за рахунок надання основних і допоміжних послуг, як під час укладання договору страхування, так і в процесі його супроводження;</w:t>
      </w:r>
    </w:p>
    <w:p w:rsidR="00B1119F" w:rsidRPr="00B1119F" w:rsidRDefault="00B1119F" w:rsidP="00B1119F">
      <w:pPr>
        <w:numPr>
          <w:ilvl w:val="0"/>
          <w:numId w:val="13"/>
        </w:numPr>
        <w:tabs>
          <w:tab w:val="clear" w:pos="709"/>
          <w:tab w:val="left" w:pos="1134"/>
        </w:tabs>
        <w:suppressAutoHyphens w:val="0"/>
        <w:spacing w:after="0" w:line="326"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класифікацію страхових продуктів за рахунок виокремлення, додатково до існуючих, таких класифікаційних ознак, </w:t>
      </w:r>
      <w:r w:rsidRPr="00B1119F">
        <w:rPr>
          <w:rFonts w:ascii="Arial Unicode MS" w:eastAsia="Arial Unicode MS" w:hAnsi="Arial Unicode MS" w:cs="Arial Unicode MS"/>
          <w:color w:val="000000"/>
          <w:kern w:val="0"/>
          <w:sz w:val="24"/>
          <w:szCs w:val="24"/>
          <w:lang w:val="uk-UA" w:eastAsia="ru-RU" w:bidi="ru-RU"/>
        </w:rPr>
        <w:t xml:space="preserve">як: </w:t>
      </w:r>
      <w:r w:rsidRPr="00B1119F">
        <w:rPr>
          <w:rFonts w:ascii="Arial Unicode MS" w:eastAsia="Arial Unicode MS" w:hAnsi="Arial Unicode MS" w:cs="Arial Unicode MS"/>
          <w:color w:val="000000"/>
          <w:kern w:val="0"/>
          <w:sz w:val="24"/>
          <w:szCs w:val="24"/>
          <w:lang w:val="uk-UA" w:eastAsia="uk-UA" w:bidi="uk-UA"/>
        </w:rPr>
        <w:t>сегмент страхового ринку, контингент споживачів, потреби клієнтів, форма надання, обсяг страхового покриття та наявність додаткових послуг, що дає змогу систематизувати різні види страхових продуктів, а також враховувати їх особливості в процесі формування та задоволення попиту клієнтів;</w:t>
      </w:r>
    </w:p>
    <w:p w:rsidR="00B1119F" w:rsidRPr="00B1119F" w:rsidRDefault="00B1119F" w:rsidP="00B1119F">
      <w:pPr>
        <w:numPr>
          <w:ilvl w:val="0"/>
          <w:numId w:val="13"/>
        </w:numPr>
        <w:tabs>
          <w:tab w:val="clear" w:pos="709"/>
          <w:tab w:val="left" w:pos="1134"/>
        </w:tabs>
        <w:suppressAutoHyphens w:val="0"/>
        <w:spacing w:after="0" w:line="326"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тлумачення системи реалізації страхових продуктів, яке, на відміну від наявних, ґрунтується на процесно-орієнтованому підході та представляє її як впорядковану сукупність бізнес-процесів, спрямованих на пошук потенційних споживачів та формування ефективних каналів збуту страхових продуктів, покликаних забезпечувати їх продаж із урахуванням наявної продуктової лінійки, даних щодо попиту цільових груп на страхові продукти, що опирається на застосування напрацьованих алгоритмів діяльності та встановлення стійких і взаємовигідних зв’язків страховика з клієнтами із метою задоволення їхніх страхових інтересів на кожному з трьох послідовних етапів взаємодії: підготовчому, комерціалізації та супроводжувальному. Таке трактування дозволяє забезпечити гнучке реагування страховика на зміни кон’юнктури страхового ринку в процесі збуту страхових продуктів;</w:t>
      </w:r>
    </w:p>
    <w:p w:rsidR="00B1119F" w:rsidRPr="00B1119F" w:rsidRDefault="00B1119F" w:rsidP="00B1119F">
      <w:pPr>
        <w:tabs>
          <w:tab w:val="clear" w:pos="709"/>
        </w:tabs>
        <w:suppressAutoHyphens w:val="0"/>
        <w:spacing w:after="8" w:line="260" w:lineRule="exact"/>
        <w:ind w:firstLine="740"/>
        <w:rPr>
          <w:rFonts w:ascii="Times New Roman" w:eastAsia="Times New Roman" w:hAnsi="Times New Roman" w:cs="Times New Roman"/>
          <w:i/>
          <w:iCs/>
          <w:kern w:val="0"/>
          <w:sz w:val="26"/>
          <w:szCs w:val="26"/>
          <w:lang w:val="uk-UA" w:eastAsia="uk-UA" w:bidi="uk-UA"/>
        </w:rPr>
      </w:pPr>
      <w:r w:rsidRPr="00B1119F">
        <w:rPr>
          <w:rFonts w:ascii="Times New Roman" w:eastAsia="Times New Roman" w:hAnsi="Times New Roman" w:cs="Times New Roman"/>
          <w:i/>
          <w:iCs/>
          <w:color w:val="000000"/>
          <w:kern w:val="0"/>
          <w:sz w:val="26"/>
          <w:szCs w:val="26"/>
          <w:lang w:val="uk-UA" w:eastAsia="uk-UA" w:bidi="uk-UA"/>
        </w:rPr>
        <w:t>набуло подальшого розвитку:</w:t>
      </w:r>
    </w:p>
    <w:p w:rsidR="00B1119F" w:rsidRPr="00B1119F" w:rsidRDefault="00B1119F" w:rsidP="00B1119F">
      <w:pPr>
        <w:numPr>
          <w:ilvl w:val="0"/>
          <w:numId w:val="13"/>
        </w:numPr>
        <w:tabs>
          <w:tab w:val="clear" w:pos="709"/>
          <w:tab w:val="left" w:pos="1138"/>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науково-методичний підхід до оцінки впливу продажу страхових продуктів на фінансову стійкість страхової компанії, особливістю якого, є застосування п’ятифакторної мультиплікативної моделі фінансової стійкості страхової компанії. Такий підхід дає змогу оцінити вплив на коефіцієнт автономії страхової компанії таких факторів, як: </w:t>
      </w:r>
      <w:r w:rsidRPr="00B1119F">
        <w:rPr>
          <w:rFonts w:ascii="Times New Roman" w:eastAsia="Arial Unicode MS" w:hAnsi="Times New Roman" w:cs="Times New Roman"/>
          <w:color w:val="000000"/>
          <w:spacing w:val="-10"/>
          <w:kern w:val="0"/>
          <w:sz w:val="26"/>
          <w:szCs w:val="26"/>
          <w:lang w:val="uk-UA" w:eastAsia="uk-UA" w:bidi="uk-UA"/>
        </w:rPr>
        <w:t>1</w:t>
      </w:r>
      <w:r w:rsidRPr="00B1119F">
        <w:rPr>
          <w:rFonts w:ascii="Arial Unicode MS" w:eastAsia="Arial Unicode MS" w:hAnsi="Arial Unicode MS" w:cs="Arial Unicode MS"/>
          <w:color w:val="000000"/>
          <w:kern w:val="0"/>
          <w:sz w:val="24"/>
          <w:szCs w:val="24"/>
          <w:lang w:val="uk-UA" w:eastAsia="uk-UA" w:bidi="uk-UA"/>
        </w:rPr>
        <w:t xml:space="preserve">) забезпеченість власними коштами; </w:t>
      </w:r>
      <w:r w:rsidRPr="00B1119F">
        <w:rPr>
          <w:rFonts w:ascii="Times New Roman" w:eastAsia="Arial Unicode MS" w:hAnsi="Times New Roman" w:cs="Times New Roman"/>
          <w:color w:val="000000"/>
          <w:spacing w:val="-10"/>
          <w:kern w:val="0"/>
          <w:sz w:val="26"/>
          <w:szCs w:val="26"/>
          <w:lang w:val="uk-UA" w:eastAsia="uk-UA" w:bidi="uk-UA"/>
        </w:rPr>
        <w:t>2</w:t>
      </w:r>
      <w:r w:rsidRPr="00B1119F">
        <w:rPr>
          <w:rFonts w:ascii="Arial Unicode MS" w:eastAsia="Arial Unicode MS" w:hAnsi="Arial Unicode MS" w:cs="Arial Unicode MS"/>
          <w:color w:val="000000"/>
          <w:kern w:val="0"/>
          <w:sz w:val="24"/>
          <w:szCs w:val="24"/>
          <w:lang w:val="uk-UA" w:eastAsia="uk-UA" w:bidi="uk-UA"/>
        </w:rPr>
        <w:t>) достатність страхових резервів; 3) достатність страхових премій для здійснення страхових виплат; 4) частка страхових резервів, яка спрямовується на страхові виплати; 5) частка страхових резервів у загальному обсязі коштів страхової компанії;</w:t>
      </w:r>
    </w:p>
    <w:p w:rsidR="00B1119F" w:rsidRPr="00B1119F" w:rsidRDefault="00B1119F" w:rsidP="00B1119F">
      <w:pPr>
        <w:numPr>
          <w:ilvl w:val="0"/>
          <w:numId w:val="13"/>
        </w:numPr>
        <w:tabs>
          <w:tab w:val="clear" w:pos="709"/>
          <w:tab w:val="left" w:pos="1138"/>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науково-методичний підхід до організації комплексного </w:t>
      </w:r>
      <w:r w:rsidRPr="00B1119F">
        <w:rPr>
          <w:rFonts w:ascii="Arial Unicode MS" w:eastAsia="Arial Unicode MS" w:hAnsi="Arial Unicode MS" w:cs="Arial Unicode MS"/>
          <w:color w:val="000000"/>
          <w:kern w:val="0"/>
          <w:sz w:val="24"/>
          <w:szCs w:val="24"/>
          <w:lang w:val="uk-UA" w:eastAsia="ru-RU" w:bidi="ru-RU"/>
        </w:rPr>
        <w:t xml:space="preserve">продажу </w:t>
      </w:r>
      <w:r w:rsidRPr="00B1119F">
        <w:rPr>
          <w:rFonts w:ascii="Arial Unicode MS" w:eastAsia="Arial Unicode MS" w:hAnsi="Arial Unicode MS" w:cs="Arial Unicode MS"/>
          <w:color w:val="000000"/>
          <w:kern w:val="0"/>
          <w:sz w:val="24"/>
          <w:szCs w:val="24"/>
          <w:lang w:val="uk-UA" w:eastAsia="uk-UA" w:bidi="uk-UA"/>
        </w:rPr>
        <w:t>в системі реалізації страхових продуктів, який, на відміну від традиційних підходів, передбачає розрахунок розміру індивідуального страхового тарифу для страхувальників, із урахуванням трьох потенційних джерел економічно обґрунтованої знижки: антиселекції ризиків, дестимулювання страхового шахрайства та зниження витрат страхової компанії на залучення нових клієнтів. Такий підхід дозволяє забезпечити привабливість страхових продуктів для споживачів та їх комплексний продаж;</w:t>
      </w:r>
    </w:p>
    <w:p w:rsidR="00B1119F" w:rsidRPr="00B1119F" w:rsidRDefault="00B1119F" w:rsidP="00B1119F">
      <w:pPr>
        <w:numPr>
          <w:ilvl w:val="0"/>
          <w:numId w:val="13"/>
        </w:numPr>
        <w:tabs>
          <w:tab w:val="clear" w:pos="709"/>
          <w:tab w:val="left" w:pos="1138"/>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підходи до оцінювання якості системи реалізації страхових продуктів, а саме - запропоновано методичний підхід, що ґрунтується на принципі відкритого циклу (циклу Шухарта-Демінга) та передбачає виокремлення чотирьох груп індикаторів, що характеризують: </w:t>
      </w:r>
      <w:r w:rsidRPr="00B1119F">
        <w:rPr>
          <w:rFonts w:ascii="Times New Roman" w:eastAsia="Arial Unicode MS" w:hAnsi="Times New Roman" w:cs="Times New Roman"/>
          <w:color w:val="000000"/>
          <w:spacing w:val="-10"/>
          <w:kern w:val="0"/>
          <w:sz w:val="26"/>
          <w:szCs w:val="26"/>
          <w:lang w:val="uk-UA" w:eastAsia="uk-UA" w:bidi="uk-UA"/>
        </w:rPr>
        <w:t>1</w:t>
      </w:r>
      <w:r w:rsidRPr="00B1119F">
        <w:rPr>
          <w:rFonts w:ascii="Arial Unicode MS" w:eastAsia="Arial Unicode MS" w:hAnsi="Arial Unicode MS" w:cs="Arial Unicode MS"/>
          <w:color w:val="000000"/>
          <w:kern w:val="0"/>
          <w:sz w:val="24"/>
          <w:szCs w:val="24"/>
          <w:lang w:val="uk-UA" w:eastAsia="uk-UA" w:bidi="uk-UA"/>
        </w:rPr>
        <w:t xml:space="preserve">) якість продуктового ряду; </w:t>
      </w:r>
      <w:r w:rsidRPr="00B1119F">
        <w:rPr>
          <w:rFonts w:ascii="Times New Roman" w:eastAsia="Arial Unicode MS" w:hAnsi="Times New Roman" w:cs="Times New Roman"/>
          <w:color w:val="000000"/>
          <w:spacing w:val="-10"/>
          <w:kern w:val="0"/>
          <w:sz w:val="26"/>
          <w:szCs w:val="26"/>
          <w:lang w:val="uk-UA" w:eastAsia="uk-UA" w:bidi="uk-UA"/>
        </w:rPr>
        <w:t>2</w:t>
      </w:r>
      <w:r w:rsidRPr="00B1119F">
        <w:rPr>
          <w:rFonts w:ascii="Arial Unicode MS" w:eastAsia="Arial Unicode MS" w:hAnsi="Arial Unicode MS" w:cs="Arial Unicode MS"/>
          <w:color w:val="000000"/>
          <w:kern w:val="0"/>
          <w:sz w:val="24"/>
          <w:szCs w:val="24"/>
          <w:lang w:val="uk-UA" w:eastAsia="uk-UA" w:bidi="uk-UA"/>
        </w:rPr>
        <w:t>) якість аквізаційної діяльності; 3) фінансову стійкість страхових операцій; 4) ефективність використання ресурсного потенціалу страхової компанії. Такий підхід дає змогу ідентифікувати якісний стан системи реалізації страхових продуктів та своєчасно вживати заходів щодо його покращення;</w:t>
      </w:r>
    </w:p>
    <w:p w:rsidR="00B1119F" w:rsidRPr="00B1119F" w:rsidRDefault="00B1119F" w:rsidP="00B1119F">
      <w:pPr>
        <w:numPr>
          <w:ilvl w:val="0"/>
          <w:numId w:val="13"/>
        </w:numPr>
        <w:tabs>
          <w:tab w:val="clear" w:pos="709"/>
          <w:tab w:val="left" w:pos="1138"/>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методичний підхід до варіантизації франшизи, який передбачає застосування імітаційного моделювання для визначення граничного розміру франшизи залежно від базової ставки страхового тарифу, імовірності настання страхового випадку та прогнозного обсягу збитків, що дозволяє оптимізувати тарифну політику страхової компанії та стимулювати реалізацію страхових продуктів.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26"/>
          <w:szCs w:val="26"/>
          <w:lang w:val="uk-UA" w:eastAsia="uk-UA" w:bidi="uk-UA"/>
        </w:rPr>
        <w:t xml:space="preserve">Практичне значення одержаних результатів </w:t>
      </w:r>
      <w:r w:rsidRPr="00B1119F">
        <w:rPr>
          <w:rFonts w:ascii="Arial Unicode MS" w:eastAsia="Arial Unicode MS" w:hAnsi="Arial Unicode MS" w:cs="Arial Unicode MS"/>
          <w:color w:val="000000"/>
          <w:kern w:val="0"/>
          <w:sz w:val="24"/>
          <w:szCs w:val="24"/>
          <w:lang w:val="uk-UA" w:eastAsia="uk-UA" w:bidi="uk-UA"/>
        </w:rPr>
        <w:t>полягає у використанні теоретичних висновків і практичних рекомендацій для удосконалення системи реалізації страхових продуктів.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Результати дисертаційної роботи застосовано в діяльності окремих установ, що підтверджується відповідними довідками про впровадження, зокрема: Ліги страхових організацій України - під час розробки Концепції розвитку страхового ринку до 2015 року, в частині авторського погляду на систему реалізації страхових продуктів та класифікації каналів такої реалізації (довідка від 03. 10. 2013 р. № 349/ІІІ-6); ПАТ «Страхова компанія «Універсальна» - підхід до оцінки якості системи реалізації страхових продуктів (довідка від 10. 10. 2012 р. № 78); ПрАТ «Страхова компанія «Еталон» - пропозиції щодо підвищення ефективності системи реалізації страхових продуктів (довідка від 22.08.2012 р. № 23-3819); ПАТ «Страхова компанія «Скайд» - науково-методичний підхід до визначення </w:t>
      </w:r>
      <w:r w:rsidRPr="00B1119F">
        <w:rPr>
          <w:rFonts w:ascii="Arial Unicode MS" w:eastAsia="Arial Unicode MS" w:hAnsi="Arial Unicode MS" w:cs="Arial Unicode MS"/>
          <w:color w:val="000000"/>
          <w:kern w:val="0"/>
          <w:sz w:val="24"/>
          <w:szCs w:val="24"/>
          <w:lang w:val="uk-UA" w:eastAsia="ru-RU" w:bidi="ru-RU"/>
        </w:rPr>
        <w:t xml:space="preserve">граничного </w:t>
      </w:r>
      <w:r w:rsidRPr="00B1119F">
        <w:rPr>
          <w:rFonts w:ascii="Arial Unicode MS" w:eastAsia="Arial Unicode MS" w:hAnsi="Arial Unicode MS" w:cs="Arial Unicode MS"/>
          <w:color w:val="000000"/>
          <w:kern w:val="0"/>
          <w:sz w:val="24"/>
          <w:szCs w:val="24"/>
          <w:lang w:val="uk-UA" w:eastAsia="uk-UA" w:bidi="uk-UA"/>
        </w:rPr>
        <w:t xml:space="preserve">розміру франшизи за </w:t>
      </w:r>
      <w:r w:rsidRPr="00B1119F">
        <w:rPr>
          <w:rFonts w:ascii="Arial Unicode MS" w:eastAsia="Arial Unicode MS" w:hAnsi="Arial Unicode MS" w:cs="Arial Unicode MS"/>
          <w:color w:val="000000"/>
          <w:kern w:val="0"/>
          <w:sz w:val="24"/>
          <w:szCs w:val="24"/>
          <w:lang w:val="uk-UA" w:eastAsia="ru-RU" w:bidi="ru-RU"/>
        </w:rPr>
        <w:t xml:space="preserve">умов </w:t>
      </w:r>
      <w:r w:rsidRPr="00B1119F">
        <w:rPr>
          <w:rFonts w:ascii="Arial Unicode MS" w:eastAsia="Arial Unicode MS" w:hAnsi="Arial Unicode MS" w:cs="Arial Unicode MS"/>
          <w:color w:val="000000"/>
          <w:kern w:val="0"/>
          <w:sz w:val="24"/>
          <w:szCs w:val="24"/>
          <w:lang w:val="uk-UA" w:eastAsia="uk-UA" w:bidi="uk-UA"/>
        </w:rPr>
        <w:t>диференціації параметрів страхування (довідка від 07.07. 2013 р. № 188-К).</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Окремі теоретичні та науково-методичні положення дисертаційного дослідження впроваджено в навчальний процес Черкаського державного технологічного університету при викладанні дисциплін «Страхування», «Маркетинг» та «Стратегічне управління» (довідка від 06.06.2012 р. № 1068/01.11.01).</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26"/>
          <w:szCs w:val="26"/>
          <w:lang w:val="uk-UA" w:eastAsia="uk-UA" w:bidi="uk-UA"/>
        </w:rPr>
        <w:t xml:space="preserve">Особистий внесок здобувача. </w:t>
      </w:r>
      <w:r w:rsidRPr="00B1119F">
        <w:rPr>
          <w:rFonts w:ascii="Arial Unicode MS" w:eastAsia="Arial Unicode MS" w:hAnsi="Arial Unicode MS" w:cs="Arial Unicode MS"/>
          <w:color w:val="000000"/>
          <w:kern w:val="0"/>
          <w:sz w:val="24"/>
          <w:szCs w:val="24"/>
          <w:lang w:val="uk-UA" w:eastAsia="uk-UA" w:bidi="uk-UA"/>
        </w:rPr>
        <w:t>Всі результати дослідження, які викладені в дисертації і виносяться на захист, отримані автором самостійно і є його науковим доробком. Із наукових праць, опублікованих у співавторстві, у дисертації використані лише ті положення, які є результатом особистих досліджень автора.</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26"/>
          <w:szCs w:val="26"/>
          <w:lang w:val="uk-UA" w:eastAsia="uk-UA" w:bidi="uk-UA"/>
        </w:rPr>
        <w:t xml:space="preserve">Апробація результатів дисертації. </w:t>
      </w:r>
      <w:r w:rsidRPr="00B1119F">
        <w:rPr>
          <w:rFonts w:ascii="Arial Unicode MS" w:eastAsia="Arial Unicode MS" w:hAnsi="Arial Unicode MS" w:cs="Arial Unicode MS"/>
          <w:color w:val="000000"/>
          <w:kern w:val="0"/>
          <w:sz w:val="24"/>
          <w:szCs w:val="24"/>
          <w:lang w:val="uk-UA" w:eastAsia="uk-UA" w:bidi="uk-UA"/>
        </w:rPr>
        <w:t>Основні положення дисертації доповідалися та отримали схвальну оцінку на міжнародних науково -практичних конференціях «Облік, контроль і аналіз в управлінні підприємницькою діяльністю» (м. Черкаси, 2010 р., 2013 р.), «Теорія і практика сучасної економіки» (м. Черкаси, 2010 р., 2011 р.), «Банківська система України в умовах глобалізації фінансових ринків» (м. Черкаси, 2010 р., 2011 р.), «Страховий ринок України в умовах фінансової глобалізації» (м. Київ, 2012 р.), а також Всеукраїнських науково-практичних конференціях «Методи фінансового забезпечення стійкого економічного розвитку» (м. Севастополь, 2011 р.), «Проблеми і перспективи розвитку банківської системи України» (м. Суми, 2011 р.), «Методи та моделі фінансового забезпечення сталого економічного розвитку» (м. Севастополь, 2012 р.).</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26"/>
          <w:szCs w:val="26"/>
          <w:lang w:val="uk-UA" w:eastAsia="uk-UA" w:bidi="uk-UA"/>
        </w:rPr>
        <w:t xml:space="preserve">Публікації. </w:t>
      </w:r>
      <w:r w:rsidRPr="00B1119F">
        <w:rPr>
          <w:rFonts w:ascii="Arial Unicode MS" w:eastAsia="Arial Unicode MS" w:hAnsi="Arial Unicode MS" w:cs="Arial Unicode MS"/>
          <w:color w:val="000000"/>
          <w:kern w:val="0"/>
          <w:sz w:val="24"/>
          <w:szCs w:val="24"/>
          <w:lang w:val="uk-UA" w:eastAsia="uk-UA" w:bidi="uk-UA"/>
        </w:rPr>
        <w:t xml:space="preserve">Основні наукові положення та висновки за результатами досліджень опубліковано в 23 наукових працях загальним обсягом 7,97 друк. арк., з яких особисто авторові належать 7,43 друк. арк., у тому числі: 12 статей у фахових наукових </w:t>
      </w:r>
      <w:r w:rsidRPr="00B1119F">
        <w:rPr>
          <w:rFonts w:ascii="Arial Unicode MS" w:eastAsia="Arial Unicode MS" w:hAnsi="Arial Unicode MS" w:cs="Arial Unicode MS"/>
          <w:color w:val="000000"/>
          <w:kern w:val="0"/>
          <w:sz w:val="24"/>
          <w:szCs w:val="24"/>
          <w:lang w:eastAsia="ru-RU" w:bidi="ru-RU"/>
        </w:rPr>
        <w:t xml:space="preserve">журналах </w:t>
      </w:r>
      <w:r w:rsidRPr="00B1119F">
        <w:rPr>
          <w:rFonts w:ascii="Arial Unicode MS" w:eastAsia="Arial Unicode MS" w:hAnsi="Arial Unicode MS" w:cs="Arial Unicode MS"/>
          <w:color w:val="000000"/>
          <w:kern w:val="0"/>
          <w:sz w:val="24"/>
          <w:szCs w:val="24"/>
          <w:lang w:val="uk-UA" w:eastAsia="uk-UA" w:bidi="uk-UA"/>
        </w:rPr>
        <w:t xml:space="preserve">і збірниках наукових праць, </w:t>
      </w:r>
      <w:r w:rsidRPr="00B1119F">
        <w:rPr>
          <w:rFonts w:ascii="Times New Roman" w:eastAsia="Arial Unicode MS" w:hAnsi="Times New Roman" w:cs="Times New Roman"/>
          <w:color w:val="000000"/>
          <w:spacing w:val="-10"/>
          <w:kern w:val="0"/>
          <w:sz w:val="26"/>
          <w:szCs w:val="26"/>
          <w:lang w:val="uk-UA" w:eastAsia="uk-UA" w:bidi="uk-UA"/>
        </w:rPr>
        <w:t>10</w:t>
      </w:r>
      <w:r w:rsidRPr="00B1119F">
        <w:rPr>
          <w:rFonts w:ascii="Arial Unicode MS" w:eastAsia="Arial Unicode MS" w:hAnsi="Arial Unicode MS" w:cs="Arial Unicode MS"/>
          <w:color w:val="000000"/>
          <w:kern w:val="0"/>
          <w:sz w:val="24"/>
          <w:szCs w:val="24"/>
          <w:lang w:val="uk-UA" w:eastAsia="uk-UA" w:bidi="uk-UA"/>
        </w:rPr>
        <w:t xml:space="preserve"> публікацій тез доповідей на науково-практичних конференціях.</w:t>
      </w:r>
    </w:p>
    <w:p w:rsidR="00B1119F" w:rsidRPr="00B1119F" w:rsidRDefault="00B1119F" w:rsidP="00B1119F">
      <w:pPr>
        <w:tabs>
          <w:tab w:val="clear" w:pos="709"/>
        </w:tabs>
        <w:suppressAutoHyphens w:val="0"/>
        <w:spacing w:after="349"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26"/>
          <w:szCs w:val="26"/>
          <w:lang w:val="uk-UA" w:eastAsia="uk-UA" w:bidi="uk-UA"/>
        </w:rPr>
        <w:t xml:space="preserve">Структура та обсяг дисертації. </w:t>
      </w:r>
      <w:r w:rsidRPr="00B1119F">
        <w:rPr>
          <w:rFonts w:ascii="Arial Unicode MS" w:eastAsia="Arial Unicode MS" w:hAnsi="Arial Unicode MS" w:cs="Arial Unicode MS"/>
          <w:color w:val="000000"/>
          <w:kern w:val="0"/>
          <w:sz w:val="24"/>
          <w:szCs w:val="24"/>
          <w:lang w:val="uk-UA" w:eastAsia="uk-UA" w:bidi="uk-UA"/>
        </w:rPr>
        <w:t xml:space="preserve">Дисертація складається зі вступу, трьох розділів, висновків, списку використаних джерел. Робота викладена на 184 сторінках основного тексту, містить 20 таблиць, із них - 2 на окремих сторінках, 32 рисунки, у тому числі - 3 на окремих сторінках, </w:t>
      </w:r>
      <w:r w:rsidRPr="00B1119F">
        <w:rPr>
          <w:rFonts w:ascii="Times New Roman" w:eastAsia="Arial Unicode MS" w:hAnsi="Times New Roman" w:cs="Times New Roman"/>
          <w:color w:val="000000"/>
          <w:spacing w:val="-10"/>
          <w:kern w:val="0"/>
          <w:sz w:val="26"/>
          <w:szCs w:val="26"/>
          <w:lang w:val="uk-UA" w:eastAsia="uk-UA" w:bidi="uk-UA"/>
        </w:rPr>
        <w:t>6</w:t>
      </w:r>
      <w:r w:rsidRPr="00B1119F">
        <w:rPr>
          <w:rFonts w:ascii="Arial Unicode MS" w:eastAsia="Arial Unicode MS" w:hAnsi="Arial Unicode MS" w:cs="Arial Unicode MS"/>
          <w:color w:val="000000"/>
          <w:kern w:val="0"/>
          <w:sz w:val="24"/>
          <w:szCs w:val="24"/>
          <w:lang w:val="uk-UA" w:eastAsia="uk-UA" w:bidi="uk-UA"/>
        </w:rPr>
        <w:t xml:space="preserve"> додатків на 31 сторінці. Список використаних джерел налічує 170 найменувань і розміщений на 17 сторінках.</w:t>
      </w:r>
    </w:p>
    <w:p w:rsidR="00B1119F" w:rsidRPr="00B1119F" w:rsidRDefault="00B1119F" w:rsidP="00B1119F">
      <w:pPr>
        <w:keepNext/>
        <w:keepLines/>
        <w:tabs>
          <w:tab w:val="clear" w:pos="709"/>
        </w:tabs>
        <w:suppressAutoHyphens w:val="0"/>
        <w:spacing w:after="313" w:line="260" w:lineRule="exact"/>
        <w:ind w:firstLine="0"/>
        <w:jc w:val="center"/>
        <w:outlineLvl w:val="1"/>
        <w:rPr>
          <w:rFonts w:ascii="Times New Roman" w:eastAsia="Times New Roman" w:hAnsi="Times New Roman" w:cs="Times New Roman"/>
          <w:b/>
          <w:bCs/>
          <w:kern w:val="0"/>
          <w:sz w:val="26"/>
          <w:szCs w:val="26"/>
          <w:lang w:val="uk-UA" w:eastAsia="uk-UA" w:bidi="uk-UA"/>
        </w:rPr>
      </w:pPr>
      <w:bookmarkStart w:id="1" w:name="bookmark1"/>
      <w:r w:rsidRPr="00B1119F">
        <w:rPr>
          <w:rFonts w:ascii="Times New Roman" w:eastAsia="Times New Roman" w:hAnsi="Times New Roman" w:cs="Times New Roman"/>
          <w:b/>
          <w:bCs/>
          <w:color w:val="000000"/>
          <w:kern w:val="0"/>
          <w:sz w:val="26"/>
          <w:szCs w:val="26"/>
          <w:lang w:val="uk-UA" w:eastAsia="uk-UA" w:bidi="uk-UA"/>
        </w:rPr>
        <w:t>ОСНОВНИЙ ЗМІСТ ДИСЕРТАЦІЇ</w:t>
      </w:r>
      <w:bookmarkEnd w:id="1"/>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У </w:t>
      </w:r>
      <w:r w:rsidRPr="00B1119F">
        <w:rPr>
          <w:rFonts w:ascii="Times New Roman" w:eastAsia="Arial Unicode MS" w:hAnsi="Times New Roman" w:cs="Times New Roman"/>
          <w:b/>
          <w:bCs/>
          <w:color w:val="000000"/>
          <w:kern w:val="0"/>
          <w:sz w:val="26"/>
          <w:szCs w:val="26"/>
          <w:lang w:val="uk-UA" w:eastAsia="uk-UA" w:bidi="uk-UA"/>
        </w:rPr>
        <w:t xml:space="preserve">вступі </w:t>
      </w:r>
      <w:r w:rsidRPr="00B1119F">
        <w:rPr>
          <w:rFonts w:ascii="Arial Unicode MS" w:eastAsia="Arial Unicode MS" w:hAnsi="Arial Unicode MS" w:cs="Arial Unicode MS"/>
          <w:color w:val="000000"/>
          <w:kern w:val="0"/>
          <w:sz w:val="24"/>
          <w:szCs w:val="24"/>
          <w:lang w:val="uk-UA" w:eastAsia="uk-UA" w:bidi="uk-UA"/>
        </w:rPr>
        <w:t xml:space="preserve">обґрунтовано актуальність теми дисертаційної роботи, визначено мету, завдання, об’єкт, предмет, методи дослідження, розкрито наукову новизну та практичне значення отриманих результатів, визначено зв’язок із науковими програмами, наведено інформацію </w:t>
      </w:r>
      <w:r w:rsidRPr="00B1119F">
        <w:rPr>
          <w:rFonts w:ascii="Arial Unicode MS" w:eastAsia="Arial Unicode MS" w:hAnsi="Arial Unicode MS" w:cs="Arial Unicode MS"/>
          <w:color w:val="000000"/>
          <w:kern w:val="0"/>
          <w:sz w:val="24"/>
          <w:szCs w:val="24"/>
          <w:lang w:eastAsia="ru-RU" w:bidi="ru-RU"/>
        </w:rPr>
        <w:t xml:space="preserve">про </w:t>
      </w:r>
      <w:r w:rsidRPr="00B1119F">
        <w:rPr>
          <w:rFonts w:ascii="Arial Unicode MS" w:eastAsia="Arial Unicode MS" w:hAnsi="Arial Unicode MS" w:cs="Arial Unicode MS"/>
          <w:color w:val="000000"/>
          <w:kern w:val="0"/>
          <w:sz w:val="24"/>
          <w:szCs w:val="24"/>
          <w:lang w:val="uk-UA" w:eastAsia="uk-UA" w:bidi="uk-UA"/>
        </w:rPr>
        <w:t>апробацію результатів дослідження.</w:t>
      </w:r>
    </w:p>
    <w:p w:rsidR="00B1119F" w:rsidRPr="00B1119F" w:rsidRDefault="00B1119F" w:rsidP="00B1119F">
      <w:pPr>
        <w:keepNext/>
        <w:framePr w:dropCap="drop" w:lines="2" w:wrap="auto" w:vAnchor="text" w:hAnchor="text"/>
        <w:tabs>
          <w:tab w:val="clear" w:pos="709"/>
        </w:tabs>
        <w:suppressAutoHyphens w:val="0"/>
        <w:spacing w:after="0" w:line="182" w:lineRule="exact"/>
        <w:ind w:firstLine="0"/>
        <w:rPr>
          <w:rFonts w:ascii="Franklin Gothic Heavy" w:eastAsia="Franklin Gothic Heavy" w:hAnsi="Franklin Gothic Heavy" w:cs="Franklin Gothic Heavy"/>
          <w:kern w:val="0"/>
          <w:sz w:val="28"/>
          <w:szCs w:val="28"/>
          <w:lang w:val="uk-UA" w:eastAsia="uk-UA" w:bidi="uk-UA"/>
        </w:rPr>
      </w:pPr>
      <w:r w:rsidRPr="00B1119F">
        <w:rPr>
          <w:rFonts w:ascii="Franklin Gothic Heavy" w:eastAsia="Franklin Gothic Heavy" w:hAnsi="Franklin Gothic Heavy" w:cs="Franklin Gothic Heavy"/>
          <w:color w:val="000000"/>
          <w:kern w:val="0"/>
          <w:position w:val="-4"/>
          <w:sz w:val="28"/>
          <w:szCs w:val="28"/>
          <w:lang w:val="uk-UA" w:eastAsia="uk-UA" w:bidi="uk-UA"/>
        </w:rPr>
        <w:t>У</w:t>
      </w:r>
    </w:p>
    <w:p w:rsidR="00B1119F" w:rsidRPr="00B1119F" w:rsidRDefault="00B1119F" w:rsidP="00B1119F">
      <w:pPr>
        <w:tabs>
          <w:tab w:val="clear" w:pos="709"/>
        </w:tabs>
        <w:suppressAutoHyphens w:val="0"/>
        <w:spacing w:after="0" w:line="280" w:lineRule="exact"/>
        <w:ind w:firstLine="0"/>
        <w:rPr>
          <w:rFonts w:ascii="Franklin Gothic Heavy" w:eastAsia="Franklin Gothic Heavy" w:hAnsi="Franklin Gothic Heavy" w:cs="Franklin Gothic Heavy"/>
          <w:kern w:val="0"/>
          <w:sz w:val="28"/>
          <w:szCs w:val="28"/>
          <w:lang w:val="uk-UA" w:eastAsia="uk-UA" w:bidi="uk-UA"/>
        </w:rPr>
      </w:pPr>
    </w:p>
    <w:p w:rsidR="00B1119F" w:rsidRPr="00B1119F" w:rsidRDefault="00B1119F" w:rsidP="00B1119F">
      <w:pPr>
        <w:tabs>
          <w:tab w:val="clear" w:pos="709"/>
        </w:tabs>
        <w:suppressAutoHyphens w:val="0"/>
        <w:spacing w:after="0" w:line="322" w:lineRule="exact"/>
        <w:ind w:firstLine="116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першому розділі </w:t>
      </w:r>
      <w:r w:rsidRPr="00B1119F">
        <w:rPr>
          <w:rFonts w:ascii="Times New Roman" w:eastAsia="Arial Unicode MS" w:hAnsi="Times New Roman" w:cs="Times New Roman"/>
          <w:b/>
          <w:bCs/>
          <w:color w:val="000000"/>
          <w:kern w:val="0"/>
          <w:sz w:val="26"/>
          <w:szCs w:val="26"/>
          <w:lang w:val="uk-UA" w:eastAsia="uk-UA" w:bidi="uk-UA"/>
        </w:rPr>
        <w:t xml:space="preserve">«Іеоретичні засади системи реалізації страхових продуктів» </w:t>
      </w:r>
      <w:r w:rsidRPr="00B1119F">
        <w:rPr>
          <w:rFonts w:ascii="Arial Unicode MS" w:eastAsia="Arial Unicode MS" w:hAnsi="Arial Unicode MS" w:cs="Arial Unicode MS"/>
          <w:color w:val="000000"/>
          <w:kern w:val="0"/>
          <w:sz w:val="24"/>
          <w:szCs w:val="24"/>
          <w:lang w:val="uk-UA" w:eastAsia="uk-UA" w:bidi="uk-UA"/>
        </w:rPr>
        <w:t>розкрито сутність страхового продукту, систематизовано види страхових продуктів, формалізовано систему їх реалізації, структуровано канали збуту в системі реалізації страхових продуктів.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Страховий продукт є різновидом страхових послуг (табл. 1), що втілюється у вигляді комплексного </w:t>
      </w:r>
      <w:r w:rsidRPr="00B1119F">
        <w:rPr>
          <w:rFonts w:ascii="Arial Unicode MS" w:eastAsia="Arial Unicode MS" w:hAnsi="Arial Unicode MS" w:cs="Arial Unicode MS"/>
          <w:color w:val="000000"/>
          <w:kern w:val="0"/>
          <w:sz w:val="24"/>
          <w:szCs w:val="24"/>
          <w:lang w:eastAsia="ru-RU" w:bidi="ru-RU"/>
        </w:rPr>
        <w:t xml:space="preserve">страхового </w:t>
      </w:r>
      <w:r w:rsidRPr="00B1119F">
        <w:rPr>
          <w:rFonts w:ascii="Arial Unicode MS" w:eastAsia="Arial Unicode MS" w:hAnsi="Arial Unicode MS" w:cs="Arial Unicode MS"/>
          <w:color w:val="000000"/>
          <w:kern w:val="0"/>
          <w:sz w:val="24"/>
          <w:szCs w:val="24"/>
          <w:lang w:val="uk-UA" w:eastAsia="uk-UA" w:bidi="uk-UA"/>
        </w:rPr>
        <w:t xml:space="preserve">покриття, яке надається </w:t>
      </w:r>
      <w:r w:rsidRPr="00B1119F">
        <w:rPr>
          <w:rFonts w:ascii="Arial Unicode MS" w:eastAsia="Arial Unicode MS" w:hAnsi="Arial Unicode MS" w:cs="Arial Unicode MS"/>
          <w:color w:val="000000"/>
          <w:kern w:val="0"/>
          <w:sz w:val="24"/>
          <w:szCs w:val="24"/>
          <w:lang w:eastAsia="ru-RU" w:bidi="ru-RU"/>
        </w:rPr>
        <w:t xml:space="preserve">страховою </w:t>
      </w:r>
      <w:r w:rsidRPr="00B1119F">
        <w:rPr>
          <w:rFonts w:ascii="Arial Unicode MS" w:eastAsia="Arial Unicode MS" w:hAnsi="Arial Unicode MS" w:cs="Arial Unicode MS"/>
          <w:color w:val="000000"/>
          <w:kern w:val="0"/>
          <w:sz w:val="24"/>
          <w:szCs w:val="24"/>
          <w:lang w:val="uk-UA" w:eastAsia="uk-UA" w:bidi="uk-UA"/>
        </w:rPr>
        <w:t>компанією і призначене для найбільш повного задоволення потреб страхувальника, застрахованого (вигодонабувача) та третіх осіб через надання їм страхового захисту, на обумовлених сторонами умовах, і у визначених ними обсягах та/або згідно з</w:t>
      </w:r>
    </w:p>
    <w:p w:rsidR="00B1119F" w:rsidRPr="00B1119F" w:rsidRDefault="00B1119F" w:rsidP="00B1119F">
      <w:pPr>
        <w:tabs>
          <w:tab w:val="clear" w:pos="709"/>
        </w:tabs>
        <w:suppressAutoHyphens w:val="0"/>
        <w:spacing w:after="0" w:line="322" w:lineRule="exact"/>
        <w:ind w:right="140" w:firstLine="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чинним законодавством, що досягається за рахунок надання основних і допоміжних послуг, як під час укладання договору страхування, так і в процесі його супроводження.</w:t>
      </w:r>
    </w:p>
    <w:p w:rsidR="00B1119F" w:rsidRPr="00B1119F" w:rsidRDefault="00B1119F" w:rsidP="00B1119F">
      <w:pPr>
        <w:framePr w:w="10330" w:wrap="notBeside" w:vAnchor="text" w:hAnchor="text" w:xAlign="center" w:y="1"/>
        <w:tabs>
          <w:tab w:val="clear" w:pos="709"/>
        </w:tabs>
        <w:suppressAutoHyphens w:val="0"/>
        <w:spacing w:after="153" w:line="260" w:lineRule="exact"/>
        <w:ind w:firstLine="0"/>
        <w:jc w:val="right"/>
        <w:rPr>
          <w:rFonts w:ascii="Times New Roman" w:eastAsia="Times New Roman" w:hAnsi="Times New Roman" w:cs="Times New Roman"/>
          <w:i/>
          <w:iCs/>
          <w:kern w:val="0"/>
          <w:sz w:val="26"/>
          <w:szCs w:val="26"/>
          <w:lang w:val="uk-UA" w:eastAsia="uk-UA" w:bidi="uk-UA"/>
        </w:rPr>
      </w:pPr>
      <w:r w:rsidRPr="00B1119F">
        <w:rPr>
          <w:rFonts w:ascii="Times New Roman" w:eastAsia="Times New Roman" w:hAnsi="Times New Roman" w:cs="Times New Roman"/>
          <w:i/>
          <w:iCs/>
          <w:color w:val="000000"/>
          <w:kern w:val="0"/>
          <w:sz w:val="26"/>
          <w:szCs w:val="26"/>
          <w:lang w:val="uk-UA" w:eastAsia="uk-UA" w:bidi="uk-UA"/>
        </w:rPr>
        <w:t>Таблиця 1</w:t>
      </w:r>
    </w:p>
    <w:p w:rsidR="00B1119F" w:rsidRPr="00B1119F" w:rsidRDefault="00B1119F" w:rsidP="00B1119F">
      <w:pPr>
        <w:framePr w:w="10330" w:wrap="notBeside" w:vAnchor="text" w:hAnchor="text" w:xAlign="center" w:y="1"/>
        <w:tabs>
          <w:tab w:val="clear" w:pos="709"/>
          <w:tab w:val="left" w:leader="underscore" w:pos="8006"/>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26"/>
          <w:szCs w:val="26"/>
          <w:u w:val="single"/>
          <w:lang w:val="uk-UA" w:eastAsia="uk-UA" w:bidi="uk-UA"/>
        </w:rPr>
        <w:t>Ієрархічні класифікаційні рівні у страхуванні</w:t>
      </w:r>
      <w:r w:rsidRPr="00B1119F">
        <w:rPr>
          <w:rFonts w:ascii="Arial Unicode MS" w:eastAsia="Arial Unicode MS" w:hAnsi="Arial Unicode MS" w:cs="Arial Unicode MS"/>
          <w:color w:val="000000"/>
          <w:kern w:val="0"/>
          <w:sz w:val="24"/>
          <w:szCs w:val="24"/>
          <w:lang w:val="uk-UA" w:eastAsia="uk-UA" w:bidi="uk-UA"/>
        </w:rPr>
        <w:tab/>
      </w:r>
    </w:p>
    <w:tbl>
      <w:tblPr>
        <w:tblOverlap w:val="never"/>
        <w:tblW w:w="0" w:type="auto"/>
        <w:jc w:val="center"/>
        <w:tblLayout w:type="fixed"/>
        <w:tblCellMar>
          <w:left w:w="10" w:type="dxa"/>
          <w:right w:w="10" w:type="dxa"/>
        </w:tblCellMar>
        <w:tblLook w:val="04A0"/>
      </w:tblPr>
      <w:tblGrid>
        <w:gridCol w:w="1675"/>
        <w:gridCol w:w="4536"/>
        <w:gridCol w:w="4118"/>
      </w:tblGrid>
      <w:tr w:rsidR="00B1119F" w:rsidRPr="00B1119F" w:rsidTr="00105B87">
        <w:tblPrEx>
          <w:tblCellMar>
            <w:top w:w="0" w:type="dxa"/>
            <w:bottom w:w="0" w:type="dxa"/>
          </w:tblCellMar>
        </w:tblPrEx>
        <w:trPr>
          <w:trHeight w:hRule="exact" w:val="566"/>
          <w:jc w:val="center"/>
        </w:trPr>
        <w:tc>
          <w:tcPr>
            <w:tcW w:w="1675" w:type="dxa"/>
            <w:tcBorders>
              <w:top w:val="single" w:sz="4" w:space="0" w:color="auto"/>
              <w:left w:val="single" w:sz="4" w:space="0" w:color="auto"/>
            </w:tcBorders>
            <w:shd w:val="clear" w:color="auto" w:fill="FFFFFF"/>
            <w:vAlign w:val="bottom"/>
          </w:tcPr>
          <w:p w:rsidR="00B1119F" w:rsidRPr="00B1119F" w:rsidRDefault="00B1119F" w:rsidP="00B1119F">
            <w:pPr>
              <w:framePr w:w="10330" w:wrap="notBeside" w:vAnchor="text" w:hAnchor="text" w:xAlign="center" w:y="1"/>
              <w:tabs>
                <w:tab w:val="clear" w:pos="709"/>
              </w:tabs>
              <w:suppressAutoHyphens w:val="0"/>
              <w:spacing w:after="6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Ієрархічний</w:t>
            </w:r>
          </w:p>
          <w:p w:rsidR="00B1119F" w:rsidRPr="00B1119F" w:rsidRDefault="00B1119F" w:rsidP="00B1119F">
            <w:pPr>
              <w:framePr w:w="10330" w:wrap="notBeside" w:vAnchor="text" w:hAnchor="text" w:xAlign="center" w:y="1"/>
              <w:tabs>
                <w:tab w:val="clear" w:pos="709"/>
              </w:tabs>
              <w:suppressAutoHyphens w:val="0"/>
              <w:spacing w:before="60"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рівень</w:t>
            </w:r>
          </w:p>
        </w:tc>
        <w:tc>
          <w:tcPr>
            <w:tcW w:w="4536" w:type="dxa"/>
            <w:tcBorders>
              <w:top w:val="single" w:sz="4" w:space="0" w:color="auto"/>
              <w:left w:val="single" w:sz="4" w:space="0" w:color="auto"/>
            </w:tcBorders>
            <w:shd w:val="clear" w:color="auto" w:fill="FFFFFF"/>
            <w:vAlign w:val="center"/>
          </w:tcPr>
          <w:p w:rsidR="00B1119F" w:rsidRPr="00B1119F" w:rsidRDefault="00B1119F" w:rsidP="00B1119F">
            <w:pPr>
              <w:framePr w:w="10330"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Характеристика ієрархічного рівня</w:t>
            </w:r>
          </w:p>
        </w:tc>
        <w:tc>
          <w:tcPr>
            <w:tcW w:w="4118" w:type="dxa"/>
            <w:tcBorders>
              <w:top w:val="single" w:sz="4" w:space="0" w:color="auto"/>
              <w:left w:val="single" w:sz="4" w:space="0" w:color="auto"/>
              <w:right w:val="single" w:sz="4" w:space="0" w:color="auto"/>
            </w:tcBorders>
            <w:shd w:val="clear" w:color="auto" w:fill="FFFFFF"/>
            <w:vAlign w:val="center"/>
          </w:tcPr>
          <w:p w:rsidR="00B1119F" w:rsidRPr="00B1119F" w:rsidRDefault="00B1119F" w:rsidP="00B1119F">
            <w:pPr>
              <w:framePr w:w="10330"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Приклад</w:t>
            </w:r>
          </w:p>
        </w:tc>
      </w:tr>
      <w:tr w:rsidR="00B1119F" w:rsidRPr="00B1119F" w:rsidTr="00105B87">
        <w:tblPrEx>
          <w:tblCellMar>
            <w:top w:w="0" w:type="dxa"/>
            <w:bottom w:w="0" w:type="dxa"/>
          </w:tblCellMar>
        </w:tblPrEx>
        <w:trPr>
          <w:trHeight w:hRule="exact" w:val="562"/>
          <w:jc w:val="center"/>
        </w:trPr>
        <w:tc>
          <w:tcPr>
            <w:tcW w:w="1675" w:type="dxa"/>
            <w:tcBorders>
              <w:top w:val="single" w:sz="4" w:space="0" w:color="auto"/>
              <w:left w:val="single" w:sz="4" w:space="0" w:color="auto"/>
            </w:tcBorders>
            <w:shd w:val="clear" w:color="auto" w:fill="FFFFFF"/>
            <w:vAlign w:val="center"/>
          </w:tcPr>
          <w:p w:rsidR="00B1119F" w:rsidRPr="00B1119F" w:rsidRDefault="00B1119F" w:rsidP="00B1119F">
            <w:pPr>
              <w:framePr w:w="10330"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Тип</w:t>
            </w:r>
          </w:p>
        </w:tc>
        <w:tc>
          <w:tcPr>
            <w:tcW w:w="4536" w:type="dxa"/>
            <w:tcBorders>
              <w:top w:val="single" w:sz="4" w:space="0" w:color="auto"/>
              <w:left w:val="single" w:sz="4" w:space="0" w:color="auto"/>
            </w:tcBorders>
            <w:shd w:val="clear" w:color="auto" w:fill="FFFFFF"/>
            <w:vAlign w:val="bottom"/>
          </w:tcPr>
          <w:p w:rsidR="00B1119F" w:rsidRPr="00B1119F" w:rsidRDefault="00B1119F" w:rsidP="00B1119F">
            <w:pPr>
              <w:framePr w:w="10330" w:wrap="notBeside" w:vAnchor="text" w:hAnchor="text" w:xAlign="center" w:y="1"/>
              <w:tabs>
                <w:tab w:val="clear" w:pos="709"/>
              </w:tabs>
              <w:suppressAutoHyphens w:val="0"/>
              <w:spacing w:after="0" w:line="278"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Страхування як галузь людської діяльності</w:t>
            </w:r>
          </w:p>
        </w:tc>
        <w:tc>
          <w:tcPr>
            <w:tcW w:w="4118" w:type="dxa"/>
            <w:tcBorders>
              <w:top w:val="single" w:sz="4" w:space="0" w:color="auto"/>
              <w:left w:val="single" w:sz="4" w:space="0" w:color="auto"/>
              <w:right w:val="single" w:sz="4" w:space="0" w:color="auto"/>
            </w:tcBorders>
            <w:shd w:val="clear" w:color="auto" w:fill="FFFFFF"/>
            <w:vAlign w:val="center"/>
          </w:tcPr>
          <w:p w:rsidR="00B1119F" w:rsidRPr="00B1119F" w:rsidRDefault="00B1119F" w:rsidP="00B1119F">
            <w:pPr>
              <w:framePr w:w="10330"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Сукупність страхових послуг</w:t>
            </w:r>
          </w:p>
        </w:tc>
      </w:tr>
      <w:tr w:rsidR="00B1119F" w:rsidRPr="00B1119F" w:rsidTr="00105B87">
        <w:tblPrEx>
          <w:tblCellMar>
            <w:top w:w="0" w:type="dxa"/>
            <w:bottom w:w="0" w:type="dxa"/>
          </w:tblCellMar>
        </w:tblPrEx>
        <w:trPr>
          <w:trHeight w:hRule="exact" w:val="562"/>
          <w:jc w:val="center"/>
        </w:trPr>
        <w:tc>
          <w:tcPr>
            <w:tcW w:w="1675" w:type="dxa"/>
            <w:tcBorders>
              <w:top w:val="single" w:sz="4" w:space="0" w:color="auto"/>
              <w:left w:val="single" w:sz="4" w:space="0" w:color="auto"/>
            </w:tcBorders>
            <w:shd w:val="clear" w:color="auto" w:fill="FFFFFF"/>
            <w:vAlign w:val="center"/>
          </w:tcPr>
          <w:p w:rsidR="00B1119F" w:rsidRPr="00B1119F" w:rsidRDefault="00B1119F" w:rsidP="00B1119F">
            <w:pPr>
              <w:framePr w:w="10330"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Клас</w:t>
            </w:r>
          </w:p>
        </w:tc>
        <w:tc>
          <w:tcPr>
            <w:tcW w:w="4536" w:type="dxa"/>
            <w:tcBorders>
              <w:top w:val="single" w:sz="4" w:space="0" w:color="auto"/>
              <w:left w:val="single" w:sz="4" w:space="0" w:color="auto"/>
            </w:tcBorders>
            <w:shd w:val="clear" w:color="auto" w:fill="FFFFFF"/>
            <w:vAlign w:val="bottom"/>
          </w:tcPr>
          <w:p w:rsidR="00B1119F" w:rsidRPr="00B1119F" w:rsidRDefault="00B1119F" w:rsidP="00B1119F">
            <w:pPr>
              <w:framePr w:w="10330" w:wrap="notBeside" w:vAnchor="text" w:hAnchor="text" w:xAlign="center" w:y="1"/>
              <w:tabs>
                <w:tab w:val="clear" w:pos="709"/>
              </w:tabs>
              <w:suppressAutoHyphens w:val="0"/>
              <w:spacing w:after="0" w:line="278"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Страхові послуги як конкретні види діяльності в галузі страхування</w:t>
            </w:r>
          </w:p>
        </w:tc>
        <w:tc>
          <w:tcPr>
            <w:tcW w:w="4118"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10330" w:wrap="notBeside" w:vAnchor="text" w:hAnchor="text" w:xAlign="center" w:y="1"/>
              <w:tabs>
                <w:tab w:val="clear" w:pos="709"/>
              </w:tabs>
              <w:suppressAutoHyphens w:val="0"/>
              <w:spacing w:after="12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Ризикове</w:t>
            </w:r>
          </w:p>
          <w:p w:rsidR="00B1119F" w:rsidRPr="00B1119F" w:rsidRDefault="00B1119F" w:rsidP="00B1119F">
            <w:pPr>
              <w:framePr w:w="10330" w:wrap="notBeside" w:vAnchor="text" w:hAnchor="text" w:xAlign="center" w:y="1"/>
              <w:tabs>
                <w:tab w:val="clear" w:pos="709"/>
              </w:tabs>
              <w:suppressAutoHyphens w:val="0"/>
              <w:spacing w:before="120"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страхування</w:t>
            </w:r>
          </w:p>
        </w:tc>
      </w:tr>
      <w:tr w:rsidR="00B1119F" w:rsidRPr="00B1119F" w:rsidTr="00105B87">
        <w:tblPrEx>
          <w:tblCellMar>
            <w:top w:w="0" w:type="dxa"/>
            <w:bottom w:w="0" w:type="dxa"/>
          </w:tblCellMar>
        </w:tblPrEx>
        <w:trPr>
          <w:trHeight w:hRule="exact" w:val="840"/>
          <w:jc w:val="center"/>
        </w:trPr>
        <w:tc>
          <w:tcPr>
            <w:tcW w:w="1675" w:type="dxa"/>
            <w:tcBorders>
              <w:top w:val="single" w:sz="4" w:space="0" w:color="auto"/>
              <w:left w:val="single" w:sz="4" w:space="0" w:color="auto"/>
            </w:tcBorders>
            <w:shd w:val="clear" w:color="auto" w:fill="FFFFFF"/>
            <w:vAlign w:val="center"/>
          </w:tcPr>
          <w:p w:rsidR="00B1119F" w:rsidRPr="00B1119F" w:rsidRDefault="00B1119F" w:rsidP="00B1119F">
            <w:pPr>
              <w:framePr w:w="10330"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Родина</w:t>
            </w:r>
          </w:p>
        </w:tc>
        <w:tc>
          <w:tcPr>
            <w:tcW w:w="4536" w:type="dxa"/>
            <w:tcBorders>
              <w:top w:val="single" w:sz="4" w:space="0" w:color="auto"/>
              <w:left w:val="single" w:sz="4" w:space="0" w:color="auto"/>
            </w:tcBorders>
            <w:shd w:val="clear" w:color="auto" w:fill="FFFFFF"/>
            <w:vAlign w:val="bottom"/>
          </w:tcPr>
          <w:p w:rsidR="00B1119F" w:rsidRPr="00B1119F" w:rsidRDefault="00B1119F" w:rsidP="00B1119F">
            <w:pPr>
              <w:framePr w:w="10330" w:wrap="notBeside" w:vAnchor="text" w:hAnchor="text" w:xAlign="center" w:y="1"/>
              <w:tabs>
                <w:tab w:val="clear" w:pos="709"/>
              </w:tabs>
              <w:suppressAutoHyphens w:val="0"/>
              <w:spacing w:after="0" w:line="274"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Сукупність страхових продуктів схожих за функціональним призначенням та ризиками, які вони покривають</w:t>
            </w:r>
          </w:p>
        </w:tc>
        <w:tc>
          <w:tcPr>
            <w:tcW w:w="4118" w:type="dxa"/>
            <w:tcBorders>
              <w:top w:val="single" w:sz="4" w:space="0" w:color="auto"/>
              <w:left w:val="single" w:sz="4" w:space="0" w:color="auto"/>
              <w:right w:val="single" w:sz="4" w:space="0" w:color="auto"/>
            </w:tcBorders>
            <w:shd w:val="clear" w:color="auto" w:fill="FFFFFF"/>
            <w:vAlign w:val="center"/>
          </w:tcPr>
          <w:p w:rsidR="00B1119F" w:rsidRPr="00B1119F" w:rsidRDefault="00B1119F" w:rsidP="00B1119F">
            <w:pPr>
              <w:framePr w:w="10330"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Страхування майна</w:t>
            </w:r>
          </w:p>
        </w:tc>
      </w:tr>
      <w:tr w:rsidR="00B1119F" w:rsidRPr="00B1119F" w:rsidTr="00105B87">
        <w:tblPrEx>
          <w:tblCellMar>
            <w:top w:w="0" w:type="dxa"/>
            <w:bottom w:w="0" w:type="dxa"/>
          </w:tblCellMar>
        </w:tblPrEx>
        <w:trPr>
          <w:trHeight w:hRule="exact" w:val="840"/>
          <w:jc w:val="center"/>
        </w:trPr>
        <w:tc>
          <w:tcPr>
            <w:tcW w:w="1675" w:type="dxa"/>
            <w:tcBorders>
              <w:top w:val="single" w:sz="4" w:space="0" w:color="auto"/>
              <w:left w:val="single" w:sz="4" w:space="0" w:color="auto"/>
            </w:tcBorders>
            <w:shd w:val="clear" w:color="auto" w:fill="FFFFFF"/>
            <w:vAlign w:val="center"/>
          </w:tcPr>
          <w:p w:rsidR="00B1119F" w:rsidRPr="00B1119F" w:rsidRDefault="00B1119F" w:rsidP="00B1119F">
            <w:pPr>
              <w:framePr w:w="10330"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Рід</w:t>
            </w:r>
          </w:p>
        </w:tc>
        <w:tc>
          <w:tcPr>
            <w:tcW w:w="4536" w:type="dxa"/>
            <w:tcBorders>
              <w:top w:val="single" w:sz="4" w:space="0" w:color="auto"/>
              <w:left w:val="single" w:sz="4" w:space="0" w:color="auto"/>
            </w:tcBorders>
            <w:shd w:val="clear" w:color="auto" w:fill="FFFFFF"/>
            <w:vAlign w:val="bottom"/>
          </w:tcPr>
          <w:p w:rsidR="00B1119F" w:rsidRPr="00B1119F" w:rsidRDefault="00B1119F" w:rsidP="00B1119F">
            <w:pPr>
              <w:framePr w:w="10330" w:wrap="notBeside" w:vAnchor="text" w:hAnchor="text" w:xAlign="center" w:y="1"/>
              <w:tabs>
                <w:tab w:val="clear" w:pos="709"/>
              </w:tabs>
              <w:suppressAutoHyphens w:val="0"/>
              <w:spacing w:after="0" w:line="274"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Сукупність страхових продуктів згрупована за принципом покриття ризиків</w:t>
            </w:r>
          </w:p>
        </w:tc>
        <w:tc>
          <w:tcPr>
            <w:tcW w:w="4118" w:type="dxa"/>
            <w:tcBorders>
              <w:top w:val="single" w:sz="4" w:space="0" w:color="auto"/>
              <w:left w:val="single" w:sz="4" w:space="0" w:color="auto"/>
              <w:right w:val="single" w:sz="4" w:space="0" w:color="auto"/>
            </w:tcBorders>
            <w:shd w:val="clear" w:color="auto" w:fill="FFFFFF"/>
            <w:vAlign w:val="center"/>
          </w:tcPr>
          <w:p w:rsidR="00B1119F" w:rsidRPr="00B1119F" w:rsidRDefault="00B1119F" w:rsidP="00B1119F">
            <w:pPr>
              <w:framePr w:w="10330" w:wrap="notBeside" w:vAnchor="text" w:hAnchor="text" w:xAlign="center" w:y="1"/>
              <w:tabs>
                <w:tab w:val="clear" w:pos="709"/>
              </w:tabs>
              <w:suppressAutoHyphens w:val="0"/>
              <w:spacing w:after="0" w:line="240" w:lineRule="exact"/>
              <w:ind w:left="3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Страхування транспортних засобів</w:t>
            </w:r>
          </w:p>
        </w:tc>
      </w:tr>
      <w:tr w:rsidR="00B1119F" w:rsidRPr="00B1119F" w:rsidTr="00105B87">
        <w:tblPrEx>
          <w:tblCellMar>
            <w:top w:w="0" w:type="dxa"/>
            <w:bottom w:w="0" w:type="dxa"/>
          </w:tblCellMar>
        </w:tblPrEx>
        <w:trPr>
          <w:trHeight w:hRule="exact" w:val="562"/>
          <w:jc w:val="center"/>
        </w:trPr>
        <w:tc>
          <w:tcPr>
            <w:tcW w:w="1675" w:type="dxa"/>
            <w:tcBorders>
              <w:top w:val="single" w:sz="4" w:space="0" w:color="auto"/>
              <w:left w:val="single" w:sz="4" w:space="0" w:color="auto"/>
            </w:tcBorders>
            <w:shd w:val="clear" w:color="auto" w:fill="FFFFFF"/>
            <w:vAlign w:val="center"/>
          </w:tcPr>
          <w:p w:rsidR="00B1119F" w:rsidRPr="00B1119F" w:rsidRDefault="00B1119F" w:rsidP="00B1119F">
            <w:pPr>
              <w:framePr w:w="10330"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Вид</w:t>
            </w:r>
          </w:p>
        </w:tc>
        <w:tc>
          <w:tcPr>
            <w:tcW w:w="4536" w:type="dxa"/>
            <w:tcBorders>
              <w:top w:val="single" w:sz="4" w:space="0" w:color="auto"/>
              <w:left w:val="single" w:sz="4" w:space="0" w:color="auto"/>
            </w:tcBorders>
            <w:shd w:val="clear" w:color="auto" w:fill="FFFFFF"/>
            <w:vAlign w:val="bottom"/>
          </w:tcPr>
          <w:p w:rsidR="00B1119F" w:rsidRPr="00B1119F" w:rsidRDefault="00B1119F" w:rsidP="00B1119F">
            <w:pPr>
              <w:framePr w:w="10330" w:wrap="notBeside" w:vAnchor="text" w:hAnchor="text" w:xAlign="center" w:y="1"/>
              <w:tabs>
                <w:tab w:val="clear" w:pos="709"/>
              </w:tabs>
              <w:suppressAutoHyphens w:val="0"/>
              <w:spacing w:after="0" w:line="274"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Сукупність споріднених страхових продуктів</w:t>
            </w:r>
          </w:p>
        </w:tc>
        <w:tc>
          <w:tcPr>
            <w:tcW w:w="4118"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10330" w:wrap="notBeside" w:vAnchor="text" w:hAnchor="text" w:xAlign="center" w:y="1"/>
              <w:tabs>
                <w:tab w:val="clear" w:pos="709"/>
              </w:tabs>
              <w:suppressAutoHyphens w:val="0"/>
              <w:spacing w:after="0" w:line="274"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Група страхових продуктів зі страхування легкових автомобілів</w:t>
            </w:r>
          </w:p>
        </w:tc>
      </w:tr>
      <w:tr w:rsidR="00B1119F" w:rsidRPr="00B1119F" w:rsidTr="00105B87">
        <w:tblPrEx>
          <w:tblCellMar>
            <w:top w:w="0" w:type="dxa"/>
            <w:bottom w:w="0" w:type="dxa"/>
          </w:tblCellMar>
        </w:tblPrEx>
        <w:trPr>
          <w:trHeight w:hRule="exact" w:val="1397"/>
          <w:jc w:val="center"/>
        </w:trPr>
        <w:tc>
          <w:tcPr>
            <w:tcW w:w="1675" w:type="dxa"/>
            <w:tcBorders>
              <w:top w:val="single" w:sz="4" w:space="0" w:color="auto"/>
              <w:left w:val="single" w:sz="4" w:space="0" w:color="auto"/>
              <w:bottom w:val="single" w:sz="4" w:space="0" w:color="auto"/>
            </w:tcBorders>
            <w:shd w:val="clear" w:color="auto" w:fill="FFFFFF"/>
            <w:vAlign w:val="center"/>
          </w:tcPr>
          <w:p w:rsidR="00B1119F" w:rsidRPr="00B1119F" w:rsidRDefault="00B1119F" w:rsidP="00B1119F">
            <w:pPr>
              <w:framePr w:w="10330"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Різновид</w:t>
            </w:r>
          </w:p>
        </w:tc>
        <w:tc>
          <w:tcPr>
            <w:tcW w:w="4536" w:type="dxa"/>
            <w:tcBorders>
              <w:top w:val="single" w:sz="4" w:space="0" w:color="auto"/>
              <w:left w:val="single" w:sz="4" w:space="0" w:color="auto"/>
              <w:bottom w:val="single" w:sz="4" w:space="0" w:color="auto"/>
            </w:tcBorders>
            <w:shd w:val="clear" w:color="auto" w:fill="FFFFFF"/>
            <w:vAlign w:val="center"/>
          </w:tcPr>
          <w:p w:rsidR="00B1119F" w:rsidRPr="00B1119F" w:rsidRDefault="00B1119F" w:rsidP="00B1119F">
            <w:pPr>
              <w:framePr w:w="10330"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Конкретний страховий продукт</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B1119F" w:rsidRPr="00B1119F" w:rsidRDefault="00B1119F" w:rsidP="00B1119F">
            <w:pPr>
              <w:framePr w:w="10330" w:wrap="notBeside" w:vAnchor="text" w:hAnchor="text" w:xAlign="center" w:y="1"/>
              <w:tabs>
                <w:tab w:val="clear" w:pos="709"/>
              </w:tabs>
              <w:suppressAutoHyphens w:val="0"/>
              <w:spacing w:after="0" w:line="274"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Конкретний страховий продукт зі страхування легкових автомобілів, який реалізується страховою компанією для певної категорії споживачів</w:t>
            </w:r>
          </w:p>
        </w:tc>
      </w:tr>
    </w:tbl>
    <w:p w:rsidR="00B1119F" w:rsidRPr="00B1119F" w:rsidRDefault="00B1119F" w:rsidP="00B1119F">
      <w:pPr>
        <w:framePr w:w="10330"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kern w:val="0"/>
          <w:sz w:val="26"/>
          <w:szCs w:val="26"/>
          <w:lang w:val="uk-UA" w:eastAsia="uk-UA" w:bidi="uk-UA"/>
        </w:rPr>
      </w:pPr>
      <w:r w:rsidRPr="00B1119F">
        <w:rPr>
          <w:rFonts w:ascii="Times New Roman" w:eastAsia="Times New Roman" w:hAnsi="Times New Roman" w:cs="Times New Roman"/>
          <w:color w:val="000000"/>
          <w:kern w:val="0"/>
          <w:sz w:val="26"/>
          <w:szCs w:val="26"/>
          <w:lang w:val="uk-UA" w:eastAsia="uk-UA" w:bidi="uk-UA"/>
        </w:rPr>
        <w:t>Джерело: розроблено автором</w:t>
      </w:r>
    </w:p>
    <w:p w:rsidR="00B1119F" w:rsidRPr="00B1119F" w:rsidRDefault="00B1119F" w:rsidP="00B1119F">
      <w:pPr>
        <w:framePr w:w="10330"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B1119F" w:rsidRPr="00B1119F" w:rsidRDefault="00B1119F" w:rsidP="00B1119F">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B1119F" w:rsidRPr="00B1119F" w:rsidRDefault="00B1119F" w:rsidP="00B1119F">
      <w:pPr>
        <w:tabs>
          <w:tab w:val="clear" w:pos="709"/>
        </w:tabs>
        <w:suppressAutoHyphens w:val="0"/>
        <w:spacing w:before="180" w:after="0" w:line="322" w:lineRule="exact"/>
        <w:ind w:right="140"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Удосконалена класифікація видів страхових продуктів передбачає виокремлення таких класифікаційних ознак, як: сегмент страхового ринку (зі страхування життя; з ризикового страхування), контингент споживачів (орієнтовані на фізичних осіб; орієнтовані на юридичних осіб), потреби клієнтів (масового вжитку; обмеженого розповсюдження), тривалість страхового захисту (довгострокові; середньострокові; короткострокові), форма надання (обов’язкового характеру; добровільного характеру), обсяг страхового покриття та наявність додаткових послуг (моноризикові; мультиризикові; мультиатрибутивні; комбіновані; змішані), принцип маркетингової взаємодії (лідери; магніти; продукти майбутнього; тактичного призначення), рівень прибутковості (прибуткові; неприбуткові), ступінь інноваційності (принципово нові; частково нові; умовно нові), характер новизни (ринкової (зовнішньої); індивідуальної (внутрішньої). Врахування специфіки страхового продукту важливе під час розробки заходів щодо його просування.</w:t>
      </w:r>
    </w:p>
    <w:p w:rsidR="00B1119F" w:rsidRPr="00B1119F" w:rsidRDefault="00B1119F" w:rsidP="00B1119F">
      <w:pPr>
        <w:tabs>
          <w:tab w:val="clear" w:pos="709"/>
        </w:tabs>
        <w:suppressAutoHyphens w:val="0"/>
        <w:spacing w:after="0" w:line="322" w:lineRule="exact"/>
        <w:ind w:right="140" w:firstLine="740"/>
        <w:rPr>
          <w:rFonts w:ascii="Arial Unicode MS" w:eastAsia="Arial Unicode MS" w:hAnsi="Arial Unicode MS" w:cs="Arial Unicode MS"/>
          <w:color w:val="000000"/>
          <w:kern w:val="0"/>
          <w:sz w:val="24"/>
          <w:szCs w:val="24"/>
          <w:lang w:val="uk-UA" w:eastAsia="uk-UA" w:bidi="uk-UA"/>
        </w:rPr>
        <w:sectPr w:rsidR="00B1119F" w:rsidRPr="00B1119F">
          <w:headerReference w:type="default" r:id="rId10"/>
          <w:pgSz w:w="11900" w:h="16840"/>
          <w:pgMar w:top="986" w:right="482" w:bottom="1124" w:left="1059" w:header="0" w:footer="3" w:gutter="0"/>
          <w:pgNumType w:start="1"/>
          <w:cols w:space="720"/>
          <w:noEndnote/>
          <w:docGrid w:linePitch="360"/>
        </w:sectPr>
      </w:pPr>
      <w:r w:rsidRPr="00B1119F">
        <w:rPr>
          <w:rFonts w:ascii="Arial Unicode MS" w:eastAsia="Arial Unicode MS" w:hAnsi="Arial Unicode MS" w:cs="Arial Unicode MS"/>
          <w:color w:val="000000"/>
          <w:kern w:val="0"/>
          <w:sz w:val="24"/>
          <w:szCs w:val="24"/>
          <w:lang w:val="uk-UA" w:eastAsia="uk-UA" w:bidi="uk-UA"/>
        </w:rPr>
        <w:t xml:space="preserve">Реалізація страхового продукту включає в себе процеси з розробки страхового продукту, його просування на ринок, </w:t>
      </w:r>
      <w:r w:rsidRPr="00B1119F">
        <w:rPr>
          <w:rFonts w:ascii="Arial Unicode MS" w:eastAsia="Arial Unicode MS" w:hAnsi="Arial Unicode MS" w:cs="Arial Unicode MS"/>
          <w:color w:val="000000"/>
          <w:kern w:val="0"/>
          <w:sz w:val="24"/>
          <w:szCs w:val="24"/>
          <w:lang w:eastAsia="ru-RU" w:bidi="ru-RU"/>
        </w:rPr>
        <w:t xml:space="preserve">продажу </w:t>
      </w:r>
      <w:r w:rsidRPr="00B1119F">
        <w:rPr>
          <w:rFonts w:ascii="Arial Unicode MS" w:eastAsia="Arial Unicode MS" w:hAnsi="Arial Unicode MS" w:cs="Arial Unicode MS"/>
          <w:color w:val="000000"/>
          <w:kern w:val="0"/>
          <w:sz w:val="24"/>
          <w:szCs w:val="24"/>
          <w:lang w:val="uk-UA" w:eastAsia="uk-UA" w:bidi="uk-UA"/>
        </w:rPr>
        <w:t xml:space="preserve">та післяпродажного обслуговування. Складовою процесу реалізації є збут - процес просування страхового продукту на ринку з метою продажу. Продаж страхового продукту є певним моментом у процесі збуту та ототожнюється з фінансовою операцією, пов’язаною зі сплатою страхувальником страховику страхової премії або першого її внеску, в результаті чого у страховика виникає зобов’язання щодо виплати </w:t>
      </w:r>
      <w:r w:rsidRPr="00B1119F">
        <w:rPr>
          <w:rFonts w:ascii="Arial Unicode MS" w:eastAsia="Arial Unicode MS" w:hAnsi="Arial Unicode MS" w:cs="Arial Unicode MS"/>
          <w:color w:val="000000"/>
          <w:kern w:val="0"/>
          <w:sz w:val="24"/>
          <w:szCs w:val="24"/>
          <w:lang w:eastAsia="ru-RU" w:bidi="ru-RU"/>
        </w:rPr>
        <w:t xml:space="preserve">страхового </w:t>
      </w:r>
      <w:r w:rsidRPr="00B1119F">
        <w:rPr>
          <w:rFonts w:ascii="Arial Unicode MS" w:eastAsia="Arial Unicode MS" w:hAnsi="Arial Unicode MS" w:cs="Arial Unicode MS"/>
          <w:color w:val="000000"/>
          <w:kern w:val="0"/>
          <w:sz w:val="24"/>
          <w:szCs w:val="24"/>
          <w:lang w:val="uk-UA" w:eastAsia="uk-UA" w:bidi="uk-UA"/>
        </w:rPr>
        <w:t xml:space="preserve">відшкодування вигодонабувачу у разі настання страхового випадку. Впорядковану множину бізнес - процесів реалізації страхових продуктів представлено на рисунку </w:t>
      </w:r>
      <w:r w:rsidRPr="00B1119F">
        <w:rPr>
          <w:rFonts w:ascii="Times New Roman" w:eastAsia="Arial Unicode MS" w:hAnsi="Times New Roman" w:cs="Times New Roman"/>
          <w:color w:val="000000"/>
          <w:spacing w:val="-10"/>
          <w:kern w:val="0"/>
          <w:sz w:val="26"/>
          <w:szCs w:val="26"/>
          <w:lang w:val="uk-UA" w:eastAsia="uk-UA" w:bidi="uk-UA"/>
        </w:rPr>
        <w:t>1</w:t>
      </w:r>
      <w:r w:rsidRPr="00B1119F">
        <w:rPr>
          <w:rFonts w:ascii="Arial Unicode MS" w:eastAsia="Arial Unicode MS" w:hAnsi="Arial Unicode MS" w:cs="Arial Unicode MS"/>
          <w:color w:val="000000"/>
          <w:kern w:val="0"/>
          <w:sz w:val="24"/>
          <w:szCs w:val="24"/>
          <w:lang w:val="uk-UA" w:eastAsia="uk-UA" w:bidi="uk-UA"/>
        </w:rPr>
        <w:t>..</w:t>
      </w:r>
    </w:p>
    <w:tbl>
      <w:tblPr>
        <w:tblOverlap w:val="never"/>
        <w:tblW w:w="0" w:type="auto"/>
        <w:jc w:val="center"/>
        <w:tblLayout w:type="fixed"/>
        <w:tblCellMar>
          <w:left w:w="10" w:type="dxa"/>
          <w:right w:w="10" w:type="dxa"/>
        </w:tblCellMar>
        <w:tblLook w:val="04A0"/>
      </w:tblPr>
      <w:tblGrid>
        <w:gridCol w:w="1018"/>
        <w:gridCol w:w="384"/>
        <w:gridCol w:w="4459"/>
        <w:gridCol w:w="7718"/>
      </w:tblGrid>
      <w:tr w:rsidR="00B1119F" w:rsidRPr="00B1119F" w:rsidTr="00105B87">
        <w:tblPrEx>
          <w:tblCellMar>
            <w:top w:w="0" w:type="dxa"/>
            <w:bottom w:w="0" w:type="dxa"/>
          </w:tblCellMar>
        </w:tblPrEx>
        <w:trPr>
          <w:trHeight w:hRule="exact" w:val="341"/>
          <w:jc w:val="center"/>
        </w:trPr>
        <w:tc>
          <w:tcPr>
            <w:tcW w:w="13579" w:type="dxa"/>
            <w:gridSpan w:val="4"/>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7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17"/>
                <w:szCs w:val="17"/>
                <w:lang w:val="uk-UA" w:eastAsia="uk-UA" w:bidi="uk-UA"/>
              </w:rPr>
              <w:t>БІЗНЕС-ПРОЦЕСИ РЕАЛІЗАЦІЇ СТРАХОВОГО ПРОДУКТУ</w:t>
            </w:r>
          </w:p>
        </w:tc>
      </w:tr>
      <w:tr w:rsidR="00B1119F" w:rsidRPr="00B1119F" w:rsidTr="00105B87">
        <w:tblPrEx>
          <w:tblCellMar>
            <w:top w:w="0" w:type="dxa"/>
            <w:bottom w:w="0" w:type="dxa"/>
          </w:tblCellMar>
        </w:tblPrEx>
        <w:trPr>
          <w:trHeight w:hRule="exact" w:val="355"/>
          <w:jc w:val="center"/>
        </w:trPr>
        <w:tc>
          <w:tcPr>
            <w:tcW w:w="1018" w:type="dxa"/>
            <w:tcBorders>
              <w:top w:val="single" w:sz="4" w:space="0" w:color="auto"/>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7</w:t>
            </w:r>
          </w:p>
        </w:tc>
        <w:tc>
          <w:tcPr>
            <w:tcW w:w="12561" w:type="dxa"/>
            <w:gridSpan w:val="3"/>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19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19"/>
                <w:szCs w:val="19"/>
                <w:lang w:val="uk-UA" w:eastAsia="uk-UA" w:bidi="uk-UA"/>
              </w:rPr>
              <w:t>\</w:t>
            </w:r>
          </w:p>
        </w:tc>
      </w:tr>
      <w:tr w:rsidR="00B1119F" w:rsidRPr="00B1119F" w:rsidTr="00105B87">
        <w:tblPrEx>
          <w:tblCellMar>
            <w:top w:w="0" w:type="dxa"/>
            <w:bottom w:w="0" w:type="dxa"/>
          </w:tblCellMar>
        </w:tblPrEx>
        <w:trPr>
          <w:trHeight w:hRule="exact" w:val="360"/>
          <w:jc w:val="center"/>
        </w:trPr>
        <w:tc>
          <w:tcPr>
            <w:tcW w:w="1018" w:type="dxa"/>
            <w:vMerge w:val="restart"/>
            <w:tcBorders>
              <w:top w:val="single" w:sz="4" w:space="0" w:color="auto"/>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12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onsolas" w:hAnsi="Times New Roman" w:cs="Times New Roman"/>
                <w:i/>
                <w:iCs/>
                <w:color w:val="000000"/>
                <w:kern w:val="0"/>
                <w:sz w:val="26"/>
                <w:szCs w:val="26"/>
                <w:lang w:val="uk-UA" w:eastAsia="uk-UA" w:bidi="uk-UA"/>
              </w:rPr>
              <w:t>1</w:t>
            </w:r>
          </w:p>
          <w:p w:rsidR="00B1119F" w:rsidRPr="00B1119F" w:rsidRDefault="00B1119F" w:rsidP="00B1119F">
            <w:pPr>
              <w:framePr w:w="13579" w:wrap="notBeside" w:vAnchor="text" w:hAnchor="text" w:xAlign="center" w:y="1"/>
              <w:tabs>
                <w:tab w:val="clear" w:pos="709"/>
              </w:tabs>
              <w:suppressAutoHyphens w:val="0"/>
              <w:spacing w:before="120" w:after="120" w:line="17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17"/>
                <w:szCs w:val="17"/>
                <w:lang w:val="uk-UA" w:eastAsia="uk-UA" w:bidi="uk-UA"/>
              </w:rPr>
              <w:t>Підготовчий етап</w:t>
            </w:r>
          </w:p>
          <w:p w:rsidR="00B1119F" w:rsidRPr="00B1119F" w:rsidRDefault="00B1119F" w:rsidP="00B1119F">
            <w:pPr>
              <w:framePr w:w="13579" w:wrap="notBeside" w:vAnchor="text" w:hAnchor="text" w:xAlign="center" w:y="1"/>
              <w:tabs>
                <w:tab w:val="clear" w:pos="709"/>
              </w:tabs>
              <w:suppressAutoHyphens w:val="0"/>
              <w:spacing w:before="120"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en-US" w:eastAsia="en-US" w:bidi="en-US"/>
              </w:rPr>
              <w:t>j</w:t>
            </w:r>
          </w:p>
        </w:tc>
        <w:tc>
          <w:tcPr>
            <w:tcW w:w="384" w:type="dxa"/>
            <w:tcBorders>
              <w:top w:val="single" w:sz="4" w:space="0" w:color="auto"/>
              <w:lef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7</w:t>
            </w:r>
          </w:p>
        </w:tc>
        <w:tc>
          <w:tcPr>
            <w:tcW w:w="4459" w:type="dxa"/>
            <w:vMerge w:val="restart"/>
            <w:tcBorders>
              <w:top w:val="single" w:sz="4" w:space="0" w:color="auto"/>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19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19"/>
                <w:szCs w:val="19"/>
                <w:lang w:val="uk-UA" w:eastAsia="uk-UA" w:bidi="uk-UA"/>
              </w:rPr>
              <w:t>Розробка страхового продукту</w:t>
            </w:r>
          </w:p>
        </w:tc>
        <w:tc>
          <w:tcPr>
            <w:tcW w:w="7718"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120" w:line="8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Consolas" w:eastAsia="Arial Unicode MS" w:hAnsi="Consolas" w:cs="Consolas"/>
                <w:color w:val="000000"/>
                <w:kern w:val="0"/>
                <w:sz w:val="8"/>
                <w:szCs w:val="8"/>
                <w:lang w:val="uk-UA" w:eastAsia="uk-UA" w:bidi="uk-UA"/>
              </w:rPr>
              <w:t>“ —і</w:t>
            </w:r>
          </w:p>
          <w:p w:rsidR="00B1119F" w:rsidRPr="00B1119F" w:rsidRDefault="00B1119F" w:rsidP="00B1119F">
            <w:pPr>
              <w:framePr w:w="13579" w:wrap="notBeside" w:vAnchor="text" w:hAnchor="text" w:xAlign="center" w:y="1"/>
              <w:tabs>
                <w:tab w:val="clear" w:pos="709"/>
              </w:tabs>
              <w:suppressAutoHyphens w:val="0"/>
              <w:spacing w:before="120"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Збір та систематизація інформації</w:t>
            </w:r>
          </w:p>
        </w:tc>
      </w:tr>
      <w:tr w:rsidR="00B1119F" w:rsidRPr="00B1119F" w:rsidTr="00105B87">
        <w:tblPrEx>
          <w:tblCellMar>
            <w:top w:w="0" w:type="dxa"/>
            <w:bottom w:w="0" w:type="dxa"/>
          </w:tblCellMar>
        </w:tblPrEx>
        <w:trPr>
          <w:trHeight w:hRule="exact" w:val="350"/>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val="restart"/>
            <w:tcBorders>
              <w:top w:val="single" w:sz="4" w:space="0" w:color="auto"/>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48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Ч</w:t>
            </w:r>
          </w:p>
          <w:p w:rsidR="00B1119F" w:rsidRPr="00B1119F" w:rsidRDefault="00B1119F" w:rsidP="00B1119F">
            <w:pPr>
              <w:framePr w:w="13579" w:wrap="notBeside" w:vAnchor="text" w:hAnchor="text" w:xAlign="center" w:y="1"/>
              <w:tabs>
                <w:tab w:val="clear" w:pos="709"/>
              </w:tabs>
              <w:suppressAutoHyphens w:val="0"/>
              <w:spacing w:before="480"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7</w:t>
            </w:r>
          </w:p>
        </w:tc>
        <w:tc>
          <w:tcPr>
            <w:tcW w:w="4459" w:type="dxa"/>
            <w:vMerge/>
            <w:tcBorders>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Формування ідеї страхового продукту</w:t>
            </w:r>
          </w:p>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Перетворення ідеї страхового продукту у власне продукт</w:t>
            </w:r>
          </w:p>
        </w:tc>
      </w:tr>
      <w:tr w:rsidR="00B1119F" w:rsidRPr="00B1119F" w:rsidTr="00105B87">
        <w:tblPrEx>
          <w:tblCellMar>
            <w:top w:w="0" w:type="dxa"/>
            <w:bottom w:w="0" w:type="dxa"/>
          </w:tblCellMar>
        </w:tblPrEx>
        <w:trPr>
          <w:trHeight w:hRule="exact" w:val="178"/>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tcBorders>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459" w:type="dxa"/>
            <w:vMerge/>
            <w:tcBorders>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Апробація страхового продукту</w:t>
            </w:r>
          </w:p>
        </w:tc>
      </w:tr>
      <w:tr w:rsidR="00B1119F" w:rsidRPr="00B1119F" w:rsidTr="00105B87">
        <w:tblPrEx>
          <w:tblCellMar>
            <w:top w:w="0" w:type="dxa"/>
            <w:bottom w:w="0" w:type="dxa"/>
          </w:tblCellMar>
        </w:tblPrEx>
        <w:trPr>
          <w:trHeight w:hRule="exact" w:val="350"/>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tcBorders>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459" w:type="dxa"/>
            <w:vMerge w:val="restart"/>
            <w:tcBorders>
              <w:top w:val="single" w:sz="4" w:space="0" w:color="auto"/>
              <w:lef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9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19"/>
                <w:szCs w:val="19"/>
                <w:lang w:val="uk-UA" w:eastAsia="uk-UA" w:bidi="uk-UA"/>
              </w:rPr>
              <w:t>Виведення страхового продукту на ринок</w:t>
            </w:r>
          </w:p>
        </w:tc>
        <w:tc>
          <w:tcPr>
            <w:tcW w:w="7718"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Розробка варіантів стратегії збуту страхового продукту</w:t>
            </w:r>
          </w:p>
        </w:tc>
      </w:tr>
      <w:tr w:rsidR="00B1119F" w:rsidRPr="00B1119F" w:rsidTr="00105B87">
        <w:tblPrEx>
          <w:tblCellMar>
            <w:top w:w="0" w:type="dxa"/>
            <w:bottom w:w="0" w:type="dxa"/>
          </w:tblCellMar>
        </w:tblPrEx>
        <w:trPr>
          <w:trHeight w:hRule="exact" w:val="178"/>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val="restart"/>
            <w:tcBorders>
              <w:top w:val="single" w:sz="4" w:space="0" w:color="auto"/>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12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Ч</w:t>
            </w:r>
          </w:p>
          <w:p w:rsidR="00B1119F" w:rsidRPr="00B1119F" w:rsidRDefault="00B1119F" w:rsidP="00B1119F">
            <w:pPr>
              <w:framePr w:w="13579" w:wrap="notBeside" w:vAnchor="text" w:hAnchor="text" w:xAlign="center" w:y="1"/>
              <w:tabs>
                <w:tab w:val="clear" w:pos="709"/>
              </w:tabs>
              <w:suppressAutoHyphens w:val="0"/>
              <w:spacing w:before="120"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7</w:t>
            </w:r>
          </w:p>
        </w:tc>
        <w:tc>
          <w:tcPr>
            <w:tcW w:w="4459" w:type="dxa"/>
            <w:vMerge/>
            <w:tcBorders>
              <w:lef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Маркетингові заходи спрямовані на просування страхового продукту</w:t>
            </w:r>
          </w:p>
        </w:tc>
      </w:tr>
      <w:tr w:rsidR="00B1119F" w:rsidRPr="00B1119F" w:rsidTr="00105B87">
        <w:tblPrEx>
          <w:tblCellMar>
            <w:top w:w="0" w:type="dxa"/>
            <w:bottom w:w="0" w:type="dxa"/>
          </w:tblCellMar>
        </w:tblPrEx>
        <w:trPr>
          <w:trHeight w:hRule="exact" w:val="350"/>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tcBorders>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459" w:type="dxa"/>
            <w:vMerge w:val="restart"/>
            <w:tcBorders>
              <w:top w:val="single" w:sz="4" w:space="0" w:color="auto"/>
              <w:lef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9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19"/>
                <w:szCs w:val="19"/>
                <w:lang w:val="uk-UA" w:eastAsia="uk-UA" w:bidi="uk-UA"/>
              </w:rPr>
              <w:t>Формування каналів збуту страхового продукту</w:t>
            </w:r>
          </w:p>
        </w:tc>
        <w:tc>
          <w:tcPr>
            <w:tcW w:w="7718"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Обгрунтування вибору найбільш ефективних каналів збуту</w:t>
            </w:r>
          </w:p>
        </w:tc>
      </w:tr>
      <w:tr w:rsidR="00B1119F" w:rsidRPr="00B1119F" w:rsidTr="00105B87">
        <w:tblPrEx>
          <w:tblCellMar>
            <w:top w:w="0" w:type="dxa"/>
            <w:bottom w:w="0" w:type="dxa"/>
          </w:tblCellMar>
        </w:tblPrEx>
        <w:trPr>
          <w:trHeight w:hRule="exact" w:val="173"/>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val="restart"/>
            <w:tcBorders>
              <w:top w:val="single" w:sz="4" w:space="0" w:color="auto"/>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Ч</w:t>
            </w:r>
          </w:p>
        </w:tc>
        <w:tc>
          <w:tcPr>
            <w:tcW w:w="4459" w:type="dxa"/>
            <w:vMerge/>
            <w:tcBorders>
              <w:lef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Діяльність з забезпечення функціонування каналів збуту</w:t>
            </w:r>
          </w:p>
        </w:tc>
      </w:tr>
      <w:tr w:rsidR="00B1119F" w:rsidRPr="00B1119F" w:rsidTr="00105B87">
        <w:tblPrEx>
          <w:tblCellMar>
            <w:top w:w="0" w:type="dxa"/>
            <w:bottom w:w="0" w:type="dxa"/>
          </w:tblCellMar>
        </w:tblPrEx>
        <w:trPr>
          <w:trHeight w:hRule="exact" w:val="178"/>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tcBorders>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459" w:type="dxa"/>
            <w:vMerge/>
            <w:tcBorders>
              <w:lef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Модифікація чи заміна каналів збуту</w:t>
            </w:r>
          </w:p>
        </w:tc>
      </w:tr>
      <w:tr w:rsidR="00B1119F" w:rsidRPr="00B1119F" w:rsidTr="00105B87">
        <w:tblPrEx>
          <w:tblCellMar>
            <w:top w:w="0" w:type="dxa"/>
            <w:bottom w:w="0" w:type="dxa"/>
          </w:tblCellMar>
        </w:tblPrEx>
        <w:trPr>
          <w:trHeight w:hRule="exact" w:val="173"/>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tcBorders>
              <w:top w:val="single" w:sz="4" w:space="0" w:color="auto"/>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12177" w:type="dxa"/>
            <w:gridSpan w:val="2"/>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B1119F" w:rsidRPr="00B1119F" w:rsidTr="00105B87">
        <w:tblPrEx>
          <w:tblCellMar>
            <w:top w:w="0" w:type="dxa"/>
            <w:bottom w:w="0" w:type="dxa"/>
          </w:tblCellMar>
        </w:tblPrEx>
        <w:trPr>
          <w:trHeight w:hRule="exact" w:val="178"/>
          <w:jc w:val="center"/>
        </w:trPr>
        <w:tc>
          <w:tcPr>
            <w:tcW w:w="1018" w:type="dxa"/>
            <w:tcBorders>
              <w:top w:val="single" w:sz="4" w:space="0" w:color="auto"/>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12561" w:type="dxa"/>
            <w:gridSpan w:val="3"/>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B1119F" w:rsidRPr="00B1119F" w:rsidTr="00105B87">
        <w:tblPrEx>
          <w:tblCellMar>
            <w:top w:w="0" w:type="dxa"/>
            <w:bottom w:w="0" w:type="dxa"/>
          </w:tblCellMar>
        </w:tblPrEx>
        <w:trPr>
          <w:trHeight w:hRule="exact" w:val="350"/>
          <w:jc w:val="center"/>
        </w:trPr>
        <w:tc>
          <w:tcPr>
            <w:tcW w:w="1018" w:type="dxa"/>
            <w:vMerge w:val="restart"/>
            <w:tcBorders>
              <w:top w:val="single" w:sz="4" w:space="0" w:color="auto"/>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120" w:line="19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19"/>
                <w:szCs w:val="19"/>
                <w:lang w:val="uk-UA" w:eastAsia="uk-UA" w:bidi="uk-UA"/>
              </w:rPr>
              <w:t>н</w:t>
            </w:r>
          </w:p>
          <w:p w:rsidR="00B1119F" w:rsidRPr="00B1119F" w:rsidRDefault="00B1119F" w:rsidP="00B1119F">
            <w:pPr>
              <w:framePr w:w="13579" w:wrap="notBeside" w:vAnchor="text" w:hAnchor="text" w:xAlign="center" w:y="1"/>
              <w:tabs>
                <w:tab w:val="clear" w:pos="709"/>
              </w:tabs>
              <w:suppressAutoHyphens w:val="0"/>
              <w:spacing w:before="120" w:after="120" w:line="17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17"/>
                <w:szCs w:val="17"/>
                <w:lang w:val="uk-UA" w:eastAsia="uk-UA" w:bidi="uk-UA"/>
              </w:rPr>
              <w:t>Етап комерціалізації</w:t>
            </w:r>
          </w:p>
          <w:p w:rsidR="00B1119F" w:rsidRPr="00B1119F" w:rsidRDefault="00B1119F" w:rsidP="00B1119F">
            <w:pPr>
              <w:framePr w:w="13579" w:wrap="notBeside" w:vAnchor="text" w:hAnchor="text" w:xAlign="center" w:y="1"/>
              <w:tabs>
                <w:tab w:val="clear" w:pos="709"/>
              </w:tabs>
              <w:suppressAutoHyphens w:val="0"/>
              <w:spacing w:before="120"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 xml:space="preserve">_ </w:t>
            </w:r>
            <w:r w:rsidRPr="00B1119F">
              <w:rPr>
                <w:rFonts w:ascii="Times New Roman" w:eastAsia="Arial Unicode MS" w:hAnsi="Times New Roman" w:cs="Times New Roman"/>
                <w:color w:val="000000"/>
                <w:kern w:val="0"/>
                <w:sz w:val="26"/>
                <w:szCs w:val="26"/>
                <w:lang w:val="en-US" w:eastAsia="en-US" w:bidi="en-US"/>
              </w:rPr>
              <w:t>j</w:t>
            </w:r>
          </w:p>
        </w:tc>
        <w:tc>
          <w:tcPr>
            <w:tcW w:w="384" w:type="dxa"/>
            <w:tcBorders>
              <w:top w:val="single" w:sz="4" w:space="0" w:color="auto"/>
              <w:lef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w:t>
            </w:r>
          </w:p>
        </w:tc>
        <w:tc>
          <w:tcPr>
            <w:tcW w:w="4459" w:type="dxa"/>
            <w:vMerge w:val="restart"/>
            <w:tcBorders>
              <w:top w:val="single" w:sz="4" w:space="0" w:color="auto"/>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19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19"/>
                <w:szCs w:val="19"/>
                <w:lang w:eastAsia="ru-RU" w:bidi="ru-RU"/>
              </w:rPr>
              <w:t>Андеррайтинг</w:t>
            </w:r>
          </w:p>
        </w:tc>
        <w:tc>
          <w:tcPr>
            <w:tcW w:w="7718"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6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л</w:t>
            </w:r>
          </w:p>
          <w:p w:rsidR="00B1119F" w:rsidRPr="00B1119F" w:rsidRDefault="00B1119F" w:rsidP="00B1119F">
            <w:pPr>
              <w:framePr w:w="13579" w:wrap="notBeside" w:vAnchor="text" w:hAnchor="text" w:xAlign="center" w:y="1"/>
              <w:tabs>
                <w:tab w:val="clear" w:pos="709"/>
              </w:tabs>
              <w:suppressAutoHyphens w:val="0"/>
              <w:spacing w:before="60"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Аналіз ризиків, що приймаються на страхування</w:t>
            </w:r>
          </w:p>
        </w:tc>
      </w:tr>
      <w:tr w:rsidR="00B1119F" w:rsidRPr="00B1119F" w:rsidTr="00105B87">
        <w:tblPrEx>
          <w:tblCellMar>
            <w:top w:w="0" w:type="dxa"/>
            <w:bottom w:w="0" w:type="dxa"/>
          </w:tblCellMar>
        </w:tblPrEx>
        <w:trPr>
          <w:trHeight w:hRule="exact" w:val="701"/>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val="restart"/>
            <w:tcBorders>
              <w:top w:val="single" w:sz="4" w:space="0" w:color="auto"/>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66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Ч</w:t>
            </w:r>
          </w:p>
          <w:p w:rsidR="00B1119F" w:rsidRPr="00B1119F" w:rsidRDefault="00B1119F" w:rsidP="00B1119F">
            <w:pPr>
              <w:framePr w:w="13579"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7</w:t>
            </w:r>
          </w:p>
        </w:tc>
        <w:tc>
          <w:tcPr>
            <w:tcW w:w="4459" w:type="dxa"/>
            <w:vMerge/>
            <w:tcBorders>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173"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Розрахунок страхового тарифу Розрахунок розміру страхової премії Вибір варіантів страхового покриття</w:t>
            </w:r>
          </w:p>
          <w:p w:rsidR="00B1119F" w:rsidRPr="00B1119F" w:rsidRDefault="00B1119F" w:rsidP="00B1119F">
            <w:pPr>
              <w:framePr w:w="13579" w:wrap="notBeside" w:vAnchor="text" w:hAnchor="text" w:xAlign="center" w:y="1"/>
              <w:tabs>
                <w:tab w:val="clear" w:pos="709"/>
              </w:tabs>
              <w:suppressAutoHyphens w:val="0"/>
              <w:spacing w:after="0" w:line="173"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Розробка альтернативних варіантів страхового покриття</w:t>
            </w:r>
          </w:p>
        </w:tc>
      </w:tr>
      <w:tr w:rsidR="00B1119F" w:rsidRPr="00B1119F" w:rsidTr="00105B87">
        <w:tblPrEx>
          <w:tblCellMar>
            <w:top w:w="0" w:type="dxa"/>
            <w:bottom w:w="0" w:type="dxa"/>
          </w:tblCellMar>
        </w:tblPrEx>
        <w:trPr>
          <w:trHeight w:hRule="exact" w:val="355"/>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tcBorders>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459" w:type="dxa"/>
            <w:vMerge w:val="restart"/>
            <w:tcBorders>
              <w:top w:val="single" w:sz="4" w:space="0" w:color="auto"/>
              <w:lef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9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19"/>
                <w:szCs w:val="19"/>
                <w:lang w:val="uk-UA" w:eastAsia="uk-UA" w:bidi="uk-UA"/>
              </w:rPr>
              <w:t>Укладання договору страхування</w:t>
            </w:r>
          </w:p>
        </w:tc>
        <w:tc>
          <w:tcPr>
            <w:tcW w:w="7718"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Визначення страхових сум, що приймаються на страхування</w:t>
            </w:r>
          </w:p>
        </w:tc>
      </w:tr>
      <w:tr w:rsidR="00B1119F" w:rsidRPr="00B1119F" w:rsidTr="00105B87">
        <w:tblPrEx>
          <w:tblCellMar>
            <w:top w:w="0" w:type="dxa"/>
            <w:bottom w:w="0" w:type="dxa"/>
          </w:tblCellMar>
        </w:tblPrEx>
        <w:trPr>
          <w:trHeight w:hRule="exact" w:val="173"/>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val="restart"/>
            <w:tcBorders>
              <w:top w:val="single" w:sz="4" w:space="0" w:color="auto"/>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Ч</w:t>
            </w:r>
          </w:p>
        </w:tc>
        <w:tc>
          <w:tcPr>
            <w:tcW w:w="4459" w:type="dxa"/>
            <w:vMerge/>
            <w:tcBorders>
              <w:lef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Визначення головних умов договору страхування</w:t>
            </w:r>
          </w:p>
        </w:tc>
      </w:tr>
      <w:tr w:rsidR="00B1119F" w:rsidRPr="00B1119F" w:rsidTr="00105B87">
        <w:tblPrEx>
          <w:tblCellMar>
            <w:top w:w="0" w:type="dxa"/>
            <w:bottom w:w="0" w:type="dxa"/>
          </w:tblCellMar>
        </w:tblPrEx>
        <w:trPr>
          <w:trHeight w:hRule="exact" w:val="350"/>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tcBorders>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459" w:type="dxa"/>
            <w:vMerge w:val="restart"/>
            <w:tcBorders>
              <w:top w:val="single" w:sz="4" w:space="0" w:color="auto"/>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19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19"/>
                <w:szCs w:val="19"/>
                <w:lang w:val="uk-UA" w:eastAsia="uk-UA" w:bidi="uk-UA"/>
              </w:rPr>
              <w:t>Супровід договору страхування</w:t>
            </w:r>
          </w:p>
        </w:tc>
        <w:tc>
          <w:tcPr>
            <w:tcW w:w="7718"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Реєстрація укладених договорів</w:t>
            </w:r>
          </w:p>
        </w:tc>
      </w:tr>
      <w:tr w:rsidR="00B1119F" w:rsidRPr="00B1119F" w:rsidTr="00105B87">
        <w:tblPrEx>
          <w:tblCellMar>
            <w:top w:w="0" w:type="dxa"/>
            <w:bottom w:w="0" w:type="dxa"/>
          </w:tblCellMar>
        </w:tblPrEx>
        <w:trPr>
          <w:trHeight w:hRule="exact" w:val="350"/>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val="restart"/>
            <w:tcBorders>
              <w:top w:val="single" w:sz="4" w:space="0" w:color="auto"/>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Ч</w:t>
            </w:r>
          </w:p>
        </w:tc>
        <w:tc>
          <w:tcPr>
            <w:tcW w:w="4459" w:type="dxa"/>
            <w:vMerge/>
            <w:tcBorders>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Створенння бази даних договорів</w:t>
            </w:r>
          </w:p>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Відображення операцій, що здіснюються за договорами в бухгалтерському обліку</w:t>
            </w:r>
          </w:p>
        </w:tc>
      </w:tr>
      <w:tr w:rsidR="00B1119F" w:rsidRPr="00B1119F" w:rsidTr="00105B87">
        <w:tblPrEx>
          <w:tblCellMar>
            <w:top w:w="0" w:type="dxa"/>
            <w:bottom w:w="0" w:type="dxa"/>
          </w:tblCellMar>
        </w:tblPrEx>
        <w:trPr>
          <w:trHeight w:hRule="exact" w:val="178"/>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tcBorders>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459" w:type="dxa"/>
            <w:vMerge/>
            <w:tcBorders>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Розрахунки страхових резервів та їх інвестування</w:t>
            </w:r>
          </w:p>
        </w:tc>
      </w:tr>
      <w:tr w:rsidR="00B1119F" w:rsidRPr="00B1119F" w:rsidTr="00105B87">
        <w:tblPrEx>
          <w:tblCellMar>
            <w:top w:w="0" w:type="dxa"/>
            <w:bottom w:w="0" w:type="dxa"/>
          </w:tblCellMar>
        </w:tblPrEx>
        <w:trPr>
          <w:trHeight w:hRule="exact" w:val="178"/>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tcBorders>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459" w:type="dxa"/>
            <w:vMerge/>
            <w:tcBorders>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Контроль своєчасності і повноти надходження страхових внесків</w:t>
            </w:r>
          </w:p>
        </w:tc>
      </w:tr>
      <w:tr w:rsidR="00B1119F" w:rsidRPr="00B1119F" w:rsidTr="00105B87">
        <w:tblPrEx>
          <w:tblCellMar>
            <w:top w:w="0" w:type="dxa"/>
            <w:bottom w:w="0" w:type="dxa"/>
          </w:tblCellMar>
        </w:tblPrEx>
        <w:trPr>
          <w:trHeight w:hRule="exact" w:val="350"/>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tcBorders>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459" w:type="dxa"/>
            <w:vMerge/>
            <w:tcBorders>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178"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Контроль стану застрахованого об’єкту Обслуговування застрахованих осіб</w:t>
            </w:r>
          </w:p>
        </w:tc>
      </w:tr>
      <w:tr w:rsidR="00B1119F" w:rsidRPr="00B1119F" w:rsidTr="00105B87">
        <w:tblPrEx>
          <w:tblCellMar>
            <w:top w:w="0" w:type="dxa"/>
            <w:bottom w:w="0" w:type="dxa"/>
          </w:tblCellMar>
        </w:tblPrEx>
        <w:trPr>
          <w:trHeight w:hRule="exact" w:val="173"/>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tcBorders>
              <w:top w:val="single" w:sz="4" w:space="0" w:color="auto"/>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12177" w:type="dxa"/>
            <w:gridSpan w:val="2"/>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B1119F" w:rsidRPr="00B1119F" w:rsidTr="00105B87">
        <w:tblPrEx>
          <w:tblCellMar>
            <w:top w:w="0" w:type="dxa"/>
            <w:bottom w:w="0" w:type="dxa"/>
          </w:tblCellMar>
        </w:tblPrEx>
        <w:trPr>
          <w:trHeight w:hRule="exact" w:val="178"/>
          <w:jc w:val="center"/>
        </w:trPr>
        <w:tc>
          <w:tcPr>
            <w:tcW w:w="1018" w:type="dxa"/>
            <w:tcBorders>
              <w:top w:val="single" w:sz="4" w:space="0" w:color="auto"/>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12561" w:type="dxa"/>
            <w:gridSpan w:val="3"/>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B1119F" w:rsidRPr="00B1119F" w:rsidTr="00105B87">
        <w:tblPrEx>
          <w:tblCellMar>
            <w:top w:w="0" w:type="dxa"/>
            <w:bottom w:w="0" w:type="dxa"/>
          </w:tblCellMar>
        </w:tblPrEx>
        <w:trPr>
          <w:trHeight w:hRule="exact" w:val="350"/>
          <w:jc w:val="center"/>
        </w:trPr>
        <w:tc>
          <w:tcPr>
            <w:tcW w:w="1018" w:type="dxa"/>
            <w:vMerge w:val="restart"/>
            <w:tcBorders>
              <w:top w:val="single" w:sz="4" w:space="0" w:color="auto"/>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17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b/>
                <w:bCs/>
                <w:color w:val="000000"/>
                <w:kern w:val="0"/>
                <w:sz w:val="17"/>
                <w:szCs w:val="17"/>
                <w:lang w:val="uk-UA" w:eastAsia="uk-UA" w:bidi="uk-UA"/>
              </w:rPr>
              <w:t>Супроводжувальний етап</w:t>
            </w:r>
          </w:p>
        </w:tc>
        <w:tc>
          <w:tcPr>
            <w:tcW w:w="384" w:type="dxa"/>
            <w:tcBorders>
              <w:top w:val="single" w:sz="4" w:space="0" w:color="auto"/>
              <w:lef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7</w:t>
            </w:r>
          </w:p>
        </w:tc>
        <w:tc>
          <w:tcPr>
            <w:tcW w:w="4459" w:type="dxa"/>
            <w:vMerge w:val="restart"/>
            <w:tcBorders>
              <w:top w:val="single" w:sz="4" w:space="0" w:color="auto"/>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19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19"/>
                <w:szCs w:val="19"/>
                <w:lang w:val="uk-UA" w:eastAsia="uk-UA" w:bidi="uk-UA"/>
              </w:rPr>
              <w:t>Врегулювання збитків</w:t>
            </w:r>
          </w:p>
        </w:tc>
        <w:tc>
          <w:tcPr>
            <w:tcW w:w="7718"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Отримання заяви про страховий випадок</w:t>
            </w:r>
          </w:p>
        </w:tc>
      </w:tr>
      <w:tr w:rsidR="00B1119F" w:rsidRPr="00B1119F" w:rsidTr="00105B87">
        <w:tblPrEx>
          <w:tblCellMar>
            <w:top w:w="0" w:type="dxa"/>
            <w:bottom w:w="0" w:type="dxa"/>
          </w:tblCellMar>
        </w:tblPrEx>
        <w:trPr>
          <w:trHeight w:hRule="exact" w:val="701"/>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val="restart"/>
            <w:tcBorders>
              <w:top w:val="single" w:sz="4" w:space="0" w:color="auto"/>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Ч</w:t>
            </w:r>
          </w:p>
          <w:p w:rsidR="00B1119F" w:rsidRPr="00B1119F" w:rsidRDefault="00B1119F" w:rsidP="00B1119F">
            <w:pPr>
              <w:framePr w:w="13579" w:wrap="notBeside" w:vAnchor="text" w:hAnchor="text" w:xAlign="center" w:y="1"/>
              <w:tabs>
                <w:tab w:val="clear" w:pos="709"/>
              </w:tabs>
              <w:suppressAutoHyphens w:val="0"/>
              <w:spacing w:before="1020"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7</w:t>
            </w:r>
          </w:p>
        </w:tc>
        <w:tc>
          <w:tcPr>
            <w:tcW w:w="4459" w:type="dxa"/>
            <w:vMerge/>
            <w:tcBorders>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173"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Верифікація даних наведених в заяві Огляд пошкодженого об’єкту страхування Оцінка завданих збитків</w:t>
            </w:r>
          </w:p>
          <w:p w:rsidR="00B1119F" w:rsidRPr="00B1119F" w:rsidRDefault="00B1119F" w:rsidP="00B1119F">
            <w:pPr>
              <w:framePr w:w="13579" w:wrap="notBeside" w:vAnchor="text" w:hAnchor="text" w:xAlign="center" w:y="1"/>
              <w:tabs>
                <w:tab w:val="clear" w:pos="709"/>
              </w:tabs>
              <w:suppressAutoHyphens w:val="0"/>
              <w:spacing w:after="0" w:line="173"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Прийняття рішення про здійснення страхової виплати або відмову у її виплаті</w:t>
            </w:r>
          </w:p>
        </w:tc>
      </w:tr>
      <w:tr w:rsidR="00B1119F" w:rsidRPr="00B1119F" w:rsidTr="00105B87">
        <w:tblPrEx>
          <w:tblCellMar>
            <w:top w:w="0" w:type="dxa"/>
            <w:bottom w:w="0" w:type="dxa"/>
          </w:tblCellMar>
        </w:tblPrEx>
        <w:trPr>
          <w:trHeight w:hRule="exact" w:val="350"/>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tcBorders>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459" w:type="dxa"/>
            <w:vMerge/>
            <w:tcBorders>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Здійснення страхової виплати</w:t>
            </w:r>
          </w:p>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Сприяння ліквідації наслідків страхової події</w:t>
            </w:r>
          </w:p>
        </w:tc>
      </w:tr>
      <w:tr w:rsidR="00B1119F" w:rsidRPr="00B1119F" w:rsidTr="00105B87">
        <w:tblPrEx>
          <w:tblCellMar>
            <w:top w:w="0" w:type="dxa"/>
            <w:bottom w:w="0" w:type="dxa"/>
          </w:tblCellMar>
        </w:tblPrEx>
        <w:trPr>
          <w:trHeight w:hRule="exact" w:val="350"/>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vMerge/>
            <w:tcBorders>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459" w:type="dxa"/>
            <w:vMerge w:val="restart"/>
            <w:tcBorders>
              <w:top w:val="single" w:sz="4" w:space="0" w:color="auto"/>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19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19"/>
                <w:szCs w:val="19"/>
                <w:lang w:val="uk-UA" w:eastAsia="uk-UA" w:bidi="uk-UA"/>
              </w:rPr>
              <w:t>Післяпродажне обслуговування</w:t>
            </w:r>
          </w:p>
        </w:tc>
        <w:tc>
          <w:tcPr>
            <w:tcW w:w="7718"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140"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Забезпечення клієнта інформацією, в якій він має потребу</w:t>
            </w:r>
          </w:p>
        </w:tc>
      </w:tr>
      <w:tr w:rsidR="00B1119F" w:rsidRPr="00B1119F" w:rsidTr="00105B87">
        <w:tblPrEx>
          <w:tblCellMar>
            <w:top w:w="0" w:type="dxa"/>
            <w:bottom w:w="0" w:type="dxa"/>
          </w:tblCellMar>
        </w:tblPrEx>
        <w:trPr>
          <w:trHeight w:hRule="exact" w:val="610"/>
          <w:jc w:val="center"/>
        </w:trPr>
        <w:tc>
          <w:tcPr>
            <w:tcW w:w="1018" w:type="dxa"/>
            <w:vMerge/>
            <w:tcBorders>
              <w:left w:val="single" w:sz="4" w:space="0" w:color="auto"/>
            </w:tcBorders>
            <w:shd w:val="clear" w:color="auto" w:fill="FFFFFF"/>
            <w:textDirection w:val="btL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84" w:type="dxa"/>
            <w:tcBorders>
              <w:top w:val="single" w:sz="4" w:space="0" w:color="auto"/>
              <w:lef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6"/>
                <w:szCs w:val="26"/>
                <w:lang w:val="uk-UA" w:eastAsia="uk-UA" w:bidi="uk-UA"/>
              </w:rPr>
              <w:t>Ч</w:t>
            </w:r>
          </w:p>
        </w:tc>
        <w:tc>
          <w:tcPr>
            <w:tcW w:w="4459" w:type="dxa"/>
            <w:vMerge/>
            <w:tcBorders>
              <w:left w:val="single" w:sz="4" w:space="0" w:color="auto"/>
            </w:tcBorders>
            <w:shd w:val="clear" w:color="auto" w:fill="FFFFFF"/>
            <w:vAlign w:val="center"/>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7718"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16"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Надання консультаційних та юридичних послуг Накопичення даних щодо недоліків/переваг страхового продукту</w:t>
            </w:r>
          </w:p>
          <w:p w:rsidR="00B1119F" w:rsidRPr="00B1119F" w:rsidRDefault="00B1119F" w:rsidP="00B1119F">
            <w:pPr>
              <w:framePr w:w="13579" w:wrap="notBeside" w:vAnchor="text" w:hAnchor="text" w:xAlign="center" w:y="1"/>
              <w:tabs>
                <w:tab w:val="clear" w:pos="709"/>
              </w:tabs>
              <w:suppressAutoHyphens w:val="0"/>
              <w:spacing w:after="0" w:line="216" w:lineRule="exact"/>
              <w:ind w:left="42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Cambria" w:hAnsi="Times New Roman" w:cs="Times New Roman"/>
                <w:color w:val="000000"/>
                <w:kern w:val="0"/>
                <w:sz w:val="14"/>
                <w:szCs w:val="14"/>
                <w:lang w:val="uk-UA" w:eastAsia="uk-UA" w:bidi="uk-UA"/>
              </w:rPr>
              <w:t>Передавання накопичених даних менеджменту компанії для прийняття управлінських рішень</w:t>
            </w:r>
          </w:p>
        </w:tc>
      </w:tr>
      <w:tr w:rsidR="00B1119F" w:rsidRPr="00B1119F" w:rsidTr="00105B87">
        <w:tblPrEx>
          <w:tblCellMar>
            <w:top w:w="0" w:type="dxa"/>
            <w:bottom w:w="0" w:type="dxa"/>
          </w:tblCellMar>
        </w:tblPrEx>
        <w:trPr>
          <w:trHeight w:hRule="exact" w:val="221"/>
          <w:jc w:val="center"/>
        </w:trPr>
        <w:tc>
          <w:tcPr>
            <w:tcW w:w="1402" w:type="dxa"/>
            <w:gridSpan w:val="2"/>
            <w:tcBorders>
              <w:top w:val="single" w:sz="4" w:space="0" w:color="auto"/>
              <w:left w:val="single" w:sz="4" w:space="0" w:color="auto"/>
              <w:bottom w:val="single" w:sz="4" w:space="0" w:color="auto"/>
            </w:tcBorders>
            <w:shd w:val="clear" w:color="auto" w:fill="FFFFFF"/>
            <w:vAlign w:val="bottom"/>
          </w:tcPr>
          <w:p w:rsidR="00B1119F" w:rsidRPr="00B1119F" w:rsidRDefault="00B1119F" w:rsidP="00B1119F">
            <w:pPr>
              <w:framePr w:w="13579" w:wrap="notBeside" w:vAnchor="text" w:hAnchor="text" w:xAlign="center" w:y="1"/>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1</w:t>
            </w:r>
          </w:p>
          <w:p w:rsidR="00B1119F" w:rsidRPr="00B1119F" w:rsidRDefault="00B1119F" w:rsidP="00B1119F">
            <w:pPr>
              <w:framePr w:w="13579" w:wrap="notBeside" w:vAnchor="text" w:hAnchor="text" w:xAlign="center" w:y="1"/>
              <w:tabs>
                <w:tab w:val="clear" w:pos="709"/>
                <w:tab w:val="left" w:leader="underscore" w:pos="552"/>
                <w:tab w:val="left" w:leader="underscore" w:pos="1402"/>
              </w:tabs>
              <w:suppressAutoHyphens w:val="0"/>
              <w:spacing w:after="0" w:line="200" w:lineRule="exact"/>
              <w:ind w:firstLine="0"/>
              <w:rPr>
                <w:rFonts w:ascii="Arial Unicode MS" w:eastAsia="Arial Unicode MS" w:hAnsi="Arial Unicode MS" w:cs="Arial Unicode MS"/>
                <w:color w:val="000000"/>
                <w:kern w:val="0"/>
                <w:sz w:val="24"/>
                <w:szCs w:val="24"/>
                <w:lang w:val="uk-UA" w:eastAsia="uk-UA" w:bidi="uk-UA"/>
              </w:rPr>
            </w:pPr>
            <w:r w:rsidRPr="00B1119F">
              <w:rPr>
                <w:rFonts w:ascii="Cambria" w:eastAsia="Cambria" w:hAnsi="Cambria" w:cs="Cambria"/>
                <w:color w:val="000000"/>
                <w:spacing w:val="-10"/>
                <w:kern w:val="0"/>
                <w:sz w:val="8"/>
                <w:szCs w:val="8"/>
                <w:lang w:val="uk-UA" w:eastAsia="uk-UA" w:bidi="uk-UA"/>
              </w:rPr>
              <w:t>[_</w:t>
            </w:r>
            <w:r w:rsidRPr="00B1119F">
              <w:rPr>
                <w:rFonts w:ascii="Cambria" w:eastAsia="Arial Unicode MS" w:hAnsi="Cambria" w:cs="Cambria"/>
                <w:color w:val="000000"/>
                <w:kern w:val="0"/>
                <w:sz w:val="20"/>
                <w:szCs w:val="20"/>
                <w:lang w:val="uk-UA" w:eastAsia="uk-UA" w:bidi="uk-UA"/>
              </w:rPr>
              <w:tab/>
            </w:r>
            <w:r w:rsidRPr="00B1119F">
              <w:rPr>
                <w:rFonts w:ascii="Cambria" w:eastAsia="Cambria" w:hAnsi="Cambria" w:cs="Cambria"/>
                <w:color w:val="000000"/>
                <w:spacing w:val="-10"/>
                <w:kern w:val="0"/>
                <w:sz w:val="8"/>
                <w:szCs w:val="8"/>
                <w:lang w:val="uk-UA" w:eastAsia="uk-UA" w:bidi="uk-UA"/>
              </w:rPr>
              <w:t>_|</w:t>
            </w:r>
            <w:r w:rsidRPr="00B1119F">
              <w:rPr>
                <w:rFonts w:ascii="Cambria" w:eastAsia="Arial Unicode MS" w:hAnsi="Cambria" w:cs="Cambria"/>
                <w:color w:val="000000"/>
                <w:kern w:val="0"/>
                <w:sz w:val="20"/>
                <w:szCs w:val="20"/>
                <w:lang w:val="uk-UA" w:eastAsia="uk-UA" w:bidi="uk-UA"/>
              </w:rPr>
              <w:tab/>
            </w:r>
          </w:p>
        </w:tc>
        <w:tc>
          <w:tcPr>
            <w:tcW w:w="12177" w:type="dxa"/>
            <w:gridSpan w:val="2"/>
            <w:tcBorders>
              <w:top w:val="single" w:sz="4" w:space="0" w:color="auto"/>
              <w:left w:val="single" w:sz="4" w:space="0" w:color="auto"/>
              <w:bottom w:val="single" w:sz="4" w:space="0" w:color="auto"/>
              <w:right w:val="single" w:sz="4" w:space="0" w:color="auto"/>
            </w:tcBorders>
            <w:shd w:val="clear" w:color="auto" w:fill="FFFFFF"/>
          </w:tcPr>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bl>
    <w:p w:rsidR="00B1119F" w:rsidRPr="00B1119F" w:rsidRDefault="00B1119F" w:rsidP="00B1119F">
      <w:pPr>
        <w:framePr w:w="13579"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B1119F" w:rsidRPr="00B1119F" w:rsidRDefault="00B1119F" w:rsidP="00B1119F">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B1119F" w:rsidRPr="00B1119F" w:rsidRDefault="00B1119F" w:rsidP="00B1119F">
      <w:pPr>
        <w:tabs>
          <w:tab w:val="clear" w:pos="709"/>
        </w:tabs>
        <w:suppressAutoHyphens w:val="0"/>
        <w:spacing w:after="0" w:line="260" w:lineRule="exact"/>
        <w:ind w:left="3940"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Рис. 1. Бізнес-процеси реалізації страхових продуктів</w:t>
      </w:r>
    </w:p>
    <w:p w:rsidR="00B1119F" w:rsidRPr="00B1119F" w:rsidRDefault="00B1119F" w:rsidP="00B1119F">
      <w:pPr>
        <w:tabs>
          <w:tab w:val="clear" w:pos="709"/>
        </w:tabs>
        <w:suppressAutoHyphens w:val="0"/>
        <w:spacing w:after="0" w:line="260" w:lineRule="exact"/>
        <w:ind w:left="220" w:firstLine="0"/>
        <w:jc w:val="left"/>
        <w:rPr>
          <w:rFonts w:ascii="Times New Roman" w:eastAsia="Times New Roman" w:hAnsi="Times New Roman" w:cs="Times New Roman"/>
          <w:kern w:val="0"/>
          <w:sz w:val="26"/>
          <w:szCs w:val="26"/>
          <w:lang w:val="uk-UA" w:eastAsia="uk-UA" w:bidi="uk-UA"/>
        </w:rPr>
        <w:sectPr w:rsidR="00B1119F" w:rsidRPr="00B1119F">
          <w:headerReference w:type="default" r:id="rId11"/>
          <w:headerReference w:type="first" r:id="rId12"/>
          <w:pgSz w:w="16840" w:h="11900" w:orient="landscape"/>
          <w:pgMar w:top="1369" w:right="1637" w:bottom="807" w:left="1623" w:header="0" w:footer="3" w:gutter="0"/>
          <w:cols w:space="720"/>
          <w:noEndnote/>
          <w:titlePg/>
          <w:docGrid w:linePitch="360"/>
        </w:sectPr>
      </w:pPr>
      <w:r w:rsidRPr="00B1119F">
        <w:rPr>
          <w:rFonts w:ascii="Times New Roman" w:eastAsia="Times New Roman" w:hAnsi="Times New Roman" w:cs="Times New Roman"/>
          <w:color w:val="000000"/>
          <w:kern w:val="0"/>
          <w:sz w:val="26"/>
          <w:szCs w:val="26"/>
          <w:lang w:val="uk-UA" w:eastAsia="uk-UA" w:bidi="uk-UA"/>
        </w:rPr>
        <w:t>Джерело: розроблено автором</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Система реалізації страхових продуктів є впорядкованою сукупністю бізнес - процесів, спрямованих на пошук потенційних споживачів та формування ефективних каналів збуту страхових продуктів, покликаних забезпечувати їх продаж із урахуванням наявної продуктової лінійки, даних щодо попиту цільових груп на страхові продукти, що опирається на застосування напрацьованих алгоритмів діяльності та встановлення стійких і взаємовигідних зв’язків страховика з клієнтом із метою задоволення їх страхових інтересів на кожному з трьох послідовних етапів взаємодії: підготовчому, комерціалізації та супроводжувальному. Призначення системи реалізації страхових продуктів розкривається в її функціях: інформаційно - аналітичній, збутовій, інноваційній, стимулюючій, обслуговуючій.</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Системній інтеграції та координації різних аспектів управління бізнес - процесами з реалізації страхових продуктів сприяє запровадження страхового контролю як упорядкованої множини раціональних контрольних </w:t>
      </w:r>
      <w:r w:rsidRPr="00B1119F">
        <w:rPr>
          <w:rFonts w:ascii="Arial Unicode MS" w:eastAsia="Arial Unicode MS" w:hAnsi="Arial Unicode MS" w:cs="Arial Unicode MS"/>
          <w:color w:val="000000"/>
          <w:kern w:val="0"/>
          <w:sz w:val="24"/>
          <w:szCs w:val="24"/>
          <w:lang w:val="uk-UA" w:eastAsia="ru-RU" w:bidi="ru-RU"/>
        </w:rPr>
        <w:t xml:space="preserve">процедур, </w:t>
      </w:r>
      <w:r w:rsidRPr="00B1119F">
        <w:rPr>
          <w:rFonts w:ascii="Arial Unicode MS" w:eastAsia="Arial Unicode MS" w:hAnsi="Arial Unicode MS" w:cs="Arial Unicode MS"/>
          <w:color w:val="000000"/>
          <w:kern w:val="0"/>
          <w:sz w:val="24"/>
          <w:szCs w:val="24"/>
          <w:lang w:val="uk-UA" w:eastAsia="uk-UA" w:bidi="uk-UA"/>
        </w:rPr>
        <w:t>метою яких є виявлення наявних або можливих недоліків діяльності страховика та доведення інформації про них до керівників відповідних рівнів.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Канали збуту страхових продуктів класифікуються за такими критеріями, як: рівень активності (активні, пасивні, комбіновані); рівень залежності (залежні, незалежні); ступінь новизни підходів до збуту страхових продуктів (традиційні, нові); специфіка укладання страхових договорів (прямі продажі, непрямі продажі); метод організації збуту (власний продаж, </w:t>
      </w:r>
      <w:r w:rsidRPr="00B1119F">
        <w:rPr>
          <w:rFonts w:ascii="Arial Unicode MS" w:eastAsia="Arial Unicode MS" w:hAnsi="Arial Unicode MS" w:cs="Arial Unicode MS"/>
          <w:color w:val="000000"/>
          <w:kern w:val="0"/>
          <w:sz w:val="24"/>
          <w:szCs w:val="24"/>
          <w:lang w:val="uk-UA" w:eastAsia="ru-RU" w:bidi="ru-RU"/>
        </w:rPr>
        <w:t xml:space="preserve">аутсорсинг); </w:t>
      </w:r>
      <w:r w:rsidRPr="00B1119F">
        <w:rPr>
          <w:rFonts w:ascii="Arial Unicode MS" w:eastAsia="Arial Unicode MS" w:hAnsi="Arial Unicode MS" w:cs="Arial Unicode MS"/>
          <w:color w:val="000000"/>
          <w:kern w:val="0"/>
          <w:sz w:val="24"/>
          <w:szCs w:val="24"/>
          <w:lang w:val="uk-UA" w:eastAsia="uk-UA" w:bidi="uk-UA"/>
        </w:rPr>
        <w:t xml:space="preserve">форма зв’язку зі страхувальниками (безпосередня реалізація в офісах страхової компанії; реалізація через страхових посередників; реалізація через альтернативну </w:t>
      </w:r>
      <w:r w:rsidRPr="00B1119F">
        <w:rPr>
          <w:rFonts w:ascii="Arial Unicode MS" w:eastAsia="Arial Unicode MS" w:hAnsi="Arial Unicode MS" w:cs="Arial Unicode MS"/>
          <w:color w:val="000000"/>
          <w:kern w:val="0"/>
          <w:sz w:val="24"/>
          <w:szCs w:val="24"/>
          <w:lang w:val="uk-UA" w:eastAsia="ru-RU" w:bidi="ru-RU"/>
        </w:rPr>
        <w:t xml:space="preserve">мережу </w:t>
      </w:r>
      <w:r w:rsidRPr="00B1119F">
        <w:rPr>
          <w:rFonts w:ascii="Arial Unicode MS" w:eastAsia="Arial Unicode MS" w:hAnsi="Arial Unicode MS" w:cs="Arial Unicode MS"/>
          <w:color w:val="000000"/>
          <w:kern w:val="0"/>
          <w:sz w:val="24"/>
          <w:szCs w:val="24"/>
          <w:lang w:val="uk-UA" w:eastAsia="uk-UA" w:bidi="uk-UA"/>
        </w:rPr>
        <w:t>розповсюдження).</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Залежно від специфіки діяльності продавця страхових продуктів розрізняють три варіанти організації продажів: </w:t>
      </w:r>
      <w:r w:rsidRPr="00B1119F">
        <w:rPr>
          <w:rFonts w:ascii="Times New Roman" w:eastAsia="Arial Unicode MS" w:hAnsi="Times New Roman" w:cs="Times New Roman"/>
          <w:color w:val="000000"/>
          <w:spacing w:val="-10"/>
          <w:kern w:val="0"/>
          <w:sz w:val="26"/>
          <w:szCs w:val="26"/>
          <w:lang w:val="uk-UA" w:eastAsia="uk-UA" w:bidi="uk-UA"/>
        </w:rPr>
        <w:t>1</w:t>
      </w:r>
      <w:r w:rsidRPr="00B1119F">
        <w:rPr>
          <w:rFonts w:ascii="Arial Unicode MS" w:eastAsia="Arial Unicode MS" w:hAnsi="Arial Unicode MS" w:cs="Arial Unicode MS"/>
          <w:color w:val="000000"/>
          <w:kern w:val="0"/>
          <w:sz w:val="24"/>
          <w:szCs w:val="24"/>
          <w:lang w:val="uk-UA" w:eastAsia="uk-UA" w:bidi="uk-UA"/>
        </w:rPr>
        <w:t xml:space="preserve">) супутній, коли продаж страхового продукту є додатковим видом діяльності продавця; </w:t>
      </w:r>
      <w:r w:rsidRPr="00B1119F">
        <w:rPr>
          <w:rFonts w:ascii="Times New Roman" w:eastAsia="Arial Unicode MS" w:hAnsi="Times New Roman" w:cs="Times New Roman"/>
          <w:color w:val="000000"/>
          <w:spacing w:val="-10"/>
          <w:kern w:val="0"/>
          <w:sz w:val="26"/>
          <w:szCs w:val="26"/>
          <w:lang w:val="uk-UA" w:eastAsia="uk-UA" w:bidi="uk-UA"/>
        </w:rPr>
        <w:t>2</w:t>
      </w:r>
      <w:r w:rsidRPr="00B1119F">
        <w:rPr>
          <w:rFonts w:ascii="Arial Unicode MS" w:eastAsia="Arial Unicode MS" w:hAnsi="Arial Unicode MS" w:cs="Arial Unicode MS"/>
          <w:color w:val="000000"/>
          <w:kern w:val="0"/>
          <w:sz w:val="24"/>
          <w:szCs w:val="24"/>
          <w:lang w:val="uk-UA" w:eastAsia="uk-UA" w:bidi="uk-UA"/>
        </w:rPr>
        <w:t>) комбінований, при якому продаж страхового продукту супроводжується наданням певного переліку сервісних послуг; 3) додатковий продаж, при якому продається пакет нестрахових послуг під час настання страхового випадку, а покриття витрат за цими послугами здійснюється за страховим полісом.</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У другому розділі </w:t>
      </w:r>
      <w:r w:rsidRPr="00B1119F">
        <w:rPr>
          <w:rFonts w:ascii="Times New Roman" w:eastAsia="Arial Unicode MS" w:hAnsi="Times New Roman" w:cs="Times New Roman"/>
          <w:b/>
          <w:bCs/>
          <w:color w:val="000000"/>
          <w:kern w:val="0"/>
          <w:sz w:val="26"/>
          <w:szCs w:val="26"/>
          <w:lang w:val="uk-UA" w:eastAsia="uk-UA" w:bidi="uk-UA"/>
        </w:rPr>
        <w:t xml:space="preserve">«Розвиток системи реалізації страхових продуктів в Україні» </w:t>
      </w:r>
      <w:r w:rsidRPr="00B1119F">
        <w:rPr>
          <w:rFonts w:ascii="Arial Unicode MS" w:eastAsia="Arial Unicode MS" w:hAnsi="Arial Unicode MS" w:cs="Arial Unicode MS"/>
          <w:color w:val="000000"/>
          <w:kern w:val="0"/>
          <w:sz w:val="24"/>
          <w:szCs w:val="24"/>
          <w:lang w:val="uk-UA" w:eastAsia="uk-UA" w:bidi="uk-UA"/>
        </w:rPr>
        <w:t xml:space="preserve">з’ясовано особливості продажу в системі реалізації страхових продуктів вітчизняними страховиками, оцінено вплив продажу страхових продуктів на забезпечення фінансової стійкості страхових компаній, визначено чинники диференціації </w:t>
      </w:r>
      <w:r w:rsidRPr="00B1119F">
        <w:rPr>
          <w:rFonts w:ascii="Arial Unicode MS" w:eastAsia="Arial Unicode MS" w:hAnsi="Arial Unicode MS" w:cs="Arial Unicode MS"/>
          <w:color w:val="000000"/>
          <w:kern w:val="0"/>
          <w:sz w:val="24"/>
          <w:szCs w:val="24"/>
          <w:lang w:val="uk-UA" w:eastAsia="ru-RU" w:bidi="ru-RU"/>
        </w:rPr>
        <w:t xml:space="preserve">комплексного </w:t>
      </w:r>
      <w:r w:rsidRPr="00B1119F">
        <w:rPr>
          <w:rFonts w:ascii="Arial Unicode MS" w:eastAsia="Arial Unicode MS" w:hAnsi="Arial Unicode MS" w:cs="Arial Unicode MS"/>
          <w:color w:val="000000"/>
          <w:kern w:val="0"/>
          <w:sz w:val="24"/>
          <w:szCs w:val="24"/>
          <w:lang w:val="uk-UA" w:eastAsia="uk-UA" w:bidi="uk-UA"/>
        </w:rPr>
        <w:t>продажу в системі реалізації страхових продуктів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 xml:space="preserve">Продаж </w:t>
      </w:r>
      <w:r w:rsidRPr="00B1119F">
        <w:rPr>
          <w:rFonts w:ascii="Arial Unicode MS" w:eastAsia="Arial Unicode MS" w:hAnsi="Arial Unicode MS" w:cs="Arial Unicode MS"/>
          <w:color w:val="000000"/>
          <w:kern w:val="0"/>
          <w:sz w:val="24"/>
          <w:szCs w:val="24"/>
          <w:lang w:val="uk-UA" w:eastAsia="uk-UA" w:bidi="uk-UA"/>
        </w:rPr>
        <w:t>страхових продуктів є узагальненим результатом злагодженої роботи усіх структурних підрозділів страховика задіяних у системі реалізації страхових продуктів. Проведений аналіз продажу страхових продуктів вітчизняними страховиками упродовж 2006-2012 років свідчить про підвищення активності страхових компаній. Найбільше зростання надходження страхових платежів у 2012 році спостерігалося за такими видами: 34,4% - страхування життя (упродовж досліджуваного періоду стабільно зростало, окрім 2009 р.); 29,3% - добровільне страхування відповідальності (постійне зростання упродовж 2006-2012 рр.); 25,8% - добровільне особисте страхування (постійне зростання, крім 2009 р.); 9,0% - недержавне обов’язкове страхування (постійне зростання, зважаючи на обов’язковість цього виду страхування); 7,4% - добровільне страхування майна</w:t>
      </w:r>
      <w:r w:rsidRPr="00B1119F">
        <w:rPr>
          <w:rFonts w:ascii="Arial Unicode MS" w:eastAsia="Arial Unicode MS" w:hAnsi="Arial Unicode MS" w:cs="Arial Unicode MS"/>
          <w:color w:val="000000"/>
          <w:kern w:val="0"/>
          <w:sz w:val="24"/>
          <w:szCs w:val="24"/>
          <w:lang w:val="uk-UA" w:eastAsia="uk-UA" w:bidi="uk-UA"/>
        </w:rPr>
        <w:br w:type="page"/>
        <w:t>(зменшення спостерігається в кризових 2008-2009 рр.). Незважаючи на позитивні зрушення, що спостерігалися в останні роки, рівень реалізації страхових продуктів в Україні ще не відповідає рівню економічно розвинутих держав.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Особливостями реалізації страхових продуктів вітчизняними страховиками є: переважання непрямих продажів через агентські мережі в структурі каналів збуту страхових продуктів; домінування автострахування та туристичного страхування порівняно з іншими видами страхових продуктів; зростання продажів страхових продуктів добровільного характеру; збільшення обсягів продажу страхових продуктів через мережу Інтернет; незатребуваність </w:t>
      </w:r>
      <w:r w:rsidRPr="00B1119F">
        <w:rPr>
          <w:rFonts w:ascii="Arial Unicode MS" w:eastAsia="Arial Unicode MS" w:hAnsi="Arial Unicode MS" w:cs="Arial Unicode MS"/>
          <w:color w:val="000000"/>
          <w:kern w:val="0"/>
          <w:sz w:val="24"/>
          <w:szCs w:val="24"/>
          <w:lang w:eastAsia="ru-RU" w:bidi="ru-RU"/>
        </w:rPr>
        <w:t xml:space="preserve">телемаркетингу </w:t>
      </w:r>
      <w:r w:rsidRPr="00B1119F">
        <w:rPr>
          <w:rFonts w:ascii="Arial Unicode MS" w:eastAsia="Arial Unicode MS" w:hAnsi="Arial Unicode MS" w:cs="Arial Unicode MS"/>
          <w:color w:val="000000"/>
          <w:kern w:val="0"/>
          <w:sz w:val="24"/>
          <w:szCs w:val="24"/>
          <w:lang w:val="uk-UA" w:eastAsia="uk-UA" w:bidi="uk-UA"/>
        </w:rPr>
        <w:t>як інструменту збуту страхових продуктів.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Одним із факторів, що впливають на прийняття рішення про придбання страхового продукту, є надійність страховика. Виконання зобов’язань щодо страхових виплат можливе лише у випадку фінансової стійкості страхової компанії, яка забезпечується: економічно обґрунтованими страховими тарифами; страховими резервами, які повинні бути достатніми для виконання зобов’язань за договорами страхування і перестрахування; власними коштами; сформованою системою перестрахування.</w:t>
      </w:r>
    </w:p>
    <w:p w:rsidR="00B1119F" w:rsidRPr="00B1119F" w:rsidRDefault="00B1119F" w:rsidP="00B1119F">
      <w:pPr>
        <w:tabs>
          <w:tab w:val="clear" w:pos="709"/>
        </w:tabs>
        <w:suppressAutoHyphens w:val="0"/>
        <w:spacing w:after="213"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Удосконалений науково-методичний підхід до оцінювання впливу реалізації страхових продуктів на фінансову стійкість страхової компанії передбачає застосування п’ятифакторної мультиплікативної моделі, яка дає змогу визначити вплив на коефіцієнт автономії страхової компанії (</w:t>
      </w:r>
      <w:r w:rsidRPr="00B1119F">
        <w:rPr>
          <w:rFonts w:ascii="Times New Roman" w:eastAsia="Arial Unicode MS" w:hAnsi="Times New Roman" w:cs="Times New Roman"/>
          <w:i/>
          <w:iCs/>
          <w:color w:val="000000"/>
          <w:kern w:val="0"/>
          <w:sz w:val="26"/>
          <w:szCs w:val="26"/>
          <w:lang w:val="uk-UA" w:eastAsia="uk-UA" w:bidi="uk-UA"/>
        </w:rPr>
        <w:t>К</w:t>
      </w:r>
      <w:r w:rsidRPr="00B1119F">
        <w:rPr>
          <w:rFonts w:ascii="Arial Unicode MS" w:eastAsia="Arial Unicode MS" w:hAnsi="Arial Unicode MS" w:cs="Arial Unicode MS"/>
          <w:color w:val="000000"/>
          <w:kern w:val="0"/>
          <w:sz w:val="24"/>
          <w:szCs w:val="24"/>
          <w:vertAlign w:val="subscript"/>
          <w:lang w:val="uk-UA" w:eastAsia="uk-UA" w:bidi="uk-UA"/>
        </w:rPr>
        <w:t>авт</w:t>
      </w:r>
      <w:r w:rsidRPr="00B1119F">
        <w:rPr>
          <w:rFonts w:ascii="Arial Unicode MS" w:eastAsia="Arial Unicode MS" w:hAnsi="Arial Unicode MS" w:cs="Arial Unicode MS"/>
          <w:color w:val="000000"/>
          <w:kern w:val="0"/>
          <w:sz w:val="24"/>
          <w:szCs w:val="24"/>
          <w:lang w:val="uk-UA" w:eastAsia="uk-UA" w:bidi="uk-UA"/>
        </w:rPr>
        <w:t>) таких факторів, як: 1) забезпеченість власними коштами (</w:t>
      </w:r>
      <w:r w:rsidRPr="00B1119F">
        <w:rPr>
          <w:rFonts w:ascii="Times New Roman" w:eastAsia="Cambria" w:hAnsi="Times New Roman" w:cs="Times New Roman"/>
          <w:color w:val="000000"/>
          <w:kern w:val="0"/>
          <w:sz w:val="24"/>
          <w:szCs w:val="24"/>
          <w:lang w:val="uk-UA" w:eastAsia="uk-UA" w:bidi="uk-UA"/>
        </w:rPr>
        <w:t>К</w:t>
      </w:r>
      <w:r w:rsidRPr="00B1119F">
        <w:rPr>
          <w:rFonts w:ascii="Arial Unicode MS" w:eastAsia="Arial Unicode MS" w:hAnsi="Arial Unicode MS" w:cs="Arial Unicode MS"/>
          <w:color w:val="000000"/>
          <w:kern w:val="0"/>
          <w:sz w:val="24"/>
          <w:szCs w:val="24"/>
          <w:vertAlign w:val="subscript"/>
          <w:lang w:val="uk-UA" w:eastAsia="uk-UA" w:bidi="uk-UA"/>
        </w:rPr>
        <w:t>заб</w:t>
      </w:r>
      <w:r w:rsidRPr="00B1119F">
        <w:rPr>
          <w:rFonts w:ascii="Arial Unicode MS" w:eastAsia="Arial Unicode MS" w:hAnsi="Arial Unicode MS" w:cs="Arial Unicode MS"/>
          <w:color w:val="000000"/>
          <w:kern w:val="0"/>
          <w:sz w:val="24"/>
          <w:szCs w:val="24"/>
          <w:lang w:val="uk-UA" w:eastAsia="uk-UA" w:bidi="uk-UA"/>
        </w:rPr>
        <w:t>); 2) достатність страхових резервів (</w:t>
      </w:r>
      <w:r w:rsidRPr="00B1119F">
        <w:rPr>
          <w:rFonts w:ascii="Times New Roman" w:eastAsia="Cambria" w:hAnsi="Times New Roman" w:cs="Times New Roman"/>
          <w:color w:val="000000"/>
          <w:kern w:val="0"/>
          <w:sz w:val="24"/>
          <w:szCs w:val="24"/>
          <w:lang w:val="uk-UA" w:eastAsia="uk-UA" w:bidi="uk-UA"/>
        </w:rPr>
        <w:t>К</w:t>
      </w:r>
      <w:r w:rsidRPr="00B1119F">
        <w:rPr>
          <w:rFonts w:ascii="Arial Unicode MS" w:eastAsia="Arial Unicode MS" w:hAnsi="Arial Unicode MS" w:cs="Arial Unicode MS"/>
          <w:color w:val="000000"/>
          <w:kern w:val="0"/>
          <w:sz w:val="24"/>
          <w:szCs w:val="24"/>
          <w:vertAlign w:val="subscript"/>
          <w:lang w:val="uk-UA" w:eastAsia="uk-UA" w:bidi="uk-UA"/>
        </w:rPr>
        <w:t>дср</w:t>
      </w:r>
      <w:r w:rsidRPr="00B1119F">
        <w:rPr>
          <w:rFonts w:ascii="Arial Unicode MS" w:eastAsia="Arial Unicode MS" w:hAnsi="Arial Unicode MS" w:cs="Arial Unicode MS"/>
          <w:color w:val="000000"/>
          <w:kern w:val="0"/>
          <w:sz w:val="24"/>
          <w:szCs w:val="24"/>
          <w:lang w:val="uk-UA" w:eastAsia="uk-UA" w:bidi="uk-UA"/>
        </w:rPr>
        <w:t>); 3) достатність страхових премій для здійснення страхових виплат (</w:t>
      </w:r>
      <w:r w:rsidRPr="00B1119F">
        <w:rPr>
          <w:rFonts w:ascii="Times New Roman" w:eastAsia="Cambria" w:hAnsi="Times New Roman" w:cs="Times New Roman"/>
          <w:color w:val="000000"/>
          <w:kern w:val="0"/>
          <w:sz w:val="24"/>
          <w:szCs w:val="24"/>
          <w:lang w:val="uk-UA" w:eastAsia="uk-UA" w:bidi="uk-UA"/>
        </w:rPr>
        <w:t>К</w:t>
      </w:r>
      <w:r w:rsidRPr="00B1119F">
        <w:rPr>
          <w:rFonts w:ascii="Arial Unicode MS" w:eastAsia="Arial Unicode MS" w:hAnsi="Arial Unicode MS" w:cs="Arial Unicode MS"/>
          <w:color w:val="000000"/>
          <w:kern w:val="0"/>
          <w:sz w:val="24"/>
          <w:szCs w:val="24"/>
          <w:vertAlign w:val="subscript"/>
          <w:lang w:val="uk-UA" w:eastAsia="uk-UA" w:bidi="uk-UA"/>
        </w:rPr>
        <w:t>дсп</w:t>
      </w:r>
      <w:r w:rsidRPr="00B1119F">
        <w:rPr>
          <w:rFonts w:ascii="Arial Unicode MS" w:eastAsia="Arial Unicode MS" w:hAnsi="Arial Unicode MS" w:cs="Arial Unicode MS"/>
          <w:color w:val="000000"/>
          <w:kern w:val="0"/>
          <w:sz w:val="24"/>
          <w:szCs w:val="24"/>
          <w:lang w:val="uk-UA" w:eastAsia="uk-UA" w:bidi="uk-UA"/>
        </w:rPr>
        <w:t>); 4) частка страхових резервів, яка спрямовується на страхові виплати (</w:t>
      </w:r>
      <w:r w:rsidRPr="00B1119F">
        <w:rPr>
          <w:rFonts w:ascii="Times New Roman" w:eastAsia="Cambria" w:hAnsi="Times New Roman" w:cs="Times New Roman"/>
          <w:color w:val="000000"/>
          <w:kern w:val="0"/>
          <w:sz w:val="24"/>
          <w:szCs w:val="24"/>
          <w:lang w:val="uk-UA" w:eastAsia="uk-UA" w:bidi="uk-UA"/>
        </w:rPr>
        <w:t>К</w:t>
      </w:r>
      <w:r w:rsidRPr="00B1119F">
        <w:rPr>
          <w:rFonts w:ascii="Arial Unicode MS" w:eastAsia="Arial Unicode MS" w:hAnsi="Arial Unicode MS" w:cs="Arial Unicode MS"/>
          <w:color w:val="000000"/>
          <w:kern w:val="0"/>
          <w:sz w:val="24"/>
          <w:szCs w:val="24"/>
          <w:vertAlign w:val="subscript"/>
          <w:lang w:val="uk-UA" w:eastAsia="uk-UA" w:bidi="uk-UA"/>
        </w:rPr>
        <w:t>чсв</w:t>
      </w:r>
      <w:r w:rsidRPr="00B1119F">
        <w:rPr>
          <w:rFonts w:ascii="Arial Unicode MS" w:eastAsia="Arial Unicode MS" w:hAnsi="Arial Unicode MS" w:cs="Arial Unicode MS"/>
          <w:color w:val="000000"/>
          <w:kern w:val="0"/>
          <w:sz w:val="24"/>
          <w:szCs w:val="24"/>
          <w:lang w:val="uk-UA" w:eastAsia="uk-UA" w:bidi="uk-UA"/>
        </w:rPr>
        <w:t>); 5) частка страхових резервів у загальному обсязі коштів страхової компанії (</w:t>
      </w:r>
      <w:r w:rsidRPr="00B1119F">
        <w:rPr>
          <w:rFonts w:ascii="Times New Roman" w:eastAsia="Cambria" w:hAnsi="Times New Roman" w:cs="Times New Roman"/>
          <w:color w:val="000000"/>
          <w:kern w:val="0"/>
          <w:sz w:val="24"/>
          <w:szCs w:val="24"/>
          <w:lang w:val="uk-UA" w:eastAsia="uk-UA" w:bidi="uk-UA"/>
        </w:rPr>
        <w:t>К</w:t>
      </w:r>
      <w:r w:rsidRPr="00B1119F">
        <w:rPr>
          <w:rFonts w:ascii="Arial Unicode MS" w:eastAsia="Arial Unicode MS" w:hAnsi="Arial Unicode MS" w:cs="Arial Unicode MS"/>
          <w:color w:val="000000"/>
          <w:kern w:val="0"/>
          <w:sz w:val="24"/>
          <w:szCs w:val="24"/>
          <w:vertAlign w:val="subscript"/>
          <w:lang w:val="uk-UA" w:eastAsia="uk-UA" w:bidi="uk-UA"/>
        </w:rPr>
        <w:t>чср</w:t>
      </w:r>
      <w:r w:rsidRPr="00B1119F">
        <w:rPr>
          <w:rFonts w:ascii="Arial Unicode MS" w:eastAsia="Arial Unicode MS" w:hAnsi="Arial Unicode MS" w:cs="Arial Unicode MS"/>
          <w:color w:val="000000"/>
          <w:kern w:val="0"/>
          <w:sz w:val="24"/>
          <w:szCs w:val="24"/>
          <w:lang w:val="uk-UA" w:eastAsia="uk-UA" w:bidi="uk-UA"/>
        </w:rPr>
        <w:t>):</w:t>
      </w:r>
    </w:p>
    <w:p w:rsidR="00B1119F" w:rsidRPr="00B1119F" w:rsidRDefault="00B1119F" w:rsidP="00B1119F">
      <w:pPr>
        <w:tabs>
          <w:tab w:val="clear" w:pos="709"/>
        </w:tabs>
        <w:suppressAutoHyphens w:val="0"/>
        <w:spacing w:after="0" w:line="280" w:lineRule="exact"/>
        <w:ind w:left="6000" w:firstLine="0"/>
        <w:jc w:val="left"/>
        <w:rPr>
          <w:rFonts w:ascii="Consolas" w:eastAsia="Consolas" w:hAnsi="Consolas" w:cs="Consolas"/>
          <w:i/>
          <w:iCs/>
          <w:kern w:val="0"/>
          <w:sz w:val="28"/>
          <w:szCs w:val="28"/>
          <w:lang w:val="uk-UA" w:eastAsia="uk-UA" w:bidi="uk-UA"/>
        </w:rPr>
      </w:pPr>
      <w:r w:rsidRPr="00B1119F">
        <w:rPr>
          <w:rFonts w:ascii="Consolas" w:eastAsia="Consolas" w:hAnsi="Consolas" w:cs="Consolas"/>
          <w:i/>
          <w:iCs/>
          <w:kern w:val="0"/>
          <w:sz w:val="28"/>
          <w:szCs w:val="28"/>
          <w:lang w:val="uk-UA" w:eastAsia="uk-UA" w:bidi="uk-UA"/>
        </w:rPr>
        <w:pict>
          <v:shape id="_x0000_s1165" type="#_x0000_t202" style="position:absolute;left:0;text-align:left;margin-left:-2.15pt;margin-top:-14.1pt;width:517.9pt;height:323.75pt;z-index:-251655168;mso-wrap-distance-left:5pt;mso-wrap-distance-right:5pt;mso-wrap-distance-bottom:19.7pt;mso-position-horizontal-relative:margin" filled="f" stroked="f">
            <v:textbox style="mso-fit-shape-to-text:t" inset="0,0,0,0">
              <w:txbxContent>
                <w:p w:rsidR="00B1119F" w:rsidRDefault="00B1119F" w:rsidP="00B1119F">
                  <w:pPr>
                    <w:pStyle w:val="9c"/>
                    <w:shd w:val="clear" w:color="auto" w:fill="auto"/>
                    <w:spacing w:after="0" w:line="280" w:lineRule="exact"/>
                    <w:ind w:left="2600"/>
                  </w:pPr>
                  <w:r>
                    <w:rPr>
                      <w:lang w:eastAsia="ru-RU" w:bidi="ru-RU"/>
                    </w:rPr>
                    <w:t>К</w:t>
                  </w:r>
                  <w:r>
                    <w:rPr>
                      <w:color w:val="000000"/>
                      <w:lang w:eastAsia="ru-RU" w:bidi="ru-RU"/>
                    </w:rPr>
                    <w:t xml:space="preserve"> </w:t>
                  </w:r>
                  <w:r>
                    <w:rPr>
                      <w:color w:val="000000"/>
                      <w:lang w:val="uk-UA" w:eastAsia="uk-UA" w:bidi="uk-UA"/>
                    </w:rPr>
                    <w:t xml:space="preserve">СР </w:t>
                  </w:r>
                  <w:r>
                    <w:rPr>
                      <w:color w:val="000000"/>
                      <w:lang w:eastAsia="ru-RU" w:bidi="ru-RU"/>
                    </w:rPr>
                    <w:t xml:space="preserve">СП </w:t>
                  </w:r>
                  <w:r>
                    <w:rPr>
                      <w:color w:val="000000"/>
                      <w:lang w:val="uk-UA" w:eastAsia="uk-UA" w:bidi="uk-UA"/>
                    </w:rPr>
                    <w:t>СВ СР</w:t>
                  </w:r>
                </w:p>
                <w:p w:rsidR="00B1119F" w:rsidRDefault="00B1119F" w:rsidP="00B1119F">
                  <w:pPr>
                    <w:pStyle w:val="9c"/>
                    <w:shd w:val="clear" w:color="auto" w:fill="auto"/>
                    <w:spacing w:after="0" w:line="280" w:lineRule="exact"/>
                    <w:ind w:left="5080"/>
                  </w:pPr>
                  <w:r>
                    <w:t>=</w:t>
                  </w:r>
                  <w:r w:rsidRPr="00B1119F">
                    <w:rPr>
                      <w:color w:val="000000"/>
                      <w:lang w:eastAsia="en-US" w:bidi="en-US"/>
                    </w:rPr>
                    <w:t xml:space="preserve"> </w:t>
                  </w:r>
                  <w:r>
                    <w:rPr>
                      <w:color w:val="000000"/>
                      <w:vertAlign w:val="subscript"/>
                      <w:lang w:val="uk-UA" w:eastAsia="uk-UA" w:bidi="uk-UA"/>
                    </w:rPr>
                    <w:t>К К К</w:t>
                  </w:r>
                </w:p>
                <w:p w:rsidR="00B1119F" w:rsidRDefault="00B1119F" w:rsidP="00B1119F">
                  <w:pPr>
                    <w:pStyle w:val="108"/>
                    <w:shd w:val="clear" w:color="auto" w:fill="auto"/>
                    <w:spacing w:after="30" w:line="150" w:lineRule="exact"/>
                    <w:ind w:left="6140"/>
                  </w:pPr>
                  <w:r>
                    <w:rPr>
                      <w:color w:val="000000"/>
                      <w:spacing w:val="0"/>
                      <w:w w:val="100"/>
                      <w:vertAlign w:val="superscript"/>
                    </w:rPr>
                    <w:t></w:t>
                  </w:r>
                  <w:r>
                    <w:rPr>
                      <w:color w:val="000000"/>
                      <w:spacing w:val="0"/>
                      <w:w w:val="100"/>
                      <w:lang w:val="uk-UA" w:eastAsia="uk-UA" w:bidi="uk-UA"/>
                    </w:rPr>
                    <w:t></w:t>
                  </w:r>
                  <w:r>
                    <w:rPr>
                      <w:color w:val="000000"/>
                      <w:spacing w:val="0"/>
                      <w:w w:val="100"/>
                      <w:lang w:val="uk-UA" w:eastAsia="uk-UA" w:bidi="uk-UA"/>
                    </w:rPr>
                    <w:t></w:t>
                  </w:r>
                  <w:r>
                    <w:rPr>
                      <w:color w:val="000000"/>
                      <w:spacing w:val="0"/>
                      <w:w w:val="100"/>
                      <w:lang w:val="uk-UA" w:eastAsia="uk-UA" w:bidi="uk-UA"/>
                    </w:rPr>
                    <w:t></w:t>
                  </w:r>
                  <w:r>
                    <w:rPr>
                      <w:color w:val="000000"/>
                      <w:spacing w:val="0"/>
                      <w:w w:val="100"/>
                      <w:lang w:val="uk-UA" w:eastAsia="uk-UA" w:bidi="uk-UA"/>
                    </w:rPr>
                    <w:t></w:t>
                  </w:r>
                  <w:r>
                    <w:rPr>
                      <w:color w:val="000000"/>
                      <w:spacing w:val="0"/>
                      <w:w w:val="100"/>
                      <w:vertAlign w:val="superscript"/>
                      <w:lang w:val="uk-UA" w:eastAsia="uk-UA" w:bidi="uk-UA"/>
                    </w:rPr>
                    <w:t></w:t>
                  </w:r>
                  <w:r>
                    <w:rPr>
                      <w:color w:val="000000"/>
                      <w:spacing w:val="0"/>
                      <w:w w:val="100"/>
                      <w:lang w:val="uk-UA" w:eastAsia="uk-UA" w:bidi="uk-UA"/>
                    </w:rPr>
                    <w:t></w:t>
                  </w:r>
                  <w:r>
                    <w:rPr>
                      <w:color w:val="000000"/>
                      <w:spacing w:val="0"/>
                      <w:w w:val="100"/>
                      <w:lang w:val="uk-UA" w:eastAsia="uk-UA" w:bidi="uk-UA"/>
                    </w:rPr>
                    <w:t></w:t>
                  </w:r>
                  <w:r>
                    <w:rPr>
                      <w:color w:val="000000"/>
                      <w:spacing w:val="0"/>
                      <w:w w:val="100"/>
                      <w:lang w:val="uk-UA" w:eastAsia="uk-UA" w:bidi="uk-UA"/>
                    </w:rPr>
                    <w:t></w:t>
                  </w:r>
                  <w:r>
                    <w:rPr>
                      <w:color w:val="000000"/>
                      <w:spacing w:val="0"/>
                      <w:w w:val="100"/>
                      <w:lang w:val="uk-UA" w:eastAsia="uk-UA" w:bidi="uk-UA"/>
                    </w:rPr>
                    <w:t></w:t>
                  </w:r>
                  <w:r>
                    <w:rPr>
                      <w:color w:val="000000"/>
                      <w:spacing w:val="0"/>
                      <w:w w:val="100"/>
                      <w:lang w:val="uk-UA" w:eastAsia="uk-UA" w:bidi="uk-UA"/>
                    </w:rPr>
                    <w:t></w:t>
                  </w:r>
                  <w:r>
                    <w:rPr>
                      <w:color w:val="000000"/>
                      <w:spacing w:val="0"/>
                      <w:w w:val="100"/>
                      <w:vertAlign w:val="superscript"/>
                    </w:rPr>
                    <w:t></w:t>
                  </w:r>
                  <w:r>
                    <w:rPr>
                      <w:color w:val="000000"/>
                      <w:spacing w:val="0"/>
                      <w:w w:val="100"/>
                      <w:vertAlign w:val="superscript"/>
                    </w:rPr>
                    <w:t></w:t>
                  </w:r>
                  <w:r>
                    <w:rPr>
                      <w:color w:val="000000"/>
                      <w:spacing w:val="0"/>
                      <w:w w:val="100"/>
                    </w:rPr>
                    <w:t></w:t>
                  </w:r>
                  <w:r>
                    <w:rPr>
                      <w:color w:val="000000"/>
                      <w:spacing w:val="0"/>
                      <w:w w:val="100"/>
                    </w:rPr>
                    <w:t></w:t>
                  </w:r>
                  <w:r>
                    <w:rPr>
                      <w:color w:val="000000"/>
                      <w:spacing w:val="0"/>
                      <w:w w:val="100"/>
                    </w:rPr>
                    <w:t></w:t>
                  </w:r>
                  <w:r>
                    <w:rPr>
                      <w:color w:val="000000"/>
                      <w:spacing w:val="0"/>
                      <w:w w:val="100"/>
                    </w:rPr>
                    <w:t></w:t>
                  </w:r>
                  <w:r>
                    <w:rPr>
                      <w:color w:val="000000"/>
                      <w:spacing w:val="0"/>
                      <w:w w:val="100"/>
                      <w:vertAlign w:val="superscript"/>
                    </w:rPr>
                    <w:t></w:t>
                  </w:r>
                  <w:r>
                    <w:rPr>
                      <w:color w:val="000000"/>
                      <w:spacing w:val="0"/>
                      <w:w w:val="100"/>
                      <w:vertAlign w:val="superscript"/>
                    </w:rPr>
                    <w:t></w:t>
                  </w:r>
                  <w:r>
                    <w:rPr>
                      <w:color w:val="000000"/>
                      <w:spacing w:val="0"/>
                      <w:w w:val="100"/>
                    </w:rPr>
                    <w:t></w:t>
                  </w:r>
                  <w:r>
                    <w:rPr>
                      <w:color w:val="000000"/>
                      <w:spacing w:val="0"/>
                      <w:w w:val="100"/>
                    </w:rPr>
                    <w:t></w:t>
                  </w:r>
                  <w:r>
                    <w:rPr>
                      <w:color w:val="000000"/>
                      <w:spacing w:val="0"/>
                      <w:w w:val="100"/>
                    </w:rPr>
                    <w:t></w:t>
                  </w:r>
                  <w:r>
                    <w:rPr>
                      <w:color w:val="000000"/>
                      <w:spacing w:val="0"/>
                      <w:w w:val="100"/>
                    </w:rPr>
                    <w:t></w:t>
                  </w:r>
                </w:p>
                <w:p w:rsidR="00B1119F" w:rsidRDefault="00B1119F" w:rsidP="00B1119F">
                  <w:pPr>
                    <w:spacing w:after="0" w:line="322" w:lineRule="exact"/>
                    <w:ind w:firstLine="800"/>
                  </w:pPr>
                  <w:r>
                    <w:rPr>
                      <w:rStyle w:val="2Exact"/>
                    </w:rPr>
                    <w:t></w:t>
                  </w:r>
                  <w:r>
                    <w:rPr>
                      <w:rStyle w:val="2Exact"/>
                    </w:rPr>
                    <w:t></w:t>
                  </w:r>
                  <w:r>
                    <w:rPr>
                      <w:rStyle w:val="2Exact"/>
                    </w:rPr>
                    <w:t></w:t>
                  </w:r>
                  <w:r>
                    <w:rPr>
                      <w:rStyle w:val="2Exact"/>
                    </w:rPr>
                    <w:t></w:t>
                  </w:r>
                  <w:r>
                    <w:rPr>
                      <w:lang w:eastAsia="ru-RU" w:bidi="ru-RU"/>
                    </w:rPr>
                    <w:t></w:t>
                  </w:r>
                  <w:r>
                    <w:rPr>
                      <w:rStyle w:val="2Exact"/>
                      <w:lang w:eastAsia="ru-RU" w:bidi="ru-RU"/>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t></w:t>
                  </w:r>
                  <w: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B1119F" w:rsidRDefault="00B1119F" w:rsidP="00B1119F">
                  <w:pPr>
                    <w:spacing w:after="0" w:line="322" w:lineRule="exact"/>
                    <w:ind w:firstLine="80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lang w:eastAsia="ru-RU" w:bidi="ru-RU"/>
                    </w:rPr>
                    <w:t></w:t>
                  </w:r>
                  <w:r>
                    <w:rPr>
                      <w:rStyle w:val="2Exact"/>
                      <w:lang w:eastAsia="ru-RU" w:bidi="ru-RU"/>
                    </w:rPr>
                    <w:t></w:t>
                  </w:r>
                  <w:r>
                    <w:rPr>
                      <w:rStyle w:val="2Exact"/>
                      <w:lang w:eastAsia="ru-RU" w:bidi="ru-RU"/>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B1119F" w:rsidRDefault="00B1119F" w:rsidP="00B1119F">
                  <w:pPr>
                    <w:spacing w:after="0" w:line="322" w:lineRule="exact"/>
                    <w:ind w:firstLine="80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B1119F" w:rsidRDefault="00B1119F" w:rsidP="00B1119F">
                  <w:pPr>
                    <w:spacing w:after="0" w:line="322" w:lineRule="exact"/>
                    <w:ind w:firstLine="80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square" anchorx="margin"/>
          </v:shape>
        </w:pict>
      </w:r>
      <w:r w:rsidRPr="00B1119F">
        <w:rPr>
          <w:rFonts w:ascii="Cambria" w:eastAsia="Consolas" w:hAnsi="Cambria" w:cs="Cambria"/>
          <w:color w:val="000000"/>
          <w:kern w:val="0"/>
          <w:sz w:val="26"/>
          <w:szCs w:val="26"/>
          <w:shd w:val="clear" w:color="auto" w:fill="FFFFFF"/>
          <w:lang w:val="uk-UA" w:eastAsia="uk-UA" w:bidi="uk-UA"/>
        </w:rPr>
        <w:t>К</w:t>
      </w:r>
      <w:r w:rsidRPr="00B1119F">
        <w:rPr>
          <w:rFonts w:ascii="Times New Roman" w:eastAsia="Consolas" w:hAnsi="Times New Roman" w:cs="Times New Roman"/>
          <w:b/>
          <w:bCs/>
          <w:color w:val="000000"/>
          <w:kern w:val="0"/>
          <w:sz w:val="28"/>
          <w:shd w:val="clear" w:color="auto" w:fill="FFFFFF"/>
          <w:lang w:val="uk-UA" w:eastAsia="uk-UA" w:bidi="uk-UA"/>
        </w:rPr>
        <w:t xml:space="preserve">„™ </w:t>
      </w:r>
      <w:r w:rsidRPr="00B1119F">
        <w:rPr>
          <w:rFonts w:ascii="Cambria" w:eastAsia="Consolas" w:hAnsi="Cambria" w:cs="Cambria"/>
          <w:color w:val="000000"/>
          <w:kern w:val="0"/>
          <w:sz w:val="26"/>
          <w:szCs w:val="26"/>
          <w:shd w:val="clear" w:color="auto" w:fill="FFFFFF"/>
          <w:lang w:val="uk-UA" w:eastAsia="uk-UA" w:bidi="uk-UA"/>
        </w:rPr>
        <w:t>• К</w:t>
      </w:r>
      <w:r w:rsidRPr="00B1119F">
        <w:rPr>
          <w:rFonts w:ascii="Times New Roman" w:eastAsia="Consolas" w:hAnsi="Times New Roman" w:cs="Times New Roman"/>
          <w:b/>
          <w:bCs/>
          <w:color w:val="000000"/>
          <w:kern w:val="0"/>
          <w:sz w:val="28"/>
          <w:shd w:val="clear" w:color="auto" w:fill="FFFFFF"/>
          <w:lang w:val="uk-UA" w:eastAsia="uk-UA" w:bidi="uk-UA"/>
        </w:rPr>
        <w:t>„„</w:t>
      </w:r>
      <w:r w:rsidRPr="00B1119F">
        <w:rPr>
          <w:rFonts w:ascii="Times New Roman" w:eastAsia="Consolas" w:hAnsi="Times New Roman" w:cs="Times New Roman"/>
          <w:b/>
          <w:bCs/>
          <w:color w:val="000000"/>
          <w:kern w:val="0"/>
          <w:sz w:val="28"/>
          <w:shd w:val="clear" w:color="auto" w:fill="FFFFFF"/>
          <w:vertAlign w:val="subscript"/>
          <w:lang w:val="uk-UA" w:eastAsia="uk-UA" w:bidi="uk-UA"/>
        </w:rPr>
        <w:t>п</w:t>
      </w:r>
      <w:r w:rsidRPr="00B1119F">
        <w:rPr>
          <w:rFonts w:ascii="Times New Roman" w:eastAsia="Consolas" w:hAnsi="Times New Roman" w:cs="Times New Roman"/>
          <w:b/>
          <w:bCs/>
          <w:color w:val="000000"/>
          <w:kern w:val="0"/>
          <w:sz w:val="28"/>
          <w:shd w:val="clear" w:color="auto" w:fill="FFFFFF"/>
          <w:lang w:val="uk-UA" w:eastAsia="uk-UA" w:bidi="uk-UA"/>
        </w:rPr>
        <w:t xml:space="preserve"> </w:t>
      </w:r>
      <w:r w:rsidRPr="00B1119F">
        <w:rPr>
          <w:rFonts w:ascii="Cambria" w:eastAsia="Consolas" w:hAnsi="Cambria" w:cs="Cambria"/>
          <w:color w:val="000000"/>
          <w:kern w:val="0"/>
          <w:sz w:val="26"/>
          <w:szCs w:val="26"/>
          <w:shd w:val="clear" w:color="auto" w:fill="FFFFFF"/>
          <w:lang w:val="uk-UA" w:eastAsia="uk-UA" w:bidi="uk-UA"/>
        </w:rPr>
        <w:t xml:space="preserve">• </w:t>
      </w:r>
      <w:r w:rsidRPr="00B1119F">
        <w:rPr>
          <w:rFonts w:ascii="Consolas" w:eastAsia="Consolas" w:hAnsi="Consolas" w:cs="Consolas"/>
          <w:i/>
          <w:iCs/>
          <w:color w:val="000000"/>
          <w:kern w:val="0"/>
          <w:sz w:val="28"/>
          <w:szCs w:val="28"/>
          <w:lang w:val="uk-UA" w:eastAsia="uk-UA" w:bidi="uk-UA"/>
        </w:rPr>
        <w:t>К</w:t>
      </w:r>
      <w:r w:rsidRPr="00B1119F">
        <w:rPr>
          <w:rFonts w:ascii="Consolas" w:eastAsia="Consolas" w:hAnsi="Consolas" w:cs="Consolas"/>
          <w:i/>
          <w:iCs/>
          <w:color w:val="000000"/>
          <w:kern w:val="0"/>
          <w:sz w:val="28"/>
          <w:szCs w:val="28"/>
          <w:vertAlign w:val="subscript"/>
          <w:lang w:val="uk-UA" w:eastAsia="uk-UA" w:bidi="uk-UA"/>
        </w:rPr>
        <w:t>ип</w:t>
      </w:r>
      <w:r w:rsidRPr="00B1119F">
        <w:rPr>
          <w:rFonts w:ascii="Consolas" w:eastAsia="Consolas" w:hAnsi="Consolas" w:cs="Consolas"/>
          <w:i/>
          <w:iCs/>
          <w:color w:val="000000"/>
          <w:kern w:val="0"/>
          <w:sz w:val="28"/>
          <w:szCs w:val="28"/>
          <w:lang w:val="uk-UA" w:eastAsia="uk-UA" w:bidi="uk-UA"/>
        </w:rPr>
        <w:t xml:space="preserve"> • </w:t>
      </w:r>
      <w:r w:rsidRPr="00B1119F">
        <w:rPr>
          <w:rFonts w:ascii="Consolas" w:eastAsia="Consolas" w:hAnsi="Consolas" w:cs="Consolas"/>
          <w:i/>
          <w:iCs/>
          <w:color w:val="000000"/>
          <w:kern w:val="0"/>
          <w:sz w:val="28"/>
          <w:szCs w:val="28"/>
          <w:lang w:val="uk-UA" w:eastAsia="ru-RU" w:bidi="ru-RU"/>
        </w:rPr>
        <w:t>К</w:t>
      </w:r>
      <w:r w:rsidRPr="00B1119F">
        <w:rPr>
          <w:rFonts w:ascii="Consolas" w:eastAsia="Consolas" w:hAnsi="Consolas" w:cs="Consolas"/>
          <w:i/>
          <w:iCs/>
          <w:kern w:val="0"/>
          <w:sz w:val="28"/>
          <w:szCs w:val="28"/>
          <w:lang w:val="uk-UA" w:eastAsia="uk-UA" w:bidi="uk-UA"/>
        </w:rPr>
        <w:br w:type="page"/>
      </w:r>
    </w:p>
    <w:p w:rsidR="00B1119F" w:rsidRPr="00B1119F" w:rsidRDefault="00B1119F" w:rsidP="00B1119F">
      <w:pPr>
        <w:tabs>
          <w:tab w:val="clear" w:pos="709"/>
        </w:tabs>
        <w:suppressAutoHyphens w:val="0"/>
        <w:spacing w:after="0" w:line="322" w:lineRule="exact"/>
        <w:ind w:firstLine="0"/>
        <w:rPr>
          <w:rFonts w:ascii="Times New Roman" w:eastAsia="Times New Roman" w:hAnsi="Times New Roman" w:cs="Times New Roman"/>
          <w:kern w:val="0"/>
          <w:sz w:val="26"/>
          <w:szCs w:val="26"/>
          <w:lang w:val="uk-UA" w:eastAsia="uk-UA" w:bidi="uk-UA"/>
        </w:rPr>
      </w:pPr>
      <w:r w:rsidRPr="00B1119F">
        <w:rPr>
          <w:rFonts w:ascii="Times New Roman" w:eastAsia="Times New Roman" w:hAnsi="Times New Roman" w:cs="Times New Roman"/>
          <w:color w:val="000000"/>
          <w:kern w:val="0"/>
          <w:sz w:val="26"/>
          <w:szCs w:val="26"/>
          <w:lang w:val="uk-UA" w:eastAsia="uk-UA" w:bidi="uk-UA"/>
        </w:rPr>
        <w:t>підтримки, розробки страхових продуктів, мотивування клієнтів та персоналу, організаційної взаємодії; регулярну оцінку ефективності діяльності у сфері комплексних продажів страхових продуктів, в основу якої, з одного боку, повинні бути покладені фінансові показники, а з іншого - репрезентативні дані соціологічних досліджень клієнтів; проведення коригування діяльності страховика в разі виявлення відхилень від планових показників.</w:t>
      </w:r>
    </w:p>
    <w:p w:rsidR="00B1119F" w:rsidRPr="00B1119F" w:rsidRDefault="00B1119F" w:rsidP="00B1119F">
      <w:pPr>
        <w:tabs>
          <w:tab w:val="clear" w:pos="709"/>
        </w:tabs>
        <w:suppressAutoHyphens w:val="0"/>
        <w:spacing w:after="0" w:line="322" w:lineRule="exact"/>
        <w:ind w:firstLine="740"/>
        <w:rPr>
          <w:rFonts w:ascii="Times New Roman" w:eastAsia="Times New Roman" w:hAnsi="Times New Roman" w:cs="Times New Roman"/>
          <w:kern w:val="0"/>
          <w:sz w:val="26"/>
          <w:szCs w:val="26"/>
          <w:lang w:val="uk-UA" w:eastAsia="uk-UA" w:bidi="uk-UA"/>
        </w:rPr>
      </w:pPr>
      <w:r w:rsidRPr="00B1119F">
        <w:rPr>
          <w:rFonts w:ascii="Times New Roman" w:eastAsia="Times New Roman" w:hAnsi="Times New Roman" w:cs="Times New Roman"/>
          <w:color w:val="000000"/>
          <w:kern w:val="0"/>
          <w:sz w:val="26"/>
          <w:szCs w:val="26"/>
          <w:lang w:val="uk-UA" w:eastAsia="uk-UA" w:bidi="uk-UA"/>
        </w:rPr>
        <w:t>Основою організації комплексних продажів страхових продуктів є профіль клієнта, що інтегрує такі характеристики: рівень доходів, соціально-демографічні показники (вік, професія, попередній досвід співпраці зі страховиками), персональні мотиви, які спонукають клієнта до придбання страхового продукту, вимоги клієнта до післяпродажного обслуговування.</w:t>
      </w:r>
    </w:p>
    <w:p w:rsidR="00B1119F" w:rsidRPr="00B1119F" w:rsidRDefault="00B1119F" w:rsidP="00B1119F">
      <w:pPr>
        <w:tabs>
          <w:tab w:val="clear" w:pos="709"/>
        </w:tabs>
        <w:suppressAutoHyphens w:val="0"/>
        <w:spacing w:after="0" w:line="322" w:lineRule="exact"/>
        <w:ind w:firstLine="740"/>
        <w:rPr>
          <w:rFonts w:ascii="Times New Roman" w:eastAsia="Times New Roman" w:hAnsi="Times New Roman" w:cs="Times New Roman"/>
          <w:kern w:val="0"/>
          <w:sz w:val="26"/>
          <w:szCs w:val="26"/>
          <w:lang w:val="uk-UA" w:eastAsia="uk-UA" w:bidi="uk-UA"/>
        </w:rPr>
      </w:pPr>
      <w:r w:rsidRPr="00B1119F">
        <w:rPr>
          <w:rFonts w:ascii="Times New Roman" w:eastAsia="Times New Roman" w:hAnsi="Times New Roman" w:cs="Times New Roman"/>
          <w:color w:val="000000"/>
          <w:kern w:val="0"/>
          <w:sz w:val="26"/>
          <w:szCs w:val="26"/>
          <w:lang w:val="uk-UA" w:eastAsia="uk-UA" w:bidi="uk-UA"/>
        </w:rPr>
        <w:t>Принципами організації комплексного продажу страхових продуктів є: повнота акумуляції даних; зіставність якості страхових продуктів; мотивування продажів; диференціація розміру винагороди; сегрегація страхових продуктів; запровадження системи знижок; забезпечення індивідуалізованого підходу до клієнтів; активний маркетинг страхових продуктів і технологій обслуговування.</w:t>
      </w:r>
    </w:p>
    <w:p w:rsidR="00B1119F" w:rsidRPr="00B1119F" w:rsidRDefault="00B1119F" w:rsidP="00B1119F">
      <w:pPr>
        <w:tabs>
          <w:tab w:val="clear" w:pos="709"/>
        </w:tabs>
        <w:suppressAutoHyphens w:val="0"/>
        <w:spacing w:after="0" w:line="322" w:lineRule="exact"/>
        <w:ind w:firstLine="740"/>
        <w:rPr>
          <w:rFonts w:ascii="Times New Roman" w:eastAsia="Times New Roman" w:hAnsi="Times New Roman" w:cs="Times New Roman"/>
          <w:kern w:val="0"/>
          <w:sz w:val="26"/>
          <w:szCs w:val="26"/>
          <w:lang w:val="uk-UA" w:eastAsia="uk-UA" w:bidi="uk-UA"/>
        </w:rPr>
      </w:pPr>
      <w:r w:rsidRPr="00B1119F">
        <w:rPr>
          <w:rFonts w:ascii="Times New Roman" w:eastAsia="Times New Roman" w:hAnsi="Times New Roman" w:cs="Times New Roman"/>
          <w:color w:val="000000"/>
          <w:kern w:val="0"/>
          <w:sz w:val="26"/>
          <w:szCs w:val="26"/>
          <w:lang w:val="uk-UA" w:eastAsia="uk-UA" w:bidi="uk-UA"/>
        </w:rPr>
        <w:t>Організація комплексних продажів повинна забезпечувати вибір оптимального поєднання страхових продуктів, клієнтської групи, каналу продажу та системи мотивації.</w:t>
      </w:r>
    </w:p>
    <w:p w:rsidR="00B1119F" w:rsidRPr="00B1119F" w:rsidRDefault="00B1119F" w:rsidP="00B1119F">
      <w:pPr>
        <w:tabs>
          <w:tab w:val="clear" w:pos="709"/>
        </w:tabs>
        <w:suppressAutoHyphens w:val="0"/>
        <w:spacing w:after="0" w:line="322" w:lineRule="exact"/>
        <w:ind w:firstLine="740"/>
        <w:rPr>
          <w:rFonts w:ascii="Times New Roman" w:eastAsia="Times New Roman" w:hAnsi="Times New Roman" w:cs="Times New Roman"/>
          <w:kern w:val="0"/>
          <w:sz w:val="26"/>
          <w:szCs w:val="26"/>
          <w:lang w:val="uk-UA" w:eastAsia="uk-UA" w:bidi="uk-UA"/>
        </w:rPr>
      </w:pPr>
      <w:r w:rsidRPr="00B1119F">
        <w:rPr>
          <w:rFonts w:ascii="Times New Roman" w:eastAsia="Times New Roman" w:hAnsi="Times New Roman" w:cs="Times New Roman"/>
          <w:kern w:val="0"/>
          <w:sz w:val="26"/>
          <w:szCs w:val="26"/>
          <w:lang w:val="uk-UA" w:eastAsia="uk-UA" w:bidi="uk-UA"/>
        </w:rPr>
        <w:pict>
          <v:shape id="_x0000_s1166" type="#_x0000_t202" style="position:absolute;left:0;text-align:left;margin-left:66.15pt;margin-top:366.65pt;width:416.4pt;height:32.25pt;z-index:-251654144;mso-wrap-distance-left:5pt;mso-wrap-distance-right:13.2pt;mso-wrap-distance-bottom:20pt;mso-position-horizontal-relative:margin" filled="f" stroked="f">
            <v:textbox style="mso-fit-shape-to-text:t" inset="0,0,0,0">
              <w:txbxContent>
                <w:p w:rsidR="00B1119F" w:rsidRDefault="00B1119F" w:rsidP="00B1119F">
                  <w:pPr>
                    <w:pStyle w:val="affffffffffffffffff2"/>
                    <w:shd w:val="clear" w:color="auto" w:fill="auto"/>
                    <w:spacing w:after="0" w:line="260" w:lineRule="exact"/>
                  </w:pP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p>
                <w:p w:rsidR="00B1119F" w:rsidRDefault="00B1119F" w:rsidP="00B1119F">
                  <w:pPr>
                    <w:pStyle w:val="affffffffffffffffff2"/>
                    <w:shd w:val="clear" w:color="auto" w:fill="auto"/>
                    <w:spacing w:after="0" w:line="260" w:lineRule="exact"/>
                    <w:ind w:left="2880"/>
                  </w:pP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p>
              </w:txbxContent>
            </v:textbox>
            <w10:wrap type="topAndBottom" anchorx="margin"/>
          </v:shape>
        </w:pict>
      </w:r>
      <w:r w:rsidRPr="00B1119F">
        <w:rPr>
          <w:rFonts w:ascii="Times New Roman" w:eastAsia="Times New Roman" w:hAnsi="Times New Roman" w:cs="Times New Roman"/>
          <w:kern w:val="0"/>
          <w:sz w:val="26"/>
          <w:szCs w:val="26"/>
          <w:lang w:val="uk-UA" w:eastAsia="uk-UA" w:bidi="uk-UA"/>
        </w:rPr>
        <w:pict>
          <v:shape id="_x0000_s1167" type="#_x0000_t202" style="position:absolute;left:0;text-align:left;margin-left:36.35pt;margin-top:395.2pt;width:131.75pt;height:15.9pt;z-index:-251653120;mso-wrap-distance-left:5pt;mso-wrap-distance-right:13.2pt;mso-wrap-distance-bottom:20pt;mso-position-horizontal-relative:margin" filled="f" stroked="f">
            <v:textbox style="mso-fit-shape-to-text:t" inset="0,0,0,0">
              <w:txbxContent>
                <w:p w:rsidR="00B1119F" w:rsidRDefault="00B1119F" w:rsidP="00B1119F">
                  <w:pPr>
                    <w:pStyle w:val="affffffffffffffffff2"/>
                    <w:shd w:val="clear" w:color="auto" w:fill="auto"/>
                    <w:spacing w:after="0" w:line="260" w:lineRule="exact"/>
                  </w:pP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p>
              </w:txbxContent>
            </v:textbox>
            <w10:wrap type="topAndBottom" anchorx="margin"/>
          </v:shape>
        </w:pict>
      </w:r>
      <w:r>
        <w:rPr>
          <w:rFonts w:ascii="Times New Roman" w:eastAsia="Times New Roman" w:hAnsi="Times New Roman" w:cs="Times New Roman"/>
          <w:noProof/>
          <w:kern w:val="0"/>
          <w:sz w:val="26"/>
          <w:szCs w:val="26"/>
          <w:lang w:eastAsia="ru-RU"/>
        </w:rPr>
        <w:drawing>
          <wp:anchor distT="0" distB="254000" distL="63500" distR="167640" simplePos="0" relativeHeight="251664384" behindDoc="1" locked="0" layoutInCell="1" allowOverlap="1">
            <wp:simplePos x="0" y="0"/>
            <wp:positionH relativeFrom="margin">
              <wp:posOffset>56515</wp:posOffset>
            </wp:positionH>
            <wp:positionV relativeFrom="paragraph">
              <wp:posOffset>1395730</wp:posOffset>
            </wp:positionV>
            <wp:extent cx="6297295" cy="3242945"/>
            <wp:effectExtent l="19050" t="0" r="8255" b="0"/>
            <wp:wrapTopAndBottom/>
            <wp:docPr id="144" name="Рисунок 144" descr="C:\Users\Pavel\AppData\Local\Temp\Rar$DIa0.749\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Pavel\AppData\Local\Temp\Rar$DIa0.749\media\image2.png"/>
                    <pic:cNvPicPr>
                      <a:picLocks noChangeAspect="1" noChangeArrowheads="1"/>
                    </pic:cNvPicPr>
                  </pic:nvPicPr>
                  <pic:blipFill>
                    <a:blip r:embed="rId13" cstate="print"/>
                    <a:srcRect/>
                    <a:stretch>
                      <a:fillRect/>
                    </a:stretch>
                  </pic:blipFill>
                  <pic:spPr bwMode="auto">
                    <a:xfrm>
                      <a:off x="0" y="0"/>
                      <a:ext cx="6297295" cy="3242945"/>
                    </a:xfrm>
                    <a:prstGeom prst="rect">
                      <a:avLst/>
                    </a:prstGeom>
                    <a:noFill/>
                  </pic:spPr>
                </pic:pic>
              </a:graphicData>
            </a:graphic>
          </wp:anchor>
        </w:drawing>
      </w:r>
      <w:r w:rsidRPr="00B1119F">
        <w:rPr>
          <w:rFonts w:ascii="Times New Roman" w:eastAsia="Times New Roman" w:hAnsi="Times New Roman" w:cs="Times New Roman"/>
          <w:color w:val="000000"/>
          <w:kern w:val="0"/>
          <w:sz w:val="26"/>
          <w:szCs w:val="26"/>
          <w:lang w:val="uk-UA" w:eastAsia="uk-UA" w:bidi="uk-UA"/>
        </w:rPr>
        <w:t>Науково-методичний підхід до організації комплексного продажу в системі реалізації страхових продуктів передбачає розрахунок розміру індивідуального страхового тарифу для страхувальників із урахуванням трьох потенційних джерел економічно обґрунтованої знижки: антиселекції ризиків, дестимулювання страхового шахрайства та зниження витрат страхової компанії на залучення нових клієнтів. Такий підхід дозволяє забезпечити привабливість страхових продуктів для споживачів та їх комплексний продаж (рис. 2).</w:t>
      </w:r>
      <w:r w:rsidRPr="00B1119F">
        <w:rPr>
          <w:rFonts w:ascii="Times New Roman" w:eastAsia="Times New Roman" w:hAnsi="Times New Roman" w:cs="Times New Roman"/>
          <w:kern w:val="0"/>
          <w:sz w:val="26"/>
          <w:szCs w:val="26"/>
          <w:lang w:val="uk-UA" w:eastAsia="uk-UA" w:bidi="uk-UA"/>
        </w:rPr>
        <w:br w:type="page"/>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У третьому розділі </w:t>
      </w:r>
      <w:r w:rsidRPr="00B1119F">
        <w:rPr>
          <w:rFonts w:ascii="Times New Roman" w:eastAsia="Arial Unicode MS" w:hAnsi="Times New Roman" w:cs="Times New Roman"/>
          <w:b/>
          <w:bCs/>
          <w:color w:val="000000"/>
          <w:kern w:val="0"/>
          <w:sz w:val="26"/>
          <w:szCs w:val="26"/>
          <w:lang w:val="uk-UA" w:eastAsia="uk-UA" w:bidi="uk-UA"/>
        </w:rPr>
        <w:t xml:space="preserve">«Напрями удосконалення системи реалізації страхових продуктів» </w:t>
      </w:r>
      <w:r w:rsidRPr="00B1119F">
        <w:rPr>
          <w:rFonts w:ascii="Arial Unicode MS" w:eastAsia="Arial Unicode MS" w:hAnsi="Arial Unicode MS" w:cs="Arial Unicode MS"/>
          <w:color w:val="000000"/>
          <w:kern w:val="0"/>
          <w:sz w:val="24"/>
          <w:szCs w:val="24"/>
          <w:lang w:val="uk-UA" w:eastAsia="uk-UA" w:bidi="uk-UA"/>
        </w:rPr>
        <w:t>обґрунтовано основи формування клієнтоорієнтованого підхіду до реалізації страхових продуктів, розвинуто методичний підхід до оцінювання якості системи їх реалізації, запропоновано стимулювати реалізацію страхових продуктів за допомогою варіантизації франшизи.</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Однією з ключових передумов успішної реалізації страхових продуктів в умовах зростаючої конкуренції є клієнтоорієнтованість страхової компанії, що сприяє формуванню стійких перспективних довготривалих відносин із клієнтами, внаслідок підвищення їх лояльності до страховика.</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Ціна, якість та асортимент страхових продуктів є вирішальними факторами утримання клієнтів страхової компанії. Зниження ціни може бути досягнуто за рахунок: звуження страхового покриття; ліквідації додаткових послуг, що включені в страховий продукт; використання обслуговуючих підприємств, що належать страховику; агресивної інвестиційної політики; покриття втрат за збитковими договорами внаслідок нових продажів.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Якість страхового продукту залежить від повноти і своєчасності виконання страховиком своїх зобов'язань, тривалості врегулювання збитків, масштабу участі страхувальника у врегулюванні збитків, достовірності та об'єктивності експертизи з їх оцінювання. Для страхувальників важливими є зручність розташування і графік роботи страховика, ввічливість і коректність персоналу, швидкість обслуговування, простота оформлення страхового поліса та зрозумілість умов страхування.</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Удосконалення асортименту страхових продуктів доцільно виконувати у такій логічній послідовності: </w:t>
      </w:r>
      <w:r w:rsidRPr="00B1119F">
        <w:rPr>
          <w:rFonts w:ascii="Times New Roman" w:eastAsia="Arial Unicode MS" w:hAnsi="Times New Roman" w:cs="Times New Roman"/>
          <w:color w:val="000000"/>
          <w:spacing w:val="-10"/>
          <w:kern w:val="0"/>
          <w:sz w:val="26"/>
          <w:szCs w:val="26"/>
          <w:lang w:val="uk-UA" w:eastAsia="uk-UA" w:bidi="uk-UA"/>
        </w:rPr>
        <w:t>1</w:t>
      </w:r>
      <w:r w:rsidRPr="00B1119F">
        <w:rPr>
          <w:rFonts w:ascii="Arial Unicode MS" w:eastAsia="Arial Unicode MS" w:hAnsi="Arial Unicode MS" w:cs="Arial Unicode MS"/>
          <w:color w:val="000000"/>
          <w:kern w:val="0"/>
          <w:sz w:val="24"/>
          <w:szCs w:val="24"/>
          <w:lang w:val="uk-UA" w:eastAsia="uk-UA" w:bidi="uk-UA"/>
        </w:rPr>
        <w:t xml:space="preserve">) моніторинг стану страхового ринку; </w:t>
      </w:r>
      <w:r w:rsidRPr="00B1119F">
        <w:rPr>
          <w:rFonts w:ascii="Times New Roman" w:eastAsia="Arial Unicode MS" w:hAnsi="Times New Roman" w:cs="Times New Roman"/>
          <w:color w:val="000000"/>
          <w:spacing w:val="-10"/>
          <w:kern w:val="0"/>
          <w:sz w:val="26"/>
          <w:szCs w:val="26"/>
          <w:lang w:val="uk-UA" w:eastAsia="uk-UA" w:bidi="uk-UA"/>
        </w:rPr>
        <w:t>2</w:t>
      </w:r>
      <w:r w:rsidRPr="00B1119F">
        <w:rPr>
          <w:rFonts w:ascii="Arial Unicode MS" w:eastAsia="Arial Unicode MS" w:hAnsi="Arial Unicode MS" w:cs="Arial Unicode MS"/>
          <w:color w:val="000000"/>
          <w:kern w:val="0"/>
          <w:sz w:val="24"/>
          <w:szCs w:val="24"/>
          <w:lang w:val="uk-UA" w:eastAsia="uk-UA" w:bidi="uk-UA"/>
        </w:rPr>
        <w:t>) ідентифікація споживчих переваг страхувальників; 3) аналіз страхових продуктів конкурентів; 4) оптимізація власного асортименту страхових продуктів. Рішення щодо модифікації страхового продукту або його виключення з продуктової лінійки приймається за результатами аналізу даних щодо: споживчого попиту; набору споживчих критеріїв (тарифи, терміни, умови договору); етапу життєвого циклу; позиціонування на ринку (за властивостями страхового продукту, за вигодами або потребами, за способом використання продукту, за категоріями споживачів, по відношенню до інших страхових продуктів тощо).</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Складовими якості страхового обслуговування є: відповідність умов договору страхування потребам страхувальника; зрозумілість сутності страхового продукту посереднику і/або кінцевому споживачеві; можливість впливу страхувальника на такі умови договору, як: обсяги страхування, перелік страхових ризиків, розмір франшизи; своєчасність врегулювання страхових випадків та виплати страхового відшкодування; наявність додаткових послуг та задоволеність умовами їх надання; оптимальна вартість страхового продукту.</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До чинників внутрішнього середовища, які впливають на якість системи реалізації страхових продуктів, </w:t>
      </w:r>
      <w:r w:rsidRPr="00B1119F">
        <w:rPr>
          <w:rFonts w:ascii="Arial Unicode MS" w:eastAsia="Arial Unicode MS" w:hAnsi="Arial Unicode MS" w:cs="Arial Unicode MS"/>
          <w:color w:val="000000"/>
          <w:kern w:val="0"/>
          <w:sz w:val="24"/>
          <w:szCs w:val="24"/>
          <w:lang w:val="uk-UA" w:eastAsia="ru-RU" w:bidi="ru-RU"/>
        </w:rPr>
        <w:t xml:space="preserve">належать: </w:t>
      </w:r>
      <w:r w:rsidRPr="00B1119F">
        <w:rPr>
          <w:rFonts w:ascii="Arial Unicode MS" w:eastAsia="Arial Unicode MS" w:hAnsi="Arial Unicode MS" w:cs="Arial Unicode MS"/>
          <w:color w:val="000000"/>
          <w:kern w:val="0"/>
          <w:sz w:val="24"/>
          <w:szCs w:val="24"/>
          <w:lang w:val="uk-UA" w:eastAsia="uk-UA" w:bidi="uk-UA"/>
        </w:rPr>
        <w:t>правильність вибору цільового сегменту ринку; орієнтованість продакт-менеджменту на клієнта; коректність величини базового тарифу; ефективність андерайтингу; надійність стратегії перестрахування; професійність оцінювання та своєчасність врегулювання збитків; адекватність фінансового менеджменту; достатність матеріально-технічної бази страхової компанії; кваліфікованість персоналу; ефективність системи контролю. Відчутно на</w:t>
      </w:r>
      <w:r w:rsidRPr="00B1119F">
        <w:rPr>
          <w:rFonts w:ascii="Arial Unicode MS" w:eastAsia="Arial Unicode MS" w:hAnsi="Arial Unicode MS" w:cs="Arial Unicode MS"/>
          <w:color w:val="000000"/>
          <w:kern w:val="0"/>
          <w:sz w:val="24"/>
          <w:szCs w:val="24"/>
          <w:lang w:val="uk-UA" w:eastAsia="uk-UA" w:bidi="uk-UA"/>
        </w:rPr>
        <w:br w:type="page"/>
        <w:t>якість системи реалізації страхових продуктів впливають також соціально - економічні, демографічні, політичні, правові, культурно-історичні та техніко- технологічні фактори зовнішнього середовища страхової компанії.</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Оцінювання якості системи реалізації страхових продуктів виконується за принципом відкритого циклу Шухарта-Демінга та передбачає обчислення чотирьох груп індикаторів, що характеризують: </w:t>
      </w:r>
      <w:r w:rsidRPr="00B1119F">
        <w:rPr>
          <w:rFonts w:ascii="Times New Roman" w:eastAsia="Arial Unicode MS" w:hAnsi="Times New Roman" w:cs="Times New Roman"/>
          <w:color w:val="000000"/>
          <w:spacing w:val="-10"/>
          <w:kern w:val="0"/>
          <w:sz w:val="26"/>
          <w:szCs w:val="26"/>
          <w:lang w:val="uk-UA" w:eastAsia="uk-UA" w:bidi="uk-UA"/>
        </w:rPr>
        <w:t>1</w:t>
      </w:r>
      <w:r w:rsidRPr="00B1119F">
        <w:rPr>
          <w:rFonts w:ascii="Arial Unicode MS" w:eastAsia="Arial Unicode MS" w:hAnsi="Arial Unicode MS" w:cs="Arial Unicode MS"/>
          <w:color w:val="000000"/>
          <w:kern w:val="0"/>
          <w:sz w:val="24"/>
          <w:szCs w:val="24"/>
          <w:lang w:val="uk-UA" w:eastAsia="uk-UA" w:bidi="uk-UA"/>
        </w:rPr>
        <w:t xml:space="preserve">) якість продуктового ряду; </w:t>
      </w:r>
      <w:r w:rsidRPr="00B1119F">
        <w:rPr>
          <w:rFonts w:ascii="Times New Roman" w:eastAsia="Arial Unicode MS" w:hAnsi="Times New Roman" w:cs="Times New Roman"/>
          <w:color w:val="000000"/>
          <w:spacing w:val="-10"/>
          <w:kern w:val="0"/>
          <w:sz w:val="26"/>
          <w:szCs w:val="26"/>
          <w:lang w:val="uk-UA" w:eastAsia="uk-UA" w:bidi="uk-UA"/>
        </w:rPr>
        <w:t>2</w:t>
      </w:r>
      <w:r w:rsidRPr="00B1119F">
        <w:rPr>
          <w:rFonts w:ascii="Arial Unicode MS" w:eastAsia="Arial Unicode MS" w:hAnsi="Arial Unicode MS" w:cs="Arial Unicode MS"/>
          <w:color w:val="000000"/>
          <w:kern w:val="0"/>
          <w:sz w:val="24"/>
          <w:szCs w:val="24"/>
          <w:lang w:val="uk-UA" w:eastAsia="uk-UA" w:bidi="uk-UA"/>
        </w:rPr>
        <w:t>) якість аквізаційної діяльності; 3) фінансову стійкість страхових операцій; 4) ефективність використання ресурсного потенціалу страхової компанії (рис. 3). Такий підхід дає змогу ідентифікувати якісний стан системи реалізації страхових продуктів та своєчасно вживати заходів щодо його покращення.</w:t>
      </w:r>
    </w:p>
    <w:p w:rsidR="00B1119F" w:rsidRPr="00B1119F" w:rsidRDefault="00B1119F" w:rsidP="00B1119F">
      <w:pPr>
        <w:tabs>
          <w:tab w:val="clear" w:pos="709"/>
        </w:tabs>
        <w:suppressAutoHyphens w:val="0"/>
        <w:spacing w:after="0" w:line="190" w:lineRule="exact"/>
        <w:ind w:left="20"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pict>
          <v:shape id="_x0000_s1169" type="#_x0000_t202" style="position:absolute;left:0;text-align:left;margin-left:.25pt;margin-top:22.8pt;width:509.3pt;height:.05pt;z-index:-25165107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tblPr>
                  <w:tblGrid>
                    <w:gridCol w:w="898"/>
                    <w:gridCol w:w="2395"/>
                    <w:gridCol w:w="2126"/>
                    <w:gridCol w:w="2126"/>
                    <w:gridCol w:w="1733"/>
                    <w:gridCol w:w="907"/>
                  </w:tblGrid>
                  <w:tr w:rsidR="00B1119F">
                    <w:tblPrEx>
                      <w:tblCellMar>
                        <w:top w:w="0" w:type="dxa"/>
                        <w:bottom w:w="0" w:type="dxa"/>
                      </w:tblCellMar>
                    </w:tblPrEx>
                    <w:trPr>
                      <w:trHeight w:hRule="exact" w:val="283"/>
                      <w:jc w:val="center"/>
                    </w:trPr>
                    <w:tc>
                      <w:tcPr>
                        <w:tcW w:w="3293" w:type="dxa"/>
                        <w:gridSpan w:val="2"/>
                        <w:tcBorders>
                          <w:top w:val="single" w:sz="4" w:space="0" w:color="auto"/>
                          <w:left w:val="single" w:sz="4" w:space="0" w:color="auto"/>
                        </w:tcBorders>
                        <w:shd w:val="clear" w:color="auto" w:fill="FFFFFF"/>
                        <w:vAlign w:val="bottom"/>
                      </w:tcPr>
                      <w:p w:rsidR="00B1119F" w:rsidRDefault="00B1119F">
                        <w:pPr>
                          <w:spacing w:after="0" w:line="190" w:lineRule="exact"/>
                          <w:ind w:left="480"/>
                          <w:jc w:val="left"/>
                        </w:pPr>
                        <w:r>
                          <w:t></w:t>
                        </w:r>
                        <w:r>
                          <w:t></w:t>
                        </w:r>
                        <w:r>
                          <w:t></w:t>
                        </w:r>
                        <w:r>
                          <w:t></w:t>
                        </w:r>
                        <w:r>
                          <w:t></w:t>
                        </w:r>
                        <w:r>
                          <w:t></w:t>
                        </w:r>
                        <w:r>
                          <w:t></w:t>
                        </w:r>
                        <w:r>
                          <w:t></w:t>
                        </w:r>
                        <w:r>
                          <w:t></w:t>
                        </w:r>
                      </w:p>
                    </w:tc>
                    <w:tc>
                      <w:tcPr>
                        <w:tcW w:w="2126" w:type="dxa"/>
                        <w:tcBorders>
                          <w:top w:val="single" w:sz="4" w:space="0" w:color="auto"/>
                          <w:left w:val="single" w:sz="4" w:space="0" w:color="auto"/>
                        </w:tcBorders>
                        <w:shd w:val="clear" w:color="auto" w:fill="FFFFFF"/>
                      </w:tcPr>
                      <w:p w:rsidR="00B1119F" w:rsidRDefault="00B1119F">
                        <w:pPr>
                          <w:rPr>
                            <w:sz w:val="10"/>
                            <w:szCs w:val="10"/>
                          </w:rPr>
                        </w:pPr>
                      </w:p>
                    </w:tc>
                    <w:tc>
                      <w:tcPr>
                        <w:tcW w:w="2126" w:type="dxa"/>
                        <w:tcBorders>
                          <w:top w:val="single" w:sz="4" w:space="0" w:color="auto"/>
                          <w:left w:val="single" w:sz="4" w:space="0" w:color="auto"/>
                        </w:tcBorders>
                        <w:shd w:val="clear" w:color="auto" w:fill="FFFFFF"/>
                        <w:vAlign w:val="bottom"/>
                      </w:tcPr>
                      <w:p w:rsidR="00B1119F" w:rsidRDefault="00B1119F">
                        <w:pPr>
                          <w:spacing w:after="0" w:line="190" w:lineRule="exact"/>
                          <w:ind w:left="580"/>
                          <w:jc w:val="left"/>
                        </w:pPr>
                        <w:r>
                          <w:t></w:t>
                        </w:r>
                        <w:r>
                          <w:t></w:t>
                        </w:r>
                        <w:r>
                          <w:t></w:t>
                        </w:r>
                        <w:r>
                          <w:t></w:t>
                        </w:r>
                        <w:r>
                          <w:t></w:t>
                        </w:r>
                        <w:r>
                          <w:t></w:t>
                        </w:r>
                      </w:p>
                    </w:tc>
                    <w:tc>
                      <w:tcPr>
                        <w:tcW w:w="1733" w:type="dxa"/>
                        <w:tcBorders>
                          <w:top w:val="single" w:sz="4" w:space="0" w:color="auto"/>
                          <w:left w:val="single" w:sz="4" w:space="0" w:color="auto"/>
                        </w:tcBorders>
                        <w:shd w:val="clear" w:color="auto" w:fill="FFFFFF"/>
                      </w:tcPr>
                      <w:p w:rsidR="00B1119F" w:rsidRDefault="00B1119F">
                        <w:pPr>
                          <w:rPr>
                            <w:sz w:val="10"/>
                            <w:szCs w:val="10"/>
                          </w:rPr>
                        </w:pPr>
                      </w:p>
                    </w:tc>
                    <w:tc>
                      <w:tcPr>
                        <w:tcW w:w="907" w:type="dxa"/>
                        <w:tcBorders>
                          <w:top w:val="single" w:sz="4" w:space="0" w:color="auto"/>
                          <w:left w:val="single" w:sz="4" w:space="0" w:color="auto"/>
                          <w:right w:val="single" w:sz="4" w:space="0" w:color="auto"/>
                        </w:tcBorders>
                        <w:shd w:val="clear" w:color="auto" w:fill="FFFFFF"/>
                      </w:tcPr>
                      <w:p w:rsidR="00B1119F" w:rsidRDefault="00B1119F">
                        <w:pPr>
                          <w:rPr>
                            <w:sz w:val="10"/>
                            <w:szCs w:val="10"/>
                          </w:rPr>
                        </w:pPr>
                      </w:p>
                    </w:tc>
                  </w:tr>
                  <w:tr w:rsidR="00B1119F">
                    <w:tblPrEx>
                      <w:tblCellMar>
                        <w:top w:w="0" w:type="dxa"/>
                        <w:bottom w:w="0" w:type="dxa"/>
                      </w:tblCellMar>
                    </w:tblPrEx>
                    <w:trPr>
                      <w:trHeight w:hRule="exact" w:val="542"/>
                      <w:jc w:val="center"/>
                    </w:trPr>
                    <w:tc>
                      <w:tcPr>
                        <w:tcW w:w="898" w:type="dxa"/>
                        <w:tcBorders>
                          <w:top w:val="single" w:sz="4" w:space="0" w:color="auto"/>
                          <w:left w:val="single" w:sz="4" w:space="0" w:color="auto"/>
                          <w:bottom w:val="single" w:sz="4" w:space="0" w:color="auto"/>
                        </w:tcBorders>
                        <w:shd w:val="clear" w:color="auto" w:fill="FFFFFF"/>
                        <w:vAlign w:val="bottom"/>
                      </w:tcPr>
                      <w:p w:rsidR="00B1119F" w:rsidRDefault="00B1119F">
                        <w:pPr>
                          <w:tabs>
                            <w:tab w:val="left" w:leader="underscore" w:pos="672"/>
                          </w:tabs>
                          <w:spacing w:after="0" w:line="400" w:lineRule="exact"/>
                        </w:pPr>
                        <w:r>
                          <w:tab/>
                        </w:r>
                      </w:p>
                    </w:tc>
                    <w:tc>
                      <w:tcPr>
                        <w:tcW w:w="2395" w:type="dxa"/>
                        <w:tcBorders>
                          <w:top w:val="single" w:sz="4" w:space="0" w:color="auto"/>
                          <w:left w:val="single" w:sz="4" w:space="0" w:color="auto"/>
                          <w:bottom w:val="single" w:sz="4" w:space="0" w:color="auto"/>
                        </w:tcBorders>
                        <w:shd w:val="clear" w:color="auto" w:fill="FFFFFF"/>
                        <w:vAlign w:val="bottom"/>
                      </w:tcPr>
                      <w:p w:rsidR="00B1119F" w:rsidRDefault="00B1119F">
                        <w:pPr>
                          <w:tabs>
                            <w:tab w:val="left" w:leader="underscore" w:pos="864"/>
                            <w:tab w:val="left" w:leader="underscore" w:pos="2179"/>
                          </w:tabs>
                          <w:spacing w:after="0" w:line="400" w:lineRule="exact"/>
                        </w:pPr>
                        <w:r>
                          <w:rPr>
                            <w:lang w:val="en-US" w:eastAsia="en-US" w:bidi="en-US"/>
                          </w:rPr>
                          <w:t></w:t>
                        </w:r>
                        <w:r>
                          <w:tab/>
                        </w:r>
                        <w:r>
                          <w:t></w:t>
                        </w:r>
                        <w:r>
                          <w:tab/>
                        </w:r>
                        <w:r>
                          <w:t></w:t>
                        </w:r>
                      </w:p>
                    </w:tc>
                    <w:tc>
                      <w:tcPr>
                        <w:tcW w:w="2126" w:type="dxa"/>
                        <w:tcBorders>
                          <w:top w:val="single" w:sz="4" w:space="0" w:color="auto"/>
                          <w:left w:val="single" w:sz="4" w:space="0" w:color="auto"/>
                          <w:bottom w:val="single" w:sz="4" w:space="0" w:color="auto"/>
                        </w:tcBorders>
                        <w:shd w:val="clear" w:color="auto" w:fill="FFFFFF"/>
                        <w:vAlign w:val="bottom"/>
                      </w:tcPr>
                      <w:p w:rsidR="00B1119F" w:rsidRDefault="00B1119F">
                        <w:pPr>
                          <w:tabs>
                            <w:tab w:val="left" w:leader="underscore" w:pos="1910"/>
                          </w:tabs>
                          <w:spacing w:after="0" w:line="400" w:lineRule="exact"/>
                        </w:pPr>
                        <w:r>
                          <w:rPr>
                            <w:lang w:val="en-US" w:eastAsia="en-US" w:bidi="en-US"/>
                          </w:rPr>
                          <w:t></w:t>
                        </w:r>
                        <w:r>
                          <w:tab/>
                        </w:r>
                        <w:r>
                          <w:t></w:t>
                        </w:r>
                      </w:p>
                    </w:tc>
                    <w:tc>
                      <w:tcPr>
                        <w:tcW w:w="2126" w:type="dxa"/>
                        <w:tcBorders>
                          <w:top w:val="single" w:sz="4" w:space="0" w:color="auto"/>
                          <w:left w:val="single" w:sz="4" w:space="0" w:color="auto"/>
                          <w:bottom w:val="single" w:sz="4" w:space="0" w:color="auto"/>
                        </w:tcBorders>
                        <w:shd w:val="clear" w:color="auto" w:fill="FFFFFF"/>
                        <w:vAlign w:val="bottom"/>
                      </w:tcPr>
                      <w:p w:rsidR="00B1119F" w:rsidRDefault="00B1119F">
                        <w:pPr>
                          <w:tabs>
                            <w:tab w:val="left" w:leader="underscore" w:pos="1910"/>
                          </w:tabs>
                          <w:spacing w:after="0" w:line="400" w:lineRule="exact"/>
                        </w:pPr>
                        <w:r>
                          <w:rPr>
                            <w:lang w:val="en-US" w:eastAsia="en-US" w:bidi="en-US"/>
                          </w:rPr>
                          <w:t></w:t>
                        </w:r>
                        <w:r>
                          <w:tab/>
                        </w:r>
                        <w:r>
                          <w:t></w:t>
                        </w:r>
                      </w:p>
                    </w:tc>
                    <w:tc>
                      <w:tcPr>
                        <w:tcW w:w="1733" w:type="dxa"/>
                        <w:tcBorders>
                          <w:top w:val="single" w:sz="4" w:space="0" w:color="auto"/>
                          <w:left w:val="single" w:sz="4" w:space="0" w:color="auto"/>
                          <w:bottom w:val="single" w:sz="4" w:space="0" w:color="auto"/>
                        </w:tcBorders>
                        <w:shd w:val="clear" w:color="auto" w:fill="FFFFFF"/>
                        <w:vAlign w:val="bottom"/>
                      </w:tcPr>
                      <w:p w:rsidR="00B1119F" w:rsidRDefault="00B1119F">
                        <w:pPr>
                          <w:tabs>
                            <w:tab w:val="left" w:leader="underscore" w:pos="1517"/>
                          </w:tabs>
                          <w:spacing w:after="0" w:line="400" w:lineRule="exact"/>
                        </w:pPr>
                        <w:r>
                          <w:rPr>
                            <w:lang w:val="en-US" w:eastAsia="en-US" w:bidi="en-US"/>
                          </w:rPr>
                          <w:t></w:t>
                        </w:r>
                        <w:r>
                          <w:tab/>
                        </w:r>
                      </w:p>
                    </w:tc>
                    <w:tc>
                      <w:tcPr>
                        <w:tcW w:w="907" w:type="dxa"/>
                        <w:tcBorders>
                          <w:top w:val="single" w:sz="4" w:space="0" w:color="auto"/>
                          <w:left w:val="single" w:sz="4" w:space="0" w:color="auto"/>
                          <w:bottom w:val="single" w:sz="4" w:space="0" w:color="auto"/>
                          <w:right w:val="single" w:sz="4" w:space="0" w:color="auto"/>
                        </w:tcBorders>
                        <w:shd w:val="clear" w:color="auto" w:fill="FFFFFF"/>
                        <w:vAlign w:val="bottom"/>
                      </w:tcPr>
                      <w:p w:rsidR="00B1119F" w:rsidRDefault="00B1119F">
                        <w:pPr>
                          <w:tabs>
                            <w:tab w:val="left" w:leader="underscore" w:pos="864"/>
                          </w:tabs>
                          <w:spacing w:after="0" w:line="400" w:lineRule="exact"/>
                        </w:pPr>
                        <w:r>
                          <w:rPr>
                            <w:lang w:val="en-US" w:eastAsia="en-US" w:bidi="en-US"/>
                          </w:rPr>
                          <w:t></w:t>
                        </w:r>
                        <w:r>
                          <w:tab/>
                        </w:r>
                      </w:p>
                    </w:tc>
                  </w:tr>
                </w:tbl>
                <w:p w:rsidR="00B1119F" w:rsidRDefault="00B1119F" w:rsidP="00B1119F">
                  <w:pPr>
                    <w:rPr>
                      <w:sz w:val="2"/>
                      <w:szCs w:val="2"/>
                    </w:rPr>
                  </w:pPr>
                </w:p>
              </w:txbxContent>
            </v:textbox>
            <w10:wrap type="topAndBottom" anchorx="margin"/>
          </v:shape>
        </w:pict>
      </w:r>
      <w:r w:rsidRPr="00B1119F">
        <w:rPr>
          <w:rFonts w:ascii="Arial Unicode MS" w:eastAsia="Arial Unicode MS" w:hAnsi="Arial Unicode MS" w:cs="Arial Unicode MS"/>
          <w:color w:val="000000"/>
          <w:kern w:val="0"/>
          <w:sz w:val="24"/>
          <w:szCs w:val="24"/>
          <w:lang w:val="uk-UA" w:eastAsia="uk-UA" w:bidi="uk-UA"/>
        </w:rPr>
        <w:pict>
          <v:shape id="_x0000_s1170" type="#_x0000_t202" style="position:absolute;left:0;text-align:left;margin-left:5.3pt;margin-top:62.1pt;width:82.55pt;height:289.2pt;z-index:-251650048;mso-wrap-distance-left:5pt;mso-wrap-distance-right:33.35pt;mso-wrap-distance-bottom:139.95pt;mso-position-horizontal-relative:margin" filled="f" stroked="f">
            <v:textbox style="mso-fit-shape-to-text:t" inset="0,0,0,0">
              <w:txbxContent>
                <w:p w:rsidR="00B1119F" w:rsidRDefault="00B1119F" w:rsidP="00B1119F">
                  <w:pPr>
                    <w:pStyle w:val="129"/>
                    <w:numPr>
                      <w:ilvl w:val="0"/>
                      <w:numId w:val="14"/>
                    </w:numPr>
                    <w:shd w:val="clear" w:color="auto" w:fill="auto"/>
                    <w:tabs>
                      <w:tab w:val="clear" w:pos="709"/>
                      <w:tab w:val="left" w:pos="110"/>
                    </w:tabs>
                    <w:suppressAutoHyphens w:val="0"/>
                    <w:spacing w:after="0" w:line="259" w:lineRule="exact"/>
                    <w:ind w:firstLine="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B1119F" w:rsidRDefault="00B1119F" w:rsidP="00B1119F">
                  <w:pPr>
                    <w:pStyle w:val="129"/>
                    <w:numPr>
                      <w:ilvl w:val="0"/>
                      <w:numId w:val="14"/>
                    </w:numPr>
                    <w:shd w:val="clear" w:color="auto" w:fill="auto"/>
                    <w:tabs>
                      <w:tab w:val="clear" w:pos="709"/>
                      <w:tab w:val="left" w:pos="310"/>
                    </w:tabs>
                    <w:suppressAutoHyphens w:val="0"/>
                    <w:spacing w:after="0" w:line="259" w:lineRule="exact"/>
                    <w:ind w:left="200" w:firstLine="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B1119F" w:rsidRDefault="00B1119F" w:rsidP="00B1119F">
                  <w:pPr>
                    <w:pStyle w:val="129"/>
                    <w:shd w:val="clear" w:color="auto" w:fill="auto"/>
                    <w:ind w:left="40"/>
                    <w:jc w:val="center"/>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B1119F" w:rsidRDefault="00B1119F" w:rsidP="00B1119F">
                  <w:pPr>
                    <w:pStyle w:val="129"/>
                    <w:numPr>
                      <w:ilvl w:val="0"/>
                      <w:numId w:val="14"/>
                    </w:numPr>
                    <w:shd w:val="clear" w:color="auto" w:fill="auto"/>
                    <w:tabs>
                      <w:tab w:val="clear" w:pos="709"/>
                      <w:tab w:val="left" w:pos="310"/>
                    </w:tabs>
                    <w:suppressAutoHyphens w:val="0"/>
                    <w:spacing w:after="0" w:line="259" w:lineRule="exact"/>
                    <w:ind w:left="200" w:firstLine="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B1119F" w:rsidRDefault="00B1119F" w:rsidP="00B1119F">
                  <w:pPr>
                    <w:pStyle w:val="129"/>
                    <w:shd w:val="clear" w:color="auto" w:fill="auto"/>
                    <w:ind w:left="40"/>
                    <w:jc w:val="center"/>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B1119F" w:rsidRDefault="00B1119F" w:rsidP="00B1119F">
                  <w:pPr>
                    <w:pStyle w:val="129"/>
                    <w:shd w:val="clear" w:color="auto" w:fill="auto"/>
                    <w:ind w:left="40"/>
                    <w:jc w:val="center"/>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B1119F" w:rsidRDefault="00B1119F" w:rsidP="00B1119F">
                  <w:pPr>
                    <w:pStyle w:val="129"/>
                    <w:shd w:val="clear" w:color="auto" w:fill="auto"/>
                    <w:ind w:left="40"/>
                    <w:jc w:val="center"/>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br/>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br/>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B1119F" w:rsidRDefault="00B1119F" w:rsidP="00B1119F">
                  <w:pPr>
                    <w:pStyle w:val="129"/>
                    <w:numPr>
                      <w:ilvl w:val="0"/>
                      <w:numId w:val="14"/>
                    </w:numPr>
                    <w:shd w:val="clear" w:color="auto" w:fill="auto"/>
                    <w:tabs>
                      <w:tab w:val="clear" w:pos="709"/>
                      <w:tab w:val="left" w:pos="496"/>
                    </w:tabs>
                    <w:suppressAutoHyphens w:val="0"/>
                    <w:spacing w:after="0" w:line="259" w:lineRule="exact"/>
                    <w:ind w:left="280" w:firstLine="100"/>
                    <w:jc w:val="left"/>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B1119F" w:rsidRDefault="00B1119F" w:rsidP="00B1119F">
                  <w:pPr>
                    <w:pStyle w:val="129"/>
                    <w:shd w:val="clear" w:color="auto" w:fill="auto"/>
                    <w:ind w:left="40"/>
                    <w:jc w:val="center"/>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B1119F" w:rsidRDefault="00B1119F" w:rsidP="00B1119F">
                  <w:pPr>
                    <w:pStyle w:val="129"/>
                    <w:shd w:val="clear" w:color="auto" w:fill="auto"/>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B1119F" w:rsidRDefault="00B1119F" w:rsidP="00B1119F">
                  <w:pPr>
                    <w:pStyle w:val="129"/>
                    <w:numPr>
                      <w:ilvl w:val="0"/>
                      <w:numId w:val="14"/>
                    </w:numPr>
                    <w:shd w:val="clear" w:color="auto" w:fill="auto"/>
                    <w:tabs>
                      <w:tab w:val="clear" w:pos="709"/>
                      <w:tab w:val="left" w:pos="110"/>
                    </w:tabs>
                    <w:suppressAutoHyphens w:val="0"/>
                    <w:spacing w:after="0" w:line="259" w:lineRule="exact"/>
                    <w:ind w:firstLine="0"/>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B1119F" w:rsidRDefault="00B1119F" w:rsidP="00B1119F">
                  <w:pPr>
                    <w:pStyle w:val="129"/>
                    <w:shd w:val="clear" w:color="auto" w:fill="auto"/>
                    <w:ind w:left="40"/>
                    <w:jc w:val="center"/>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br/>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br/>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br/>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B1119F" w:rsidRDefault="00B1119F" w:rsidP="00B1119F">
                  <w:pPr>
                    <w:pStyle w:val="129"/>
                    <w:numPr>
                      <w:ilvl w:val="0"/>
                      <w:numId w:val="14"/>
                    </w:numPr>
                    <w:shd w:val="clear" w:color="auto" w:fill="auto"/>
                    <w:tabs>
                      <w:tab w:val="clear" w:pos="709"/>
                      <w:tab w:val="left" w:pos="531"/>
                    </w:tabs>
                    <w:suppressAutoHyphens w:val="0"/>
                    <w:spacing w:after="0" w:line="259" w:lineRule="exact"/>
                    <w:ind w:left="200" w:firstLine="180"/>
                    <w:jc w:val="left"/>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p w:rsidR="00B1119F" w:rsidRDefault="00B1119F" w:rsidP="00B1119F">
                  <w:pPr>
                    <w:pStyle w:val="129"/>
                    <w:shd w:val="clear" w:color="auto" w:fill="auto"/>
                    <w:ind w:left="40"/>
                    <w:jc w:val="center"/>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br/>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txbxContent>
            </v:textbox>
            <w10:wrap type="topAndBottom" anchorx="margin"/>
          </v:shape>
        </w:pict>
      </w:r>
      <w:r w:rsidRPr="00B1119F">
        <w:rPr>
          <w:rFonts w:ascii="Arial Unicode MS" w:eastAsia="Arial Unicode MS" w:hAnsi="Arial Unicode MS" w:cs="Arial Unicode MS"/>
          <w:color w:val="000000"/>
          <w:kern w:val="0"/>
          <w:sz w:val="24"/>
          <w:szCs w:val="24"/>
          <w:lang w:val="uk-UA" w:eastAsia="uk-UA" w:bidi="uk-UA"/>
        </w:rPr>
        <w:pict>
          <v:shape id="_x0000_s1171" type="#_x0000_t202" style="position:absolute;left:0;text-align:left;margin-left:121.2pt;margin-top:62.65pt;width:386.9pt;height:.05pt;z-index:-251649024;mso-wrap-distance-left:5pt;mso-wrap-distance-right:5pt;mso-wrap-distance-bottom:9.1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tblPr>
                  <w:tblGrid>
                    <w:gridCol w:w="1742"/>
                    <w:gridCol w:w="2520"/>
                    <w:gridCol w:w="1733"/>
                    <w:gridCol w:w="1742"/>
                  </w:tblGrid>
                  <w:tr w:rsidR="00B1119F">
                    <w:tblPrEx>
                      <w:tblCellMar>
                        <w:top w:w="0" w:type="dxa"/>
                        <w:bottom w:w="0" w:type="dxa"/>
                      </w:tblCellMar>
                    </w:tblPrEx>
                    <w:trPr>
                      <w:trHeight w:hRule="exact" w:val="1262"/>
                      <w:jc w:val="center"/>
                    </w:trPr>
                    <w:tc>
                      <w:tcPr>
                        <w:tcW w:w="1742" w:type="dxa"/>
                        <w:tcBorders>
                          <w:top w:val="single" w:sz="4" w:space="0" w:color="auto"/>
                          <w:left w:val="single" w:sz="4" w:space="0" w:color="auto"/>
                          <w:bottom w:val="single" w:sz="4" w:space="0" w:color="auto"/>
                        </w:tcBorders>
                        <w:shd w:val="clear" w:color="auto" w:fill="FFFFFF"/>
                        <w:vAlign w:val="center"/>
                      </w:tcPr>
                      <w:p w:rsidR="00B1119F" w:rsidRDefault="00B1119F">
                        <w:pPr>
                          <w:spacing w:after="0" w:line="259" w:lineRule="exac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2520" w:type="dxa"/>
                        <w:tcBorders>
                          <w:top w:val="single" w:sz="4" w:space="0" w:color="auto"/>
                          <w:left w:val="single" w:sz="4" w:space="0" w:color="auto"/>
                          <w:bottom w:val="single" w:sz="4" w:space="0" w:color="auto"/>
                        </w:tcBorders>
                        <w:shd w:val="clear" w:color="auto" w:fill="FFFFFF"/>
                        <w:vAlign w:val="center"/>
                      </w:tcPr>
                      <w:p w:rsidR="00B1119F" w:rsidRDefault="00B1119F">
                        <w:pPr>
                          <w:spacing w:after="0" w:line="259" w:lineRule="exact"/>
                          <w:jc w:val="cente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1733" w:type="dxa"/>
                        <w:tcBorders>
                          <w:top w:val="single" w:sz="4" w:space="0" w:color="auto"/>
                          <w:left w:val="single" w:sz="4" w:space="0" w:color="auto"/>
                          <w:bottom w:val="single" w:sz="4" w:space="0" w:color="auto"/>
                        </w:tcBorders>
                        <w:shd w:val="clear" w:color="auto" w:fill="FFFFFF"/>
                        <w:vAlign w:val="center"/>
                      </w:tcPr>
                      <w:p w:rsidR="00B1119F" w:rsidRDefault="00B1119F">
                        <w:pPr>
                          <w:spacing w:after="0" w:line="259" w:lineRule="exact"/>
                          <w:jc w:val="cente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1742" w:type="dxa"/>
                        <w:tcBorders>
                          <w:top w:val="single" w:sz="4" w:space="0" w:color="auto"/>
                          <w:left w:val="single" w:sz="4" w:space="0" w:color="auto"/>
                          <w:bottom w:val="single" w:sz="4" w:space="0" w:color="auto"/>
                          <w:right w:val="single" w:sz="4" w:space="0" w:color="auto"/>
                        </w:tcBorders>
                        <w:shd w:val="clear" w:color="auto" w:fill="FFFFFF"/>
                        <w:vAlign w:val="bottom"/>
                      </w:tcPr>
                      <w:p w:rsidR="00B1119F" w:rsidRDefault="00B1119F">
                        <w:pPr>
                          <w:spacing w:after="0" w:line="259" w:lineRule="exact"/>
                          <w:jc w:val="center"/>
                        </w:pPr>
                        <w:r>
                          <w:t></w:t>
                        </w:r>
                        <w:r>
                          <w:t></w:t>
                        </w:r>
                        <w:r>
                          <w:t></w:t>
                        </w:r>
                        <w:r>
                          <w:t></w:t>
                        </w:r>
                        <w:r>
                          <w:t></w:t>
                        </w:r>
                        <w:r>
                          <w:t></w:t>
                        </w:r>
                        <w:r>
                          <w:t></w:t>
                        </w:r>
                        <w:r>
                          <w:t></w:t>
                        </w:r>
                        <w:r>
                          <w:t></w:t>
                        </w:r>
                        <w:r>
                          <w:t></w:t>
                        </w:r>
                      </w:p>
                      <w:p w:rsidR="00B1119F" w:rsidRDefault="00B1119F">
                        <w:pPr>
                          <w:spacing w:after="0" w:line="259" w:lineRule="exact"/>
                          <w:jc w:val="center"/>
                        </w:pPr>
                        <w:r>
                          <w:t></w:t>
                        </w:r>
                        <w:r>
                          <w:t></w:t>
                        </w:r>
                        <w:r>
                          <w:t></w:t>
                        </w:r>
                        <w:r>
                          <w:t></w:t>
                        </w:r>
                        <w:r>
                          <w:t></w:t>
                        </w:r>
                        <w:r>
                          <w:t></w:t>
                        </w:r>
                        <w:r>
                          <w:t></w:t>
                        </w:r>
                        <w:r>
                          <w:t></w:t>
                        </w:r>
                        <w:r>
                          <w:t></w:t>
                        </w:r>
                        <w:r>
                          <w:t></w:t>
                        </w:r>
                        <w:r>
                          <w:t></w:t>
                        </w:r>
                        <w:r>
                          <w:t></w:t>
                        </w:r>
                      </w:p>
                      <w:p w:rsidR="00B1119F" w:rsidRDefault="00B1119F">
                        <w:pPr>
                          <w:spacing w:after="0" w:line="259" w:lineRule="exact"/>
                          <w:jc w:val="center"/>
                        </w:pPr>
                        <w:r>
                          <w:t></w:t>
                        </w:r>
                        <w:r>
                          <w:t></w:t>
                        </w:r>
                        <w:r>
                          <w:t></w:t>
                        </w:r>
                        <w:r>
                          <w:t></w:t>
                        </w:r>
                        <w:r>
                          <w:t></w:t>
                        </w:r>
                        <w:r>
                          <w:t></w:t>
                        </w:r>
                        <w:r>
                          <w:t></w:t>
                        </w:r>
                        <w:r>
                          <w:t></w:t>
                        </w:r>
                        <w:r>
                          <w:t></w:t>
                        </w:r>
                        <w:r>
                          <w:t></w:t>
                        </w:r>
                        <w:r>
                          <w:t></w:t>
                        </w:r>
                        <w:r>
                          <w:t></w:t>
                        </w:r>
                      </w:p>
                      <w:p w:rsidR="00B1119F" w:rsidRDefault="00B1119F">
                        <w:pPr>
                          <w:spacing w:after="0" w:line="259" w:lineRule="exact"/>
                          <w:jc w:val="center"/>
                        </w:pP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p>
                      <w:p w:rsidR="00B1119F" w:rsidRDefault="00B1119F">
                        <w:pPr>
                          <w:spacing w:after="0" w:line="259" w:lineRule="exact"/>
                          <w:jc w:val="center"/>
                        </w:pPr>
                        <w:r>
                          <w:t></w:t>
                        </w:r>
                        <w:r>
                          <w:t></w:t>
                        </w:r>
                        <w:r>
                          <w:t></w:t>
                        </w:r>
                        <w:r>
                          <w:t></w:t>
                        </w:r>
                        <w:r>
                          <w:t></w:t>
                        </w:r>
                        <w:r>
                          <w:t></w:t>
                        </w:r>
                        <w:r>
                          <w:t></w:t>
                        </w:r>
                        <w:r>
                          <w:t></w:t>
                        </w:r>
                        <w:r>
                          <w:t></w:t>
                        </w:r>
                        <w:r>
                          <w:t></w:t>
                        </w:r>
                      </w:p>
                    </w:tc>
                  </w:tr>
                </w:tbl>
                <w:p w:rsidR="00B1119F" w:rsidRDefault="00B1119F" w:rsidP="00B1119F">
                  <w:pPr>
                    <w:rPr>
                      <w:sz w:val="2"/>
                      <w:szCs w:val="2"/>
                    </w:rPr>
                  </w:pPr>
                </w:p>
              </w:txbxContent>
            </v:textbox>
            <w10:wrap type="topAndBottom" anchorx="margin"/>
          </v:shape>
        </w:pict>
      </w:r>
      <w:r w:rsidRPr="00B1119F">
        <w:rPr>
          <w:rFonts w:ascii="Arial Unicode MS" w:eastAsia="Arial Unicode MS" w:hAnsi="Arial Unicode MS" w:cs="Arial Unicode MS"/>
          <w:color w:val="000000"/>
          <w:kern w:val="0"/>
          <w:sz w:val="24"/>
          <w:szCs w:val="24"/>
          <w:lang w:val="uk-UA" w:eastAsia="uk-UA" w:bidi="uk-UA"/>
        </w:rPr>
        <w:pict>
          <v:shape id="_x0000_s1172" type="#_x0000_t202" style="position:absolute;left:0;text-align:left;margin-left:154.55pt;margin-top:134.9pt;width:24.95pt;height:21.2pt;z-index:-251648000;mso-wrap-distance-left:5pt;mso-wrap-distance-right:81.1pt;mso-position-horizontal-relative:margin" filled="f" stroked="f">
            <v:textbox style="mso-fit-shape-to-text:t" inset="0,0,0,0">
              <w:txbxContent>
                <w:p w:rsidR="00B1119F" w:rsidRDefault="00B1119F" w:rsidP="00B1119F">
                  <w:pPr>
                    <w:pStyle w:val="1fffffff2"/>
                    <w:keepNext/>
                    <w:keepLines/>
                    <w:shd w:val="clear" w:color="auto" w:fill="auto"/>
                    <w:spacing w:line="320" w:lineRule="exact"/>
                  </w:pPr>
                  <w:bookmarkStart w:id="2" w:name="bookmark2"/>
                  <w:r>
                    <w:rPr>
                      <w:color w:val="000000"/>
                      <w:spacing w:val="0"/>
                      <w:lang w:val="uk-UA" w:eastAsia="uk-UA" w:bidi="uk-UA"/>
                    </w:rPr>
                    <w:t></w:t>
                  </w:r>
                  <w:bookmarkEnd w:id="2"/>
                </w:p>
              </w:txbxContent>
            </v:textbox>
            <w10:wrap type="topAndBottom" anchorx="margin"/>
          </v:shape>
        </w:pict>
      </w:r>
      <w:r w:rsidRPr="00B1119F">
        <w:rPr>
          <w:rFonts w:ascii="Arial Unicode MS" w:eastAsia="Arial Unicode MS" w:hAnsi="Arial Unicode MS" w:cs="Arial Unicode MS"/>
          <w:color w:val="000000"/>
          <w:kern w:val="0"/>
          <w:sz w:val="24"/>
          <w:szCs w:val="24"/>
          <w:lang w:val="uk-UA" w:eastAsia="uk-UA" w:bidi="uk-UA"/>
        </w:rPr>
        <w:pict>
          <v:shape id="_x0000_s1173" type="#_x0000_t202" style="position:absolute;left:0;text-align:left;margin-left:260.65pt;margin-top:125.7pt;width:24.95pt;height:32.8pt;z-index:-251646976;mso-wrap-distance-left:5pt;mso-wrap-distance-right:81.6pt;mso-position-horizontal-relative:margin" filled="f" stroked="f">
            <v:textbox style="mso-fit-shape-to-text:t" inset="0,0,0,0">
              <w:txbxContent>
                <w:p w:rsidR="00B1119F" w:rsidRDefault="00B1119F" w:rsidP="00B1119F">
                  <w:pPr>
                    <w:spacing w:line="560" w:lineRule="exact"/>
                  </w:pPr>
                  <w:r>
                    <w:rPr>
                      <w:color w:val="000000"/>
                      <w:lang w:val="uk-UA" w:eastAsia="uk-UA" w:bidi="uk-UA"/>
                    </w:rPr>
                    <w:t></w:t>
                  </w:r>
                </w:p>
              </w:txbxContent>
            </v:textbox>
            <w10:wrap type="topAndBottom" anchorx="margin"/>
          </v:shape>
        </w:pict>
      </w:r>
      <w:r w:rsidRPr="00B1119F">
        <w:rPr>
          <w:rFonts w:ascii="Arial Unicode MS" w:eastAsia="Arial Unicode MS" w:hAnsi="Arial Unicode MS" w:cs="Arial Unicode MS"/>
          <w:color w:val="000000"/>
          <w:kern w:val="0"/>
          <w:sz w:val="24"/>
          <w:szCs w:val="24"/>
          <w:lang w:val="uk-UA" w:eastAsia="uk-UA" w:bidi="uk-UA"/>
        </w:rPr>
        <w:pict>
          <v:shape id="_x0000_s1174" type="#_x0000_t202" style="position:absolute;left:0;text-align:left;margin-left:367.2pt;margin-top:134.9pt;width:24.95pt;height:21.2pt;z-index:-251645952;mso-wrap-distance-left:5pt;mso-wrap-distance-right:61.45pt;mso-position-horizontal-relative:margin" filled="f" stroked="f">
            <v:textbox style="mso-fit-shape-to-text:t" inset="0,0,0,0">
              <w:txbxContent>
                <w:p w:rsidR="00B1119F" w:rsidRDefault="00B1119F" w:rsidP="00B1119F">
                  <w:pPr>
                    <w:pStyle w:val="1fffffff2"/>
                    <w:keepNext/>
                    <w:keepLines/>
                    <w:shd w:val="clear" w:color="auto" w:fill="auto"/>
                    <w:spacing w:line="320" w:lineRule="exact"/>
                  </w:pPr>
                  <w:bookmarkStart w:id="3" w:name="bookmark3"/>
                  <w:r>
                    <w:rPr>
                      <w:color w:val="000000"/>
                      <w:spacing w:val="0"/>
                      <w:lang w:val="uk-UA" w:eastAsia="uk-UA" w:bidi="uk-UA"/>
                    </w:rPr>
                    <w:t></w:t>
                  </w:r>
                  <w:bookmarkEnd w:id="3"/>
                </w:p>
              </w:txbxContent>
            </v:textbox>
            <w10:wrap type="topAndBottom" anchorx="margin"/>
          </v:shape>
        </w:pict>
      </w:r>
      <w:r w:rsidRPr="00B1119F">
        <w:rPr>
          <w:rFonts w:ascii="Arial Unicode MS" w:eastAsia="Arial Unicode MS" w:hAnsi="Arial Unicode MS" w:cs="Arial Unicode MS"/>
          <w:color w:val="000000"/>
          <w:kern w:val="0"/>
          <w:sz w:val="24"/>
          <w:szCs w:val="24"/>
          <w:lang w:val="uk-UA" w:eastAsia="uk-UA" w:bidi="uk-UA"/>
        </w:rPr>
        <w:pict>
          <v:shape id="_x0000_s1175" type="#_x0000_t202" style="position:absolute;left:0;text-align:left;margin-left:453.6pt;margin-top:127.15pt;width:24.95pt;height:31.35pt;z-index:-251644928;mso-wrap-distance-left:5pt;mso-wrap-distance-right:34.8pt;mso-position-horizontal-relative:margin" filled="f" stroked="f">
            <v:textbox style="mso-fit-shape-to-text:t" inset="0,0,0,0">
              <w:txbxContent>
                <w:p w:rsidR="00B1119F" w:rsidRDefault="00B1119F" w:rsidP="00B1119F">
                  <w:pPr>
                    <w:pStyle w:val="12c"/>
                    <w:keepNext/>
                    <w:keepLines/>
                    <w:shd w:val="clear" w:color="auto" w:fill="auto"/>
                    <w:spacing w:line="560" w:lineRule="exact"/>
                  </w:pPr>
                  <w:bookmarkStart w:id="4" w:name="bookmark4"/>
                  <w:r>
                    <w:rPr>
                      <w:color w:val="000000"/>
                      <w:lang w:val="uk-UA" w:eastAsia="uk-UA" w:bidi="uk-UA"/>
                    </w:rPr>
                    <w:t></w:t>
                  </w:r>
                  <w:bookmarkEnd w:id="4"/>
                </w:p>
              </w:txbxContent>
            </v:textbox>
            <w10:wrap type="topAndBottom" anchorx="margin"/>
          </v:shape>
        </w:pict>
      </w:r>
      <w:r w:rsidRPr="00B1119F">
        <w:rPr>
          <w:rFonts w:ascii="Arial Unicode MS" w:eastAsia="Arial Unicode MS" w:hAnsi="Arial Unicode MS" w:cs="Arial Unicode MS"/>
          <w:color w:val="000000"/>
          <w:kern w:val="0"/>
          <w:sz w:val="24"/>
          <w:szCs w:val="24"/>
          <w:lang w:val="uk-UA" w:eastAsia="uk-UA" w:bidi="uk-UA"/>
        </w:rPr>
        <w:pict>
          <v:shape id="_x0000_s1176" type="#_x0000_t202" style="position:absolute;left:0;text-align:left;margin-left:122.15pt;margin-top:153.6pt;width:385.9pt;height:.05pt;z-index:-251643904;mso-wrap-distance-left:5pt;mso-wrap-distance-right:5.3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tblPr>
                  <w:tblGrid>
                    <w:gridCol w:w="1723"/>
                    <w:gridCol w:w="2520"/>
                    <w:gridCol w:w="1733"/>
                    <w:gridCol w:w="1742"/>
                  </w:tblGrid>
                  <w:tr w:rsidR="00B1119F">
                    <w:tblPrEx>
                      <w:tblCellMar>
                        <w:top w:w="0" w:type="dxa"/>
                        <w:bottom w:w="0" w:type="dxa"/>
                      </w:tblCellMar>
                    </w:tblPrEx>
                    <w:trPr>
                      <w:trHeight w:hRule="exact" w:val="264"/>
                      <w:jc w:val="center"/>
                    </w:trPr>
                    <w:tc>
                      <w:tcPr>
                        <w:tcW w:w="1723" w:type="dxa"/>
                        <w:tcBorders>
                          <w:top w:val="single" w:sz="4" w:space="0" w:color="auto"/>
                          <w:left w:val="single" w:sz="4" w:space="0" w:color="auto"/>
                        </w:tcBorders>
                        <w:shd w:val="clear" w:color="auto" w:fill="FFFFFF"/>
                      </w:tcPr>
                      <w:p w:rsidR="00B1119F" w:rsidRDefault="00B1119F">
                        <w:pPr>
                          <w:spacing w:after="0" w:line="190" w:lineRule="exact"/>
                          <w:ind w:left="140"/>
                          <w:jc w:val="left"/>
                        </w:pPr>
                        <w:r>
                          <w:t></w:t>
                        </w:r>
                        <w:r>
                          <w:t></w:t>
                        </w:r>
                        <w:r>
                          <w:t></w:t>
                        </w:r>
                        <w:r>
                          <w:t></w:t>
                        </w:r>
                        <w:r>
                          <w:t></w:t>
                        </w:r>
                        <w:r>
                          <w:t></w:t>
                        </w:r>
                        <w:r>
                          <w:t></w:t>
                        </w:r>
                        <w:r>
                          <w:t></w:t>
                        </w:r>
                        <w:r>
                          <w:t></w:t>
                        </w:r>
                        <w:r>
                          <w:t></w:t>
                        </w:r>
                        <w:r>
                          <w:t></w:t>
                        </w:r>
                        <w:r>
                          <w:t></w:t>
                        </w:r>
                        <w:r>
                          <w:t></w:t>
                        </w:r>
                        <w:r>
                          <w:t></w:t>
                        </w:r>
                        <w:r>
                          <w:t></w:t>
                        </w:r>
                        <w:r>
                          <w:t></w:t>
                        </w:r>
                        <w:r>
                          <w:t></w:t>
                        </w:r>
                        <w:r>
                          <w:t></w:t>
                        </w:r>
                      </w:p>
                    </w:tc>
                    <w:tc>
                      <w:tcPr>
                        <w:tcW w:w="2520" w:type="dxa"/>
                        <w:tcBorders>
                          <w:top w:val="single" w:sz="4" w:space="0" w:color="auto"/>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1733" w:type="dxa"/>
                        <w:tcBorders>
                          <w:top w:val="single" w:sz="4" w:space="0" w:color="auto"/>
                          <w:left w:val="single" w:sz="4" w:space="0" w:color="auto"/>
                        </w:tcBorders>
                        <w:shd w:val="clear" w:color="auto" w:fill="FFFFFF"/>
                      </w:tcPr>
                      <w:p w:rsidR="00B1119F" w:rsidRDefault="00B1119F">
                        <w:pPr>
                          <w:spacing w:after="0" w:line="190" w:lineRule="exact"/>
                          <w:ind w:left="220"/>
                          <w:jc w:val="left"/>
                        </w:pPr>
                        <w:r>
                          <w:t></w:t>
                        </w:r>
                        <w:r>
                          <w:t></w:t>
                        </w:r>
                        <w:r>
                          <w:t></w:t>
                        </w:r>
                        <w:r>
                          <w:t></w:t>
                        </w:r>
                        <w:r>
                          <w:t></w:t>
                        </w:r>
                        <w:r>
                          <w:t></w:t>
                        </w:r>
                        <w:r>
                          <w:t></w:t>
                        </w:r>
                        <w:r>
                          <w:t></w:t>
                        </w:r>
                        <w:r>
                          <w:t></w:t>
                        </w:r>
                        <w:r>
                          <w:t></w:t>
                        </w:r>
                        <w:r>
                          <w:t></w:t>
                        </w:r>
                        <w:r>
                          <w:t></w:t>
                        </w:r>
                        <w:r>
                          <w:t></w:t>
                        </w:r>
                        <w:r>
                          <w:t></w:t>
                        </w:r>
                      </w:p>
                    </w:tc>
                    <w:tc>
                      <w:tcPr>
                        <w:tcW w:w="1742" w:type="dxa"/>
                        <w:tcBorders>
                          <w:top w:val="single" w:sz="4" w:space="0" w:color="auto"/>
                          <w:left w:val="single" w:sz="4" w:space="0" w:color="auto"/>
                          <w:righ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p>
                    </w:tc>
                  </w:tr>
                  <w:tr w:rsidR="00B1119F">
                    <w:tblPrEx>
                      <w:tblCellMar>
                        <w:top w:w="0" w:type="dxa"/>
                        <w:bottom w:w="0" w:type="dxa"/>
                      </w:tblCellMar>
                    </w:tblPrEx>
                    <w:trPr>
                      <w:trHeight w:hRule="exact" w:val="254"/>
                      <w:jc w:val="center"/>
                    </w:trPr>
                    <w:tc>
                      <w:tcPr>
                        <w:tcW w:w="172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p>
                    </w:tc>
                    <w:tc>
                      <w:tcPr>
                        <w:tcW w:w="2520" w:type="dxa"/>
                        <w:tcBorders>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p>
                    </w:tc>
                  </w:tr>
                  <w:tr w:rsidR="00B1119F">
                    <w:tblPrEx>
                      <w:tblCellMar>
                        <w:top w:w="0" w:type="dxa"/>
                        <w:bottom w:w="0" w:type="dxa"/>
                      </w:tblCellMar>
                    </w:tblPrEx>
                    <w:trPr>
                      <w:trHeight w:hRule="exact" w:val="269"/>
                      <w:jc w:val="center"/>
                    </w:trPr>
                    <w:tc>
                      <w:tcPr>
                        <w:tcW w:w="1723" w:type="dxa"/>
                        <w:tcBorders>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rPr>
                            <w:lang w:eastAsia="ru-RU" w:bidi="ru-RU"/>
                          </w:rPr>
                          <w:t></w:t>
                        </w:r>
                      </w:p>
                    </w:tc>
                    <w:tc>
                      <w:tcPr>
                        <w:tcW w:w="2520" w:type="dxa"/>
                        <w:tcBorders>
                          <w:left w:val="single" w:sz="4" w:space="0" w:color="auto"/>
                        </w:tcBorders>
                        <w:shd w:val="clear" w:color="auto" w:fill="FFFFFF"/>
                      </w:tcPr>
                      <w:p w:rsidR="00B1119F" w:rsidRDefault="00B1119F">
                        <w:pPr>
                          <w:spacing w:after="0" w:line="190" w:lineRule="exact"/>
                          <w:ind w:left="300"/>
                          <w:jc w:val="left"/>
                        </w:pPr>
                        <w:r>
                          <w:t></w:t>
                        </w:r>
                        <w:r>
                          <w:t></w:t>
                        </w:r>
                        <w:r>
                          <w:t></w:t>
                        </w:r>
                        <w: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ind w:left="200"/>
                          <w:jc w:val="left"/>
                        </w:pPr>
                        <w:r>
                          <w:t></w:t>
                        </w:r>
                        <w:r>
                          <w:t></w:t>
                        </w:r>
                        <w:r>
                          <w:t></w:t>
                        </w:r>
                        <w:r>
                          <w:t></w:t>
                        </w:r>
                        <w:r>
                          <w:t></w:t>
                        </w:r>
                        <w:r>
                          <w:t></w:t>
                        </w:r>
                        <w:r>
                          <w:t></w:t>
                        </w:r>
                        <w:r>
                          <w:t></w:t>
                        </w:r>
                        <w:r>
                          <w:t></w:t>
                        </w:r>
                        <w:r>
                          <w:t></w:t>
                        </w:r>
                        <w:r>
                          <w:t></w:t>
                        </w:r>
                        <w:r>
                          <w:t></w:t>
                        </w:r>
                        <w:r>
                          <w:t></w:t>
                        </w:r>
                        <w:r>
                          <w:t></w:t>
                        </w:r>
                      </w:p>
                    </w:tc>
                  </w:tr>
                  <w:tr w:rsidR="00B1119F">
                    <w:tblPrEx>
                      <w:tblCellMar>
                        <w:top w:w="0" w:type="dxa"/>
                        <w:bottom w:w="0" w:type="dxa"/>
                      </w:tblCellMar>
                    </w:tblPrEx>
                    <w:trPr>
                      <w:trHeight w:hRule="exact" w:val="254"/>
                      <w:jc w:val="center"/>
                    </w:trPr>
                    <w:tc>
                      <w:tcPr>
                        <w:tcW w:w="1723" w:type="dxa"/>
                        <w:tcBorders>
                          <w:left w:val="single" w:sz="4" w:space="0" w:color="auto"/>
                        </w:tcBorders>
                        <w:shd w:val="clear" w:color="auto" w:fill="FFFFFF"/>
                      </w:tcPr>
                      <w:p w:rsidR="00B1119F" w:rsidRDefault="00B1119F">
                        <w:pPr>
                          <w:spacing w:after="0" w:line="190" w:lineRule="exact"/>
                          <w:ind w:left="140"/>
                          <w:jc w:val="left"/>
                        </w:pPr>
                        <w:r>
                          <w:t></w:t>
                        </w:r>
                        <w:r>
                          <w:t></w:t>
                        </w:r>
                        <w:r>
                          <w:t></w:t>
                        </w:r>
                        <w:r>
                          <w:t></w:t>
                        </w:r>
                        <w:r>
                          <w:t></w:t>
                        </w:r>
                        <w:r>
                          <w:t></w:t>
                        </w:r>
                        <w:r>
                          <w:t></w:t>
                        </w:r>
                        <w:r>
                          <w:t></w:t>
                        </w:r>
                        <w:r>
                          <w:t></w:t>
                        </w:r>
                        <w:r>
                          <w:t></w:t>
                        </w:r>
                        <w:r>
                          <w:t></w:t>
                        </w:r>
                        <w:r>
                          <w:t></w:t>
                        </w:r>
                        <w:r>
                          <w:t></w:t>
                        </w:r>
                        <w:r>
                          <w:t></w:t>
                        </w:r>
                        <w:r>
                          <w:t></w:t>
                        </w:r>
                        <w:r>
                          <w:t></w:t>
                        </w:r>
                        <w:r>
                          <w:t></w:t>
                        </w:r>
                      </w:p>
                    </w:tc>
                    <w:tc>
                      <w:tcPr>
                        <w:tcW w:w="2520" w:type="dxa"/>
                        <w:tcBorders>
                          <w:left w:val="single" w:sz="4" w:space="0" w:color="auto"/>
                        </w:tcBorders>
                        <w:shd w:val="clear" w:color="auto" w:fill="FFFFFF"/>
                      </w:tcPr>
                      <w:p w:rsidR="00B1119F" w:rsidRDefault="00B1119F">
                        <w:pPr>
                          <w:spacing w:after="0" w:line="190" w:lineRule="exact"/>
                          <w:jc w:val="center"/>
                        </w:pP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jc w:val="center"/>
                        </w:pPr>
                        <w:r>
                          <w:t></w:t>
                        </w:r>
                        <w:r>
                          <w:t></w:t>
                        </w:r>
                        <w:r>
                          <w:t></w:t>
                        </w:r>
                        <w:r>
                          <w:t></w:t>
                        </w:r>
                        <w:r>
                          <w:t></w:t>
                        </w:r>
                        <w:r>
                          <w:t></w:t>
                        </w:r>
                      </w:p>
                    </w:tc>
                  </w:tr>
                  <w:tr w:rsidR="00B1119F">
                    <w:tblPrEx>
                      <w:tblCellMar>
                        <w:top w:w="0" w:type="dxa"/>
                        <w:bottom w:w="0" w:type="dxa"/>
                      </w:tblCellMar>
                    </w:tblPrEx>
                    <w:trPr>
                      <w:trHeight w:hRule="exact" w:val="269"/>
                      <w:jc w:val="center"/>
                    </w:trPr>
                    <w:tc>
                      <w:tcPr>
                        <w:tcW w:w="1723" w:type="dxa"/>
                        <w:tcBorders>
                          <w:left w:val="single" w:sz="4" w:space="0" w:color="auto"/>
                        </w:tcBorders>
                        <w:shd w:val="clear" w:color="auto" w:fill="FFFFFF"/>
                      </w:tcPr>
                      <w:p w:rsidR="00B1119F" w:rsidRDefault="00B1119F">
                        <w:pPr>
                          <w:spacing w:after="0" w:line="190" w:lineRule="exact"/>
                          <w:jc w:val="left"/>
                        </w:pP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t></w:t>
                        </w:r>
                        <w:r>
                          <w:t></w:t>
                        </w:r>
                        <w:r>
                          <w:t></w:t>
                        </w:r>
                        <w:r>
                          <w:t></w:t>
                        </w:r>
                        <w:r>
                          <w:t></w:t>
                        </w:r>
                        <w:r>
                          <w:t></w:t>
                        </w:r>
                        <w:r>
                          <w:t></w:t>
                        </w:r>
                      </w:p>
                    </w:tc>
                    <w:tc>
                      <w:tcPr>
                        <w:tcW w:w="2520"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p>
                    </w:tc>
                  </w:tr>
                  <w:tr w:rsidR="00B1119F">
                    <w:tblPrEx>
                      <w:tblCellMar>
                        <w:top w:w="0" w:type="dxa"/>
                        <w:bottom w:w="0" w:type="dxa"/>
                      </w:tblCellMar>
                    </w:tblPrEx>
                    <w:trPr>
                      <w:trHeight w:hRule="exact" w:val="254"/>
                      <w:jc w:val="center"/>
                    </w:trPr>
                    <w:tc>
                      <w:tcPr>
                        <w:tcW w:w="172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p>
                    </w:tc>
                    <w:tc>
                      <w:tcPr>
                        <w:tcW w:w="2520"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ind w:left="200"/>
                          <w:jc w:val="left"/>
                        </w:pPr>
                        <w:r>
                          <w:t></w:t>
                        </w:r>
                        <w:r>
                          <w:t></w:t>
                        </w:r>
                        <w:r>
                          <w:t></w:t>
                        </w:r>
                        <w:r>
                          <w:t></w:t>
                        </w:r>
                        <w:r>
                          <w:t></w:t>
                        </w:r>
                        <w:r>
                          <w:t></w:t>
                        </w:r>
                        <w:r>
                          <w:t></w:t>
                        </w:r>
                        <w:r>
                          <w:t></w:t>
                        </w:r>
                        <w:r>
                          <w:t></w:t>
                        </w:r>
                        <w:r>
                          <w:t></w:t>
                        </w:r>
                        <w:r>
                          <w:t></w:t>
                        </w:r>
                        <w:r>
                          <w:t></w:t>
                        </w:r>
                        <w:r>
                          <w:t></w:t>
                        </w:r>
                        <w:r>
                          <w:t></w:t>
                        </w:r>
                      </w:p>
                    </w:tc>
                  </w:tr>
                  <w:tr w:rsidR="00B1119F">
                    <w:tblPrEx>
                      <w:tblCellMar>
                        <w:top w:w="0" w:type="dxa"/>
                        <w:bottom w:w="0" w:type="dxa"/>
                      </w:tblCellMar>
                    </w:tblPrEx>
                    <w:trPr>
                      <w:trHeight w:hRule="exact" w:val="250"/>
                      <w:jc w:val="center"/>
                    </w:trPr>
                    <w:tc>
                      <w:tcPr>
                        <w:tcW w:w="1723" w:type="dxa"/>
                        <w:tcBorders>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r>
                          <w:t></w:t>
                        </w:r>
                        <w:r>
                          <w:t></w:t>
                        </w:r>
                      </w:p>
                    </w:tc>
                    <w:tc>
                      <w:tcPr>
                        <w:tcW w:w="2520"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ind w:left="200"/>
                          <w:jc w:val="left"/>
                        </w:pPr>
                        <w:r>
                          <w:t></w:t>
                        </w:r>
                        <w:r>
                          <w:t></w:t>
                        </w:r>
                        <w:r>
                          <w:t></w:t>
                        </w:r>
                        <w:r>
                          <w:t></w:t>
                        </w:r>
                        <w:r>
                          <w:t></w:t>
                        </w:r>
                        <w: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p>
                    </w:tc>
                  </w:tr>
                  <w:tr w:rsidR="00B1119F">
                    <w:tblPrEx>
                      <w:tblCellMar>
                        <w:top w:w="0" w:type="dxa"/>
                        <w:bottom w:w="0" w:type="dxa"/>
                      </w:tblCellMar>
                    </w:tblPrEx>
                    <w:trPr>
                      <w:trHeight w:hRule="exact" w:val="269"/>
                      <w:jc w:val="center"/>
                    </w:trPr>
                    <w:tc>
                      <w:tcPr>
                        <w:tcW w:w="1723" w:type="dxa"/>
                        <w:tcBorders>
                          <w:left w:val="single" w:sz="4" w:space="0" w:color="auto"/>
                        </w:tcBorders>
                        <w:shd w:val="clear" w:color="auto" w:fill="FFFFFF"/>
                      </w:tcPr>
                      <w:p w:rsidR="00B1119F" w:rsidRDefault="00B1119F">
                        <w:pPr>
                          <w:spacing w:after="0" w:line="190" w:lineRule="exact"/>
                          <w:ind w:left="140"/>
                          <w:jc w:val="left"/>
                        </w:pPr>
                        <w:r>
                          <w:t></w:t>
                        </w:r>
                        <w:r>
                          <w:t></w:t>
                        </w:r>
                        <w:r>
                          <w:t></w:t>
                        </w:r>
                        <w:r>
                          <w:t></w:t>
                        </w:r>
                        <w:r>
                          <w:t></w:t>
                        </w:r>
                        <w:r>
                          <w:t></w:t>
                        </w:r>
                        <w:r>
                          <w:t></w:t>
                        </w:r>
                        <w:r>
                          <w:t></w:t>
                        </w:r>
                        <w:r>
                          <w:t></w:t>
                        </w:r>
                        <w:r>
                          <w:t></w:t>
                        </w:r>
                        <w:r>
                          <w:t></w:t>
                        </w:r>
                        <w:r>
                          <w:t></w:t>
                        </w:r>
                        <w:r>
                          <w:t></w:t>
                        </w:r>
                        <w:r>
                          <w:t></w:t>
                        </w:r>
                        <w:r>
                          <w:t></w:t>
                        </w:r>
                        <w:r>
                          <w:t></w:t>
                        </w:r>
                        <w:r>
                          <w:t></w:t>
                        </w:r>
                        <w:r>
                          <w:t></w:t>
                        </w:r>
                      </w:p>
                    </w:tc>
                    <w:tc>
                      <w:tcPr>
                        <w:tcW w:w="2520" w:type="dxa"/>
                        <w:tcBorders>
                          <w:left w:val="single" w:sz="4" w:space="0" w:color="auto"/>
                        </w:tcBorders>
                        <w:shd w:val="clear" w:color="auto" w:fill="FFFFFF"/>
                      </w:tcPr>
                      <w:p w:rsidR="00B1119F" w:rsidRDefault="00B1119F">
                        <w:pPr>
                          <w:spacing w:after="0" w:line="190" w:lineRule="exact"/>
                          <w:jc w:val="left"/>
                        </w:pP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p>
                    </w:tc>
                  </w:tr>
                  <w:tr w:rsidR="00B1119F">
                    <w:tblPrEx>
                      <w:tblCellMar>
                        <w:top w:w="0" w:type="dxa"/>
                        <w:bottom w:w="0" w:type="dxa"/>
                      </w:tblCellMar>
                    </w:tblPrEx>
                    <w:trPr>
                      <w:trHeight w:hRule="exact" w:val="274"/>
                      <w:jc w:val="center"/>
                    </w:trPr>
                    <w:tc>
                      <w:tcPr>
                        <w:tcW w:w="172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p>
                    </w:tc>
                    <w:tc>
                      <w:tcPr>
                        <w:tcW w:w="2520" w:type="dxa"/>
                        <w:tcBorders>
                          <w:left w:val="single" w:sz="4" w:space="0" w:color="auto"/>
                        </w:tcBorders>
                        <w:shd w:val="clear" w:color="auto" w:fill="FFFFFF"/>
                      </w:tcPr>
                      <w:p w:rsidR="00B1119F" w:rsidRDefault="00B1119F">
                        <w:pPr>
                          <w:spacing w:after="0" w:line="190" w:lineRule="exact"/>
                          <w:jc w:val="center"/>
                        </w:pP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p>
                    </w:tc>
                    <w:tc>
                      <w:tcPr>
                        <w:tcW w:w="1733" w:type="dxa"/>
                        <w:tcBorders>
                          <w:left w:val="single" w:sz="4" w:space="0" w:color="auto"/>
                        </w:tcBorders>
                        <w:shd w:val="clear" w:color="auto" w:fill="FFFFFF"/>
                      </w:tcPr>
                      <w:p w:rsidR="00B1119F" w:rsidRDefault="00B1119F">
                        <w:pPr>
                          <w:spacing w:after="0" w:line="190" w:lineRule="exact"/>
                          <w:ind w:left="220"/>
                          <w:jc w:val="left"/>
                        </w:pPr>
                        <w:r>
                          <w:t></w:t>
                        </w:r>
                        <w:r>
                          <w:t></w:t>
                        </w:r>
                        <w:r>
                          <w:t></w:t>
                        </w:r>
                        <w:r>
                          <w:t></w:t>
                        </w: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ind w:left="200"/>
                          <w:jc w:val="left"/>
                        </w:pPr>
                        <w:r>
                          <w:t></w:t>
                        </w:r>
                        <w:r>
                          <w:t></w:t>
                        </w:r>
                        <w:r>
                          <w:t></w:t>
                        </w:r>
                        <w:r>
                          <w:t></w:t>
                        </w:r>
                        <w:r>
                          <w:t></w:t>
                        </w:r>
                        <w:r>
                          <w:t></w:t>
                        </w:r>
                        <w:r>
                          <w:t></w:t>
                        </w:r>
                        <w:r>
                          <w:t></w:t>
                        </w:r>
                        <w:r>
                          <w:t></w:t>
                        </w:r>
                        <w:r>
                          <w:t></w:t>
                        </w:r>
                        <w:r>
                          <w:t></w:t>
                        </w:r>
                        <w:r>
                          <w:t></w:t>
                        </w:r>
                        <w:r>
                          <w:t></w:t>
                        </w:r>
                        <w:r>
                          <w:t></w:t>
                        </w:r>
                        <w:r>
                          <w:t></w:t>
                        </w:r>
                        <w:r>
                          <w:t></w:t>
                        </w:r>
                      </w:p>
                    </w:tc>
                  </w:tr>
                  <w:tr w:rsidR="00B1119F">
                    <w:tblPrEx>
                      <w:tblCellMar>
                        <w:top w:w="0" w:type="dxa"/>
                        <w:bottom w:w="0" w:type="dxa"/>
                      </w:tblCellMar>
                    </w:tblPrEx>
                    <w:trPr>
                      <w:trHeight w:hRule="exact" w:val="245"/>
                      <w:jc w:val="center"/>
                    </w:trPr>
                    <w:tc>
                      <w:tcPr>
                        <w:tcW w:w="172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p>
                    </w:tc>
                    <w:tc>
                      <w:tcPr>
                        <w:tcW w:w="2520" w:type="dxa"/>
                        <w:tcBorders>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p>
                    </w:tc>
                  </w:tr>
                  <w:tr w:rsidR="00B1119F">
                    <w:tblPrEx>
                      <w:tblCellMar>
                        <w:top w:w="0" w:type="dxa"/>
                        <w:bottom w:w="0" w:type="dxa"/>
                      </w:tblCellMar>
                    </w:tblPrEx>
                    <w:trPr>
                      <w:trHeight w:hRule="exact" w:val="259"/>
                      <w:jc w:val="center"/>
                    </w:trPr>
                    <w:tc>
                      <w:tcPr>
                        <w:tcW w:w="1723" w:type="dxa"/>
                        <w:tcBorders>
                          <w:left w:val="single" w:sz="4" w:space="0" w:color="auto"/>
                        </w:tcBorders>
                        <w:shd w:val="clear" w:color="auto" w:fill="FFFFFF"/>
                        <w:vAlign w:val="bottom"/>
                      </w:tcPr>
                      <w:p w:rsidR="00B1119F" w:rsidRDefault="00B1119F">
                        <w:pPr>
                          <w:spacing w:after="0" w:line="190" w:lineRule="exact"/>
                          <w:jc w:val="center"/>
                        </w:pPr>
                        <w:r>
                          <w:t></w:t>
                        </w:r>
                        <w:r>
                          <w:t></w:t>
                        </w:r>
                        <w:r>
                          <w:t></w:t>
                        </w:r>
                        <w:r>
                          <w:t></w:t>
                        </w:r>
                        <w:r>
                          <w:t></w:t>
                        </w:r>
                        <w:r>
                          <w:t></w:t>
                        </w:r>
                        <w:r>
                          <w:t></w:t>
                        </w:r>
                        <w:r>
                          <w:t></w:t>
                        </w:r>
                        <w:r>
                          <w:t></w:t>
                        </w:r>
                        <w:r>
                          <w:t></w:t>
                        </w:r>
                        <w:r>
                          <w:t></w:t>
                        </w:r>
                        <w:r>
                          <w:t></w:t>
                        </w:r>
                      </w:p>
                    </w:tc>
                    <w:tc>
                      <w:tcPr>
                        <w:tcW w:w="2520" w:type="dxa"/>
                        <w:tcBorders>
                          <w:left w:val="single" w:sz="4" w:space="0" w:color="auto"/>
                        </w:tcBorders>
                        <w:shd w:val="clear" w:color="auto" w:fill="FFFFFF"/>
                        <w:vAlign w:val="bottom"/>
                      </w:tcPr>
                      <w:p w:rsidR="00B1119F" w:rsidRDefault="00B1119F">
                        <w:pPr>
                          <w:spacing w:after="0" w:line="190" w:lineRule="exact"/>
                          <w:jc w:val="center"/>
                        </w:pP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vAlign w:val="bottom"/>
                      </w:tcPr>
                      <w:p w:rsidR="00B1119F" w:rsidRDefault="00B1119F">
                        <w:pPr>
                          <w:spacing w:after="0" w:line="190" w:lineRule="exact"/>
                          <w:jc w:val="left"/>
                        </w:pP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t></w:t>
                        </w:r>
                        <w:r>
                          <w:t></w:t>
                        </w:r>
                        <w:r>
                          <w:t></w:t>
                        </w:r>
                        <w:r>
                          <w:t></w:t>
                        </w:r>
                        <w:r>
                          <w:t></w:t>
                        </w:r>
                        <w:r>
                          <w:t></w:t>
                        </w:r>
                      </w:p>
                    </w:tc>
                    <w:tc>
                      <w:tcPr>
                        <w:tcW w:w="1742" w:type="dxa"/>
                        <w:tcBorders>
                          <w:left w:val="single" w:sz="4" w:space="0" w:color="auto"/>
                          <w:right w:val="single" w:sz="4" w:space="0" w:color="auto"/>
                        </w:tcBorders>
                        <w:shd w:val="clear" w:color="auto" w:fill="FFFFFF"/>
                        <w:vAlign w:val="bottom"/>
                      </w:tcPr>
                      <w:p w:rsidR="00B1119F" w:rsidRDefault="00B1119F">
                        <w:pPr>
                          <w:spacing w:after="0" w:line="190" w:lineRule="exact"/>
                          <w:jc w:val="center"/>
                        </w:pPr>
                        <w:r>
                          <w:t></w:t>
                        </w:r>
                        <w:r>
                          <w:t></w:t>
                        </w:r>
                        <w:r>
                          <w:t></w:t>
                        </w:r>
                        <w:r>
                          <w:t></w:t>
                        </w:r>
                        <w:r>
                          <w:t></w:t>
                        </w:r>
                        <w:r>
                          <w:t></w:t>
                        </w:r>
                        <w:r>
                          <w:t></w:t>
                        </w:r>
                        <w:r>
                          <w:t></w:t>
                        </w:r>
                        <w:r>
                          <w:t></w:t>
                        </w:r>
                        <w:r>
                          <w:t></w:t>
                        </w:r>
                        <w:r>
                          <w:t></w:t>
                        </w:r>
                        <w:r>
                          <w:t></w:t>
                        </w:r>
                      </w:p>
                    </w:tc>
                  </w:tr>
                  <w:tr w:rsidR="00B1119F">
                    <w:tblPrEx>
                      <w:tblCellMar>
                        <w:top w:w="0" w:type="dxa"/>
                        <w:bottom w:w="0" w:type="dxa"/>
                      </w:tblCellMar>
                    </w:tblPrEx>
                    <w:trPr>
                      <w:trHeight w:hRule="exact" w:val="259"/>
                      <w:jc w:val="center"/>
                    </w:trPr>
                    <w:tc>
                      <w:tcPr>
                        <w:tcW w:w="172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p>
                    </w:tc>
                    <w:tc>
                      <w:tcPr>
                        <w:tcW w:w="2520" w:type="dxa"/>
                        <w:tcBorders>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p>
                    </w:tc>
                    <w:tc>
                      <w:tcPr>
                        <w:tcW w:w="173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p>
                    </w:tc>
                  </w:tr>
                  <w:tr w:rsidR="00B1119F">
                    <w:tblPrEx>
                      <w:tblCellMar>
                        <w:top w:w="0" w:type="dxa"/>
                        <w:bottom w:w="0" w:type="dxa"/>
                      </w:tblCellMar>
                    </w:tblPrEx>
                    <w:trPr>
                      <w:trHeight w:hRule="exact" w:val="274"/>
                      <w:jc w:val="center"/>
                    </w:trPr>
                    <w:tc>
                      <w:tcPr>
                        <w:tcW w:w="1723" w:type="dxa"/>
                        <w:tcBorders>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p>
                    </w:tc>
                    <w:tc>
                      <w:tcPr>
                        <w:tcW w:w="2520"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p>
                    </w:tc>
                    <w:tc>
                      <w:tcPr>
                        <w:tcW w:w="173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p>
                    </w:tc>
                  </w:tr>
                  <w:tr w:rsidR="00B1119F">
                    <w:tblPrEx>
                      <w:tblCellMar>
                        <w:top w:w="0" w:type="dxa"/>
                        <w:bottom w:w="0" w:type="dxa"/>
                      </w:tblCellMar>
                    </w:tblPrEx>
                    <w:trPr>
                      <w:trHeight w:hRule="exact" w:val="250"/>
                      <w:jc w:val="center"/>
                    </w:trPr>
                    <w:tc>
                      <w:tcPr>
                        <w:tcW w:w="1723" w:type="dxa"/>
                        <w:tcBorders>
                          <w:left w:val="single" w:sz="4" w:space="0" w:color="auto"/>
                        </w:tcBorders>
                        <w:shd w:val="clear" w:color="auto" w:fill="FFFFFF"/>
                        <w:vAlign w:val="bottom"/>
                      </w:tcPr>
                      <w:p w:rsidR="00B1119F" w:rsidRDefault="00B1119F">
                        <w:pPr>
                          <w:spacing w:after="0" w:line="190" w:lineRule="exact"/>
                          <w:jc w:val="center"/>
                        </w:pPr>
                        <w:r>
                          <w:t></w:t>
                        </w:r>
                        <w:r>
                          <w:t></w:t>
                        </w:r>
                        <w:r>
                          <w:t></w:t>
                        </w:r>
                        <w:r>
                          <w:t></w:t>
                        </w:r>
                        <w:r>
                          <w:t></w:t>
                        </w:r>
                        <w:r>
                          <w:t></w:t>
                        </w:r>
                        <w:r>
                          <w:t></w:t>
                        </w:r>
                        <w:r>
                          <w:t></w:t>
                        </w:r>
                        <w:r>
                          <w:t></w:t>
                        </w:r>
                        <w:r>
                          <w:t></w:t>
                        </w:r>
                        <w:r>
                          <w:t></w:t>
                        </w:r>
                        <w:r>
                          <w:t></w:t>
                        </w:r>
                        <w:r>
                          <w:t></w:t>
                        </w:r>
                      </w:p>
                    </w:tc>
                    <w:tc>
                      <w:tcPr>
                        <w:tcW w:w="2520" w:type="dxa"/>
                        <w:tcBorders>
                          <w:left w:val="single" w:sz="4" w:space="0" w:color="auto"/>
                        </w:tcBorders>
                        <w:shd w:val="clear" w:color="auto" w:fill="FFFFFF"/>
                        <w:vAlign w:val="bottom"/>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vAlign w:val="bottom"/>
                      </w:tcPr>
                      <w:p w:rsidR="00B1119F" w:rsidRDefault="00B1119F">
                        <w:pPr>
                          <w:spacing w:after="0" w:line="190" w:lineRule="exact"/>
                          <w:ind w:left="220"/>
                          <w:jc w:val="left"/>
                        </w:pPr>
                        <w:r>
                          <w:t></w:t>
                        </w:r>
                        <w:r>
                          <w:t></w:t>
                        </w:r>
                        <w:r>
                          <w:t></w:t>
                        </w: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vAlign w:val="bottom"/>
                      </w:tcPr>
                      <w:p w:rsidR="00B1119F" w:rsidRDefault="00B1119F">
                        <w:pPr>
                          <w:spacing w:after="0" w:line="190" w:lineRule="exact"/>
                          <w:jc w:val="center"/>
                        </w:pPr>
                        <w:r>
                          <w:t></w:t>
                        </w:r>
                        <w:r>
                          <w:t></w:t>
                        </w:r>
                        <w:r>
                          <w:t></w:t>
                        </w:r>
                        <w:r>
                          <w:t></w:t>
                        </w:r>
                        <w:r>
                          <w:t></w:t>
                        </w:r>
                        <w:r>
                          <w:t></w:t>
                        </w:r>
                        <w:r>
                          <w:t></w:t>
                        </w:r>
                      </w:p>
                    </w:tc>
                  </w:tr>
                  <w:tr w:rsidR="00B1119F">
                    <w:tblPrEx>
                      <w:tblCellMar>
                        <w:top w:w="0" w:type="dxa"/>
                        <w:bottom w:w="0" w:type="dxa"/>
                      </w:tblCellMar>
                    </w:tblPrEx>
                    <w:trPr>
                      <w:trHeight w:hRule="exact" w:val="264"/>
                      <w:jc w:val="center"/>
                    </w:trPr>
                    <w:tc>
                      <w:tcPr>
                        <w:tcW w:w="172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p>
                    </w:tc>
                    <w:tc>
                      <w:tcPr>
                        <w:tcW w:w="2520"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rPr>
                            <w:lang w:eastAsia="ru-RU" w:bidi="ru-RU"/>
                          </w:rP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ind w:left="200"/>
                          <w:jc w:val="left"/>
                        </w:pPr>
                        <w:r>
                          <w:t></w:t>
                        </w:r>
                        <w:r>
                          <w:t></w:t>
                        </w:r>
                        <w:r>
                          <w:t></w:t>
                        </w:r>
                        <w:r>
                          <w:t></w:t>
                        </w:r>
                        <w:r>
                          <w:t></w:t>
                        </w:r>
                        <w:r>
                          <w:t></w:t>
                        </w:r>
                        <w:r>
                          <w:t></w:t>
                        </w:r>
                        <w:r>
                          <w:t></w:t>
                        </w:r>
                        <w:r>
                          <w:t></w:t>
                        </w:r>
                        <w:r>
                          <w:t></w:t>
                        </w:r>
                        <w:r>
                          <w:t></w:t>
                        </w:r>
                        <w:r>
                          <w:t></w:t>
                        </w:r>
                        <w:r>
                          <w:t></w:t>
                        </w:r>
                        <w:r>
                          <w:t></w:t>
                        </w:r>
                        <w:r>
                          <w:t></w:t>
                        </w:r>
                      </w:p>
                    </w:tc>
                  </w:tr>
                  <w:tr w:rsidR="00B1119F">
                    <w:tblPrEx>
                      <w:tblCellMar>
                        <w:top w:w="0" w:type="dxa"/>
                        <w:bottom w:w="0" w:type="dxa"/>
                      </w:tblCellMar>
                    </w:tblPrEx>
                    <w:trPr>
                      <w:trHeight w:hRule="exact" w:val="269"/>
                      <w:jc w:val="center"/>
                    </w:trPr>
                    <w:tc>
                      <w:tcPr>
                        <w:tcW w:w="172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p>
                    </w:tc>
                    <w:tc>
                      <w:tcPr>
                        <w:tcW w:w="2520" w:type="dxa"/>
                        <w:tcBorders>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p>
                    </w:tc>
                  </w:tr>
                  <w:tr w:rsidR="00B1119F">
                    <w:tblPrEx>
                      <w:tblCellMar>
                        <w:top w:w="0" w:type="dxa"/>
                        <w:bottom w:w="0" w:type="dxa"/>
                      </w:tblCellMar>
                    </w:tblPrEx>
                    <w:trPr>
                      <w:trHeight w:hRule="exact" w:val="245"/>
                      <w:jc w:val="center"/>
                    </w:trPr>
                    <w:tc>
                      <w:tcPr>
                        <w:tcW w:w="1723" w:type="dxa"/>
                        <w:tcBorders>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p>
                    </w:tc>
                    <w:tc>
                      <w:tcPr>
                        <w:tcW w:w="2520"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ind w:left="200"/>
                          <w:jc w:val="left"/>
                        </w:pPr>
                        <w:r>
                          <w:t></w:t>
                        </w:r>
                        <w:r>
                          <w:t></w:t>
                        </w:r>
                        <w:r>
                          <w:t></w:t>
                        </w:r>
                        <w:r>
                          <w:t></w:t>
                        </w:r>
                        <w:r>
                          <w:t></w:t>
                        </w:r>
                        <w:r>
                          <w:t></w:t>
                        </w:r>
                        <w:r>
                          <w:t></w:t>
                        </w:r>
                        <w:r>
                          <w:t></w:t>
                        </w:r>
                        <w:r>
                          <w:t></w:t>
                        </w:r>
                        <w:r>
                          <w:t></w:t>
                        </w:r>
                        <w:r>
                          <w:t></w:t>
                        </w:r>
                        <w:r>
                          <w:t></w:t>
                        </w:r>
                        <w:r>
                          <w:t></w:t>
                        </w:r>
                        <w:r>
                          <w:t></w:t>
                        </w:r>
                        <w:r>
                          <w:t></w:t>
                        </w:r>
                        <w:r>
                          <w:t></w:t>
                        </w:r>
                      </w:p>
                    </w:tc>
                  </w:tr>
                  <w:tr w:rsidR="00B1119F">
                    <w:tblPrEx>
                      <w:tblCellMar>
                        <w:top w:w="0" w:type="dxa"/>
                        <w:bottom w:w="0" w:type="dxa"/>
                      </w:tblCellMar>
                    </w:tblPrEx>
                    <w:trPr>
                      <w:trHeight w:hRule="exact" w:val="278"/>
                      <w:jc w:val="center"/>
                    </w:trPr>
                    <w:tc>
                      <w:tcPr>
                        <w:tcW w:w="1723" w:type="dxa"/>
                        <w:tcBorders>
                          <w:left w:val="single" w:sz="4" w:space="0" w:color="auto"/>
                        </w:tcBorders>
                        <w:shd w:val="clear" w:color="auto" w:fill="FFFFFF"/>
                      </w:tcPr>
                      <w:p w:rsidR="00B1119F" w:rsidRDefault="00B1119F">
                        <w:pPr>
                          <w:rPr>
                            <w:sz w:val="10"/>
                            <w:szCs w:val="10"/>
                          </w:rPr>
                        </w:pPr>
                      </w:p>
                    </w:tc>
                    <w:tc>
                      <w:tcPr>
                        <w:tcW w:w="2520"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ind w:left="140"/>
                          <w:jc w:val="left"/>
                        </w:pPr>
                        <w:r>
                          <w:t></w:t>
                        </w:r>
                        <w:r>
                          <w:t></w:t>
                        </w:r>
                        <w:r>
                          <w:t></w:t>
                        </w:r>
                        <w:r>
                          <w:t></w:t>
                        </w:r>
                        <w:r>
                          <w:t></w:t>
                        </w:r>
                        <w:r>
                          <w:t></w:t>
                        </w: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r>
                          <w:t></w:t>
                        </w:r>
                      </w:p>
                    </w:tc>
                  </w:tr>
                  <w:tr w:rsidR="00B1119F">
                    <w:tblPrEx>
                      <w:tblCellMar>
                        <w:top w:w="0" w:type="dxa"/>
                        <w:bottom w:w="0" w:type="dxa"/>
                      </w:tblCellMar>
                    </w:tblPrEx>
                    <w:trPr>
                      <w:trHeight w:hRule="exact" w:val="250"/>
                      <w:jc w:val="center"/>
                    </w:trPr>
                    <w:tc>
                      <w:tcPr>
                        <w:tcW w:w="1723" w:type="dxa"/>
                        <w:tcBorders>
                          <w:left w:val="single" w:sz="4" w:space="0" w:color="auto"/>
                        </w:tcBorders>
                        <w:shd w:val="clear" w:color="auto" w:fill="FFFFFF"/>
                      </w:tcPr>
                      <w:p w:rsidR="00B1119F" w:rsidRDefault="00B1119F">
                        <w:pPr>
                          <w:rPr>
                            <w:sz w:val="10"/>
                            <w:szCs w:val="10"/>
                          </w:rPr>
                        </w:pPr>
                      </w:p>
                    </w:tc>
                    <w:tc>
                      <w:tcPr>
                        <w:tcW w:w="2520" w:type="dxa"/>
                        <w:tcBorders>
                          <w:left w:val="single" w:sz="4" w:space="0" w:color="auto"/>
                        </w:tcBorders>
                        <w:shd w:val="clear" w:color="auto" w:fill="FFFFFF"/>
                      </w:tcPr>
                      <w:p w:rsidR="00B1119F" w:rsidRDefault="00B1119F">
                        <w:pPr>
                          <w:spacing w:after="0" w:line="190" w:lineRule="exact"/>
                          <w:ind w:left="240"/>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ind w:left="140"/>
                          <w:jc w:val="left"/>
                        </w:pPr>
                        <w:r>
                          <w:t></w:t>
                        </w:r>
                        <w:r>
                          <w:t></w:t>
                        </w:r>
                        <w:r>
                          <w:t></w:t>
                        </w:r>
                        <w:r>
                          <w:t></w:t>
                        </w:r>
                        <w:r>
                          <w:t></w:t>
                        </w: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r>
                          <w:t></w:t>
                        </w:r>
                        <w:r>
                          <w:t></w:t>
                        </w:r>
                        <w:r>
                          <w:t></w:t>
                        </w:r>
                      </w:p>
                    </w:tc>
                  </w:tr>
                  <w:tr w:rsidR="00B1119F">
                    <w:tblPrEx>
                      <w:tblCellMar>
                        <w:top w:w="0" w:type="dxa"/>
                        <w:bottom w:w="0" w:type="dxa"/>
                      </w:tblCellMar>
                    </w:tblPrEx>
                    <w:trPr>
                      <w:trHeight w:hRule="exact" w:val="254"/>
                      <w:jc w:val="center"/>
                    </w:trPr>
                    <w:tc>
                      <w:tcPr>
                        <w:tcW w:w="1723" w:type="dxa"/>
                        <w:tcBorders>
                          <w:left w:val="single" w:sz="4" w:space="0" w:color="auto"/>
                        </w:tcBorders>
                        <w:shd w:val="clear" w:color="auto" w:fill="FFFFFF"/>
                      </w:tcPr>
                      <w:p w:rsidR="00B1119F" w:rsidRDefault="00B1119F">
                        <w:pPr>
                          <w:rPr>
                            <w:sz w:val="10"/>
                            <w:szCs w:val="10"/>
                          </w:rPr>
                        </w:pPr>
                      </w:p>
                    </w:tc>
                    <w:tc>
                      <w:tcPr>
                        <w:tcW w:w="2520" w:type="dxa"/>
                        <w:tcBorders>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p>
                    </w:tc>
                  </w:tr>
                  <w:tr w:rsidR="00B1119F">
                    <w:tblPrEx>
                      <w:tblCellMar>
                        <w:top w:w="0" w:type="dxa"/>
                        <w:bottom w:w="0" w:type="dxa"/>
                      </w:tblCellMar>
                    </w:tblPrEx>
                    <w:trPr>
                      <w:trHeight w:hRule="exact" w:val="278"/>
                      <w:jc w:val="center"/>
                    </w:trPr>
                    <w:tc>
                      <w:tcPr>
                        <w:tcW w:w="1723" w:type="dxa"/>
                        <w:tcBorders>
                          <w:left w:val="single" w:sz="4" w:space="0" w:color="auto"/>
                        </w:tcBorders>
                        <w:shd w:val="clear" w:color="auto" w:fill="FFFFFF"/>
                      </w:tcPr>
                      <w:p w:rsidR="00B1119F" w:rsidRDefault="00B1119F">
                        <w:pPr>
                          <w:rPr>
                            <w:sz w:val="10"/>
                            <w:szCs w:val="10"/>
                          </w:rPr>
                        </w:pPr>
                      </w:p>
                    </w:tc>
                    <w:tc>
                      <w:tcPr>
                        <w:tcW w:w="2520"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ind w:left="280"/>
                          <w:jc w:val="left"/>
                        </w:pPr>
                        <w:r>
                          <w:t></w:t>
                        </w:r>
                        <w:r>
                          <w:t></w:t>
                        </w:r>
                        <w:r>
                          <w:t></w:t>
                        </w:r>
                        <w:r>
                          <w:t></w:t>
                        </w:r>
                        <w:r>
                          <w:t></w:t>
                        </w:r>
                        <w:r>
                          <w:t></w:t>
                        </w:r>
                        <w:r>
                          <w:t></w:t>
                        </w:r>
                        <w:r>
                          <w:t></w:t>
                        </w:r>
                        <w:r>
                          <w:t></w:t>
                        </w:r>
                        <w:r>
                          <w:t></w:t>
                        </w:r>
                        <w:r>
                          <w:t></w:t>
                        </w:r>
                        <w:r>
                          <w:t></w:t>
                        </w:r>
                        <w:r>
                          <w:t></w:t>
                        </w:r>
                        <w:r>
                          <w:t></w:t>
                        </w:r>
                      </w:p>
                    </w:tc>
                  </w:tr>
                  <w:tr w:rsidR="00B1119F">
                    <w:tblPrEx>
                      <w:tblCellMar>
                        <w:top w:w="0" w:type="dxa"/>
                        <w:bottom w:w="0" w:type="dxa"/>
                      </w:tblCellMar>
                    </w:tblPrEx>
                    <w:trPr>
                      <w:trHeight w:hRule="exact" w:val="264"/>
                      <w:jc w:val="center"/>
                    </w:trPr>
                    <w:tc>
                      <w:tcPr>
                        <w:tcW w:w="1723" w:type="dxa"/>
                        <w:tcBorders>
                          <w:left w:val="single" w:sz="4" w:space="0" w:color="auto"/>
                        </w:tcBorders>
                        <w:shd w:val="clear" w:color="auto" w:fill="FFFFFF"/>
                      </w:tcPr>
                      <w:p w:rsidR="00B1119F" w:rsidRDefault="00B1119F">
                        <w:pPr>
                          <w:rPr>
                            <w:sz w:val="10"/>
                            <w:szCs w:val="10"/>
                          </w:rPr>
                        </w:pPr>
                      </w:p>
                    </w:tc>
                    <w:tc>
                      <w:tcPr>
                        <w:tcW w:w="2520"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r>
                          <w:t></w:t>
                        </w:r>
                      </w:p>
                    </w:tc>
                    <w:tc>
                      <w:tcPr>
                        <w:tcW w:w="1742" w:type="dxa"/>
                        <w:tcBorders>
                          <w:left w:val="single" w:sz="4" w:space="0" w:color="auto"/>
                          <w:right w:val="single" w:sz="4" w:space="0" w:color="auto"/>
                        </w:tcBorders>
                        <w:shd w:val="clear" w:color="auto" w:fill="FFFFFF"/>
                      </w:tcPr>
                      <w:p w:rsidR="00B1119F" w:rsidRDefault="00B1119F">
                        <w:pPr>
                          <w:spacing w:after="0" w:line="190" w:lineRule="exact"/>
                          <w:ind w:left="200"/>
                          <w:jc w:val="left"/>
                        </w:pPr>
                        <w: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p>
                    </w:tc>
                  </w:tr>
                  <w:tr w:rsidR="00B1119F">
                    <w:tblPrEx>
                      <w:tblCellMar>
                        <w:top w:w="0" w:type="dxa"/>
                        <w:bottom w:w="0" w:type="dxa"/>
                      </w:tblCellMar>
                    </w:tblPrEx>
                    <w:trPr>
                      <w:trHeight w:hRule="exact" w:val="254"/>
                      <w:jc w:val="center"/>
                    </w:trPr>
                    <w:tc>
                      <w:tcPr>
                        <w:tcW w:w="1723" w:type="dxa"/>
                        <w:tcBorders>
                          <w:left w:val="single" w:sz="4" w:space="0" w:color="auto"/>
                        </w:tcBorders>
                        <w:shd w:val="clear" w:color="auto" w:fill="FFFFFF"/>
                      </w:tcPr>
                      <w:p w:rsidR="00B1119F" w:rsidRDefault="00B1119F">
                        <w:pPr>
                          <w:rPr>
                            <w:sz w:val="10"/>
                            <w:szCs w:val="10"/>
                          </w:rPr>
                        </w:pPr>
                      </w:p>
                    </w:tc>
                    <w:tc>
                      <w:tcPr>
                        <w:tcW w:w="2520" w:type="dxa"/>
                        <w:tcBorders>
                          <w:left w:val="single" w:sz="4" w:space="0" w:color="auto"/>
                        </w:tcBorders>
                        <w:shd w:val="clear" w:color="auto" w:fill="FFFFFF"/>
                      </w:tcPr>
                      <w:p w:rsidR="00B1119F" w:rsidRDefault="00B1119F">
                        <w:pPr>
                          <w:spacing w:after="0" w:line="190" w:lineRule="exact"/>
                          <w:jc w:val="center"/>
                        </w:pPr>
                        <w:r>
                          <w:t></w:t>
                        </w:r>
                        <w:r>
                          <w:t></w:t>
                        </w:r>
                        <w: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rPr>
                            <w:sz w:val="10"/>
                            <w:szCs w:val="10"/>
                          </w:rPr>
                        </w:pPr>
                      </w:p>
                    </w:tc>
                    <w:tc>
                      <w:tcPr>
                        <w:tcW w:w="1742" w:type="dxa"/>
                        <w:tcBorders>
                          <w:left w:val="single" w:sz="4" w:space="0" w:color="auto"/>
                          <w:right w:val="single" w:sz="4" w:space="0" w:color="auto"/>
                        </w:tcBorders>
                        <w:shd w:val="clear" w:color="auto" w:fill="FFFFFF"/>
                      </w:tcPr>
                      <w:p w:rsidR="00B1119F" w:rsidRDefault="00B1119F">
                        <w:pPr>
                          <w:spacing w:after="0" w:line="190" w:lineRule="exact"/>
                          <w:ind w:left="280"/>
                          <w:jc w:val="left"/>
                        </w:pPr>
                        <w:r>
                          <w:t></w:t>
                        </w:r>
                        <w:r>
                          <w:t></w:t>
                        </w:r>
                        <w:r>
                          <w:t></w:t>
                        </w:r>
                        <w:r>
                          <w:t></w:t>
                        </w:r>
                        <w:r>
                          <w:t></w:t>
                        </w:r>
                        <w:r>
                          <w:t></w:t>
                        </w:r>
                        <w:r>
                          <w:t></w:t>
                        </w:r>
                        <w:r>
                          <w:t></w:t>
                        </w:r>
                        <w:r>
                          <w:t></w:t>
                        </w:r>
                        <w:r>
                          <w:t></w:t>
                        </w:r>
                        <w:r>
                          <w:t></w:t>
                        </w:r>
                        <w:r>
                          <w:t></w:t>
                        </w:r>
                        <w:r>
                          <w:t></w:t>
                        </w:r>
                        <w:r>
                          <w:t></w:t>
                        </w:r>
                        <w:r>
                          <w:t></w:t>
                        </w:r>
                      </w:p>
                    </w:tc>
                  </w:tr>
                  <w:tr w:rsidR="00B1119F">
                    <w:tblPrEx>
                      <w:tblCellMar>
                        <w:top w:w="0" w:type="dxa"/>
                        <w:bottom w:w="0" w:type="dxa"/>
                      </w:tblCellMar>
                    </w:tblPrEx>
                    <w:trPr>
                      <w:trHeight w:hRule="exact" w:val="245"/>
                      <w:jc w:val="center"/>
                    </w:trPr>
                    <w:tc>
                      <w:tcPr>
                        <w:tcW w:w="1723" w:type="dxa"/>
                        <w:tcBorders>
                          <w:left w:val="single" w:sz="4" w:space="0" w:color="auto"/>
                        </w:tcBorders>
                        <w:shd w:val="clear" w:color="auto" w:fill="FFFFFF"/>
                      </w:tcPr>
                      <w:p w:rsidR="00B1119F" w:rsidRDefault="00B1119F">
                        <w:pPr>
                          <w:rPr>
                            <w:sz w:val="10"/>
                            <w:szCs w:val="10"/>
                          </w:rPr>
                        </w:pPr>
                      </w:p>
                    </w:tc>
                    <w:tc>
                      <w:tcPr>
                        <w:tcW w:w="2520" w:type="dxa"/>
                        <w:tcBorders>
                          <w:lef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tcBorders>
                        <w:shd w:val="clear" w:color="auto" w:fill="FFFFFF"/>
                      </w:tcPr>
                      <w:p w:rsidR="00B1119F" w:rsidRDefault="00B1119F">
                        <w:pPr>
                          <w:rPr>
                            <w:sz w:val="10"/>
                            <w:szCs w:val="10"/>
                          </w:rPr>
                        </w:pPr>
                      </w:p>
                    </w:tc>
                    <w:tc>
                      <w:tcPr>
                        <w:tcW w:w="1742" w:type="dxa"/>
                        <w:tcBorders>
                          <w:left w:val="single" w:sz="4" w:space="0" w:color="auto"/>
                          <w:righ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p>
                    </w:tc>
                  </w:tr>
                  <w:tr w:rsidR="00B1119F">
                    <w:tblPrEx>
                      <w:tblCellMar>
                        <w:top w:w="0" w:type="dxa"/>
                        <w:bottom w:w="0" w:type="dxa"/>
                      </w:tblCellMar>
                    </w:tblPrEx>
                    <w:trPr>
                      <w:trHeight w:hRule="exact" w:val="278"/>
                      <w:jc w:val="center"/>
                    </w:trPr>
                    <w:tc>
                      <w:tcPr>
                        <w:tcW w:w="1723" w:type="dxa"/>
                        <w:tcBorders>
                          <w:left w:val="single" w:sz="4" w:space="0" w:color="auto"/>
                        </w:tcBorders>
                        <w:shd w:val="clear" w:color="auto" w:fill="FFFFFF"/>
                      </w:tcPr>
                      <w:p w:rsidR="00B1119F" w:rsidRDefault="00B1119F">
                        <w:pPr>
                          <w:rPr>
                            <w:sz w:val="10"/>
                            <w:szCs w:val="10"/>
                          </w:rPr>
                        </w:pPr>
                      </w:p>
                    </w:tc>
                    <w:tc>
                      <w:tcPr>
                        <w:tcW w:w="2520" w:type="dxa"/>
                        <w:tcBorders>
                          <w:left w:val="single" w:sz="4" w:space="0" w:color="auto"/>
                        </w:tcBorders>
                        <w:shd w:val="clear" w:color="auto" w:fill="FFFFFF"/>
                      </w:tcPr>
                      <w:p w:rsidR="00B1119F" w:rsidRDefault="00B1119F">
                        <w:pPr>
                          <w:spacing w:after="0" w:line="190" w:lineRule="exact"/>
                          <w:jc w:val="center"/>
                        </w:pP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p>
                    </w:tc>
                    <w:tc>
                      <w:tcPr>
                        <w:tcW w:w="1733" w:type="dxa"/>
                        <w:tcBorders>
                          <w:left w:val="single" w:sz="4" w:space="0" w:color="auto"/>
                        </w:tcBorders>
                        <w:shd w:val="clear" w:color="auto" w:fill="FFFFFF"/>
                      </w:tcPr>
                      <w:p w:rsidR="00B1119F" w:rsidRDefault="00B1119F">
                        <w:pPr>
                          <w:rPr>
                            <w:sz w:val="10"/>
                            <w:szCs w:val="10"/>
                          </w:rPr>
                        </w:pPr>
                      </w:p>
                    </w:tc>
                    <w:tc>
                      <w:tcPr>
                        <w:tcW w:w="1742" w:type="dxa"/>
                        <w:tcBorders>
                          <w:left w:val="single" w:sz="4" w:space="0" w:color="auto"/>
                          <w:right w:val="single" w:sz="4" w:space="0" w:color="auto"/>
                        </w:tcBorders>
                        <w:shd w:val="clear" w:color="auto" w:fill="FFFFFF"/>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r>
                          <w:t></w:t>
                        </w:r>
                        <w:r>
                          <w:t></w:t>
                        </w:r>
                      </w:p>
                    </w:tc>
                  </w:tr>
                  <w:tr w:rsidR="00B1119F">
                    <w:tblPrEx>
                      <w:tblCellMar>
                        <w:top w:w="0" w:type="dxa"/>
                        <w:bottom w:w="0" w:type="dxa"/>
                      </w:tblCellMar>
                    </w:tblPrEx>
                    <w:trPr>
                      <w:trHeight w:hRule="exact" w:val="230"/>
                      <w:jc w:val="center"/>
                    </w:trPr>
                    <w:tc>
                      <w:tcPr>
                        <w:tcW w:w="1723" w:type="dxa"/>
                        <w:tcBorders>
                          <w:left w:val="single" w:sz="4" w:space="0" w:color="auto"/>
                          <w:bottom w:val="single" w:sz="4" w:space="0" w:color="auto"/>
                        </w:tcBorders>
                        <w:shd w:val="clear" w:color="auto" w:fill="FFFFFF"/>
                      </w:tcPr>
                      <w:p w:rsidR="00B1119F" w:rsidRDefault="00B1119F">
                        <w:pPr>
                          <w:rPr>
                            <w:sz w:val="10"/>
                            <w:szCs w:val="10"/>
                          </w:rPr>
                        </w:pPr>
                      </w:p>
                    </w:tc>
                    <w:tc>
                      <w:tcPr>
                        <w:tcW w:w="2520" w:type="dxa"/>
                        <w:tcBorders>
                          <w:left w:val="single" w:sz="4" w:space="0" w:color="auto"/>
                          <w:bottom w:val="single" w:sz="4" w:space="0" w:color="auto"/>
                        </w:tcBorders>
                        <w:shd w:val="clear" w:color="auto" w:fill="FFFFFF"/>
                        <w:vAlign w:val="bottom"/>
                      </w:tcPr>
                      <w:p w:rsidR="00B1119F" w:rsidRDefault="00B1119F">
                        <w:pPr>
                          <w:spacing w:after="0" w:line="190"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1733" w:type="dxa"/>
                        <w:tcBorders>
                          <w:left w:val="single" w:sz="4" w:space="0" w:color="auto"/>
                          <w:bottom w:val="single" w:sz="4" w:space="0" w:color="auto"/>
                        </w:tcBorders>
                        <w:shd w:val="clear" w:color="auto" w:fill="FFFFFF"/>
                      </w:tcPr>
                      <w:p w:rsidR="00B1119F" w:rsidRDefault="00B1119F">
                        <w:pPr>
                          <w:rPr>
                            <w:sz w:val="10"/>
                            <w:szCs w:val="10"/>
                          </w:rPr>
                        </w:pPr>
                      </w:p>
                    </w:tc>
                    <w:tc>
                      <w:tcPr>
                        <w:tcW w:w="1742" w:type="dxa"/>
                        <w:tcBorders>
                          <w:left w:val="single" w:sz="4" w:space="0" w:color="auto"/>
                          <w:bottom w:val="single" w:sz="4" w:space="0" w:color="auto"/>
                          <w:right w:val="single" w:sz="4" w:space="0" w:color="auto"/>
                        </w:tcBorders>
                        <w:shd w:val="clear" w:color="auto" w:fill="FFFFFF"/>
                        <w:vAlign w:val="bottom"/>
                      </w:tcPr>
                      <w:p w:rsidR="00B1119F" w:rsidRDefault="00B1119F">
                        <w:pPr>
                          <w:spacing w:after="0" w:line="190" w:lineRule="exact"/>
                          <w:jc w:val="center"/>
                        </w:pPr>
                        <w:r>
                          <w:t></w:t>
                        </w:r>
                        <w:r>
                          <w:t></w:t>
                        </w:r>
                        <w:r>
                          <w:t></w:t>
                        </w:r>
                        <w:r>
                          <w:t></w:t>
                        </w:r>
                        <w:r>
                          <w:t></w:t>
                        </w:r>
                        <w:r>
                          <w:t></w:t>
                        </w:r>
                        <w:r>
                          <w:t></w:t>
                        </w:r>
                        <w:r>
                          <w:t></w:t>
                        </w:r>
                        <w:r>
                          <w:t></w:t>
                        </w:r>
                        <w:r>
                          <w:t></w:t>
                        </w:r>
                        <w:r>
                          <w:t></w:t>
                        </w:r>
                        <w:r>
                          <w:t></w:t>
                        </w:r>
                        <w:r>
                          <w:t></w:t>
                        </w:r>
                      </w:p>
                    </w:tc>
                  </w:tr>
                </w:tbl>
                <w:p w:rsidR="00B1119F" w:rsidRDefault="00B1119F" w:rsidP="00B1119F">
                  <w:pPr>
                    <w:rPr>
                      <w:sz w:val="2"/>
                      <w:szCs w:val="2"/>
                    </w:rPr>
                  </w:pPr>
                </w:p>
              </w:txbxContent>
            </v:textbox>
            <w10:wrap type="topAndBottom" anchorx="margin"/>
          </v:shape>
        </w:pict>
      </w:r>
      <w:r w:rsidRPr="00B1119F">
        <w:rPr>
          <w:rFonts w:ascii="Times New Roman" w:eastAsia="Arial Unicode MS" w:hAnsi="Times New Roman" w:cs="Times New Roman"/>
          <w:color w:val="000000"/>
          <w:kern w:val="0"/>
          <w:sz w:val="19"/>
          <w:szCs w:val="19"/>
          <w:u w:val="single"/>
          <w:lang w:val="uk-UA" w:eastAsia="uk-UA" w:bidi="uk-UA"/>
        </w:rPr>
        <w:t>Індикатори якості системи реалізації страхових продуктів</w:t>
      </w:r>
    </w:p>
    <w:p w:rsidR="00B1119F" w:rsidRPr="00B1119F" w:rsidRDefault="00B1119F" w:rsidP="00B1119F">
      <w:pPr>
        <w:tabs>
          <w:tab w:val="clear" w:pos="709"/>
        </w:tabs>
        <w:suppressAutoHyphens w:val="0"/>
        <w:spacing w:after="0" w:line="260" w:lineRule="exact"/>
        <w:ind w:left="20" w:firstLine="0"/>
        <w:jc w:val="center"/>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Рис. 3. Індикатори якості системи реалізації страхових продуктів</w:t>
      </w:r>
    </w:p>
    <w:p w:rsidR="00B1119F" w:rsidRPr="00B1119F" w:rsidRDefault="00B1119F" w:rsidP="00B1119F">
      <w:pPr>
        <w:tabs>
          <w:tab w:val="clear" w:pos="709"/>
        </w:tabs>
        <w:suppressAutoHyphens w:val="0"/>
        <w:spacing w:after="242" w:line="260" w:lineRule="exact"/>
        <w:ind w:left="740" w:firstLine="0"/>
        <w:jc w:val="left"/>
        <w:rPr>
          <w:rFonts w:ascii="Times New Roman" w:eastAsia="Times New Roman" w:hAnsi="Times New Roman" w:cs="Times New Roman"/>
          <w:kern w:val="0"/>
          <w:sz w:val="26"/>
          <w:szCs w:val="26"/>
          <w:lang w:val="uk-UA" w:eastAsia="uk-UA" w:bidi="uk-UA"/>
        </w:rPr>
      </w:pPr>
      <w:r w:rsidRPr="00B1119F">
        <w:rPr>
          <w:rFonts w:ascii="Times New Roman" w:eastAsia="Times New Roman" w:hAnsi="Times New Roman" w:cs="Times New Roman"/>
          <w:color w:val="000000"/>
          <w:kern w:val="0"/>
          <w:sz w:val="26"/>
          <w:szCs w:val="26"/>
          <w:lang w:val="uk-UA" w:eastAsia="uk-UA" w:bidi="uk-UA"/>
        </w:rPr>
        <w:t>Джерело: розроблено автором</w:t>
      </w:r>
    </w:p>
    <w:p w:rsidR="00B1119F" w:rsidRPr="00B1119F" w:rsidRDefault="00B1119F" w:rsidP="00B1119F">
      <w:pPr>
        <w:tabs>
          <w:tab w:val="clear" w:pos="709"/>
        </w:tabs>
        <w:suppressAutoHyphens w:val="0"/>
        <w:spacing w:after="0" w:line="260" w:lineRule="exact"/>
        <w:ind w:left="740"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Методичний підхід до варіантизації франшизи передбачає імітаційне</w:t>
      </w:r>
      <w:r w:rsidRPr="00B1119F">
        <w:rPr>
          <w:rFonts w:ascii="Arial Unicode MS" w:eastAsia="Arial Unicode MS" w:hAnsi="Arial Unicode MS" w:cs="Arial Unicode MS"/>
          <w:color w:val="000000"/>
          <w:kern w:val="0"/>
          <w:sz w:val="24"/>
          <w:szCs w:val="24"/>
          <w:lang w:val="uk-UA" w:eastAsia="uk-UA" w:bidi="uk-UA"/>
        </w:rPr>
        <w:br w:type="page"/>
      </w:r>
    </w:p>
    <w:p w:rsidR="00B1119F" w:rsidRPr="00B1119F" w:rsidRDefault="00B1119F" w:rsidP="00B1119F">
      <w:pPr>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моделювання граничного розміру франшизи залежно від базової ставки страхового тарифу, імовірності настання страхового випадку та прогнозного обсягу збитків, що дозволяє оптимізувати тарифну політику страхової компанії та стимулювати реалізацію страхових продуктів.</w:t>
      </w:r>
    </w:p>
    <w:p w:rsidR="00B1119F" w:rsidRPr="00B1119F" w:rsidRDefault="00B1119F" w:rsidP="00B1119F">
      <w:pPr>
        <w:tabs>
          <w:tab w:val="clear" w:pos="709"/>
        </w:tabs>
        <w:suppressAutoHyphens w:val="0"/>
        <w:spacing w:after="0" w:line="322" w:lineRule="exact"/>
        <w:ind w:firstLine="76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Аналіз статистичних даних про діяльність страхової компанії доводить, що імовірнісні розподіли основних величин, які визначають тарифну політику страховика, можна з достатньою для побудови імітаційної обчислювальної моделі точністю апроксимувати, зазначеними нижче, функціями щільності розподілу. Моделювання реалізовано у системі </w:t>
      </w:r>
      <w:r w:rsidRPr="00B1119F">
        <w:rPr>
          <w:rFonts w:ascii="Arial Unicode MS" w:eastAsia="Arial Unicode MS" w:hAnsi="Arial Unicode MS" w:cs="Arial Unicode MS"/>
          <w:color w:val="000000"/>
          <w:kern w:val="0"/>
          <w:sz w:val="24"/>
          <w:szCs w:val="24"/>
          <w:lang w:val="en-US" w:eastAsia="en-US" w:bidi="en-US"/>
        </w:rPr>
        <w:t>Mathcad</w:t>
      </w:r>
      <w:r w:rsidRPr="00B1119F">
        <w:rPr>
          <w:rFonts w:ascii="Arial Unicode MS" w:eastAsia="Arial Unicode MS" w:hAnsi="Arial Unicode MS" w:cs="Arial Unicode MS"/>
          <w:color w:val="000000"/>
          <w:kern w:val="0"/>
          <w:sz w:val="24"/>
          <w:szCs w:val="24"/>
          <w:lang w:val="uk-UA" w:eastAsia="en-US" w:bidi="en-US"/>
        </w:rPr>
        <w:t>.</w:t>
      </w:r>
    </w:p>
    <w:p w:rsidR="00B1119F" w:rsidRPr="00B1119F" w:rsidRDefault="00B1119F" w:rsidP="00B1119F">
      <w:pPr>
        <w:tabs>
          <w:tab w:val="clear" w:pos="709"/>
        </w:tabs>
        <w:suppressAutoHyphens w:val="0"/>
        <w:spacing w:after="0" w:line="322" w:lineRule="exact"/>
        <w:ind w:firstLine="76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Функція розподілу імовірностей страхової суми має вигляд:</w:t>
      </w:r>
    </w:p>
    <w:p w:rsidR="00B1119F" w:rsidRPr="00B1119F" w:rsidRDefault="00B1119F" w:rsidP="00B1119F">
      <w:pPr>
        <w:tabs>
          <w:tab w:val="clear" w:pos="709"/>
        </w:tabs>
        <w:suppressAutoHyphens w:val="0"/>
        <w:spacing w:after="0" w:line="130" w:lineRule="exact"/>
        <w:ind w:left="4860" w:firstLine="0"/>
        <w:jc w:val="left"/>
        <w:rPr>
          <w:rFonts w:ascii="Times New Roman" w:eastAsia="Times New Roman" w:hAnsi="Times New Roman" w:cs="Times New Roman"/>
          <w:kern w:val="0"/>
          <w:sz w:val="13"/>
          <w:szCs w:val="13"/>
          <w:lang w:eastAsia="en-US" w:bidi="en-US"/>
        </w:rPr>
      </w:pPr>
      <w:r w:rsidRPr="00B1119F">
        <w:rPr>
          <w:rFonts w:ascii="Times New Roman" w:eastAsia="Times New Roman" w:hAnsi="Times New Roman" w:cs="Times New Roman"/>
          <w:color w:val="000000"/>
          <w:kern w:val="0"/>
          <w:sz w:val="13"/>
          <w:szCs w:val="13"/>
          <w:lang w:val="uk-UA" w:eastAsia="uk-UA" w:bidi="uk-UA"/>
        </w:rPr>
        <w:t>5</w:t>
      </w:r>
    </w:p>
    <w:p w:rsidR="00B1119F" w:rsidRPr="00B1119F" w:rsidRDefault="00B1119F" w:rsidP="00B1119F">
      <w:pPr>
        <w:tabs>
          <w:tab w:val="clear" w:pos="709"/>
        </w:tabs>
        <w:suppressAutoHyphens w:val="0"/>
        <w:spacing w:after="0" w:line="260" w:lineRule="exact"/>
        <w:ind w:left="3980" w:firstLine="0"/>
        <w:jc w:val="left"/>
        <w:rPr>
          <w:rFonts w:ascii="Times New Roman" w:eastAsia="Times New Roman" w:hAnsi="Times New Roman" w:cs="Times New Roman"/>
          <w:i/>
          <w:iCs/>
          <w:kern w:val="0"/>
          <w:sz w:val="26"/>
          <w:szCs w:val="26"/>
          <w:lang w:val="uk-UA" w:eastAsia="uk-UA" w:bidi="uk-UA"/>
        </w:rPr>
      </w:pPr>
      <w:r w:rsidRPr="00B1119F">
        <w:rPr>
          <w:rFonts w:ascii="Times New Roman" w:eastAsia="Times New Roman" w:hAnsi="Times New Roman" w:cs="Times New Roman"/>
          <w:i/>
          <w:iCs/>
          <w:color w:val="000000"/>
          <w:kern w:val="0"/>
          <w:sz w:val="26"/>
          <w:szCs w:val="26"/>
          <w:lang w:val="en-US" w:eastAsia="en-US" w:bidi="en-US"/>
        </w:rPr>
        <w:t>Ps</w:t>
      </w:r>
      <w:r w:rsidRPr="00B1119F">
        <w:rPr>
          <w:rFonts w:ascii="Times New Roman" w:eastAsia="Times New Roman" w:hAnsi="Times New Roman" w:cs="Times New Roman"/>
          <w:i/>
          <w:iCs/>
          <w:color w:val="000000"/>
          <w:kern w:val="0"/>
          <w:sz w:val="26"/>
          <w:szCs w:val="26"/>
          <w:vertAlign w:val="superscript"/>
          <w:lang w:eastAsia="en-US" w:bidi="en-US"/>
        </w:rPr>
        <w:t>(</w:t>
      </w:r>
      <w:r w:rsidRPr="00B1119F">
        <w:rPr>
          <w:rFonts w:ascii="Times New Roman" w:eastAsia="Times New Roman" w:hAnsi="Times New Roman" w:cs="Times New Roman"/>
          <w:i/>
          <w:iCs/>
          <w:color w:val="000000"/>
          <w:kern w:val="0"/>
          <w:sz w:val="26"/>
          <w:szCs w:val="26"/>
          <w:vertAlign w:val="superscript"/>
          <w:lang w:val="en-US" w:eastAsia="en-US" w:bidi="en-US"/>
        </w:rPr>
        <w:t>x</w:t>
      </w:r>
      <w:r w:rsidRPr="00B1119F">
        <w:rPr>
          <w:rFonts w:ascii="Times New Roman" w:eastAsia="Times New Roman" w:hAnsi="Times New Roman" w:cs="Times New Roman"/>
          <w:i/>
          <w:iCs/>
          <w:color w:val="000000"/>
          <w:kern w:val="0"/>
          <w:sz w:val="26"/>
          <w:szCs w:val="26"/>
          <w:vertAlign w:val="superscript"/>
          <w:lang w:eastAsia="en-US" w:bidi="en-US"/>
        </w:rPr>
        <w:t>)</w:t>
      </w:r>
      <w:r w:rsidRPr="00B1119F">
        <w:rPr>
          <w:rFonts w:ascii="Times New Roman" w:eastAsia="Times New Roman" w:hAnsi="Times New Roman" w:cs="Times New Roman"/>
          <w:i/>
          <w:iCs/>
          <w:color w:val="000000"/>
          <w:kern w:val="0"/>
          <w:sz w:val="26"/>
          <w:szCs w:val="26"/>
          <w:lang w:eastAsia="en-US" w:bidi="en-US"/>
        </w:rPr>
        <w:t xml:space="preserve"> </w:t>
      </w:r>
      <w:r w:rsidRPr="00B1119F">
        <w:rPr>
          <w:rFonts w:ascii="Times New Roman" w:eastAsia="Times New Roman" w:hAnsi="Times New Roman" w:cs="Times New Roman"/>
          <w:i/>
          <w:iCs/>
          <w:color w:val="000000"/>
          <w:kern w:val="0"/>
          <w:sz w:val="26"/>
          <w:szCs w:val="26"/>
          <w:lang w:val="uk-UA" w:eastAsia="uk-UA" w:bidi="uk-UA"/>
        </w:rPr>
        <w:t xml:space="preserve">= </w:t>
      </w:r>
      <w:r w:rsidRPr="00B1119F">
        <w:rPr>
          <w:rFonts w:ascii="Times New Roman" w:eastAsia="Times New Roman" w:hAnsi="Times New Roman" w:cs="Times New Roman"/>
          <w:i/>
          <w:iCs/>
          <w:color w:val="000000"/>
          <w:kern w:val="0"/>
          <w:sz w:val="20"/>
          <w:szCs w:val="20"/>
          <w:shd w:val="clear" w:color="auto" w:fill="FFFFFF"/>
          <w:lang w:val="uk-UA" w:eastAsia="uk-UA" w:bidi="uk-UA"/>
        </w:rPr>
        <w:t>х</w:t>
      </w:r>
      <w:r w:rsidRPr="00B1119F">
        <w:rPr>
          <w:rFonts w:ascii="Times New Roman" w:eastAsia="Times New Roman" w:hAnsi="Times New Roman" w:cs="Times New Roman"/>
          <w:i/>
          <w:iCs/>
          <w:color w:val="000000"/>
          <w:kern w:val="0"/>
          <w:sz w:val="26"/>
          <w:szCs w:val="26"/>
          <w:vertAlign w:val="superscript"/>
          <w:lang w:val="uk-UA" w:eastAsia="uk-UA" w:bidi="uk-UA"/>
        </w:rPr>
        <w:t>р</w:t>
      </w:r>
      <w:r w:rsidRPr="00B1119F">
        <w:rPr>
          <w:rFonts w:ascii="Times New Roman" w:eastAsia="Times New Roman" w:hAnsi="Times New Roman" w:cs="Times New Roman"/>
          <w:color w:val="000000"/>
          <w:kern w:val="0"/>
          <w:sz w:val="26"/>
          <w:szCs w:val="26"/>
          <w:shd w:val="clear" w:color="auto" w:fill="FFFFFF"/>
          <w:lang w:val="uk-UA" w:eastAsia="uk-UA" w:bidi="uk-UA"/>
        </w:rPr>
        <w:t xml:space="preserve"> • Рг</w:t>
      </w:r>
      <w:r w:rsidRPr="00B1119F">
        <w:rPr>
          <w:rFonts w:ascii="Times New Roman" w:eastAsia="Times New Roman" w:hAnsi="Times New Roman" w:cs="Times New Roman"/>
          <w:i/>
          <w:iCs/>
          <w:color w:val="000000"/>
          <w:kern w:val="0"/>
          <w:sz w:val="26"/>
          <w:szCs w:val="26"/>
          <w:vertAlign w:val="superscript"/>
          <w:lang w:val="uk-UA" w:eastAsia="uk-UA" w:bidi="uk-UA"/>
        </w:rPr>
        <w:t>(х,а</w:t>
      </w:r>
      <w:r w:rsidRPr="00B1119F">
        <w:rPr>
          <w:rFonts w:ascii="Times New Roman" w:eastAsia="Times New Roman" w:hAnsi="Times New Roman" w:cs="Times New Roman"/>
          <w:i/>
          <w:iCs/>
          <w:color w:val="000000"/>
          <w:kern w:val="0"/>
          <w:sz w:val="26"/>
          <w:szCs w:val="26"/>
          <w:lang w:val="uk-UA" w:eastAsia="uk-UA" w:bidi="uk-UA"/>
        </w:rPr>
        <w:t>,</w:t>
      </w:r>
      <w:r w:rsidRPr="00B1119F">
        <w:rPr>
          <w:rFonts w:ascii="Times New Roman" w:eastAsia="Times New Roman" w:hAnsi="Times New Roman" w:cs="Times New Roman"/>
          <w:i/>
          <w:iCs/>
          <w:color w:val="000000"/>
          <w:kern w:val="0"/>
          <w:sz w:val="26"/>
          <w:szCs w:val="26"/>
          <w:lang w:eastAsia="en-US" w:bidi="en-US"/>
        </w:rPr>
        <w:t>,</w:t>
      </w:r>
      <w:r w:rsidRPr="00B1119F">
        <w:rPr>
          <w:rFonts w:ascii="Times New Roman" w:eastAsia="Times New Roman" w:hAnsi="Times New Roman" w:cs="Times New Roman"/>
          <w:i/>
          <w:iCs/>
          <w:color w:val="000000"/>
          <w:kern w:val="0"/>
          <w:sz w:val="26"/>
          <w:szCs w:val="26"/>
          <w:lang w:val="en-US" w:eastAsia="en-US" w:bidi="en-US"/>
        </w:rPr>
        <w:t>o</w:t>
      </w:r>
      <w:r w:rsidRPr="00B1119F">
        <w:rPr>
          <w:rFonts w:ascii="Times New Roman" w:eastAsia="Times New Roman" w:hAnsi="Times New Roman" w:cs="Times New Roman"/>
          <w:i/>
          <w:iCs/>
          <w:color w:val="000000"/>
          <w:kern w:val="0"/>
          <w:sz w:val="26"/>
          <w:szCs w:val="26"/>
          <w:vertAlign w:val="subscript"/>
          <w:lang w:val="en-US" w:eastAsia="en-US" w:bidi="en-US"/>
        </w:rPr>
        <w:t>t</w:t>
      </w:r>
      <w:r w:rsidRPr="00B1119F">
        <w:rPr>
          <w:rFonts w:ascii="Times New Roman" w:eastAsia="Times New Roman" w:hAnsi="Times New Roman" w:cs="Times New Roman"/>
          <w:color w:val="000000"/>
          <w:kern w:val="0"/>
          <w:sz w:val="26"/>
          <w:szCs w:val="26"/>
          <w:shd w:val="clear" w:color="auto" w:fill="FFFFFF"/>
          <w:lang w:val="uk-UA" w:eastAsia="uk-UA" w:bidi="uk-UA"/>
        </w:rPr>
        <w:t>у</w:t>
      </w:r>
      <w:r w:rsidRPr="00B1119F">
        <w:rPr>
          <w:rFonts w:ascii="Times New Roman" w:eastAsia="Times New Roman" w:hAnsi="Times New Roman" w:cs="Times New Roman"/>
          <w:color w:val="000000"/>
          <w:kern w:val="0"/>
          <w:sz w:val="26"/>
          <w:szCs w:val="26"/>
          <w:shd w:val="clear" w:color="auto" w:fill="FFFFFF"/>
          <w:vertAlign w:val="superscript"/>
          <w:lang w:eastAsia="en-US" w:bidi="en-US"/>
        </w:rPr>
        <w:t>)</w:t>
      </w:r>
      <w:r w:rsidRPr="00B1119F">
        <w:rPr>
          <w:rFonts w:ascii="Times New Roman" w:eastAsia="Times New Roman" w:hAnsi="Times New Roman" w:cs="Times New Roman"/>
          <w:color w:val="000000"/>
          <w:kern w:val="0"/>
          <w:sz w:val="26"/>
          <w:szCs w:val="26"/>
          <w:shd w:val="clear" w:color="auto" w:fill="FFFFFF"/>
          <w:lang w:eastAsia="en-US" w:bidi="en-US"/>
        </w:rPr>
        <w:t>,</w:t>
      </w:r>
    </w:p>
    <w:p w:rsidR="00B1119F" w:rsidRPr="00B1119F" w:rsidRDefault="00B1119F" w:rsidP="00B1119F">
      <w:pPr>
        <w:tabs>
          <w:tab w:val="clear" w:pos="709"/>
        </w:tabs>
        <w:suppressAutoHyphens w:val="0"/>
        <w:spacing w:after="83" w:line="130" w:lineRule="exact"/>
        <w:ind w:left="4860" w:firstLine="0"/>
        <w:jc w:val="left"/>
        <w:rPr>
          <w:rFonts w:ascii="Times New Roman" w:eastAsia="Times New Roman" w:hAnsi="Times New Roman" w:cs="Times New Roman"/>
          <w:kern w:val="0"/>
          <w:sz w:val="13"/>
          <w:szCs w:val="13"/>
          <w:lang w:val="uk-UA" w:eastAsia="en-US" w:bidi="en-US"/>
        </w:rPr>
      </w:pPr>
      <w:r w:rsidRPr="00B1119F">
        <w:rPr>
          <w:rFonts w:ascii="Times New Roman" w:eastAsia="Times New Roman" w:hAnsi="Times New Roman" w:cs="Times New Roman"/>
          <w:color w:val="000000"/>
          <w:kern w:val="0"/>
          <w:sz w:val="13"/>
          <w:szCs w:val="13"/>
          <w:lang w:val="en-US" w:eastAsia="en-US" w:bidi="en-US"/>
        </w:rPr>
        <w:t>i</w:t>
      </w:r>
      <w:r w:rsidRPr="00B1119F">
        <w:rPr>
          <w:rFonts w:ascii="Times New Roman" w:eastAsia="Times New Roman" w:hAnsi="Times New Roman" w:cs="Times New Roman"/>
          <w:color w:val="000000"/>
          <w:kern w:val="0"/>
          <w:sz w:val="13"/>
          <w:szCs w:val="13"/>
          <w:lang w:val="uk-UA" w:eastAsia="en-US" w:bidi="en-US"/>
        </w:rPr>
        <w:t>=1</w:t>
      </w:r>
    </w:p>
    <w:p w:rsidR="00B1119F" w:rsidRPr="00B1119F" w:rsidRDefault="00B1119F" w:rsidP="00B1119F">
      <w:pPr>
        <w:tabs>
          <w:tab w:val="clear" w:pos="709"/>
        </w:tabs>
        <w:suppressAutoHyphens w:val="0"/>
        <w:spacing w:after="42" w:line="260" w:lineRule="exact"/>
        <w:ind w:firstLine="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де: </w:t>
      </w:r>
      <w:r w:rsidRPr="00B1119F">
        <w:rPr>
          <w:rFonts w:ascii="Times New Roman" w:eastAsia="Arial Unicode MS" w:hAnsi="Times New Roman" w:cs="Times New Roman"/>
          <w:i/>
          <w:iCs/>
          <w:color w:val="000000"/>
          <w:kern w:val="0"/>
          <w:sz w:val="26"/>
          <w:szCs w:val="26"/>
          <w:lang w:val="uk-UA" w:eastAsia="uk-UA" w:bidi="uk-UA"/>
        </w:rPr>
        <w:t>Р</w:t>
      </w:r>
      <w:r w:rsidRPr="00B1119F">
        <w:rPr>
          <w:rFonts w:ascii="Times New Roman" w:eastAsia="Arial Unicode MS" w:hAnsi="Times New Roman" w:cs="Times New Roman"/>
          <w:i/>
          <w:iCs/>
          <w:color w:val="000000"/>
          <w:kern w:val="0"/>
          <w:sz w:val="26"/>
          <w:szCs w:val="26"/>
          <w:vertAlign w:val="subscript"/>
          <w:lang w:val="uk-UA" w:eastAsia="uk-UA" w:bidi="uk-UA"/>
        </w:rPr>
        <w:t>і</w:t>
      </w:r>
      <w:r w:rsidRPr="00B1119F">
        <w:rPr>
          <w:rFonts w:ascii="Arial Unicode MS" w:eastAsia="Arial Unicode MS" w:hAnsi="Arial Unicode MS" w:cs="Arial Unicode MS"/>
          <w:color w:val="000000"/>
          <w:kern w:val="0"/>
          <w:sz w:val="24"/>
          <w:szCs w:val="24"/>
          <w:lang w:val="uk-UA" w:eastAsia="uk-UA" w:bidi="uk-UA"/>
        </w:rPr>
        <w:t xml:space="preserve"> </w:t>
      </w:r>
      <w:r w:rsidRPr="00B1119F">
        <w:rPr>
          <w:rFonts w:ascii="Arial Unicode MS" w:eastAsia="Arial Unicode MS" w:hAnsi="Arial Unicode MS" w:cs="Arial Unicode MS"/>
          <w:color w:val="000000"/>
          <w:kern w:val="0"/>
          <w:sz w:val="24"/>
          <w:szCs w:val="24"/>
          <w:lang w:val="uk-UA"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вагові коефіцієнти, що дорівнюють імовірності появи у вибірці відповідного</w:t>
      </w:r>
    </w:p>
    <w:p w:rsidR="00B1119F" w:rsidRPr="00B1119F" w:rsidRDefault="00B1119F" w:rsidP="00B1119F">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компонента, їх сума дорівнює одиниці; </w:t>
      </w:r>
      <w:r w:rsidRPr="00B1119F">
        <w:rPr>
          <w:rFonts w:ascii="Times New Roman" w:eastAsia="Arial Unicode MS" w:hAnsi="Times New Roman" w:cs="Times New Roman"/>
          <w:i/>
          <w:iCs/>
          <w:color w:val="000000"/>
          <w:kern w:val="0"/>
          <w:sz w:val="26"/>
          <w:szCs w:val="26"/>
          <w:lang w:val="uk-UA" w:eastAsia="uk-UA" w:bidi="uk-UA"/>
        </w:rPr>
        <w:t>р</w:t>
      </w:r>
      <w:r w:rsidRPr="00B1119F">
        <w:rPr>
          <w:rFonts w:ascii="Times New Roman" w:eastAsia="Arial Unicode MS" w:hAnsi="Times New Roman" w:cs="Times New Roman"/>
          <w:i/>
          <w:iCs/>
          <w:color w:val="000000"/>
          <w:kern w:val="0"/>
          <w:sz w:val="26"/>
          <w:szCs w:val="26"/>
          <w:vertAlign w:val="subscript"/>
          <w:lang w:val="uk-UA" w:eastAsia="uk-UA" w:bidi="uk-UA"/>
        </w:rPr>
        <w:t>г</w:t>
      </w:r>
      <w:r w:rsidRPr="00B1119F">
        <w:rPr>
          <w:rFonts w:ascii="Arial Unicode MS" w:eastAsia="Arial Unicode MS" w:hAnsi="Arial Unicode MS" w:cs="Arial Unicode MS"/>
          <w:color w:val="000000"/>
          <w:kern w:val="0"/>
          <w:sz w:val="24"/>
          <w:szCs w:val="24"/>
          <w:lang w:val="uk-UA" w:eastAsia="uk-UA" w:bidi="uk-UA"/>
        </w:rPr>
        <w:t xml:space="preserve"> -функція щільності узагальненого г-розподілу; </w:t>
      </w:r>
      <w:r w:rsidRPr="00B1119F">
        <w:rPr>
          <w:rFonts w:ascii="Times New Roman" w:eastAsia="Arial Unicode MS" w:hAnsi="Times New Roman" w:cs="Times New Roman"/>
          <w:i/>
          <w:iCs/>
          <w:color w:val="000000"/>
          <w:kern w:val="0"/>
          <w:sz w:val="26"/>
          <w:szCs w:val="26"/>
          <w:lang w:val="uk-UA" w:eastAsia="uk-UA" w:bidi="uk-UA"/>
        </w:rPr>
        <w:t>а</w:t>
      </w:r>
      <w:r w:rsidRPr="00B1119F">
        <w:rPr>
          <w:rFonts w:ascii="Arial Unicode MS" w:eastAsia="Arial Unicode MS" w:hAnsi="Arial Unicode MS" w:cs="Arial Unicode MS"/>
          <w:color w:val="000000"/>
          <w:kern w:val="0"/>
          <w:sz w:val="24"/>
          <w:szCs w:val="24"/>
          <w:lang w:val="uk-UA" w:eastAsia="uk-UA" w:bidi="uk-UA"/>
        </w:rPr>
        <w:t xml:space="preserve"> - параметр зміщення; </w:t>
      </w:r>
      <w:r w:rsidRPr="00B1119F">
        <w:rPr>
          <w:rFonts w:ascii="Times New Roman" w:eastAsia="Arial Unicode MS" w:hAnsi="Times New Roman" w:cs="Times New Roman"/>
          <w:i/>
          <w:iCs/>
          <w:color w:val="000000"/>
          <w:kern w:val="0"/>
          <w:sz w:val="26"/>
          <w:szCs w:val="26"/>
          <w:lang w:val="uk-UA" w:eastAsia="uk-UA" w:bidi="uk-UA"/>
        </w:rPr>
        <w:t>а</w:t>
      </w:r>
      <w:r w:rsidRPr="00B1119F">
        <w:rPr>
          <w:rFonts w:ascii="Arial Unicode MS" w:eastAsia="Arial Unicode MS" w:hAnsi="Arial Unicode MS" w:cs="Arial Unicode MS"/>
          <w:color w:val="000000"/>
          <w:kern w:val="0"/>
          <w:sz w:val="24"/>
          <w:szCs w:val="24"/>
          <w:lang w:val="uk-UA" w:eastAsia="uk-UA" w:bidi="uk-UA"/>
        </w:rPr>
        <w:t xml:space="preserve"> - параметр розтягу; </w:t>
      </w:r>
      <w:r w:rsidRPr="00B1119F">
        <w:rPr>
          <w:rFonts w:ascii="Times New Roman" w:eastAsia="Arial Unicode MS" w:hAnsi="Times New Roman" w:cs="Times New Roman"/>
          <w:i/>
          <w:iCs/>
          <w:color w:val="000000"/>
          <w:kern w:val="0"/>
          <w:sz w:val="26"/>
          <w:szCs w:val="26"/>
          <w:lang w:val="uk-UA" w:eastAsia="uk-UA" w:bidi="uk-UA"/>
        </w:rPr>
        <w:t>у</w:t>
      </w:r>
      <w:r w:rsidRPr="00B1119F">
        <w:rPr>
          <w:rFonts w:ascii="Arial Unicode MS" w:eastAsia="Arial Unicode MS" w:hAnsi="Arial Unicode MS" w:cs="Arial Unicode MS"/>
          <w:color w:val="000000"/>
          <w:kern w:val="0"/>
          <w:sz w:val="24"/>
          <w:szCs w:val="24"/>
          <w:lang w:val="uk-UA" w:eastAsia="uk-UA" w:bidi="uk-UA"/>
        </w:rPr>
        <w:t xml:space="preserve"> - параметр форми.</w:t>
      </w:r>
    </w:p>
    <w:p w:rsidR="00B1119F" w:rsidRPr="00B1119F" w:rsidRDefault="00B1119F" w:rsidP="00B1119F">
      <w:pPr>
        <w:tabs>
          <w:tab w:val="clear" w:pos="709"/>
        </w:tabs>
        <w:suppressAutoHyphens w:val="0"/>
        <w:spacing w:after="0" w:line="360" w:lineRule="exact"/>
        <w:ind w:firstLine="76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Функція розподілу імовірностей відносної франшизи:</w:t>
      </w:r>
    </w:p>
    <w:p w:rsidR="00B1119F" w:rsidRPr="00B1119F" w:rsidRDefault="00B1119F" w:rsidP="00B1119F">
      <w:pPr>
        <w:tabs>
          <w:tab w:val="clear" w:pos="709"/>
        </w:tabs>
        <w:suppressAutoHyphens w:val="0"/>
        <w:spacing w:after="0" w:line="130" w:lineRule="exact"/>
        <w:ind w:left="5200" w:firstLine="0"/>
        <w:jc w:val="left"/>
        <w:rPr>
          <w:rFonts w:ascii="Times New Roman" w:eastAsia="Times New Roman" w:hAnsi="Times New Roman" w:cs="Times New Roman"/>
          <w:kern w:val="0"/>
          <w:sz w:val="13"/>
          <w:szCs w:val="13"/>
          <w:lang w:val="en-US" w:eastAsia="en-US" w:bidi="en-US"/>
        </w:rPr>
      </w:pPr>
      <w:r w:rsidRPr="00B1119F">
        <w:rPr>
          <w:rFonts w:ascii="Times New Roman" w:eastAsia="Times New Roman" w:hAnsi="Times New Roman" w:cs="Times New Roman"/>
          <w:color w:val="000000"/>
          <w:kern w:val="0"/>
          <w:sz w:val="13"/>
          <w:szCs w:val="13"/>
          <w:lang w:val="uk-UA" w:eastAsia="uk-UA" w:bidi="uk-UA"/>
        </w:rPr>
        <w:t>8</w:t>
      </w:r>
    </w:p>
    <w:p w:rsidR="00B1119F" w:rsidRPr="00B1119F" w:rsidRDefault="00B1119F" w:rsidP="00B1119F">
      <w:pPr>
        <w:tabs>
          <w:tab w:val="clear" w:pos="709"/>
        </w:tabs>
        <w:suppressAutoHyphens w:val="0"/>
        <w:spacing w:after="0" w:line="260" w:lineRule="exact"/>
        <w:ind w:left="43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i/>
          <w:iCs/>
          <w:color w:val="000000"/>
          <w:kern w:val="0"/>
          <w:sz w:val="26"/>
          <w:szCs w:val="26"/>
          <w:lang w:val="en-US" w:eastAsia="en-US" w:bidi="en-US"/>
        </w:rPr>
        <w:t>Pf</w:t>
      </w:r>
      <w:r w:rsidRPr="00B1119F">
        <w:rPr>
          <w:rFonts w:ascii="Arial Unicode MS" w:eastAsia="Arial Unicode MS" w:hAnsi="Arial Unicode MS" w:cs="Arial Unicode MS"/>
          <w:color w:val="000000"/>
          <w:kern w:val="0"/>
          <w:sz w:val="24"/>
          <w:szCs w:val="24"/>
          <w:vertAlign w:val="superscript"/>
          <w:lang w:val="en-US" w:eastAsia="en-US" w:bidi="en-US"/>
        </w:rPr>
        <w:t>(x)</w:t>
      </w:r>
      <w:r w:rsidRPr="00B1119F">
        <w:rPr>
          <w:rFonts w:ascii="Arial Unicode MS" w:eastAsia="Arial Unicode MS" w:hAnsi="Arial Unicode MS" w:cs="Arial Unicode MS"/>
          <w:color w:val="000000"/>
          <w:kern w:val="0"/>
          <w:sz w:val="24"/>
          <w:szCs w:val="24"/>
          <w:lang w:val="en-US"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 Е</w:t>
      </w:r>
      <w:r w:rsidRPr="00B1119F">
        <w:rPr>
          <w:rFonts w:ascii="Arial Unicode MS" w:eastAsia="Arial Unicode MS" w:hAnsi="Arial Unicode MS" w:cs="Arial Unicode MS"/>
          <w:color w:val="000000"/>
          <w:kern w:val="0"/>
          <w:sz w:val="24"/>
          <w:szCs w:val="24"/>
          <w:vertAlign w:val="superscript"/>
          <w:lang w:val="uk-UA" w:eastAsia="uk-UA" w:bidi="uk-UA"/>
        </w:rPr>
        <w:t>р</w:t>
      </w:r>
      <w:r w:rsidRPr="00B1119F">
        <w:rPr>
          <w:rFonts w:ascii="Arial Unicode MS" w:eastAsia="Arial Unicode MS" w:hAnsi="Arial Unicode MS" w:cs="Arial Unicode MS"/>
          <w:color w:val="000000"/>
          <w:kern w:val="0"/>
          <w:sz w:val="24"/>
          <w:szCs w:val="24"/>
          <w:lang w:val="uk-UA" w:eastAsia="uk-UA" w:bidi="uk-UA"/>
        </w:rPr>
        <w:t xml:space="preserve"> </w:t>
      </w:r>
      <w:r w:rsidRPr="00B1119F">
        <w:rPr>
          <w:rFonts w:ascii="Times New Roman" w:eastAsia="Arial Unicode MS" w:hAnsi="Times New Roman" w:cs="Times New Roman"/>
          <w:i/>
          <w:iCs/>
          <w:color w:val="000000"/>
          <w:kern w:val="0"/>
          <w:sz w:val="26"/>
          <w:szCs w:val="26"/>
          <w:lang w:val="en-US" w:eastAsia="en-US" w:bidi="en-US"/>
        </w:rPr>
        <w:t>■</w:t>
      </w:r>
      <w:r w:rsidRPr="00B1119F">
        <w:rPr>
          <w:rFonts w:ascii="Times New Roman" w:eastAsia="Arial Unicode MS" w:hAnsi="Times New Roman" w:cs="Times New Roman"/>
          <w:i/>
          <w:iCs/>
          <w:color w:val="000000"/>
          <w:kern w:val="0"/>
          <w:sz w:val="26"/>
          <w:szCs w:val="26"/>
          <w:vertAlign w:val="superscript"/>
          <w:lang w:val="en-US" w:eastAsia="en-US" w:bidi="en-US"/>
        </w:rPr>
        <w:t>S(x</w:t>
      </w:r>
      <w:r w:rsidRPr="00B1119F">
        <w:rPr>
          <w:rFonts w:ascii="Times New Roman" w:eastAsia="Arial Unicode MS" w:hAnsi="Times New Roman" w:cs="Times New Roman"/>
          <w:i/>
          <w:iCs/>
          <w:color w:val="000000"/>
          <w:kern w:val="0"/>
          <w:sz w:val="26"/>
          <w:szCs w:val="26"/>
          <w:lang w:val="uk-UA" w:eastAsia="uk-UA" w:bidi="uk-UA"/>
        </w:rPr>
        <w:t>~</w:t>
      </w:r>
      <w:r w:rsidRPr="00B1119F">
        <w:rPr>
          <w:rFonts w:ascii="Times New Roman" w:eastAsia="Arial Unicode MS" w:hAnsi="Times New Roman" w:cs="Times New Roman"/>
          <w:i/>
          <w:iCs/>
          <w:color w:val="000000"/>
          <w:kern w:val="0"/>
          <w:sz w:val="26"/>
          <w:szCs w:val="26"/>
          <w:vertAlign w:val="superscript"/>
          <w:lang w:val="uk-UA" w:eastAsia="uk-UA" w:bidi="uk-UA"/>
        </w:rPr>
        <w:t>а</w:t>
      </w:r>
      <w:r w:rsidRPr="00B1119F">
        <w:rPr>
          <w:rFonts w:ascii="Times New Roman" w:eastAsia="Arial Unicode MS" w:hAnsi="Times New Roman" w:cs="Times New Roman"/>
          <w:i/>
          <w:iCs/>
          <w:color w:val="000000"/>
          <w:kern w:val="0"/>
          <w:sz w:val="26"/>
          <w:szCs w:val="26"/>
          <w:lang w:val="uk-UA" w:eastAsia="uk-UA" w:bidi="uk-UA"/>
        </w:rPr>
        <w:t>і</w:t>
      </w:r>
      <w:r w:rsidRPr="00B1119F">
        <w:rPr>
          <w:rFonts w:ascii="Arial Unicode MS" w:eastAsia="Arial Unicode MS" w:hAnsi="Arial Unicode MS" w:cs="Arial Unicode MS"/>
          <w:color w:val="000000"/>
          <w:kern w:val="0"/>
          <w:sz w:val="24"/>
          <w:szCs w:val="24"/>
          <w:vertAlign w:val="superscript"/>
          <w:lang w:val="en-US" w:eastAsia="en-US" w:bidi="en-US"/>
        </w:rPr>
        <w:t>)</w:t>
      </w:r>
      <w:r w:rsidRPr="00B1119F">
        <w:rPr>
          <w:rFonts w:ascii="Arial Unicode MS" w:eastAsia="Arial Unicode MS" w:hAnsi="Arial Unicode MS" w:cs="Arial Unicode MS"/>
          <w:color w:val="000000"/>
          <w:kern w:val="0"/>
          <w:sz w:val="24"/>
          <w:szCs w:val="24"/>
          <w:lang w:val="en-US" w:eastAsia="en-US" w:bidi="en-US"/>
        </w:rPr>
        <w:t>,</w:t>
      </w:r>
    </w:p>
    <w:p w:rsidR="00B1119F" w:rsidRPr="00B1119F" w:rsidRDefault="00B1119F" w:rsidP="00B1119F">
      <w:pPr>
        <w:tabs>
          <w:tab w:val="clear" w:pos="709"/>
        </w:tabs>
        <w:suppressAutoHyphens w:val="0"/>
        <w:spacing w:after="0" w:line="317" w:lineRule="exact"/>
        <w:ind w:left="5200" w:firstLine="0"/>
        <w:jc w:val="left"/>
        <w:rPr>
          <w:rFonts w:ascii="Times New Roman" w:eastAsia="Times New Roman" w:hAnsi="Times New Roman" w:cs="Times New Roman"/>
          <w:kern w:val="0"/>
          <w:sz w:val="13"/>
          <w:szCs w:val="13"/>
          <w:lang w:val="en-US" w:eastAsia="en-US" w:bidi="en-US"/>
        </w:rPr>
      </w:pPr>
      <w:r w:rsidRPr="00B1119F">
        <w:rPr>
          <w:rFonts w:ascii="Times New Roman" w:eastAsia="Times New Roman" w:hAnsi="Times New Roman" w:cs="Times New Roman"/>
          <w:color w:val="000000"/>
          <w:kern w:val="0"/>
          <w:sz w:val="13"/>
          <w:szCs w:val="13"/>
          <w:lang w:val="en-US" w:eastAsia="en-US" w:bidi="en-US"/>
        </w:rPr>
        <w:t>i=1</w:t>
      </w:r>
    </w:p>
    <w:p w:rsidR="00B1119F" w:rsidRPr="00B1119F" w:rsidRDefault="00B1119F" w:rsidP="00B1119F">
      <w:pPr>
        <w:tabs>
          <w:tab w:val="clear" w:pos="709"/>
        </w:tabs>
        <w:suppressAutoHyphens w:val="0"/>
        <w:spacing w:after="0" w:line="317" w:lineRule="exact"/>
        <w:ind w:firstLine="76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де: </w:t>
      </w:r>
      <w:r w:rsidRPr="00B1119F">
        <w:rPr>
          <w:rFonts w:ascii="Times New Roman" w:eastAsia="Arial Unicode MS" w:hAnsi="Times New Roman" w:cs="Times New Roman"/>
          <w:i/>
          <w:iCs/>
          <w:color w:val="000000"/>
          <w:kern w:val="0"/>
          <w:sz w:val="26"/>
          <w:szCs w:val="26"/>
          <w:lang w:val="en-US" w:eastAsia="en-US" w:bidi="en-US"/>
        </w:rPr>
        <w:t>S</w:t>
      </w:r>
      <w:r w:rsidRPr="00B1119F">
        <w:rPr>
          <w:rFonts w:ascii="Times New Roman" w:eastAsia="Arial Unicode MS" w:hAnsi="Times New Roman" w:cs="Times New Roman"/>
          <w:i/>
          <w:iCs/>
          <w:color w:val="000000"/>
          <w:kern w:val="0"/>
          <w:sz w:val="26"/>
          <w:szCs w:val="26"/>
          <w:lang w:eastAsia="en-US" w:bidi="en-US"/>
        </w:rPr>
        <w:t xml:space="preserve"> -</w:t>
      </w:r>
      <w:r w:rsidRPr="00B1119F">
        <w:rPr>
          <w:rFonts w:ascii="Arial Unicode MS" w:eastAsia="Arial Unicode MS" w:hAnsi="Arial Unicode MS" w:cs="Arial Unicode MS"/>
          <w:color w:val="000000"/>
          <w:kern w:val="0"/>
          <w:sz w:val="24"/>
          <w:szCs w:val="24"/>
          <w:lang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дискретні коливання розподілу (дельта -функція Дірака).</w:t>
      </w:r>
    </w:p>
    <w:p w:rsidR="00B1119F" w:rsidRPr="00B1119F" w:rsidRDefault="00B1119F" w:rsidP="00B1119F">
      <w:pPr>
        <w:tabs>
          <w:tab w:val="clear" w:pos="709"/>
        </w:tabs>
        <w:suppressAutoHyphens w:val="0"/>
        <w:spacing w:after="0" w:line="317" w:lineRule="exact"/>
        <w:ind w:firstLine="76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Функція розподілу імовірностей страхового </w:t>
      </w:r>
      <w:r w:rsidRPr="00B1119F">
        <w:rPr>
          <w:rFonts w:ascii="Arial Unicode MS" w:eastAsia="Arial Unicode MS" w:hAnsi="Arial Unicode MS" w:cs="Arial Unicode MS"/>
          <w:color w:val="000000"/>
          <w:kern w:val="0"/>
          <w:sz w:val="24"/>
          <w:szCs w:val="24"/>
          <w:lang w:eastAsia="ru-RU" w:bidi="ru-RU"/>
        </w:rPr>
        <w:t>тарифу:</w:t>
      </w:r>
    </w:p>
    <w:p w:rsidR="00B1119F" w:rsidRPr="00B1119F" w:rsidRDefault="00B1119F" w:rsidP="00B1119F">
      <w:pPr>
        <w:tabs>
          <w:tab w:val="clear" w:pos="709"/>
          <w:tab w:val="left" w:pos="6380"/>
        </w:tabs>
        <w:suppressAutoHyphens w:val="0"/>
        <w:spacing w:after="0" w:line="260" w:lineRule="exact"/>
        <w:ind w:left="3680" w:firstLine="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3</w:t>
      </w:r>
      <w:r w:rsidRPr="00B1119F">
        <w:rPr>
          <w:rFonts w:ascii="Arial Unicode MS" w:eastAsia="Arial Unicode MS" w:hAnsi="Arial Unicode MS" w:cs="Arial Unicode MS"/>
          <w:color w:val="000000"/>
          <w:kern w:val="0"/>
          <w:sz w:val="24"/>
          <w:szCs w:val="24"/>
          <w:lang w:val="uk-UA" w:eastAsia="uk-UA" w:bidi="uk-UA"/>
        </w:rPr>
        <w:tab/>
        <w:t>14</w:t>
      </w:r>
    </w:p>
    <w:p w:rsidR="00B1119F" w:rsidRPr="00B1119F" w:rsidRDefault="00B1119F" w:rsidP="00B1119F">
      <w:pPr>
        <w:tabs>
          <w:tab w:val="clear" w:pos="709"/>
        </w:tabs>
        <w:suppressAutoHyphens w:val="0"/>
        <w:spacing w:after="0" w:line="260" w:lineRule="exact"/>
        <w:ind w:left="2740" w:firstLine="0"/>
        <w:jc w:val="left"/>
        <w:rPr>
          <w:rFonts w:ascii="Times New Roman" w:eastAsia="Times New Roman" w:hAnsi="Times New Roman" w:cs="Times New Roman"/>
          <w:i/>
          <w:iCs/>
          <w:kern w:val="0"/>
          <w:sz w:val="26"/>
          <w:szCs w:val="26"/>
          <w:lang w:val="uk-UA" w:eastAsia="uk-UA" w:bidi="uk-UA"/>
        </w:rPr>
      </w:pPr>
      <w:r w:rsidRPr="00B1119F">
        <w:rPr>
          <w:rFonts w:ascii="Times New Roman" w:eastAsia="Times New Roman" w:hAnsi="Times New Roman" w:cs="Times New Roman"/>
          <w:i/>
          <w:iCs/>
          <w:color w:val="000000"/>
          <w:kern w:val="0"/>
          <w:sz w:val="26"/>
          <w:szCs w:val="26"/>
          <w:lang w:val="en-US" w:eastAsia="en-US" w:bidi="en-US"/>
        </w:rPr>
        <w:t>Pt</w:t>
      </w:r>
      <w:r w:rsidRPr="00B1119F">
        <w:rPr>
          <w:rFonts w:ascii="Times New Roman" w:eastAsia="Times New Roman" w:hAnsi="Times New Roman" w:cs="Times New Roman"/>
          <w:color w:val="000000"/>
          <w:kern w:val="0"/>
          <w:sz w:val="26"/>
          <w:szCs w:val="26"/>
          <w:shd w:val="clear" w:color="auto" w:fill="FFFFFF"/>
          <w:vertAlign w:val="superscript"/>
          <w:lang w:val="uk-UA" w:eastAsia="uk-UA" w:bidi="uk-UA"/>
        </w:rPr>
        <w:t>(х)</w:t>
      </w:r>
      <w:r w:rsidRPr="00B1119F">
        <w:rPr>
          <w:rFonts w:ascii="Times New Roman" w:eastAsia="Times New Roman" w:hAnsi="Times New Roman" w:cs="Times New Roman"/>
          <w:color w:val="000000"/>
          <w:kern w:val="0"/>
          <w:sz w:val="26"/>
          <w:szCs w:val="26"/>
          <w:shd w:val="clear" w:color="auto" w:fill="FFFFFF"/>
          <w:lang w:val="uk-UA" w:eastAsia="uk-UA" w:bidi="uk-UA"/>
        </w:rPr>
        <w:t xml:space="preserve"> = Х</w:t>
      </w:r>
      <w:r w:rsidRPr="00B1119F">
        <w:rPr>
          <w:rFonts w:ascii="Times New Roman" w:eastAsia="Times New Roman" w:hAnsi="Times New Roman" w:cs="Times New Roman"/>
          <w:i/>
          <w:iCs/>
          <w:color w:val="000000"/>
          <w:kern w:val="0"/>
          <w:sz w:val="26"/>
          <w:szCs w:val="26"/>
          <w:vertAlign w:val="superscript"/>
          <w:lang w:val="en-US" w:eastAsia="en-US" w:bidi="en-US"/>
        </w:rPr>
        <w:t>P</w:t>
      </w:r>
      <w:r w:rsidRPr="00B1119F">
        <w:rPr>
          <w:rFonts w:ascii="Times New Roman" w:eastAsia="Times New Roman" w:hAnsi="Times New Roman" w:cs="Times New Roman"/>
          <w:i/>
          <w:iCs/>
          <w:color w:val="000000"/>
          <w:kern w:val="0"/>
          <w:sz w:val="26"/>
          <w:szCs w:val="26"/>
          <w:lang w:val="en-US" w:eastAsia="en-US" w:bidi="en-US"/>
        </w:rPr>
        <w:t>f</w:t>
      </w:r>
      <w:r w:rsidRPr="00B1119F">
        <w:rPr>
          <w:rFonts w:ascii="Times New Roman" w:eastAsia="Times New Roman" w:hAnsi="Times New Roman" w:cs="Times New Roman"/>
          <w:color w:val="000000"/>
          <w:kern w:val="0"/>
          <w:sz w:val="26"/>
          <w:szCs w:val="26"/>
          <w:shd w:val="clear" w:color="auto" w:fill="FFFFFF"/>
          <w:lang w:val="uk-UA" w:eastAsia="uk-UA" w:bidi="uk-UA"/>
        </w:rPr>
        <w:t>'</w:t>
      </w:r>
      <w:r w:rsidRPr="00B1119F">
        <w:rPr>
          <w:rFonts w:ascii="Times New Roman" w:eastAsia="Times New Roman" w:hAnsi="Times New Roman" w:cs="Times New Roman"/>
          <w:i/>
          <w:iCs/>
          <w:color w:val="000000"/>
          <w:kern w:val="0"/>
          <w:sz w:val="26"/>
          <w:szCs w:val="26"/>
          <w:lang w:val="uk-UA" w:eastAsia="uk-UA" w:bidi="uk-UA"/>
        </w:rPr>
        <w:t>Рг</w:t>
      </w:r>
      <w:r w:rsidRPr="00B1119F">
        <w:rPr>
          <w:rFonts w:ascii="Times New Roman" w:eastAsia="Times New Roman" w:hAnsi="Times New Roman" w:cs="Times New Roman"/>
          <w:color w:val="000000"/>
          <w:kern w:val="0"/>
          <w:sz w:val="26"/>
          <w:szCs w:val="26"/>
          <w:shd w:val="clear" w:color="auto" w:fill="FFFFFF"/>
          <w:vertAlign w:val="superscript"/>
          <w:lang w:val="uk-UA" w:eastAsia="uk-UA" w:bidi="uk-UA"/>
        </w:rPr>
        <w:t>(</w:t>
      </w:r>
      <w:r w:rsidRPr="00B1119F">
        <w:rPr>
          <w:rFonts w:ascii="Times New Roman" w:eastAsia="Times New Roman" w:hAnsi="Times New Roman" w:cs="Times New Roman"/>
          <w:i/>
          <w:iCs/>
          <w:color w:val="000000"/>
          <w:kern w:val="0"/>
          <w:sz w:val="26"/>
          <w:szCs w:val="26"/>
          <w:vertAlign w:val="superscript"/>
          <w:lang w:val="uk-UA" w:eastAsia="uk-UA" w:bidi="uk-UA"/>
        </w:rPr>
        <w:t>х,а</w:t>
      </w:r>
      <w:r w:rsidRPr="00B1119F">
        <w:rPr>
          <w:rFonts w:ascii="Times New Roman" w:eastAsia="Times New Roman" w:hAnsi="Times New Roman" w:cs="Times New Roman"/>
          <w:i/>
          <w:iCs/>
          <w:color w:val="000000"/>
          <w:kern w:val="0"/>
          <w:sz w:val="26"/>
          <w:szCs w:val="26"/>
          <w:lang w:val="uk-UA" w:eastAsia="uk-UA" w:bidi="uk-UA"/>
        </w:rPr>
        <w:t>і</w:t>
      </w:r>
      <w:r w:rsidRPr="00B1119F">
        <w:rPr>
          <w:rFonts w:ascii="Times New Roman" w:eastAsia="Times New Roman" w:hAnsi="Times New Roman" w:cs="Times New Roman"/>
          <w:i/>
          <w:iCs/>
          <w:color w:val="000000"/>
          <w:kern w:val="0"/>
          <w:sz w:val="26"/>
          <w:szCs w:val="26"/>
          <w:vertAlign w:val="superscript"/>
          <w:lang w:val="uk-UA" w:eastAsia="uk-UA" w:bidi="uk-UA"/>
        </w:rPr>
        <w:t>,а</w:t>
      </w:r>
      <w:r w:rsidRPr="00B1119F">
        <w:rPr>
          <w:rFonts w:ascii="Times New Roman" w:eastAsia="Times New Roman" w:hAnsi="Times New Roman" w:cs="Times New Roman"/>
          <w:i/>
          <w:iCs/>
          <w:color w:val="000000"/>
          <w:kern w:val="0"/>
          <w:sz w:val="26"/>
          <w:szCs w:val="26"/>
          <w:lang w:val="uk-UA" w:eastAsia="uk-UA" w:bidi="uk-UA"/>
        </w:rPr>
        <w:t>іУ</w:t>
      </w:r>
      <w:r w:rsidRPr="00B1119F">
        <w:rPr>
          <w:rFonts w:ascii="Times New Roman" w:eastAsia="Times New Roman" w:hAnsi="Times New Roman" w:cs="Times New Roman"/>
          <w:i/>
          <w:iCs/>
          <w:smallCaps/>
          <w:color w:val="000000"/>
          <w:kern w:val="0"/>
          <w:sz w:val="26"/>
          <w:szCs w:val="26"/>
          <w:shd w:val="clear" w:color="auto" w:fill="FFFFFF"/>
          <w:lang w:val="uk-UA" w:eastAsia="uk-UA" w:bidi="uk-UA"/>
        </w:rPr>
        <w:t>і</w:t>
      </w:r>
      <w:r w:rsidRPr="00B1119F">
        <w:rPr>
          <w:rFonts w:ascii="Times New Roman" w:eastAsia="Times New Roman" w:hAnsi="Times New Roman" w:cs="Times New Roman"/>
          <w:color w:val="000000"/>
          <w:kern w:val="0"/>
          <w:sz w:val="26"/>
          <w:szCs w:val="26"/>
          <w:shd w:val="clear" w:color="auto" w:fill="FFFFFF"/>
          <w:vertAlign w:val="superscript"/>
          <w:lang w:val="uk-UA" w:eastAsia="uk-UA" w:bidi="uk-UA"/>
        </w:rPr>
        <w:t>)</w:t>
      </w:r>
      <w:r w:rsidRPr="00B1119F">
        <w:rPr>
          <w:rFonts w:ascii="Times New Roman" w:eastAsia="Times New Roman" w:hAnsi="Times New Roman" w:cs="Times New Roman"/>
          <w:color w:val="000000"/>
          <w:kern w:val="0"/>
          <w:sz w:val="26"/>
          <w:szCs w:val="26"/>
          <w:shd w:val="clear" w:color="auto" w:fill="FFFFFF"/>
          <w:lang w:val="uk-UA" w:eastAsia="uk-UA" w:bidi="uk-UA"/>
        </w:rPr>
        <w:t xml:space="preserve"> </w:t>
      </w:r>
      <w:r w:rsidRPr="00B1119F">
        <w:rPr>
          <w:rFonts w:ascii="Times New Roman" w:eastAsia="Times New Roman" w:hAnsi="Times New Roman" w:cs="Times New Roman"/>
          <w:color w:val="000000"/>
          <w:kern w:val="0"/>
          <w:sz w:val="26"/>
          <w:szCs w:val="26"/>
          <w:shd w:val="clear" w:color="auto" w:fill="FFFFFF"/>
          <w:lang w:val="uk-UA" w:eastAsia="en-US" w:bidi="en-US"/>
        </w:rPr>
        <w:t xml:space="preserve">+ </w:t>
      </w:r>
      <w:r w:rsidRPr="00B1119F">
        <w:rPr>
          <w:rFonts w:ascii="Times New Roman" w:eastAsia="Times New Roman" w:hAnsi="Times New Roman" w:cs="Times New Roman"/>
          <w:color w:val="000000"/>
          <w:kern w:val="0"/>
          <w:sz w:val="26"/>
          <w:szCs w:val="26"/>
          <w:shd w:val="clear" w:color="auto" w:fill="FFFFFF"/>
          <w:lang w:val="en-US" w:eastAsia="en-US" w:bidi="en-US"/>
        </w:rPr>
        <w:t>Z</w:t>
      </w:r>
      <w:r w:rsidRPr="00B1119F">
        <w:rPr>
          <w:rFonts w:ascii="Times New Roman" w:eastAsia="Times New Roman" w:hAnsi="Times New Roman" w:cs="Times New Roman"/>
          <w:i/>
          <w:iCs/>
          <w:color w:val="000000"/>
          <w:kern w:val="0"/>
          <w:sz w:val="26"/>
          <w:szCs w:val="26"/>
          <w:vertAlign w:val="superscript"/>
          <w:lang w:val="en-US" w:eastAsia="en-US" w:bidi="en-US"/>
        </w:rPr>
        <w:t>P</w:t>
      </w:r>
      <w:r w:rsidRPr="00B1119F">
        <w:rPr>
          <w:rFonts w:ascii="Times New Roman" w:eastAsia="Times New Roman" w:hAnsi="Times New Roman" w:cs="Times New Roman"/>
          <w:i/>
          <w:iCs/>
          <w:color w:val="000000"/>
          <w:kern w:val="0"/>
          <w:sz w:val="26"/>
          <w:szCs w:val="26"/>
          <w:lang w:val="en-US" w:eastAsia="en-US" w:bidi="en-US"/>
        </w:rPr>
        <w:t>f</w:t>
      </w:r>
      <w:r w:rsidRPr="00B1119F">
        <w:rPr>
          <w:rFonts w:ascii="Times New Roman" w:eastAsia="Times New Roman" w:hAnsi="Times New Roman" w:cs="Times New Roman"/>
          <w:i/>
          <w:iCs/>
          <w:color w:val="000000"/>
          <w:kern w:val="0"/>
          <w:sz w:val="26"/>
          <w:szCs w:val="26"/>
          <w:lang w:val="uk-UA" w:eastAsia="en-US" w:bidi="en-US"/>
        </w:rPr>
        <w:t xml:space="preserve"> </w:t>
      </w:r>
      <w:r w:rsidRPr="00B1119F">
        <w:rPr>
          <w:rFonts w:ascii="Times New Roman" w:eastAsia="Times New Roman" w:hAnsi="Times New Roman" w:cs="Times New Roman"/>
          <w:i/>
          <w:iCs/>
          <w:color w:val="000000"/>
          <w:kern w:val="0"/>
          <w:sz w:val="26"/>
          <w:szCs w:val="26"/>
          <w:vertAlign w:val="superscript"/>
          <w:lang w:val="en-US" w:eastAsia="en-US" w:bidi="en-US"/>
        </w:rPr>
        <w:t>S</w:t>
      </w:r>
      <w:r w:rsidRPr="00B1119F">
        <w:rPr>
          <w:rFonts w:ascii="Times New Roman" w:eastAsia="Times New Roman" w:hAnsi="Times New Roman" w:cs="Times New Roman"/>
          <w:i/>
          <w:iCs/>
          <w:color w:val="000000"/>
          <w:kern w:val="0"/>
          <w:sz w:val="26"/>
          <w:szCs w:val="26"/>
          <w:vertAlign w:val="superscript"/>
          <w:lang w:val="uk-UA" w:eastAsia="en-US" w:bidi="en-US"/>
        </w:rPr>
        <w:t>(</w:t>
      </w:r>
      <w:r w:rsidRPr="00B1119F">
        <w:rPr>
          <w:rFonts w:ascii="Times New Roman" w:eastAsia="Times New Roman" w:hAnsi="Times New Roman" w:cs="Times New Roman"/>
          <w:i/>
          <w:iCs/>
          <w:color w:val="000000"/>
          <w:kern w:val="0"/>
          <w:sz w:val="26"/>
          <w:szCs w:val="26"/>
          <w:vertAlign w:val="superscript"/>
          <w:lang w:val="uk-UA" w:eastAsia="uk-UA" w:bidi="uk-UA"/>
        </w:rPr>
        <w:t>х</w:t>
      </w:r>
      <w:r w:rsidRPr="00B1119F">
        <w:rPr>
          <w:rFonts w:ascii="Times New Roman" w:eastAsia="Times New Roman" w:hAnsi="Times New Roman" w:cs="Times New Roman"/>
          <w:i/>
          <w:iCs/>
          <w:color w:val="000000"/>
          <w:kern w:val="0"/>
          <w:sz w:val="26"/>
          <w:szCs w:val="26"/>
          <w:lang w:val="uk-UA" w:eastAsia="en-US" w:bidi="en-US"/>
        </w:rPr>
        <w:t>~</w:t>
      </w:r>
      <w:r w:rsidRPr="00B1119F">
        <w:rPr>
          <w:rFonts w:ascii="Times New Roman" w:eastAsia="Times New Roman" w:hAnsi="Times New Roman" w:cs="Times New Roman"/>
          <w:i/>
          <w:iCs/>
          <w:color w:val="000000"/>
          <w:kern w:val="0"/>
          <w:sz w:val="26"/>
          <w:szCs w:val="26"/>
          <w:vertAlign w:val="superscript"/>
          <w:lang w:val="en-US" w:eastAsia="en-US" w:bidi="en-US"/>
        </w:rPr>
        <w:t>a</w:t>
      </w:r>
      <w:r w:rsidRPr="00B1119F">
        <w:rPr>
          <w:rFonts w:ascii="Times New Roman" w:eastAsia="Times New Roman" w:hAnsi="Times New Roman" w:cs="Times New Roman"/>
          <w:i/>
          <w:iCs/>
          <w:color w:val="000000"/>
          <w:kern w:val="0"/>
          <w:sz w:val="26"/>
          <w:szCs w:val="26"/>
          <w:lang w:val="en-US" w:eastAsia="en-US" w:bidi="en-US"/>
        </w:rPr>
        <w:t>f</w:t>
      </w:r>
      <w:r w:rsidRPr="00B1119F">
        <w:rPr>
          <w:rFonts w:ascii="Times New Roman" w:eastAsia="Times New Roman" w:hAnsi="Times New Roman" w:cs="Times New Roman"/>
          <w:color w:val="000000"/>
          <w:kern w:val="0"/>
          <w:sz w:val="26"/>
          <w:szCs w:val="26"/>
          <w:shd w:val="clear" w:color="auto" w:fill="FFFFFF"/>
          <w:lang w:val="uk-UA" w:eastAsia="uk-UA" w:bidi="uk-UA"/>
        </w:rPr>
        <w:t>).</w:t>
      </w:r>
    </w:p>
    <w:p w:rsidR="00B1119F" w:rsidRPr="00B1119F" w:rsidRDefault="00B1119F" w:rsidP="00B1119F">
      <w:pPr>
        <w:tabs>
          <w:tab w:val="clear" w:pos="709"/>
          <w:tab w:val="left" w:pos="6380"/>
        </w:tabs>
        <w:suppressAutoHyphens w:val="0"/>
        <w:spacing w:after="0" w:line="260" w:lineRule="exact"/>
        <w:ind w:left="3680" w:firstLine="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i/>
          <w:iCs/>
          <w:color w:val="000000"/>
          <w:kern w:val="0"/>
          <w:sz w:val="26"/>
          <w:szCs w:val="26"/>
          <w:lang w:val="uk-UA" w:eastAsia="uk-UA" w:bidi="uk-UA"/>
        </w:rPr>
        <w:t>і=1</w:t>
      </w:r>
      <w:r w:rsidRPr="00B1119F">
        <w:rPr>
          <w:rFonts w:ascii="Arial Unicode MS" w:eastAsia="Arial Unicode MS" w:hAnsi="Arial Unicode MS" w:cs="Arial Unicode MS"/>
          <w:color w:val="000000"/>
          <w:kern w:val="0"/>
          <w:sz w:val="24"/>
          <w:szCs w:val="24"/>
          <w:lang w:val="uk-UA" w:eastAsia="uk-UA" w:bidi="uk-UA"/>
        </w:rPr>
        <w:tab/>
        <w:t>і=4</w:t>
      </w:r>
    </w:p>
    <w:p w:rsidR="00B1119F" w:rsidRPr="00B1119F" w:rsidRDefault="00B1119F" w:rsidP="00B1119F">
      <w:pPr>
        <w:tabs>
          <w:tab w:val="clear" w:pos="709"/>
        </w:tabs>
        <w:suppressAutoHyphens w:val="0"/>
        <w:spacing w:after="169" w:line="322" w:lineRule="exact"/>
        <w:ind w:firstLine="76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Зважаючи на те, що обсяги збитків за договорами страхування залежать від розмірів страхових </w:t>
      </w:r>
      <w:r w:rsidRPr="00B1119F">
        <w:rPr>
          <w:rFonts w:ascii="Arial Unicode MS" w:eastAsia="Arial Unicode MS" w:hAnsi="Arial Unicode MS" w:cs="Arial Unicode MS"/>
          <w:color w:val="000000"/>
          <w:kern w:val="0"/>
          <w:sz w:val="24"/>
          <w:szCs w:val="24"/>
          <w:lang w:eastAsia="ru-RU" w:bidi="ru-RU"/>
        </w:rPr>
        <w:t xml:space="preserve">сум, </w:t>
      </w:r>
      <w:r w:rsidRPr="00B1119F">
        <w:rPr>
          <w:rFonts w:ascii="Arial Unicode MS" w:eastAsia="Arial Unicode MS" w:hAnsi="Arial Unicode MS" w:cs="Arial Unicode MS"/>
          <w:color w:val="000000"/>
          <w:kern w:val="0"/>
          <w:sz w:val="24"/>
          <w:szCs w:val="24"/>
          <w:lang w:val="uk-UA" w:eastAsia="uk-UA" w:bidi="uk-UA"/>
        </w:rPr>
        <w:t>функцію розподілу імовірностей збитків представлено за групами страхових сум:</w:t>
      </w:r>
    </w:p>
    <w:p w:rsidR="00B1119F" w:rsidRPr="00B1119F" w:rsidRDefault="00B1119F" w:rsidP="00B1119F">
      <w:pPr>
        <w:tabs>
          <w:tab w:val="clear" w:pos="709"/>
        </w:tabs>
        <w:suppressAutoHyphens w:val="0"/>
        <w:spacing w:after="138" w:line="260" w:lineRule="exact"/>
        <w:ind w:firstLine="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i/>
          <w:iCs/>
          <w:color w:val="000000"/>
          <w:kern w:val="0"/>
          <w:sz w:val="26"/>
          <w:szCs w:val="26"/>
          <w:lang w:val="en-US" w:eastAsia="en-US" w:bidi="en-US"/>
        </w:rPr>
        <w:t>Pzi</w:t>
      </w:r>
      <w:r w:rsidRPr="00B1119F">
        <w:rPr>
          <w:rFonts w:ascii="Arial Unicode MS" w:eastAsia="Arial Unicode MS" w:hAnsi="Arial Unicode MS" w:cs="Arial Unicode MS"/>
          <w:color w:val="000000"/>
          <w:kern w:val="0"/>
          <w:sz w:val="24"/>
          <w:szCs w:val="24"/>
          <w:lang w:val="uk-UA"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 xml:space="preserve">■ </w:t>
      </w:r>
      <w:r w:rsidRPr="00B1119F">
        <w:rPr>
          <w:rFonts w:ascii="Arial Unicode MS" w:eastAsia="Arial Unicode MS" w:hAnsi="Arial Unicode MS" w:cs="Arial Unicode MS"/>
          <w:color w:val="000000"/>
          <w:kern w:val="0"/>
          <w:sz w:val="24"/>
          <w:szCs w:val="24"/>
          <w:lang w:val="en-US" w:eastAsia="en-US" w:bidi="en-US"/>
        </w:rPr>
        <w:t>Pzi</w:t>
      </w:r>
      <w:r w:rsidRPr="00B1119F">
        <w:rPr>
          <w:rFonts w:ascii="Arial Unicode MS" w:eastAsia="Arial Unicode MS" w:hAnsi="Arial Unicode MS" w:cs="Arial Unicode MS"/>
          <w:color w:val="000000"/>
          <w:kern w:val="0"/>
          <w:sz w:val="24"/>
          <w:szCs w:val="24"/>
          <w:lang w:val="uk-UA" w:eastAsia="en-US" w:bidi="en-US"/>
        </w:rPr>
        <w:t>(</w:t>
      </w:r>
      <w:r w:rsidRPr="00B1119F">
        <w:rPr>
          <w:rFonts w:ascii="Arial Unicode MS" w:eastAsia="Arial Unicode MS" w:hAnsi="Arial Unicode MS" w:cs="Arial Unicode MS"/>
          <w:color w:val="000000"/>
          <w:kern w:val="0"/>
          <w:sz w:val="24"/>
          <w:szCs w:val="24"/>
          <w:lang w:val="en-US" w:eastAsia="en-US" w:bidi="en-US"/>
        </w:rPr>
        <w:t>z</w:t>
      </w:r>
      <w:r w:rsidRPr="00B1119F">
        <w:rPr>
          <w:rFonts w:ascii="Arial Unicode MS" w:eastAsia="Arial Unicode MS" w:hAnsi="Arial Unicode MS" w:cs="Arial Unicode MS"/>
          <w:color w:val="000000"/>
          <w:kern w:val="0"/>
          <w:sz w:val="24"/>
          <w:szCs w:val="24"/>
          <w:lang w:val="uk-UA" w:eastAsia="uk-UA" w:bidi="uk-UA"/>
        </w:rPr>
        <w:t>), 5 &lt; 200 -10</w:t>
      </w:r>
      <w:r w:rsidRPr="00B1119F">
        <w:rPr>
          <w:rFonts w:ascii="Arial Unicode MS" w:eastAsia="Arial Unicode MS" w:hAnsi="Arial Unicode MS" w:cs="Arial Unicode MS"/>
          <w:color w:val="000000"/>
          <w:kern w:val="0"/>
          <w:sz w:val="24"/>
          <w:szCs w:val="24"/>
          <w:vertAlign w:val="superscript"/>
          <w:lang w:val="uk-UA" w:eastAsia="uk-UA" w:bidi="uk-UA"/>
        </w:rPr>
        <w:t>3</w:t>
      </w:r>
      <w:r w:rsidRPr="00B1119F">
        <w:rPr>
          <w:rFonts w:ascii="Arial Unicode MS" w:eastAsia="Arial Unicode MS" w:hAnsi="Arial Unicode MS" w:cs="Arial Unicode MS"/>
          <w:color w:val="000000"/>
          <w:kern w:val="0"/>
          <w:sz w:val="24"/>
          <w:szCs w:val="24"/>
          <w:lang w:val="uk-UA" w:eastAsia="uk-UA" w:bidi="uk-UA"/>
        </w:rPr>
        <w:t>,</w:t>
      </w:r>
    </w:p>
    <w:p w:rsidR="00B1119F" w:rsidRPr="00B1119F" w:rsidRDefault="00B1119F" w:rsidP="00B1119F">
      <w:pPr>
        <w:tabs>
          <w:tab w:val="clear" w:pos="709"/>
        </w:tabs>
        <w:suppressAutoHyphens w:val="0"/>
        <w:spacing w:after="261" w:line="260" w:lineRule="exact"/>
        <w:ind w:firstLine="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pict>
          <v:shape id="_x0000_s1177" type="#_x0000_t202" style="position:absolute;left:0;text-align:left;margin-left:142.55pt;margin-top:2.4pt;width:34.55pt;height:18.7pt;z-index:-251642880;mso-wrap-distance-left:5pt;mso-wrap-distance-top:21.7pt;mso-wrap-distance-right:13.45pt;mso-wrap-distance-bottom:16.95pt;mso-position-horizontal-relative:margin" filled="f" stroked="f">
            <v:textbox style="mso-fit-shape-to-text:t" inset="0,0,0,0">
              <w:txbxContent>
                <w:p w:rsidR="00B1119F" w:rsidRDefault="00B1119F" w:rsidP="00B1119F">
                  <w:pPr>
                    <w:pStyle w:val="5ff4"/>
                    <w:shd w:val="clear" w:color="auto" w:fill="auto"/>
                    <w:spacing w:line="260" w:lineRule="exact"/>
                    <w:jc w:val="left"/>
                  </w:pPr>
                  <w:r>
                    <w:rPr>
                      <w:rStyle w:val="5Exact"/>
                    </w:rPr>
                    <w:t xml:space="preserve">Pz </w:t>
                  </w:r>
                  <w:r>
                    <w:rPr>
                      <w:rStyle w:val="5Exact"/>
                      <w:vertAlign w:val="superscript"/>
                      <w:lang w:val="uk-UA" w:eastAsia="uk-UA" w:bidi="uk-UA"/>
                    </w:rPr>
                    <w:t xml:space="preserve">( </w:t>
                  </w:r>
                  <w:r>
                    <w:rPr>
                      <w:rStyle w:val="5Exact"/>
                      <w:vertAlign w:val="superscript"/>
                    </w:rPr>
                    <w:t>z</w:t>
                  </w:r>
                  <w:r>
                    <w:rPr>
                      <w:i w:val="0"/>
                      <w:iCs w:val="0"/>
                      <w:vertAlign w:val="superscript"/>
                      <w:lang w:val="en-US" w:eastAsia="en-US" w:bidi="en-US"/>
                    </w:rPr>
                    <w:t></w:t>
                  </w:r>
                  <w:r>
                    <w:rPr>
                      <w:i w:val="0"/>
                      <w:iCs w:val="0"/>
                      <w:vertAlign w:val="superscript"/>
                    </w:rPr>
                    <w:t></w:t>
                  </w:r>
                </w:p>
              </w:txbxContent>
            </v:textbox>
            <w10:wrap type="square" side="right" anchorx="margin"/>
          </v:shape>
        </w:pict>
      </w:r>
      <w:r w:rsidRPr="00B1119F">
        <w:rPr>
          <w:rFonts w:ascii="Arial Unicode MS" w:eastAsia="Arial Unicode MS" w:hAnsi="Arial Unicode MS" w:cs="Arial Unicode MS"/>
          <w:color w:val="000000"/>
          <w:kern w:val="0"/>
          <w:sz w:val="24"/>
          <w:szCs w:val="24"/>
          <w:lang w:val="uk-UA" w:eastAsia="uk-UA" w:bidi="uk-UA"/>
        </w:rPr>
        <w:t xml:space="preserve">&lt; </w:t>
      </w:r>
      <w:r w:rsidRPr="00B1119F">
        <w:rPr>
          <w:rFonts w:ascii="Times New Roman" w:eastAsia="Arial Unicode MS" w:hAnsi="Times New Roman" w:cs="Times New Roman"/>
          <w:i/>
          <w:iCs/>
          <w:color w:val="000000"/>
          <w:kern w:val="0"/>
          <w:sz w:val="26"/>
          <w:szCs w:val="26"/>
          <w:lang w:val="en-US" w:eastAsia="en-US" w:bidi="en-US"/>
        </w:rPr>
        <w:t>P</w:t>
      </w:r>
      <w:r w:rsidRPr="00B1119F">
        <w:rPr>
          <w:rFonts w:ascii="Times New Roman" w:eastAsia="Arial Unicode MS" w:hAnsi="Times New Roman" w:cs="Times New Roman"/>
          <w:i/>
          <w:iCs/>
          <w:color w:val="000000"/>
          <w:kern w:val="0"/>
          <w:sz w:val="26"/>
          <w:szCs w:val="26"/>
          <w:vertAlign w:val="subscript"/>
          <w:lang w:val="en-US" w:eastAsia="en-US" w:bidi="en-US"/>
        </w:rPr>
        <w:t>z</w:t>
      </w:r>
      <w:r w:rsidRPr="00B1119F">
        <w:rPr>
          <w:rFonts w:ascii="Times New Roman" w:eastAsia="Arial Unicode MS" w:hAnsi="Times New Roman" w:cs="Times New Roman"/>
          <w:color w:val="000000"/>
          <w:spacing w:val="-10"/>
          <w:kern w:val="0"/>
          <w:sz w:val="26"/>
          <w:szCs w:val="26"/>
          <w:vertAlign w:val="subscript"/>
          <w:lang w:val="uk-UA" w:eastAsia="uk-UA" w:bidi="uk-UA"/>
        </w:rPr>
        <w:t>2</w:t>
      </w:r>
      <w:r w:rsidRPr="00B1119F">
        <w:rPr>
          <w:rFonts w:ascii="Arial Unicode MS" w:eastAsia="Arial Unicode MS" w:hAnsi="Arial Unicode MS" w:cs="Arial Unicode MS"/>
          <w:color w:val="000000"/>
          <w:kern w:val="0"/>
          <w:sz w:val="24"/>
          <w:szCs w:val="24"/>
          <w:lang w:val="uk-UA" w:eastAsia="uk-UA" w:bidi="uk-UA"/>
        </w:rPr>
        <w:t xml:space="preserve"> ■ </w:t>
      </w:r>
      <w:r w:rsidRPr="00B1119F">
        <w:rPr>
          <w:rFonts w:ascii="Times New Roman" w:eastAsia="Arial Unicode MS" w:hAnsi="Times New Roman" w:cs="Times New Roman"/>
          <w:i/>
          <w:iCs/>
          <w:color w:val="000000"/>
          <w:kern w:val="0"/>
          <w:sz w:val="26"/>
          <w:szCs w:val="26"/>
          <w:lang w:val="en-US" w:eastAsia="en-US" w:bidi="en-US"/>
        </w:rPr>
        <w:t>p</w:t>
      </w:r>
      <w:r w:rsidRPr="00B1119F">
        <w:rPr>
          <w:rFonts w:ascii="Times New Roman" w:eastAsia="Arial Unicode MS" w:hAnsi="Times New Roman" w:cs="Times New Roman"/>
          <w:i/>
          <w:iCs/>
          <w:color w:val="000000"/>
          <w:kern w:val="0"/>
          <w:sz w:val="26"/>
          <w:szCs w:val="26"/>
          <w:vertAlign w:val="subscript"/>
          <w:lang w:val="en-US" w:eastAsia="en-US" w:bidi="en-US"/>
        </w:rPr>
        <w:t>z</w:t>
      </w:r>
      <w:r w:rsidRPr="00B1119F">
        <w:rPr>
          <w:rFonts w:ascii="Times New Roman" w:eastAsia="Arial Unicode MS" w:hAnsi="Times New Roman" w:cs="Times New Roman"/>
          <w:color w:val="000000"/>
          <w:spacing w:val="-10"/>
          <w:kern w:val="0"/>
          <w:sz w:val="26"/>
          <w:szCs w:val="26"/>
          <w:vertAlign w:val="subscript"/>
          <w:lang w:val="uk-UA" w:eastAsia="uk-UA" w:bidi="uk-UA"/>
        </w:rPr>
        <w:t>2</w:t>
      </w:r>
      <w:r w:rsidRPr="00B1119F">
        <w:rPr>
          <w:rFonts w:ascii="Arial Unicode MS" w:eastAsia="Arial Unicode MS" w:hAnsi="Arial Unicode MS" w:cs="Arial Unicode MS"/>
          <w:color w:val="000000"/>
          <w:kern w:val="0"/>
          <w:sz w:val="24"/>
          <w:szCs w:val="24"/>
          <w:lang w:val="uk-UA" w:eastAsia="uk-UA" w:bidi="uk-UA"/>
        </w:rPr>
        <w:t xml:space="preserve"> (</w:t>
      </w:r>
      <w:r w:rsidRPr="00B1119F">
        <w:rPr>
          <w:rFonts w:ascii="Arial Unicode MS" w:eastAsia="Arial Unicode MS" w:hAnsi="Arial Unicode MS" w:cs="Arial Unicode MS"/>
          <w:color w:val="000000"/>
          <w:kern w:val="0"/>
          <w:sz w:val="24"/>
          <w:szCs w:val="24"/>
          <w:lang w:val="en-US" w:eastAsia="en-US" w:bidi="en-US"/>
        </w:rPr>
        <w:t>z</w:t>
      </w:r>
      <w:r w:rsidRPr="00B1119F">
        <w:rPr>
          <w:rFonts w:ascii="Arial Unicode MS" w:eastAsia="Arial Unicode MS" w:hAnsi="Arial Unicode MS" w:cs="Arial Unicode MS"/>
          <w:color w:val="000000"/>
          <w:kern w:val="0"/>
          <w:sz w:val="24"/>
          <w:szCs w:val="24"/>
          <w:lang w:val="uk-UA"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200 ■ 10</w:t>
      </w:r>
      <w:r w:rsidRPr="00B1119F">
        <w:rPr>
          <w:rFonts w:ascii="Times New Roman" w:eastAsia="Arial Unicode MS" w:hAnsi="Times New Roman" w:cs="Times New Roman"/>
          <w:color w:val="000000"/>
          <w:spacing w:val="-10"/>
          <w:kern w:val="0"/>
          <w:sz w:val="26"/>
          <w:szCs w:val="26"/>
          <w:vertAlign w:val="superscript"/>
          <w:lang w:val="uk-UA" w:eastAsia="uk-UA" w:bidi="uk-UA"/>
        </w:rPr>
        <w:t>3</w:t>
      </w:r>
      <w:r w:rsidRPr="00B1119F">
        <w:rPr>
          <w:rFonts w:ascii="Arial Unicode MS" w:eastAsia="Arial Unicode MS" w:hAnsi="Arial Unicode MS" w:cs="Arial Unicode MS"/>
          <w:color w:val="000000"/>
          <w:kern w:val="0"/>
          <w:sz w:val="24"/>
          <w:szCs w:val="24"/>
          <w:lang w:val="uk-UA" w:eastAsia="uk-UA" w:bidi="uk-UA"/>
        </w:rPr>
        <w:t xml:space="preserve"> &lt; 5 &lt; 600 ■ 10</w:t>
      </w:r>
      <w:r w:rsidRPr="00B1119F">
        <w:rPr>
          <w:rFonts w:ascii="Arial Unicode MS" w:eastAsia="Arial Unicode MS" w:hAnsi="Arial Unicode MS" w:cs="Arial Unicode MS"/>
          <w:color w:val="000000"/>
          <w:kern w:val="0"/>
          <w:sz w:val="24"/>
          <w:szCs w:val="24"/>
          <w:vertAlign w:val="superscript"/>
          <w:lang w:val="uk-UA" w:eastAsia="uk-UA" w:bidi="uk-UA"/>
        </w:rPr>
        <w:t>3</w:t>
      </w:r>
      <w:r w:rsidRPr="00B1119F">
        <w:rPr>
          <w:rFonts w:ascii="Arial Unicode MS" w:eastAsia="Arial Unicode MS" w:hAnsi="Arial Unicode MS" w:cs="Arial Unicode MS"/>
          <w:color w:val="000000"/>
          <w:kern w:val="0"/>
          <w:sz w:val="24"/>
          <w:szCs w:val="24"/>
          <w:lang w:val="uk-UA" w:eastAsia="uk-UA" w:bidi="uk-UA"/>
        </w:rPr>
        <w:t>,</w:t>
      </w:r>
    </w:p>
    <w:p w:rsidR="00B1119F" w:rsidRPr="00B1119F" w:rsidRDefault="00B1119F" w:rsidP="00B1119F">
      <w:pPr>
        <w:tabs>
          <w:tab w:val="clear" w:pos="709"/>
        </w:tabs>
        <w:suppressAutoHyphens w:val="0"/>
        <w:spacing w:after="0" w:line="260" w:lineRule="exact"/>
        <w:ind w:firstLine="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i/>
          <w:iCs/>
          <w:color w:val="000000"/>
          <w:kern w:val="0"/>
          <w:sz w:val="26"/>
          <w:szCs w:val="26"/>
          <w:vertAlign w:val="superscript"/>
          <w:lang w:val="en-US" w:eastAsia="en-US" w:bidi="en-US"/>
        </w:rPr>
        <w:t>P</w:t>
      </w:r>
      <w:r w:rsidRPr="00B1119F">
        <w:rPr>
          <w:rFonts w:ascii="Times New Roman" w:eastAsia="Arial Unicode MS" w:hAnsi="Times New Roman" w:cs="Times New Roman"/>
          <w:i/>
          <w:iCs/>
          <w:color w:val="000000"/>
          <w:kern w:val="0"/>
          <w:sz w:val="26"/>
          <w:szCs w:val="26"/>
          <w:lang w:val="en-US" w:eastAsia="en-US" w:bidi="en-US"/>
        </w:rPr>
        <w:t>z</w:t>
      </w:r>
      <w:r w:rsidRPr="00B1119F">
        <w:rPr>
          <w:rFonts w:ascii="Times New Roman" w:eastAsia="Arial Unicode MS" w:hAnsi="Times New Roman" w:cs="Times New Roman"/>
          <w:i/>
          <w:iCs/>
          <w:color w:val="000000"/>
          <w:kern w:val="0"/>
          <w:sz w:val="26"/>
          <w:szCs w:val="26"/>
          <w:lang w:val="uk-UA" w:eastAsia="en-US" w:bidi="en-US"/>
        </w:rPr>
        <w:t xml:space="preserve">3 </w:t>
      </w:r>
      <w:r w:rsidRPr="00B1119F">
        <w:rPr>
          <w:rFonts w:ascii="Times New Roman" w:eastAsia="Arial Unicode MS" w:hAnsi="Times New Roman" w:cs="Times New Roman"/>
          <w:i/>
          <w:iCs/>
          <w:color w:val="000000"/>
          <w:kern w:val="0"/>
          <w:sz w:val="26"/>
          <w:szCs w:val="26"/>
          <w:lang w:val="uk-UA" w:eastAsia="uk-UA" w:bidi="uk-UA"/>
        </w:rPr>
        <w:t xml:space="preserve">■ </w:t>
      </w:r>
      <w:r w:rsidRPr="00B1119F">
        <w:rPr>
          <w:rFonts w:ascii="Times New Roman" w:eastAsia="Arial Unicode MS" w:hAnsi="Times New Roman" w:cs="Times New Roman"/>
          <w:i/>
          <w:iCs/>
          <w:color w:val="000000"/>
          <w:kern w:val="0"/>
          <w:sz w:val="26"/>
          <w:szCs w:val="26"/>
          <w:lang w:val="en-US" w:eastAsia="en-US" w:bidi="en-US"/>
        </w:rPr>
        <w:t>Pz</w:t>
      </w:r>
      <w:r w:rsidRPr="00B1119F">
        <w:rPr>
          <w:rFonts w:ascii="Times New Roman" w:eastAsia="Arial Unicode MS" w:hAnsi="Times New Roman" w:cs="Times New Roman"/>
          <w:i/>
          <w:iCs/>
          <w:color w:val="000000"/>
          <w:kern w:val="0"/>
          <w:sz w:val="26"/>
          <w:szCs w:val="26"/>
          <w:lang w:val="uk-UA" w:eastAsia="en-US" w:bidi="en-US"/>
        </w:rPr>
        <w:t>3</w:t>
      </w:r>
      <w:r w:rsidRPr="00B1119F">
        <w:rPr>
          <w:rFonts w:ascii="Arial Unicode MS" w:eastAsia="Arial Unicode MS" w:hAnsi="Arial Unicode MS" w:cs="Arial Unicode MS"/>
          <w:color w:val="000000"/>
          <w:kern w:val="0"/>
          <w:sz w:val="24"/>
          <w:szCs w:val="24"/>
          <w:lang w:val="uk-UA" w:eastAsia="en-US" w:bidi="en-US"/>
        </w:rPr>
        <w:t xml:space="preserve"> </w:t>
      </w:r>
      <w:r w:rsidRPr="00B1119F">
        <w:rPr>
          <w:rFonts w:ascii="Arial Unicode MS" w:eastAsia="Arial Unicode MS" w:hAnsi="Arial Unicode MS" w:cs="Arial Unicode MS"/>
          <w:color w:val="000000"/>
          <w:kern w:val="0"/>
          <w:sz w:val="24"/>
          <w:szCs w:val="24"/>
          <w:vertAlign w:val="superscript"/>
          <w:lang w:val="uk-UA" w:eastAsia="uk-UA" w:bidi="uk-UA"/>
        </w:rPr>
        <w:t>(</w:t>
      </w:r>
      <w:r w:rsidRPr="00B1119F">
        <w:rPr>
          <w:rFonts w:ascii="Arial Unicode MS" w:eastAsia="Arial Unicode MS" w:hAnsi="Arial Unicode MS" w:cs="Arial Unicode MS"/>
          <w:color w:val="000000"/>
          <w:kern w:val="0"/>
          <w:sz w:val="24"/>
          <w:szCs w:val="24"/>
          <w:vertAlign w:val="superscript"/>
          <w:lang w:val="en-US" w:eastAsia="en-US" w:bidi="en-US"/>
        </w:rPr>
        <w:t>z</w:t>
      </w:r>
      <w:r w:rsidRPr="00B1119F">
        <w:rPr>
          <w:rFonts w:ascii="Arial Unicode MS" w:eastAsia="Arial Unicode MS" w:hAnsi="Arial Unicode MS" w:cs="Arial Unicode MS"/>
          <w:color w:val="000000"/>
          <w:kern w:val="0"/>
          <w:sz w:val="24"/>
          <w:szCs w:val="24"/>
          <w:vertAlign w:val="superscript"/>
          <w:lang w:val="uk-UA" w:eastAsia="uk-UA" w:bidi="uk-UA"/>
        </w:rPr>
        <w:t xml:space="preserve">), </w:t>
      </w:r>
      <w:r w:rsidRPr="00B1119F">
        <w:rPr>
          <w:rFonts w:ascii="Times New Roman" w:eastAsia="Arial Unicode MS" w:hAnsi="Times New Roman" w:cs="Times New Roman"/>
          <w:color w:val="000000"/>
          <w:spacing w:val="-10"/>
          <w:kern w:val="0"/>
          <w:sz w:val="26"/>
          <w:szCs w:val="26"/>
          <w:vertAlign w:val="superscript"/>
          <w:lang w:val="uk-UA" w:eastAsia="uk-UA" w:bidi="uk-UA"/>
        </w:rPr>
        <w:t>5</w:t>
      </w:r>
      <w:r w:rsidRPr="00B1119F">
        <w:rPr>
          <w:rFonts w:ascii="Arial Unicode MS" w:eastAsia="Arial Unicode MS" w:hAnsi="Arial Unicode MS" w:cs="Arial Unicode MS"/>
          <w:color w:val="000000"/>
          <w:kern w:val="0"/>
          <w:sz w:val="24"/>
          <w:szCs w:val="24"/>
          <w:lang w:val="uk-UA" w:eastAsia="uk-UA" w:bidi="uk-UA"/>
        </w:rPr>
        <w:t xml:space="preserve"> &gt; </w:t>
      </w:r>
      <w:r w:rsidRPr="00B1119F">
        <w:rPr>
          <w:rFonts w:ascii="Times New Roman" w:eastAsia="Arial Unicode MS" w:hAnsi="Times New Roman" w:cs="Times New Roman"/>
          <w:color w:val="000000"/>
          <w:spacing w:val="-10"/>
          <w:kern w:val="0"/>
          <w:sz w:val="26"/>
          <w:szCs w:val="26"/>
          <w:vertAlign w:val="superscript"/>
          <w:lang w:val="uk-UA" w:eastAsia="uk-UA" w:bidi="uk-UA"/>
        </w:rPr>
        <w:t>600</w:t>
      </w:r>
      <w:r w:rsidRPr="00B1119F">
        <w:rPr>
          <w:rFonts w:ascii="Arial Unicode MS" w:eastAsia="Arial Unicode MS" w:hAnsi="Arial Unicode MS" w:cs="Arial Unicode MS"/>
          <w:color w:val="000000"/>
          <w:kern w:val="0"/>
          <w:sz w:val="24"/>
          <w:szCs w:val="24"/>
          <w:lang w:val="uk-UA" w:eastAsia="uk-UA" w:bidi="uk-UA"/>
        </w:rPr>
        <w:t xml:space="preserve"> -</w:t>
      </w:r>
      <w:r w:rsidRPr="00B1119F">
        <w:rPr>
          <w:rFonts w:ascii="Arial Unicode MS" w:eastAsia="Arial Unicode MS" w:hAnsi="Arial Unicode MS" w:cs="Arial Unicode MS"/>
          <w:color w:val="000000"/>
          <w:kern w:val="0"/>
          <w:sz w:val="24"/>
          <w:szCs w:val="24"/>
          <w:vertAlign w:val="superscript"/>
          <w:lang w:val="uk-UA" w:eastAsia="uk-UA" w:bidi="uk-UA"/>
        </w:rPr>
        <w:t>103,</w:t>
      </w:r>
      <w:r w:rsidRPr="00B1119F">
        <w:rPr>
          <w:rFonts w:ascii="Arial Unicode MS" w:eastAsia="Arial Unicode MS" w:hAnsi="Arial Unicode MS" w:cs="Arial Unicode MS"/>
          <w:color w:val="000000"/>
          <w:kern w:val="0"/>
          <w:sz w:val="24"/>
          <w:szCs w:val="24"/>
          <w:lang w:val="uk-UA" w:eastAsia="uk-UA" w:bidi="uk-UA"/>
        </w:rPr>
        <w:t xml:space="preserve"> де: </w:t>
      </w:r>
      <w:r w:rsidRPr="00B1119F">
        <w:rPr>
          <w:rFonts w:ascii="Arial Unicode MS" w:eastAsia="Arial Unicode MS" w:hAnsi="Arial Unicode MS" w:cs="Arial Unicode MS"/>
          <w:color w:val="000000"/>
          <w:kern w:val="0"/>
          <w:sz w:val="24"/>
          <w:szCs w:val="24"/>
          <w:lang w:val="en-US" w:eastAsia="en-US" w:bidi="en-US"/>
        </w:rPr>
        <w:t>P</w:t>
      </w:r>
      <w:r w:rsidRPr="00B1119F">
        <w:rPr>
          <w:rFonts w:ascii="Times New Roman" w:eastAsia="Arial Unicode MS" w:hAnsi="Times New Roman" w:cs="Times New Roman"/>
          <w:color w:val="000000"/>
          <w:spacing w:val="-10"/>
          <w:kern w:val="0"/>
          <w:sz w:val="26"/>
          <w:szCs w:val="26"/>
          <w:vertAlign w:val="subscript"/>
          <w:lang w:val="en-US" w:eastAsia="en-US" w:bidi="en-US"/>
        </w:rPr>
        <w:t>z</w:t>
      </w:r>
      <w:r w:rsidRPr="00B1119F">
        <w:rPr>
          <w:rFonts w:ascii="Times New Roman" w:eastAsia="Arial Unicode MS" w:hAnsi="Times New Roman" w:cs="Times New Roman"/>
          <w:color w:val="000000"/>
          <w:spacing w:val="-10"/>
          <w:kern w:val="0"/>
          <w:sz w:val="26"/>
          <w:szCs w:val="26"/>
          <w:lang w:val="uk-UA" w:eastAsia="en-US" w:bidi="en-US"/>
        </w:rPr>
        <w:t>1</w:t>
      </w:r>
      <w:r w:rsidRPr="00B1119F">
        <w:rPr>
          <w:rFonts w:ascii="Arial Unicode MS" w:eastAsia="Arial Unicode MS" w:hAnsi="Arial Unicode MS" w:cs="Arial Unicode MS"/>
          <w:color w:val="000000"/>
          <w:kern w:val="0"/>
          <w:sz w:val="24"/>
          <w:szCs w:val="24"/>
          <w:lang w:val="uk-UA"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 xml:space="preserve">= 48/765, </w:t>
      </w:r>
      <w:r w:rsidRPr="00B1119F">
        <w:rPr>
          <w:rFonts w:ascii="Times New Roman" w:eastAsia="Arial Unicode MS" w:hAnsi="Times New Roman" w:cs="Times New Roman"/>
          <w:i/>
          <w:iCs/>
          <w:color w:val="000000"/>
          <w:kern w:val="0"/>
          <w:sz w:val="26"/>
          <w:szCs w:val="26"/>
          <w:lang w:val="en-US" w:eastAsia="en-US" w:bidi="en-US"/>
        </w:rPr>
        <w:t>P</w:t>
      </w:r>
      <w:r w:rsidRPr="00B1119F">
        <w:rPr>
          <w:rFonts w:ascii="Times New Roman" w:eastAsia="Arial Unicode MS" w:hAnsi="Times New Roman" w:cs="Times New Roman"/>
          <w:i/>
          <w:iCs/>
          <w:color w:val="000000"/>
          <w:kern w:val="0"/>
          <w:sz w:val="26"/>
          <w:szCs w:val="26"/>
          <w:vertAlign w:val="subscript"/>
          <w:lang w:val="en-US" w:eastAsia="en-US" w:bidi="en-US"/>
        </w:rPr>
        <w:t>z</w:t>
      </w:r>
      <w:r w:rsidRPr="00B1119F">
        <w:rPr>
          <w:rFonts w:ascii="Arial Unicode MS" w:eastAsia="Arial Unicode MS" w:hAnsi="Arial Unicode MS" w:cs="Arial Unicode MS"/>
          <w:color w:val="000000"/>
          <w:kern w:val="0"/>
          <w:sz w:val="24"/>
          <w:szCs w:val="24"/>
          <w:lang w:val="uk-UA" w:eastAsia="en-US" w:bidi="en-US"/>
        </w:rPr>
        <w:t xml:space="preserve"> </w:t>
      </w:r>
      <w:r w:rsidRPr="00B1119F">
        <w:rPr>
          <w:rFonts w:ascii="Times New Roman" w:eastAsia="Arial Unicode MS" w:hAnsi="Times New Roman" w:cs="Times New Roman"/>
          <w:color w:val="000000"/>
          <w:spacing w:val="-10"/>
          <w:kern w:val="0"/>
          <w:sz w:val="26"/>
          <w:szCs w:val="26"/>
          <w:lang w:val="uk-UA" w:eastAsia="en-US" w:bidi="en-US"/>
        </w:rPr>
        <w:t>2</w:t>
      </w:r>
      <w:r w:rsidRPr="00B1119F">
        <w:rPr>
          <w:rFonts w:ascii="Arial Unicode MS" w:eastAsia="Arial Unicode MS" w:hAnsi="Arial Unicode MS" w:cs="Arial Unicode MS"/>
          <w:color w:val="000000"/>
          <w:kern w:val="0"/>
          <w:sz w:val="24"/>
          <w:szCs w:val="24"/>
          <w:lang w:val="uk-UA" w:eastAsia="en-US" w:bidi="en-US"/>
        </w:rPr>
        <w:t xml:space="preserve"> = </w:t>
      </w:r>
      <w:r w:rsidRPr="00B1119F">
        <w:rPr>
          <w:rFonts w:ascii="Arial Unicode MS" w:eastAsia="Arial Unicode MS" w:hAnsi="Arial Unicode MS" w:cs="Arial Unicode MS"/>
          <w:color w:val="000000"/>
          <w:kern w:val="0"/>
          <w:sz w:val="24"/>
          <w:szCs w:val="24"/>
          <w:lang w:val="uk-UA" w:eastAsia="ru-RU" w:bidi="ru-RU"/>
        </w:rPr>
        <w:t xml:space="preserve">16/85, </w:t>
      </w:r>
      <w:r w:rsidRPr="00B1119F">
        <w:rPr>
          <w:rFonts w:ascii="Times New Roman" w:eastAsia="Arial Unicode MS" w:hAnsi="Times New Roman" w:cs="Times New Roman"/>
          <w:i/>
          <w:iCs/>
          <w:color w:val="000000"/>
          <w:kern w:val="0"/>
          <w:sz w:val="26"/>
          <w:szCs w:val="26"/>
          <w:lang w:val="en-US" w:eastAsia="en-US" w:bidi="en-US"/>
        </w:rPr>
        <w:t>P</w:t>
      </w:r>
      <w:r w:rsidRPr="00B1119F">
        <w:rPr>
          <w:rFonts w:ascii="Times New Roman" w:eastAsia="Arial Unicode MS" w:hAnsi="Times New Roman" w:cs="Times New Roman"/>
          <w:i/>
          <w:iCs/>
          <w:color w:val="000000"/>
          <w:kern w:val="0"/>
          <w:sz w:val="26"/>
          <w:szCs w:val="26"/>
          <w:vertAlign w:val="subscript"/>
          <w:lang w:val="en-US" w:eastAsia="en-US" w:bidi="en-US"/>
        </w:rPr>
        <w:t>z</w:t>
      </w:r>
      <w:r w:rsidRPr="00B1119F">
        <w:rPr>
          <w:rFonts w:ascii="Arial Unicode MS" w:eastAsia="Arial Unicode MS" w:hAnsi="Arial Unicode MS" w:cs="Arial Unicode MS"/>
          <w:color w:val="000000"/>
          <w:kern w:val="0"/>
          <w:sz w:val="24"/>
          <w:szCs w:val="24"/>
          <w:lang w:val="uk-UA" w:eastAsia="en-US" w:bidi="en-US"/>
        </w:rPr>
        <w:t xml:space="preserve"> </w:t>
      </w:r>
      <w:r w:rsidRPr="00B1119F">
        <w:rPr>
          <w:rFonts w:ascii="Times New Roman" w:eastAsia="Arial Unicode MS" w:hAnsi="Times New Roman" w:cs="Times New Roman"/>
          <w:color w:val="000000"/>
          <w:spacing w:val="-10"/>
          <w:kern w:val="0"/>
          <w:sz w:val="26"/>
          <w:szCs w:val="26"/>
          <w:lang w:val="uk-UA" w:eastAsia="en-US" w:bidi="en-US"/>
        </w:rPr>
        <w:t>3</w:t>
      </w:r>
      <w:r w:rsidRPr="00B1119F">
        <w:rPr>
          <w:rFonts w:ascii="Arial Unicode MS" w:eastAsia="Arial Unicode MS" w:hAnsi="Arial Unicode MS" w:cs="Arial Unicode MS"/>
          <w:color w:val="000000"/>
          <w:kern w:val="0"/>
          <w:sz w:val="24"/>
          <w:szCs w:val="24"/>
          <w:lang w:val="uk-UA" w:eastAsia="en-US" w:bidi="en-US"/>
        </w:rPr>
        <w:t xml:space="preserve"> = </w:t>
      </w:r>
      <w:r w:rsidRPr="00B1119F">
        <w:rPr>
          <w:rFonts w:ascii="Times New Roman" w:eastAsia="Arial Unicode MS" w:hAnsi="Times New Roman" w:cs="Times New Roman"/>
          <w:color w:val="000000"/>
          <w:spacing w:val="30"/>
          <w:kern w:val="0"/>
          <w:sz w:val="26"/>
          <w:szCs w:val="26"/>
          <w:lang w:val="uk-UA" w:eastAsia="ru-RU" w:bidi="ru-RU"/>
        </w:rPr>
        <w:t>2/43</w:t>
      </w:r>
      <w:r w:rsidRPr="00B1119F">
        <w:rPr>
          <w:rFonts w:ascii="Arial Unicode MS" w:eastAsia="Arial Unicode MS" w:hAnsi="Arial Unicode MS" w:cs="Arial Unicode MS"/>
          <w:color w:val="000000"/>
          <w:kern w:val="0"/>
          <w:sz w:val="24"/>
          <w:szCs w:val="24"/>
          <w:lang w:val="uk-UA" w:eastAsia="ru-RU" w:bidi="ru-RU"/>
        </w:rPr>
        <w:t xml:space="preserve"> </w:t>
      </w:r>
      <w:r w:rsidRPr="00B1119F">
        <w:rPr>
          <w:rFonts w:ascii="Arial Unicode MS" w:eastAsia="Arial Unicode MS" w:hAnsi="Arial Unicode MS" w:cs="Arial Unicode MS"/>
          <w:color w:val="000000"/>
          <w:kern w:val="0"/>
          <w:sz w:val="24"/>
          <w:szCs w:val="24"/>
          <w:lang w:val="uk-UA"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умовні імовірності страхового випадку при відповідному значенні страхової суми.</w:t>
      </w:r>
    </w:p>
    <w:p w:rsidR="00B1119F" w:rsidRPr="00B1119F" w:rsidRDefault="00B1119F" w:rsidP="00B1119F">
      <w:pPr>
        <w:tabs>
          <w:tab w:val="clear" w:pos="709"/>
        </w:tabs>
        <w:suppressAutoHyphens w:val="0"/>
        <w:spacing w:after="0" w:line="260" w:lineRule="exact"/>
        <w:ind w:firstLine="76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Звідси, функції умовних розподілів імовірностей збитків мають вигляд:</w:t>
      </w:r>
    </w:p>
    <w:p w:rsidR="00B1119F" w:rsidRPr="00B1119F" w:rsidRDefault="00B1119F" w:rsidP="00B1119F">
      <w:pPr>
        <w:tabs>
          <w:tab w:val="clear" w:pos="709"/>
        </w:tabs>
        <w:suppressAutoHyphens w:val="0"/>
        <w:spacing w:after="0" w:line="260" w:lineRule="exact"/>
        <w:ind w:left="2400"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3</w:t>
      </w:r>
    </w:p>
    <w:p w:rsidR="00B1119F" w:rsidRPr="00B1119F" w:rsidRDefault="00B1119F" w:rsidP="00B1119F">
      <w:pPr>
        <w:tabs>
          <w:tab w:val="clear" w:pos="709"/>
        </w:tabs>
        <w:suppressAutoHyphens w:val="0"/>
        <w:spacing w:after="0" w:line="260" w:lineRule="exact"/>
        <w:ind w:right="5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i/>
          <w:iCs/>
          <w:color w:val="000000"/>
          <w:kern w:val="0"/>
          <w:sz w:val="26"/>
          <w:szCs w:val="26"/>
          <w:lang w:val="en-US" w:eastAsia="en-US" w:bidi="en-US"/>
        </w:rPr>
        <w:t>Pz</w:t>
      </w:r>
      <w:r w:rsidRPr="00B1119F">
        <w:rPr>
          <w:rFonts w:ascii="Times New Roman" w:eastAsia="Arial Unicode MS" w:hAnsi="Times New Roman" w:cs="Times New Roman"/>
          <w:i/>
          <w:iCs/>
          <w:color w:val="000000"/>
          <w:kern w:val="0"/>
          <w:sz w:val="26"/>
          <w:szCs w:val="26"/>
          <w:lang w:eastAsia="en-US" w:bidi="en-US"/>
        </w:rPr>
        <w:t>1</w:t>
      </w:r>
      <w:r w:rsidRPr="00B1119F">
        <w:rPr>
          <w:rFonts w:ascii="Arial Unicode MS" w:eastAsia="Arial Unicode MS" w:hAnsi="Arial Unicode MS" w:cs="Arial Unicode MS"/>
          <w:color w:val="000000"/>
          <w:kern w:val="0"/>
          <w:sz w:val="24"/>
          <w:szCs w:val="24"/>
          <w:vertAlign w:val="superscript"/>
          <w:lang w:val="uk-UA" w:eastAsia="uk-UA" w:bidi="uk-UA"/>
        </w:rPr>
        <w:t>(х)</w:t>
      </w:r>
      <w:r w:rsidRPr="00B1119F">
        <w:rPr>
          <w:rFonts w:ascii="Arial Unicode MS" w:eastAsia="Arial Unicode MS" w:hAnsi="Arial Unicode MS" w:cs="Arial Unicode MS"/>
          <w:color w:val="000000"/>
          <w:kern w:val="0"/>
          <w:sz w:val="24"/>
          <w:szCs w:val="24"/>
          <w:lang w:val="uk-UA" w:eastAsia="uk-UA" w:bidi="uk-UA"/>
        </w:rPr>
        <w:t xml:space="preserve"> = </w:t>
      </w:r>
      <w:r w:rsidRPr="00B1119F">
        <w:rPr>
          <w:rFonts w:ascii="Arial Unicode MS" w:eastAsia="Arial Unicode MS" w:hAnsi="Arial Unicode MS" w:cs="Arial Unicode MS"/>
          <w:color w:val="000000"/>
          <w:kern w:val="0"/>
          <w:sz w:val="24"/>
          <w:szCs w:val="24"/>
          <w:lang w:val="en-US" w:eastAsia="en-US" w:bidi="en-US"/>
        </w:rPr>
        <w:t>Z</w:t>
      </w:r>
      <w:r w:rsidRPr="00B1119F">
        <w:rPr>
          <w:rFonts w:ascii="Times New Roman" w:eastAsia="Arial Unicode MS" w:hAnsi="Times New Roman" w:cs="Times New Roman"/>
          <w:i/>
          <w:iCs/>
          <w:color w:val="000000"/>
          <w:kern w:val="0"/>
          <w:sz w:val="26"/>
          <w:szCs w:val="26"/>
          <w:vertAlign w:val="superscript"/>
          <w:lang w:val="uk-UA" w:eastAsia="uk-UA" w:bidi="uk-UA"/>
        </w:rPr>
        <w:t>р</w:t>
      </w:r>
      <w:r w:rsidRPr="00B1119F">
        <w:rPr>
          <w:rFonts w:ascii="Times New Roman" w:eastAsia="Arial Unicode MS" w:hAnsi="Times New Roman" w:cs="Times New Roman"/>
          <w:i/>
          <w:iCs/>
          <w:color w:val="000000"/>
          <w:kern w:val="0"/>
          <w:sz w:val="26"/>
          <w:szCs w:val="26"/>
          <w:lang w:val="uk-UA" w:eastAsia="uk-UA" w:bidi="uk-UA"/>
        </w:rPr>
        <w:t>і,1 ■ Рг</w:t>
      </w:r>
      <w:r w:rsidRPr="00B1119F">
        <w:rPr>
          <w:rFonts w:ascii="Arial Unicode MS" w:eastAsia="Arial Unicode MS" w:hAnsi="Arial Unicode MS" w:cs="Arial Unicode MS"/>
          <w:color w:val="000000"/>
          <w:kern w:val="0"/>
          <w:sz w:val="24"/>
          <w:szCs w:val="24"/>
          <w:vertAlign w:val="superscript"/>
          <w:lang w:val="uk-UA" w:eastAsia="uk-UA" w:bidi="uk-UA"/>
        </w:rPr>
        <w:t>(x,а</w:t>
      </w:r>
      <w:r w:rsidRPr="00B1119F">
        <w:rPr>
          <w:rFonts w:ascii="Arial Unicode MS" w:eastAsia="Arial Unicode MS" w:hAnsi="Arial Unicode MS" w:cs="Arial Unicode MS"/>
          <w:color w:val="000000"/>
          <w:kern w:val="0"/>
          <w:sz w:val="24"/>
          <w:szCs w:val="24"/>
          <w:lang w:val="uk-UA" w:eastAsia="uk-UA" w:bidi="uk-UA"/>
        </w:rPr>
        <w:t>і</w:t>
      </w:r>
      <w:r w:rsidRPr="00B1119F">
        <w:rPr>
          <w:rFonts w:ascii="Times New Roman" w:eastAsia="Arial Unicode MS" w:hAnsi="Times New Roman" w:cs="Times New Roman"/>
          <w:color w:val="000000"/>
          <w:spacing w:val="-10"/>
          <w:kern w:val="0"/>
          <w:sz w:val="26"/>
          <w:szCs w:val="26"/>
          <w:lang w:val="uk-UA" w:eastAsia="uk-UA" w:bidi="uk-UA"/>
        </w:rPr>
        <w:t>,1</w:t>
      </w:r>
      <w:r w:rsidRPr="00B1119F">
        <w:rPr>
          <w:rFonts w:ascii="Arial Unicode MS" w:eastAsia="Arial Unicode MS" w:hAnsi="Arial Unicode MS" w:cs="Arial Unicode MS"/>
          <w:color w:val="000000"/>
          <w:kern w:val="0"/>
          <w:sz w:val="24"/>
          <w:szCs w:val="24"/>
          <w:vertAlign w:val="superscript"/>
          <w:lang w:val="uk-UA" w:eastAsia="uk-UA" w:bidi="uk-UA"/>
        </w:rPr>
        <w:t>,а</w:t>
      </w:r>
      <w:r w:rsidRPr="00B1119F">
        <w:rPr>
          <w:rFonts w:ascii="Arial Unicode MS" w:eastAsia="Arial Unicode MS" w:hAnsi="Arial Unicode MS" w:cs="Arial Unicode MS"/>
          <w:color w:val="000000"/>
          <w:kern w:val="0"/>
          <w:sz w:val="24"/>
          <w:szCs w:val="24"/>
          <w:lang w:val="uk-UA" w:eastAsia="uk-UA" w:bidi="uk-UA"/>
        </w:rPr>
        <w:t xml:space="preserve">і </w:t>
      </w:r>
      <w:r w:rsidRPr="00B1119F">
        <w:rPr>
          <w:rFonts w:ascii="Times New Roman" w:eastAsia="Arial Unicode MS" w:hAnsi="Times New Roman" w:cs="Times New Roman"/>
          <w:color w:val="000000"/>
          <w:spacing w:val="-10"/>
          <w:kern w:val="0"/>
          <w:sz w:val="26"/>
          <w:szCs w:val="26"/>
          <w:lang w:val="uk-UA" w:eastAsia="uk-UA" w:bidi="uk-UA"/>
        </w:rPr>
        <w:t>,1</w:t>
      </w:r>
      <w:r w:rsidRPr="00B1119F">
        <w:rPr>
          <w:rFonts w:ascii="Arial Unicode MS" w:eastAsia="Arial Unicode MS" w:hAnsi="Arial Unicode MS" w:cs="Arial Unicode MS"/>
          <w:color w:val="000000"/>
          <w:kern w:val="0"/>
          <w:sz w:val="24"/>
          <w:szCs w:val="24"/>
          <w:vertAlign w:val="superscript"/>
          <w:lang w:val="uk-UA" w:eastAsia="uk-UA" w:bidi="uk-UA"/>
        </w:rPr>
        <w:t>,</w:t>
      </w:r>
      <w:r w:rsidRPr="00B1119F">
        <w:rPr>
          <w:rFonts w:ascii="Arial Unicode MS" w:eastAsia="Arial Unicode MS" w:hAnsi="Arial Unicode MS" w:cs="Arial Unicode MS"/>
          <w:color w:val="000000"/>
          <w:kern w:val="0"/>
          <w:sz w:val="24"/>
          <w:szCs w:val="24"/>
          <w:lang w:val="uk-UA" w:eastAsia="uk-UA" w:bidi="uk-UA"/>
        </w:rPr>
        <w:t>Уі</w:t>
      </w:r>
      <w:r w:rsidRPr="00B1119F">
        <w:rPr>
          <w:rFonts w:ascii="Times New Roman" w:eastAsia="Arial Unicode MS" w:hAnsi="Times New Roman" w:cs="Times New Roman"/>
          <w:color w:val="000000"/>
          <w:spacing w:val="-10"/>
          <w:kern w:val="0"/>
          <w:sz w:val="26"/>
          <w:szCs w:val="26"/>
          <w:lang w:val="uk-UA" w:eastAsia="uk-UA" w:bidi="uk-UA"/>
        </w:rPr>
        <w:t>,1</w:t>
      </w:r>
      <w:r w:rsidRPr="00B1119F">
        <w:rPr>
          <w:rFonts w:ascii="Arial Unicode MS" w:eastAsia="Arial Unicode MS" w:hAnsi="Arial Unicode MS" w:cs="Arial Unicode MS"/>
          <w:color w:val="000000"/>
          <w:kern w:val="0"/>
          <w:sz w:val="24"/>
          <w:szCs w:val="24"/>
          <w:vertAlign w:val="superscript"/>
          <w:lang w:val="uk-UA" w:eastAsia="uk-UA" w:bidi="uk-UA"/>
        </w:rPr>
        <w:t>)</w:t>
      </w:r>
      <w:r w:rsidRPr="00B1119F">
        <w:rPr>
          <w:rFonts w:ascii="Arial Unicode MS" w:eastAsia="Arial Unicode MS" w:hAnsi="Arial Unicode MS" w:cs="Arial Unicode MS"/>
          <w:color w:val="000000"/>
          <w:kern w:val="0"/>
          <w:sz w:val="24"/>
          <w:szCs w:val="24"/>
          <w:lang w:val="uk-UA" w:eastAsia="uk-UA" w:bidi="uk-UA"/>
        </w:rPr>
        <w:t xml:space="preserve">, </w:t>
      </w:r>
      <w:r w:rsidRPr="00B1119F">
        <w:rPr>
          <w:rFonts w:ascii="Times New Roman" w:eastAsia="Arial Unicode MS" w:hAnsi="Times New Roman" w:cs="Times New Roman"/>
          <w:i/>
          <w:iCs/>
          <w:color w:val="000000"/>
          <w:kern w:val="0"/>
          <w:sz w:val="26"/>
          <w:szCs w:val="26"/>
          <w:lang w:val="en-US" w:eastAsia="en-US" w:bidi="en-US"/>
        </w:rPr>
        <w:t>Pz</w:t>
      </w:r>
      <w:r w:rsidRPr="00B1119F">
        <w:rPr>
          <w:rFonts w:ascii="Times New Roman" w:eastAsia="Arial Unicode MS" w:hAnsi="Times New Roman" w:cs="Times New Roman"/>
          <w:color w:val="000000"/>
          <w:spacing w:val="-10"/>
          <w:kern w:val="0"/>
          <w:sz w:val="26"/>
          <w:szCs w:val="26"/>
          <w:lang w:val="uk-UA" w:eastAsia="uk-UA" w:bidi="uk-UA"/>
        </w:rPr>
        <w:t>2</w:t>
      </w:r>
      <w:r w:rsidRPr="00B1119F">
        <w:rPr>
          <w:rFonts w:ascii="Arial Unicode MS" w:eastAsia="Arial Unicode MS" w:hAnsi="Arial Unicode MS" w:cs="Arial Unicode MS"/>
          <w:color w:val="000000"/>
          <w:kern w:val="0"/>
          <w:sz w:val="24"/>
          <w:szCs w:val="24"/>
          <w:vertAlign w:val="superscript"/>
          <w:lang w:val="uk-UA" w:eastAsia="uk-UA" w:bidi="uk-UA"/>
        </w:rPr>
        <w:t>(</w:t>
      </w:r>
      <w:r w:rsidRPr="00B1119F">
        <w:rPr>
          <w:rFonts w:ascii="Arial Unicode MS" w:eastAsia="Arial Unicode MS" w:hAnsi="Arial Unicode MS" w:cs="Arial Unicode MS"/>
          <w:color w:val="000000"/>
          <w:kern w:val="0"/>
          <w:sz w:val="24"/>
          <w:szCs w:val="24"/>
          <w:vertAlign w:val="superscript"/>
          <w:lang w:val="en-US" w:eastAsia="en-US" w:bidi="en-US"/>
        </w:rPr>
        <w:t>z</w:t>
      </w:r>
      <w:r w:rsidRPr="00B1119F">
        <w:rPr>
          <w:rFonts w:ascii="Arial Unicode MS" w:eastAsia="Arial Unicode MS" w:hAnsi="Arial Unicode MS" w:cs="Arial Unicode MS"/>
          <w:color w:val="000000"/>
          <w:kern w:val="0"/>
          <w:sz w:val="24"/>
          <w:szCs w:val="24"/>
          <w:vertAlign w:val="superscript"/>
          <w:lang w:eastAsia="en-US" w:bidi="en-US"/>
        </w:rPr>
        <w:t>)</w:t>
      </w:r>
      <w:r w:rsidRPr="00B1119F">
        <w:rPr>
          <w:rFonts w:ascii="Arial Unicode MS" w:eastAsia="Arial Unicode MS" w:hAnsi="Arial Unicode MS" w:cs="Arial Unicode MS"/>
          <w:color w:val="000000"/>
          <w:kern w:val="0"/>
          <w:sz w:val="24"/>
          <w:szCs w:val="24"/>
          <w:lang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 xml:space="preserve">= </w:t>
      </w:r>
      <w:r w:rsidRPr="00B1119F">
        <w:rPr>
          <w:rFonts w:ascii="Arial Unicode MS" w:eastAsia="Arial Unicode MS" w:hAnsi="Arial Unicode MS" w:cs="Arial Unicode MS"/>
          <w:color w:val="000000"/>
          <w:kern w:val="0"/>
          <w:sz w:val="24"/>
          <w:szCs w:val="24"/>
          <w:vertAlign w:val="superscript"/>
          <w:lang w:val="en-US" w:eastAsia="en-US" w:bidi="en-US"/>
        </w:rPr>
        <w:t>P</w:t>
      </w:r>
      <w:r w:rsidRPr="00B1119F">
        <w:rPr>
          <w:rFonts w:ascii="Times New Roman" w:eastAsia="Arial Unicode MS" w:hAnsi="Times New Roman" w:cs="Times New Roman"/>
          <w:color w:val="000000"/>
          <w:spacing w:val="-10"/>
          <w:kern w:val="0"/>
          <w:sz w:val="26"/>
          <w:szCs w:val="26"/>
          <w:lang w:eastAsia="en-US" w:bidi="en-US"/>
        </w:rPr>
        <w:t>1,2</w:t>
      </w:r>
      <w:r w:rsidRPr="00B1119F">
        <w:rPr>
          <w:rFonts w:ascii="Arial Unicode MS" w:eastAsia="Arial Unicode MS" w:hAnsi="Arial Unicode MS" w:cs="Arial Unicode MS"/>
          <w:color w:val="000000"/>
          <w:kern w:val="0"/>
          <w:sz w:val="24"/>
          <w:szCs w:val="24"/>
          <w:lang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 xml:space="preserve">■ </w:t>
      </w:r>
      <w:r w:rsidRPr="00B1119F">
        <w:rPr>
          <w:rFonts w:ascii="Times New Roman" w:eastAsia="Arial Unicode MS" w:hAnsi="Times New Roman" w:cs="Times New Roman"/>
          <w:i/>
          <w:iCs/>
          <w:color w:val="000000"/>
          <w:kern w:val="0"/>
          <w:sz w:val="26"/>
          <w:szCs w:val="26"/>
          <w:lang w:val="uk-UA" w:eastAsia="uk-UA" w:bidi="uk-UA"/>
        </w:rPr>
        <w:t>Рг</w:t>
      </w:r>
      <w:r w:rsidRPr="00B1119F">
        <w:rPr>
          <w:rFonts w:ascii="Arial Unicode MS" w:eastAsia="Arial Unicode MS" w:hAnsi="Arial Unicode MS" w:cs="Arial Unicode MS"/>
          <w:color w:val="000000"/>
          <w:kern w:val="0"/>
          <w:sz w:val="24"/>
          <w:szCs w:val="24"/>
          <w:vertAlign w:val="superscript"/>
          <w:lang w:val="uk-UA" w:eastAsia="uk-UA" w:bidi="uk-UA"/>
        </w:rPr>
        <w:t>(x,а</w:t>
      </w:r>
      <w:r w:rsidRPr="00B1119F">
        <w:rPr>
          <w:rFonts w:ascii="Times New Roman" w:eastAsia="Arial Unicode MS" w:hAnsi="Times New Roman" w:cs="Times New Roman"/>
          <w:color w:val="000000"/>
          <w:spacing w:val="-10"/>
          <w:kern w:val="0"/>
          <w:sz w:val="26"/>
          <w:szCs w:val="26"/>
          <w:lang w:val="uk-UA" w:eastAsia="uk-UA" w:bidi="uk-UA"/>
        </w:rPr>
        <w:t>1,2</w:t>
      </w:r>
      <w:r w:rsidRPr="00B1119F">
        <w:rPr>
          <w:rFonts w:ascii="Arial Unicode MS" w:eastAsia="Arial Unicode MS" w:hAnsi="Arial Unicode MS" w:cs="Arial Unicode MS"/>
          <w:color w:val="000000"/>
          <w:kern w:val="0"/>
          <w:sz w:val="24"/>
          <w:szCs w:val="24"/>
          <w:vertAlign w:val="superscript"/>
          <w:lang w:val="uk-UA" w:eastAsia="uk-UA" w:bidi="uk-UA"/>
        </w:rPr>
        <w:t>,а</w:t>
      </w:r>
      <w:r w:rsidRPr="00B1119F">
        <w:rPr>
          <w:rFonts w:ascii="Times New Roman" w:eastAsia="Arial Unicode MS" w:hAnsi="Times New Roman" w:cs="Times New Roman"/>
          <w:color w:val="000000"/>
          <w:spacing w:val="-10"/>
          <w:kern w:val="0"/>
          <w:sz w:val="26"/>
          <w:szCs w:val="26"/>
          <w:lang w:val="uk-UA" w:eastAsia="uk-UA" w:bidi="uk-UA"/>
        </w:rPr>
        <w:t>1,2</w:t>
      </w:r>
      <w:r w:rsidRPr="00B1119F">
        <w:rPr>
          <w:rFonts w:ascii="Arial Unicode MS" w:eastAsia="Arial Unicode MS" w:hAnsi="Arial Unicode MS" w:cs="Arial Unicode MS"/>
          <w:color w:val="000000"/>
          <w:kern w:val="0"/>
          <w:sz w:val="24"/>
          <w:szCs w:val="24"/>
          <w:vertAlign w:val="superscript"/>
          <w:lang w:val="uk-UA" w:eastAsia="uk-UA" w:bidi="uk-UA"/>
        </w:rPr>
        <w:t>,</w:t>
      </w:r>
      <w:r w:rsidRPr="00B1119F">
        <w:rPr>
          <w:rFonts w:ascii="Arial Unicode MS" w:eastAsia="Arial Unicode MS" w:hAnsi="Arial Unicode MS" w:cs="Arial Unicode MS"/>
          <w:color w:val="000000"/>
          <w:kern w:val="0"/>
          <w:sz w:val="24"/>
          <w:szCs w:val="24"/>
          <w:lang w:val="uk-UA" w:eastAsia="uk-UA" w:bidi="uk-UA"/>
        </w:rPr>
        <w:t>У</w:t>
      </w:r>
      <w:r w:rsidRPr="00B1119F">
        <w:rPr>
          <w:rFonts w:ascii="Times New Roman" w:eastAsia="Arial Unicode MS" w:hAnsi="Times New Roman" w:cs="Times New Roman"/>
          <w:color w:val="000000"/>
          <w:spacing w:val="-10"/>
          <w:kern w:val="0"/>
          <w:sz w:val="26"/>
          <w:szCs w:val="26"/>
          <w:lang w:val="uk-UA" w:eastAsia="uk-UA" w:bidi="uk-UA"/>
        </w:rPr>
        <w:t>1,2</w:t>
      </w:r>
      <w:r w:rsidRPr="00B1119F">
        <w:rPr>
          <w:rFonts w:ascii="Arial Unicode MS" w:eastAsia="Arial Unicode MS" w:hAnsi="Arial Unicode MS" w:cs="Arial Unicode MS"/>
          <w:color w:val="000000"/>
          <w:kern w:val="0"/>
          <w:sz w:val="24"/>
          <w:szCs w:val="24"/>
          <w:vertAlign w:val="superscript"/>
          <w:lang w:val="uk-UA" w:eastAsia="uk-UA" w:bidi="uk-UA"/>
        </w:rPr>
        <w:t>)</w:t>
      </w:r>
      <w:r w:rsidRPr="00B1119F">
        <w:rPr>
          <w:rFonts w:ascii="Arial Unicode MS" w:eastAsia="Arial Unicode MS" w:hAnsi="Arial Unicode MS" w:cs="Arial Unicode MS"/>
          <w:color w:val="000000"/>
          <w:kern w:val="0"/>
          <w:sz w:val="24"/>
          <w:szCs w:val="24"/>
          <w:lang w:val="uk-UA" w:eastAsia="uk-UA" w:bidi="uk-UA"/>
        </w:rPr>
        <w:t>,</w:t>
      </w:r>
    </w:p>
    <w:p w:rsidR="00B1119F" w:rsidRPr="00B1119F" w:rsidRDefault="00B1119F" w:rsidP="00B1119F">
      <w:pPr>
        <w:tabs>
          <w:tab w:val="clear" w:pos="709"/>
        </w:tabs>
        <w:suppressAutoHyphens w:val="0"/>
        <w:spacing w:after="0" w:line="260" w:lineRule="exact"/>
        <w:ind w:left="2400" w:firstLine="0"/>
        <w:jc w:val="left"/>
        <w:rPr>
          <w:rFonts w:ascii="Times New Roman" w:eastAsia="Times New Roman" w:hAnsi="Times New Roman" w:cs="Times New Roman"/>
          <w:spacing w:val="-10"/>
          <w:kern w:val="0"/>
          <w:sz w:val="26"/>
          <w:szCs w:val="26"/>
          <w:lang w:val="uk-UA" w:eastAsia="uk-UA" w:bidi="uk-UA"/>
        </w:rPr>
      </w:pPr>
      <w:r w:rsidRPr="00B1119F">
        <w:rPr>
          <w:rFonts w:ascii="Times New Roman" w:eastAsia="Times New Roman" w:hAnsi="Times New Roman" w:cs="Times New Roman"/>
          <w:color w:val="000000"/>
          <w:kern w:val="0"/>
          <w:sz w:val="26"/>
          <w:szCs w:val="26"/>
          <w:shd w:val="clear" w:color="auto" w:fill="FFFFFF"/>
          <w:lang w:val="uk-UA" w:eastAsia="uk-UA" w:bidi="uk-UA"/>
        </w:rPr>
        <w:t>і</w:t>
      </w:r>
      <w:r w:rsidRPr="00B1119F">
        <w:rPr>
          <w:rFonts w:ascii="Times New Roman" w:eastAsia="Times New Roman" w:hAnsi="Times New Roman" w:cs="Times New Roman"/>
          <w:color w:val="000000"/>
          <w:spacing w:val="-10"/>
          <w:kern w:val="0"/>
          <w:sz w:val="26"/>
          <w:szCs w:val="26"/>
          <w:lang w:val="uk-UA" w:eastAsia="uk-UA" w:bidi="uk-UA"/>
        </w:rPr>
        <w:t>=1</w:t>
      </w:r>
    </w:p>
    <w:p w:rsidR="00B1119F" w:rsidRPr="00B1119F" w:rsidRDefault="00B1119F" w:rsidP="00B1119F">
      <w:pPr>
        <w:tabs>
          <w:tab w:val="clear" w:pos="709"/>
        </w:tabs>
        <w:suppressAutoHyphens w:val="0"/>
        <w:spacing w:after="13" w:line="260" w:lineRule="exact"/>
        <w:ind w:right="20" w:firstLine="0"/>
        <w:jc w:val="center"/>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en-US" w:eastAsia="en-US" w:bidi="en-US"/>
        </w:rPr>
        <w:t>Pz</w:t>
      </w:r>
      <w:r w:rsidRPr="00B1119F">
        <w:rPr>
          <w:rFonts w:ascii="Arial Unicode MS" w:eastAsia="Arial Unicode MS" w:hAnsi="Arial Unicode MS" w:cs="Arial Unicode MS"/>
          <w:color w:val="000000"/>
          <w:kern w:val="0"/>
          <w:sz w:val="24"/>
          <w:szCs w:val="24"/>
          <w:lang w:eastAsia="en-US" w:bidi="en-US"/>
        </w:rPr>
        <w:t>3</w:t>
      </w:r>
      <w:r w:rsidRPr="00B1119F">
        <w:rPr>
          <w:rFonts w:ascii="Arial Unicode MS" w:eastAsia="Arial Unicode MS" w:hAnsi="Arial Unicode MS" w:cs="Arial Unicode MS"/>
          <w:color w:val="000000"/>
          <w:kern w:val="0"/>
          <w:sz w:val="24"/>
          <w:szCs w:val="24"/>
          <w:vertAlign w:val="superscript"/>
          <w:lang w:eastAsia="en-US" w:bidi="en-US"/>
        </w:rPr>
        <w:t>(</w:t>
      </w:r>
      <w:r w:rsidRPr="00B1119F">
        <w:rPr>
          <w:rFonts w:ascii="Arial Unicode MS" w:eastAsia="Arial Unicode MS" w:hAnsi="Arial Unicode MS" w:cs="Arial Unicode MS"/>
          <w:color w:val="000000"/>
          <w:kern w:val="0"/>
          <w:sz w:val="24"/>
          <w:szCs w:val="24"/>
          <w:vertAlign w:val="superscript"/>
          <w:lang w:val="en-US" w:eastAsia="en-US" w:bidi="en-US"/>
        </w:rPr>
        <w:t>z</w:t>
      </w:r>
      <w:r w:rsidRPr="00B1119F">
        <w:rPr>
          <w:rFonts w:ascii="Arial Unicode MS" w:eastAsia="Arial Unicode MS" w:hAnsi="Arial Unicode MS" w:cs="Arial Unicode MS"/>
          <w:color w:val="000000"/>
          <w:kern w:val="0"/>
          <w:sz w:val="24"/>
          <w:szCs w:val="24"/>
          <w:vertAlign w:val="superscript"/>
          <w:lang w:eastAsia="en-US" w:bidi="en-US"/>
        </w:rPr>
        <w:t>)</w:t>
      </w:r>
      <w:r w:rsidRPr="00B1119F">
        <w:rPr>
          <w:rFonts w:ascii="Arial Unicode MS" w:eastAsia="Arial Unicode MS" w:hAnsi="Arial Unicode MS" w:cs="Arial Unicode MS"/>
          <w:color w:val="000000"/>
          <w:kern w:val="0"/>
          <w:sz w:val="24"/>
          <w:szCs w:val="24"/>
          <w:lang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 xml:space="preserve">= </w:t>
      </w:r>
      <w:r w:rsidRPr="00B1119F">
        <w:rPr>
          <w:rFonts w:ascii="Times New Roman" w:eastAsia="Arial Unicode MS" w:hAnsi="Times New Roman" w:cs="Times New Roman"/>
          <w:color w:val="000000"/>
          <w:spacing w:val="-30"/>
          <w:kern w:val="0"/>
          <w:sz w:val="26"/>
          <w:szCs w:val="26"/>
          <w:vertAlign w:val="superscript"/>
          <w:lang w:val="en-US" w:eastAsia="en-US" w:bidi="en-US"/>
        </w:rPr>
        <w:t>P</w:t>
      </w:r>
      <w:r w:rsidRPr="00B1119F">
        <w:rPr>
          <w:rFonts w:ascii="Times New Roman" w:eastAsia="Arial Unicode MS" w:hAnsi="Times New Roman" w:cs="Times New Roman"/>
          <w:color w:val="000000"/>
          <w:spacing w:val="-30"/>
          <w:kern w:val="0"/>
          <w:sz w:val="26"/>
          <w:szCs w:val="26"/>
          <w:lang w:eastAsia="en-US" w:bidi="en-US"/>
        </w:rPr>
        <w:t>1,3</w:t>
      </w:r>
      <w:r w:rsidRPr="00B1119F">
        <w:rPr>
          <w:rFonts w:ascii="Arial Unicode MS" w:eastAsia="Arial Unicode MS" w:hAnsi="Arial Unicode MS" w:cs="Arial Unicode MS"/>
          <w:color w:val="000000"/>
          <w:kern w:val="0"/>
          <w:sz w:val="24"/>
          <w:szCs w:val="24"/>
          <w:lang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 xml:space="preserve">■ </w:t>
      </w:r>
      <w:r w:rsidRPr="00B1119F">
        <w:rPr>
          <w:rFonts w:ascii="Times New Roman" w:eastAsia="Arial Unicode MS" w:hAnsi="Times New Roman" w:cs="Times New Roman"/>
          <w:i/>
          <w:iCs/>
          <w:smallCaps/>
          <w:color w:val="000000"/>
          <w:kern w:val="0"/>
          <w:sz w:val="26"/>
          <w:szCs w:val="26"/>
          <w:lang w:val="en-US" w:eastAsia="en-US" w:bidi="en-US"/>
        </w:rPr>
        <w:t>Pn</w:t>
      </w:r>
      <w:r w:rsidRPr="00B1119F">
        <w:rPr>
          <w:rFonts w:ascii="Arial Unicode MS" w:eastAsia="Arial Unicode MS" w:hAnsi="Arial Unicode MS" w:cs="Arial Unicode MS"/>
          <w:color w:val="000000"/>
          <w:kern w:val="0"/>
          <w:sz w:val="24"/>
          <w:szCs w:val="24"/>
          <w:vertAlign w:val="superscript"/>
          <w:lang w:eastAsia="en-US" w:bidi="en-US"/>
        </w:rPr>
        <w:t>(</w:t>
      </w:r>
      <w:r w:rsidRPr="00B1119F">
        <w:rPr>
          <w:rFonts w:ascii="Arial Unicode MS" w:eastAsia="Arial Unicode MS" w:hAnsi="Arial Unicode MS" w:cs="Arial Unicode MS"/>
          <w:color w:val="000000"/>
          <w:kern w:val="0"/>
          <w:sz w:val="24"/>
          <w:szCs w:val="24"/>
          <w:vertAlign w:val="superscript"/>
          <w:lang w:val="uk-UA" w:eastAsia="uk-UA" w:bidi="uk-UA"/>
        </w:rPr>
        <w:t>х,а</w:t>
      </w:r>
      <w:r w:rsidRPr="00B1119F">
        <w:rPr>
          <w:rFonts w:ascii="Arial Unicode MS" w:eastAsia="Arial Unicode MS" w:hAnsi="Arial Unicode MS" w:cs="Arial Unicode MS"/>
          <w:color w:val="000000"/>
          <w:kern w:val="0"/>
          <w:sz w:val="24"/>
          <w:szCs w:val="24"/>
          <w:lang w:val="uk-UA" w:eastAsia="uk-UA" w:bidi="uk-UA"/>
        </w:rPr>
        <w:t>1,3</w:t>
      </w:r>
      <w:r w:rsidRPr="00B1119F">
        <w:rPr>
          <w:rFonts w:ascii="Arial Unicode MS" w:eastAsia="Arial Unicode MS" w:hAnsi="Arial Unicode MS" w:cs="Arial Unicode MS"/>
          <w:color w:val="000000"/>
          <w:kern w:val="0"/>
          <w:sz w:val="24"/>
          <w:szCs w:val="24"/>
          <w:vertAlign w:val="superscript"/>
          <w:lang w:val="uk-UA" w:eastAsia="uk-UA" w:bidi="uk-UA"/>
        </w:rPr>
        <w:t>,а</w:t>
      </w:r>
      <w:r w:rsidRPr="00B1119F">
        <w:rPr>
          <w:rFonts w:ascii="Arial Unicode MS" w:eastAsia="Arial Unicode MS" w:hAnsi="Arial Unicode MS" w:cs="Arial Unicode MS"/>
          <w:color w:val="000000"/>
          <w:kern w:val="0"/>
          <w:sz w:val="24"/>
          <w:szCs w:val="24"/>
          <w:lang w:val="uk-UA" w:eastAsia="uk-UA" w:bidi="uk-UA"/>
        </w:rPr>
        <w:t>1,3</w:t>
      </w:r>
      <w:r w:rsidRPr="00B1119F">
        <w:rPr>
          <w:rFonts w:ascii="Arial Unicode MS" w:eastAsia="Arial Unicode MS" w:hAnsi="Arial Unicode MS" w:cs="Arial Unicode MS"/>
          <w:color w:val="000000"/>
          <w:kern w:val="0"/>
          <w:sz w:val="24"/>
          <w:szCs w:val="24"/>
          <w:vertAlign w:val="superscript"/>
          <w:lang w:val="uk-UA" w:eastAsia="uk-UA" w:bidi="uk-UA"/>
        </w:rPr>
        <w:t>)</w:t>
      </w:r>
      <w:r w:rsidRPr="00B1119F">
        <w:rPr>
          <w:rFonts w:ascii="Arial Unicode MS" w:eastAsia="Arial Unicode MS" w:hAnsi="Arial Unicode MS" w:cs="Arial Unicode MS"/>
          <w:color w:val="000000"/>
          <w:kern w:val="0"/>
          <w:sz w:val="24"/>
          <w:szCs w:val="24"/>
          <w:lang w:val="uk-UA" w:eastAsia="uk-UA" w:bidi="uk-UA"/>
        </w:rPr>
        <w:t>.</w:t>
      </w:r>
    </w:p>
    <w:p w:rsidR="00B1119F" w:rsidRPr="00B1119F" w:rsidRDefault="00B1119F" w:rsidP="00B1119F">
      <w:pPr>
        <w:tabs>
          <w:tab w:val="clear" w:pos="709"/>
        </w:tabs>
        <w:suppressAutoHyphens w:val="0"/>
        <w:spacing w:after="0" w:line="322" w:lineRule="exact"/>
        <w:ind w:firstLine="76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Із використанням побудованої імітаційної обчислювальної моделі автором виконано низку досліджень (табл .</w:t>
      </w:r>
      <w:r w:rsidRPr="00B1119F">
        <w:rPr>
          <w:rFonts w:ascii="Times New Roman" w:eastAsia="Arial Unicode MS" w:hAnsi="Times New Roman" w:cs="Times New Roman"/>
          <w:color w:val="000000"/>
          <w:spacing w:val="-10"/>
          <w:kern w:val="0"/>
          <w:sz w:val="26"/>
          <w:szCs w:val="26"/>
          <w:lang w:val="uk-UA" w:eastAsia="uk-UA" w:bidi="uk-UA"/>
        </w:rPr>
        <w:t>2</w:t>
      </w:r>
      <w:r w:rsidRPr="00B1119F">
        <w:rPr>
          <w:rFonts w:ascii="Arial Unicode MS" w:eastAsia="Arial Unicode MS" w:hAnsi="Arial Unicode MS" w:cs="Arial Unicode MS"/>
          <w:color w:val="000000"/>
          <w:kern w:val="0"/>
          <w:sz w:val="24"/>
          <w:szCs w:val="24"/>
          <w:lang w:val="uk-UA" w:eastAsia="uk-UA" w:bidi="uk-UA"/>
        </w:rPr>
        <w:t>):</w:t>
      </w:r>
    </w:p>
    <w:p w:rsidR="00B1119F" w:rsidRPr="00B1119F" w:rsidRDefault="00B1119F" w:rsidP="00B1119F">
      <w:pPr>
        <w:numPr>
          <w:ilvl w:val="0"/>
          <w:numId w:val="15"/>
        </w:numPr>
        <w:tabs>
          <w:tab w:val="clear" w:pos="709"/>
          <w:tab w:val="left" w:pos="1153"/>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Виключення використання франшизи із усіх договорів </w:t>
      </w:r>
      <w:r w:rsidRPr="00B1119F">
        <w:rPr>
          <w:rFonts w:ascii="Arial Unicode MS" w:eastAsia="Arial Unicode MS" w:hAnsi="Arial Unicode MS" w:cs="Arial Unicode MS"/>
          <w:color w:val="000000"/>
          <w:kern w:val="0"/>
          <w:sz w:val="24"/>
          <w:szCs w:val="24"/>
          <w:lang w:eastAsia="en-US" w:bidi="en-US"/>
        </w:rPr>
        <w:t>(</w:t>
      </w:r>
      <w:r w:rsidRPr="00B1119F">
        <w:rPr>
          <w:rFonts w:ascii="Arial Unicode MS" w:eastAsia="Arial Unicode MS" w:hAnsi="Arial Unicode MS" w:cs="Arial Unicode MS"/>
          <w:color w:val="000000"/>
          <w:kern w:val="0"/>
          <w:sz w:val="24"/>
          <w:szCs w:val="24"/>
          <w:lang w:val="en-US" w:eastAsia="en-US" w:bidi="en-US"/>
        </w:rPr>
        <w:t>KFr</w:t>
      </w:r>
      <w:r w:rsidRPr="00B1119F">
        <w:rPr>
          <w:rFonts w:ascii="Arial Unicode MS" w:eastAsia="Arial Unicode MS" w:hAnsi="Arial Unicode MS" w:cs="Arial Unicode MS"/>
          <w:color w:val="000000"/>
          <w:kern w:val="0"/>
          <w:sz w:val="24"/>
          <w:szCs w:val="24"/>
          <w:lang w:eastAsia="en-US" w:bidi="en-US"/>
        </w:rPr>
        <w:t>=0).</w:t>
      </w:r>
    </w:p>
    <w:p w:rsidR="00B1119F" w:rsidRPr="00B1119F" w:rsidRDefault="00B1119F" w:rsidP="00B1119F">
      <w:pPr>
        <w:numPr>
          <w:ilvl w:val="0"/>
          <w:numId w:val="15"/>
        </w:numPr>
        <w:tabs>
          <w:tab w:val="clear" w:pos="709"/>
          <w:tab w:val="left" w:pos="1153"/>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Виключення франшизи та відповідне зменшення кількості договорів </w:t>
      </w:r>
      <w:r w:rsidRPr="00B1119F">
        <w:rPr>
          <w:rFonts w:ascii="Arial Unicode MS" w:eastAsia="Arial Unicode MS" w:hAnsi="Arial Unicode MS" w:cs="Arial Unicode MS"/>
          <w:color w:val="000000"/>
          <w:kern w:val="0"/>
          <w:sz w:val="24"/>
          <w:szCs w:val="24"/>
          <w:lang w:val="uk-UA" w:eastAsia="en-US" w:bidi="en-US"/>
        </w:rPr>
        <w:t>(</w:t>
      </w:r>
      <w:r w:rsidRPr="00B1119F">
        <w:rPr>
          <w:rFonts w:ascii="Arial Unicode MS" w:eastAsia="Arial Unicode MS" w:hAnsi="Arial Unicode MS" w:cs="Arial Unicode MS"/>
          <w:color w:val="000000"/>
          <w:kern w:val="0"/>
          <w:sz w:val="24"/>
          <w:szCs w:val="24"/>
          <w:lang w:val="en-US" w:eastAsia="en-US" w:bidi="en-US"/>
        </w:rPr>
        <w:t>KFr</w:t>
      </w:r>
      <w:r w:rsidRPr="00B1119F">
        <w:rPr>
          <w:rFonts w:ascii="Arial Unicode MS" w:eastAsia="Arial Unicode MS" w:hAnsi="Arial Unicode MS" w:cs="Arial Unicode MS"/>
          <w:color w:val="000000"/>
          <w:kern w:val="0"/>
          <w:sz w:val="24"/>
          <w:szCs w:val="24"/>
          <w:lang w:val="uk-UA" w:eastAsia="en-US" w:bidi="en-US"/>
        </w:rPr>
        <w:t xml:space="preserve">=0, </w:t>
      </w:r>
      <w:r w:rsidRPr="00B1119F">
        <w:rPr>
          <w:rFonts w:ascii="Arial Unicode MS" w:eastAsia="Arial Unicode MS" w:hAnsi="Arial Unicode MS" w:cs="Arial Unicode MS"/>
          <w:color w:val="000000"/>
          <w:kern w:val="0"/>
          <w:sz w:val="24"/>
          <w:szCs w:val="24"/>
          <w:lang w:val="en-US" w:eastAsia="en-US" w:bidi="en-US"/>
        </w:rPr>
        <w:t>N</w:t>
      </w:r>
      <w:r w:rsidRPr="00B1119F">
        <w:rPr>
          <w:rFonts w:ascii="Arial Unicode MS" w:eastAsia="Arial Unicode MS" w:hAnsi="Arial Unicode MS" w:cs="Arial Unicode MS"/>
          <w:color w:val="000000"/>
          <w:kern w:val="0"/>
          <w:sz w:val="24"/>
          <w:szCs w:val="24"/>
          <w:lang w:val="uk-UA" w:eastAsia="en-US" w:bidi="en-US"/>
        </w:rPr>
        <w:t>=650).</w:t>
      </w:r>
    </w:p>
    <w:p w:rsidR="00B1119F" w:rsidRPr="00B1119F" w:rsidRDefault="00B1119F" w:rsidP="00B1119F">
      <w:pPr>
        <w:numPr>
          <w:ilvl w:val="0"/>
          <w:numId w:val="15"/>
        </w:numPr>
        <w:tabs>
          <w:tab w:val="clear" w:pos="709"/>
          <w:tab w:val="left" w:pos="1153"/>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Зменшення тарифу відповідно до відносної франшизи </w:t>
      </w:r>
      <w:r w:rsidRPr="00B1119F">
        <w:rPr>
          <w:rFonts w:ascii="Arial Unicode MS" w:eastAsia="Arial Unicode MS" w:hAnsi="Arial Unicode MS" w:cs="Arial Unicode MS"/>
          <w:color w:val="000000"/>
          <w:kern w:val="0"/>
          <w:sz w:val="24"/>
          <w:szCs w:val="24"/>
          <w:lang w:val="uk-UA" w:eastAsia="en-US" w:bidi="en-US"/>
        </w:rPr>
        <w:t>(</w:t>
      </w:r>
      <w:r w:rsidRPr="00B1119F">
        <w:rPr>
          <w:rFonts w:ascii="Arial Unicode MS" w:eastAsia="Arial Unicode MS" w:hAnsi="Arial Unicode MS" w:cs="Arial Unicode MS"/>
          <w:color w:val="000000"/>
          <w:kern w:val="0"/>
          <w:sz w:val="24"/>
          <w:szCs w:val="24"/>
          <w:lang w:val="en-US" w:eastAsia="en-US" w:bidi="en-US"/>
        </w:rPr>
        <w:t>KSTFr</w:t>
      </w:r>
      <w:r w:rsidRPr="00B1119F">
        <w:rPr>
          <w:rFonts w:ascii="Arial Unicode MS" w:eastAsia="Arial Unicode MS" w:hAnsi="Arial Unicode MS" w:cs="Arial Unicode MS"/>
          <w:color w:val="000000"/>
          <w:kern w:val="0"/>
          <w:sz w:val="24"/>
          <w:szCs w:val="24"/>
          <w:lang w:val="uk-UA" w:eastAsia="en-US" w:bidi="en-US"/>
        </w:rPr>
        <w:t>=1).</w:t>
      </w:r>
      <w:r w:rsidRPr="00B1119F">
        <w:rPr>
          <w:rFonts w:ascii="Arial Unicode MS" w:eastAsia="Arial Unicode MS" w:hAnsi="Arial Unicode MS" w:cs="Arial Unicode MS"/>
          <w:color w:val="000000"/>
          <w:kern w:val="0"/>
          <w:sz w:val="24"/>
          <w:szCs w:val="24"/>
          <w:lang w:val="uk-UA" w:eastAsia="uk-UA" w:bidi="uk-UA"/>
        </w:rPr>
        <w:br w:type="page"/>
      </w:r>
    </w:p>
    <w:p w:rsidR="00B1119F" w:rsidRPr="00B1119F" w:rsidRDefault="00B1119F" w:rsidP="00B1119F">
      <w:pPr>
        <w:numPr>
          <w:ilvl w:val="0"/>
          <w:numId w:val="15"/>
        </w:numPr>
        <w:tabs>
          <w:tab w:val="clear" w:pos="709"/>
          <w:tab w:val="left" w:pos="114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Збільшення розміру франшизи удвічі при </w:t>
      </w:r>
      <w:r w:rsidRPr="00B1119F">
        <w:rPr>
          <w:rFonts w:ascii="Arial Unicode MS" w:eastAsia="Arial Unicode MS" w:hAnsi="Arial Unicode MS" w:cs="Arial Unicode MS"/>
          <w:color w:val="000000"/>
          <w:kern w:val="0"/>
          <w:sz w:val="24"/>
          <w:szCs w:val="24"/>
          <w:lang w:val="en-US" w:eastAsia="en-US" w:bidi="en-US"/>
        </w:rPr>
        <w:t>KSTFr</w:t>
      </w:r>
      <w:r w:rsidRPr="00B1119F">
        <w:rPr>
          <w:rFonts w:ascii="Arial Unicode MS" w:eastAsia="Arial Unicode MS" w:hAnsi="Arial Unicode MS" w:cs="Arial Unicode MS"/>
          <w:color w:val="000000"/>
          <w:kern w:val="0"/>
          <w:sz w:val="24"/>
          <w:szCs w:val="24"/>
          <w:lang w:val="uk-UA" w:eastAsia="en-US" w:bidi="en-US"/>
        </w:rPr>
        <w:t>=1 (</w:t>
      </w:r>
      <w:r w:rsidRPr="00B1119F">
        <w:rPr>
          <w:rFonts w:ascii="Arial Unicode MS" w:eastAsia="Arial Unicode MS" w:hAnsi="Arial Unicode MS" w:cs="Arial Unicode MS"/>
          <w:color w:val="000000"/>
          <w:kern w:val="0"/>
          <w:sz w:val="24"/>
          <w:szCs w:val="24"/>
          <w:lang w:val="en-US" w:eastAsia="en-US" w:bidi="en-US"/>
        </w:rPr>
        <w:t>KFr</w:t>
      </w:r>
      <w:r w:rsidRPr="00B1119F">
        <w:rPr>
          <w:rFonts w:ascii="Arial Unicode MS" w:eastAsia="Arial Unicode MS" w:hAnsi="Arial Unicode MS" w:cs="Arial Unicode MS"/>
          <w:color w:val="000000"/>
          <w:kern w:val="0"/>
          <w:sz w:val="24"/>
          <w:szCs w:val="24"/>
          <w:lang w:val="uk-UA" w:eastAsia="en-US" w:bidi="en-US"/>
        </w:rPr>
        <w:t>=2).</w:t>
      </w:r>
    </w:p>
    <w:p w:rsidR="00B1119F" w:rsidRPr="00B1119F" w:rsidRDefault="00B1119F" w:rsidP="00B1119F">
      <w:pPr>
        <w:numPr>
          <w:ilvl w:val="0"/>
          <w:numId w:val="15"/>
        </w:numPr>
        <w:tabs>
          <w:tab w:val="clear" w:pos="709"/>
          <w:tab w:val="left" w:pos="114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Збільшення розміру та частоти використання франшизи вдвічі при </w:t>
      </w:r>
      <w:r w:rsidRPr="00B1119F">
        <w:rPr>
          <w:rFonts w:ascii="Arial Unicode MS" w:eastAsia="Arial Unicode MS" w:hAnsi="Arial Unicode MS" w:cs="Arial Unicode MS"/>
          <w:color w:val="000000"/>
          <w:kern w:val="0"/>
          <w:sz w:val="24"/>
          <w:szCs w:val="24"/>
          <w:lang w:val="en-US" w:eastAsia="en-US" w:bidi="en-US"/>
        </w:rPr>
        <w:t>KSTFr</w:t>
      </w:r>
      <w:r w:rsidRPr="00B1119F">
        <w:rPr>
          <w:rFonts w:ascii="Arial Unicode MS" w:eastAsia="Arial Unicode MS" w:hAnsi="Arial Unicode MS" w:cs="Arial Unicode MS"/>
          <w:color w:val="000000"/>
          <w:kern w:val="0"/>
          <w:sz w:val="24"/>
          <w:szCs w:val="24"/>
          <w:lang w:val="uk-UA" w:eastAsia="en-US" w:bidi="en-US"/>
        </w:rPr>
        <w:t>=1 (</w:t>
      </w:r>
      <w:r w:rsidRPr="00B1119F">
        <w:rPr>
          <w:rFonts w:ascii="Arial Unicode MS" w:eastAsia="Arial Unicode MS" w:hAnsi="Arial Unicode MS" w:cs="Arial Unicode MS"/>
          <w:color w:val="000000"/>
          <w:kern w:val="0"/>
          <w:sz w:val="24"/>
          <w:szCs w:val="24"/>
          <w:lang w:val="en-US" w:eastAsia="en-US" w:bidi="en-US"/>
        </w:rPr>
        <w:t>KFr</w:t>
      </w:r>
      <w:r w:rsidRPr="00B1119F">
        <w:rPr>
          <w:rFonts w:ascii="Arial Unicode MS" w:eastAsia="Arial Unicode MS" w:hAnsi="Arial Unicode MS" w:cs="Arial Unicode MS"/>
          <w:color w:val="000000"/>
          <w:kern w:val="0"/>
          <w:sz w:val="24"/>
          <w:szCs w:val="24"/>
          <w:lang w:val="uk-UA" w:eastAsia="en-US" w:bidi="en-US"/>
        </w:rPr>
        <w:t xml:space="preserve">=2, </w:t>
      </w:r>
      <w:r w:rsidRPr="00B1119F">
        <w:rPr>
          <w:rFonts w:ascii="Arial Unicode MS" w:eastAsia="Arial Unicode MS" w:hAnsi="Arial Unicode MS" w:cs="Arial Unicode MS"/>
          <w:color w:val="000000"/>
          <w:kern w:val="0"/>
          <w:sz w:val="24"/>
          <w:szCs w:val="24"/>
          <w:lang w:val="en-US" w:eastAsia="en-US" w:bidi="en-US"/>
        </w:rPr>
        <w:t>PFr</w:t>
      </w:r>
      <w:r w:rsidRPr="00B1119F">
        <w:rPr>
          <w:rFonts w:ascii="Arial Unicode MS" w:eastAsia="Arial Unicode MS" w:hAnsi="Arial Unicode MS" w:cs="Arial Unicode MS"/>
          <w:color w:val="000000"/>
          <w:kern w:val="0"/>
          <w:sz w:val="24"/>
          <w:szCs w:val="24"/>
          <w:lang w:val="uk-UA" w:eastAsia="en-US" w:bidi="en-US"/>
        </w:rPr>
        <w:t>=2).</w:t>
      </w:r>
    </w:p>
    <w:p w:rsidR="00B1119F" w:rsidRPr="00B1119F" w:rsidRDefault="00B1119F" w:rsidP="00B1119F">
      <w:pPr>
        <w:numPr>
          <w:ilvl w:val="0"/>
          <w:numId w:val="15"/>
        </w:numPr>
        <w:tabs>
          <w:tab w:val="clear" w:pos="709"/>
          <w:tab w:val="left" w:pos="114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Вибір коефіцієнта регулювання тарифу по франшизі для збереження розміру абсолютних доходів </w:t>
      </w:r>
      <w:r w:rsidRPr="00B1119F">
        <w:rPr>
          <w:rFonts w:ascii="Arial Unicode MS" w:eastAsia="Arial Unicode MS" w:hAnsi="Arial Unicode MS" w:cs="Arial Unicode MS"/>
          <w:color w:val="000000"/>
          <w:kern w:val="0"/>
          <w:sz w:val="24"/>
          <w:szCs w:val="24"/>
          <w:lang w:eastAsia="en-US" w:bidi="en-US"/>
        </w:rPr>
        <w:t>(</w:t>
      </w:r>
      <w:r w:rsidRPr="00B1119F">
        <w:rPr>
          <w:rFonts w:ascii="Arial Unicode MS" w:eastAsia="Arial Unicode MS" w:hAnsi="Arial Unicode MS" w:cs="Arial Unicode MS"/>
          <w:color w:val="000000"/>
          <w:kern w:val="0"/>
          <w:sz w:val="24"/>
          <w:szCs w:val="24"/>
          <w:lang w:val="en-US" w:eastAsia="en-US" w:bidi="en-US"/>
        </w:rPr>
        <w:t>KSTFr</w:t>
      </w:r>
      <w:r w:rsidRPr="00B1119F">
        <w:rPr>
          <w:rFonts w:ascii="Arial Unicode MS" w:eastAsia="Arial Unicode MS" w:hAnsi="Arial Unicode MS" w:cs="Arial Unicode MS"/>
          <w:color w:val="000000"/>
          <w:kern w:val="0"/>
          <w:sz w:val="24"/>
          <w:szCs w:val="24"/>
          <w:lang w:eastAsia="en-US" w:bidi="en-US"/>
        </w:rPr>
        <w:t>=0.4).</w:t>
      </w:r>
    </w:p>
    <w:p w:rsidR="00B1119F" w:rsidRPr="00B1119F" w:rsidRDefault="00B1119F" w:rsidP="00B1119F">
      <w:pPr>
        <w:numPr>
          <w:ilvl w:val="0"/>
          <w:numId w:val="15"/>
        </w:numPr>
        <w:tabs>
          <w:tab w:val="clear" w:pos="709"/>
          <w:tab w:val="left" w:pos="114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Зменшення тарифів удвічі </w:t>
      </w:r>
      <w:r w:rsidRPr="00B1119F">
        <w:rPr>
          <w:rFonts w:ascii="Arial Unicode MS" w:eastAsia="Arial Unicode MS" w:hAnsi="Arial Unicode MS" w:cs="Arial Unicode MS"/>
          <w:color w:val="000000"/>
          <w:kern w:val="0"/>
          <w:sz w:val="24"/>
          <w:szCs w:val="24"/>
          <w:lang w:val="uk-UA" w:eastAsia="en-US" w:bidi="en-US"/>
        </w:rPr>
        <w:t>(</w:t>
      </w:r>
      <w:r w:rsidRPr="00B1119F">
        <w:rPr>
          <w:rFonts w:ascii="Arial Unicode MS" w:eastAsia="Arial Unicode MS" w:hAnsi="Arial Unicode MS" w:cs="Arial Unicode MS"/>
          <w:color w:val="000000"/>
          <w:kern w:val="0"/>
          <w:sz w:val="24"/>
          <w:szCs w:val="24"/>
          <w:lang w:val="en-US" w:eastAsia="en-US" w:bidi="en-US"/>
        </w:rPr>
        <w:t>KST</w:t>
      </w:r>
      <w:r w:rsidRPr="00B1119F">
        <w:rPr>
          <w:rFonts w:ascii="Arial Unicode MS" w:eastAsia="Arial Unicode MS" w:hAnsi="Arial Unicode MS" w:cs="Arial Unicode MS"/>
          <w:color w:val="000000"/>
          <w:kern w:val="0"/>
          <w:sz w:val="24"/>
          <w:szCs w:val="24"/>
          <w:lang w:val="uk-UA" w:eastAsia="en-US" w:bidi="en-US"/>
        </w:rPr>
        <w:t xml:space="preserve">=0,5; </w:t>
      </w:r>
      <w:r w:rsidRPr="00B1119F">
        <w:rPr>
          <w:rFonts w:ascii="Arial Unicode MS" w:eastAsia="Arial Unicode MS" w:hAnsi="Arial Unicode MS" w:cs="Arial Unicode MS"/>
          <w:color w:val="000000"/>
          <w:kern w:val="0"/>
          <w:sz w:val="24"/>
          <w:szCs w:val="24"/>
          <w:lang w:val="en-US" w:eastAsia="en-US" w:bidi="en-US"/>
        </w:rPr>
        <w:t>KSTFr</w:t>
      </w:r>
      <w:r w:rsidRPr="00B1119F">
        <w:rPr>
          <w:rFonts w:ascii="Arial Unicode MS" w:eastAsia="Arial Unicode MS" w:hAnsi="Arial Unicode MS" w:cs="Arial Unicode MS"/>
          <w:color w:val="000000"/>
          <w:kern w:val="0"/>
          <w:sz w:val="24"/>
          <w:szCs w:val="24"/>
          <w:lang w:val="uk-UA" w:eastAsia="en-US" w:bidi="en-US"/>
        </w:rPr>
        <w:t>=0.4).</w:t>
      </w:r>
    </w:p>
    <w:p w:rsidR="00B1119F" w:rsidRPr="00B1119F" w:rsidRDefault="00B1119F" w:rsidP="00B1119F">
      <w:pPr>
        <w:framePr w:w="9974" w:wrap="notBeside" w:vAnchor="text" w:hAnchor="text" w:xAlign="center" w:y="1"/>
        <w:tabs>
          <w:tab w:val="clear" w:pos="709"/>
        </w:tabs>
        <w:suppressAutoHyphens w:val="0"/>
        <w:spacing w:after="0" w:line="322" w:lineRule="exact"/>
        <w:ind w:firstLine="0"/>
        <w:jc w:val="right"/>
        <w:rPr>
          <w:rFonts w:ascii="Times New Roman" w:eastAsia="Times New Roman" w:hAnsi="Times New Roman" w:cs="Times New Roman"/>
          <w:i/>
          <w:iCs/>
          <w:kern w:val="0"/>
          <w:sz w:val="26"/>
          <w:szCs w:val="26"/>
          <w:lang w:val="uk-UA" w:eastAsia="uk-UA" w:bidi="uk-UA"/>
        </w:rPr>
      </w:pPr>
      <w:r w:rsidRPr="00B1119F">
        <w:rPr>
          <w:rFonts w:ascii="Times New Roman" w:eastAsia="Times New Roman" w:hAnsi="Times New Roman" w:cs="Times New Roman"/>
          <w:i/>
          <w:iCs/>
          <w:color w:val="000000"/>
          <w:kern w:val="0"/>
          <w:sz w:val="26"/>
          <w:szCs w:val="26"/>
          <w:lang w:val="uk-UA" w:eastAsia="uk-UA" w:bidi="uk-UA"/>
        </w:rPr>
        <w:t>Таблиця 2</w:t>
      </w:r>
    </w:p>
    <w:p w:rsidR="00B1119F" w:rsidRPr="00B1119F" w:rsidRDefault="00B1119F" w:rsidP="00B1119F">
      <w:pPr>
        <w:framePr w:w="9974" w:wrap="notBeside" w:vAnchor="text" w:hAnchor="text" w:xAlign="center" w:y="1"/>
        <w:tabs>
          <w:tab w:val="clear" w:pos="709"/>
        </w:tabs>
        <w:suppressAutoHyphens w:val="0"/>
        <w:spacing w:after="0" w:line="322"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Загальні порівняння загальних вибіркових та середніх модельних показників</w:t>
      </w:r>
    </w:p>
    <w:tbl>
      <w:tblPr>
        <w:tblOverlap w:val="never"/>
        <w:tblW w:w="0" w:type="auto"/>
        <w:jc w:val="center"/>
        <w:tblLayout w:type="fixed"/>
        <w:tblCellMar>
          <w:left w:w="10" w:type="dxa"/>
          <w:right w:w="10" w:type="dxa"/>
        </w:tblCellMar>
        <w:tblLook w:val="04A0"/>
      </w:tblPr>
      <w:tblGrid>
        <w:gridCol w:w="2654"/>
        <w:gridCol w:w="1003"/>
        <w:gridCol w:w="902"/>
        <w:gridCol w:w="902"/>
        <w:gridCol w:w="898"/>
        <w:gridCol w:w="902"/>
        <w:gridCol w:w="898"/>
        <w:gridCol w:w="902"/>
        <w:gridCol w:w="912"/>
      </w:tblGrid>
      <w:tr w:rsidR="00B1119F" w:rsidRPr="00B1119F" w:rsidTr="00105B87">
        <w:tblPrEx>
          <w:tblCellMar>
            <w:top w:w="0" w:type="dxa"/>
            <w:bottom w:w="0" w:type="dxa"/>
          </w:tblCellMar>
        </w:tblPrEx>
        <w:trPr>
          <w:trHeight w:hRule="exact" w:val="518"/>
          <w:jc w:val="center"/>
        </w:trPr>
        <w:tc>
          <w:tcPr>
            <w:tcW w:w="2654" w:type="dxa"/>
            <w:tcBorders>
              <w:top w:val="single" w:sz="4" w:space="0" w:color="auto"/>
              <w:left w:val="single" w:sz="4" w:space="0" w:color="auto"/>
            </w:tcBorders>
            <w:shd w:val="clear" w:color="auto" w:fill="FFFFFF"/>
            <w:vAlign w:val="center"/>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Показник</w:t>
            </w:r>
          </w:p>
        </w:tc>
        <w:tc>
          <w:tcPr>
            <w:tcW w:w="1003" w:type="dxa"/>
            <w:tcBorders>
              <w:top w:val="single" w:sz="4" w:space="0" w:color="auto"/>
              <w:left w:val="single" w:sz="4" w:space="0" w:color="auto"/>
            </w:tcBorders>
            <w:shd w:val="clear" w:color="auto" w:fill="FFFFFF"/>
            <w:vAlign w:val="center"/>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Вибірка</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6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Дослід</w:t>
            </w:r>
          </w:p>
          <w:p w:rsidR="00B1119F" w:rsidRPr="00B1119F" w:rsidRDefault="00B1119F" w:rsidP="00B1119F">
            <w:pPr>
              <w:framePr w:w="9974" w:wrap="notBeside" w:vAnchor="text" w:hAnchor="text" w:xAlign="center" w:y="1"/>
              <w:tabs>
                <w:tab w:val="clear" w:pos="709"/>
              </w:tabs>
              <w:suppressAutoHyphens w:val="0"/>
              <w:spacing w:before="60" w:after="0" w:line="240" w:lineRule="exact"/>
              <w:ind w:left="2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6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Дослід</w:t>
            </w:r>
          </w:p>
          <w:p w:rsidR="00B1119F" w:rsidRPr="00B1119F" w:rsidRDefault="00B1119F" w:rsidP="00B1119F">
            <w:pPr>
              <w:framePr w:w="9974" w:wrap="notBeside" w:vAnchor="text" w:hAnchor="text" w:xAlign="center" w:y="1"/>
              <w:tabs>
                <w:tab w:val="clear" w:pos="709"/>
              </w:tabs>
              <w:suppressAutoHyphens w:val="0"/>
              <w:spacing w:before="60" w:after="0" w:line="240" w:lineRule="exact"/>
              <w:ind w:left="2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№2</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6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Дослід</w:t>
            </w:r>
          </w:p>
          <w:p w:rsidR="00B1119F" w:rsidRPr="00B1119F" w:rsidRDefault="00B1119F" w:rsidP="00B1119F">
            <w:pPr>
              <w:framePr w:w="9974" w:wrap="notBeside" w:vAnchor="text" w:hAnchor="text" w:xAlign="center" w:y="1"/>
              <w:tabs>
                <w:tab w:val="clear" w:pos="709"/>
              </w:tabs>
              <w:suppressAutoHyphens w:val="0"/>
              <w:spacing w:before="60" w:after="0" w:line="240" w:lineRule="exact"/>
              <w:ind w:left="3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№3</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6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Дослід</w:t>
            </w:r>
          </w:p>
          <w:p w:rsidR="00B1119F" w:rsidRPr="00B1119F" w:rsidRDefault="00B1119F" w:rsidP="00B1119F">
            <w:pPr>
              <w:framePr w:w="9974" w:wrap="notBeside" w:vAnchor="text" w:hAnchor="text" w:xAlign="center" w:y="1"/>
              <w:tabs>
                <w:tab w:val="clear" w:pos="709"/>
              </w:tabs>
              <w:suppressAutoHyphens w:val="0"/>
              <w:spacing w:before="60" w:after="0" w:line="240" w:lineRule="exact"/>
              <w:ind w:right="3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№4</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6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Дослід</w:t>
            </w:r>
          </w:p>
          <w:p w:rsidR="00B1119F" w:rsidRPr="00B1119F" w:rsidRDefault="00B1119F" w:rsidP="00B1119F">
            <w:pPr>
              <w:framePr w:w="9974" w:wrap="notBeside" w:vAnchor="text" w:hAnchor="text" w:xAlign="center" w:y="1"/>
              <w:tabs>
                <w:tab w:val="clear" w:pos="709"/>
              </w:tabs>
              <w:suppressAutoHyphens w:val="0"/>
              <w:spacing w:before="60" w:after="0" w:line="240" w:lineRule="exact"/>
              <w:ind w:left="3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№5</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6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Дослід</w:t>
            </w:r>
          </w:p>
          <w:p w:rsidR="00B1119F" w:rsidRPr="00B1119F" w:rsidRDefault="00B1119F" w:rsidP="00B1119F">
            <w:pPr>
              <w:framePr w:w="9974" w:wrap="notBeside" w:vAnchor="text" w:hAnchor="text" w:xAlign="center" w:y="1"/>
              <w:tabs>
                <w:tab w:val="clear" w:pos="709"/>
              </w:tabs>
              <w:suppressAutoHyphens w:val="0"/>
              <w:spacing w:before="60" w:after="0" w:line="240" w:lineRule="exact"/>
              <w:ind w:right="3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№6</w:t>
            </w:r>
          </w:p>
        </w:tc>
        <w:tc>
          <w:tcPr>
            <w:tcW w:w="912"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6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Дослід</w:t>
            </w:r>
          </w:p>
          <w:p w:rsidR="00B1119F" w:rsidRPr="00B1119F" w:rsidRDefault="00B1119F" w:rsidP="00B1119F">
            <w:pPr>
              <w:framePr w:w="9974" w:wrap="notBeside" w:vAnchor="text" w:hAnchor="text" w:xAlign="center" w:y="1"/>
              <w:tabs>
                <w:tab w:val="clear" w:pos="709"/>
              </w:tabs>
              <w:suppressAutoHyphens w:val="0"/>
              <w:spacing w:before="60" w:after="0" w:line="240" w:lineRule="exact"/>
              <w:ind w:left="3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w:t>
            </w:r>
          </w:p>
        </w:tc>
      </w:tr>
      <w:tr w:rsidR="00B1119F" w:rsidRPr="00B1119F" w:rsidTr="00105B87">
        <w:tblPrEx>
          <w:tblCellMar>
            <w:top w:w="0" w:type="dxa"/>
            <w:bottom w:w="0" w:type="dxa"/>
          </w:tblCellMar>
        </w:tblPrEx>
        <w:trPr>
          <w:trHeight w:hRule="exact" w:val="264"/>
          <w:jc w:val="center"/>
        </w:trPr>
        <w:tc>
          <w:tcPr>
            <w:tcW w:w="2654"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Кількість договорів</w:t>
            </w:r>
          </w:p>
        </w:tc>
        <w:tc>
          <w:tcPr>
            <w:tcW w:w="1003"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893</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893</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650</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893</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893</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893</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893</w:t>
            </w:r>
          </w:p>
        </w:tc>
        <w:tc>
          <w:tcPr>
            <w:tcW w:w="912"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893</w:t>
            </w:r>
          </w:p>
        </w:tc>
      </w:tr>
      <w:tr w:rsidR="00B1119F" w:rsidRPr="00B1119F" w:rsidTr="00105B87">
        <w:tblPrEx>
          <w:tblCellMar>
            <w:top w:w="0" w:type="dxa"/>
            <w:bottom w:w="0" w:type="dxa"/>
          </w:tblCellMar>
        </w:tblPrEx>
        <w:trPr>
          <w:trHeight w:hRule="exact" w:val="518"/>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54"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Кількість страхових випадків</w:t>
            </w:r>
          </w:p>
        </w:tc>
        <w:tc>
          <w:tcPr>
            <w:tcW w:w="1003" w:type="dxa"/>
            <w:tcBorders>
              <w:top w:val="single" w:sz="4" w:space="0" w:color="auto"/>
              <w:left w:val="single" w:sz="4" w:space="0" w:color="auto"/>
            </w:tcBorders>
            <w:shd w:val="clear" w:color="auto" w:fill="FFFFFF"/>
            <w:vAlign w:val="center"/>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66</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66,158</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48,201</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66,217</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66,23</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66,233</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66,316</w:t>
            </w:r>
          </w:p>
        </w:tc>
        <w:tc>
          <w:tcPr>
            <w:tcW w:w="912"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66,343</w:t>
            </w:r>
          </w:p>
        </w:tc>
      </w:tr>
      <w:tr w:rsidR="00B1119F" w:rsidRPr="00B1119F" w:rsidTr="00105B87">
        <w:tblPrEx>
          <w:tblCellMar>
            <w:top w:w="0" w:type="dxa"/>
            <w:bottom w:w="0" w:type="dxa"/>
          </w:tblCellMar>
        </w:tblPrEx>
        <w:trPr>
          <w:trHeight w:hRule="exact" w:val="514"/>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5"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Відносна частота страхових випадків, %</w:t>
            </w:r>
          </w:p>
        </w:tc>
        <w:tc>
          <w:tcPr>
            <w:tcW w:w="1003"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7,391</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7,409</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7,415</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7,415</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7,417</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7,417</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7,426</w:t>
            </w:r>
          </w:p>
        </w:tc>
        <w:tc>
          <w:tcPr>
            <w:tcW w:w="912"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7,429</w:t>
            </w:r>
          </w:p>
        </w:tc>
      </w:tr>
      <w:tr w:rsidR="00B1119F" w:rsidRPr="00B1119F" w:rsidTr="00105B87">
        <w:tblPrEx>
          <w:tblCellMar>
            <w:top w:w="0" w:type="dxa"/>
            <w:bottom w:w="0" w:type="dxa"/>
          </w:tblCellMar>
        </w:tblPrEx>
        <w:trPr>
          <w:trHeight w:hRule="exact" w:val="518"/>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5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Загальна страхова сума, млн. грн.</w:t>
            </w:r>
          </w:p>
        </w:tc>
        <w:tc>
          <w:tcPr>
            <w:tcW w:w="1003"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213,30</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213,26</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155,32</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213,31</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213,27</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213,58</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213,35</w:t>
            </w:r>
          </w:p>
        </w:tc>
        <w:tc>
          <w:tcPr>
            <w:tcW w:w="912"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213,68</w:t>
            </w:r>
          </w:p>
        </w:tc>
      </w:tr>
      <w:tr w:rsidR="00B1119F" w:rsidRPr="00B1119F" w:rsidTr="00105B87">
        <w:tblPrEx>
          <w:tblCellMar>
            <w:top w:w="0" w:type="dxa"/>
            <w:bottom w:w="0" w:type="dxa"/>
          </w:tblCellMar>
        </w:tblPrEx>
        <w:trPr>
          <w:trHeight w:hRule="exact" w:val="514"/>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5"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Загальна страхова премія, млн. грн.</w:t>
            </w:r>
          </w:p>
        </w:tc>
        <w:tc>
          <w:tcPr>
            <w:tcW w:w="1003"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8,132</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8,131</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5,924</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7,964</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7,798</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7,485</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8,059</w:t>
            </w:r>
          </w:p>
        </w:tc>
        <w:tc>
          <w:tcPr>
            <w:tcW w:w="912"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4,043</w:t>
            </w:r>
          </w:p>
        </w:tc>
      </w:tr>
      <w:tr w:rsidR="00B1119F" w:rsidRPr="00B1119F" w:rsidTr="00105B87">
        <w:tblPrEx>
          <w:tblCellMar>
            <w:top w:w="0" w:type="dxa"/>
            <w:bottom w:w="0" w:type="dxa"/>
          </w:tblCellMar>
        </w:tblPrEx>
        <w:trPr>
          <w:trHeight w:hRule="exact" w:val="518"/>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54"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Премія відносно страхової суми, %</w:t>
            </w:r>
          </w:p>
        </w:tc>
        <w:tc>
          <w:tcPr>
            <w:tcW w:w="1003"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3,812</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3,813</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3,814</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3,732</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3,654</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3,500</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3,776</w:t>
            </w:r>
          </w:p>
        </w:tc>
        <w:tc>
          <w:tcPr>
            <w:tcW w:w="912"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1,892</w:t>
            </w:r>
          </w:p>
        </w:tc>
      </w:tr>
      <w:tr w:rsidR="00B1119F" w:rsidRPr="00B1119F" w:rsidTr="00105B87">
        <w:tblPrEx>
          <w:tblCellMar>
            <w:top w:w="0" w:type="dxa"/>
            <w:bottom w:w="0" w:type="dxa"/>
          </w:tblCellMar>
        </w:tblPrEx>
        <w:trPr>
          <w:trHeight w:hRule="exact" w:val="259"/>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Загальні збитки, тис. грн.</w:t>
            </w:r>
          </w:p>
        </w:tc>
        <w:tc>
          <w:tcPr>
            <w:tcW w:w="1003"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804,40</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802,81</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582,26</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801,95</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801,58</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805,87</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804,67</w:t>
            </w:r>
          </w:p>
        </w:tc>
        <w:tc>
          <w:tcPr>
            <w:tcW w:w="912"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803,57</w:t>
            </w:r>
          </w:p>
        </w:tc>
      </w:tr>
      <w:tr w:rsidR="00B1119F" w:rsidRPr="00B1119F" w:rsidTr="00105B87">
        <w:tblPrEx>
          <w:tblCellMar>
            <w:top w:w="0" w:type="dxa"/>
            <w:bottom w:w="0" w:type="dxa"/>
          </w:tblCellMar>
        </w:tblPrEx>
        <w:trPr>
          <w:trHeight w:hRule="exact" w:val="264"/>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Відносно премій, %</w:t>
            </w:r>
          </w:p>
        </w:tc>
        <w:tc>
          <w:tcPr>
            <w:tcW w:w="1003"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9,893</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10,01</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10,009</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10,223</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10,438</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10,947</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10,131</w:t>
            </w:r>
          </w:p>
        </w:tc>
        <w:tc>
          <w:tcPr>
            <w:tcW w:w="912"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20,157</w:t>
            </w:r>
          </w:p>
        </w:tc>
      </w:tr>
      <w:tr w:rsidR="00B1119F" w:rsidRPr="00B1119F" w:rsidTr="00105B87">
        <w:tblPrEx>
          <w:tblCellMar>
            <w:top w:w="0" w:type="dxa"/>
            <w:bottom w:w="0" w:type="dxa"/>
          </w:tblCellMar>
        </w:tblPrEx>
        <w:trPr>
          <w:trHeight w:hRule="exact" w:val="518"/>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64"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 xml:space="preserve">Збитки не компенсовані за </w:t>
            </w:r>
            <w:r w:rsidRPr="00B1119F">
              <w:rPr>
                <w:rFonts w:ascii="Times New Roman" w:eastAsia="Arial Unicode MS" w:hAnsi="Times New Roman" w:cs="Times New Roman"/>
                <w:color w:val="000000"/>
                <w:kern w:val="0"/>
                <w:sz w:val="24"/>
                <w:szCs w:val="24"/>
                <w:lang w:eastAsia="ru-RU" w:bidi="ru-RU"/>
              </w:rPr>
              <w:t xml:space="preserve">франшизою, </w:t>
            </w:r>
            <w:r w:rsidRPr="00B1119F">
              <w:rPr>
                <w:rFonts w:ascii="Times New Roman" w:eastAsia="Arial Unicode MS" w:hAnsi="Times New Roman" w:cs="Times New Roman"/>
                <w:color w:val="000000"/>
                <w:kern w:val="0"/>
                <w:sz w:val="24"/>
                <w:szCs w:val="24"/>
                <w:lang w:val="uk-UA" w:eastAsia="uk-UA" w:bidi="uk-UA"/>
              </w:rPr>
              <w:t>тис. грн.</w:t>
            </w:r>
          </w:p>
        </w:tc>
        <w:tc>
          <w:tcPr>
            <w:tcW w:w="1003"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13,940</w:t>
            </w:r>
          </w:p>
        </w:tc>
        <w:tc>
          <w:tcPr>
            <w:tcW w:w="902" w:type="dxa"/>
            <w:tcBorders>
              <w:top w:val="single" w:sz="4" w:space="0" w:color="auto"/>
              <w:left w:val="single" w:sz="4" w:space="0" w:color="auto"/>
            </w:tcBorders>
            <w:shd w:val="clear" w:color="auto" w:fill="FFFFFF"/>
            <w:vAlign w:val="center"/>
          </w:tcPr>
          <w:p w:rsidR="00B1119F" w:rsidRPr="00B1119F" w:rsidRDefault="00B1119F" w:rsidP="00B1119F">
            <w:pPr>
              <w:framePr w:w="9974" w:wrap="notBeside" w:vAnchor="text" w:hAnchor="text" w:xAlign="center" w:y="1"/>
              <w:tabs>
                <w:tab w:val="clear" w:pos="709"/>
              </w:tabs>
              <w:suppressAutoHyphens w:val="0"/>
              <w:spacing w:after="0" w:line="240" w:lineRule="exact"/>
              <w:ind w:left="2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0,00</w:t>
            </w:r>
          </w:p>
        </w:tc>
        <w:tc>
          <w:tcPr>
            <w:tcW w:w="902" w:type="dxa"/>
            <w:tcBorders>
              <w:top w:val="single" w:sz="4" w:space="0" w:color="auto"/>
              <w:left w:val="single" w:sz="4" w:space="0" w:color="auto"/>
            </w:tcBorders>
            <w:shd w:val="clear" w:color="auto" w:fill="FFFFFF"/>
            <w:vAlign w:val="center"/>
          </w:tcPr>
          <w:p w:rsidR="00B1119F" w:rsidRPr="00B1119F" w:rsidRDefault="00B1119F" w:rsidP="00B1119F">
            <w:pPr>
              <w:framePr w:w="9974" w:wrap="notBeside" w:vAnchor="text" w:hAnchor="text" w:xAlign="center" w:y="1"/>
              <w:tabs>
                <w:tab w:val="clear" w:pos="709"/>
              </w:tabs>
              <w:suppressAutoHyphens w:val="0"/>
              <w:spacing w:after="0" w:line="240" w:lineRule="exact"/>
              <w:ind w:left="2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0,00</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13,863</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23,640</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47,191</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13,897</w:t>
            </w:r>
          </w:p>
        </w:tc>
        <w:tc>
          <w:tcPr>
            <w:tcW w:w="912"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13,937</w:t>
            </w:r>
          </w:p>
        </w:tc>
      </w:tr>
      <w:tr w:rsidR="00B1119F" w:rsidRPr="00B1119F" w:rsidTr="00105B87">
        <w:tblPrEx>
          <w:tblCellMar>
            <w:top w:w="0" w:type="dxa"/>
            <w:bottom w:w="0" w:type="dxa"/>
          </w:tblCellMar>
        </w:tblPrEx>
        <w:trPr>
          <w:trHeight w:hRule="exact" w:val="259"/>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Відносно премій, %</w:t>
            </w:r>
          </w:p>
        </w:tc>
        <w:tc>
          <w:tcPr>
            <w:tcW w:w="1003"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0,171</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0,00</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0,00</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0,177</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0,309</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0,643</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0,175</w:t>
            </w:r>
          </w:p>
        </w:tc>
        <w:tc>
          <w:tcPr>
            <w:tcW w:w="912"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0,351</w:t>
            </w:r>
          </w:p>
        </w:tc>
      </w:tr>
      <w:tr w:rsidR="00B1119F" w:rsidRPr="00B1119F" w:rsidTr="00105B87">
        <w:tblPrEx>
          <w:tblCellMar>
            <w:top w:w="0" w:type="dxa"/>
            <w:bottom w:w="0" w:type="dxa"/>
          </w:tblCellMar>
        </w:tblPrEx>
        <w:trPr>
          <w:trHeight w:hRule="exact" w:val="264"/>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Відносно збитків, %</w:t>
            </w:r>
          </w:p>
        </w:tc>
        <w:tc>
          <w:tcPr>
            <w:tcW w:w="1003"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1,733</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0,00</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0,00</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1,837</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3,113</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6,182</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1,829</w:t>
            </w:r>
          </w:p>
        </w:tc>
        <w:tc>
          <w:tcPr>
            <w:tcW w:w="912"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1,845</w:t>
            </w:r>
          </w:p>
        </w:tc>
      </w:tr>
      <w:tr w:rsidR="00B1119F" w:rsidRPr="00B1119F" w:rsidTr="00105B87">
        <w:tblPrEx>
          <w:tblCellMar>
            <w:top w:w="0" w:type="dxa"/>
            <w:bottom w:w="0" w:type="dxa"/>
          </w:tblCellMar>
        </w:tblPrEx>
        <w:trPr>
          <w:trHeight w:hRule="exact" w:val="518"/>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54"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Страхові виплати, тис. грн.</w:t>
            </w:r>
          </w:p>
        </w:tc>
        <w:tc>
          <w:tcPr>
            <w:tcW w:w="1003"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790,50</w:t>
            </w:r>
          </w:p>
        </w:tc>
        <w:tc>
          <w:tcPr>
            <w:tcW w:w="902" w:type="dxa"/>
            <w:tcBorders>
              <w:top w:val="single" w:sz="4" w:space="0" w:color="auto"/>
              <w:left w:val="single" w:sz="4" w:space="0" w:color="auto"/>
            </w:tcBorders>
            <w:shd w:val="clear" w:color="auto" w:fill="FFFFFF"/>
            <w:vAlign w:val="center"/>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802,81</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582,27</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786,26</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773,00</w:t>
            </w:r>
          </w:p>
        </w:tc>
        <w:tc>
          <w:tcPr>
            <w:tcW w:w="898"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748,77</w:t>
            </w:r>
          </w:p>
        </w:tc>
        <w:tc>
          <w:tcPr>
            <w:tcW w:w="902" w:type="dxa"/>
            <w:tcBorders>
              <w:top w:val="single" w:sz="4" w:space="0" w:color="auto"/>
              <w:lef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789,01</w:t>
            </w:r>
          </w:p>
        </w:tc>
        <w:tc>
          <w:tcPr>
            <w:tcW w:w="912" w:type="dxa"/>
            <w:tcBorders>
              <w:top w:val="single" w:sz="4" w:space="0" w:color="auto"/>
              <w:left w:val="single" w:sz="4" w:space="0" w:color="auto"/>
              <w:right w:val="single" w:sz="4" w:space="0" w:color="auto"/>
            </w:tcBorders>
            <w:shd w:val="clear" w:color="auto" w:fill="FFFFFF"/>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787,81</w:t>
            </w:r>
          </w:p>
        </w:tc>
      </w:tr>
      <w:tr w:rsidR="00B1119F" w:rsidRPr="00B1119F" w:rsidTr="00105B87">
        <w:tblPrEx>
          <w:tblCellMar>
            <w:top w:w="0" w:type="dxa"/>
            <w:bottom w:w="0" w:type="dxa"/>
          </w:tblCellMar>
        </w:tblPrEx>
        <w:trPr>
          <w:trHeight w:hRule="exact" w:val="264"/>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Відносно премій, %</w:t>
            </w:r>
          </w:p>
        </w:tc>
        <w:tc>
          <w:tcPr>
            <w:tcW w:w="1003"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9,721</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10,010</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10,009</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10,022</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10,064</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10,168</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9,933</w:t>
            </w:r>
          </w:p>
        </w:tc>
        <w:tc>
          <w:tcPr>
            <w:tcW w:w="912"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19,760</w:t>
            </w:r>
          </w:p>
        </w:tc>
      </w:tr>
      <w:tr w:rsidR="00B1119F" w:rsidRPr="00B1119F" w:rsidTr="00105B87">
        <w:tblPrEx>
          <w:tblCellMar>
            <w:top w:w="0" w:type="dxa"/>
            <w:bottom w:w="0" w:type="dxa"/>
          </w:tblCellMar>
        </w:tblPrEx>
        <w:trPr>
          <w:trHeight w:hRule="exact" w:val="259"/>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Відносно збитків, %</w:t>
            </w:r>
          </w:p>
        </w:tc>
        <w:tc>
          <w:tcPr>
            <w:tcW w:w="1003"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98,267</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right="2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100</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100</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97,911</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96,212</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92,467</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97,930</w:t>
            </w:r>
          </w:p>
        </w:tc>
        <w:tc>
          <w:tcPr>
            <w:tcW w:w="912"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97,906</w:t>
            </w:r>
          </w:p>
        </w:tc>
      </w:tr>
      <w:tr w:rsidR="00B1119F" w:rsidRPr="00B1119F" w:rsidTr="00105B87">
        <w:tblPrEx>
          <w:tblCellMar>
            <w:top w:w="0" w:type="dxa"/>
            <w:bottom w:w="0" w:type="dxa"/>
          </w:tblCellMar>
        </w:tblPrEx>
        <w:trPr>
          <w:trHeight w:hRule="exact" w:val="264"/>
          <w:jc w:val="center"/>
        </w:trPr>
        <w:tc>
          <w:tcPr>
            <w:tcW w:w="2654"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Дохід, млн. грн.</w:t>
            </w:r>
          </w:p>
        </w:tc>
        <w:tc>
          <w:tcPr>
            <w:tcW w:w="1003"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7,341</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7,329</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5,342</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7,178</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7,025</w:t>
            </w:r>
          </w:p>
        </w:tc>
        <w:tc>
          <w:tcPr>
            <w:tcW w:w="898"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6,737</w:t>
            </w:r>
          </w:p>
        </w:tc>
        <w:tc>
          <w:tcPr>
            <w:tcW w:w="902" w:type="dxa"/>
            <w:tcBorders>
              <w:top w:val="single" w:sz="4" w:space="0" w:color="auto"/>
              <w:lef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7,270</w:t>
            </w:r>
          </w:p>
        </w:tc>
        <w:tc>
          <w:tcPr>
            <w:tcW w:w="912" w:type="dxa"/>
            <w:tcBorders>
              <w:top w:val="single" w:sz="4" w:space="0" w:color="auto"/>
              <w:left w:val="single" w:sz="4" w:space="0" w:color="auto"/>
              <w:righ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3,255</w:t>
            </w:r>
          </w:p>
        </w:tc>
      </w:tr>
      <w:tr w:rsidR="00B1119F" w:rsidRPr="00B1119F" w:rsidTr="00105B87">
        <w:tblPrEx>
          <w:tblCellMar>
            <w:top w:w="0" w:type="dxa"/>
            <w:bottom w:w="0" w:type="dxa"/>
          </w:tblCellMar>
        </w:tblPrEx>
        <w:trPr>
          <w:trHeight w:hRule="exact" w:val="274"/>
          <w:jc w:val="center"/>
        </w:trPr>
        <w:tc>
          <w:tcPr>
            <w:tcW w:w="2654" w:type="dxa"/>
            <w:tcBorders>
              <w:top w:val="single" w:sz="4" w:space="0" w:color="auto"/>
              <w:left w:val="single" w:sz="4" w:space="0" w:color="auto"/>
              <w:bottom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Відносно премій, %</w:t>
            </w:r>
          </w:p>
        </w:tc>
        <w:tc>
          <w:tcPr>
            <w:tcW w:w="1003" w:type="dxa"/>
            <w:tcBorders>
              <w:top w:val="single" w:sz="4" w:space="0" w:color="auto"/>
              <w:left w:val="single" w:sz="4" w:space="0" w:color="auto"/>
              <w:bottom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4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90,279</w:t>
            </w:r>
          </w:p>
        </w:tc>
        <w:tc>
          <w:tcPr>
            <w:tcW w:w="902" w:type="dxa"/>
            <w:tcBorders>
              <w:top w:val="single" w:sz="4" w:space="0" w:color="auto"/>
              <w:left w:val="single" w:sz="4" w:space="0" w:color="auto"/>
              <w:bottom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89,990</w:t>
            </w:r>
          </w:p>
        </w:tc>
        <w:tc>
          <w:tcPr>
            <w:tcW w:w="902" w:type="dxa"/>
            <w:tcBorders>
              <w:top w:val="single" w:sz="4" w:space="0" w:color="auto"/>
              <w:left w:val="single" w:sz="4" w:space="0" w:color="auto"/>
              <w:bottom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89,991</w:t>
            </w:r>
          </w:p>
        </w:tc>
        <w:tc>
          <w:tcPr>
            <w:tcW w:w="898" w:type="dxa"/>
            <w:tcBorders>
              <w:top w:val="single" w:sz="4" w:space="0" w:color="auto"/>
              <w:left w:val="single" w:sz="4" w:space="0" w:color="auto"/>
              <w:bottom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89,978</w:t>
            </w:r>
          </w:p>
        </w:tc>
        <w:tc>
          <w:tcPr>
            <w:tcW w:w="902" w:type="dxa"/>
            <w:tcBorders>
              <w:top w:val="single" w:sz="4" w:space="0" w:color="auto"/>
              <w:left w:val="single" w:sz="4" w:space="0" w:color="auto"/>
              <w:bottom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89,936</w:t>
            </w:r>
          </w:p>
        </w:tc>
        <w:tc>
          <w:tcPr>
            <w:tcW w:w="898" w:type="dxa"/>
            <w:tcBorders>
              <w:top w:val="single" w:sz="4" w:space="0" w:color="auto"/>
              <w:left w:val="single" w:sz="4" w:space="0" w:color="auto"/>
              <w:bottom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89,832</w:t>
            </w:r>
          </w:p>
        </w:tc>
        <w:tc>
          <w:tcPr>
            <w:tcW w:w="902" w:type="dxa"/>
            <w:tcBorders>
              <w:top w:val="single" w:sz="4" w:space="0" w:color="auto"/>
              <w:left w:val="single" w:sz="4" w:space="0" w:color="auto"/>
              <w:bottom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20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90,067</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bottom"/>
          </w:tcPr>
          <w:p w:rsidR="00B1119F" w:rsidRPr="00B1119F" w:rsidRDefault="00B1119F" w:rsidP="00B1119F">
            <w:pPr>
              <w:framePr w:w="9974" w:wrap="notBeside" w:vAnchor="text" w:hAnchor="text" w:xAlign="center" w:y="1"/>
              <w:tabs>
                <w:tab w:val="clear" w:pos="709"/>
              </w:tabs>
              <w:suppressAutoHyphens w:val="0"/>
              <w:spacing w:after="0" w:line="240" w:lineRule="exact"/>
              <w:ind w:left="180" w:firstLine="0"/>
              <w:jc w:val="left"/>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color w:val="000000"/>
                <w:kern w:val="0"/>
                <w:sz w:val="24"/>
                <w:szCs w:val="24"/>
                <w:lang w:val="uk-UA" w:eastAsia="uk-UA" w:bidi="uk-UA"/>
              </w:rPr>
              <w:t>80,240</w:t>
            </w:r>
          </w:p>
        </w:tc>
      </w:tr>
    </w:tbl>
    <w:p w:rsidR="00B1119F" w:rsidRPr="00B1119F" w:rsidRDefault="00B1119F" w:rsidP="00B1119F">
      <w:pPr>
        <w:framePr w:w="9974"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kern w:val="0"/>
          <w:sz w:val="26"/>
          <w:szCs w:val="26"/>
          <w:lang w:val="uk-UA" w:eastAsia="uk-UA" w:bidi="uk-UA"/>
        </w:rPr>
      </w:pPr>
      <w:r w:rsidRPr="00B1119F">
        <w:rPr>
          <w:rFonts w:ascii="Times New Roman" w:eastAsia="Times New Roman" w:hAnsi="Times New Roman" w:cs="Times New Roman"/>
          <w:color w:val="000000"/>
          <w:kern w:val="0"/>
          <w:sz w:val="26"/>
          <w:szCs w:val="26"/>
          <w:lang w:val="uk-UA" w:eastAsia="uk-UA" w:bidi="uk-UA"/>
        </w:rPr>
        <w:t>Джерело: розрахунки автора</w:t>
      </w:r>
    </w:p>
    <w:p w:rsidR="00B1119F" w:rsidRPr="00B1119F" w:rsidRDefault="00B1119F" w:rsidP="00B1119F">
      <w:pPr>
        <w:framePr w:w="9974"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B1119F" w:rsidRPr="00B1119F" w:rsidRDefault="00B1119F" w:rsidP="00B1119F">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B1119F" w:rsidRPr="00B1119F" w:rsidRDefault="00B1119F" w:rsidP="00B1119F">
      <w:pPr>
        <w:tabs>
          <w:tab w:val="clear" w:pos="709"/>
        </w:tabs>
        <w:suppressAutoHyphens w:val="0"/>
        <w:spacing w:before="240"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Результати 1-го досліду свідчать про те, що за наявних умов відмова від використання франшизи зменшує відносні доходи компанії на 0,2%. Це приблизно відповідає розміру збитків, які припадають на </w:t>
      </w:r>
      <w:r w:rsidRPr="00B1119F">
        <w:rPr>
          <w:rFonts w:ascii="Arial Unicode MS" w:eastAsia="Arial Unicode MS" w:hAnsi="Arial Unicode MS" w:cs="Arial Unicode MS"/>
          <w:color w:val="000000"/>
          <w:kern w:val="0"/>
          <w:sz w:val="24"/>
          <w:szCs w:val="24"/>
          <w:lang w:val="uk-UA" w:eastAsia="ru-RU" w:bidi="ru-RU"/>
        </w:rPr>
        <w:t>франшизу.</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Якщо припустити, що клієнти, які не отримали франшизи, не укладуть договорів (дослід №2), то компанія втратить майже 2 млн. гривень. Отже, механізм франшизи впливає на дохідність компанії. Досліди №3, №4 та №5 дозволяють зробити важливий висновок: встановлення коефіцієнта зменшення тарифу по франшизі рівним одиниці, тобто зменшення в кожному договорі розміру тарифу на величину відносної франшизи стабілізує величину відносних доходів незалежно від параметрів франшизи (величини та частоти використання в договорах). Зазначимо, що у загальному випадку </w:t>
      </w:r>
      <w:r w:rsidRPr="00B1119F">
        <w:rPr>
          <w:rFonts w:ascii="Arial Unicode MS" w:eastAsia="Arial Unicode MS" w:hAnsi="Arial Unicode MS" w:cs="Arial Unicode MS"/>
          <w:color w:val="000000"/>
          <w:kern w:val="0"/>
          <w:sz w:val="24"/>
          <w:szCs w:val="24"/>
          <w:lang w:eastAsia="ru-RU" w:bidi="ru-RU"/>
        </w:rPr>
        <w:t xml:space="preserve">величину </w:t>
      </w:r>
      <w:r w:rsidRPr="00B1119F">
        <w:rPr>
          <w:rFonts w:ascii="Arial Unicode MS" w:eastAsia="Arial Unicode MS" w:hAnsi="Arial Unicode MS" w:cs="Arial Unicode MS"/>
          <w:color w:val="000000"/>
          <w:kern w:val="0"/>
          <w:sz w:val="24"/>
          <w:szCs w:val="24"/>
          <w:lang w:val="uk-UA" w:eastAsia="uk-UA" w:bidi="uk-UA"/>
        </w:rPr>
        <w:t xml:space="preserve">тарифу передбачається розраховувати </w:t>
      </w:r>
      <w:r w:rsidRPr="00B1119F">
        <w:rPr>
          <w:rFonts w:ascii="Arial Unicode MS" w:eastAsia="Arial Unicode MS" w:hAnsi="Arial Unicode MS" w:cs="Arial Unicode MS"/>
          <w:color w:val="000000"/>
          <w:kern w:val="0"/>
          <w:sz w:val="24"/>
          <w:szCs w:val="24"/>
          <w:lang w:eastAsia="ru-RU" w:bidi="ru-RU"/>
        </w:rPr>
        <w:t>так:</w:t>
      </w:r>
    </w:p>
    <w:p w:rsidR="00B1119F" w:rsidRPr="00B1119F" w:rsidRDefault="00B1119F" w:rsidP="00B1119F">
      <w:pPr>
        <w:tabs>
          <w:tab w:val="clear" w:pos="709"/>
        </w:tabs>
        <w:suppressAutoHyphens w:val="0"/>
        <w:spacing w:after="0" w:line="322" w:lineRule="exact"/>
        <w:ind w:left="1020" w:right="360"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Тариф = Розмір тарифу за тарифним планом без урахування франшизи - - коефіцієнт зменшення тарифу по франшизі </w:t>
      </w:r>
      <w:r w:rsidRPr="00B1119F">
        <w:rPr>
          <w:rFonts w:ascii="Arial Unicode MS" w:eastAsia="Arial Unicode MS" w:hAnsi="Arial Unicode MS" w:cs="Arial Unicode MS"/>
          <w:color w:val="000000"/>
          <w:kern w:val="0"/>
          <w:sz w:val="24"/>
          <w:szCs w:val="24"/>
          <w:lang w:val="en-US" w:eastAsia="en-US" w:bidi="en-US"/>
        </w:rPr>
        <w:t>KSTFr</w:t>
      </w:r>
      <w:r w:rsidRPr="00B1119F">
        <w:rPr>
          <w:rFonts w:ascii="Arial Unicode MS" w:eastAsia="Arial Unicode MS" w:hAnsi="Arial Unicode MS" w:cs="Arial Unicode MS"/>
          <w:color w:val="000000"/>
          <w:kern w:val="0"/>
          <w:sz w:val="24"/>
          <w:szCs w:val="24"/>
          <w:lang w:val="uk-UA"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 (Величина відносної</w:t>
      </w:r>
    </w:p>
    <w:p w:rsidR="00B1119F" w:rsidRPr="00B1119F" w:rsidRDefault="00B1119F" w:rsidP="00B1119F">
      <w:pPr>
        <w:tabs>
          <w:tab w:val="clear" w:pos="709"/>
        </w:tabs>
        <w:suppressAutoHyphens w:val="0"/>
        <w:spacing w:after="0" w:line="322" w:lineRule="exact"/>
        <w:ind w:firstLine="0"/>
        <w:jc w:val="center"/>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франшизи).</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Дослід </w:t>
      </w:r>
      <w:r w:rsidRPr="00B1119F">
        <w:rPr>
          <w:rFonts w:ascii="Times New Roman" w:eastAsia="Arial Unicode MS" w:hAnsi="Times New Roman" w:cs="Times New Roman"/>
          <w:color w:val="000000"/>
          <w:spacing w:val="-10"/>
          <w:kern w:val="0"/>
          <w:sz w:val="26"/>
          <w:szCs w:val="26"/>
          <w:lang w:val="uk-UA" w:eastAsia="uk-UA" w:bidi="uk-UA"/>
        </w:rPr>
        <w:t>№6</w:t>
      </w:r>
      <w:r w:rsidRPr="00B1119F">
        <w:rPr>
          <w:rFonts w:ascii="Arial Unicode MS" w:eastAsia="Arial Unicode MS" w:hAnsi="Arial Unicode MS" w:cs="Arial Unicode MS"/>
          <w:color w:val="000000"/>
          <w:kern w:val="0"/>
          <w:sz w:val="24"/>
          <w:szCs w:val="24"/>
          <w:lang w:val="uk-UA" w:eastAsia="uk-UA" w:bidi="uk-UA"/>
        </w:rPr>
        <w:t xml:space="preserve"> показує, що відновлення абсолютного значення доходу досягається при </w:t>
      </w:r>
      <w:r w:rsidRPr="00B1119F">
        <w:rPr>
          <w:rFonts w:ascii="Arial Unicode MS" w:eastAsia="Arial Unicode MS" w:hAnsi="Arial Unicode MS" w:cs="Arial Unicode MS"/>
          <w:color w:val="000000"/>
          <w:kern w:val="0"/>
          <w:sz w:val="24"/>
          <w:szCs w:val="24"/>
          <w:lang w:val="en-US" w:eastAsia="en-US" w:bidi="en-US"/>
        </w:rPr>
        <w:t>KSTFr</w:t>
      </w:r>
      <w:r w:rsidRPr="00B1119F">
        <w:rPr>
          <w:rFonts w:ascii="Arial Unicode MS" w:eastAsia="Arial Unicode MS" w:hAnsi="Arial Unicode MS" w:cs="Arial Unicode MS"/>
          <w:color w:val="000000"/>
          <w:kern w:val="0"/>
          <w:sz w:val="24"/>
          <w:szCs w:val="24"/>
          <w:lang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 xml:space="preserve">= 0,4 (40%). Якщо зберігаючи дане значення </w:t>
      </w:r>
      <w:r w:rsidRPr="00B1119F">
        <w:rPr>
          <w:rFonts w:ascii="Arial Unicode MS" w:eastAsia="Arial Unicode MS" w:hAnsi="Arial Unicode MS" w:cs="Arial Unicode MS"/>
          <w:color w:val="000000"/>
          <w:kern w:val="0"/>
          <w:sz w:val="24"/>
          <w:szCs w:val="24"/>
          <w:lang w:val="en-US" w:eastAsia="en-US" w:bidi="en-US"/>
        </w:rPr>
        <w:t>KSTFr</w:t>
      </w:r>
      <w:r w:rsidRPr="00B1119F">
        <w:rPr>
          <w:rFonts w:ascii="Arial Unicode MS" w:eastAsia="Arial Unicode MS" w:hAnsi="Arial Unicode MS" w:cs="Arial Unicode MS"/>
          <w:color w:val="000000"/>
          <w:kern w:val="0"/>
          <w:sz w:val="24"/>
          <w:szCs w:val="24"/>
          <w:lang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 xml:space="preserve">= 0,4, удвічі зменшити тарифи на страхування (дослід №7), то компанія втратить близько 4 млн. грн. доходу, відносні доходи зменшаться на </w:t>
      </w:r>
      <w:r w:rsidRPr="00B1119F">
        <w:rPr>
          <w:rFonts w:ascii="Times New Roman" w:eastAsia="Arial Unicode MS" w:hAnsi="Times New Roman" w:cs="Times New Roman"/>
          <w:color w:val="000000"/>
          <w:spacing w:val="-10"/>
          <w:kern w:val="0"/>
          <w:sz w:val="26"/>
          <w:szCs w:val="26"/>
          <w:lang w:val="uk-UA" w:eastAsia="uk-UA" w:bidi="uk-UA"/>
        </w:rPr>
        <w:t>10</w:t>
      </w:r>
      <w:r w:rsidRPr="00B1119F">
        <w:rPr>
          <w:rFonts w:ascii="Arial Unicode MS" w:eastAsia="Arial Unicode MS" w:hAnsi="Arial Unicode MS" w:cs="Arial Unicode MS"/>
          <w:color w:val="000000"/>
          <w:kern w:val="0"/>
          <w:sz w:val="24"/>
          <w:szCs w:val="24"/>
          <w:lang w:val="uk-UA" w:eastAsia="uk-UA" w:bidi="uk-UA"/>
        </w:rPr>
        <w:t>%.</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Лише при зменшенні тарифів у 4 рази абсолютні доходи зменшаться до 1,2 млн. грн., відносні доходи - до рівня 60,55%. При цьому імовірність збиткової діяльності складатиме 0,02%. Зауважимо, що частка франшизи у погашенні збитків (відносно премій) за таких умов збільшується в чотири рази. Про адекватність побудованої моделі свідчить узгодженість результатів моделювання з вихідними статистичними даними.</w:t>
      </w:r>
    </w:p>
    <w:p w:rsidR="00B1119F" w:rsidRPr="00B1119F" w:rsidRDefault="00B1119F" w:rsidP="00B1119F">
      <w:pPr>
        <w:tabs>
          <w:tab w:val="clear" w:pos="709"/>
        </w:tabs>
        <w:suppressAutoHyphens w:val="0"/>
        <w:spacing w:after="349"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Отже, запропонована методика моделювання за допомогою варіантизації використання франшизи дозволяє оптимізувати тарифну політику страхової компанії. Результати досліджень свідчать про те, що зменшення розміру тарифу на 40% від величини відносної франшизи дозволяє зберегти абсолютну величину доходів компанії (відносно розміру доходів при відмові від застосування франшизи).</w:t>
      </w:r>
    </w:p>
    <w:p w:rsidR="00B1119F" w:rsidRPr="00B1119F" w:rsidRDefault="00B1119F" w:rsidP="00B1119F">
      <w:pPr>
        <w:keepNext/>
        <w:keepLines/>
        <w:tabs>
          <w:tab w:val="clear" w:pos="709"/>
        </w:tabs>
        <w:suppressAutoHyphens w:val="0"/>
        <w:spacing w:after="313" w:line="260" w:lineRule="exact"/>
        <w:ind w:firstLine="0"/>
        <w:jc w:val="center"/>
        <w:outlineLvl w:val="1"/>
        <w:rPr>
          <w:rFonts w:ascii="Times New Roman" w:eastAsia="Times New Roman" w:hAnsi="Times New Roman" w:cs="Times New Roman"/>
          <w:b/>
          <w:bCs/>
          <w:kern w:val="0"/>
          <w:sz w:val="26"/>
          <w:szCs w:val="26"/>
          <w:lang w:val="uk-UA" w:eastAsia="uk-UA" w:bidi="uk-UA"/>
        </w:rPr>
      </w:pPr>
      <w:bookmarkStart w:id="5" w:name="bookmark5"/>
      <w:r w:rsidRPr="00B1119F">
        <w:rPr>
          <w:rFonts w:ascii="Times New Roman" w:eastAsia="Times New Roman" w:hAnsi="Times New Roman" w:cs="Times New Roman"/>
          <w:b/>
          <w:bCs/>
          <w:color w:val="000000"/>
          <w:kern w:val="0"/>
          <w:sz w:val="26"/>
          <w:szCs w:val="26"/>
          <w:lang w:val="uk-UA" w:eastAsia="uk-UA" w:bidi="uk-UA"/>
        </w:rPr>
        <w:t>ВИСНОВКИ</w:t>
      </w:r>
      <w:bookmarkEnd w:id="5"/>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У дисертації здійснено теоретичне узагальнення та реалізовано авторський підхід щодо вирішення важливого наукового завдання, яке полягає в розвитку теоретичних положень та удосконаленні науково-методичних підходів до організації системи реалізації страхових продуктів. Результати дослідження дозволили сформулювати такі основні висновки:</w:t>
      </w:r>
    </w:p>
    <w:p w:rsidR="00B1119F" w:rsidRPr="00B1119F" w:rsidRDefault="00B1119F" w:rsidP="00B1119F">
      <w:pPr>
        <w:numPr>
          <w:ilvl w:val="0"/>
          <w:numId w:val="16"/>
        </w:numPr>
        <w:tabs>
          <w:tab w:val="clear" w:pos="709"/>
          <w:tab w:val="left" w:pos="1096"/>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Страховий продукт є різновидом страхових послуг, який втілюється у вигляді </w:t>
      </w:r>
      <w:r w:rsidRPr="00B1119F">
        <w:rPr>
          <w:rFonts w:ascii="Arial Unicode MS" w:eastAsia="Arial Unicode MS" w:hAnsi="Arial Unicode MS" w:cs="Arial Unicode MS"/>
          <w:color w:val="000000"/>
          <w:kern w:val="0"/>
          <w:sz w:val="24"/>
          <w:szCs w:val="24"/>
          <w:lang w:eastAsia="ru-RU" w:bidi="ru-RU"/>
        </w:rPr>
        <w:t xml:space="preserve">комплексного </w:t>
      </w:r>
      <w:r w:rsidRPr="00B1119F">
        <w:rPr>
          <w:rFonts w:ascii="Arial Unicode MS" w:eastAsia="Arial Unicode MS" w:hAnsi="Arial Unicode MS" w:cs="Arial Unicode MS"/>
          <w:color w:val="000000"/>
          <w:kern w:val="0"/>
          <w:sz w:val="24"/>
          <w:szCs w:val="24"/>
          <w:lang w:val="uk-UA" w:eastAsia="uk-UA" w:bidi="uk-UA"/>
        </w:rPr>
        <w:t>страхового покриття, що надається страховою компанією і призначене для найбільш повного задоволення потреб страхувальника, застрахованого (вигодонабувача) та третіх осіб через надання їм страхового захисту на обумовлених сторонами умовах, у визначених ними обсягах та/або згідно з чинним законодавством, що досягається за рахунок надання основних і допоміжних послуг, як при укладанні договору страхування, так і в ході його супроводження.</w:t>
      </w:r>
    </w:p>
    <w:p w:rsidR="00B1119F" w:rsidRPr="00B1119F" w:rsidRDefault="00B1119F" w:rsidP="00B1119F">
      <w:pPr>
        <w:numPr>
          <w:ilvl w:val="0"/>
          <w:numId w:val="16"/>
        </w:numPr>
        <w:tabs>
          <w:tab w:val="clear" w:pos="709"/>
          <w:tab w:val="left" w:pos="1096"/>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Систематизація наявних видів страхових продуктів на основі виокремлення таких класифікаційних ознак, </w:t>
      </w:r>
      <w:r w:rsidRPr="00B1119F">
        <w:rPr>
          <w:rFonts w:ascii="Arial Unicode MS" w:eastAsia="Arial Unicode MS" w:hAnsi="Arial Unicode MS" w:cs="Arial Unicode MS"/>
          <w:color w:val="000000"/>
          <w:kern w:val="0"/>
          <w:sz w:val="24"/>
          <w:szCs w:val="24"/>
          <w:lang w:val="uk-UA" w:eastAsia="ru-RU" w:bidi="ru-RU"/>
        </w:rPr>
        <w:t xml:space="preserve">як: </w:t>
      </w:r>
      <w:r w:rsidRPr="00B1119F">
        <w:rPr>
          <w:rFonts w:ascii="Arial Unicode MS" w:eastAsia="Arial Unicode MS" w:hAnsi="Arial Unicode MS" w:cs="Arial Unicode MS"/>
          <w:color w:val="000000"/>
          <w:kern w:val="0"/>
          <w:sz w:val="24"/>
          <w:szCs w:val="24"/>
          <w:lang w:val="uk-UA" w:eastAsia="uk-UA" w:bidi="uk-UA"/>
        </w:rPr>
        <w:t>сегмент страхового ринку, контингент споживачів, потреби клієнтів, тривалість страхового захисту, форма надання, обсяг страхового покриття та наявність додаткових послуг, принцип маркетингової взаємодії, рівень прибутковості, ступінь інноваційності, характер новизни, дозволяє враховувати особливості страхового продукту в процесі його просування.</w:t>
      </w:r>
    </w:p>
    <w:p w:rsidR="00B1119F" w:rsidRPr="00B1119F" w:rsidRDefault="00B1119F" w:rsidP="00B1119F">
      <w:pPr>
        <w:numPr>
          <w:ilvl w:val="0"/>
          <w:numId w:val="16"/>
        </w:numPr>
        <w:tabs>
          <w:tab w:val="clear" w:pos="709"/>
          <w:tab w:val="left" w:pos="1096"/>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Застосування процесно-орієнтованого підходу до тлумачення системи реалізації страхових продуктів дає змогу трактувати її як впорядковану сукупність бізнес-процесів, спрямованих на пошук потенційних споживачів та формування ефективних каналів збуту страхових продуктів, покликаних забезпечувати їх </w:t>
      </w:r>
      <w:r w:rsidRPr="00B1119F">
        <w:rPr>
          <w:rFonts w:ascii="Arial Unicode MS" w:eastAsia="Arial Unicode MS" w:hAnsi="Arial Unicode MS" w:cs="Arial Unicode MS"/>
          <w:color w:val="000000"/>
          <w:kern w:val="0"/>
          <w:sz w:val="24"/>
          <w:szCs w:val="24"/>
          <w:lang w:val="uk-UA" w:eastAsia="ru-RU" w:bidi="ru-RU"/>
        </w:rPr>
        <w:t xml:space="preserve">продаж </w:t>
      </w:r>
      <w:r w:rsidRPr="00B1119F">
        <w:rPr>
          <w:rFonts w:ascii="Arial Unicode MS" w:eastAsia="Arial Unicode MS" w:hAnsi="Arial Unicode MS" w:cs="Arial Unicode MS"/>
          <w:color w:val="000000"/>
          <w:kern w:val="0"/>
          <w:sz w:val="24"/>
          <w:szCs w:val="24"/>
          <w:lang w:val="uk-UA" w:eastAsia="uk-UA" w:bidi="uk-UA"/>
        </w:rPr>
        <w:t>із урахуванням наявної продуктової лінійки, даних щодо попиту цільових груп на страхові продукти, що опирається на застосування напрацьованих алгоритмів діяльності та встановлення стійких і взаємовигідних зв’язків страховика з клієнтом із метою задоволення їх страхових інтересів на кожному з трьох послідовних етапів взаємодії: підготовчому, комерціалізації та супроводжувальному.</w:t>
      </w:r>
    </w:p>
    <w:p w:rsidR="00B1119F" w:rsidRPr="00B1119F" w:rsidRDefault="00B1119F" w:rsidP="00B1119F">
      <w:pPr>
        <w:numPr>
          <w:ilvl w:val="0"/>
          <w:numId w:val="16"/>
        </w:numPr>
        <w:tabs>
          <w:tab w:val="clear" w:pos="709"/>
          <w:tab w:val="left" w:pos="1136"/>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ru-RU" w:bidi="ru-RU"/>
        </w:rPr>
        <w:t xml:space="preserve">Уточнена </w:t>
      </w:r>
      <w:r w:rsidRPr="00B1119F">
        <w:rPr>
          <w:rFonts w:ascii="Arial Unicode MS" w:eastAsia="Arial Unicode MS" w:hAnsi="Arial Unicode MS" w:cs="Arial Unicode MS"/>
          <w:color w:val="000000"/>
          <w:kern w:val="0"/>
          <w:sz w:val="24"/>
          <w:szCs w:val="24"/>
          <w:lang w:val="uk-UA" w:eastAsia="uk-UA" w:bidi="uk-UA"/>
        </w:rPr>
        <w:t xml:space="preserve">класифікація каналів збуту страхових продуктів, яка передбачає виокремлення таких класифікаційних критеріїв, як: рівень активності (активні, пасивні, комбіновані); рівень залежності (залежні, незалежні); ступінь новизни підходів до збуту страхових продуктів (традиційні, нові); специфіка укладання страхових договорів (прямі продажі, непрямі продажі); метод організації збуту (власний продаж, </w:t>
      </w:r>
      <w:r w:rsidRPr="00B1119F">
        <w:rPr>
          <w:rFonts w:ascii="Arial Unicode MS" w:eastAsia="Arial Unicode MS" w:hAnsi="Arial Unicode MS" w:cs="Arial Unicode MS"/>
          <w:color w:val="000000"/>
          <w:kern w:val="0"/>
          <w:sz w:val="24"/>
          <w:szCs w:val="24"/>
          <w:lang w:val="uk-UA" w:eastAsia="ru-RU" w:bidi="ru-RU"/>
        </w:rPr>
        <w:t xml:space="preserve">аутсорсинг); </w:t>
      </w:r>
      <w:r w:rsidRPr="00B1119F">
        <w:rPr>
          <w:rFonts w:ascii="Arial Unicode MS" w:eastAsia="Arial Unicode MS" w:hAnsi="Arial Unicode MS" w:cs="Arial Unicode MS"/>
          <w:color w:val="000000"/>
          <w:kern w:val="0"/>
          <w:sz w:val="24"/>
          <w:szCs w:val="24"/>
          <w:lang w:val="uk-UA" w:eastAsia="uk-UA" w:bidi="uk-UA"/>
        </w:rPr>
        <w:t>форма зв’язку зі страхувальниками (безпосередня реалізація в офісах страхової компанії; реалізація через страхових посередників; реалізація через альтернативну мережу розповсюдження) сприяє оптимізації їх вибору.</w:t>
      </w:r>
    </w:p>
    <w:p w:rsidR="00B1119F" w:rsidRPr="00B1119F" w:rsidRDefault="00B1119F" w:rsidP="00B1119F">
      <w:pPr>
        <w:numPr>
          <w:ilvl w:val="0"/>
          <w:numId w:val="16"/>
        </w:numPr>
        <w:tabs>
          <w:tab w:val="clear" w:pos="709"/>
          <w:tab w:val="left" w:pos="1136"/>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Продаж страхових продуктів вітчизняними страховиками характеризується такими особливостями, </w:t>
      </w:r>
      <w:r w:rsidRPr="00B1119F">
        <w:rPr>
          <w:rFonts w:ascii="Arial Unicode MS" w:eastAsia="Arial Unicode MS" w:hAnsi="Arial Unicode MS" w:cs="Arial Unicode MS"/>
          <w:color w:val="000000"/>
          <w:kern w:val="0"/>
          <w:sz w:val="24"/>
          <w:szCs w:val="24"/>
          <w:lang w:eastAsia="ru-RU" w:bidi="ru-RU"/>
        </w:rPr>
        <w:t xml:space="preserve">як: </w:t>
      </w:r>
      <w:r w:rsidRPr="00B1119F">
        <w:rPr>
          <w:rFonts w:ascii="Arial Unicode MS" w:eastAsia="Arial Unicode MS" w:hAnsi="Arial Unicode MS" w:cs="Arial Unicode MS"/>
          <w:color w:val="000000"/>
          <w:kern w:val="0"/>
          <w:sz w:val="24"/>
          <w:szCs w:val="24"/>
          <w:lang w:val="uk-UA" w:eastAsia="uk-UA" w:bidi="uk-UA"/>
        </w:rPr>
        <w:t xml:space="preserve">переважання непрямого </w:t>
      </w:r>
      <w:r w:rsidRPr="00B1119F">
        <w:rPr>
          <w:rFonts w:ascii="Arial Unicode MS" w:eastAsia="Arial Unicode MS" w:hAnsi="Arial Unicode MS" w:cs="Arial Unicode MS"/>
          <w:color w:val="000000"/>
          <w:kern w:val="0"/>
          <w:sz w:val="24"/>
          <w:szCs w:val="24"/>
          <w:lang w:eastAsia="ru-RU" w:bidi="ru-RU"/>
        </w:rPr>
        <w:t xml:space="preserve">продажу </w:t>
      </w:r>
      <w:r w:rsidRPr="00B1119F">
        <w:rPr>
          <w:rFonts w:ascii="Arial Unicode MS" w:eastAsia="Arial Unicode MS" w:hAnsi="Arial Unicode MS" w:cs="Arial Unicode MS"/>
          <w:color w:val="000000"/>
          <w:kern w:val="0"/>
          <w:sz w:val="24"/>
          <w:szCs w:val="24"/>
          <w:lang w:val="uk-UA" w:eastAsia="uk-UA" w:bidi="uk-UA"/>
        </w:rPr>
        <w:t xml:space="preserve">через агентські мережі в структурі каналів збуту страхових продуктів; домінування автострахування та туристичного страхування порівняно з іншими видами страхових продуктів; зростання продажу страхових продуктів добровільного характеру; збільшення обсягів продажу страхових продуктів через мережу Інтернет; незатребуваність </w:t>
      </w:r>
      <w:r w:rsidRPr="00B1119F">
        <w:rPr>
          <w:rFonts w:ascii="Arial Unicode MS" w:eastAsia="Arial Unicode MS" w:hAnsi="Arial Unicode MS" w:cs="Arial Unicode MS"/>
          <w:color w:val="000000"/>
          <w:kern w:val="0"/>
          <w:sz w:val="24"/>
          <w:szCs w:val="24"/>
          <w:lang w:eastAsia="ru-RU" w:bidi="ru-RU"/>
        </w:rPr>
        <w:t xml:space="preserve">телемаркетингу </w:t>
      </w:r>
      <w:r w:rsidRPr="00B1119F">
        <w:rPr>
          <w:rFonts w:ascii="Arial Unicode MS" w:eastAsia="Arial Unicode MS" w:hAnsi="Arial Unicode MS" w:cs="Arial Unicode MS"/>
          <w:color w:val="000000"/>
          <w:kern w:val="0"/>
          <w:sz w:val="24"/>
          <w:szCs w:val="24"/>
          <w:lang w:val="uk-UA" w:eastAsia="uk-UA" w:bidi="uk-UA"/>
        </w:rPr>
        <w:t>як інструменту збуту страхових продуктів.</w:t>
      </w:r>
    </w:p>
    <w:p w:rsidR="00B1119F" w:rsidRPr="00B1119F" w:rsidRDefault="00B1119F" w:rsidP="00B1119F">
      <w:pPr>
        <w:numPr>
          <w:ilvl w:val="0"/>
          <w:numId w:val="16"/>
        </w:numPr>
        <w:tabs>
          <w:tab w:val="clear" w:pos="709"/>
          <w:tab w:val="left" w:pos="1136"/>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Застосування п’ятифакторної мультиплікативної моделі фінансової стійкості страхової компанії дозволяє визначити вплив на коефіцієнт автономії страхової компанії таких факторів, як: </w:t>
      </w:r>
      <w:r w:rsidRPr="00B1119F">
        <w:rPr>
          <w:rFonts w:ascii="Times New Roman" w:eastAsia="Arial Unicode MS" w:hAnsi="Times New Roman" w:cs="Times New Roman"/>
          <w:color w:val="000000"/>
          <w:spacing w:val="-10"/>
          <w:kern w:val="0"/>
          <w:sz w:val="26"/>
          <w:szCs w:val="26"/>
          <w:lang w:val="uk-UA" w:eastAsia="uk-UA" w:bidi="uk-UA"/>
        </w:rPr>
        <w:t>1</w:t>
      </w:r>
      <w:r w:rsidRPr="00B1119F">
        <w:rPr>
          <w:rFonts w:ascii="Arial Unicode MS" w:eastAsia="Arial Unicode MS" w:hAnsi="Arial Unicode MS" w:cs="Arial Unicode MS"/>
          <w:color w:val="000000"/>
          <w:kern w:val="0"/>
          <w:sz w:val="24"/>
          <w:szCs w:val="24"/>
          <w:lang w:val="uk-UA" w:eastAsia="uk-UA" w:bidi="uk-UA"/>
        </w:rPr>
        <w:t>) забезпеченість власними коштами; 2) достатність страхових резервів; 3) достатність страхових премій для здійснення страхових виплат; 4) частка страхових резервів, яка спрямовується на страхові виплати; 5) частка страхових резервів у загальному обсязі коштів страхової компанії.</w:t>
      </w:r>
    </w:p>
    <w:p w:rsidR="00B1119F" w:rsidRPr="00B1119F" w:rsidRDefault="00B1119F" w:rsidP="00B1119F">
      <w:pPr>
        <w:numPr>
          <w:ilvl w:val="0"/>
          <w:numId w:val="16"/>
        </w:numPr>
        <w:tabs>
          <w:tab w:val="clear" w:pos="709"/>
          <w:tab w:val="left" w:pos="1136"/>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Організація комплексного продажу страхових продуктів повинна ґрунтуватись на застосуванні науково-методичного підходу до обчислення величини індивідуального страхового тарифу для страхувальників із урахуванням трьох потенційних джерел економічно обґрунтованої знижки: антиселекції ризиків, дестимулювання страхового шахрайства та зниження витрат страхової компанії на залучення нових клієнтів.</w:t>
      </w:r>
    </w:p>
    <w:p w:rsidR="00B1119F" w:rsidRPr="00B1119F" w:rsidRDefault="00B1119F" w:rsidP="00B1119F">
      <w:pPr>
        <w:numPr>
          <w:ilvl w:val="0"/>
          <w:numId w:val="16"/>
        </w:numPr>
        <w:tabs>
          <w:tab w:val="clear" w:pos="709"/>
          <w:tab w:val="left" w:pos="1172"/>
        </w:tabs>
        <w:suppressAutoHyphens w:val="0"/>
        <w:spacing w:after="0" w:line="322" w:lineRule="exact"/>
        <w:ind w:firstLine="90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Основою формування клієнтоорієнтованого підходу до реалізації страхових продуктів є такий принцип роботи страхової компанії, що сприяє формуванню стійких перспективних довготривалих відносин із клієнтами, за допомогою підвищення їх лояльності, основою якого є прагнення зрозуміти і ефективно задовольнити потреби та очікування споживачів щодо продуктів компанії при збереженні інтересів страховика. Оптимальне співвідношення ціни, якості та асортименту страхових продуктів сприяє підвищенню лояльності клієнтів, що дає можливість збільшити обсяги комплексних продажів.</w:t>
      </w:r>
    </w:p>
    <w:p w:rsidR="00B1119F" w:rsidRPr="00B1119F" w:rsidRDefault="00B1119F" w:rsidP="00B1119F">
      <w:pPr>
        <w:numPr>
          <w:ilvl w:val="0"/>
          <w:numId w:val="16"/>
        </w:numPr>
        <w:tabs>
          <w:tab w:val="clear" w:pos="709"/>
          <w:tab w:val="left" w:pos="1136"/>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Оцінювання якості системи реалізації страхових продуктів необхідно здійснювати на основі розрахунку чотирьох груп індикаторів, які характеризують: 1) якість продуктового ряду; 2) якість аквізаційної діяльності; 3) фінансову стійкість страхових операцій; 4) ефективність використання ресурсного потенціалу страхової компанії.</w:t>
      </w:r>
    </w:p>
    <w:p w:rsidR="00B1119F" w:rsidRPr="00B1119F" w:rsidRDefault="00B1119F" w:rsidP="00B1119F">
      <w:pPr>
        <w:numPr>
          <w:ilvl w:val="0"/>
          <w:numId w:val="16"/>
        </w:numPr>
        <w:tabs>
          <w:tab w:val="clear" w:pos="709"/>
          <w:tab w:val="left" w:pos="1172"/>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Імітаційне моделювання граничного розміру франшизи дозволяє оптимізувати тарифну політику страхової компанії через врахування базової ставки страхового тарифу, імовірності настання страхового випадку, прогнозного обсягу збитків та на підставі цього стимулювати реалізацію страхових продуктів.</w:t>
      </w:r>
    </w:p>
    <w:p w:rsidR="00B1119F" w:rsidRPr="00B1119F" w:rsidRDefault="00B1119F" w:rsidP="00B1119F">
      <w:pPr>
        <w:tabs>
          <w:tab w:val="clear" w:pos="709"/>
        </w:tabs>
        <w:suppressAutoHyphens w:val="0"/>
        <w:spacing w:after="303" w:line="260" w:lineRule="exact"/>
        <w:ind w:left="20" w:firstLine="0"/>
        <w:jc w:val="center"/>
        <w:rPr>
          <w:rFonts w:ascii="Times New Roman" w:eastAsia="Times New Roman" w:hAnsi="Times New Roman" w:cs="Times New Roman"/>
          <w:b/>
          <w:bCs/>
          <w:kern w:val="0"/>
          <w:sz w:val="26"/>
          <w:szCs w:val="26"/>
          <w:lang w:val="uk-UA" w:eastAsia="uk-UA" w:bidi="uk-UA"/>
        </w:rPr>
      </w:pPr>
      <w:r w:rsidRPr="00B1119F">
        <w:rPr>
          <w:rFonts w:ascii="Times New Roman" w:eastAsia="Times New Roman" w:hAnsi="Times New Roman" w:cs="Times New Roman"/>
          <w:b/>
          <w:bCs/>
          <w:color w:val="000000"/>
          <w:kern w:val="0"/>
          <w:sz w:val="26"/>
          <w:szCs w:val="26"/>
          <w:lang w:eastAsia="ru-RU" w:bidi="ru-RU"/>
        </w:rPr>
        <w:t xml:space="preserve">СПИСОК </w:t>
      </w:r>
      <w:r w:rsidRPr="00B1119F">
        <w:rPr>
          <w:rFonts w:ascii="Times New Roman" w:eastAsia="Times New Roman" w:hAnsi="Times New Roman" w:cs="Times New Roman"/>
          <w:b/>
          <w:bCs/>
          <w:color w:val="000000"/>
          <w:kern w:val="0"/>
          <w:sz w:val="26"/>
          <w:szCs w:val="26"/>
          <w:lang w:val="uk-UA" w:eastAsia="uk-UA" w:bidi="uk-UA"/>
        </w:rPr>
        <w:t>ОПУБЛІКОВАНИХ ПРАЦЬ ЗА ТЕМОЮ ДИСЕРТАЦІЇ</w:t>
      </w:r>
    </w:p>
    <w:p w:rsidR="00B1119F" w:rsidRPr="00B1119F" w:rsidRDefault="00B1119F" w:rsidP="00B1119F">
      <w:pPr>
        <w:tabs>
          <w:tab w:val="clear" w:pos="709"/>
        </w:tabs>
        <w:suppressAutoHyphens w:val="0"/>
        <w:spacing w:after="0" w:line="322" w:lineRule="exact"/>
        <w:ind w:firstLine="760"/>
        <w:rPr>
          <w:rFonts w:ascii="Times New Roman" w:eastAsia="Times New Roman" w:hAnsi="Times New Roman" w:cs="Times New Roman"/>
          <w:b/>
          <w:bCs/>
          <w:kern w:val="0"/>
          <w:sz w:val="26"/>
          <w:szCs w:val="26"/>
          <w:lang w:val="uk-UA" w:eastAsia="uk-UA" w:bidi="uk-UA"/>
        </w:rPr>
      </w:pPr>
      <w:r w:rsidRPr="00B1119F">
        <w:rPr>
          <w:rFonts w:ascii="Times New Roman" w:eastAsia="Times New Roman" w:hAnsi="Times New Roman" w:cs="Times New Roman"/>
          <w:b/>
          <w:bCs/>
          <w:color w:val="000000"/>
          <w:kern w:val="0"/>
          <w:sz w:val="26"/>
          <w:szCs w:val="26"/>
          <w:lang w:val="uk-UA" w:eastAsia="uk-UA" w:bidi="uk-UA"/>
        </w:rPr>
        <w:t>Статті у фахових виданнях:</w:t>
      </w:r>
    </w:p>
    <w:p w:rsidR="00B1119F" w:rsidRPr="00B1119F" w:rsidRDefault="00B1119F" w:rsidP="00B1119F">
      <w:pPr>
        <w:numPr>
          <w:ilvl w:val="0"/>
          <w:numId w:val="17"/>
        </w:numPr>
        <w:tabs>
          <w:tab w:val="clear" w:pos="709"/>
          <w:tab w:val="left" w:pos="1074"/>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ru-RU" w:bidi="ru-RU"/>
        </w:rPr>
        <w:t xml:space="preserve">Ткаченко </w:t>
      </w:r>
      <w:r w:rsidRPr="00B1119F">
        <w:rPr>
          <w:rFonts w:ascii="Arial Unicode MS" w:eastAsia="Arial Unicode MS" w:hAnsi="Arial Unicode MS" w:cs="Arial Unicode MS"/>
          <w:color w:val="000000"/>
          <w:kern w:val="0"/>
          <w:sz w:val="24"/>
          <w:szCs w:val="24"/>
          <w:lang w:val="uk-UA" w:eastAsia="uk-UA" w:bidi="uk-UA"/>
        </w:rPr>
        <w:t xml:space="preserve">Н.В. Теоретичне обґрунтування відмінностей страхової послуги від страхового продукту / Н.В. </w:t>
      </w:r>
      <w:r w:rsidRPr="00B1119F">
        <w:rPr>
          <w:rFonts w:ascii="Arial Unicode MS" w:eastAsia="Arial Unicode MS" w:hAnsi="Arial Unicode MS" w:cs="Arial Unicode MS"/>
          <w:color w:val="000000"/>
          <w:kern w:val="0"/>
          <w:sz w:val="24"/>
          <w:szCs w:val="24"/>
          <w:lang w:val="uk-UA" w:eastAsia="ru-RU" w:bidi="ru-RU"/>
        </w:rPr>
        <w:t xml:space="preserve">Ткаченко, </w:t>
      </w:r>
      <w:r w:rsidRPr="00B1119F">
        <w:rPr>
          <w:rFonts w:ascii="Arial Unicode MS" w:eastAsia="Arial Unicode MS" w:hAnsi="Arial Unicode MS" w:cs="Arial Unicode MS"/>
          <w:color w:val="000000"/>
          <w:kern w:val="0"/>
          <w:sz w:val="24"/>
          <w:szCs w:val="24"/>
          <w:lang w:val="uk-UA" w:eastAsia="uk-UA" w:bidi="uk-UA"/>
        </w:rPr>
        <w:t xml:space="preserve">Н.П. Рябоконь // Вісник Університету банківської справи Національного банку України. - 2010. - № 3 (9). - С. 251-255. - 0,53 друк. арк. </w:t>
      </w:r>
      <w:r w:rsidRPr="00B1119F">
        <w:rPr>
          <w:rFonts w:ascii="Times New Roman" w:eastAsia="Arial Unicode MS" w:hAnsi="Times New Roman" w:cs="Times New Roman"/>
          <w:i/>
          <w:iCs/>
          <w:color w:val="000000"/>
          <w:kern w:val="0"/>
          <w:sz w:val="26"/>
          <w:szCs w:val="26"/>
          <w:lang w:val="uk-UA" w:eastAsia="uk-UA" w:bidi="uk-UA"/>
        </w:rPr>
        <w:t>(Особистий внесок здобувана</w:t>
      </w:r>
      <w:r w:rsidRPr="00B1119F">
        <w:rPr>
          <w:rFonts w:ascii="Arial Unicode MS" w:eastAsia="Arial Unicode MS" w:hAnsi="Arial Unicode MS" w:cs="Arial Unicode MS"/>
          <w:color w:val="000000"/>
          <w:kern w:val="0"/>
          <w:sz w:val="24"/>
          <w:szCs w:val="24"/>
          <w:lang w:val="uk-UA" w:eastAsia="uk-UA" w:bidi="uk-UA"/>
        </w:rPr>
        <w:t>: визначення страхового продукту та його особливостей - 0,43 друк. арк.).</w:t>
      </w:r>
    </w:p>
    <w:p w:rsidR="00B1119F" w:rsidRPr="00B1119F" w:rsidRDefault="00B1119F" w:rsidP="00B1119F">
      <w:pPr>
        <w:numPr>
          <w:ilvl w:val="0"/>
          <w:numId w:val="17"/>
        </w:numPr>
        <w:tabs>
          <w:tab w:val="clear" w:pos="709"/>
          <w:tab w:val="left" w:pos="1074"/>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Рябоконь Н.П. До питання про сутність поняття страхова послуга / Н.П. Рябоконь // Збірник наукових праць Черкаського державного технологічного університету. Серія: Економічні науки: Випуск 26: У 2-х частинах. - Черкаси: ЧДТУ,</w:t>
      </w:r>
    </w:p>
    <w:p w:rsidR="00B1119F" w:rsidRPr="00B1119F" w:rsidRDefault="00B1119F" w:rsidP="00B1119F">
      <w:pPr>
        <w:numPr>
          <w:ilvl w:val="0"/>
          <w:numId w:val="18"/>
        </w:numPr>
        <w:tabs>
          <w:tab w:val="clear" w:pos="709"/>
          <w:tab w:val="left" w:pos="746"/>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Частина І. - С. 207-212. - 0,71 друк. арк.</w:t>
      </w:r>
    </w:p>
    <w:p w:rsidR="00B1119F" w:rsidRPr="00B1119F" w:rsidRDefault="00B1119F" w:rsidP="00B1119F">
      <w:pPr>
        <w:numPr>
          <w:ilvl w:val="0"/>
          <w:numId w:val="17"/>
        </w:numPr>
        <w:tabs>
          <w:tab w:val="clear" w:pos="709"/>
          <w:tab w:val="left" w:pos="1074"/>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Рябоконь Н.П. Особливості взаємодії страхової компанії з нестраховими посередниками / Н.П. Рябоконь // </w:t>
      </w:r>
      <w:r w:rsidRPr="00B1119F">
        <w:rPr>
          <w:rFonts w:ascii="Arial Unicode MS" w:eastAsia="Arial Unicode MS" w:hAnsi="Arial Unicode MS" w:cs="Arial Unicode MS"/>
          <w:color w:val="000000"/>
          <w:kern w:val="0"/>
          <w:sz w:val="24"/>
          <w:szCs w:val="24"/>
          <w:lang w:eastAsia="ru-RU" w:bidi="ru-RU"/>
        </w:rPr>
        <w:t xml:space="preserve">Экономика Крыма: научно </w:t>
      </w:r>
      <w:r w:rsidRPr="00B1119F">
        <w:rPr>
          <w:rFonts w:ascii="Arial Unicode MS" w:eastAsia="Arial Unicode MS" w:hAnsi="Arial Unicode MS" w:cs="Arial Unicode MS"/>
          <w:color w:val="000000"/>
          <w:kern w:val="0"/>
          <w:sz w:val="24"/>
          <w:szCs w:val="24"/>
          <w:lang w:val="uk-UA" w:eastAsia="uk-UA" w:bidi="uk-UA"/>
        </w:rPr>
        <w:t xml:space="preserve">- </w:t>
      </w:r>
      <w:r w:rsidRPr="00B1119F">
        <w:rPr>
          <w:rFonts w:ascii="Arial Unicode MS" w:eastAsia="Arial Unicode MS" w:hAnsi="Arial Unicode MS" w:cs="Arial Unicode MS"/>
          <w:color w:val="000000"/>
          <w:kern w:val="0"/>
          <w:sz w:val="24"/>
          <w:szCs w:val="24"/>
          <w:lang w:eastAsia="ru-RU" w:bidi="ru-RU"/>
        </w:rPr>
        <w:t xml:space="preserve">практический журнал. - 2011. - №3(36). - С. 250-252. - 0,3 </w:t>
      </w:r>
      <w:r w:rsidRPr="00B1119F">
        <w:rPr>
          <w:rFonts w:ascii="Arial Unicode MS" w:eastAsia="Arial Unicode MS" w:hAnsi="Arial Unicode MS" w:cs="Arial Unicode MS"/>
          <w:color w:val="000000"/>
          <w:kern w:val="0"/>
          <w:sz w:val="24"/>
          <w:szCs w:val="24"/>
          <w:lang w:val="uk-UA" w:eastAsia="uk-UA" w:bidi="uk-UA"/>
        </w:rPr>
        <w:t xml:space="preserve">друк. </w:t>
      </w:r>
      <w:r w:rsidRPr="00B1119F">
        <w:rPr>
          <w:rFonts w:ascii="Arial Unicode MS" w:eastAsia="Arial Unicode MS" w:hAnsi="Arial Unicode MS" w:cs="Arial Unicode MS"/>
          <w:color w:val="000000"/>
          <w:kern w:val="0"/>
          <w:sz w:val="24"/>
          <w:szCs w:val="24"/>
          <w:lang w:eastAsia="ru-RU" w:bidi="ru-RU"/>
        </w:rPr>
        <w:t>арк.</w:t>
      </w:r>
    </w:p>
    <w:p w:rsidR="00B1119F" w:rsidRPr="00B1119F" w:rsidRDefault="00B1119F" w:rsidP="00B1119F">
      <w:pPr>
        <w:numPr>
          <w:ilvl w:val="0"/>
          <w:numId w:val="17"/>
        </w:numPr>
        <w:tabs>
          <w:tab w:val="clear" w:pos="709"/>
          <w:tab w:val="left" w:pos="1074"/>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ru-RU" w:bidi="ru-RU"/>
        </w:rPr>
        <w:t xml:space="preserve">Рябоконь Н.П. Система </w:t>
      </w:r>
      <w:r w:rsidRPr="00B1119F">
        <w:rPr>
          <w:rFonts w:ascii="Arial Unicode MS" w:eastAsia="Arial Unicode MS" w:hAnsi="Arial Unicode MS" w:cs="Arial Unicode MS"/>
          <w:color w:val="000000"/>
          <w:kern w:val="0"/>
          <w:sz w:val="24"/>
          <w:szCs w:val="24"/>
          <w:lang w:val="uk-UA" w:eastAsia="uk-UA" w:bidi="uk-UA"/>
        </w:rPr>
        <w:t>реалізації страхових продуктів: модифікація усталеного підходу / Н.П. Рябоконь // Вісник Університету банківської справи Національного банку України. - 2011. - № 3(12). - С. 272-275. - 0,5 друк. арк.</w:t>
      </w:r>
    </w:p>
    <w:p w:rsidR="00B1119F" w:rsidRPr="00B1119F" w:rsidRDefault="00B1119F" w:rsidP="00B1119F">
      <w:pPr>
        <w:numPr>
          <w:ilvl w:val="0"/>
          <w:numId w:val="17"/>
        </w:numPr>
        <w:tabs>
          <w:tab w:val="clear" w:pos="709"/>
          <w:tab w:val="left" w:pos="1074"/>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Рябоконь Н.П. Основні інструменти просування страхових продуктів / Н.П. Рябоконь // Збірник наукових праць Черкаського державного технологічного університету. Серія: Економічні </w:t>
      </w:r>
      <w:r w:rsidRPr="00B1119F">
        <w:rPr>
          <w:rFonts w:ascii="Arial Unicode MS" w:eastAsia="Arial Unicode MS" w:hAnsi="Arial Unicode MS" w:cs="Arial Unicode MS"/>
          <w:color w:val="000000"/>
          <w:kern w:val="0"/>
          <w:sz w:val="24"/>
          <w:szCs w:val="24"/>
          <w:lang w:eastAsia="ru-RU" w:bidi="ru-RU"/>
        </w:rPr>
        <w:t xml:space="preserve">науки: </w:t>
      </w:r>
      <w:r w:rsidRPr="00B1119F">
        <w:rPr>
          <w:rFonts w:ascii="Arial Unicode MS" w:eastAsia="Arial Unicode MS" w:hAnsi="Arial Unicode MS" w:cs="Arial Unicode MS"/>
          <w:color w:val="000000"/>
          <w:kern w:val="0"/>
          <w:sz w:val="24"/>
          <w:szCs w:val="24"/>
          <w:lang w:val="uk-UA" w:eastAsia="uk-UA" w:bidi="uk-UA"/>
        </w:rPr>
        <w:t xml:space="preserve">Випуск </w:t>
      </w:r>
      <w:r w:rsidRPr="00B1119F">
        <w:rPr>
          <w:rFonts w:ascii="Arial Unicode MS" w:eastAsia="Arial Unicode MS" w:hAnsi="Arial Unicode MS" w:cs="Arial Unicode MS"/>
          <w:color w:val="000000"/>
          <w:kern w:val="0"/>
          <w:sz w:val="24"/>
          <w:szCs w:val="24"/>
          <w:lang w:val="en-US" w:eastAsia="en-US" w:bidi="en-US"/>
        </w:rPr>
        <w:t xml:space="preserve">29: </w:t>
      </w:r>
      <w:r w:rsidRPr="00B1119F">
        <w:rPr>
          <w:rFonts w:ascii="Arial Unicode MS" w:eastAsia="Arial Unicode MS" w:hAnsi="Arial Unicode MS" w:cs="Arial Unicode MS"/>
          <w:color w:val="000000"/>
          <w:kern w:val="0"/>
          <w:sz w:val="24"/>
          <w:szCs w:val="24"/>
          <w:lang w:val="uk-UA" w:eastAsia="uk-UA" w:bidi="uk-UA"/>
        </w:rPr>
        <w:t>У 2-х частинах. - Черкаси: ЧДТУ,</w:t>
      </w:r>
    </w:p>
    <w:p w:rsidR="00B1119F" w:rsidRPr="00B1119F" w:rsidRDefault="00B1119F" w:rsidP="00B1119F">
      <w:pPr>
        <w:numPr>
          <w:ilvl w:val="0"/>
          <w:numId w:val="18"/>
        </w:numPr>
        <w:tabs>
          <w:tab w:val="clear" w:pos="709"/>
          <w:tab w:val="left" w:pos="746"/>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Частина ІІ. - С. 151-156. - 0,5 друк. арк.</w:t>
      </w:r>
    </w:p>
    <w:p w:rsidR="00B1119F" w:rsidRPr="00B1119F" w:rsidRDefault="00B1119F" w:rsidP="00B1119F">
      <w:pPr>
        <w:numPr>
          <w:ilvl w:val="0"/>
          <w:numId w:val="17"/>
        </w:numPr>
        <w:tabs>
          <w:tab w:val="clear" w:pos="709"/>
          <w:tab w:val="left" w:pos="1074"/>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Рябоконь Н.П. Прямі та непрямі канали збуту страхових продуктів відповідно до етапів його життєвого циклу / Н.П. Рябоконь // Вісник Хмельницького національного університету. Серія: Економічні науки. - 2012. - №1. - С. 162-166. - 0,42 друк. арк.</w:t>
      </w:r>
    </w:p>
    <w:p w:rsidR="00B1119F" w:rsidRPr="00B1119F" w:rsidRDefault="00B1119F" w:rsidP="00B1119F">
      <w:pPr>
        <w:numPr>
          <w:ilvl w:val="0"/>
          <w:numId w:val="17"/>
        </w:numPr>
        <w:tabs>
          <w:tab w:val="clear" w:pos="709"/>
          <w:tab w:val="left" w:pos="1074"/>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Рябоконь Н.П. Систематизація каналів продаж страхових продуктів / Н.П. Рябоконь // Проблеми і перспективи розвитку банківської системи України. -</w:t>
      </w:r>
    </w:p>
    <w:p w:rsidR="00B1119F" w:rsidRPr="00B1119F" w:rsidRDefault="00B1119F" w:rsidP="00B1119F">
      <w:pPr>
        <w:numPr>
          <w:ilvl w:val="0"/>
          <w:numId w:val="18"/>
        </w:numPr>
        <w:tabs>
          <w:tab w:val="clear" w:pos="709"/>
          <w:tab w:val="left" w:pos="746"/>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Випуск 34. - С.268-276. - 0,5 друк. арк.</w:t>
      </w:r>
    </w:p>
    <w:p w:rsidR="00B1119F" w:rsidRPr="00B1119F" w:rsidRDefault="00B1119F" w:rsidP="00B1119F">
      <w:pPr>
        <w:numPr>
          <w:ilvl w:val="0"/>
          <w:numId w:val="17"/>
        </w:numPr>
        <w:tabs>
          <w:tab w:val="clear" w:pos="709"/>
          <w:tab w:val="left" w:pos="1074"/>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Рябоконь Н.П. Особливості забезпечення якості системи реалізації страхових продуктів / Н.П. Рябоконь // Економічний форум. - 2012. - №2.- С. 439-444. - 0,42 друк. арк.</w:t>
      </w:r>
    </w:p>
    <w:p w:rsidR="00B1119F" w:rsidRPr="00B1119F" w:rsidRDefault="00B1119F" w:rsidP="00B1119F">
      <w:pPr>
        <w:numPr>
          <w:ilvl w:val="0"/>
          <w:numId w:val="17"/>
        </w:numPr>
        <w:tabs>
          <w:tab w:val="clear" w:pos="709"/>
          <w:tab w:val="left" w:pos="1074"/>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Рябоконь Н.П. До питання варіантів організації продаж страхових продуктів / Н.П. Рябоконь // Галицький економічний вісник. - 2012. - №4(37). - С. 76-82. - 0,49 друк. арк.</w:t>
      </w:r>
    </w:p>
    <w:p w:rsidR="00B1119F" w:rsidRPr="00B1119F" w:rsidRDefault="00B1119F" w:rsidP="00B1119F">
      <w:pPr>
        <w:numPr>
          <w:ilvl w:val="0"/>
          <w:numId w:val="17"/>
        </w:numPr>
        <w:tabs>
          <w:tab w:val="clear" w:pos="709"/>
          <w:tab w:val="left" w:pos="1178"/>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 xml:space="preserve">Ткаченко </w:t>
      </w:r>
      <w:r w:rsidRPr="00B1119F">
        <w:rPr>
          <w:rFonts w:ascii="Arial Unicode MS" w:eastAsia="Arial Unicode MS" w:hAnsi="Arial Unicode MS" w:cs="Arial Unicode MS"/>
          <w:color w:val="000000"/>
          <w:kern w:val="0"/>
          <w:sz w:val="24"/>
          <w:szCs w:val="24"/>
          <w:lang w:val="uk-UA" w:eastAsia="uk-UA" w:bidi="uk-UA"/>
        </w:rPr>
        <w:t xml:space="preserve">Н.В. Сучасний стан і розвиток продажів страхових продуктів вітчизняними страховиками / Н. В. Ткаченко, Н.П. Рябоконь // Фінансово-кредитна діяльність: проблеми теорії та практики. Збірник наукових праць. Випуск 1(12). Харківський інститут банківської справи. - 2012. - С. 113-120. - 0,58 друк. арк. </w:t>
      </w:r>
      <w:r w:rsidRPr="00B1119F">
        <w:rPr>
          <w:rFonts w:ascii="Times New Roman" w:eastAsia="Arial Unicode MS" w:hAnsi="Times New Roman" w:cs="Times New Roman"/>
          <w:i/>
          <w:iCs/>
          <w:color w:val="000000"/>
          <w:kern w:val="0"/>
          <w:sz w:val="26"/>
          <w:szCs w:val="26"/>
          <w:lang w:val="uk-UA" w:eastAsia="uk-UA" w:bidi="uk-UA"/>
        </w:rPr>
        <w:t>(Особистий внесок здобувана:</w:t>
      </w:r>
      <w:r w:rsidRPr="00B1119F">
        <w:rPr>
          <w:rFonts w:ascii="Arial Unicode MS" w:eastAsia="Arial Unicode MS" w:hAnsi="Arial Unicode MS" w:cs="Arial Unicode MS"/>
          <w:color w:val="000000"/>
          <w:kern w:val="0"/>
          <w:sz w:val="24"/>
          <w:szCs w:val="24"/>
          <w:lang w:val="uk-UA" w:eastAsia="uk-UA" w:bidi="uk-UA"/>
        </w:rPr>
        <w:t xml:space="preserve"> особливості реалізації страхових продуктів у розрізі окремих видів страхових продуктів та каналів їх просування- 0,48 друк. арк.).</w:t>
      </w:r>
    </w:p>
    <w:p w:rsidR="00B1119F" w:rsidRPr="00B1119F" w:rsidRDefault="00B1119F" w:rsidP="00B1119F">
      <w:pPr>
        <w:numPr>
          <w:ilvl w:val="0"/>
          <w:numId w:val="17"/>
        </w:numPr>
        <w:tabs>
          <w:tab w:val="clear" w:pos="709"/>
          <w:tab w:val="left" w:pos="1183"/>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ru-RU" w:bidi="ru-RU"/>
        </w:rPr>
        <w:t xml:space="preserve">Ткаченко </w:t>
      </w:r>
      <w:r w:rsidRPr="00B1119F">
        <w:rPr>
          <w:rFonts w:ascii="Arial Unicode MS" w:eastAsia="Arial Unicode MS" w:hAnsi="Arial Unicode MS" w:cs="Arial Unicode MS"/>
          <w:color w:val="000000"/>
          <w:kern w:val="0"/>
          <w:sz w:val="24"/>
          <w:szCs w:val="24"/>
          <w:lang w:val="uk-UA" w:eastAsia="uk-UA" w:bidi="uk-UA"/>
        </w:rPr>
        <w:t xml:space="preserve">Н.В. Принципи організації ефективних комплексних продажів у роздрібному страхуванні / Н.В. </w:t>
      </w:r>
      <w:r w:rsidRPr="00B1119F">
        <w:rPr>
          <w:rFonts w:ascii="Arial Unicode MS" w:eastAsia="Arial Unicode MS" w:hAnsi="Arial Unicode MS" w:cs="Arial Unicode MS"/>
          <w:color w:val="000000"/>
          <w:kern w:val="0"/>
          <w:sz w:val="24"/>
          <w:szCs w:val="24"/>
          <w:lang w:val="uk-UA" w:eastAsia="ru-RU" w:bidi="ru-RU"/>
        </w:rPr>
        <w:t xml:space="preserve">Ткаченко, </w:t>
      </w:r>
      <w:r w:rsidRPr="00B1119F">
        <w:rPr>
          <w:rFonts w:ascii="Arial Unicode MS" w:eastAsia="Arial Unicode MS" w:hAnsi="Arial Unicode MS" w:cs="Arial Unicode MS"/>
          <w:color w:val="000000"/>
          <w:kern w:val="0"/>
          <w:sz w:val="24"/>
          <w:szCs w:val="24"/>
          <w:lang w:val="uk-UA" w:eastAsia="uk-UA" w:bidi="uk-UA"/>
        </w:rPr>
        <w:t xml:space="preserve">Н.П. Рябоконь // Світ фінансів. - 2012. - №3. - С. 152-161. - 0,77 друк. арк. </w:t>
      </w:r>
      <w:r w:rsidRPr="00B1119F">
        <w:rPr>
          <w:rFonts w:ascii="Times New Roman" w:eastAsia="Arial Unicode MS" w:hAnsi="Times New Roman" w:cs="Times New Roman"/>
          <w:i/>
          <w:iCs/>
          <w:color w:val="000000"/>
          <w:kern w:val="0"/>
          <w:sz w:val="26"/>
          <w:szCs w:val="26"/>
          <w:lang w:val="uk-UA" w:eastAsia="uk-UA" w:bidi="uk-UA"/>
        </w:rPr>
        <w:t>(Особистий внесок здобувана:</w:t>
      </w:r>
      <w:r w:rsidRPr="00B1119F">
        <w:rPr>
          <w:rFonts w:ascii="Arial Unicode MS" w:eastAsia="Arial Unicode MS" w:hAnsi="Arial Unicode MS" w:cs="Arial Unicode MS"/>
          <w:color w:val="000000"/>
          <w:kern w:val="0"/>
          <w:sz w:val="24"/>
          <w:szCs w:val="24"/>
          <w:lang w:val="uk-UA" w:eastAsia="uk-UA" w:bidi="uk-UA"/>
        </w:rPr>
        <w:t xml:space="preserve"> визначення особливостей комплексних продажів, факторів, що впливають на ефективність їх організації та заходів їх стимулювання - 0,67 друк. арк.).</w:t>
      </w:r>
    </w:p>
    <w:p w:rsidR="00B1119F" w:rsidRPr="00B1119F" w:rsidRDefault="00B1119F" w:rsidP="00B1119F">
      <w:pPr>
        <w:numPr>
          <w:ilvl w:val="0"/>
          <w:numId w:val="17"/>
        </w:numPr>
        <w:tabs>
          <w:tab w:val="clear" w:pos="709"/>
          <w:tab w:val="left" w:pos="1195"/>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ru-RU" w:bidi="ru-RU"/>
        </w:rPr>
        <w:t xml:space="preserve">Ткаченко </w:t>
      </w:r>
      <w:r w:rsidRPr="00B1119F">
        <w:rPr>
          <w:rFonts w:ascii="Arial Unicode MS" w:eastAsia="Arial Unicode MS" w:hAnsi="Arial Unicode MS" w:cs="Arial Unicode MS"/>
          <w:color w:val="000000"/>
          <w:kern w:val="0"/>
          <w:sz w:val="24"/>
          <w:szCs w:val="24"/>
          <w:lang w:val="uk-UA" w:eastAsia="uk-UA" w:bidi="uk-UA"/>
        </w:rPr>
        <w:t xml:space="preserve">Н.В. Ефективність системи реалізації страхових продуктів у діяльності страховика / Н.В. </w:t>
      </w:r>
      <w:r w:rsidRPr="00B1119F">
        <w:rPr>
          <w:rFonts w:ascii="Arial Unicode MS" w:eastAsia="Arial Unicode MS" w:hAnsi="Arial Unicode MS" w:cs="Arial Unicode MS"/>
          <w:color w:val="000000"/>
          <w:kern w:val="0"/>
          <w:sz w:val="24"/>
          <w:szCs w:val="24"/>
          <w:lang w:val="uk-UA" w:eastAsia="ru-RU" w:bidi="ru-RU"/>
        </w:rPr>
        <w:t xml:space="preserve">Ткаченко, </w:t>
      </w:r>
      <w:r w:rsidRPr="00B1119F">
        <w:rPr>
          <w:rFonts w:ascii="Arial Unicode MS" w:eastAsia="Arial Unicode MS" w:hAnsi="Arial Unicode MS" w:cs="Arial Unicode MS"/>
          <w:color w:val="000000"/>
          <w:kern w:val="0"/>
          <w:sz w:val="24"/>
          <w:szCs w:val="24"/>
          <w:lang w:val="uk-UA" w:eastAsia="uk-UA" w:bidi="uk-UA"/>
        </w:rPr>
        <w:t xml:space="preserve">Н.П. Рябоконь // Вісник Тернопільського національного економічного університету. - 2013. - №1. - С. 122-133. - 0,44 др. арк. </w:t>
      </w:r>
      <w:r w:rsidRPr="00B1119F">
        <w:rPr>
          <w:rFonts w:ascii="Times New Roman" w:eastAsia="Arial Unicode MS" w:hAnsi="Times New Roman" w:cs="Times New Roman"/>
          <w:i/>
          <w:iCs/>
          <w:color w:val="000000"/>
          <w:kern w:val="0"/>
          <w:sz w:val="26"/>
          <w:szCs w:val="26"/>
          <w:lang w:val="uk-UA" w:eastAsia="uk-UA" w:bidi="uk-UA"/>
        </w:rPr>
        <w:t>(Особистий внесок здобувана:</w:t>
      </w:r>
      <w:r w:rsidRPr="00B1119F">
        <w:rPr>
          <w:rFonts w:ascii="Arial Unicode MS" w:eastAsia="Arial Unicode MS" w:hAnsi="Arial Unicode MS" w:cs="Arial Unicode MS"/>
          <w:color w:val="000000"/>
          <w:kern w:val="0"/>
          <w:sz w:val="24"/>
          <w:szCs w:val="24"/>
          <w:lang w:val="uk-UA" w:eastAsia="uk-UA" w:bidi="uk-UA"/>
        </w:rPr>
        <w:t xml:space="preserve"> визначення факторів, що впливають на ефективність системи реалізації страхових продуктів та її критеріїв оцінки - 0,34 друк. арк.).</w:t>
      </w:r>
    </w:p>
    <w:p w:rsidR="00B1119F" w:rsidRPr="00B1119F" w:rsidRDefault="00B1119F" w:rsidP="00B1119F">
      <w:pPr>
        <w:tabs>
          <w:tab w:val="clear" w:pos="709"/>
        </w:tabs>
        <w:suppressAutoHyphens w:val="0"/>
        <w:spacing w:after="0" w:line="322" w:lineRule="exact"/>
        <w:ind w:firstLine="760"/>
        <w:rPr>
          <w:rFonts w:ascii="Times New Roman" w:eastAsia="Times New Roman" w:hAnsi="Times New Roman" w:cs="Times New Roman"/>
          <w:b/>
          <w:bCs/>
          <w:kern w:val="0"/>
          <w:sz w:val="26"/>
          <w:szCs w:val="26"/>
          <w:lang w:val="uk-UA" w:eastAsia="uk-UA" w:bidi="uk-UA"/>
        </w:rPr>
      </w:pPr>
      <w:r w:rsidRPr="00B1119F">
        <w:rPr>
          <w:rFonts w:ascii="Times New Roman" w:eastAsia="Times New Roman" w:hAnsi="Times New Roman" w:cs="Times New Roman"/>
          <w:b/>
          <w:bCs/>
          <w:color w:val="000000"/>
          <w:kern w:val="0"/>
          <w:sz w:val="26"/>
          <w:szCs w:val="26"/>
          <w:lang w:val="uk-UA" w:eastAsia="uk-UA" w:bidi="uk-UA"/>
        </w:rPr>
        <w:t>Статті в зарубіжних періодичних виданнях:</w:t>
      </w:r>
    </w:p>
    <w:p w:rsidR="00B1119F" w:rsidRPr="00B1119F" w:rsidRDefault="00B1119F" w:rsidP="00B1119F">
      <w:pPr>
        <w:numPr>
          <w:ilvl w:val="0"/>
          <w:numId w:val="17"/>
        </w:numPr>
        <w:tabs>
          <w:tab w:val="clear" w:pos="709"/>
          <w:tab w:val="left" w:pos="1195"/>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Рябоконь Н.П. </w:t>
      </w:r>
      <w:r w:rsidRPr="00B1119F">
        <w:rPr>
          <w:rFonts w:ascii="Arial Unicode MS" w:eastAsia="Arial Unicode MS" w:hAnsi="Arial Unicode MS" w:cs="Arial Unicode MS"/>
          <w:color w:val="000000"/>
          <w:kern w:val="0"/>
          <w:sz w:val="24"/>
          <w:szCs w:val="24"/>
          <w:lang w:eastAsia="ru-RU" w:bidi="ru-RU"/>
        </w:rPr>
        <w:t xml:space="preserve">Научно-методический подход к оценке качества системы реализации страховых продуктов / Н.П. Рябоконь // Наука Красноярья. - 2013. - № 1(06). - С. 138-153.- 0,56 </w:t>
      </w:r>
      <w:r w:rsidRPr="00B1119F">
        <w:rPr>
          <w:rFonts w:ascii="Arial Unicode MS" w:eastAsia="Arial Unicode MS" w:hAnsi="Arial Unicode MS" w:cs="Arial Unicode MS"/>
          <w:color w:val="000000"/>
          <w:kern w:val="0"/>
          <w:sz w:val="24"/>
          <w:szCs w:val="24"/>
          <w:lang w:val="uk-UA" w:eastAsia="uk-UA" w:bidi="uk-UA"/>
        </w:rPr>
        <w:t xml:space="preserve">друк. </w:t>
      </w:r>
      <w:r w:rsidRPr="00B1119F">
        <w:rPr>
          <w:rFonts w:ascii="Arial Unicode MS" w:eastAsia="Arial Unicode MS" w:hAnsi="Arial Unicode MS" w:cs="Arial Unicode MS"/>
          <w:color w:val="000000"/>
          <w:kern w:val="0"/>
          <w:sz w:val="24"/>
          <w:szCs w:val="24"/>
          <w:lang w:eastAsia="ru-RU" w:bidi="ru-RU"/>
        </w:rPr>
        <w:t>арк.</w:t>
      </w:r>
    </w:p>
    <w:p w:rsidR="00B1119F" w:rsidRPr="00B1119F" w:rsidRDefault="00B1119F" w:rsidP="00B1119F">
      <w:pPr>
        <w:tabs>
          <w:tab w:val="clear" w:pos="709"/>
        </w:tabs>
        <w:suppressAutoHyphens w:val="0"/>
        <w:spacing w:after="0" w:line="322" w:lineRule="exact"/>
        <w:ind w:firstLine="760"/>
        <w:rPr>
          <w:rFonts w:ascii="Times New Roman" w:eastAsia="Times New Roman" w:hAnsi="Times New Roman" w:cs="Times New Roman"/>
          <w:b/>
          <w:bCs/>
          <w:kern w:val="0"/>
          <w:sz w:val="26"/>
          <w:szCs w:val="26"/>
          <w:lang w:val="uk-UA" w:eastAsia="uk-UA" w:bidi="uk-UA"/>
        </w:rPr>
      </w:pPr>
      <w:r w:rsidRPr="00B1119F">
        <w:rPr>
          <w:rFonts w:ascii="Times New Roman" w:eastAsia="Times New Roman" w:hAnsi="Times New Roman" w:cs="Times New Roman"/>
          <w:b/>
          <w:bCs/>
          <w:color w:val="000000"/>
          <w:kern w:val="0"/>
          <w:sz w:val="26"/>
          <w:szCs w:val="26"/>
          <w:lang w:val="uk-UA" w:eastAsia="uk-UA" w:bidi="uk-UA"/>
        </w:rPr>
        <w:t xml:space="preserve">Публікації </w:t>
      </w:r>
      <w:r w:rsidRPr="00B1119F">
        <w:rPr>
          <w:rFonts w:ascii="Times New Roman" w:eastAsia="Times New Roman" w:hAnsi="Times New Roman" w:cs="Times New Roman"/>
          <w:b/>
          <w:bCs/>
          <w:color w:val="000000"/>
          <w:kern w:val="0"/>
          <w:sz w:val="26"/>
          <w:szCs w:val="26"/>
          <w:lang w:eastAsia="ru-RU" w:bidi="ru-RU"/>
        </w:rPr>
        <w:t xml:space="preserve">в </w:t>
      </w:r>
      <w:r w:rsidRPr="00B1119F">
        <w:rPr>
          <w:rFonts w:ascii="Times New Roman" w:eastAsia="Times New Roman" w:hAnsi="Times New Roman" w:cs="Times New Roman"/>
          <w:b/>
          <w:bCs/>
          <w:color w:val="000000"/>
          <w:kern w:val="0"/>
          <w:sz w:val="26"/>
          <w:szCs w:val="26"/>
          <w:lang w:val="uk-UA" w:eastAsia="uk-UA" w:bidi="uk-UA"/>
        </w:rPr>
        <w:t>матеріалах науково-практичних конференцій:</w:t>
      </w:r>
    </w:p>
    <w:p w:rsidR="00B1119F" w:rsidRPr="00B1119F" w:rsidRDefault="00B1119F" w:rsidP="00B1119F">
      <w:pPr>
        <w:numPr>
          <w:ilvl w:val="0"/>
          <w:numId w:val="17"/>
        </w:numPr>
        <w:tabs>
          <w:tab w:val="clear" w:pos="709"/>
          <w:tab w:val="left" w:pos="1195"/>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Рябоконь Н.П. Реклама як інструмент просування страхових продуктів / </w:t>
      </w:r>
      <w:r w:rsidRPr="00B1119F">
        <w:rPr>
          <w:rFonts w:ascii="Arial Unicode MS" w:eastAsia="Arial Unicode MS" w:hAnsi="Arial Unicode MS" w:cs="Arial Unicode MS"/>
          <w:color w:val="000000"/>
          <w:kern w:val="0"/>
          <w:sz w:val="24"/>
          <w:szCs w:val="24"/>
          <w:lang w:val="uk-UA" w:eastAsia="ru-RU" w:bidi="ru-RU"/>
        </w:rPr>
        <w:t xml:space="preserve">Н.П. Рябоконь // </w:t>
      </w:r>
      <w:r w:rsidRPr="00B1119F">
        <w:rPr>
          <w:rFonts w:ascii="Arial Unicode MS" w:eastAsia="Arial Unicode MS" w:hAnsi="Arial Unicode MS" w:cs="Arial Unicode MS"/>
          <w:color w:val="000000"/>
          <w:kern w:val="0"/>
          <w:sz w:val="24"/>
          <w:szCs w:val="24"/>
          <w:lang w:val="uk-UA" w:eastAsia="uk-UA" w:bidi="uk-UA"/>
        </w:rPr>
        <w:t xml:space="preserve">Обік аналіз </w:t>
      </w:r>
      <w:r w:rsidRPr="00B1119F">
        <w:rPr>
          <w:rFonts w:ascii="Arial Unicode MS" w:eastAsia="Arial Unicode MS" w:hAnsi="Arial Unicode MS" w:cs="Arial Unicode MS"/>
          <w:color w:val="000000"/>
          <w:kern w:val="0"/>
          <w:sz w:val="24"/>
          <w:szCs w:val="24"/>
          <w:lang w:val="uk-UA" w:eastAsia="ru-RU" w:bidi="ru-RU"/>
        </w:rPr>
        <w:t xml:space="preserve">та контроль в </w:t>
      </w:r>
      <w:r w:rsidRPr="00B1119F">
        <w:rPr>
          <w:rFonts w:ascii="Arial Unicode MS" w:eastAsia="Arial Unicode MS" w:hAnsi="Arial Unicode MS" w:cs="Arial Unicode MS"/>
          <w:color w:val="000000"/>
          <w:kern w:val="0"/>
          <w:sz w:val="24"/>
          <w:szCs w:val="24"/>
          <w:lang w:val="uk-UA" w:eastAsia="uk-UA" w:bidi="uk-UA"/>
        </w:rPr>
        <w:t xml:space="preserve">управлінні підприємницькою діяльністю. Матеріали VII Міжнародної науково-практичної конференції : Черкаси, 14-15 квітня 2010 р.: у 2-х т. / відп. ред. В.М. </w:t>
      </w:r>
      <w:r w:rsidRPr="00B1119F">
        <w:rPr>
          <w:rFonts w:ascii="Arial Unicode MS" w:eastAsia="Arial Unicode MS" w:hAnsi="Arial Unicode MS" w:cs="Arial Unicode MS"/>
          <w:color w:val="000000"/>
          <w:kern w:val="0"/>
          <w:sz w:val="24"/>
          <w:szCs w:val="24"/>
          <w:lang w:eastAsia="ru-RU" w:bidi="ru-RU"/>
        </w:rPr>
        <w:t xml:space="preserve">Яценко. </w:t>
      </w:r>
      <w:r w:rsidRPr="00B1119F">
        <w:rPr>
          <w:rFonts w:ascii="Arial Unicode MS" w:eastAsia="Arial Unicode MS" w:hAnsi="Arial Unicode MS" w:cs="Arial Unicode MS"/>
          <w:color w:val="000000"/>
          <w:kern w:val="0"/>
          <w:sz w:val="24"/>
          <w:szCs w:val="24"/>
          <w:lang w:val="uk-UA" w:eastAsia="uk-UA" w:bidi="uk-UA"/>
        </w:rPr>
        <w:t xml:space="preserve">- Черкаси: ЧДТУ, 2010. - </w:t>
      </w:r>
      <w:r w:rsidRPr="00B1119F">
        <w:rPr>
          <w:rFonts w:ascii="Arial Unicode MS" w:eastAsia="Arial Unicode MS" w:hAnsi="Arial Unicode MS" w:cs="Arial Unicode MS"/>
          <w:color w:val="000000"/>
          <w:kern w:val="0"/>
          <w:sz w:val="24"/>
          <w:szCs w:val="24"/>
          <w:lang w:eastAsia="ru-RU" w:bidi="ru-RU"/>
        </w:rPr>
        <w:t xml:space="preserve">Том </w:t>
      </w:r>
      <w:r w:rsidRPr="00B1119F">
        <w:rPr>
          <w:rFonts w:ascii="Arial Unicode MS" w:eastAsia="Arial Unicode MS" w:hAnsi="Arial Unicode MS" w:cs="Arial Unicode MS"/>
          <w:color w:val="000000"/>
          <w:kern w:val="0"/>
          <w:sz w:val="24"/>
          <w:szCs w:val="24"/>
          <w:lang w:val="uk-UA" w:eastAsia="uk-UA" w:bidi="uk-UA"/>
        </w:rPr>
        <w:t xml:space="preserve">II. - С. </w:t>
      </w:r>
      <w:r w:rsidRPr="00B1119F">
        <w:rPr>
          <w:rFonts w:ascii="Arial Unicode MS" w:eastAsia="Arial Unicode MS" w:hAnsi="Arial Unicode MS" w:cs="Arial Unicode MS"/>
          <w:color w:val="000000"/>
          <w:kern w:val="0"/>
          <w:sz w:val="24"/>
          <w:szCs w:val="24"/>
          <w:lang w:eastAsia="ru-RU" w:bidi="ru-RU"/>
        </w:rPr>
        <w:t>156</w:t>
      </w:r>
      <w:r w:rsidRPr="00B1119F">
        <w:rPr>
          <w:rFonts w:ascii="Arial Unicode MS" w:eastAsia="Arial Unicode MS" w:hAnsi="Arial Unicode MS" w:cs="Arial Unicode MS"/>
          <w:color w:val="000000"/>
          <w:kern w:val="0"/>
          <w:sz w:val="24"/>
          <w:szCs w:val="24"/>
          <w:lang w:eastAsia="ru-RU" w:bidi="ru-RU"/>
        </w:rPr>
        <w:softHyphen/>
        <w:t>158.</w:t>
      </w:r>
      <w:r w:rsidRPr="00B1119F">
        <w:rPr>
          <w:rFonts w:ascii="Arial Unicode MS" w:eastAsia="Arial Unicode MS" w:hAnsi="Arial Unicode MS" w:cs="Arial Unicode MS"/>
          <w:color w:val="000000"/>
          <w:kern w:val="0"/>
          <w:sz w:val="24"/>
          <w:szCs w:val="24"/>
          <w:lang w:val="uk-UA" w:eastAsia="uk-UA" w:bidi="uk-UA"/>
        </w:rPr>
        <w:t xml:space="preserve"> - 0,14 друк. арк.</w:t>
      </w:r>
    </w:p>
    <w:p w:rsidR="00B1119F" w:rsidRPr="00B1119F" w:rsidRDefault="00B1119F" w:rsidP="00B1119F">
      <w:pPr>
        <w:numPr>
          <w:ilvl w:val="0"/>
          <w:numId w:val="17"/>
        </w:numPr>
        <w:tabs>
          <w:tab w:val="clear" w:pos="709"/>
          <w:tab w:val="left" w:pos="1195"/>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Ткаченко Н. В. Основні підходи до реалізації регіональних страхових проектів / Н. В. Ткаченко, Н.П. Рябоконь // Теорія і практика сучасної економіки: Матеріали XI Міжнародної науково-практичної конференції </w:t>
      </w:r>
      <w:r w:rsidRPr="00B1119F">
        <w:rPr>
          <w:rFonts w:ascii="Times New Roman" w:eastAsia="Arial Unicode MS" w:hAnsi="Times New Roman" w:cs="Times New Roman"/>
          <w:color w:val="000000"/>
          <w:spacing w:val="-10"/>
          <w:kern w:val="0"/>
          <w:sz w:val="26"/>
          <w:szCs w:val="26"/>
          <w:lang w:val="uk-UA" w:eastAsia="uk-UA" w:bidi="uk-UA"/>
        </w:rPr>
        <w:t>6-8</w:t>
      </w:r>
      <w:r w:rsidRPr="00B1119F">
        <w:rPr>
          <w:rFonts w:ascii="Arial Unicode MS" w:eastAsia="Arial Unicode MS" w:hAnsi="Arial Unicode MS" w:cs="Arial Unicode MS"/>
          <w:color w:val="000000"/>
          <w:kern w:val="0"/>
          <w:sz w:val="24"/>
          <w:szCs w:val="24"/>
          <w:lang w:val="uk-UA" w:eastAsia="uk-UA" w:bidi="uk-UA"/>
        </w:rPr>
        <w:t xml:space="preserve"> жовтня 2010 року / відп. ред. </w:t>
      </w:r>
      <w:r w:rsidRPr="00B1119F">
        <w:rPr>
          <w:rFonts w:ascii="Arial Unicode MS" w:eastAsia="Arial Unicode MS" w:hAnsi="Arial Unicode MS" w:cs="Arial Unicode MS"/>
          <w:color w:val="000000"/>
          <w:kern w:val="0"/>
          <w:sz w:val="24"/>
          <w:szCs w:val="24"/>
          <w:lang w:eastAsia="ru-RU" w:bidi="ru-RU"/>
        </w:rPr>
        <w:t xml:space="preserve">Хомяков </w:t>
      </w:r>
      <w:r w:rsidRPr="00B1119F">
        <w:rPr>
          <w:rFonts w:ascii="Arial Unicode MS" w:eastAsia="Arial Unicode MS" w:hAnsi="Arial Unicode MS" w:cs="Arial Unicode MS"/>
          <w:color w:val="000000"/>
          <w:kern w:val="0"/>
          <w:sz w:val="24"/>
          <w:szCs w:val="24"/>
          <w:lang w:val="en-US" w:eastAsia="en-US" w:bidi="en-US"/>
        </w:rPr>
        <w:t>B</w:t>
      </w:r>
      <w:r w:rsidRPr="00B1119F">
        <w:rPr>
          <w:rFonts w:ascii="Arial Unicode MS" w:eastAsia="Arial Unicode MS" w:hAnsi="Arial Unicode MS" w:cs="Arial Unicode MS"/>
          <w:color w:val="000000"/>
          <w:kern w:val="0"/>
          <w:sz w:val="24"/>
          <w:szCs w:val="24"/>
          <w:lang w:eastAsia="en-US" w:bidi="en-US"/>
        </w:rPr>
        <w:t>.</w:t>
      </w:r>
      <w:r w:rsidRPr="00B1119F">
        <w:rPr>
          <w:rFonts w:ascii="Arial Unicode MS" w:eastAsia="Arial Unicode MS" w:hAnsi="Arial Unicode MS" w:cs="Arial Unicode MS"/>
          <w:color w:val="000000"/>
          <w:kern w:val="0"/>
          <w:sz w:val="24"/>
          <w:szCs w:val="24"/>
          <w:lang w:val="en-US" w:eastAsia="en-US" w:bidi="en-US"/>
        </w:rPr>
        <w:t>I</w:t>
      </w:r>
      <w:r w:rsidRPr="00B1119F">
        <w:rPr>
          <w:rFonts w:ascii="Arial Unicode MS" w:eastAsia="Arial Unicode MS" w:hAnsi="Arial Unicode MS" w:cs="Arial Unicode MS"/>
          <w:color w:val="000000"/>
          <w:kern w:val="0"/>
          <w:sz w:val="24"/>
          <w:szCs w:val="24"/>
          <w:lang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 xml:space="preserve">- Черкаси: ЧДТУ, 2010, Т.2. - С.14-17. - 0,19 друк. арк. </w:t>
      </w:r>
      <w:r w:rsidRPr="00B1119F">
        <w:rPr>
          <w:rFonts w:ascii="Times New Roman" w:eastAsia="Arial Unicode MS" w:hAnsi="Times New Roman" w:cs="Times New Roman"/>
          <w:i/>
          <w:iCs/>
          <w:color w:val="000000"/>
          <w:kern w:val="0"/>
          <w:sz w:val="26"/>
          <w:szCs w:val="26"/>
          <w:lang w:val="uk-UA" w:eastAsia="uk-UA" w:bidi="uk-UA"/>
        </w:rPr>
        <w:t>(Особистий внесок здобувана:</w:t>
      </w:r>
      <w:r w:rsidRPr="00B1119F">
        <w:rPr>
          <w:rFonts w:ascii="Arial Unicode MS" w:eastAsia="Arial Unicode MS" w:hAnsi="Arial Unicode MS" w:cs="Arial Unicode MS"/>
          <w:color w:val="000000"/>
          <w:kern w:val="0"/>
          <w:sz w:val="24"/>
          <w:szCs w:val="24"/>
          <w:lang w:val="uk-UA" w:eastAsia="uk-UA" w:bidi="uk-UA"/>
        </w:rPr>
        <w:t xml:space="preserve"> особливості регіональних страхових проектів - 0,12 друк. арк.).</w:t>
      </w:r>
    </w:p>
    <w:p w:rsidR="00B1119F" w:rsidRPr="00B1119F" w:rsidRDefault="00B1119F" w:rsidP="00B1119F">
      <w:pPr>
        <w:numPr>
          <w:ilvl w:val="0"/>
          <w:numId w:val="17"/>
        </w:numPr>
        <w:tabs>
          <w:tab w:val="clear" w:pos="709"/>
          <w:tab w:val="left" w:pos="1195"/>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Ткаченко Н. В. Особливості просування масових страхових продуктів в умовах кризи / Н. В. </w:t>
      </w:r>
      <w:r w:rsidRPr="00B1119F">
        <w:rPr>
          <w:rFonts w:ascii="Arial Unicode MS" w:eastAsia="Arial Unicode MS" w:hAnsi="Arial Unicode MS" w:cs="Arial Unicode MS"/>
          <w:color w:val="000000"/>
          <w:kern w:val="0"/>
          <w:sz w:val="24"/>
          <w:szCs w:val="24"/>
          <w:lang w:val="uk-UA" w:eastAsia="ru-RU" w:bidi="ru-RU"/>
        </w:rPr>
        <w:t xml:space="preserve">Ткаченко, </w:t>
      </w:r>
      <w:r w:rsidRPr="00B1119F">
        <w:rPr>
          <w:rFonts w:ascii="Arial Unicode MS" w:eastAsia="Arial Unicode MS" w:hAnsi="Arial Unicode MS" w:cs="Arial Unicode MS"/>
          <w:color w:val="000000"/>
          <w:kern w:val="0"/>
          <w:sz w:val="24"/>
          <w:szCs w:val="24"/>
          <w:lang w:val="uk-UA" w:eastAsia="uk-UA" w:bidi="uk-UA"/>
        </w:rPr>
        <w:t xml:space="preserve">Н.П. Рябоконь // Банківська система України в умовах глобалізації фінансових ринків: Матеріали </w:t>
      </w:r>
      <w:r w:rsidRPr="00B1119F">
        <w:rPr>
          <w:rFonts w:ascii="Arial Unicode MS" w:eastAsia="Arial Unicode MS" w:hAnsi="Arial Unicode MS" w:cs="Arial Unicode MS"/>
          <w:color w:val="000000"/>
          <w:kern w:val="0"/>
          <w:sz w:val="24"/>
          <w:szCs w:val="24"/>
          <w:lang w:val="en-US" w:eastAsia="en-US" w:bidi="en-US"/>
        </w:rPr>
        <w:t>V</w:t>
      </w:r>
      <w:r w:rsidRPr="00B1119F">
        <w:rPr>
          <w:rFonts w:ascii="Arial Unicode MS" w:eastAsia="Arial Unicode MS" w:hAnsi="Arial Unicode MS" w:cs="Arial Unicode MS"/>
          <w:color w:val="000000"/>
          <w:kern w:val="0"/>
          <w:sz w:val="24"/>
          <w:szCs w:val="24"/>
          <w:lang w:val="uk-UA"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 xml:space="preserve">Міжнародної науково-практичної конференції 14-15 жовтня 2010 р. - Черкаси: ЧШС УБС НБУ, 2010. - С. 212-215. - 0,1 друк. арк. </w:t>
      </w:r>
      <w:r w:rsidRPr="00B1119F">
        <w:rPr>
          <w:rFonts w:ascii="Times New Roman" w:eastAsia="Arial Unicode MS" w:hAnsi="Times New Roman" w:cs="Times New Roman"/>
          <w:i/>
          <w:iCs/>
          <w:color w:val="000000"/>
          <w:kern w:val="0"/>
          <w:sz w:val="26"/>
          <w:szCs w:val="26"/>
          <w:lang w:val="uk-UA" w:eastAsia="uk-UA" w:bidi="uk-UA"/>
        </w:rPr>
        <w:t>(Особистий внесок здобувана:</w:t>
      </w:r>
      <w:r w:rsidRPr="00B1119F">
        <w:rPr>
          <w:rFonts w:ascii="Arial Unicode MS" w:eastAsia="Arial Unicode MS" w:hAnsi="Arial Unicode MS" w:cs="Arial Unicode MS"/>
          <w:color w:val="000000"/>
          <w:kern w:val="0"/>
          <w:sz w:val="24"/>
          <w:szCs w:val="24"/>
          <w:lang w:val="uk-UA" w:eastAsia="uk-UA" w:bidi="uk-UA"/>
        </w:rPr>
        <w:t xml:space="preserve"> чинники впливу на ефективність системи продажу масових страхових продуктів - 0,07 друк. арк.)</w:t>
      </w:r>
    </w:p>
    <w:p w:rsidR="00B1119F" w:rsidRPr="00B1119F" w:rsidRDefault="00B1119F" w:rsidP="00B1119F">
      <w:pPr>
        <w:numPr>
          <w:ilvl w:val="0"/>
          <w:numId w:val="17"/>
        </w:numPr>
        <w:tabs>
          <w:tab w:val="clear" w:pos="709"/>
          <w:tab w:val="left" w:pos="1195"/>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Рябоконь Н.П. Проблеми розвитку агентської мережі страхових компаній / Н.П. Рябоконь // Методи фінансового забезпечення стійкого економічного розвитку: Матеріали науково-практичної конференції 5-9 жовтня 2011 року. - м. Севастополь: СевНТУ, 2011. - С. 126-127. - 0,1 друк. арк.</w:t>
      </w:r>
    </w:p>
    <w:p w:rsidR="00B1119F" w:rsidRPr="00B1119F" w:rsidRDefault="00B1119F" w:rsidP="00B1119F">
      <w:pPr>
        <w:numPr>
          <w:ilvl w:val="0"/>
          <w:numId w:val="17"/>
        </w:numPr>
        <w:tabs>
          <w:tab w:val="clear" w:pos="709"/>
          <w:tab w:val="left" w:pos="1195"/>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Рябоконь Н.П. Особливості формування клієнтської бази страхових компаній / Н.П. Рябоконь // Теорія і практика сучасної економіки: Матеріали XII міжнародної науково-практичної конференції: 5-7 жовтня 2011 року / відп. ред. </w:t>
      </w:r>
      <w:r w:rsidRPr="00B1119F">
        <w:rPr>
          <w:rFonts w:ascii="Arial Unicode MS" w:eastAsia="Arial Unicode MS" w:hAnsi="Arial Unicode MS" w:cs="Arial Unicode MS"/>
          <w:color w:val="000000"/>
          <w:kern w:val="0"/>
          <w:sz w:val="24"/>
          <w:szCs w:val="24"/>
          <w:lang w:eastAsia="ru-RU" w:bidi="ru-RU"/>
        </w:rPr>
        <w:t xml:space="preserve">Хомяков </w:t>
      </w:r>
      <w:r w:rsidRPr="00B1119F">
        <w:rPr>
          <w:rFonts w:ascii="Arial Unicode MS" w:eastAsia="Arial Unicode MS" w:hAnsi="Arial Unicode MS" w:cs="Arial Unicode MS"/>
          <w:color w:val="000000"/>
          <w:kern w:val="0"/>
          <w:sz w:val="24"/>
          <w:szCs w:val="24"/>
          <w:lang w:val="en-US" w:eastAsia="en-US" w:bidi="en-US"/>
        </w:rPr>
        <w:t xml:space="preserve">B.I. </w:t>
      </w:r>
      <w:r w:rsidRPr="00B1119F">
        <w:rPr>
          <w:rFonts w:ascii="Arial Unicode MS" w:eastAsia="Arial Unicode MS" w:hAnsi="Arial Unicode MS" w:cs="Arial Unicode MS"/>
          <w:color w:val="000000"/>
          <w:kern w:val="0"/>
          <w:sz w:val="24"/>
          <w:szCs w:val="24"/>
          <w:lang w:val="uk-UA" w:eastAsia="uk-UA" w:bidi="uk-UA"/>
        </w:rPr>
        <w:t>- Черкаси: ЧДТУ, 2011. - С. 212-214. - 0,16 друк. арк.</w:t>
      </w:r>
    </w:p>
    <w:p w:rsidR="00B1119F" w:rsidRPr="00B1119F" w:rsidRDefault="00B1119F" w:rsidP="00B1119F">
      <w:pPr>
        <w:numPr>
          <w:ilvl w:val="0"/>
          <w:numId w:val="17"/>
        </w:numPr>
        <w:tabs>
          <w:tab w:val="clear" w:pos="709"/>
          <w:tab w:val="left" w:pos="1195"/>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Рябоконь Н.П. Сегментація ринку як основний підхід для позиціонування страхових продуктів / Н.П. Рябоконь // Банківська система України в умовах глобалізації фінансових ринків: Матеріали </w:t>
      </w:r>
      <w:r w:rsidRPr="00B1119F">
        <w:rPr>
          <w:rFonts w:ascii="Arial Unicode MS" w:eastAsia="Arial Unicode MS" w:hAnsi="Arial Unicode MS" w:cs="Arial Unicode MS"/>
          <w:color w:val="000000"/>
          <w:kern w:val="0"/>
          <w:sz w:val="24"/>
          <w:szCs w:val="24"/>
          <w:lang w:val="en-US" w:eastAsia="en-US" w:bidi="en-US"/>
        </w:rPr>
        <w:t>VI</w:t>
      </w:r>
      <w:r w:rsidRPr="00B1119F">
        <w:rPr>
          <w:rFonts w:ascii="Arial Unicode MS" w:eastAsia="Arial Unicode MS" w:hAnsi="Arial Unicode MS" w:cs="Arial Unicode MS"/>
          <w:color w:val="000000"/>
          <w:kern w:val="0"/>
          <w:sz w:val="24"/>
          <w:szCs w:val="24"/>
          <w:lang w:val="uk-UA" w:eastAsia="en-US" w:bidi="en-US"/>
        </w:rPr>
        <w:t xml:space="preserve"> </w:t>
      </w:r>
      <w:r w:rsidRPr="00B1119F">
        <w:rPr>
          <w:rFonts w:ascii="Arial Unicode MS" w:eastAsia="Arial Unicode MS" w:hAnsi="Arial Unicode MS" w:cs="Arial Unicode MS"/>
          <w:color w:val="000000"/>
          <w:kern w:val="0"/>
          <w:sz w:val="24"/>
          <w:szCs w:val="24"/>
          <w:lang w:val="uk-UA" w:eastAsia="uk-UA" w:bidi="uk-UA"/>
        </w:rPr>
        <w:t xml:space="preserve">Міжнародної науково-практичної конференції 20-21 жовтня 2011 р. - Черкаси: ЧШС УБС НБУ, 2011. - С. 204-206. - </w:t>
      </w:r>
      <w:r w:rsidRPr="00B1119F">
        <w:rPr>
          <w:rFonts w:ascii="Times New Roman" w:eastAsia="Arial Unicode MS" w:hAnsi="Times New Roman" w:cs="Times New Roman"/>
          <w:color w:val="000000"/>
          <w:spacing w:val="-10"/>
          <w:kern w:val="0"/>
          <w:sz w:val="26"/>
          <w:szCs w:val="26"/>
          <w:lang w:val="uk-UA" w:eastAsia="uk-UA" w:bidi="uk-UA"/>
        </w:rPr>
        <w:t>0,1</w:t>
      </w:r>
      <w:r w:rsidRPr="00B1119F">
        <w:rPr>
          <w:rFonts w:ascii="Arial Unicode MS" w:eastAsia="Arial Unicode MS" w:hAnsi="Arial Unicode MS" w:cs="Arial Unicode MS"/>
          <w:color w:val="000000"/>
          <w:kern w:val="0"/>
          <w:sz w:val="24"/>
          <w:szCs w:val="24"/>
          <w:lang w:val="uk-UA" w:eastAsia="uk-UA" w:bidi="uk-UA"/>
        </w:rPr>
        <w:t xml:space="preserve"> друк. арк.</w:t>
      </w:r>
    </w:p>
    <w:p w:rsidR="00B1119F" w:rsidRPr="00B1119F" w:rsidRDefault="00B1119F" w:rsidP="00B1119F">
      <w:pPr>
        <w:numPr>
          <w:ilvl w:val="0"/>
          <w:numId w:val="17"/>
        </w:numPr>
        <w:tabs>
          <w:tab w:val="clear" w:pos="709"/>
          <w:tab w:val="left" w:pos="1195"/>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Рябоконь Н.П. Виділення класифікаційних ознак страхових продуктів / Н.П. Рябоконь // Проблеми і перспективи розвитку банківської системи України: збірник тез доповідей XIV Всеукраїнської науково -практичної конференції 27-28 жовтня 2011 р.: у 2 т. / Державний вищий навчальний заклад «Українська академія банківської справи Національного банку України».- Суми: УАБС НБУ. - 2011. - Т. 1.</w:t>
      </w:r>
    </w:p>
    <w:p w:rsidR="00B1119F" w:rsidRPr="00B1119F" w:rsidRDefault="00B1119F" w:rsidP="00B1119F">
      <w:pPr>
        <w:numPr>
          <w:ilvl w:val="0"/>
          <w:numId w:val="13"/>
        </w:numPr>
        <w:tabs>
          <w:tab w:val="clear" w:pos="709"/>
          <w:tab w:val="left" w:pos="279"/>
        </w:tabs>
        <w:suppressAutoHyphens w:val="0"/>
        <w:spacing w:after="0" w:line="322"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С. 108-109. - 0,1 друк. арк.</w:t>
      </w:r>
    </w:p>
    <w:p w:rsidR="00B1119F" w:rsidRPr="00B1119F" w:rsidRDefault="00B1119F" w:rsidP="00B1119F">
      <w:pPr>
        <w:numPr>
          <w:ilvl w:val="0"/>
          <w:numId w:val="17"/>
        </w:numPr>
        <w:tabs>
          <w:tab w:val="clear" w:pos="709"/>
          <w:tab w:val="left" w:pos="1216"/>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 xml:space="preserve">Ткаченко </w:t>
      </w:r>
      <w:r w:rsidRPr="00B1119F">
        <w:rPr>
          <w:rFonts w:ascii="Arial Unicode MS" w:eastAsia="Arial Unicode MS" w:hAnsi="Arial Unicode MS" w:cs="Arial Unicode MS"/>
          <w:color w:val="000000"/>
          <w:kern w:val="0"/>
          <w:sz w:val="24"/>
          <w:szCs w:val="24"/>
          <w:lang w:val="uk-UA" w:eastAsia="uk-UA" w:bidi="uk-UA"/>
        </w:rPr>
        <w:t xml:space="preserve">Н. В. ІТ-технології як перспективний метод підтримки продаж страхової компанії / Н. В. </w:t>
      </w:r>
      <w:r w:rsidRPr="00B1119F">
        <w:rPr>
          <w:rFonts w:ascii="Arial Unicode MS" w:eastAsia="Arial Unicode MS" w:hAnsi="Arial Unicode MS" w:cs="Arial Unicode MS"/>
          <w:color w:val="000000"/>
          <w:kern w:val="0"/>
          <w:sz w:val="24"/>
          <w:szCs w:val="24"/>
          <w:lang w:eastAsia="ru-RU" w:bidi="ru-RU"/>
        </w:rPr>
        <w:t xml:space="preserve">Ткаченко, </w:t>
      </w:r>
      <w:r w:rsidRPr="00B1119F">
        <w:rPr>
          <w:rFonts w:ascii="Arial Unicode MS" w:eastAsia="Arial Unicode MS" w:hAnsi="Arial Unicode MS" w:cs="Arial Unicode MS"/>
          <w:color w:val="000000"/>
          <w:kern w:val="0"/>
          <w:sz w:val="24"/>
          <w:szCs w:val="24"/>
          <w:lang w:val="uk-UA" w:eastAsia="uk-UA" w:bidi="uk-UA"/>
        </w:rPr>
        <w:t xml:space="preserve">Н.П. Рябоконь // Методи та моделі фінансового забезпечення сталого економічного розвитку: Матеріали науково-практичної конференції 5-8 вересня 2012 року. - м. Севастополь: СевНТУ, 2012. - С. 47-49. - 0,13 друк. арк. </w:t>
      </w:r>
      <w:r w:rsidRPr="00B1119F">
        <w:rPr>
          <w:rFonts w:ascii="Times New Roman" w:eastAsia="Arial Unicode MS" w:hAnsi="Times New Roman" w:cs="Times New Roman"/>
          <w:i/>
          <w:iCs/>
          <w:color w:val="000000"/>
          <w:kern w:val="0"/>
          <w:sz w:val="26"/>
          <w:szCs w:val="26"/>
          <w:lang w:val="uk-UA" w:eastAsia="uk-UA" w:bidi="uk-UA"/>
        </w:rPr>
        <w:t>(Особистий внесок здобувана:</w:t>
      </w:r>
      <w:r w:rsidRPr="00B1119F">
        <w:rPr>
          <w:rFonts w:ascii="Arial Unicode MS" w:eastAsia="Arial Unicode MS" w:hAnsi="Arial Unicode MS" w:cs="Arial Unicode MS"/>
          <w:color w:val="000000"/>
          <w:kern w:val="0"/>
          <w:sz w:val="24"/>
          <w:szCs w:val="24"/>
          <w:lang w:val="uk-UA" w:eastAsia="uk-UA" w:bidi="uk-UA"/>
        </w:rPr>
        <w:t xml:space="preserve"> Особливості використання ІТ- технології в системі продажу страхових продуктів- 0,09 друк. арк.).</w:t>
      </w:r>
    </w:p>
    <w:p w:rsidR="00B1119F" w:rsidRPr="00B1119F" w:rsidRDefault="00B1119F" w:rsidP="00B1119F">
      <w:pPr>
        <w:numPr>
          <w:ilvl w:val="0"/>
          <w:numId w:val="17"/>
        </w:numPr>
        <w:tabs>
          <w:tab w:val="clear" w:pos="709"/>
          <w:tab w:val="left" w:pos="1216"/>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Рябоконь Н.П. Формування стратегії збуту страхових продуктів / Н.П. Рябоконь // Страховий ринок України в умовах фінансової глобалізації: збірник матеріалів Міжнародної науково-практичної конференції 10-12 жовтня 2012 р. - Київ: КНЕУ, 2012. - С. 185 - 187. - 0, 11 друк. арк.</w:t>
      </w:r>
    </w:p>
    <w:p w:rsidR="00B1119F" w:rsidRPr="00B1119F" w:rsidRDefault="00B1119F" w:rsidP="00B1119F">
      <w:pPr>
        <w:numPr>
          <w:ilvl w:val="0"/>
          <w:numId w:val="17"/>
        </w:numPr>
        <w:tabs>
          <w:tab w:val="clear" w:pos="709"/>
          <w:tab w:val="left" w:pos="1216"/>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Рябоконь Н.П. Внутрішній контроль як інструмент управління системою реалізації страхових продуктів / Н.П. Рябоконь // Обік аналіз та контроль в управлінні підприємницькою діяльністю: матеріали Х Міжнародної науково-практичної конференції : Черкаси, 15-16 травня 2013 р.: ред. В.М. </w:t>
      </w:r>
      <w:r w:rsidRPr="00B1119F">
        <w:rPr>
          <w:rFonts w:ascii="Arial Unicode MS" w:eastAsia="Arial Unicode MS" w:hAnsi="Arial Unicode MS" w:cs="Arial Unicode MS"/>
          <w:color w:val="000000"/>
          <w:kern w:val="0"/>
          <w:sz w:val="24"/>
          <w:szCs w:val="24"/>
          <w:lang w:eastAsia="ru-RU" w:bidi="ru-RU"/>
        </w:rPr>
        <w:t xml:space="preserve">Яценко. </w:t>
      </w:r>
      <w:r w:rsidRPr="00B1119F">
        <w:rPr>
          <w:rFonts w:ascii="Arial Unicode MS" w:eastAsia="Arial Unicode MS" w:hAnsi="Arial Unicode MS" w:cs="Arial Unicode MS"/>
          <w:color w:val="000000"/>
          <w:kern w:val="0"/>
          <w:sz w:val="24"/>
          <w:szCs w:val="24"/>
          <w:lang w:val="uk-UA" w:eastAsia="uk-UA" w:bidi="uk-UA"/>
        </w:rPr>
        <w:t>-Черкаси: ЧДТУ, 2013.</w:t>
      </w:r>
    </w:p>
    <w:p w:rsidR="00B1119F" w:rsidRPr="00B1119F" w:rsidRDefault="00B1119F" w:rsidP="00B1119F">
      <w:pPr>
        <w:numPr>
          <w:ilvl w:val="0"/>
          <w:numId w:val="13"/>
        </w:numPr>
        <w:tabs>
          <w:tab w:val="clear" w:pos="709"/>
          <w:tab w:val="left" w:pos="279"/>
        </w:tabs>
        <w:suppressAutoHyphens w:val="0"/>
        <w:spacing w:after="349" w:line="322"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С. 159-161. - 0,12 друк. арк.</w:t>
      </w:r>
    </w:p>
    <w:p w:rsidR="00B1119F" w:rsidRPr="00B1119F" w:rsidRDefault="00B1119F" w:rsidP="00B1119F">
      <w:pPr>
        <w:keepNext/>
        <w:keepLines/>
        <w:tabs>
          <w:tab w:val="clear" w:pos="709"/>
        </w:tabs>
        <w:suppressAutoHyphens w:val="0"/>
        <w:spacing w:after="303" w:line="260" w:lineRule="exact"/>
        <w:ind w:left="20" w:firstLine="0"/>
        <w:jc w:val="center"/>
        <w:outlineLvl w:val="1"/>
        <w:rPr>
          <w:rFonts w:ascii="Times New Roman" w:eastAsia="Times New Roman" w:hAnsi="Times New Roman" w:cs="Times New Roman"/>
          <w:b/>
          <w:bCs/>
          <w:kern w:val="0"/>
          <w:sz w:val="26"/>
          <w:szCs w:val="26"/>
          <w:lang w:val="uk-UA" w:eastAsia="uk-UA" w:bidi="uk-UA"/>
        </w:rPr>
      </w:pPr>
      <w:bookmarkStart w:id="6" w:name="bookmark6"/>
      <w:r w:rsidRPr="00B1119F">
        <w:rPr>
          <w:rFonts w:ascii="Times New Roman" w:eastAsia="Times New Roman" w:hAnsi="Times New Roman" w:cs="Times New Roman"/>
          <w:b/>
          <w:bCs/>
          <w:color w:val="000000"/>
          <w:kern w:val="0"/>
          <w:sz w:val="26"/>
          <w:szCs w:val="26"/>
          <w:lang w:val="uk-UA" w:eastAsia="uk-UA" w:bidi="uk-UA"/>
        </w:rPr>
        <w:t>АНОТАЦІЯ</w:t>
      </w:r>
      <w:bookmarkEnd w:id="6"/>
    </w:p>
    <w:p w:rsidR="00B1119F" w:rsidRPr="00B1119F" w:rsidRDefault="00B1119F" w:rsidP="00B1119F">
      <w:pPr>
        <w:keepNext/>
        <w:keepLines/>
        <w:tabs>
          <w:tab w:val="clear" w:pos="709"/>
        </w:tabs>
        <w:suppressAutoHyphens w:val="0"/>
        <w:spacing w:after="0" w:line="322" w:lineRule="exact"/>
        <w:ind w:firstLine="740"/>
        <w:outlineLvl w:val="1"/>
        <w:rPr>
          <w:rFonts w:ascii="Times New Roman" w:eastAsia="Times New Roman" w:hAnsi="Times New Roman" w:cs="Times New Roman"/>
          <w:b/>
          <w:bCs/>
          <w:kern w:val="0"/>
          <w:sz w:val="26"/>
          <w:szCs w:val="26"/>
          <w:lang w:val="uk-UA" w:eastAsia="uk-UA" w:bidi="uk-UA"/>
        </w:rPr>
      </w:pPr>
      <w:bookmarkStart w:id="7" w:name="bookmark7"/>
      <w:r w:rsidRPr="00B1119F">
        <w:rPr>
          <w:rFonts w:ascii="Times New Roman" w:eastAsia="Times New Roman" w:hAnsi="Times New Roman" w:cs="Times New Roman"/>
          <w:b/>
          <w:bCs/>
          <w:color w:val="000000"/>
          <w:kern w:val="0"/>
          <w:sz w:val="26"/>
          <w:szCs w:val="26"/>
          <w:lang w:val="uk-UA" w:eastAsia="uk-UA" w:bidi="uk-UA"/>
        </w:rPr>
        <w:t xml:space="preserve">Рябоконь Н.П. Система реалізації страхових продуктів. </w:t>
      </w:r>
      <w:r w:rsidRPr="00B1119F">
        <w:rPr>
          <w:rFonts w:ascii="Times New Roman" w:eastAsia="Times New Roman" w:hAnsi="Times New Roman" w:cs="Times New Roman"/>
          <w:color w:val="000000"/>
          <w:kern w:val="0"/>
          <w:sz w:val="26"/>
          <w:szCs w:val="26"/>
          <w:shd w:val="clear" w:color="auto" w:fill="FFFFFF"/>
          <w:lang w:eastAsia="en-US" w:bidi="en-US"/>
        </w:rPr>
        <w:t>- Рукопис.</w:t>
      </w:r>
      <w:bookmarkEnd w:id="7"/>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Дисертація на здобуття наукового ступеня кандидата економічних наук зі спеціальності 08.00.08 - гроші, фінанси і кредит / Університет банківської справи Національного банку України (м. Київ). - К., 2014.</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uk-UA" w:eastAsia="uk-UA" w:bidi="uk-UA"/>
        </w:rPr>
        <w:t xml:space="preserve">У дисертації розвинуто теоретичні засади та удосконалено науково -методичні підходи до організації системи реалізації страхових продуктів. Уточнено сутність поняття «страховий продукт» та його співвідношення із поняттям «страхова послуга». Систематизовано види страхових продуктів. На засадах процесно- орієнтованого підходу формалізовано систему реалізації страхових продуктів. Структуровано канали збуту страхових продуктів. Виявлено особливості продажу страхових продуктів вітчизняними страховиками. З’ясовано вплив продажу страхових продуктів у забезпеченні фінансової стійкості страхової компанії. Поглиблено науково-методичний підхід до організації </w:t>
      </w:r>
      <w:r w:rsidRPr="00B1119F">
        <w:rPr>
          <w:rFonts w:ascii="Arial Unicode MS" w:eastAsia="Arial Unicode MS" w:hAnsi="Arial Unicode MS" w:cs="Arial Unicode MS"/>
          <w:color w:val="000000"/>
          <w:kern w:val="0"/>
          <w:sz w:val="24"/>
          <w:szCs w:val="24"/>
          <w:lang w:val="uk-UA" w:eastAsia="ru-RU" w:bidi="ru-RU"/>
        </w:rPr>
        <w:t xml:space="preserve">комплексного продажу </w:t>
      </w:r>
      <w:r w:rsidRPr="00B1119F">
        <w:rPr>
          <w:rFonts w:ascii="Arial Unicode MS" w:eastAsia="Arial Unicode MS" w:hAnsi="Arial Unicode MS" w:cs="Arial Unicode MS"/>
          <w:color w:val="000000"/>
          <w:kern w:val="0"/>
          <w:sz w:val="24"/>
          <w:szCs w:val="24"/>
          <w:lang w:val="uk-UA" w:eastAsia="uk-UA" w:bidi="uk-UA"/>
        </w:rPr>
        <w:t>в системі реалізації страхових продуктів. обґрунтовано наукові засади формування клієнтоорієнтованого підходу до реалізації страхових продуктів. Розвинуто методичний підхід до оцінювання якості системи реалізації страхових продуктів. Побудовано імітаційну модель граничного розміру франшизи залежно від базової ставки страхового тарифу, імовірності настання страхового випадку та прогнозного обсягу збитків.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i/>
          <w:iCs/>
          <w:color w:val="000000"/>
          <w:kern w:val="0"/>
          <w:sz w:val="26"/>
          <w:szCs w:val="26"/>
          <w:lang w:val="uk-UA" w:eastAsia="uk-UA" w:bidi="uk-UA"/>
        </w:rPr>
        <w:t>Ключові слова:</w:t>
      </w:r>
      <w:r w:rsidRPr="00B1119F">
        <w:rPr>
          <w:rFonts w:ascii="Arial Unicode MS" w:eastAsia="Arial Unicode MS" w:hAnsi="Arial Unicode MS" w:cs="Arial Unicode MS"/>
          <w:color w:val="000000"/>
          <w:kern w:val="0"/>
          <w:sz w:val="24"/>
          <w:szCs w:val="24"/>
          <w:lang w:val="uk-UA" w:eastAsia="uk-UA" w:bidi="uk-UA"/>
        </w:rPr>
        <w:t xml:space="preserve"> страховий продукт, збут, продаж, реалізація страхового продукту, система реалізації страхових продуктів, комплексний продаж страхових продуктів, якість системи реалізації страхових продуктів.</w:t>
      </w:r>
    </w:p>
    <w:p w:rsidR="00B1119F" w:rsidRPr="00B1119F" w:rsidRDefault="00B1119F" w:rsidP="00B1119F">
      <w:pPr>
        <w:keepNext/>
        <w:keepLines/>
        <w:tabs>
          <w:tab w:val="clear" w:pos="709"/>
        </w:tabs>
        <w:suppressAutoHyphens w:val="0"/>
        <w:spacing w:after="303" w:line="260" w:lineRule="exact"/>
        <w:ind w:left="20" w:firstLine="0"/>
        <w:jc w:val="center"/>
        <w:outlineLvl w:val="1"/>
        <w:rPr>
          <w:rFonts w:ascii="Times New Roman" w:eastAsia="Times New Roman" w:hAnsi="Times New Roman" w:cs="Times New Roman"/>
          <w:b/>
          <w:bCs/>
          <w:kern w:val="0"/>
          <w:sz w:val="26"/>
          <w:szCs w:val="26"/>
          <w:lang w:val="uk-UA" w:eastAsia="uk-UA" w:bidi="uk-UA"/>
        </w:rPr>
      </w:pPr>
      <w:bookmarkStart w:id="8" w:name="bookmark8"/>
      <w:r w:rsidRPr="00B1119F">
        <w:rPr>
          <w:rFonts w:ascii="Times New Roman" w:eastAsia="Times New Roman" w:hAnsi="Times New Roman" w:cs="Times New Roman"/>
          <w:b/>
          <w:bCs/>
          <w:color w:val="000000"/>
          <w:kern w:val="0"/>
          <w:sz w:val="26"/>
          <w:szCs w:val="26"/>
          <w:lang w:eastAsia="ru-RU" w:bidi="ru-RU"/>
        </w:rPr>
        <w:t>АННОТАЦИЯ</w:t>
      </w:r>
      <w:bookmarkEnd w:id="8"/>
    </w:p>
    <w:p w:rsidR="00B1119F" w:rsidRPr="00B1119F" w:rsidRDefault="00B1119F" w:rsidP="00B1119F">
      <w:pPr>
        <w:keepNext/>
        <w:keepLines/>
        <w:tabs>
          <w:tab w:val="clear" w:pos="709"/>
        </w:tabs>
        <w:suppressAutoHyphens w:val="0"/>
        <w:spacing w:after="0" w:line="322" w:lineRule="exact"/>
        <w:ind w:firstLine="740"/>
        <w:outlineLvl w:val="1"/>
        <w:rPr>
          <w:rFonts w:ascii="Times New Roman" w:eastAsia="Times New Roman" w:hAnsi="Times New Roman" w:cs="Times New Roman"/>
          <w:b/>
          <w:bCs/>
          <w:kern w:val="0"/>
          <w:sz w:val="26"/>
          <w:szCs w:val="26"/>
          <w:lang w:val="uk-UA" w:eastAsia="uk-UA" w:bidi="uk-UA"/>
        </w:rPr>
      </w:pPr>
      <w:bookmarkStart w:id="9" w:name="bookmark9"/>
      <w:r w:rsidRPr="00B1119F">
        <w:rPr>
          <w:rFonts w:ascii="Times New Roman" w:eastAsia="Times New Roman" w:hAnsi="Times New Roman" w:cs="Times New Roman"/>
          <w:b/>
          <w:bCs/>
          <w:color w:val="000000"/>
          <w:kern w:val="0"/>
          <w:sz w:val="26"/>
          <w:szCs w:val="26"/>
          <w:lang w:eastAsia="ru-RU" w:bidi="ru-RU"/>
        </w:rPr>
        <w:t xml:space="preserve">Рябоконь Н.П. Система реализации страховых продуктов. </w:t>
      </w:r>
      <w:r w:rsidRPr="00B1119F">
        <w:rPr>
          <w:rFonts w:ascii="Times New Roman" w:eastAsia="Times New Roman" w:hAnsi="Times New Roman" w:cs="Times New Roman"/>
          <w:color w:val="000000"/>
          <w:kern w:val="0"/>
          <w:sz w:val="26"/>
          <w:szCs w:val="26"/>
          <w:shd w:val="clear" w:color="auto" w:fill="FFFFFF"/>
          <w:lang w:eastAsia="ru-RU" w:bidi="ru-RU"/>
        </w:rPr>
        <w:t>- Рукопись.</w:t>
      </w:r>
      <w:bookmarkEnd w:id="9"/>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Диссертация на соискание ученой степени кандидата экономических наук по специальности 08.00.08 - деньги, финансы и кредит / Университет банковского дела Национального банка Украины (г. Киев). - К., 2014.</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В диссертации развиты теоретические основы и усовершенствовано научно - методические подходы к организации системы реализации страховых продуктов.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Уточнено сущность понятия страховой продукт, который автор определяет, как разновидность страховых услуг, вид комплексного страхового покрытия, предоставляемого страховой компанией и предназначенного для наиболее полного удовлетворения потребностей страхователя, застрахованного (выгодоприобретателя) и третьих лиц за счет предоставления им страховой защиты на оговоренных сторонами условиях, в определенных ими объемах и / или согласно действующего законодательства, что достигается за счет предоставления основных и вспомогательных услуг, как при заключении договора страхования, так и в ходе его сопровождения.</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Виды страховых продуктов классифицировано по таким признакам: сегмент страхового рынка, контингент потребителей, потребности клиентов, продолжительность страховой защиты, форма предоставления, объем страхового покрытия и наличие дополнительных услуг, принцип маркетингового взаимодействия, уровень доходности, степень инновационности, характер новизны.</w:t>
      </w:r>
    </w:p>
    <w:p w:rsidR="00B1119F" w:rsidRPr="00B1119F" w:rsidRDefault="00B1119F" w:rsidP="00B1119F">
      <w:pPr>
        <w:tabs>
          <w:tab w:val="clear" w:pos="709"/>
          <w:tab w:val="left" w:pos="7915"/>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На основе применения процесс-ориентированного подхода трактовано систему реализации страховых продуктов как упорядоченную совокупность бизнес</w:t>
      </w:r>
      <w:r w:rsidRPr="00B1119F">
        <w:rPr>
          <w:rFonts w:ascii="Arial Unicode MS" w:eastAsia="Arial Unicode MS" w:hAnsi="Arial Unicode MS" w:cs="Arial Unicode MS"/>
          <w:color w:val="000000"/>
          <w:kern w:val="0"/>
          <w:sz w:val="24"/>
          <w:szCs w:val="24"/>
          <w:lang w:eastAsia="ru-RU" w:bidi="ru-RU"/>
        </w:rPr>
        <w:softHyphen/>
        <w:t>процессов, направленных на поиск потенциальных потребителей и формирование эффективных каналов сбыта страховых продуктов, призванных обеспечивать их продажу с учетом имеющейся продуктовой линейки, данных по спросу целевых групп на страховые продукты, что опирается на применение наработанных алгоритмов деятельности и установление устойчивых и взаимовыгодных связей страховщика с клиентом с целью удовлетворения их страховых интересов на каждом из трех последовательных этапов взаимодействия:</w:t>
      </w:r>
      <w:r w:rsidRPr="00B1119F">
        <w:rPr>
          <w:rFonts w:ascii="Arial Unicode MS" w:eastAsia="Arial Unicode MS" w:hAnsi="Arial Unicode MS" w:cs="Arial Unicode MS"/>
          <w:color w:val="000000"/>
          <w:kern w:val="0"/>
          <w:sz w:val="24"/>
          <w:szCs w:val="24"/>
          <w:lang w:eastAsia="ru-RU" w:bidi="ru-RU"/>
        </w:rPr>
        <w:tab/>
        <w:t>подготовительном,</w:t>
      </w:r>
    </w:p>
    <w:p w:rsidR="00B1119F" w:rsidRPr="00B1119F" w:rsidRDefault="00B1119F" w:rsidP="00B1119F">
      <w:pPr>
        <w:tabs>
          <w:tab w:val="clear" w:pos="709"/>
        </w:tabs>
        <w:suppressAutoHyphens w:val="0"/>
        <w:spacing w:after="0" w:line="322" w:lineRule="exact"/>
        <w:ind w:firstLine="0"/>
        <w:jc w:val="left"/>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коммерциализации и сопроводительном.</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Структурированы каналы сбыта страховых продуктов по уровню активности, уровню зависимости, степени новизны подходов к сбыту страховых продуктов, специфике заключения страховых договоров, методу организации сбыта, форме связи со страхователями.</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Выявлены особенности продаж страховых продуктов отечественными страховщиками: преобладание непрямых продаж через агентские сети в структуре каналов сбыта страховых продуктов; доминирование автострахования и туристического страхования по сравнению с другими видами страховых продуктов; увеличение объемов продаж страховых продуктов через сеть Интернет; невостребованность телемаркетинга как инструмента сбыта страховых продуктов.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На основе применения пятифакторной мультипликативной модели финансовой устойчивости страховой компании определено влияние на коэффициент автономии страховой компании таких факторов, как: обеспеченность собственными средствами, достаточность страховых резервов, достаточность страховых премий для осуществления страховых выплат, доля страховых резервов, которая направляется на страховые выплаты, доля страховых резервов в общем объеме средств страховой компании.</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Обосновано, что организация комплексных продаж страховых продуктов должна базироваться на применении научно-методического подхода к расчету размера индивидуального страхового тарифа для страхователей с учетом трех потенциальных источников экономически обоснованной скидки: антиселекции рисков, дестимулирования страхового мошенничества и снижения расходов страховой компании на привлечение новых клиентов.</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Предложено выполнять оценивание качества системы реализации страховых продуктов на основе расчета четырех групп индикаторов, характеризующих: качество продуктового ряда, качество аквизационной деятельности, финансовую устойчивость страховых операций, эффективность использования ресурсного потенциала страховой компании.</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eastAsia="ru-RU" w:bidi="ru-RU"/>
        </w:rPr>
        <w:t>Выполнено имитационное моделирование предельного размера франшизы, что позволило оптимизировать тарифную политику страховой компании за счет учета базовой ставки страхового тарифа, вероятности наступления страхового случая и прогнозного объема убытков, а также стало дополнительным стимулом реализации страховых продуктов.</w:t>
      </w:r>
    </w:p>
    <w:p w:rsidR="00B1119F" w:rsidRPr="00B1119F" w:rsidRDefault="00B1119F" w:rsidP="00B1119F">
      <w:pPr>
        <w:tabs>
          <w:tab w:val="clear" w:pos="709"/>
        </w:tabs>
        <w:suppressAutoHyphens w:val="0"/>
        <w:spacing w:after="349"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i/>
          <w:iCs/>
          <w:color w:val="000000"/>
          <w:kern w:val="0"/>
          <w:sz w:val="26"/>
          <w:szCs w:val="26"/>
          <w:lang w:eastAsia="ru-RU" w:bidi="ru-RU"/>
        </w:rPr>
        <w:t>Ключевые слова:</w:t>
      </w:r>
      <w:r w:rsidRPr="00B1119F">
        <w:rPr>
          <w:rFonts w:ascii="Arial Unicode MS" w:eastAsia="Arial Unicode MS" w:hAnsi="Arial Unicode MS" w:cs="Arial Unicode MS"/>
          <w:color w:val="000000"/>
          <w:kern w:val="0"/>
          <w:sz w:val="24"/>
          <w:szCs w:val="24"/>
          <w:lang w:eastAsia="ru-RU" w:bidi="ru-RU"/>
        </w:rPr>
        <w:t xml:space="preserve"> страховой продукт, сбыт, продажа, реализация страхового продукта, система реализации страховых продуктов, комплексные продажи страховых продуктов, качество системы реализации страховых продуктов.</w:t>
      </w:r>
    </w:p>
    <w:p w:rsidR="00B1119F" w:rsidRPr="00B1119F" w:rsidRDefault="00B1119F" w:rsidP="00B1119F">
      <w:pPr>
        <w:keepNext/>
        <w:keepLines/>
        <w:tabs>
          <w:tab w:val="clear" w:pos="709"/>
        </w:tabs>
        <w:suppressAutoHyphens w:val="0"/>
        <w:spacing w:after="313" w:line="260" w:lineRule="exact"/>
        <w:ind w:left="20" w:firstLine="0"/>
        <w:jc w:val="center"/>
        <w:outlineLvl w:val="1"/>
        <w:rPr>
          <w:rFonts w:ascii="Times New Roman" w:eastAsia="Times New Roman" w:hAnsi="Times New Roman" w:cs="Times New Roman"/>
          <w:b/>
          <w:bCs/>
          <w:kern w:val="0"/>
          <w:sz w:val="26"/>
          <w:szCs w:val="26"/>
          <w:lang w:val="uk-UA" w:eastAsia="uk-UA" w:bidi="uk-UA"/>
        </w:rPr>
      </w:pPr>
      <w:bookmarkStart w:id="10" w:name="bookmark10"/>
      <w:r w:rsidRPr="00B1119F">
        <w:rPr>
          <w:rFonts w:ascii="Times New Roman" w:eastAsia="Times New Roman" w:hAnsi="Times New Roman" w:cs="Times New Roman"/>
          <w:b/>
          <w:bCs/>
          <w:color w:val="000000"/>
          <w:kern w:val="0"/>
          <w:sz w:val="26"/>
          <w:szCs w:val="26"/>
          <w:lang w:val="en-US" w:eastAsia="en-US" w:bidi="en-US"/>
        </w:rPr>
        <w:t>SUMMARY</w:t>
      </w:r>
      <w:bookmarkEnd w:id="10"/>
    </w:p>
    <w:p w:rsidR="00B1119F" w:rsidRPr="00B1119F" w:rsidRDefault="00B1119F" w:rsidP="00B1119F">
      <w:pPr>
        <w:keepNext/>
        <w:keepLines/>
        <w:tabs>
          <w:tab w:val="clear" w:pos="709"/>
        </w:tabs>
        <w:suppressAutoHyphens w:val="0"/>
        <w:spacing w:after="0" w:line="322" w:lineRule="exact"/>
        <w:ind w:firstLine="740"/>
        <w:outlineLvl w:val="1"/>
        <w:rPr>
          <w:rFonts w:ascii="Times New Roman" w:eastAsia="Times New Roman" w:hAnsi="Times New Roman" w:cs="Times New Roman"/>
          <w:b/>
          <w:bCs/>
          <w:kern w:val="0"/>
          <w:sz w:val="26"/>
          <w:szCs w:val="26"/>
          <w:lang w:val="uk-UA" w:eastAsia="uk-UA" w:bidi="uk-UA"/>
        </w:rPr>
      </w:pPr>
      <w:bookmarkStart w:id="11" w:name="bookmark11"/>
      <w:r w:rsidRPr="00B1119F">
        <w:rPr>
          <w:rFonts w:ascii="Times New Roman" w:eastAsia="Times New Roman" w:hAnsi="Times New Roman" w:cs="Times New Roman"/>
          <w:b/>
          <w:bCs/>
          <w:color w:val="000000"/>
          <w:kern w:val="0"/>
          <w:sz w:val="26"/>
          <w:szCs w:val="26"/>
          <w:lang w:val="en-US" w:eastAsia="en-US" w:bidi="en-US"/>
        </w:rPr>
        <w:t xml:space="preserve">Ryabokon N.P. The system of the insurance products realization. </w:t>
      </w:r>
      <w:r w:rsidRPr="00B1119F">
        <w:rPr>
          <w:rFonts w:ascii="Times New Roman" w:eastAsia="Times New Roman" w:hAnsi="Times New Roman" w:cs="Times New Roman"/>
          <w:color w:val="000000"/>
          <w:kern w:val="0"/>
          <w:sz w:val="26"/>
          <w:szCs w:val="26"/>
          <w:shd w:val="clear" w:color="auto" w:fill="FFFFFF"/>
          <w:lang w:val="en-US" w:eastAsia="en-US" w:bidi="en-US"/>
        </w:rPr>
        <w:t>- Manuscript.</w:t>
      </w:r>
      <w:bookmarkEnd w:id="11"/>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en-US" w:eastAsia="en-US" w:bidi="en-US"/>
        </w:rPr>
        <w:t xml:space="preserve">Thesis for the Candidate’s Degree of Economic Sciences in specialty 08.00.08 - Money, Finance and Credit </w:t>
      </w:r>
      <w:r w:rsidRPr="00B1119F">
        <w:rPr>
          <w:rFonts w:ascii="Arial Unicode MS" w:eastAsia="Arial Unicode MS" w:hAnsi="Arial Unicode MS" w:cs="Arial Unicode MS"/>
          <w:color w:val="000000"/>
          <w:kern w:val="0"/>
          <w:sz w:val="24"/>
          <w:szCs w:val="24"/>
          <w:lang w:val="en-US" w:eastAsia="ru-RU" w:bidi="ru-RU"/>
        </w:rPr>
        <w:t xml:space="preserve">/ </w:t>
      </w:r>
      <w:r w:rsidRPr="00B1119F">
        <w:rPr>
          <w:rFonts w:ascii="Arial Unicode MS" w:eastAsia="Arial Unicode MS" w:hAnsi="Arial Unicode MS" w:cs="Arial Unicode MS"/>
          <w:color w:val="000000"/>
          <w:kern w:val="0"/>
          <w:sz w:val="24"/>
          <w:szCs w:val="24"/>
          <w:lang w:val="en-US" w:eastAsia="en-US" w:bidi="en-US"/>
        </w:rPr>
        <w:t>The University of Banking Business of the National Bank of Ukraine (Kyiv). - K., 2014.</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Arial Unicode MS" w:eastAsia="Arial Unicode MS" w:hAnsi="Arial Unicode MS" w:cs="Arial Unicode MS"/>
          <w:color w:val="000000"/>
          <w:kern w:val="0"/>
          <w:sz w:val="24"/>
          <w:szCs w:val="24"/>
          <w:lang w:val="en-US" w:eastAsia="en-US" w:bidi="en-US"/>
        </w:rPr>
        <w:t>The theoretical framework is developed and scientific and methodological approaches to realization of insurance products are improved in this thesis. The interpretation of the concept “insurance product” and its relation to the concept of “insurance service” is clarified. Types of insurance products are structured. On the basis of the process-oriented approach the system of the insurance products realization is formalized. Channels of insurance products distribution are differentiated. The features of the insurance products realization by domestic insurers are identified. The role of the insurance products realization to ensure the insurance company financial stability is justified. The scientific and methodical approach to complex sales in insurance products and the methodical approach to evaluating of the quality of the insurance products realization are improved. A computer simulation model of the insurance company with the franchise as a means of insurance products sales stimulating is designed.</w:t>
      </w:r>
    </w:p>
    <w:p w:rsidR="00B1119F" w:rsidRPr="00B1119F" w:rsidRDefault="00B1119F" w:rsidP="00B1119F">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B1119F">
        <w:rPr>
          <w:rFonts w:ascii="Times New Roman" w:eastAsia="Arial Unicode MS" w:hAnsi="Times New Roman" w:cs="Times New Roman"/>
          <w:i/>
          <w:iCs/>
          <w:color w:val="000000"/>
          <w:kern w:val="0"/>
          <w:sz w:val="26"/>
          <w:szCs w:val="26"/>
          <w:lang w:val="en-US" w:eastAsia="en-US" w:bidi="en-US"/>
        </w:rPr>
        <w:t>Keywords:</w:t>
      </w:r>
      <w:r w:rsidRPr="00B1119F">
        <w:rPr>
          <w:rFonts w:ascii="Arial Unicode MS" w:eastAsia="Arial Unicode MS" w:hAnsi="Arial Unicode MS" w:cs="Arial Unicode MS"/>
          <w:color w:val="000000"/>
          <w:kern w:val="0"/>
          <w:sz w:val="24"/>
          <w:szCs w:val="24"/>
          <w:lang w:val="en-US" w:eastAsia="en-US" w:bidi="en-US"/>
        </w:rPr>
        <w:t xml:space="preserve"> an insurance product, marketing, sales, realization of insurance products, a system of insurance products realization, complete sales of insurance products, a quality of the system of insurance products realization.</w:t>
      </w:r>
    </w:p>
    <w:p w:rsidR="00F648B3" w:rsidRPr="00B1119F" w:rsidRDefault="00F648B3" w:rsidP="00F648B3">
      <w:pPr>
        <w:rPr>
          <w:lang w:val="en-US"/>
        </w:rPr>
      </w:pPr>
    </w:p>
    <w:p w:rsidR="00F648B3" w:rsidRPr="00B1119F" w:rsidRDefault="00F648B3" w:rsidP="00F648B3">
      <w:pPr>
        <w:rPr>
          <w:lang w:val="en-US"/>
        </w:rPr>
      </w:pPr>
    </w:p>
    <w:p w:rsidR="00F648B3" w:rsidRPr="00B1119F" w:rsidRDefault="00F648B3" w:rsidP="00F648B3">
      <w:pPr>
        <w:rPr>
          <w:lang w:val="en-US"/>
        </w:rPr>
      </w:pPr>
    </w:p>
    <w:p w:rsidR="00F648B3" w:rsidRPr="00B1119F" w:rsidRDefault="00F648B3" w:rsidP="00F648B3">
      <w:pPr>
        <w:rPr>
          <w:lang w:val="en-US"/>
        </w:rPr>
      </w:pPr>
    </w:p>
    <w:p w:rsidR="00F648B3" w:rsidRPr="00F648B3" w:rsidRDefault="00F648B3" w:rsidP="00F648B3">
      <w:pPr>
        <w:tabs>
          <w:tab w:val="clear" w:pos="709"/>
        </w:tabs>
        <w:suppressAutoHyphens w:val="0"/>
        <w:spacing w:after="352" w:line="280" w:lineRule="exact"/>
        <w:ind w:left="4280" w:firstLine="0"/>
        <w:jc w:val="left"/>
        <w:rPr>
          <w:rFonts w:ascii="Times New Roman" w:eastAsia="Times New Roman" w:hAnsi="Times New Roman" w:cs="Times New Roman"/>
          <w:b/>
          <w:bCs/>
          <w:kern w:val="0"/>
          <w:sz w:val="28"/>
          <w:szCs w:val="28"/>
          <w:lang w:eastAsia="ru-RU" w:bidi="ru-RU"/>
        </w:rPr>
      </w:pPr>
      <w:r w:rsidRPr="00F648B3">
        <w:rPr>
          <w:rFonts w:ascii="Times New Roman" w:eastAsia="Times New Roman" w:hAnsi="Times New Roman" w:cs="Times New Roman"/>
          <w:b/>
          <w:bCs/>
          <w:color w:val="000000"/>
          <w:kern w:val="0"/>
          <w:sz w:val="28"/>
          <w:szCs w:val="28"/>
          <w:lang w:eastAsia="ru-RU" w:bidi="ru-RU"/>
        </w:rPr>
        <w:t>ЗАКЛЮЧЕНИЕ</w:t>
      </w:r>
    </w:p>
    <w:p w:rsidR="00F648B3" w:rsidRPr="00F648B3" w:rsidRDefault="00F648B3" w:rsidP="00F648B3">
      <w:pPr>
        <w:tabs>
          <w:tab w:val="clear" w:pos="709"/>
        </w:tabs>
        <w:suppressAutoHyphens w:val="0"/>
        <w:spacing w:after="0" w:line="418"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Проведенное исследование доказало правомерность выдвинутых положений, что позволило сформулировать следующие выводы.</w:t>
      </w:r>
    </w:p>
    <w:p w:rsidR="00F648B3" w:rsidRPr="00F648B3" w:rsidRDefault="00F648B3" w:rsidP="00F648B3">
      <w:pPr>
        <w:tabs>
          <w:tab w:val="clear" w:pos="709"/>
        </w:tabs>
        <w:suppressAutoHyphens w:val="0"/>
        <w:spacing w:after="0" w:line="418"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Период дошкольного Детства является основополагающим в становлении интеллектуально-познавательной деятельности ребенка, в его умственном развитии.</w:t>
      </w:r>
    </w:p>
    <w:p w:rsidR="00F648B3" w:rsidRPr="00F648B3" w:rsidRDefault="00F648B3" w:rsidP="00F648B3">
      <w:pPr>
        <w:tabs>
          <w:tab w:val="clear" w:pos="709"/>
        </w:tabs>
        <w:suppressAutoHyphens w:val="0"/>
        <w:spacing w:after="0" w:line="418"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Вопрос о сущности умственного развития человека, неоднократно ставился в истории философской и психолого-педагогической науки (Л.С. Выготский, В.В. Давыдов, А.В. Запорожец, И. Кант, А.Н. Леонтьев, А.М. Леушина, В.И. Логинова, Ж. Пиаже, С.Л. Рубинштейн, Ж.-Ж. Руссо, А.П. Усова, К.Д. Ушинский, И.- Г. Фихте и др.). Исследования ведущих психологов и педагогов (Л.С. Выготский, Л.А. Венгер, П.Я. Гальперин, Л.В. Занков, П.И. Зинченко, З.М. Истомина, А.Н. Леонтьев и др.) внесли большой вклад в понимание связи и зависимости между познавательными функциями: аналитико-синтетическим восприятием, мышлением, смысловой памятью, вниманием, базирующихся на единых по своей природе умственных действиях.. Предпринимались попытки изучить умственное развитие как целостную характеристику (П.П. Блонский, Л.С. Выготский, П.Я. Гальперин, А.В. Запорожец, Т.А. Соловьева, Н.И. Чуприкова и др.).</w:t>
      </w:r>
    </w:p>
    <w:p w:rsidR="00F648B3" w:rsidRPr="00F648B3" w:rsidRDefault="00F648B3" w:rsidP="00F648B3">
      <w:pPr>
        <w:tabs>
          <w:tab w:val="clear" w:pos="709"/>
        </w:tabs>
        <w:suppressAutoHyphens w:val="0"/>
        <w:spacing w:after="0" w:line="418"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Структура умственного развития с позиций субъектно-деятельностного и системного подходов представляет собой совокупность взаимосвязанных элементов: содержательно-операционального, включающего взаимодополняющие практические, перцептивные и мыслительные действия, потребностно- мотивационного, определяющего избирательность и направленность умственной деятельности, и эмоционального, подкрепляющего потребностно- мотивационный компонент, формируя у субъекта поисковую потребность.</w:t>
      </w:r>
    </w:p>
    <w:p w:rsidR="00F648B3" w:rsidRPr="00F648B3" w:rsidRDefault="00F648B3" w:rsidP="00F648B3">
      <w:pPr>
        <w:tabs>
          <w:tab w:val="clear" w:pos="709"/>
        </w:tabs>
        <w:suppressAutoHyphens w:val="0"/>
        <w:spacing w:after="0" w:line="418"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Таким образом, умственное развитие в образовательном процессе рассматривается как «системогенез» (Т.А. Соловьева), что подтверждается выводами ученых о единстве аффективных, волевых и интеллектуальных процессов.</w:t>
      </w:r>
    </w:p>
    <w:p w:rsidR="00F648B3" w:rsidRPr="00F648B3" w:rsidRDefault="00F648B3" w:rsidP="00F648B3">
      <w:pPr>
        <w:tabs>
          <w:tab w:val="clear" w:pos="709"/>
        </w:tabs>
        <w:suppressAutoHyphens w:val="0"/>
        <w:spacing w:after="0" w:line="418"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Развитие этой мысли прослеживается в современных психолого</w:t>
      </w:r>
      <w:r w:rsidRPr="00F648B3">
        <w:rPr>
          <w:rFonts w:ascii="Arial Unicode MS" w:eastAsia="Arial Unicode MS" w:hAnsi="Arial Unicode MS" w:cs="Arial Unicode MS"/>
          <w:color w:val="000000"/>
          <w:kern w:val="0"/>
          <w:sz w:val="24"/>
          <w:szCs w:val="24"/>
          <w:lang w:eastAsia="ru-RU" w:bidi="ru-RU"/>
        </w:rPr>
        <w:softHyphen/>
        <w:t>педагогических исследованиях А. А. Борзова, Л.Г. Горьковой, Н. В.Зайцевой, Н.С. Пантиной, Т.А. Ратановой, О.В. Токмаковой, Е.А. Тупичкиной, М.А. Холодной и др.</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Согласно данным психолого-педагогических исследований, категория</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«умственное развитие» не имеет единой четкой теоретической базы.</w:t>
      </w:r>
    </w:p>
    <w:p w:rsidR="00F648B3" w:rsidRPr="00F648B3" w:rsidRDefault="00F648B3" w:rsidP="00F648B3">
      <w:pPr>
        <w:tabs>
          <w:tab w:val="clear" w:pos="709"/>
        </w:tabs>
        <w:suppressAutoHyphens w:val="0"/>
        <w:spacing w:after="0" w:line="413" w:lineRule="exact"/>
        <w:ind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Описывая эту реальность, исследователи прибегают к терминам'</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«интеллектуальное развитие», «познавательное (когнитивное) развитие»,</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«интеллект». Анализ средств, способов и результатов познавательной,</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умственной, интеллектуальной деятельности показывает, что на всех этапах</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интеллектуально-познавательного, умственного развития требуются умения</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анализировать, сравнивать, обобщать, классифицировать, устанавливать</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причинно-следственные связи и зависимости и т.д., оно предполагает</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обогащение личностно-эмоциональной сферы (проявление познавательного</w:t>
      </w:r>
    </w:p>
    <w:p w:rsidR="00F648B3" w:rsidRPr="00F648B3" w:rsidRDefault="00F648B3" w:rsidP="00F648B3">
      <w:pPr>
        <w:tabs>
          <w:tab w:val="clear" w:pos="709"/>
          <w:tab w:val="left" w:pos="9984"/>
        </w:tabs>
        <w:suppressAutoHyphens w:val="0"/>
        <w:spacing w:after="0" w:line="413" w:lineRule="exact"/>
        <w:ind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интереса, активности, интеллектуальных эмоций), развитие речи.</w:t>
      </w:r>
      <w:r w:rsidRPr="00F648B3">
        <w:rPr>
          <w:rFonts w:ascii="Arial Unicode MS" w:eastAsia="Arial Unicode MS" w:hAnsi="Arial Unicode MS" w:cs="Arial Unicode MS"/>
          <w:color w:val="000000"/>
          <w:kern w:val="0"/>
          <w:sz w:val="24"/>
          <w:szCs w:val="24"/>
          <w:lang w:eastAsia="ru-RU" w:bidi="ru-RU"/>
        </w:rPr>
        <w:tab/>
        <w:t>■</w:t>
      </w:r>
    </w:p>
    <w:p w:rsidR="00F648B3" w:rsidRPr="00F648B3" w:rsidRDefault="00F648B3" w:rsidP="00F648B3">
      <w:pPr>
        <w:tabs>
          <w:tab w:val="clear" w:pos="709"/>
        </w:tabs>
        <w:suppressAutoHyphens w:val="0"/>
        <w:spacing w:after="0" w:line="413" w:lineRule="exact"/>
        <w:ind w:firstLine="72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В рамках субъектно-деятельностного подхода основой умственного</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развития является мышление, которое в исследованиях представлено^ как</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процесс решения задачи (с помощью анализа, синтеза, обобщения и других</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мыслительных умений); как действие; как высшая познавательная функция,</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деятельность. В реальном мыслительном акте диалектически сплетены</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дивергентные (творческие) и конвергентные (собственно интеллектуальные)</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компоненты, а доминирование одного или другого компонента определяется не'</w:t>
      </w:r>
    </w:p>
    <w:p w:rsidR="00F648B3" w:rsidRPr="00F648B3" w:rsidRDefault="00F648B3" w:rsidP="00F648B3">
      <w:pPr>
        <w:tabs>
          <w:tab w:val="clear" w:pos="709"/>
        </w:tabs>
        <w:suppressAutoHyphens w:val="0"/>
        <w:spacing w:after="0" w:line="413" w:lineRule="exact"/>
        <w:ind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только типом задачи, но и внутренними особенностями субъекта.</w:t>
      </w:r>
    </w:p>
    <w:p w:rsidR="00F648B3" w:rsidRPr="00F648B3" w:rsidRDefault="00F648B3" w:rsidP="00F648B3">
      <w:pPr>
        <w:tabs>
          <w:tab w:val="clear" w:pos="709"/>
        </w:tabs>
        <w:suppressAutoHyphens w:val="0"/>
        <w:spacing w:after="0" w:line="413" w:lineRule="exact"/>
        <w:ind w:firstLine="72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Важным условием эффективности умственного развития дошкольника в</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контексте субъектно-деятельностного подхода является опора на собственные</w:t>
      </w:r>
    </w:p>
    <w:p w:rsidR="00F648B3" w:rsidRPr="00F648B3" w:rsidRDefault="00F648B3" w:rsidP="00F648B3">
      <w:pPr>
        <w:tabs>
          <w:tab w:val="clear" w:pos="709"/>
        </w:tabs>
        <w:suppressAutoHyphens w:val="0"/>
        <w:spacing w:after="0" w:line="413" w:lineRule="exact"/>
        <w:ind w:right="18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силы ребенка-субъекта. У дошкольника как субъекта деятельности</w:t>
      </w:r>
    </w:p>
    <w:p w:rsidR="00F648B3" w:rsidRPr="00F648B3" w:rsidRDefault="00F648B3" w:rsidP="00F648B3">
      <w:pPr>
        <w:tabs>
          <w:tab w:val="clear" w:pos="709"/>
          <w:tab w:val="left" w:pos="2093"/>
        </w:tabs>
        <w:suppressAutoHyphens w:val="0"/>
        <w:spacing w:after="0" w:line="413" w:lineRule="exact"/>
        <w:ind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проявляются:</w:t>
      </w:r>
      <w:r w:rsidRPr="00F648B3">
        <w:rPr>
          <w:rFonts w:ascii="Arial Unicode MS" w:eastAsia="Arial Unicode MS" w:hAnsi="Arial Unicode MS" w:cs="Arial Unicode MS"/>
          <w:color w:val="000000"/>
          <w:kern w:val="0"/>
          <w:sz w:val="24"/>
          <w:szCs w:val="24"/>
          <w:lang w:eastAsia="ru-RU" w:bidi="ru-RU"/>
        </w:rPr>
        <w:tab/>
        <w:t>интерес, избирательное отношение к деятельности;</w:t>
      </w:r>
    </w:p>
    <w:p w:rsidR="00F648B3" w:rsidRPr="00F648B3" w:rsidRDefault="00F648B3" w:rsidP="00F648B3">
      <w:pPr>
        <w:tabs>
          <w:tab w:val="clear" w:pos="709"/>
        </w:tabs>
        <w:suppressAutoHyphens w:val="0"/>
        <w:spacing w:after="0" w:line="200" w:lineRule="exact"/>
        <w:ind w:left="4520" w:firstLine="0"/>
        <w:jc w:val="left"/>
        <w:rPr>
          <w:rFonts w:ascii="Times New Roman" w:eastAsia="Times New Roman" w:hAnsi="Times New Roman" w:cs="Times New Roman"/>
          <w:b/>
          <w:bCs/>
          <w:kern w:val="0"/>
          <w:sz w:val="20"/>
          <w:szCs w:val="20"/>
          <w:lang w:eastAsia="ru-RU" w:bidi="ru-RU"/>
        </w:rPr>
      </w:pPr>
      <w:r w:rsidRPr="00F648B3">
        <w:rPr>
          <w:rFonts w:ascii="Times New Roman" w:eastAsia="Times New Roman" w:hAnsi="Times New Roman" w:cs="Times New Roman"/>
          <w:b/>
          <w:bCs/>
          <w:color w:val="000000"/>
          <w:kern w:val="0"/>
          <w:sz w:val="20"/>
          <w:szCs w:val="20"/>
          <w:lang w:eastAsia="ru-RU" w:bidi="ru-RU"/>
        </w:rPr>
        <w:t>&gt;</w:t>
      </w:r>
    </w:p>
    <w:p w:rsidR="00F648B3" w:rsidRPr="00F648B3" w:rsidRDefault="00F648B3" w:rsidP="00F648B3">
      <w:pPr>
        <w:tabs>
          <w:tab w:val="clear" w:pos="709"/>
        </w:tabs>
        <w:suppressAutoHyphens w:val="0"/>
        <w:spacing w:after="0" w:line="418" w:lineRule="exact"/>
        <w:ind w:right="180"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инициативность и желание заниматься деятельностью; самостоятельность в ее выборе и осуществлении; творчество в интерпретации деятельности.</w:t>
      </w:r>
    </w:p>
    <w:p w:rsidR="00F648B3" w:rsidRPr="00F648B3" w:rsidRDefault="00F648B3" w:rsidP="00F648B3">
      <w:pPr>
        <w:tabs>
          <w:tab w:val="clear" w:pos="709"/>
        </w:tabs>
        <w:suppressAutoHyphens w:val="0"/>
        <w:spacing w:after="0" w:line="418" w:lineRule="exact"/>
        <w:ind w:right="180" w:firstLine="72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Для реализации умственной деятельности, в процессе которой происходит присвоение знаний и умений, субъект осваивает присущие ей специфические, умственные действия. Умственная деятельность представляет собой единство содержательного (знания) и операционного (умственные действия) компонентов. Причем знания -. обязательный, но недостаточный компонент мыслительной деятельности.</w:t>
      </w:r>
    </w:p>
    <w:p w:rsidR="00F648B3" w:rsidRPr="00F648B3" w:rsidRDefault="00F648B3" w:rsidP="00F648B3">
      <w:pPr>
        <w:tabs>
          <w:tab w:val="clear" w:pos="709"/>
        </w:tabs>
        <w:suppressAutoHyphens w:val="0"/>
        <w:spacing w:after="0" w:line="418" w:lineRule="exact"/>
        <w:ind w:firstLine="72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Умение — освоенный субъектом способ выполнения (умственного) действия, обеспечиваемый совокупностью приобретенных знаний и навыков, формирующийся путем упражнений и создающий возможность выполнения . действия не только в привычных, но и в изменившихся условиях. Умение - это</w:t>
      </w:r>
    </w:p>
    <w:p w:rsidR="00F648B3" w:rsidRPr="00F648B3" w:rsidRDefault="00F648B3" w:rsidP="00F648B3">
      <w:pPr>
        <w:tabs>
          <w:tab w:val="clear" w:pos="709"/>
        </w:tabs>
        <w:suppressAutoHyphens w:val="0"/>
        <w:spacing w:after="0" w:line="418" w:lineRule="exact"/>
        <w:ind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осознанное владение (логическим) приемом; оно целенаправленно, произвольно, характеризуется плановостью и практической действенностью (А.Г. Рузская, Т.А. Соловьева, А.Н. Соколов, Г.И. Щукина). От характера актуализации мыслительных умений зависит уровень знаний, развитие волевых качеств дошкольников - настойчивости и целеустремленности.</w:t>
      </w:r>
    </w:p>
    <w:p w:rsidR="00F648B3" w:rsidRPr="00F648B3" w:rsidRDefault="00F648B3" w:rsidP="00F648B3">
      <w:pPr>
        <w:tabs>
          <w:tab w:val="clear" w:pos="709"/>
        </w:tabs>
        <w:suppressAutoHyphens w:val="0"/>
        <w:spacing w:after="0" w:line="418"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В поиске условий умственного развития исследователи обращаются к уровню развития приемов запоминания, «внутреннего плана действий» (действий «в уме», «мысленных проб»), умения классифицировать; проявлению познавательной активности, целеполагания, «интеллектуальной инициативы». Общими показателями умственного развития являются: уровень знаний и представлений, особенности перцептивных действий, умение выделить в объекте существенные свойства, находить новые способы решения задач, логичность рассуждений, перенос мыслительных умений на новое содержание материала, самостоятельность, сообразительность.</w:t>
      </w:r>
    </w:p>
    <w:p w:rsidR="00F648B3" w:rsidRPr="00F648B3" w:rsidRDefault="00F648B3" w:rsidP="00F648B3">
      <w:pPr>
        <w:tabs>
          <w:tab w:val="clear" w:pos="709"/>
        </w:tabs>
        <w:suppressAutoHyphens w:val="0"/>
        <w:spacing w:after="0" w:line="418"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В процессе решения умственных задач присутствует не только рациональный путь познания, но и интуитивный путь решения, догадка как способ решения задач в результате предварительных поисковых проб.</w:t>
      </w:r>
    </w:p>
    <w:p w:rsidR="00F648B3" w:rsidRPr="00F648B3" w:rsidRDefault="00F648B3" w:rsidP="00F648B3">
      <w:pPr>
        <w:tabs>
          <w:tab w:val="clear" w:pos="709"/>
          <w:tab w:val="left" w:pos="2239"/>
        </w:tabs>
        <w:suppressAutoHyphens w:val="0"/>
        <w:spacing w:after="0" w:line="418"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В связи с вышесказанным, умственное развитие в исследовании, понимается как системный процесс сложной структуры, включающей следующие основные компоненты: фонд действенных знаний и представлений; мыслительные умения (сравнение, анализ и синтез, абстрагирование и конкретизация,</w:t>
      </w:r>
      <w:r w:rsidRPr="00F648B3">
        <w:rPr>
          <w:rFonts w:ascii="Arial Unicode MS" w:eastAsia="Arial Unicode MS" w:hAnsi="Arial Unicode MS" w:cs="Arial Unicode MS"/>
          <w:color w:val="000000"/>
          <w:kern w:val="0"/>
          <w:sz w:val="24"/>
          <w:szCs w:val="24"/>
          <w:lang w:eastAsia="ru-RU" w:bidi="ru-RU"/>
        </w:rPr>
        <w:tab/>
        <w:t>классификация, обобщение, умение рассуждать и</w:t>
      </w:r>
    </w:p>
    <w:p w:rsidR="00F648B3" w:rsidRPr="00F648B3" w:rsidRDefault="00F648B3" w:rsidP="00F648B3">
      <w:pPr>
        <w:tabs>
          <w:tab w:val="clear" w:pos="709"/>
          <w:tab w:val="left" w:pos="2239"/>
          <w:tab w:val="left" w:pos="4344"/>
          <w:tab w:val="left" w:pos="6230"/>
        </w:tabs>
        <w:suppressAutoHyphens w:val="0"/>
        <w:spacing w:after="0" w:line="418" w:lineRule="exact"/>
        <w:ind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аргументировать, устанавливать причинно-следственные связи и зависимости); познавательный интерес (интеллектуальная инициатива (направленность на познание сущности объекта, внутреннее побуждение к деятельности), целеполагание</w:t>
      </w:r>
      <w:r w:rsidRPr="00F648B3">
        <w:rPr>
          <w:rFonts w:ascii="Arial Unicode MS" w:eastAsia="Arial Unicode MS" w:hAnsi="Arial Unicode MS" w:cs="Arial Unicode MS"/>
          <w:color w:val="000000"/>
          <w:kern w:val="0"/>
          <w:sz w:val="24"/>
          <w:szCs w:val="24"/>
          <w:lang w:eastAsia="ru-RU" w:bidi="ru-RU"/>
        </w:rPr>
        <w:tab/>
        <w:t>(стремление</w:t>
      </w:r>
      <w:r w:rsidRPr="00F648B3">
        <w:rPr>
          <w:rFonts w:ascii="Arial Unicode MS" w:eastAsia="Arial Unicode MS" w:hAnsi="Arial Unicode MS" w:cs="Arial Unicode MS"/>
          <w:color w:val="000000"/>
          <w:kern w:val="0"/>
          <w:sz w:val="24"/>
          <w:szCs w:val="24"/>
          <w:lang w:eastAsia="ru-RU" w:bidi="ru-RU"/>
        </w:rPr>
        <w:tab/>
        <w:t>достигнуть</w:t>
      </w:r>
      <w:r w:rsidRPr="00F648B3">
        <w:rPr>
          <w:rFonts w:ascii="Arial Unicode MS" w:eastAsia="Arial Unicode MS" w:hAnsi="Arial Unicode MS" w:cs="Arial Unicode MS"/>
          <w:color w:val="000000"/>
          <w:kern w:val="0"/>
          <w:sz w:val="24"/>
          <w:szCs w:val="24"/>
          <w:lang w:eastAsia="ru-RU" w:bidi="ru-RU"/>
        </w:rPr>
        <w:tab/>
        <w:t>необходимого результата</w:t>
      </w:r>
    </w:p>
    <w:p w:rsidR="00F648B3" w:rsidRPr="00F648B3" w:rsidRDefault="00F648B3" w:rsidP="00F648B3">
      <w:pPr>
        <w:tabs>
          <w:tab w:val="clear" w:pos="709"/>
        </w:tabs>
        <w:suppressAutoHyphens w:val="0"/>
        <w:spacing w:after="0" w:line="418" w:lineRule="exact"/>
        <w:ind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деятельности)), - которые представлены содержательно-операциональным компонентом, выполняющим инструментальную функцию, эмоциональным, осуществляющим регулирующую функцию, и потребностно-мотивационным компонентом со стимулирующей функцией.</w:t>
      </w:r>
    </w:p>
    <w:p w:rsidR="00F648B3" w:rsidRPr="00F648B3" w:rsidRDefault="00F648B3" w:rsidP="00F648B3">
      <w:pPr>
        <w:tabs>
          <w:tab w:val="clear" w:pos="709"/>
        </w:tabs>
        <w:suppressAutoHyphens w:val="0"/>
        <w:spacing w:after="0" w:line="418"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В практике дошкольного образования наблюдается разрыв между реальной организацией умственногсгразвития детей и идеями его обогащения и оптимизации путем теоретического и экспериментального обоснования системы педагогических средств умственного развития.</w:t>
      </w:r>
    </w:p>
    <w:p w:rsidR="00F648B3" w:rsidRPr="00F648B3" w:rsidRDefault="00F648B3" w:rsidP="00F648B3">
      <w:pPr>
        <w:tabs>
          <w:tab w:val="clear" w:pos="709"/>
        </w:tabs>
        <w:suppressAutoHyphens w:val="0"/>
        <w:spacing w:after="0" w:line="418"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Отсутствие общепринятой психолого-педагогической терминологии и классификации логических игр и задач затрудняет составление целостного взгляда на проблему роли логических игр и задач в умственном развитии детей.</w:t>
      </w:r>
    </w:p>
    <w:p w:rsidR="00F648B3" w:rsidRPr="00F648B3" w:rsidRDefault="00F648B3" w:rsidP="00F648B3">
      <w:pPr>
        <w:tabs>
          <w:tab w:val="clear" w:pos="709"/>
        </w:tabs>
        <w:suppressAutoHyphens w:val="0"/>
        <w:spacing w:after="0" w:line="280" w:lineRule="exact"/>
        <w:ind w:left="9360" w:firstLine="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val="uk-UA" w:eastAsia="uk-UA" w:bidi="uk-UA"/>
        </w:rPr>
        <w:t>І</w:t>
      </w:r>
    </w:p>
    <w:p w:rsidR="00F648B3" w:rsidRPr="00F648B3" w:rsidRDefault="00F648B3" w:rsidP="00F648B3">
      <w:pPr>
        <w:tabs>
          <w:tab w:val="clear" w:pos="709"/>
        </w:tabs>
        <w:suppressAutoHyphens w:val="0"/>
        <w:spacing w:after="0" w:line="413"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 xml:space="preserve">Анализ психолого-педагогической литературы показал, что </w:t>
      </w:r>
      <w:r w:rsidRPr="00F648B3">
        <w:rPr>
          <w:rFonts w:ascii="Times New Roman" w:eastAsia="Arial Unicode MS" w:hAnsi="Times New Roman" w:cs="Times New Roman"/>
          <w:i/>
          <w:iCs/>
          <w:color w:val="000000"/>
          <w:kern w:val="0"/>
          <w:sz w:val="28"/>
          <w:szCs w:val="28"/>
          <w:lang w:eastAsia="ru-RU" w:bidi="ru-RU"/>
        </w:rPr>
        <w:t>логическая задача</w:t>
      </w:r>
      <w:r w:rsidRPr="00F648B3">
        <w:rPr>
          <w:rFonts w:ascii="Arial Unicode MS" w:eastAsia="Arial Unicode MS" w:hAnsi="Arial Unicode MS" w:cs="Arial Unicode MS"/>
          <w:color w:val="000000"/>
          <w:kern w:val="0"/>
          <w:sz w:val="24"/>
          <w:szCs w:val="24"/>
          <w:lang w:eastAsia="ru-RU" w:bidi="ru-RU"/>
        </w:rPr>
        <w:t xml:space="preserve"> представляет собой единство двух факторов: предписание совершить определенные действия и указание на объект, относительно которого предлагается совершить данные действия (Г.А. Балл, О.К. Тихомиров, А.И. Уман). В структуре логической задачи имеется еще третий, скрытый элемент - отношение между условиями и требованием задачи, которое потенциально содержит в себе </w:t>
      </w:r>
      <w:r w:rsidRPr="00F648B3">
        <w:rPr>
          <w:rFonts w:ascii="Times New Roman" w:eastAsia="Arial Unicode MS" w:hAnsi="Times New Roman" w:cs="Times New Roman"/>
          <w:color w:val="000000"/>
          <w:kern w:val="0"/>
          <w:sz w:val="28"/>
          <w:u w:val="single"/>
          <w:lang w:eastAsia="ru-RU" w:bidi="ru-RU"/>
        </w:rPr>
        <w:t>способ</w:t>
      </w:r>
      <w:r w:rsidRPr="00F648B3">
        <w:rPr>
          <w:rFonts w:ascii="Arial Unicode MS" w:eastAsia="Arial Unicode MS" w:hAnsi="Arial Unicode MS" w:cs="Arial Unicode MS"/>
          <w:color w:val="000000"/>
          <w:kern w:val="0"/>
          <w:sz w:val="24"/>
          <w:szCs w:val="24"/>
          <w:lang w:eastAsia="ru-RU" w:bidi="ru-RU"/>
        </w:rPr>
        <w:t xml:space="preserve"> ее решения. Так как действия анализа, абстрагирования, сравнения, классификации, обобщения, оперирования свойствами и др. по сути - логические, то их выполнение</w:t>
      </w:r>
      <w:r w:rsidRPr="00F648B3">
        <w:rPr>
          <w:rFonts w:ascii="Arial Unicode MS" w:eastAsia="Arial Unicode MS" w:hAnsi="Arial Unicode MS" w:cs="Arial Unicode MS"/>
          <w:color w:val="000000"/>
          <w:kern w:val="0"/>
          <w:sz w:val="24"/>
          <w:szCs w:val="24"/>
          <w:vertAlign w:val="superscript"/>
          <w:lang w:eastAsia="ru-RU" w:bidi="ru-RU"/>
        </w:rPr>
        <w:t>1</w:t>
      </w:r>
      <w:r w:rsidRPr="00F648B3">
        <w:rPr>
          <w:rFonts w:ascii="Arial Unicode MS" w:eastAsia="Arial Unicode MS" w:hAnsi="Arial Unicode MS" w:cs="Arial Unicode MS"/>
          <w:color w:val="000000"/>
          <w:kern w:val="0"/>
          <w:sz w:val="24"/>
          <w:szCs w:val="24"/>
          <w:lang w:eastAsia="ru-RU" w:bidi="ru-RU"/>
        </w:rPr>
        <w:t xml:space="preserve"> является решением логической задачи. Эмоционально-привлекательная форма, занимательный характер логических задач способствует проявлению к ним детьми устойчивого интереса.</w:t>
      </w:r>
    </w:p>
    <w:p w:rsidR="00F648B3" w:rsidRPr="00F648B3" w:rsidRDefault="00F648B3" w:rsidP="00F648B3">
      <w:pPr>
        <w:tabs>
          <w:tab w:val="clear" w:pos="709"/>
          <w:tab w:val="left" w:pos="9278"/>
        </w:tabs>
        <w:suppressAutoHyphens w:val="0"/>
        <w:spacing w:after="0" w:line="413"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 xml:space="preserve">Среди интеллектуальных игр особое место занимают логические игры. </w:t>
      </w:r>
      <w:r w:rsidRPr="00F648B3">
        <w:rPr>
          <w:rFonts w:ascii="Times New Roman" w:eastAsia="Arial Unicode MS" w:hAnsi="Times New Roman" w:cs="Times New Roman"/>
          <w:i/>
          <w:iCs/>
          <w:color w:val="000000"/>
          <w:kern w:val="0"/>
          <w:sz w:val="28"/>
          <w:szCs w:val="28"/>
          <w:lang w:eastAsia="ru-RU" w:bidi="ru-RU"/>
        </w:rPr>
        <w:t>Логическая игра,</w:t>
      </w:r>
      <w:r w:rsidRPr="00F648B3">
        <w:rPr>
          <w:rFonts w:ascii="Arial Unicode MS" w:eastAsia="Arial Unicode MS" w:hAnsi="Arial Unicode MS" w:cs="Arial Unicode MS"/>
          <w:color w:val="000000"/>
          <w:kern w:val="0"/>
          <w:sz w:val="24"/>
          <w:szCs w:val="24"/>
          <w:lang w:eastAsia="ru-RU" w:bidi="ru-RU"/>
        </w:rPr>
        <w:t xml:space="preserve"> компонентом которой является логическая задача, представлена через игровое начало, игровую задачу, игровые действия и правила.</w:t>
      </w:r>
      <w:r w:rsidRPr="00F648B3">
        <w:rPr>
          <w:rFonts w:ascii="Arial Unicode MS" w:eastAsia="Arial Unicode MS" w:hAnsi="Arial Unicode MS" w:cs="Arial Unicode MS"/>
          <w:color w:val="000000"/>
          <w:kern w:val="0"/>
          <w:sz w:val="24"/>
          <w:szCs w:val="24"/>
          <w:lang w:eastAsia="ru-RU" w:bidi="ru-RU"/>
        </w:rPr>
        <w:tab/>
      </w:r>
      <w:r w:rsidRPr="00F648B3">
        <w:rPr>
          <w:rFonts w:ascii="Arial Unicode MS" w:eastAsia="Arial Unicode MS" w:hAnsi="Arial Unicode MS" w:cs="Arial Unicode MS"/>
          <w:color w:val="000000"/>
          <w:kern w:val="0"/>
          <w:sz w:val="24"/>
          <w:szCs w:val="24"/>
          <w:vertAlign w:val="superscript"/>
          <w:lang w:val="en-US" w:eastAsia="en-US" w:bidi="en-US"/>
        </w:rPr>
        <w:t>J</w:t>
      </w:r>
    </w:p>
    <w:p w:rsidR="00F648B3" w:rsidRPr="00F648B3" w:rsidRDefault="00F648B3" w:rsidP="00F648B3">
      <w:pPr>
        <w:tabs>
          <w:tab w:val="clear" w:pos="709"/>
        </w:tabs>
        <w:suppressAutoHyphens w:val="0"/>
        <w:spacing w:after="0" w:line="413"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Логические игры являются средством комплексного развивающего воздействия на развитие дошкольника: открывают эффективные пути активизации умственной деятельности, развития познавательных и волевых процессов, способствуют общению детей, наполняют их досуг интересным содержанием, помогают лучшему усвоению знаний и представлений. Установлено, что овладение старшими дошкольниками способами решения логических задач позволяют совершенствовать мыслительные умения и выступает показателем их освоения (А.З. Зак, З.А. Михайлова и др.).</w:t>
      </w:r>
    </w:p>
    <w:p w:rsidR="00F648B3" w:rsidRPr="00F648B3" w:rsidRDefault="00F648B3" w:rsidP="00F648B3">
      <w:pPr>
        <w:tabs>
          <w:tab w:val="clear" w:pos="709"/>
        </w:tabs>
        <w:suppressAutoHyphens w:val="0"/>
        <w:spacing w:after="0" w:line="413"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Логические игры и задачи выполняют функцию умственного развития успешнее, если они применяются в системе, предполагающей вариативность, постепенное их усложнение по содержанию и структуре.</w:t>
      </w:r>
    </w:p>
    <w:p w:rsidR="00F648B3" w:rsidRPr="00F648B3" w:rsidRDefault="00F648B3" w:rsidP="00F648B3">
      <w:pPr>
        <w:tabs>
          <w:tab w:val="clear" w:pos="709"/>
        </w:tabs>
        <w:suppressAutoHyphens w:val="0"/>
        <w:spacing w:after="0" w:line="413"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Несмотря на многочисленные методические разработки в области конструирования логических игр и задач в исследованиях Д. Агр, Э.С. Акоповой, В.Г. Гоголевой, А.З. Зака, А.К. Звонкина, З.А. Михайловой, Е.А. Носовой, Л.М. Клариной, Ю.В. Кузьменко, А.А. Смоленцевой и др., анализ</w:t>
      </w:r>
    </w:p>
    <w:p w:rsidR="00F648B3" w:rsidRPr="00F648B3" w:rsidRDefault="00F648B3" w:rsidP="00F648B3">
      <w:pPr>
        <w:tabs>
          <w:tab w:val="clear" w:pos="709"/>
        </w:tabs>
        <w:suppressAutoHyphens w:val="0"/>
        <w:spacing w:after="0" w:line="200" w:lineRule="exact"/>
        <w:ind w:left="9360" w:firstLine="0"/>
        <w:jc w:val="left"/>
        <w:rPr>
          <w:rFonts w:ascii="Century Gothic" w:eastAsia="Century Gothic" w:hAnsi="Century Gothic" w:cs="Century Gothic"/>
          <w:w w:val="70"/>
          <w:kern w:val="0"/>
          <w:sz w:val="8"/>
          <w:szCs w:val="8"/>
          <w:lang w:eastAsia="ru-RU" w:bidi="ru-RU"/>
        </w:rPr>
      </w:pPr>
      <w:r w:rsidRPr="00F648B3">
        <w:rPr>
          <w:rFonts w:ascii="Arial" w:eastAsia="Arial" w:hAnsi="Arial" w:cs="Arial"/>
          <w:color w:val="000000"/>
          <w:kern w:val="0"/>
          <w:sz w:val="20"/>
          <w:szCs w:val="20"/>
          <w:shd w:val="clear" w:color="auto" w:fill="FFFFFF"/>
          <w:lang w:eastAsia="ru-RU" w:bidi="ru-RU"/>
        </w:rPr>
        <w:t>4</w:t>
      </w:r>
      <w:r w:rsidRPr="00F648B3">
        <w:rPr>
          <w:rFonts w:ascii="Century Gothic" w:eastAsia="Century Gothic" w:hAnsi="Century Gothic" w:cs="Century Gothic"/>
          <w:color w:val="000000"/>
          <w:w w:val="70"/>
          <w:kern w:val="0"/>
          <w:sz w:val="8"/>
          <w:szCs w:val="8"/>
          <w:lang w:eastAsia="ru-RU" w:bidi="ru-RU"/>
        </w:rPr>
        <w:t>-</w:t>
      </w:r>
    </w:p>
    <w:p w:rsidR="00F648B3" w:rsidRPr="00F648B3" w:rsidRDefault="00F648B3" w:rsidP="00F648B3">
      <w:pPr>
        <w:tabs>
          <w:tab w:val="clear" w:pos="709"/>
        </w:tabs>
        <w:suppressAutoHyphens w:val="0"/>
        <w:spacing w:after="0" w:line="413" w:lineRule="exact"/>
        <w:ind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литературы по проблеме показал недостаточное научное обоснование интеллектуально-развивающих возможностей логических игр и задач.</w:t>
      </w:r>
    </w:p>
    <w:p w:rsidR="00F648B3" w:rsidRPr="00F648B3" w:rsidRDefault="00F648B3" w:rsidP="00F648B3">
      <w:pPr>
        <w:tabs>
          <w:tab w:val="clear" w:pos="709"/>
        </w:tabs>
        <w:suppressAutoHyphens w:val="0"/>
        <w:spacing w:after="0" w:line="413"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Возможность «быть средством умственного развития» заложена в самой структуре логических игр и задач: в них скрытые проблемные моменты обеспечивают движение мысли дошкольника в определенном направлении, способствуют выдвижению догадок. Тем не менее ведущая роль в реализации возможности логических задач быть средством умственного развития принадлежит педагогу, который в образовательном процессе должен создавать условия, при которых будут задействованы содержательно-операциональный, потребностно-мотивационный и эмоциональный компоненты умственного развития, будут обогащаться знания и представления дошкольников об объектах, развиваться мыслительные умения и речь детей, активно проявляться познавательная инициатива, самостоятельность при решении логических задач.</w:t>
      </w:r>
    </w:p>
    <w:p w:rsidR="00F648B3" w:rsidRPr="00F648B3" w:rsidRDefault="00F648B3" w:rsidP="00F648B3">
      <w:pPr>
        <w:tabs>
          <w:tab w:val="clear" w:pos="709"/>
        </w:tabs>
        <w:suppressAutoHyphens w:val="0"/>
        <w:spacing w:after="0" w:line="413"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Вопрос о педагогических условиях организации умственного развития детей дошкольного возраста в логических играх и задачах рассматривался в работах А.З. Зака, 31А. Михайловой, Е.А. Носовой, Е.А. Столяра, однако, научный поиск эффективных условий, претендующих на универсальность в отношении всех, а не отдельных видов игр и задач, представляет актуальную проблему, требующую теоретического и практического решения.</w:t>
      </w:r>
    </w:p>
    <w:p w:rsidR="00F648B3" w:rsidRPr="00F648B3" w:rsidRDefault="00F648B3" w:rsidP="00F648B3">
      <w:pPr>
        <w:tabs>
          <w:tab w:val="clear" w:pos="709"/>
        </w:tabs>
        <w:suppressAutoHyphens w:val="0"/>
        <w:spacing w:after="0" w:line="413"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Таким образом, на современном этапе дошкольного образования можно констатировать недостаточность научно-методических материалов, определяющих стратегию педагогической организации умственного развития детей старшего дошкольного возраста, предполагающую выявление педагогических условий умственного развития в ходе логических игр и задач. “</w:t>
      </w:r>
    </w:p>
    <w:p w:rsidR="00F648B3" w:rsidRPr="00F648B3" w:rsidRDefault="00F648B3" w:rsidP="00F648B3">
      <w:pPr>
        <w:tabs>
          <w:tab w:val="clear" w:pos="709"/>
        </w:tabs>
        <w:suppressAutoHyphens w:val="0"/>
        <w:spacing w:after="0" w:line="413"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 xml:space="preserve">Педагогическая модель организации умственного развития детей в ходе решения ими логических задач, обусловленная личностно-ориентированным подходом в образовании, выполняет критериальную, прогностическую и преобразующую функции и включает в себя взаимосвязанные компоненты - совокупность ценностей, цель, принципы, содержание, управление (Б.А. Глинский, О.Е. Лебедев, </w:t>
      </w:r>
      <w:r w:rsidRPr="00F648B3">
        <w:rPr>
          <w:rFonts w:ascii="Arial Unicode MS" w:eastAsia="Arial Unicode MS" w:hAnsi="Arial Unicode MS" w:cs="Arial Unicode MS"/>
          <w:color w:val="000000"/>
          <w:kern w:val="0"/>
          <w:sz w:val="24"/>
          <w:szCs w:val="24"/>
          <w:lang w:val="uk-UA" w:eastAsia="uk-UA" w:bidi="uk-UA"/>
        </w:rPr>
        <w:t xml:space="preserve">ВІК. </w:t>
      </w:r>
      <w:r w:rsidRPr="00F648B3">
        <w:rPr>
          <w:rFonts w:ascii="Arial Unicode MS" w:eastAsia="Arial Unicode MS" w:hAnsi="Arial Unicode MS" w:cs="Arial Unicode MS"/>
          <w:color w:val="000000"/>
          <w:kern w:val="0"/>
          <w:sz w:val="24"/>
          <w:szCs w:val="24"/>
          <w:lang w:eastAsia="ru-RU" w:bidi="ru-RU"/>
        </w:rPr>
        <w:t>Лукашевич и др.).</w:t>
      </w:r>
    </w:p>
    <w:p w:rsidR="00F648B3" w:rsidRPr="00F648B3" w:rsidRDefault="00F648B3" w:rsidP="00F648B3">
      <w:pPr>
        <w:tabs>
          <w:tab w:val="clear" w:pos="709"/>
        </w:tabs>
        <w:suppressAutoHyphens w:val="0"/>
        <w:spacing w:after="0" w:line="413"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Ценностный компонент педагогической модели исследования составляют ценности, признанные личностно ориентированной педагогикой: личность ребенка, его интересы, здоровье, игровая деятельность, общение. Целью организации умственного развития детей 5-6 лет в процессе логических игр и задач является достижение старшими дошкольниками более высокого уровня умственного развития (обогащенных представлений об объектах, развития мыслительных умений,' необходимых для осуществления эффективной умственной деятельности при решении логических задач, проявление</w:t>
      </w:r>
    </w:p>
    <w:p w:rsidR="00F648B3" w:rsidRPr="00F648B3" w:rsidRDefault="00F648B3" w:rsidP="00F648B3">
      <w:pPr>
        <w:tabs>
          <w:tab w:val="clear" w:pos="709"/>
        </w:tabs>
        <w:suppressAutoHyphens w:val="0"/>
        <w:spacing w:after="0" w:line="413" w:lineRule="exact"/>
        <w:ind w:right="160"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познавательного интереса). В качестве принципов организации умственного развития детей 5-6 лет в ходе решения ими логических задач в исследовании выделены принципы сотрудничества педагога и ребенка, развитие индивидуальности участников образовательного процесса, успешность деятельности по решению задач, единство эмоционального и рационального.</w:t>
      </w:r>
    </w:p>
    <w:p w:rsidR="00F648B3" w:rsidRPr="00F648B3" w:rsidRDefault="00F648B3" w:rsidP="00F648B3">
      <w:pPr>
        <w:tabs>
          <w:tab w:val="clear" w:pos="709"/>
        </w:tabs>
        <w:suppressAutoHyphens w:val="0"/>
        <w:spacing w:after="0" w:line="413" w:lineRule="exact"/>
        <w:ind w:right="160"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Содержание системы логических игр и задач предполагает многообразие видов логических задач и постепенное усложнение предъявляемого материала.</w:t>
      </w:r>
    </w:p>
    <w:p w:rsidR="00F648B3" w:rsidRPr="00F648B3" w:rsidRDefault="00F648B3" w:rsidP="00F648B3">
      <w:pPr>
        <w:tabs>
          <w:tab w:val="clear" w:pos="709"/>
        </w:tabs>
        <w:suppressAutoHyphens w:val="0"/>
        <w:spacing w:after="0" w:line="413" w:lineRule="exact"/>
        <w:ind w:right="160"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Управление мыслительной деятельностью старших дошкольников в процессе организации их умственного развития в ходе логических игр и задач представлено: 1) диагностикой уровня умственного развития с целью получения данных о качестве педагогического воздействия; 2) путями управления (прямой путь - непосредственное речевое взаимодействие педагога и ребенка, косвенный - создание педагогических условий).</w:t>
      </w:r>
    </w:p>
    <w:p w:rsidR="00F648B3" w:rsidRPr="00F648B3" w:rsidRDefault="00F648B3" w:rsidP="00F648B3">
      <w:pPr>
        <w:tabs>
          <w:tab w:val="clear" w:pos="709"/>
        </w:tabs>
        <w:suppressAutoHyphens w:val="0"/>
        <w:spacing w:after="0" w:line="413"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Педагогическими условиями организации умственного развития старших дошкольников являются: обеспечение субъектной позиции ребенка старшего дошкольного возраста в процессе освоения ими логических игр и задач, выполняющих функцию объективной цели деятельности (практической и умственной) (И.А. Васильев, Е.В. Бондаревская, С.Л. Братченко, О.С. Газман, В.Г. Казанская, В.Д. Шадриков); использование системы логических игр и задач, адекватной содержанию и особенностям развития ребенка в старшем дошкольном возрасте (А.Ж. Овчинникова, Н.Н. Поддъяков, Т.А. Соловьева);' подготовка успешности решения логических задач детьми 5-6 лет посредством антиципации результата умственной деятельности (Э.Е. Бехтель, Е.И. Казакова, Б.Ф. Ломов, А.Р. Лопатин, Е.А. Сергиенко, А.П. Тряпицына).</w:t>
      </w:r>
    </w:p>
    <w:p w:rsidR="00F648B3" w:rsidRPr="00F648B3" w:rsidRDefault="00F648B3" w:rsidP="00F648B3">
      <w:pPr>
        <w:tabs>
          <w:tab w:val="clear" w:pos="709"/>
        </w:tabs>
        <w:suppressAutoHyphens w:val="0"/>
        <w:spacing w:after="0" w:line="413" w:lineRule="exact"/>
        <w:ind w:right="160"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Диагностика уровня умственного развития детей 5-6 лет в ходе решения ими логических задач осуществляется с целью получения данных об эффективности реализации педагогических условий.</w:t>
      </w:r>
    </w:p>
    <w:p w:rsidR="00F648B3" w:rsidRPr="00F648B3" w:rsidRDefault="00F648B3" w:rsidP="00F648B3">
      <w:pPr>
        <w:tabs>
          <w:tab w:val="clear" w:pos="709"/>
        </w:tabs>
        <w:suppressAutoHyphens w:val="0"/>
        <w:spacing w:after="0" w:line="413" w:lineRule="exact"/>
        <w:ind w:right="160"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Анализ психолого-педагогической литературы позволил нам выделить три теоретически возможных уровня умственного развития в процессе решения дошкольниками логических задач. Критериями, характеризующими данные уровни, являются: особенности проявления мыслительных умений в ходе решения детьми логических задач; фонд действенных знаний и представлений; проявление познавательного интереса к логическим играм и задачам; вербальная форма выражения практических и умственных действий.</w:t>
      </w:r>
    </w:p>
    <w:p w:rsidR="00F648B3" w:rsidRPr="00F648B3" w:rsidRDefault="00F648B3" w:rsidP="00F648B3">
      <w:pPr>
        <w:tabs>
          <w:tab w:val="clear" w:pos="709"/>
        </w:tabs>
        <w:suppressAutoHyphens w:val="0"/>
        <w:spacing w:after="0" w:line="413"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С целью выявления исходных уровней умственного развития</w:t>
      </w:r>
    </w:p>
    <w:p w:rsidR="00F648B3" w:rsidRPr="00F648B3" w:rsidRDefault="00F648B3" w:rsidP="00F648B3">
      <w:pPr>
        <w:tabs>
          <w:tab w:val="clear" w:pos="709"/>
        </w:tabs>
        <w:suppressAutoHyphens w:val="0"/>
        <w:spacing w:after="0" w:line="413" w:lineRule="exact"/>
        <w:ind w:right="160"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 xml:space="preserve">дошкольников и условий развивающей предметно-пространственной среды для умственного развития детей 5-6 лет, а также анализа профессиональной компетентности воспитателей в использовании логических игр и задач как средства умственного развития в образовательном процессе дошкольного образовательного учреждения был проведен </w:t>
      </w:r>
      <w:r w:rsidRPr="00F648B3">
        <w:rPr>
          <w:rFonts w:ascii="Times New Roman" w:eastAsia="Arial Unicode MS" w:hAnsi="Times New Roman" w:cs="Times New Roman"/>
          <w:i/>
          <w:iCs/>
          <w:color w:val="000000"/>
          <w:kern w:val="0"/>
          <w:sz w:val="28"/>
          <w:szCs w:val="28"/>
          <w:lang w:eastAsia="ru-RU" w:bidi="ru-RU"/>
        </w:rPr>
        <w:t>констатирующий эксперимент.</w:t>
      </w:r>
    </w:p>
    <w:p w:rsidR="00F648B3" w:rsidRPr="00F648B3" w:rsidRDefault="00F648B3" w:rsidP="00F648B3">
      <w:pPr>
        <w:tabs>
          <w:tab w:val="clear" w:pos="709"/>
        </w:tabs>
        <w:suppressAutoHyphens w:val="0"/>
        <w:spacing w:after="0" w:line="413" w:lineRule="exact"/>
        <w:ind w:right="160"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Исследование по методике Д. Векслера (1 серия эксперимента) показало, что функциональный уровень организации структуры интеллекта (умственного развития) большинства детей 5-6 лет соответствует сниженной норме.</w:t>
      </w:r>
    </w:p>
    <w:p w:rsidR="00F648B3" w:rsidRPr="00F648B3" w:rsidRDefault="00F648B3" w:rsidP="00F648B3">
      <w:pPr>
        <w:tabs>
          <w:tab w:val="clear" w:pos="709"/>
        </w:tabs>
        <w:suppressAutoHyphens w:val="0"/>
        <w:spacing w:after="0" w:line="413" w:lineRule="exact"/>
        <w:ind w:right="160"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В ходе 2 серии эксперимента было обнаружено, что дошкольники в процессе решения логических задач пользовались двумя видами поисковых проб (способов решения задачи): 1) практически-действенными и 2) мысленными (с последующей проверкой практическим путем).</w:t>
      </w:r>
    </w:p>
    <w:p w:rsidR="00F648B3" w:rsidRPr="00F648B3" w:rsidRDefault="00F648B3" w:rsidP="00F648B3">
      <w:pPr>
        <w:tabs>
          <w:tab w:val="clear" w:pos="709"/>
        </w:tabs>
        <w:suppressAutoHyphens w:val="0"/>
        <w:spacing w:after="0" w:line="413" w:lineRule="exact"/>
        <w:ind w:right="160"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Практически-действенные пробы, характерные для большинства детей, показавших низкий и средний уровень умственного развития, реже приводили к правильному решению, так как предполагали использование способа «проб и ошибок, в отличие от проб мысленных, более эффективных при решении логических задач, типичных для детей, которых мы отнесли к высокому уровню умственных действий при решении задач.</w:t>
      </w:r>
    </w:p>
    <w:p w:rsidR="00F648B3" w:rsidRPr="00F648B3" w:rsidRDefault="00F648B3" w:rsidP="00F648B3">
      <w:pPr>
        <w:tabs>
          <w:tab w:val="clear" w:pos="709"/>
        </w:tabs>
        <w:suppressAutoHyphens w:val="0"/>
        <w:spacing w:after="0" w:line="413" w:lineRule="exact"/>
        <w:ind w:firstLine="760"/>
        <w:jc w:val="left"/>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Результаты эксперимента показали, что логические игры и задачи требуют определенного объема представлений об объектах и явлениях, знаний о возможностях оперирования готовой информацией, представленной в виде ' алгоритмического предписания, определенного жизненного опыта.</w:t>
      </w:r>
    </w:p>
    <w:p w:rsidR="00F648B3" w:rsidRPr="00F648B3" w:rsidRDefault="00F648B3" w:rsidP="00F648B3">
      <w:pPr>
        <w:tabs>
          <w:tab w:val="clear" w:pos="709"/>
        </w:tabs>
        <w:suppressAutoHyphens w:val="0"/>
        <w:spacing w:after="0" w:line="413" w:lineRule="exact"/>
        <w:ind w:right="160"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 xml:space="preserve">Наличие познавательного интереса к логическим играм и задачам было отмечено у большинства детей (66,7 % (КГ) и 63,3 % (ЭГ)), за исключением тех, у кого процесс решения логической задачи не вызвал интереса (10 % (КГ) и 6,7 </w:t>
      </w:r>
      <w:r w:rsidRPr="00F648B3">
        <w:rPr>
          <w:rFonts w:ascii="Times New Roman" w:eastAsia="Arial Unicode MS" w:hAnsi="Times New Roman" w:cs="Times New Roman"/>
          <w:i/>
          <w:iCs/>
          <w:color w:val="000000"/>
          <w:kern w:val="0"/>
          <w:sz w:val="28"/>
          <w:szCs w:val="28"/>
          <w:lang w:eastAsia="ru-RU" w:bidi="ru-RU"/>
        </w:rPr>
        <w:t>%</w:t>
      </w:r>
      <w:r w:rsidRPr="00F648B3">
        <w:rPr>
          <w:rFonts w:ascii="Arial Unicode MS" w:eastAsia="Arial Unicode MS" w:hAnsi="Arial Unicode MS" w:cs="Arial Unicode MS"/>
          <w:color w:val="000000"/>
          <w:kern w:val="0"/>
          <w:sz w:val="24"/>
          <w:szCs w:val="24"/>
          <w:lang w:eastAsia="ru-RU" w:bidi="ru-RU"/>
        </w:rPr>
        <w:t xml:space="preserve"> (ЭГ)) и тех, кто не проявлял интеллектуальных эмоций (23,3 % (КГ) и 30 % (ЭГ)). Данный факт свидетельствует о содержательности логических игр и задач, их познавательной направленности.</w:t>
      </w:r>
    </w:p>
    <w:p w:rsidR="00F648B3" w:rsidRPr="00F648B3" w:rsidRDefault="00F648B3" w:rsidP="00F648B3">
      <w:pPr>
        <w:tabs>
          <w:tab w:val="clear" w:pos="709"/>
        </w:tabs>
        <w:suppressAutoHyphens w:val="0"/>
        <w:spacing w:after="0" w:line="413" w:lineRule="exact"/>
        <w:ind w:right="160"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Невысокий уровень интереса некоторых детей к логическим играм и задачам связан с несколькими возможными причинами: отсутствием взаимодействия между педагогом и детьми в свободное время, недостаточными знаниями дошкольников о способах решения логической задачи. Снижение познавательного интереса к отдельным видам логических игр и задач обусловлено сложностью достижения ребенком необходимого результата, вследствие недостаточного владения мыслительными умениями</w:t>
      </w:r>
    </w:p>
    <w:p w:rsidR="00F648B3" w:rsidRPr="00F648B3" w:rsidRDefault="00F648B3" w:rsidP="00F648B3">
      <w:pPr>
        <w:tabs>
          <w:tab w:val="clear" w:pos="709"/>
        </w:tabs>
        <w:suppressAutoHyphens w:val="0"/>
        <w:spacing w:after="0" w:line="413" w:lineRule="exact"/>
        <w:ind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абстрагироваться от несущественного, рассуждать и аргументировать решение; направленностью интереса детей на процесс, а не на результат деятельности.</w:t>
      </w:r>
    </w:p>
    <w:p w:rsidR="00F648B3" w:rsidRPr="00F648B3" w:rsidRDefault="00F648B3" w:rsidP="00F648B3">
      <w:pPr>
        <w:tabs>
          <w:tab w:val="clear" w:pos="709"/>
        </w:tabs>
        <w:suppressAutoHyphens w:val="0"/>
        <w:spacing w:after="0" w:line="413"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В ходе констатирующего эксперимента была выявлена зависимость используемого способа решения (мысленного, практического) от уровня развития у детей умения организовать поиск решения, рассуждать, осуществлять мысленный анализ, аргументировать выбор решения задачи.</w:t>
      </w:r>
    </w:p>
    <w:p w:rsidR="00F648B3" w:rsidRPr="00F648B3" w:rsidRDefault="00F648B3" w:rsidP="00F648B3">
      <w:pPr>
        <w:tabs>
          <w:tab w:val="clear" w:pos="709"/>
        </w:tabs>
        <w:suppressAutoHyphens w:val="0"/>
        <w:spacing w:after="0" w:line="413"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Эксперимент показал взаимовлияние логических задач разных видов, что предполагало конструирование системы логических игр и задач с учетом постепенного освоения детьми способов и умений решать более простые задачи (преимущественно, представленные наглядным стимульным материалом) и умений решать наиболее сложные задачи (в вербальном плане, требующим развернутых рассуждений, обоснованных выводов); распределение видов игр и задач в системе, предполагающей условия для переноса ранее усвоенных приемов на решение задач другого вида или другой степени сложности.</w:t>
      </w:r>
    </w:p>
    <w:p w:rsidR="00F648B3" w:rsidRPr="00F648B3" w:rsidRDefault="00F648B3" w:rsidP="00F648B3">
      <w:pPr>
        <w:tabs>
          <w:tab w:val="clear" w:pos="709"/>
        </w:tabs>
        <w:suppressAutoHyphens w:val="0"/>
        <w:spacing w:after="0" w:line="413"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 xml:space="preserve">Результаты анализа 2-ой серии констатирующего эксперимента показали, что большинство детей находится на среднем уровне умственного развития ((73,3 % (КГ) и 66,6 </w:t>
      </w:r>
      <w:r w:rsidRPr="00F648B3">
        <w:rPr>
          <w:rFonts w:ascii="Times New Roman" w:eastAsia="Arial Unicode MS" w:hAnsi="Times New Roman" w:cs="Times New Roman"/>
          <w:i/>
          <w:iCs/>
          <w:color w:val="000000"/>
          <w:kern w:val="0"/>
          <w:sz w:val="28"/>
          <w:szCs w:val="28"/>
          <w:lang w:eastAsia="ru-RU" w:bidi="ru-RU"/>
        </w:rPr>
        <w:t>%</w:t>
      </w:r>
      <w:r w:rsidRPr="00F648B3">
        <w:rPr>
          <w:rFonts w:ascii="Arial Unicode MS" w:eastAsia="Arial Unicode MS" w:hAnsi="Arial Unicode MS" w:cs="Arial Unicode MS"/>
          <w:color w:val="000000"/>
          <w:kern w:val="0"/>
          <w:sz w:val="24"/>
          <w:szCs w:val="24"/>
          <w:lang w:eastAsia="ru-RU" w:bidi="ru-RU"/>
        </w:rPr>
        <w:t xml:space="preserve"> (ЭГ)). Эти дошкольники обладали недостаточным для решения логических задач объемом знаний и представлений или знания и представления о свойствах и явлениях действительности, отношениях и зависимостях между ними были неточными, что проявилось в неумении актуализировать необходимые знания, отвечать на дополнительные, уточняющие вопросы экспериментатора, использовать соответствующие вербальные формы, характеризуя группы изучаемых объектов. Дети затруднялись в анализе условий задачи, делали немногочисленные по сравнению с дошкольниками, отнесенными к низкому уровню развития, ошибки при решении задач на выявление и абстрагирование свойств объектов, классификацию, умение рассуждать, устанавливать причинно-следственные зависимости. Детям было свойственно повторение однотипных действий, и, как правило, отсутствие самоконтроля и обоснованной аргументации выбора способа решения логической задачи.</w:t>
      </w:r>
    </w:p>
    <w:p w:rsidR="00F648B3" w:rsidRPr="00F648B3" w:rsidRDefault="00F648B3" w:rsidP="00F648B3">
      <w:pPr>
        <w:tabs>
          <w:tab w:val="clear" w:pos="709"/>
        </w:tabs>
        <w:suppressAutoHyphens w:val="0"/>
        <w:spacing w:after="0" w:line="413"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Результаты распределения детей 5-6 лет по уровням умственного развития свидетельствовали о необходимости учета принципа вариативности при конструировании системы логических игр и задач.</w:t>
      </w:r>
    </w:p>
    <w:p w:rsidR="00F648B3" w:rsidRPr="00F648B3" w:rsidRDefault="00F648B3" w:rsidP="00F648B3">
      <w:pPr>
        <w:tabs>
          <w:tab w:val="clear" w:pos="709"/>
        </w:tabs>
        <w:suppressAutoHyphens w:val="0"/>
        <w:spacing w:after="0" w:line="413"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По итогам факторного и корреляционного анализа доказано, что результирующие показатели по логическим играм и задачам и субтестам Д.</w:t>
      </w:r>
    </w:p>
    <w:p w:rsidR="00F648B3" w:rsidRPr="00F648B3" w:rsidRDefault="00F648B3" w:rsidP="00F648B3">
      <w:pPr>
        <w:tabs>
          <w:tab w:val="clear" w:pos="709"/>
        </w:tabs>
        <w:suppressAutoHyphens w:val="0"/>
        <w:spacing w:after="0" w:line="418" w:lineRule="exact"/>
        <w:ind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 xml:space="preserve">Векслера выявляют аналогичные уровни умственного развития, что предполагало проведение контрольного среза на материале констатирующих диагностических логических игр и задач без методики Д.Векслера </w:t>
      </w:r>
      <w:r w:rsidRPr="00F648B3">
        <w:rPr>
          <w:rFonts w:ascii="Arial Unicode MS" w:eastAsia="Arial Unicode MS" w:hAnsi="Arial Unicode MS" w:cs="Arial Unicode MS"/>
          <w:color w:val="000000"/>
          <w:kern w:val="0"/>
          <w:sz w:val="24"/>
          <w:szCs w:val="24"/>
          <w:lang w:eastAsia="en-US" w:bidi="en-US"/>
        </w:rPr>
        <w:t>(</w:t>
      </w:r>
      <w:r w:rsidRPr="00F648B3">
        <w:rPr>
          <w:rFonts w:ascii="Arial Unicode MS" w:eastAsia="Arial Unicode MS" w:hAnsi="Arial Unicode MS" w:cs="Arial Unicode MS"/>
          <w:color w:val="000000"/>
          <w:kern w:val="0"/>
          <w:sz w:val="24"/>
          <w:szCs w:val="24"/>
          <w:lang w:val="en-US" w:eastAsia="en-US" w:bidi="en-US"/>
        </w:rPr>
        <w:t>WISC</w:t>
      </w:r>
      <w:r w:rsidRPr="00F648B3">
        <w:rPr>
          <w:rFonts w:ascii="Arial Unicode MS" w:eastAsia="Arial Unicode MS" w:hAnsi="Arial Unicode MS" w:cs="Arial Unicode MS"/>
          <w:color w:val="000000"/>
          <w:kern w:val="0"/>
          <w:sz w:val="24"/>
          <w:szCs w:val="24"/>
          <w:lang w:eastAsia="en-US" w:bidi="en-US"/>
        </w:rPr>
        <w:t>).</w:t>
      </w:r>
    </w:p>
    <w:p w:rsidR="00F648B3" w:rsidRPr="00F648B3" w:rsidRDefault="00F648B3" w:rsidP="00F648B3">
      <w:pPr>
        <w:tabs>
          <w:tab w:val="clear" w:pos="709"/>
        </w:tabs>
        <w:suppressAutoHyphens w:val="0"/>
        <w:spacing w:after="0" w:line="418"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Констатирующий эксперимент выявил недостаточный уровень теоретических и методических знаний воспитателей по проблеме, несмотря на адекватное понимание педагогами ДОУ развивающих возможностей логических игр и задач в умственном развитии дошкольников, отсутствие направленности педагогов на обогащение предметно-пространственной среды.</w:t>
      </w:r>
    </w:p>
    <w:p w:rsidR="00F648B3" w:rsidRPr="00F648B3" w:rsidRDefault="00F648B3" w:rsidP="00F648B3">
      <w:pPr>
        <w:tabs>
          <w:tab w:val="clear" w:pos="709"/>
        </w:tabs>
        <w:suppressAutoHyphens w:val="0"/>
        <w:spacing w:after="0" w:line="418"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 xml:space="preserve">С целью апробирования разработанной методики организации процесса умственного развития старших дошкольников, предполагающей реализацию системы логических игр и задач и экспериментальное обоснование педагогических условий организации умственного развития детей 5-6 лет средствами логических игр и задач, был проведен </w:t>
      </w:r>
      <w:r w:rsidRPr="00F648B3">
        <w:rPr>
          <w:rFonts w:ascii="Times New Roman" w:eastAsia="Arial Unicode MS" w:hAnsi="Times New Roman" w:cs="Times New Roman"/>
          <w:i/>
          <w:iCs/>
          <w:color w:val="000000"/>
          <w:kern w:val="0"/>
          <w:sz w:val="28"/>
          <w:szCs w:val="28"/>
          <w:lang w:eastAsia="ru-RU" w:bidi="ru-RU"/>
        </w:rPr>
        <w:t>преобразующий эксперимент</w:t>
      </w:r>
      <w:r w:rsidRPr="00F648B3">
        <w:rPr>
          <w:rFonts w:ascii="Times New Roman" w:eastAsia="Arial Unicode MS" w:hAnsi="Times New Roman" w:cs="Times New Roman"/>
          <w:color w:val="000000"/>
          <w:kern w:val="0"/>
          <w:sz w:val="28"/>
          <w:u w:val="single"/>
          <w:lang w:eastAsia="ru-RU" w:bidi="ru-RU"/>
        </w:rPr>
        <w:t>,</w:t>
      </w:r>
      <w:r w:rsidRPr="00F648B3">
        <w:rPr>
          <w:rFonts w:ascii="Arial Unicode MS" w:eastAsia="Arial Unicode MS" w:hAnsi="Arial Unicode MS" w:cs="Arial Unicode MS"/>
          <w:color w:val="000000"/>
          <w:kern w:val="0"/>
          <w:sz w:val="24"/>
          <w:szCs w:val="24"/>
          <w:lang w:eastAsia="ru-RU" w:bidi="ru-RU"/>
        </w:rPr>
        <w:t xml:space="preserve"> представленный двумя направлениями: </w:t>
      </w:r>
      <w:r w:rsidRPr="00F648B3">
        <w:rPr>
          <w:rFonts w:ascii="Times New Roman" w:eastAsia="Arial Unicode MS" w:hAnsi="Times New Roman" w:cs="Times New Roman"/>
          <w:i/>
          <w:iCs/>
          <w:color w:val="000000"/>
          <w:kern w:val="0"/>
          <w:sz w:val="28"/>
          <w:szCs w:val="28"/>
          <w:lang w:eastAsia="ru-RU" w:bidi="ru-RU"/>
        </w:rPr>
        <w:t>цель первого</w:t>
      </w:r>
      <w:r w:rsidRPr="00F648B3">
        <w:rPr>
          <w:rFonts w:ascii="Arial Unicode MS" w:eastAsia="Arial Unicode MS" w:hAnsi="Arial Unicode MS" w:cs="Arial Unicode MS"/>
          <w:color w:val="000000"/>
          <w:kern w:val="0"/>
          <w:sz w:val="24"/>
          <w:szCs w:val="24"/>
          <w:lang w:eastAsia="ru-RU" w:bidi="ru-RU"/>
        </w:rPr>
        <w:t xml:space="preserve"> заключалась в повышении осведомленности педагогов по проблеме умственного развития детей в процессе освоения ими логических игр и задач, </w:t>
      </w:r>
      <w:r w:rsidRPr="00F648B3">
        <w:rPr>
          <w:rFonts w:ascii="Times New Roman" w:eastAsia="Arial Unicode MS" w:hAnsi="Times New Roman" w:cs="Times New Roman"/>
          <w:i/>
          <w:iCs/>
          <w:color w:val="000000"/>
          <w:kern w:val="0"/>
          <w:sz w:val="28"/>
          <w:szCs w:val="28"/>
          <w:lang w:eastAsia="ru-RU" w:bidi="ru-RU"/>
        </w:rPr>
        <w:t>целью второго направления</w:t>
      </w:r>
      <w:r w:rsidRPr="00F648B3">
        <w:rPr>
          <w:rFonts w:ascii="Arial Unicode MS" w:eastAsia="Arial Unicode MS" w:hAnsi="Arial Unicode MS" w:cs="Arial Unicode MS"/>
          <w:color w:val="000000"/>
          <w:kern w:val="0"/>
          <w:sz w:val="24"/>
          <w:szCs w:val="24"/>
          <w:lang w:eastAsia="ru-RU" w:bidi="ru-RU"/>
        </w:rPr>
        <w:t xml:space="preserve"> являлось педагогическое взаимодействие с детьми в ходе организации их умственного развития в процессе решения; логических задач, предполагающее три этапа (1) </w:t>
      </w:r>
      <w:r w:rsidRPr="00F648B3">
        <w:rPr>
          <w:rFonts w:ascii="Times New Roman" w:eastAsia="Arial Unicode MS" w:hAnsi="Times New Roman" w:cs="Times New Roman"/>
          <w:i/>
          <w:iCs/>
          <w:color w:val="000000"/>
          <w:kern w:val="0"/>
          <w:sz w:val="28"/>
          <w:szCs w:val="28"/>
          <w:lang w:eastAsia="ru-RU" w:bidi="ru-RU"/>
        </w:rPr>
        <w:t>подготовительный,</w:t>
      </w:r>
      <w:r w:rsidRPr="00F648B3">
        <w:rPr>
          <w:rFonts w:ascii="Arial Unicode MS" w:eastAsia="Arial Unicode MS" w:hAnsi="Arial Unicode MS" w:cs="Arial Unicode MS"/>
          <w:color w:val="000000"/>
          <w:kern w:val="0"/>
          <w:sz w:val="24"/>
          <w:szCs w:val="24"/>
          <w:lang w:eastAsia="ru-RU" w:bidi="ru-RU"/>
        </w:rPr>
        <w:t xml:space="preserve"> уточняющий и расширяющий представления дошкольников о свойствах объектов, отношениях между ними; направленный на овладение умениями, необходимыми для решения задач различных видов: зрительный и мысленный анализ, планирование решения задача, оценку результата; освоение алгоритмов умственных действий (классификации, установления причинно-следственных связей и отношений); 2) </w:t>
      </w:r>
      <w:r w:rsidRPr="00F648B3">
        <w:rPr>
          <w:rFonts w:ascii="Times New Roman" w:eastAsia="Arial Unicode MS" w:hAnsi="Times New Roman" w:cs="Times New Roman"/>
          <w:i/>
          <w:iCs/>
          <w:color w:val="000000"/>
          <w:kern w:val="0"/>
          <w:sz w:val="28"/>
          <w:szCs w:val="28"/>
          <w:lang w:eastAsia="ru-RU" w:bidi="ru-RU"/>
        </w:rPr>
        <w:t>развивающий,</w:t>
      </w:r>
      <w:r w:rsidRPr="00F648B3">
        <w:rPr>
          <w:rFonts w:ascii="Arial Unicode MS" w:eastAsia="Arial Unicode MS" w:hAnsi="Arial Unicode MS" w:cs="Arial Unicode MS"/>
          <w:color w:val="000000"/>
          <w:kern w:val="0"/>
          <w:sz w:val="24"/>
          <w:szCs w:val="24"/>
          <w:lang w:eastAsia="ru-RU" w:bidi="ru-RU"/>
        </w:rPr>
        <w:t xml:space="preserve"> включающий систему логических игр и задач, направленную на овладение дошкольниками рациональными способами</w:t>
      </w:r>
    </w:p>
    <w:p w:rsidR="00F648B3" w:rsidRPr="00F648B3" w:rsidRDefault="00F648B3" w:rsidP="00F648B3">
      <w:pPr>
        <w:tabs>
          <w:tab w:val="clear" w:pos="709"/>
        </w:tabs>
        <w:suppressAutoHyphens w:val="0"/>
        <w:spacing w:after="0" w:line="80" w:lineRule="exact"/>
        <w:ind w:left="7040" w:firstLine="0"/>
        <w:jc w:val="left"/>
        <w:rPr>
          <w:rFonts w:ascii="Century Gothic" w:eastAsia="Century Gothic" w:hAnsi="Century Gothic" w:cs="Century Gothic"/>
          <w:w w:val="70"/>
          <w:kern w:val="0"/>
          <w:sz w:val="8"/>
          <w:szCs w:val="8"/>
          <w:lang w:eastAsia="ru-RU" w:bidi="ru-RU"/>
        </w:rPr>
      </w:pPr>
      <w:r w:rsidRPr="00F648B3">
        <w:rPr>
          <w:rFonts w:ascii="Century Gothic" w:eastAsia="Century Gothic" w:hAnsi="Century Gothic" w:cs="Century Gothic"/>
          <w:color w:val="000000"/>
          <w:w w:val="70"/>
          <w:kern w:val="0"/>
          <w:sz w:val="8"/>
          <w:szCs w:val="8"/>
          <w:lang w:val="en-US" w:eastAsia="en-US" w:bidi="en-US"/>
        </w:rPr>
        <w:t>t</w:t>
      </w:r>
    </w:p>
    <w:p w:rsidR="00F648B3" w:rsidRPr="00F648B3" w:rsidRDefault="00F648B3" w:rsidP="00F648B3">
      <w:pPr>
        <w:tabs>
          <w:tab w:val="clear" w:pos="709"/>
        </w:tabs>
        <w:suppressAutoHyphens w:val="0"/>
        <w:spacing w:after="0" w:line="413" w:lineRule="exact"/>
        <w:ind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 xml:space="preserve">решения задач, умением обосновывать способ решения, и предполагающую проявление настойчивости в поиске верного решения, устойчивого интереса к процессу и результату решения задачи; 3) </w:t>
      </w:r>
      <w:r w:rsidRPr="00F648B3">
        <w:rPr>
          <w:rFonts w:ascii="Times New Roman" w:eastAsia="Arial Unicode MS" w:hAnsi="Times New Roman" w:cs="Times New Roman"/>
          <w:i/>
          <w:iCs/>
          <w:color w:val="000000"/>
          <w:kern w:val="0"/>
          <w:sz w:val="28"/>
          <w:szCs w:val="28"/>
          <w:lang w:eastAsia="ru-RU" w:bidi="ru-RU"/>
        </w:rPr>
        <w:t>заключительный</w:t>
      </w:r>
      <w:r w:rsidRPr="00F648B3">
        <w:rPr>
          <w:rFonts w:ascii="Arial Unicode MS" w:eastAsia="Arial Unicode MS" w:hAnsi="Arial Unicode MS" w:cs="Arial Unicode MS"/>
          <w:color w:val="000000"/>
          <w:kern w:val="0"/>
          <w:sz w:val="24"/>
          <w:szCs w:val="24"/>
          <w:lang w:eastAsia="ru-RU" w:bidi="ru-RU"/>
        </w:rPr>
        <w:t xml:space="preserve"> (применение дошкольниками рациональных способов решения содержательно новых логических задач, в том числе, включенных в несколько взаимосвязанных между собой проблемных ситуаций, проявление инициативы, самостоятельности в выборе, решении и конструировании задач)), выстроенные с учетом усложнения и дифференциации материала</w:t>
      </w:r>
    </w:p>
    <w:p w:rsidR="00F648B3" w:rsidRPr="00F648B3" w:rsidRDefault="00F648B3" w:rsidP="00F648B3">
      <w:pPr>
        <w:tabs>
          <w:tab w:val="clear" w:pos="709"/>
        </w:tabs>
        <w:suppressAutoHyphens w:val="0"/>
        <w:spacing w:after="0" w:line="413"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 xml:space="preserve">В ходе реализации </w:t>
      </w:r>
      <w:r w:rsidRPr="00F648B3">
        <w:rPr>
          <w:rFonts w:ascii="Times New Roman" w:eastAsia="Arial Unicode MS" w:hAnsi="Times New Roman" w:cs="Times New Roman"/>
          <w:i/>
          <w:iCs/>
          <w:color w:val="000000"/>
          <w:kern w:val="0"/>
          <w:sz w:val="28"/>
          <w:szCs w:val="28"/>
          <w:lang w:eastAsia="ru-RU" w:bidi="ru-RU"/>
        </w:rPr>
        <w:t>первого направления</w:t>
      </w:r>
      <w:r w:rsidRPr="00F648B3">
        <w:rPr>
          <w:rFonts w:ascii="Arial Unicode MS" w:eastAsia="Arial Unicode MS" w:hAnsi="Arial Unicode MS" w:cs="Arial Unicode MS"/>
          <w:color w:val="000000"/>
          <w:kern w:val="0"/>
          <w:sz w:val="24"/>
          <w:szCs w:val="24"/>
          <w:lang w:eastAsia="ru-RU" w:bidi="ru-RU"/>
        </w:rPr>
        <w:t xml:space="preserve"> эксперимента были определены</w:t>
      </w:r>
    </w:p>
    <w:p w:rsidR="00F648B3" w:rsidRPr="00F648B3" w:rsidRDefault="00F648B3" w:rsidP="00F648B3">
      <w:pPr>
        <w:tabs>
          <w:tab w:val="clear" w:pos="709"/>
        </w:tabs>
        <w:suppressAutoHyphens w:val="0"/>
        <w:spacing w:after="0" w:line="413" w:lineRule="exact"/>
        <w:ind w:right="260"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приоритетные направления в организации мероприятий просветительского характера для педагогов ДОУ. Проведенная с воспитателями работа позволила расширить и систематизировать представления педагогов об особенностях умственного развития детей дошкольного возраста, оценить возможности логических игр и задач как средства умственного развития, обозначить перспективы взаимодействия ДОУ и семьи по вопросам организации умственного развития дошкольников в ходе решения логических задач.</w:t>
      </w:r>
    </w:p>
    <w:p w:rsidR="00F648B3" w:rsidRPr="00F648B3" w:rsidRDefault="00F648B3" w:rsidP="00F648B3">
      <w:pPr>
        <w:tabs>
          <w:tab w:val="clear" w:pos="709"/>
        </w:tabs>
        <w:suppressAutoHyphens w:val="0"/>
        <w:spacing w:after="0" w:line="413" w:lineRule="exact"/>
        <w:ind w:right="260"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В процессе эксперимента были практически реализованы выявленные в ходе теоретического анализа научной и методической литературы, в процессе констатирующего этапа эксперимента педагогические условия организации умственного развития детей 5-6 лет средствами логических игр и задач:</w:t>
      </w:r>
    </w:p>
    <w:p w:rsidR="00F648B3" w:rsidRPr="00F648B3" w:rsidRDefault="00F648B3" w:rsidP="00F648B3">
      <w:pPr>
        <w:numPr>
          <w:ilvl w:val="0"/>
          <w:numId w:val="12"/>
        </w:numPr>
        <w:tabs>
          <w:tab w:val="clear" w:pos="709"/>
          <w:tab w:val="left" w:pos="1062"/>
        </w:tabs>
        <w:suppressAutoHyphens w:val="0"/>
        <w:spacing w:after="0" w:line="413" w:lineRule="exact"/>
        <w:jc w:val="left"/>
        <w:rPr>
          <w:rFonts w:ascii="Arial Unicode MS" w:eastAsia="Arial Unicode MS" w:hAnsi="Arial Unicode MS" w:cs="Arial Unicode MS"/>
          <w:color w:val="000000"/>
          <w:kern w:val="0"/>
          <w:sz w:val="24"/>
          <w:szCs w:val="24"/>
          <w:lang w:eastAsia="ru-RU" w:bidi="ru-RU"/>
        </w:rPr>
      </w:pPr>
      <w:r w:rsidRPr="00F648B3">
        <w:rPr>
          <w:rFonts w:ascii="Times New Roman" w:eastAsia="Arial Unicode MS" w:hAnsi="Times New Roman" w:cs="Times New Roman"/>
          <w:i/>
          <w:iCs/>
          <w:color w:val="000000"/>
          <w:kern w:val="0"/>
          <w:sz w:val="28"/>
          <w:szCs w:val="28"/>
          <w:lang w:eastAsia="ru-RU" w:bidi="ru-RU"/>
        </w:rPr>
        <w:t xml:space="preserve">обеспечение субъектной позиции ребенка старшего дошкольного возраста в процессе освоения им логических игр и задач, выполняющих функцию объективной цели деятельности (практической и умственной): </w:t>
      </w:r>
      <w:r w:rsidRPr="00F648B3">
        <w:rPr>
          <w:rFonts w:ascii="Arial Unicode MS" w:eastAsia="Arial Unicode MS" w:hAnsi="Arial Unicode MS" w:cs="Arial Unicode MS"/>
          <w:color w:val="000000"/>
          <w:kern w:val="0"/>
          <w:sz w:val="24"/>
          <w:szCs w:val="24"/>
          <w:lang w:eastAsia="ru-RU" w:bidi="ru-RU"/>
        </w:rPr>
        <w:t>свобода выбора предпочитаемых игр и задач (индивидуальные предпочтения), действий в ходе решения логических задач (принцип эмоциональной комфортности); решение задач одного вида, но разной степени сложности; поддержка инициативного желания ребенка узнавать новое и отражать их в детской деятельности, настойчивого и самостоятельного разрешения • познавательных противоречий при решении задач, включенных в несколько проблемных ситуаций; совершенствование умения обосновывать выбор решения логической задачи;</w:t>
      </w:r>
    </w:p>
    <w:p w:rsidR="00F648B3" w:rsidRPr="00F648B3" w:rsidRDefault="00F648B3" w:rsidP="00F648B3">
      <w:pPr>
        <w:numPr>
          <w:ilvl w:val="0"/>
          <w:numId w:val="12"/>
        </w:numPr>
        <w:tabs>
          <w:tab w:val="clear" w:pos="709"/>
          <w:tab w:val="left" w:pos="1062"/>
        </w:tabs>
        <w:suppressAutoHyphens w:val="0"/>
        <w:spacing w:after="0" w:line="413" w:lineRule="exact"/>
        <w:ind w:right="260"/>
        <w:jc w:val="left"/>
        <w:rPr>
          <w:rFonts w:ascii="Arial Unicode MS" w:eastAsia="Arial Unicode MS" w:hAnsi="Arial Unicode MS" w:cs="Arial Unicode MS"/>
          <w:color w:val="000000"/>
          <w:kern w:val="0"/>
          <w:sz w:val="24"/>
          <w:szCs w:val="24"/>
          <w:lang w:eastAsia="ru-RU" w:bidi="ru-RU"/>
        </w:rPr>
      </w:pPr>
      <w:r w:rsidRPr="00F648B3">
        <w:rPr>
          <w:rFonts w:ascii="Times New Roman" w:eastAsia="Arial Unicode MS" w:hAnsi="Times New Roman" w:cs="Times New Roman"/>
          <w:i/>
          <w:iCs/>
          <w:color w:val="000000"/>
          <w:kern w:val="0"/>
          <w:sz w:val="28"/>
          <w:szCs w:val="28"/>
          <w:lang w:eastAsia="ru-RU" w:bidi="ru-RU"/>
        </w:rPr>
        <w:t>использование системы логических игр и задач, адекватной содержанию и особенностям развития ребенка в старшем дошкольном возрасте</w:t>
      </w:r>
      <w:r w:rsidRPr="00F648B3">
        <w:rPr>
          <w:rFonts w:ascii="Arial Unicode MS" w:eastAsia="Arial Unicode MS" w:hAnsi="Arial Unicode MS" w:cs="Arial Unicode MS"/>
          <w:color w:val="000000"/>
          <w:kern w:val="0"/>
          <w:sz w:val="24"/>
          <w:szCs w:val="24"/>
          <w:lang w:eastAsia="ru-RU" w:bidi="ru-RU"/>
        </w:rPr>
        <w:t xml:space="preserve"> (последовательность логических игр и задач с учетом их взаимовлияния, с целью переноса ранее усвоенных приемов, способов на решение задач на новом содержании; поэтапное освоение способов решения - сначала </w:t>
      </w:r>
      <w:r w:rsidRPr="00F648B3">
        <w:rPr>
          <w:rFonts w:ascii="Times New Roman" w:eastAsia="Arial Unicode MS" w:hAnsi="Times New Roman" w:cs="Times New Roman"/>
          <w:i/>
          <w:iCs/>
          <w:color w:val="000000"/>
          <w:kern w:val="0"/>
          <w:sz w:val="28"/>
          <w:szCs w:val="28"/>
          <w:lang w:eastAsia="ru-RU" w:bidi="ru-RU"/>
        </w:rPr>
        <w:t>преимущественно практическим путем</w:t>
      </w:r>
      <w:r w:rsidRPr="00F648B3">
        <w:rPr>
          <w:rFonts w:ascii="Arial Unicode MS" w:eastAsia="Arial Unicode MS" w:hAnsi="Arial Unicode MS" w:cs="Arial Unicode MS"/>
          <w:color w:val="000000"/>
          <w:kern w:val="0"/>
          <w:sz w:val="24"/>
          <w:szCs w:val="24"/>
          <w:lang w:eastAsia="ru-RU" w:bidi="ru-RU"/>
        </w:rPr>
        <w:t xml:space="preserve"> с максимальной опорой на наглядность, далее - через </w:t>
      </w:r>
      <w:r w:rsidRPr="00F648B3">
        <w:rPr>
          <w:rFonts w:ascii="Times New Roman" w:eastAsia="Arial Unicode MS" w:hAnsi="Times New Roman" w:cs="Times New Roman"/>
          <w:i/>
          <w:iCs/>
          <w:color w:val="000000"/>
          <w:kern w:val="0"/>
          <w:sz w:val="28"/>
          <w:szCs w:val="28"/>
          <w:lang w:eastAsia="ru-RU" w:bidi="ru-RU"/>
        </w:rPr>
        <w:t>преимущественно лшсленное решение</w:t>
      </w:r>
      <w:r w:rsidRPr="00F648B3">
        <w:rPr>
          <w:rFonts w:ascii="Arial Unicode MS" w:eastAsia="Arial Unicode MS" w:hAnsi="Arial Unicode MS" w:cs="Arial Unicode MS"/>
          <w:color w:val="000000"/>
          <w:kern w:val="0"/>
          <w:sz w:val="24"/>
          <w:szCs w:val="24"/>
          <w:lang w:eastAsia="ru-RU" w:bidi="ru-RU"/>
        </w:rPr>
        <w:t xml:space="preserve"> задач с привлечением возможностей наглядности к способам решения логических задач </w:t>
      </w:r>
      <w:r w:rsidRPr="00F648B3">
        <w:rPr>
          <w:rFonts w:ascii="Times New Roman" w:eastAsia="Arial Unicode MS" w:hAnsi="Times New Roman" w:cs="Times New Roman"/>
          <w:i/>
          <w:iCs/>
          <w:color w:val="000000"/>
          <w:kern w:val="0"/>
          <w:sz w:val="28"/>
          <w:szCs w:val="28"/>
          <w:lang w:eastAsia="ru-RU" w:bidi="ru-RU"/>
        </w:rPr>
        <w:t>только мысленным путем);</w:t>
      </w:r>
    </w:p>
    <w:p w:rsidR="00F648B3" w:rsidRPr="00F648B3" w:rsidRDefault="00F648B3" w:rsidP="00F648B3">
      <w:pPr>
        <w:numPr>
          <w:ilvl w:val="0"/>
          <w:numId w:val="12"/>
        </w:numPr>
        <w:tabs>
          <w:tab w:val="clear" w:pos="709"/>
          <w:tab w:val="left" w:pos="1062"/>
        </w:tabs>
        <w:suppressAutoHyphens w:val="0"/>
        <w:spacing w:after="0" w:line="413" w:lineRule="exact"/>
        <w:ind w:right="260"/>
        <w:jc w:val="left"/>
        <w:rPr>
          <w:rFonts w:ascii="Arial Unicode MS" w:eastAsia="Arial Unicode MS" w:hAnsi="Arial Unicode MS" w:cs="Arial Unicode MS"/>
          <w:color w:val="000000"/>
          <w:kern w:val="0"/>
          <w:sz w:val="24"/>
          <w:szCs w:val="24"/>
          <w:lang w:eastAsia="ru-RU" w:bidi="ru-RU"/>
        </w:rPr>
      </w:pPr>
      <w:r w:rsidRPr="00F648B3">
        <w:rPr>
          <w:rFonts w:ascii="Times New Roman" w:eastAsia="Arial Unicode MS" w:hAnsi="Times New Roman" w:cs="Times New Roman"/>
          <w:i/>
          <w:iCs/>
          <w:color w:val="000000"/>
          <w:kern w:val="0"/>
          <w:sz w:val="28"/>
          <w:szCs w:val="28"/>
          <w:lang w:eastAsia="ru-RU" w:bidi="ru-RU"/>
        </w:rPr>
        <w:t>подготовка успешности решения логических задач посредством антиципации результата умственной деятельности</w:t>
      </w:r>
      <w:r w:rsidRPr="00F648B3">
        <w:rPr>
          <w:rFonts w:ascii="Arial Unicode MS" w:eastAsia="Arial Unicode MS" w:hAnsi="Arial Unicode MS" w:cs="Arial Unicode MS"/>
          <w:color w:val="000000"/>
          <w:kern w:val="0"/>
          <w:sz w:val="24"/>
          <w:szCs w:val="24"/>
          <w:lang w:eastAsia="ru-RU" w:bidi="ru-RU"/>
        </w:rPr>
        <w:t xml:space="preserve"> (определение направления поиска решения задачи через формулировку ее условия, вопроса или с помощью самой конструкции задачи (схемы, рисунка, карточки));</w:t>
      </w:r>
    </w:p>
    <w:p w:rsidR="00F648B3" w:rsidRPr="00F648B3" w:rsidRDefault="00F648B3" w:rsidP="00F648B3">
      <w:pPr>
        <w:tabs>
          <w:tab w:val="clear" w:pos="709"/>
        </w:tabs>
        <w:suppressAutoHyphens w:val="0"/>
        <w:spacing w:after="0" w:line="418" w:lineRule="exact"/>
        <w:ind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развитие умения анализировать условие и мысленно планировать решение; использование приема повторного решения однотипной задачи; подготовка успешности решения задач, представленных в системе, решением предыдущих видов задач; визуализация включенных в проблемные ситуации логических задач).</w:t>
      </w:r>
    </w:p>
    <w:p w:rsidR="00F648B3" w:rsidRPr="00F648B3" w:rsidRDefault="00F648B3" w:rsidP="00F648B3">
      <w:pPr>
        <w:tabs>
          <w:tab w:val="clear" w:pos="709"/>
        </w:tabs>
        <w:suppressAutoHyphens w:val="0"/>
        <w:spacing w:after="0" w:line="418" w:lineRule="exact"/>
        <w:ind w:firstLine="98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Наличие этих условий поддерживало познавательной интерес детей к процессу решения, о чем свидетельствует тенденция к самостоятельности, мотивация обращений к педагогу с предложением продолжить процесс решения логических задач. Овладение детьми способами решения задач способствовало проявлению ими творчества — самостоятельного конструирования задач (по аналогии).</w:t>
      </w:r>
    </w:p>
    <w:p w:rsidR="00F648B3" w:rsidRPr="00F648B3" w:rsidRDefault="00F648B3" w:rsidP="00F648B3">
      <w:pPr>
        <w:tabs>
          <w:tab w:val="clear" w:pos="709"/>
        </w:tabs>
        <w:suppressAutoHyphens w:val="0"/>
        <w:spacing w:after="0" w:line="418" w:lineRule="exact"/>
        <w:ind w:firstLine="98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Таким образом, проведенное исследование доказало, что умственное развитие детей 5-6 лет в ходе логических игр и задач происходит успешно при этапном построении данного процесса, обеспечивающего планомерное обогащение и развитие компонентов умственного развития: знаний и представлений о свойствах объектов, мыслительных умений, познавательного интереса, - в ходе реализации необходимых педагогических условий.</w:t>
      </w:r>
    </w:p>
    <w:p w:rsidR="00F648B3" w:rsidRPr="00F648B3" w:rsidRDefault="00F648B3" w:rsidP="00F648B3">
      <w:pPr>
        <w:tabs>
          <w:tab w:val="clear" w:pos="709"/>
          <w:tab w:val="left" w:pos="2166"/>
          <w:tab w:val="left" w:pos="5310"/>
          <w:tab w:val="left" w:pos="8593"/>
        </w:tabs>
        <w:suppressAutoHyphens w:val="0"/>
        <w:spacing w:after="0" w:line="418"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Оценка</w:t>
      </w:r>
      <w:r w:rsidRPr="00F648B3">
        <w:rPr>
          <w:rFonts w:ascii="Arial Unicode MS" w:eastAsia="Arial Unicode MS" w:hAnsi="Arial Unicode MS" w:cs="Arial Unicode MS"/>
          <w:color w:val="000000"/>
          <w:kern w:val="0"/>
          <w:sz w:val="24"/>
          <w:szCs w:val="24"/>
          <w:lang w:eastAsia="ru-RU" w:bidi="ru-RU"/>
        </w:rPr>
        <w:tab/>
        <w:t>динамики изменения</w:t>
      </w:r>
      <w:r w:rsidRPr="00F648B3">
        <w:rPr>
          <w:rFonts w:ascii="Arial Unicode MS" w:eastAsia="Arial Unicode MS" w:hAnsi="Arial Unicode MS" w:cs="Arial Unicode MS"/>
          <w:color w:val="000000"/>
          <w:kern w:val="0"/>
          <w:sz w:val="24"/>
          <w:szCs w:val="24"/>
          <w:lang w:eastAsia="ru-RU" w:bidi="ru-RU"/>
        </w:rPr>
        <w:tab/>
        <w:t>уровней умственного</w:t>
      </w:r>
      <w:r w:rsidRPr="00F648B3">
        <w:rPr>
          <w:rFonts w:ascii="Arial Unicode MS" w:eastAsia="Arial Unicode MS" w:hAnsi="Arial Unicode MS" w:cs="Arial Unicode MS"/>
          <w:color w:val="000000"/>
          <w:kern w:val="0"/>
          <w:sz w:val="24"/>
          <w:szCs w:val="24"/>
          <w:lang w:eastAsia="ru-RU" w:bidi="ru-RU"/>
        </w:rPr>
        <w:tab/>
        <w:t>развития</w:t>
      </w:r>
    </w:p>
    <w:p w:rsidR="00F648B3" w:rsidRPr="00F648B3" w:rsidRDefault="00F648B3" w:rsidP="00F648B3">
      <w:pPr>
        <w:tabs>
          <w:tab w:val="clear" w:pos="709"/>
        </w:tabs>
        <w:suppressAutoHyphens w:val="0"/>
        <w:spacing w:after="0" w:line="418" w:lineRule="exact"/>
        <w:ind w:firstLine="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 xml:space="preserve">осуществлялась с позиций комплексного показателя. Результаты эксперимента показали выраженную положительную динамику в умственном развитии у детей экспериментальной группы, что проявилось в отсутствии низкого уровня, увеличении числа детей с высоким уровнем умственного развития. Дети, по данным констатирующего эксперимента отнесенные к низкому уровню умственного развития (16,7 </w:t>
      </w:r>
      <w:r w:rsidRPr="00F648B3">
        <w:rPr>
          <w:rFonts w:ascii="Times New Roman" w:eastAsia="Arial Unicode MS" w:hAnsi="Times New Roman" w:cs="Times New Roman"/>
          <w:i/>
          <w:iCs/>
          <w:color w:val="000000"/>
          <w:kern w:val="0"/>
          <w:sz w:val="28"/>
          <w:szCs w:val="28"/>
          <w:lang w:eastAsia="ru-RU" w:bidi="ru-RU"/>
        </w:rPr>
        <w:t>%),</w:t>
      </w:r>
      <w:r w:rsidRPr="00F648B3">
        <w:rPr>
          <w:rFonts w:ascii="Arial Unicode MS" w:eastAsia="Arial Unicode MS" w:hAnsi="Arial Unicode MS" w:cs="Arial Unicode MS"/>
          <w:color w:val="000000"/>
          <w:kern w:val="0"/>
          <w:sz w:val="24"/>
          <w:szCs w:val="24"/>
          <w:lang w:eastAsia="ru-RU" w:bidi="ru-RU"/>
        </w:rPr>
        <w:t xml:space="preserve"> перешли на средний уровень, который составили 43,3 % детей. Положительная динамика в умственном развитии дошкольников выразилась в формировании обобщенных, прочно связанных со словами представлений о свойствах объектов. Дети научились анализировать объекты, выделяя в них несколько свойств, сравнивать и обобщать объекты на основе наличия или отсутствия абстрагированных свойств, самостоятельно или при поддержке педагога осуществляли выбор рационального способа решения.</w:t>
      </w:r>
    </w:p>
    <w:p w:rsidR="00F648B3" w:rsidRPr="00F648B3" w:rsidRDefault="00F648B3" w:rsidP="00F648B3">
      <w:pPr>
        <w:tabs>
          <w:tab w:val="clear" w:pos="709"/>
        </w:tabs>
        <w:suppressAutoHyphens w:val="0"/>
        <w:spacing w:after="0" w:line="418" w:lineRule="exact"/>
        <w:ind w:firstLine="74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Контрольный эксперимент показал увеличение детей, отнесенных к высокому уровню умственного развития (с 16,7 % до 56,7 %). В основном, его составили старшие дошкольники, по результатам констатирующего эксперимента отнесенные к высокому и среднему уровню. Для детей с высоким уровнем умственного развития было характерно: умение зрительно и мысленно анализировать задачу; абстрагировать свойства объектов, используя при этом соответствующие вербальные формы, классифицировать объекты по разным основаниям;.устанавливать причинно-следственные зависимости, рассуждать.</w:t>
      </w:r>
    </w:p>
    <w:p w:rsidR="00F648B3" w:rsidRPr="00F648B3" w:rsidRDefault="00F648B3" w:rsidP="00F648B3">
      <w:pPr>
        <w:tabs>
          <w:tab w:val="clear" w:pos="709"/>
        </w:tabs>
        <w:suppressAutoHyphens w:val="0"/>
        <w:spacing w:after="0" w:line="413"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В результате эксперимента большинство детей экспериментальной группы овладели речевыми формами, необходимыми для обозначения свойств, имеющих обобщающее значение, для формулировки обоснованных выводов («общее для всех...», «только один [об объекте] не..»&gt;, «потому что...», «если бы не, то ...», «если..., значит»). Возросла доказательность их мышления: старшие дошкольники аргументировали решение задачи, причем, большинство детей делали это самостоятельно, без уточняющего вопроса педагога.</w:t>
      </w:r>
    </w:p>
    <w:p w:rsidR="00F648B3" w:rsidRPr="00F648B3" w:rsidRDefault="00F648B3" w:rsidP="00F648B3">
      <w:pPr>
        <w:tabs>
          <w:tab w:val="clear" w:pos="709"/>
          <w:tab w:val="left" w:pos="4896"/>
        </w:tabs>
        <w:suppressAutoHyphens w:val="0"/>
        <w:spacing w:after="0" w:line="413"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Результаты эксперимента свидетельствуют о том, что решение логических задач способствовало развитию таких качеств личности, как целенаправленность, настойчивость, самостоятельность (умение обдумывать способы решения задачи, планировать ход решения, осуществлять контроль над своими действиями, соотносить их с поставленной целью, оценивать результат).</w:t>
      </w:r>
      <w:r w:rsidRPr="00F648B3">
        <w:rPr>
          <w:rFonts w:ascii="Arial Unicode MS" w:eastAsia="Arial Unicode MS" w:hAnsi="Arial Unicode MS" w:cs="Arial Unicode MS"/>
          <w:color w:val="000000"/>
          <w:kern w:val="0"/>
          <w:sz w:val="24"/>
          <w:szCs w:val="24"/>
          <w:lang w:eastAsia="ru-RU" w:bidi="ru-RU"/>
        </w:rPr>
        <w:tab/>
        <w:t>.</w:t>
      </w:r>
    </w:p>
    <w:p w:rsidR="00F648B3" w:rsidRPr="00F648B3" w:rsidRDefault="00F648B3" w:rsidP="00F648B3">
      <w:pPr>
        <w:tabs>
          <w:tab w:val="clear" w:pos="709"/>
        </w:tabs>
        <w:suppressAutoHyphens w:val="0"/>
        <w:spacing w:after="0" w:line="413"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 xml:space="preserve">Анализ результатов диагностики уровня умственного развития в процессе логических игр и задач на констатирующем и контрольном-этапах, а также статистическая обработка данных с помощью </w:t>
      </w:r>
      <w:r w:rsidRPr="00F648B3">
        <w:rPr>
          <w:rFonts w:ascii="Arial Unicode MS" w:eastAsia="Arial Unicode MS" w:hAnsi="Arial Unicode MS" w:cs="Arial Unicode MS"/>
          <w:color w:val="000000"/>
          <w:kern w:val="0"/>
          <w:sz w:val="24"/>
          <w:szCs w:val="24"/>
          <w:lang w:val="en-US" w:eastAsia="en-US" w:bidi="en-US"/>
        </w:rPr>
        <w:t>G</w:t>
      </w:r>
      <w:r w:rsidRPr="00F648B3">
        <w:rPr>
          <w:rFonts w:ascii="Arial Unicode MS" w:eastAsia="Arial Unicode MS" w:hAnsi="Arial Unicode MS" w:cs="Arial Unicode MS"/>
          <w:color w:val="000000"/>
          <w:kern w:val="0"/>
          <w:sz w:val="24"/>
          <w:szCs w:val="24"/>
          <w:lang w:eastAsia="ru-RU" w:bidi="ru-RU"/>
        </w:rPr>
        <w:t>-критерия знаков и критерия ср доказали эффективность разработанной методики, предполагающей реализацию системы логических игр и задач, показали необходимость и достаточность совокупности педагогических условий организации умственного развития детей 5-6 лет в ходе решения ими логических задач.</w:t>
      </w:r>
    </w:p>
    <w:p w:rsidR="00F648B3" w:rsidRPr="00F648B3" w:rsidRDefault="00F648B3" w:rsidP="00F648B3">
      <w:pPr>
        <w:tabs>
          <w:tab w:val="clear" w:pos="709"/>
        </w:tabs>
        <w:suppressAutoHyphens w:val="0"/>
        <w:spacing w:after="0" w:line="413"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Таким образом, в, результате исследования была достигнута его цель, решены все поставленные задачи, получены теоретические и экспериментальные данные, подтверждающие выдвинутую гипотезу.</w:t>
      </w:r>
    </w:p>
    <w:p w:rsidR="00F648B3" w:rsidRPr="00F648B3" w:rsidRDefault="00F648B3" w:rsidP="00F648B3">
      <w:pPr>
        <w:tabs>
          <w:tab w:val="clear" w:pos="709"/>
        </w:tabs>
        <w:suppressAutoHyphens w:val="0"/>
        <w:spacing w:after="0" w:line="413" w:lineRule="exact"/>
        <w:ind w:firstLine="760"/>
        <w:rPr>
          <w:rFonts w:ascii="Arial Unicode MS" w:eastAsia="Arial Unicode MS" w:hAnsi="Arial Unicode MS" w:cs="Arial Unicode MS"/>
          <w:color w:val="000000"/>
          <w:kern w:val="0"/>
          <w:sz w:val="24"/>
          <w:szCs w:val="24"/>
          <w:lang w:eastAsia="ru-RU" w:bidi="ru-RU"/>
        </w:rPr>
      </w:pPr>
      <w:r w:rsidRPr="00F648B3">
        <w:rPr>
          <w:rFonts w:ascii="Arial Unicode MS" w:eastAsia="Arial Unicode MS" w:hAnsi="Arial Unicode MS" w:cs="Arial Unicode MS"/>
          <w:color w:val="000000"/>
          <w:kern w:val="0"/>
          <w:sz w:val="24"/>
          <w:szCs w:val="24"/>
          <w:lang w:eastAsia="ru-RU" w:bidi="ru-RU"/>
        </w:rPr>
        <w:t>Отмечая в-целом положительное влияние процесса решения логических задач на различные стороны личностно-эмоционального развития ребенка, следует указать, что этот вопрос не раскрыт в полной мере, поскольку не входит в задачи исследования. Проведенная: работа позволяет наметить направления дальнейшего изучения проблемы: . исследование способов интеграции умственного развития дошкольников в ходе логических игр и задач с другими направлениями развития детей (физическое, социально-личностное, художественно-эстетическое), взаимодействие ДОУ и семьи в процессе умственного развития дошкольников в ходе логических игр и задач.</w:t>
      </w:r>
    </w:p>
    <w:p w:rsidR="00F648B3" w:rsidRPr="00F648B3" w:rsidRDefault="00F648B3" w:rsidP="00F648B3"/>
    <w:sectPr w:rsidR="00F648B3" w:rsidRPr="00F648B3" w:rsidSect="006245BA">
      <w:headerReference w:type="default" r:id="rId14"/>
      <w:footerReference w:type="even" r:id="rId15"/>
      <w:footerReference w:type="default" r:id="rId16"/>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336" w:rsidRDefault="000E0336">
      <w:pPr>
        <w:spacing w:after="0" w:line="240" w:lineRule="auto"/>
      </w:pPr>
      <w:r>
        <w:separator/>
      </w:r>
    </w:p>
  </w:endnote>
  <w:endnote w:type="continuationSeparator" w:id="0">
    <w:p w:rsidR="000E0336" w:rsidRDefault="000E03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Default="000E033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E0336" w:rsidRDefault="000E033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Default="000E033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E0336" w:rsidRDefault="000E0336">
                <w:pPr>
                  <w:spacing w:line="240" w:lineRule="auto"/>
                </w:pPr>
                <w:fldSimple w:instr=" PAGE \* MERGEFORMAT ">
                  <w:r w:rsidR="00B1119F" w:rsidRPr="00B1119F">
                    <w:rPr>
                      <w:rStyle w:val="afffff9"/>
                      <w:noProof/>
                    </w:rPr>
                    <w:t>39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336" w:rsidRDefault="000E0336"/>
    <w:p w:rsidR="000E0336" w:rsidRDefault="000E0336"/>
    <w:p w:rsidR="000E0336" w:rsidRDefault="000E0336"/>
    <w:p w:rsidR="000E0336" w:rsidRDefault="000E0336"/>
    <w:p w:rsidR="000E0336" w:rsidRDefault="000E0336"/>
    <w:p w:rsidR="000E0336" w:rsidRDefault="000E0336"/>
    <w:p w:rsidR="000E0336" w:rsidRDefault="000E033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E0336" w:rsidRDefault="000E0336">
                  <w:pPr>
                    <w:spacing w:line="240" w:lineRule="auto"/>
                  </w:pPr>
                  <w:fldSimple w:instr=" PAGE \* MERGEFORMAT ">
                    <w:r w:rsidR="000257D2" w:rsidRPr="000257D2">
                      <w:rPr>
                        <w:rStyle w:val="afffff9"/>
                        <w:b w:val="0"/>
                        <w:bCs w:val="0"/>
                        <w:noProof/>
                      </w:rPr>
                      <w:t>8</w:t>
                    </w:r>
                  </w:fldSimple>
                </w:p>
              </w:txbxContent>
            </v:textbox>
            <w10:wrap anchorx="page" anchory="page"/>
          </v:shape>
        </w:pict>
      </w:r>
    </w:p>
    <w:p w:rsidR="000E0336" w:rsidRDefault="000E0336"/>
    <w:p w:rsidR="000E0336" w:rsidRDefault="000E0336"/>
    <w:p w:rsidR="000E0336" w:rsidRDefault="000E033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E0336" w:rsidRDefault="000E0336"/>
                <w:p w:rsidR="000E0336" w:rsidRDefault="000E0336">
                  <w:pPr>
                    <w:pStyle w:val="1ffffff7"/>
                    <w:spacing w:line="240" w:lineRule="auto"/>
                  </w:pPr>
                  <w:fldSimple w:instr=" PAGE \* MERGEFORMAT ">
                    <w:r w:rsidR="000257D2" w:rsidRPr="000257D2">
                      <w:rPr>
                        <w:rStyle w:val="3b"/>
                        <w:noProof/>
                      </w:rPr>
                      <w:t>8</w:t>
                    </w:r>
                  </w:fldSimple>
                </w:p>
              </w:txbxContent>
            </v:textbox>
            <w10:wrap anchorx="page" anchory="page"/>
          </v:shape>
        </w:pict>
      </w:r>
    </w:p>
    <w:p w:rsidR="000E0336" w:rsidRDefault="000E0336"/>
    <w:p w:rsidR="000E0336" w:rsidRDefault="000E0336">
      <w:pPr>
        <w:rPr>
          <w:sz w:val="2"/>
          <w:szCs w:val="2"/>
        </w:rPr>
      </w:pPr>
    </w:p>
    <w:p w:rsidR="000E0336" w:rsidRDefault="000E0336"/>
    <w:p w:rsidR="000E0336" w:rsidRDefault="000E0336">
      <w:pPr>
        <w:spacing w:after="0" w:line="240" w:lineRule="auto"/>
      </w:pPr>
    </w:p>
  </w:footnote>
  <w:footnote w:type="continuationSeparator" w:id="0">
    <w:p w:rsidR="000E0336" w:rsidRDefault="000E03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9F" w:rsidRDefault="00B1119F">
    <w:pPr>
      <w:rPr>
        <w:sz w:val="2"/>
        <w:szCs w:val="2"/>
      </w:rPr>
    </w:pPr>
    <w:r w:rsidRPr="007931C0">
      <w:rPr>
        <w:sz w:val="24"/>
        <w:szCs w:val="24"/>
        <w:lang w:val="uk-UA" w:eastAsia="uk-UA" w:bidi="uk-UA"/>
      </w:rPr>
      <w:pict>
        <v:shapetype id="_x0000_t202" coordsize="21600,21600" o:spt="202" path="m,l,21600r21600,l21600,xe">
          <v:stroke joinstyle="miter"/>
          <v:path gradientshapeok="t" o:connecttype="rect"/>
        </v:shapetype>
        <v:shape id="_x0000_s609808" type="#_x0000_t202" style="position:absolute;left:0;text-align:left;margin-left:328.5pt;margin-top:38.4pt;width:3.1pt;height:7.9pt;z-index:-251614208;mso-wrap-style:none;mso-wrap-distance-left:5pt;mso-wrap-distance-right:5pt;mso-position-horizontal-relative:page;mso-position-vertical-relative:page" wrapcoords="0 0" filled="f" stroked="f">
          <v:textbox style="mso-fit-shape-to-text:t" inset="0,0,0,0">
            <w:txbxContent>
              <w:p w:rsidR="00B1119F" w:rsidRDefault="00B1119F">
                <w:pPr>
                  <w:spacing w:line="240" w:lineRule="auto"/>
                </w:pPr>
                <w:fldSimple w:instr=" PAGE \* MERGEFORMAT ">
                  <w:r w:rsidRPr="00B1119F">
                    <w:rPr>
                      <w:rStyle w:val="afffff9"/>
                      <w:noProof/>
                    </w:rPr>
                    <w:t>5</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9F" w:rsidRDefault="00B1119F">
    <w:pPr>
      <w:rPr>
        <w:sz w:val="2"/>
        <w:szCs w:val="2"/>
      </w:rPr>
    </w:pPr>
    <w:r w:rsidRPr="007931C0">
      <w:rPr>
        <w:sz w:val="24"/>
        <w:szCs w:val="24"/>
        <w:lang w:val="uk-UA" w:eastAsia="uk-UA" w:bidi="uk-UA"/>
      </w:rPr>
      <w:pict>
        <v:shapetype id="_x0000_t202" coordsize="21600,21600" o:spt="202" path="m,l,21600r21600,l21600,xe">
          <v:stroke joinstyle="miter"/>
          <v:path gradientshapeok="t" o:connecttype="rect"/>
        </v:shapetype>
        <v:shape id="_x0000_s609809" type="#_x0000_t202" style="position:absolute;left:0;text-align:left;margin-left:307.1pt;margin-top:38.45pt;width:10.1pt;height:7.9pt;z-index:-251613184;mso-wrap-style:none;mso-wrap-distance-left:5pt;mso-wrap-distance-right:5pt;mso-position-horizontal-relative:page;mso-position-vertical-relative:page" wrapcoords="0 0" filled="f" stroked="f">
          <v:textbox style="mso-fit-shape-to-text:t" inset="0,0,0,0">
            <w:txbxContent>
              <w:p w:rsidR="00B1119F" w:rsidRDefault="00B1119F">
                <w:pPr>
                  <w:spacing w:line="240" w:lineRule="auto"/>
                </w:pPr>
                <w:fldSimple w:instr=" PAGE \* MERGEFORMAT ">
                  <w:r w:rsidRPr="00B7590A">
                    <w:rPr>
                      <w:rStyle w:val="afffff9"/>
                      <w:noProof/>
                    </w:rPr>
                    <w:t>21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9F" w:rsidRDefault="00B1119F">
    <w:pPr>
      <w:rPr>
        <w:sz w:val="2"/>
        <w:szCs w:val="2"/>
      </w:rPr>
    </w:pPr>
    <w:r w:rsidRPr="007931C0">
      <w:rPr>
        <w:sz w:val="24"/>
        <w:szCs w:val="24"/>
        <w:lang w:val="uk-UA" w:eastAsia="uk-UA" w:bidi="uk-UA"/>
      </w:rPr>
      <w:pict>
        <v:shapetype id="_x0000_t202" coordsize="21600,21600" o:spt="202" path="m,l,21600r21600,l21600,xe">
          <v:stroke joinstyle="miter"/>
          <v:path gradientshapeok="t" o:connecttype="rect"/>
        </v:shapetype>
        <v:shape id="_x0000_s609810" type="#_x0000_t202" style="position:absolute;left:0;text-align:left;margin-left:436.35pt;margin-top:38.3pt;width:5.05pt;height:7.9pt;z-index:-251612160;mso-wrap-style:none;mso-wrap-distance-left:5pt;mso-wrap-distance-right:5pt;mso-position-horizontal-relative:page;mso-position-vertical-relative:page" wrapcoords="0 0" filled="f" stroked="f">
          <v:textbox style="mso-fit-shape-to-text:t" inset="0,0,0,0">
            <w:txbxContent>
              <w:p w:rsidR="00B1119F" w:rsidRDefault="00B1119F">
                <w:pPr>
                  <w:spacing w:line="240" w:lineRule="auto"/>
                </w:pPr>
                <w:fldSimple w:instr=" PAGE \* MERGEFORMAT ">
                  <w:r w:rsidRPr="00B1119F">
                    <w:rPr>
                      <w:rStyle w:val="afffff9"/>
                      <w:noProof/>
                    </w:rPr>
                    <w:t>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Pr="005856C0" w:rsidRDefault="000E033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2E06DBE"/>
    <w:multiLevelType w:val="multilevel"/>
    <w:tmpl w:val="CDE8ED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0FFF4BFF"/>
    <w:multiLevelType w:val="multilevel"/>
    <w:tmpl w:val="64FEF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2876DF9"/>
    <w:multiLevelType w:val="multilevel"/>
    <w:tmpl w:val="96DCF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2">
    <w:nsid w:val="1FC0306B"/>
    <w:multiLevelType w:val="multilevel"/>
    <w:tmpl w:val="613A6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D4F5A62"/>
    <w:multiLevelType w:val="multilevel"/>
    <w:tmpl w:val="5D76CEAE"/>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7F43B97"/>
    <w:multiLevelType w:val="multilevel"/>
    <w:tmpl w:val="BD2AA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2C656ED"/>
    <w:multiLevelType w:val="multilevel"/>
    <w:tmpl w:val="0472D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DC55724"/>
    <w:multiLevelType w:val="multilevel"/>
    <w:tmpl w:val="92D8F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F8D241F"/>
    <w:multiLevelType w:val="multilevel"/>
    <w:tmpl w:val="D220CD4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0">
    <w:nsid w:val="591E1833"/>
    <w:multiLevelType w:val="multilevel"/>
    <w:tmpl w:val="2B687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B4123DA"/>
    <w:multiLevelType w:val="multilevel"/>
    <w:tmpl w:val="2EC8F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DF25554"/>
    <w:multiLevelType w:val="multilevel"/>
    <w:tmpl w:val="9E8CD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9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96">
    <w:nsid w:val="7D8D519B"/>
    <w:multiLevelType w:val="multilevel"/>
    <w:tmpl w:val="B8BA4D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8"/>
  </w:num>
  <w:num w:numId="8">
    <w:abstractNumId w:val="92"/>
  </w:num>
  <w:num w:numId="9">
    <w:abstractNumId w:val="85"/>
  </w:num>
  <w:num w:numId="10">
    <w:abstractNumId w:val="87"/>
  </w:num>
  <w:num w:numId="11">
    <w:abstractNumId w:val="82"/>
  </w:num>
  <w:num w:numId="12">
    <w:abstractNumId w:val="80"/>
  </w:num>
  <w:num w:numId="13">
    <w:abstractNumId w:val="96"/>
  </w:num>
  <w:num w:numId="14">
    <w:abstractNumId w:val="71"/>
  </w:num>
  <w:num w:numId="15">
    <w:abstractNumId w:val="90"/>
  </w:num>
  <w:num w:numId="16">
    <w:abstractNumId w:val="86"/>
  </w:num>
  <w:num w:numId="17">
    <w:abstractNumId w:val="91"/>
  </w:num>
  <w:num w:numId="18">
    <w:abstractNumId w:val="8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1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eacode.com/online/udc/36/368.021.html" TargetMode="Externa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A85D8-E20C-455B-83E9-81D01228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5678</TotalTime>
  <Pages>41</Pages>
  <Words>12907</Words>
  <Characters>73571</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80</cp:revision>
  <cp:lastPrinted>2009-02-06T05:36:00Z</cp:lastPrinted>
  <dcterms:created xsi:type="dcterms:W3CDTF">2022-03-10T19:16:00Z</dcterms:created>
  <dcterms:modified xsi:type="dcterms:W3CDTF">2022-03-18T15:45:00Z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