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6"/>
      </w:pPr>
      <w:r>
        <w:rPr>
          <w:color w:val="FF0000"/>
        </w:rPr>
        <w:t xml:space="preserve">Для заказа доставки данной работы воспользуйтесь поиском на сайте по ссылке:  </w:t>
      </w:r>
      <w:hyperlink r:id="rId9" w:history="1">
        <w:r>
          <w:rPr>
            <w:rStyle w:val="af"/>
            <w:color w:val="0070C0"/>
          </w:rPr>
          <w:t>http://www.mydisser.com/search.html</w:t>
        </w:r>
      </w:hyperlink>
    </w:p>
    <w:p w:rsidR="00D24B08" w:rsidRDefault="00D24B08" w:rsidP="00D24B08">
      <w:pPr>
        <w:pStyle w:val="30"/>
        <w:spacing w:line="360" w:lineRule="exact"/>
        <w:rPr>
          <w:sz w:val="32"/>
          <w:lang w:val="uk-UA"/>
        </w:rPr>
      </w:pPr>
      <w:r>
        <w:rPr>
          <w:b w:val="0"/>
          <w:sz w:val="32"/>
          <w:lang w:val="uk-UA"/>
        </w:rPr>
        <w:t>НАЦІОНАЛЬНИЙ ФАРМАЦЕВТИЧНИЙ УНІВЕРСИТЕТ</w:t>
      </w:r>
    </w:p>
    <w:p w:rsidR="00D24B08" w:rsidRDefault="00D24B08" w:rsidP="00D24B08">
      <w:pPr>
        <w:pStyle w:val="4f0"/>
        <w:keepNext w:val="0"/>
        <w:spacing w:line="360" w:lineRule="exact"/>
        <w:jc w:val="both"/>
        <w:rPr>
          <w:rFonts w:ascii="Times New Roman" w:hAnsi="Times New Roman"/>
          <w:sz w:val="32"/>
        </w:rPr>
      </w:pPr>
    </w:p>
    <w:p w:rsidR="00D24B08" w:rsidRDefault="00D24B08" w:rsidP="00D24B08">
      <w:pPr>
        <w:pStyle w:val="4f0"/>
        <w:keepNext w:val="0"/>
        <w:spacing w:line="360" w:lineRule="exact"/>
        <w:rPr>
          <w:rFonts w:ascii="Times New Roman" w:hAnsi="Times New Roman"/>
          <w:b w:val="0"/>
          <w:sz w:val="32"/>
        </w:rPr>
      </w:pPr>
    </w:p>
    <w:p w:rsidR="00D24B08" w:rsidRDefault="00D24B08" w:rsidP="00D24B08">
      <w:pPr>
        <w:spacing w:line="360" w:lineRule="exact"/>
        <w:rPr>
          <w:lang w:val="uk-UA"/>
        </w:rPr>
      </w:pPr>
    </w:p>
    <w:p w:rsidR="00D24B08" w:rsidRDefault="00D24B08" w:rsidP="00D24B08">
      <w:pPr>
        <w:spacing w:line="360" w:lineRule="exact"/>
        <w:rPr>
          <w:lang w:val="uk-UA"/>
        </w:rPr>
      </w:pPr>
    </w:p>
    <w:p w:rsidR="00D24B08" w:rsidRDefault="00D24B08" w:rsidP="00D24B08">
      <w:pPr>
        <w:spacing w:line="360" w:lineRule="exact"/>
        <w:rPr>
          <w:lang w:val="uk-UA"/>
        </w:rPr>
      </w:pPr>
    </w:p>
    <w:p w:rsidR="00D24B08" w:rsidRDefault="00D24B08" w:rsidP="00D24B08">
      <w:pPr>
        <w:pStyle w:val="4f0"/>
        <w:keepNext w:val="0"/>
        <w:spacing w:line="360" w:lineRule="exact"/>
        <w:rPr>
          <w:rFonts w:ascii="Times New Roman" w:hAnsi="Times New Roman"/>
          <w:b w:val="0"/>
          <w:sz w:val="32"/>
        </w:rPr>
      </w:pPr>
    </w:p>
    <w:p w:rsidR="00D24B08" w:rsidRDefault="00D24B08" w:rsidP="00D24B08">
      <w:pPr>
        <w:pStyle w:val="4f0"/>
        <w:keepNext w:val="0"/>
        <w:spacing w:line="360" w:lineRule="exact"/>
        <w:rPr>
          <w:rFonts w:ascii="Times New Roman" w:hAnsi="Times New Roman"/>
          <w:b w:val="0"/>
          <w:sz w:val="32"/>
        </w:rPr>
      </w:pPr>
      <w:r>
        <w:rPr>
          <w:rFonts w:ascii="Times New Roman" w:hAnsi="Times New Roman"/>
          <w:b w:val="0"/>
          <w:sz w:val="32"/>
        </w:rPr>
        <w:t>ГЕРАСИМОВА ОЛЬГА ОЛЕКСАНДРІВНА</w:t>
      </w:r>
    </w:p>
    <w:p w:rsidR="00D24B08" w:rsidRDefault="00D24B08" w:rsidP="00D24B08">
      <w:pPr>
        <w:spacing w:line="360" w:lineRule="exact"/>
        <w:jc w:val="right"/>
        <w:rPr>
          <w:sz w:val="32"/>
          <w:lang w:val="uk-UA"/>
        </w:rPr>
      </w:pPr>
    </w:p>
    <w:p w:rsidR="00D24B08" w:rsidRDefault="00D24B08" w:rsidP="00D24B08">
      <w:pPr>
        <w:spacing w:line="360" w:lineRule="exact"/>
        <w:jc w:val="right"/>
        <w:rPr>
          <w:b/>
          <w:sz w:val="32"/>
          <w:lang w:val="uk-UA"/>
        </w:rPr>
      </w:pPr>
    </w:p>
    <w:p w:rsidR="00D24B08" w:rsidRDefault="00D24B08" w:rsidP="00D24B08">
      <w:pPr>
        <w:spacing w:line="360" w:lineRule="exact"/>
        <w:jc w:val="right"/>
        <w:rPr>
          <w:b/>
          <w:sz w:val="32"/>
          <w:lang w:val="uk-UA"/>
        </w:rPr>
      </w:pPr>
    </w:p>
    <w:p w:rsidR="00D24B08" w:rsidRDefault="00D24B08" w:rsidP="00D24B08">
      <w:pPr>
        <w:spacing w:line="360" w:lineRule="exact"/>
        <w:jc w:val="right"/>
        <w:rPr>
          <w:b/>
          <w:sz w:val="32"/>
          <w:lang w:val="uk-UA"/>
        </w:rPr>
      </w:pPr>
      <w:r>
        <w:rPr>
          <w:b/>
          <w:sz w:val="32"/>
          <w:lang w:val="uk-UA"/>
        </w:rPr>
        <w:t>УДК: 615.244:615.322:616.36-002:635.656:577.125</w:t>
      </w:r>
    </w:p>
    <w:p w:rsidR="00D24B08" w:rsidRDefault="00D24B08" w:rsidP="00D24B08">
      <w:pPr>
        <w:spacing w:line="360" w:lineRule="exact"/>
        <w:rPr>
          <w:sz w:val="32"/>
          <w:lang w:val="uk-UA"/>
        </w:rPr>
      </w:pPr>
    </w:p>
    <w:p w:rsidR="00D24B08" w:rsidRDefault="00D24B08" w:rsidP="00D24B08">
      <w:pPr>
        <w:pStyle w:val="4f0"/>
        <w:keepNext w:val="0"/>
        <w:spacing w:line="360" w:lineRule="exact"/>
        <w:rPr>
          <w:rFonts w:ascii="Times New Roman" w:hAnsi="Times New Roman"/>
          <w:b w:val="0"/>
          <w:sz w:val="32"/>
        </w:rPr>
      </w:pPr>
    </w:p>
    <w:p w:rsidR="00D24B08" w:rsidRDefault="00D24B08" w:rsidP="00D24B08">
      <w:pPr>
        <w:pStyle w:val="4f0"/>
        <w:keepNext w:val="0"/>
        <w:spacing w:line="360" w:lineRule="exact"/>
        <w:rPr>
          <w:rFonts w:ascii="Times New Roman" w:hAnsi="Times New Roman"/>
          <w:b w:val="0"/>
          <w:sz w:val="32"/>
        </w:rPr>
      </w:pPr>
    </w:p>
    <w:p w:rsidR="00D24B08" w:rsidRDefault="00D24B08" w:rsidP="00D24B08">
      <w:pPr>
        <w:pStyle w:val="4f0"/>
        <w:keepNext w:val="0"/>
        <w:spacing w:line="360" w:lineRule="exact"/>
        <w:rPr>
          <w:rFonts w:ascii="Times New Roman" w:hAnsi="Times New Roman"/>
          <w:b w:val="0"/>
          <w:sz w:val="32"/>
        </w:rPr>
      </w:pPr>
      <w:r>
        <w:rPr>
          <w:rFonts w:ascii="Times New Roman" w:hAnsi="Times New Roman"/>
          <w:b w:val="0"/>
          <w:sz w:val="32"/>
        </w:rPr>
        <w:t xml:space="preserve">ВИВЧЕННЯ ГЕПАТОЗАХИСНОЇ ДІЇ ПРЕПАРАТУ </w:t>
      </w:r>
    </w:p>
    <w:p w:rsidR="00D24B08" w:rsidRDefault="00D24B08" w:rsidP="00D24B08">
      <w:pPr>
        <w:pStyle w:val="4f0"/>
        <w:keepNext w:val="0"/>
        <w:spacing w:line="360" w:lineRule="exact"/>
        <w:rPr>
          <w:rFonts w:ascii="Times New Roman" w:hAnsi="Times New Roman"/>
          <w:sz w:val="32"/>
        </w:rPr>
      </w:pPr>
      <w:r>
        <w:rPr>
          <w:rFonts w:ascii="Times New Roman" w:hAnsi="Times New Roman"/>
          <w:b w:val="0"/>
          <w:sz w:val="32"/>
        </w:rPr>
        <w:t>З ТРАВИ ГОРОХУ ПОСІ</w:t>
      </w:r>
      <w:r>
        <w:rPr>
          <w:rFonts w:ascii="Times New Roman" w:hAnsi="Times New Roman"/>
          <w:b w:val="0"/>
          <w:sz w:val="32"/>
        </w:rPr>
        <w:t>В</w:t>
      </w:r>
      <w:r>
        <w:rPr>
          <w:rFonts w:ascii="Times New Roman" w:hAnsi="Times New Roman"/>
          <w:b w:val="0"/>
          <w:sz w:val="32"/>
        </w:rPr>
        <w:t>НОГО - ПІФЛАМІНУ</w:t>
      </w:r>
    </w:p>
    <w:p w:rsidR="00D24B08" w:rsidRDefault="00D24B08" w:rsidP="00D24B08">
      <w:pPr>
        <w:spacing w:line="360" w:lineRule="exact"/>
        <w:rPr>
          <w:sz w:val="32"/>
          <w:lang w:val="uk-UA"/>
        </w:rPr>
      </w:pPr>
    </w:p>
    <w:p w:rsidR="00D24B08" w:rsidRDefault="00D24B08" w:rsidP="00D24B08">
      <w:pPr>
        <w:spacing w:line="360" w:lineRule="exact"/>
        <w:rPr>
          <w:sz w:val="32"/>
          <w:lang w:val="uk-UA"/>
        </w:rPr>
      </w:pPr>
    </w:p>
    <w:p w:rsidR="00D24B08" w:rsidRDefault="00D24B08" w:rsidP="00D24B08">
      <w:pPr>
        <w:pStyle w:val="afffffff5"/>
        <w:spacing w:line="360" w:lineRule="exact"/>
        <w:jc w:val="center"/>
        <w:rPr>
          <w:rFonts w:ascii="Times New Roman" w:hAnsi="Times New Roman"/>
          <w:b/>
          <w:sz w:val="32"/>
          <w:lang w:val="uk-UA"/>
        </w:rPr>
      </w:pPr>
    </w:p>
    <w:p w:rsidR="00D24B08" w:rsidRDefault="00D24B08" w:rsidP="00D24B08">
      <w:pPr>
        <w:pStyle w:val="afffffff5"/>
        <w:spacing w:line="360" w:lineRule="exact"/>
        <w:jc w:val="center"/>
        <w:rPr>
          <w:rFonts w:ascii="Times New Roman" w:hAnsi="Times New Roman"/>
          <w:b/>
          <w:sz w:val="32"/>
          <w:lang w:val="uk-UA"/>
        </w:rPr>
      </w:pPr>
      <w:r>
        <w:rPr>
          <w:rFonts w:ascii="Times New Roman" w:hAnsi="Times New Roman"/>
          <w:b/>
          <w:sz w:val="32"/>
          <w:lang w:val="uk-UA"/>
        </w:rPr>
        <w:t xml:space="preserve"> 14. 03. 05 – фармакологія</w:t>
      </w:r>
    </w:p>
    <w:p w:rsidR="00D24B08" w:rsidRDefault="00D24B08" w:rsidP="00D24B08">
      <w:pPr>
        <w:pStyle w:val="afffffff5"/>
        <w:spacing w:line="360" w:lineRule="exact"/>
        <w:jc w:val="center"/>
        <w:rPr>
          <w:rFonts w:ascii="Times New Roman" w:hAnsi="Times New Roman"/>
          <w:b/>
          <w:sz w:val="32"/>
          <w:lang w:val="uk-UA"/>
        </w:rPr>
      </w:pPr>
    </w:p>
    <w:p w:rsidR="00D24B08" w:rsidRDefault="00D24B08" w:rsidP="00D24B08">
      <w:pPr>
        <w:spacing w:line="360" w:lineRule="exact"/>
        <w:rPr>
          <w:sz w:val="32"/>
          <w:lang w:val="uk-UA"/>
        </w:rPr>
      </w:pPr>
    </w:p>
    <w:p w:rsidR="00D24B08" w:rsidRDefault="00D24B08" w:rsidP="00D24B08">
      <w:pPr>
        <w:pStyle w:val="4f0"/>
        <w:keepNext w:val="0"/>
        <w:spacing w:line="360" w:lineRule="exact"/>
        <w:rPr>
          <w:rFonts w:ascii="Times New Roman" w:hAnsi="Times New Roman"/>
          <w:b w:val="0"/>
          <w:sz w:val="32"/>
        </w:rPr>
      </w:pPr>
    </w:p>
    <w:p w:rsidR="00D24B08" w:rsidRDefault="00D24B08" w:rsidP="00D24B08">
      <w:pPr>
        <w:spacing w:line="360" w:lineRule="exact"/>
        <w:rPr>
          <w:lang w:val="uk-UA"/>
        </w:rPr>
      </w:pPr>
    </w:p>
    <w:p w:rsidR="00D24B08" w:rsidRDefault="00D24B08" w:rsidP="00D24B08">
      <w:pPr>
        <w:spacing w:line="360" w:lineRule="exact"/>
        <w:rPr>
          <w:lang w:val="uk-UA"/>
        </w:rPr>
      </w:pPr>
    </w:p>
    <w:p w:rsidR="00D24B08" w:rsidRDefault="00D24B08" w:rsidP="00D24B08">
      <w:pPr>
        <w:pStyle w:val="4f0"/>
        <w:keepNext w:val="0"/>
        <w:spacing w:line="360" w:lineRule="exact"/>
        <w:rPr>
          <w:rFonts w:ascii="Times New Roman" w:hAnsi="Times New Roman"/>
          <w:b w:val="0"/>
          <w:sz w:val="32"/>
        </w:rPr>
      </w:pPr>
    </w:p>
    <w:p w:rsidR="00D24B08" w:rsidRDefault="00D24B08" w:rsidP="00D24B08">
      <w:pPr>
        <w:spacing w:line="360" w:lineRule="exact"/>
        <w:rPr>
          <w:lang w:val="uk-UA"/>
        </w:rPr>
      </w:pPr>
    </w:p>
    <w:p w:rsidR="00D24B08" w:rsidRDefault="00D24B08" w:rsidP="00D24B08">
      <w:pPr>
        <w:pStyle w:val="4f0"/>
        <w:keepNext w:val="0"/>
        <w:spacing w:line="360" w:lineRule="exact"/>
        <w:rPr>
          <w:rFonts w:ascii="Times New Roman" w:hAnsi="Times New Roman"/>
          <w:b w:val="0"/>
          <w:sz w:val="32"/>
        </w:rPr>
      </w:pPr>
      <w:r>
        <w:rPr>
          <w:rFonts w:ascii="Times New Roman" w:hAnsi="Times New Roman"/>
          <w:b w:val="0"/>
          <w:sz w:val="32"/>
        </w:rPr>
        <w:t>Автореферат</w:t>
      </w:r>
    </w:p>
    <w:p w:rsidR="00D24B08" w:rsidRDefault="00D24B08" w:rsidP="00D24B08">
      <w:pPr>
        <w:spacing w:line="360" w:lineRule="exact"/>
        <w:jc w:val="center"/>
        <w:rPr>
          <w:b/>
          <w:sz w:val="32"/>
          <w:lang w:val="uk-UA"/>
        </w:rPr>
      </w:pPr>
      <w:r>
        <w:rPr>
          <w:b/>
          <w:sz w:val="32"/>
          <w:lang w:val="uk-UA"/>
        </w:rPr>
        <w:t xml:space="preserve">дисертації на здобуття наукового ступеня </w:t>
      </w:r>
    </w:p>
    <w:p w:rsidR="00D24B08" w:rsidRDefault="00D24B08" w:rsidP="00D24B08">
      <w:pPr>
        <w:spacing w:line="360" w:lineRule="exact"/>
        <w:jc w:val="center"/>
        <w:rPr>
          <w:b/>
          <w:sz w:val="32"/>
          <w:lang w:val="uk-UA"/>
        </w:rPr>
      </w:pPr>
      <w:r>
        <w:rPr>
          <w:b/>
          <w:sz w:val="32"/>
          <w:lang w:val="uk-UA"/>
        </w:rPr>
        <w:t>кандидата фармацевтичних наук</w:t>
      </w:r>
    </w:p>
    <w:p w:rsidR="00D24B08" w:rsidRDefault="00D24B08" w:rsidP="00D24B08">
      <w:pPr>
        <w:spacing w:line="360" w:lineRule="exact"/>
        <w:jc w:val="center"/>
        <w:rPr>
          <w:sz w:val="32"/>
          <w:lang w:val="uk-UA"/>
        </w:rPr>
      </w:pPr>
    </w:p>
    <w:p w:rsidR="00D24B08" w:rsidRDefault="00D24B08" w:rsidP="00D24B08">
      <w:pPr>
        <w:spacing w:line="360" w:lineRule="exact"/>
        <w:jc w:val="center"/>
        <w:rPr>
          <w:sz w:val="32"/>
          <w:lang w:val="uk-UA"/>
        </w:rPr>
      </w:pPr>
    </w:p>
    <w:p w:rsidR="00D24B08" w:rsidRDefault="00D24B08" w:rsidP="00D24B08">
      <w:pPr>
        <w:spacing w:line="360" w:lineRule="exact"/>
        <w:jc w:val="center"/>
        <w:rPr>
          <w:sz w:val="32"/>
          <w:lang w:val="uk-UA"/>
        </w:rPr>
      </w:pPr>
    </w:p>
    <w:p w:rsidR="00D24B08" w:rsidRDefault="00D24B08" w:rsidP="00D24B08">
      <w:pPr>
        <w:spacing w:line="360" w:lineRule="exact"/>
        <w:jc w:val="center"/>
        <w:rPr>
          <w:sz w:val="32"/>
          <w:lang w:val="uk-UA"/>
        </w:rPr>
      </w:pPr>
    </w:p>
    <w:p w:rsidR="00D24B08" w:rsidRDefault="00D24B08" w:rsidP="00D24B08">
      <w:pPr>
        <w:spacing w:line="360" w:lineRule="exact"/>
        <w:jc w:val="center"/>
        <w:rPr>
          <w:sz w:val="32"/>
          <w:lang w:val="uk-UA"/>
        </w:rPr>
      </w:pPr>
    </w:p>
    <w:p w:rsidR="00D24B08" w:rsidRDefault="00D24B08" w:rsidP="00D24B08">
      <w:pPr>
        <w:spacing w:line="360" w:lineRule="exact"/>
        <w:jc w:val="center"/>
        <w:rPr>
          <w:sz w:val="32"/>
          <w:lang w:val="uk-UA"/>
        </w:rPr>
      </w:pPr>
    </w:p>
    <w:p w:rsidR="00D24B08" w:rsidRDefault="00D24B08" w:rsidP="00D24B08">
      <w:pPr>
        <w:pStyle w:val="20"/>
        <w:spacing w:line="360" w:lineRule="exact"/>
      </w:pPr>
    </w:p>
    <w:p w:rsidR="00D24B08" w:rsidRDefault="00D24B08" w:rsidP="00D24B08">
      <w:pPr>
        <w:pStyle w:val="20"/>
        <w:spacing w:line="360" w:lineRule="exact"/>
        <w:sectPr w:rsidR="00D24B08">
          <w:headerReference w:type="even" r:id="rId10"/>
          <w:headerReference w:type="default" r:id="rId11"/>
          <w:footerReference w:type="even" r:id="rId12"/>
          <w:footerReference w:type="default" r:id="rId13"/>
          <w:pgSz w:w="11906" w:h="16838"/>
          <w:pgMar w:top="1134" w:right="737" w:bottom="1134" w:left="1134" w:header="720" w:footer="720" w:gutter="0"/>
          <w:cols w:space="720"/>
          <w:titlePg/>
        </w:sectPr>
      </w:pPr>
      <w:r>
        <w:t>Харків – 2003</w:t>
      </w:r>
    </w:p>
    <w:p w:rsidR="00D24B08" w:rsidRDefault="00D24B08" w:rsidP="00D24B08">
      <w:pPr>
        <w:pStyle w:val="20"/>
        <w:spacing w:line="360" w:lineRule="exact"/>
        <w:rPr>
          <w:b w:val="0"/>
        </w:rPr>
      </w:pPr>
      <w:r>
        <w:rPr>
          <w:b w:val="0"/>
        </w:rPr>
        <w:lastRenderedPageBreak/>
        <w:t>Дисертацією є рукопис.</w:t>
      </w:r>
    </w:p>
    <w:p w:rsidR="00D24B08" w:rsidRDefault="00D24B08" w:rsidP="00D24B08">
      <w:pPr>
        <w:spacing w:line="360" w:lineRule="exact"/>
        <w:rPr>
          <w:lang w:val="uk-UA"/>
        </w:rPr>
      </w:pPr>
      <w:r>
        <w:rPr>
          <w:lang w:val="uk-UA"/>
        </w:rPr>
        <w:t>Робота виконана в Центральній науково-дослідній лабораторії Національного фа</w:t>
      </w:r>
      <w:r>
        <w:rPr>
          <w:lang w:val="uk-UA"/>
        </w:rPr>
        <w:t>р</w:t>
      </w:r>
      <w:r>
        <w:rPr>
          <w:lang w:val="uk-UA"/>
        </w:rPr>
        <w:t>мацевтичного університету, Міністерство охор</w:t>
      </w:r>
      <w:r>
        <w:rPr>
          <w:lang w:val="uk-UA"/>
        </w:rPr>
        <w:t>о</w:t>
      </w:r>
      <w:r>
        <w:rPr>
          <w:lang w:val="uk-UA"/>
        </w:rPr>
        <w:t>ни здоров׳я України.</w:t>
      </w:r>
    </w:p>
    <w:p w:rsidR="00D24B08" w:rsidRDefault="00D24B08" w:rsidP="00D24B08">
      <w:pPr>
        <w:spacing w:line="360" w:lineRule="exact"/>
        <w:rPr>
          <w:lang w:val="uk-UA"/>
        </w:rPr>
      </w:pPr>
    </w:p>
    <w:p w:rsidR="00D24B08" w:rsidRDefault="00D24B08" w:rsidP="00D24B08">
      <w:pPr>
        <w:spacing w:line="360" w:lineRule="exact"/>
        <w:rPr>
          <w:lang w:val="uk-UA"/>
        </w:rPr>
      </w:pPr>
    </w:p>
    <w:p w:rsidR="00D24B08" w:rsidRDefault="00D24B08" w:rsidP="00D24B08">
      <w:pPr>
        <w:pStyle w:val="4"/>
        <w:spacing w:line="360" w:lineRule="exact"/>
        <w:rPr>
          <w:b/>
        </w:rPr>
      </w:pPr>
      <w:r>
        <w:t xml:space="preserve">Науковий  керівник:  </w:t>
      </w:r>
      <w:r>
        <w:rPr>
          <w:b/>
        </w:rPr>
        <w:t xml:space="preserve">доктор фармацевтичних наук, професор </w:t>
      </w:r>
    </w:p>
    <w:p w:rsidR="00D24B08" w:rsidRDefault="00D24B08" w:rsidP="00D24B08">
      <w:pPr>
        <w:pStyle w:val="4"/>
        <w:spacing w:line="360" w:lineRule="exact"/>
        <w:ind w:left="2790"/>
        <w:jc w:val="both"/>
        <w:rPr>
          <w:b/>
        </w:rPr>
      </w:pPr>
      <w:r>
        <w:t>ЯКОВЛЄВА Лариса Василівна</w:t>
      </w:r>
      <w:r>
        <w:rPr>
          <w:b/>
        </w:rPr>
        <w:t xml:space="preserve">, </w:t>
      </w:r>
    </w:p>
    <w:p w:rsidR="00D24B08" w:rsidRDefault="00D24B08" w:rsidP="00D24B08">
      <w:pPr>
        <w:pStyle w:val="4"/>
        <w:spacing w:line="360" w:lineRule="exact"/>
        <w:ind w:left="2790"/>
        <w:jc w:val="both"/>
        <w:rPr>
          <w:b/>
        </w:rPr>
      </w:pPr>
      <w:r>
        <w:rPr>
          <w:b/>
        </w:rPr>
        <w:t>Національний фармаце</w:t>
      </w:r>
      <w:r>
        <w:rPr>
          <w:b/>
        </w:rPr>
        <w:t>в</w:t>
      </w:r>
      <w:r>
        <w:rPr>
          <w:b/>
        </w:rPr>
        <w:t xml:space="preserve">тичний університет, </w:t>
      </w:r>
    </w:p>
    <w:p w:rsidR="00D24B08" w:rsidRDefault="00D24B08" w:rsidP="00D24B08">
      <w:pPr>
        <w:pStyle w:val="4"/>
        <w:spacing w:line="360" w:lineRule="exact"/>
        <w:ind w:left="2790"/>
        <w:jc w:val="both"/>
        <w:rPr>
          <w:b/>
        </w:rPr>
      </w:pPr>
      <w:r>
        <w:rPr>
          <w:b/>
        </w:rPr>
        <w:t>завідувачка Центральної науково-дослідної лаборат</w:t>
      </w:r>
      <w:r>
        <w:rPr>
          <w:b/>
        </w:rPr>
        <w:t>о</w:t>
      </w:r>
      <w:r>
        <w:rPr>
          <w:b/>
        </w:rPr>
        <w:t>рії</w:t>
      </w:r>
    </w:p>
    <w:p w:rsidR="00D24B08" w:rsidRDefault="00D24B08" w:rsidP="00D24B08">
      <w:pPr>
        <w:pStyle w:val="afffffff5"/>
        <w:spacing w:line="360" w:lineRule="exact"/>
        <w:rPr>
          <w:rFonts w:ascii="Times New Roman" w:hAnsi="Times New Roman"/>
          <w:lang w:val="uk-UA"/>
        </w:rPr>
      </w:pPr>
      <w:r>
        <w:rPr>
          <w:rFonts w:ascii="Times New Roman" w:hAnsi="Times New Roman"/>
          <w:lang w:val="uk-UA"/>
        </w:rPr>
        <w:t xml:space="preserve"> </w:t>
      </w:r>
    </w:p>
    <w:p w:rsidR="00D24B08" w:rsidRDefault="00D24B08" w:rsidP="00D24B08">
      <w:pPr>
        <w:pStyle w:val="afffffff5"/>
        <w:spacing w:line="360" w:lineRule="exact"/>
        <w:ind w:left="2880" w:hanging="2880"/>
        <w:rPr>
          <w:rFonts w:ascii="Times New Roman" w:hAnsi="Times New Roman"/>
          <w:lang w:val="uk-UA"/>
        </w:rPr>
      </w:pPr>
      <w:r>
        <w:rPr>
          <w:rFonts w:ascii="Times New Roman" w:hAnsi="Times New Roman"/>
          <w:b/>
          <w:lang w:val="uk-UA"/>
        </w:rPr>
        <w:t xml:space="preserve">Офіційні опоненти:    </w:t>
      </w:r>
      <w:r>
        <w:rPr>
          <w:rFonts w:ascii="Times New Roman" w:hAnsi="Times New Roman"/>
          <w:lang w:val="uk-UA"/>
        </w:rPr>
        <w:t>доктор медичних наук, професор</w:t>
      </w:r>
    </w:p>
    <w:p w:rsidR="00D24B08" w:rsidRDefault="00D24B08" w:rsidP="00D24B08">
      <w:pPr>
        <w:pStyle w:val="afffffff5"/>
        <w:spacing w:line="360" w:lineRule="exact"/>
        <w:ind w:firstLine="2790"/>
        <w:rPr>
          <w:rFonts w:ascii="Times New Roman" w:hAnsi="Times New Roman"/>
          <w:b/>
          <w:lang w:val="uk-UA"/>
        </w:rPr>
      </w:pPr>
      <w:r>
        <w:rPr>
          <w:rFonts w:ascii="Times New Roman" w:hAnsi="Times New Roman"/>
          <w:b/>
          <w:lang w:val="uk-UA"/>
        </w:rPr>
        <w:t>ДЕВ</w:t>
      </w:r>
      <w:r>
        <w:rPr>
          <w:rFonts w:ascii="Times New Roman" w:hAnsi="Times New Roman"/>
          <w:b/>
          <w:lang w:val="uk-UA"/>
        </w:rPr>
        <w:sym w:font="Symbol" w:char="F0A2"/>
      </w:r>
      <w:r>
        <w:rPr>
          <w:rFonts w:ascii="Times New Roman" w:hAnsi="Times New Roman"/>
          <w:b/>
          <w:lang w:val="uk-UA"/>
        </w:rPr>
        <w:t xml:space="preserve">ЯТКІНА Тетяна Олексіївна, </w:t>
      </w:r>
    </w:p>
    <w:p w:rsidR="00D24B08" w:rsidRDefault="00D24B08" w:rsidP="00D24B08">
      <w:pPr>
        <w:pStyle w:val="afffffff5"/>
        <w:spacing w:line="360" w:lineRule="exact"/>
        <w:ind w:firstLine="2790"/>
        <w:rPr>
          <w:rFonts w:ascii="Times New Roman" w:hAnsi="Times New Roman"/>
          <w:lang w:val="uk-UA"/>
        </w:rPr>
      </w:pPr>
      <w:r>
        <w:rPr>
          <w:rFonts w:ascii="Times New Roman" w:hAnsi="Times New Roman"/>
          <w:lang w:val="uk-UA"/>
        </w:rPr>
        <w:t xml:space="preserve">Українська медична стоматологічна академія, </w:t>
      </w:r>
    </w:p>
    <w:p w:rsidR="00D24B08" w:rsidRDefault="00D24B08" w:rsidP="00D24B08">
      <w:pPr>
        <w:pStyle w:val="afffffff5"/>
        <w:spacing w:line="360" w:lineRule="exact"/>
        <w:ind w:firstLine="2790"/>
        <w:rPr>
          <w:rFonts w:ascii="Times New Roman" w:hAnsi="Times New Roman"/>
          <w:lang w:val="uk-UA"/>
        </w:rPr>
      </w:pPr>
      <w:r>
        <w:rPr>
          <w:rFonts w:ascii="Times New Roman" w:hAnsi="Times New Roman"/>
          <w:lang w:val="uk-UA"/>
        </w:rPr>
        <w:t xml:space="preserve">професор кафедри експериментальної та клінічної </w:t>
      </w:r>
    </w:p>
    <w:p w:rsidR="00D24B08" w:rsidRDefault="00D24B08" w:rsidP="00D24B08">
      <w:pPr>
        <w:pStyle w:val="afffffff5"/>
        <w:spacing w:line="360" w:lineRule="exact"/>
        <w:ind w:firstLine="2790"/>
        <w:rPr>
          <w:rFonts w:ascii="Times New Roman" w:hAnsi="Times New Roman"/>
          <w:lang w:val="uk-UA"/>
        </w:rPr>
      </w:pPr>
      <w:r>
        <w:rPr>
          <w:rFonts w:ascii="Times New Roman" w:hAnsi="Times New Roman"/>
          <w:lang w:val="uk-UA"/>
        </w:rPr>
        <w:t>фарм</w:t>
      </w:r>
      <w:r>
        <w:rPr>
          <w:rFonts w:ascii="Times New Roman" w:hAnsi="Times New Roman"/>
          <w:lang w:val="uk-UA"/>
        </w:rPr>
        <w:t>а</w:t>
      </w:r>
      <w:r>
        <w:rPr>
          <w:rFonts w:ascii="Times New Roman" w:hAnsi="Times New Roman"/>
          <w:lang w:val="uk-UA"/>
        </w:rPr>
        <w:t xml:space="preserve">кології </w:t>
      </w:r>
    </w:p>
    <w:p w:rsidR="00D24B08" w:rsidRDefault="00D24B08" w:rsidP="00D24B08">
      <w:pPr>
        <w:pStyle w:val="afffffff5"/>
        <w:spacing w:line="360" w:lineRule="exact"/>
        <w:ind w:left="2880"/>
        <w:rPr>
          <w:rFonts w:ascii="Times New Roman" w:hAnsi="Times New Roman"/>
          <w:lang w:val="uk-UA"/>
        </w:rPr>
      </w:pPr>
    </w:p>
    <w:p w:rsidR="00D24B08" w:rsidRDefault="00D24B08" w:rsidP="00D24B08">
      <w:pPr>
        <w:pStyle w:val="afffffff5"/>
        <w:spacing w:line="360" w:lineRule="exact"/>
        <w:ind w:firstLine="2790"/>
        <w:rPr>
          <w:rFonts w:ascii="Times New Roman" w:hAnsi="Times New Roman"/>
          <w:lang w:val="uk-UA"/>
        </w:rPr>
      </w:pPr>
      <w:r>
        <w:rPr>
          <w:rFonts w:ascii="Times New Roman" w:hAnsi="Times New Roman"/>
          <w:lang w:val="uk-UA"/>
        </w:rPr>
        <w:t xml:space="preserve">доктор медичних наук, професор </w:t>
      </w:r>
    </w:p>
    <w:p w:rsidR="00D24B08" w:rsidRDefault="00D24B08" w:rsidP="00D24B08">
      <w:pPr>
        <w:pStyle w:val="afffffff5"/>
        <w:spacing w:line="360" w:lineRule="exact"/>
        <w:ind w:firstLine="2790"/>
        <w:rPr>
          <w:rFonts w:ascii="Times New Roman" w:hAnsi="Times New Roman"/>
          <w:b/>
          <w:lang w:val="uk-UA"/>
        </w:rPr>
      </w:pPr>
      <w:r>
        <w:rPr>
          <w:rFonts w:ascii="Times New Roman" w:hAnsi="Times New Roman"/>
          <w:b/>
          <w:lang w:val="uk-UA"/>
        </w:rPr>
        <w:t>СТЕПАНЮК Георгій Іванович,</w:t>
      </w:r>
    </w:p>
    <w:p w:rsidR="00D24B08" w:rsidRDefault="00D24B08" w:rsidP="00D24B08">
      <w:pPr>
        <w:pStyle w:val="afffffff5"/>
        <w:spacing w:line="360" w:lineRule="exact"/>
        <w:ind w:firstLine="2790"/>
        <w:rPr>
          <w:rFonts w:ascii="Times New Roman" w:hAnsi="Times New Roman"/>
          <w:lang w:val="uk-UA"/>
        </w:rPr>
      </w:pPr>
      <w:r>
        <w:rPr>
          <w:rFonts w:ascii="Times New Roman" w:hAnsi="Times New Roman"/>
          <w:lang w:val="uk-UA"/>
        </w:rPr>
        <w:t>Вінницький національний медичний університет</w:t>
      </w:r>
    </w:p>
    <w:p w:rsidR="00D24B08" w:rsidRDefault="00D24B08" w:rsidP="00D24B08">
      <w:pPr>
        <w:pStyle w:val="afffffff5"/>
        <w:spacing w:line="360" w:lineRule="exact"/>
        <w:ind w:firstLine="2790"/>
        <w:rPr>
          <w:rFonts w:ascii="Times New Roman" w:hAnsi="Times New Roman"/>
          <w:lang w:val="uk-UA"/>
        </w:rPr>
      </w:pPr>
      <w:r>
        <w:rPr>
          <w:rFonts w:ascii="Times New Roman" w:hAnsi="Times New Roman"/>
          <w:lang w:val="uk-UA"/>
        </w:rPr>
        <w:t xml:space="preserve">ім. М.І.Пирогова, </w:t>
      </w:r>
    </w:p>
    <w:p w:rsidR="00D24B08" w:rsidRDefault="00D24B08" w:rsidP="00D24B08">
      <w:pPr>
        <w:pStyle w:val="afffffff5"/>
        <w:spacing w:line="360" w:lineRule="exact"/>
        <w:ind w:firstLine="2790"/>
        <w:rPr>
          <w:rFonts w:ascii="Times New Roman" w:hAnsi="Times New Roman"/>
          <w:lang w:val="uk-UA"/>
        </w:rPr>
      </w:pPr>
      <w:r>
        <w:rPr>
          <w:rFonts w:ascii="Times New Roman" w:hAnsi="Times New Roman"/>
          <w:lang w:val="uk-UA"/>
        </w:rPr>
        <w:t xml:space="preserve">завідувач кафедри фармакології з курсом клінічної  </w:t>
      </w:r>
    </w:p>
    <w:p w:rsidR="00D24B08" w:rsidRDefault="00D24B08" w:rsidP="00D24B08">
      <w:pPr>
        <w:pStyle w:val="afffffff5"/>
        <w:spacing w:line="360" w:lineRule="exact"/>
        <w:ind w:firstLine="2790"/>
        <w:rPr>
          <w:rFonts w:ascii="Times New Roman" w:hAnsi="Times New Roman"/>
          <w:lang w:val="uk-UA"/>
        </w:rPr>
      </w:pPr>
      <w:r>
        <w:rPr>
          <w:rFonts w:ascii="Times New Roman" w:hAnsi="Times New Roman"/>
          <w:lang w:val="uk-UA"/>
        </w:rPr>
        <w:t>фарм</w:t>
      </w:r>
      <w:r>
        <w:rPr>
          <w:rFonts w:ascii="Times New Roman" w:hAnsi="Times New Roman"/>
          <w:lang w:val="uk-UA"/>
        </w:rPr>
        <w:t>а</w:t>
      </w:r>
      <w:r>
        <w:rPr>
          <w:rFonts w:ascii="Times New Roman" w:hAnsi="Times New Roman"/>
          <w:lang w:val="uk-UA"/>
        </w:rPr>
        <w:t>кології</w:t>
      </w:r>
    </w:p>
    <w:p w:rsidR="00D24B08" w:rsidRDefault="00D24B08" w:rsidP="00D24B08">
      <w:pPr>
        <w:pStyle w:val="afffffff5"/>
        <w:spacing w:line="360" w:lineRule="exact"/>
        <w:ind w:left="2880" w:hanging="2880"/>
        <w:rPr>
          <w:rFonts w:ascii="Times New Roman" w:hAnsi="Times New Roman"/>
          <w:lang w:val="uk-UA"/>
        </w:rPr>
      </w:pPr>
    </w:p>
    <w:p w:rsidR="00D24B08" w:rsidRDefault="00D24B08" w:rsidP="00D24B08">
      <w:pPr>
        <w:pStyle w:val="afffffff5"/>
        <w:spacing w:line="360" w:lineRule="exact"/>
        <w:ind w:left="2790" w:hanging="2790"/>
        <w:rPr>
          <w:rFonts w:ascii="Times New Roman" w:hAnsi="Times New Roman"/>
          <w:lang w:val="uk-UA"/>
        </w:rPr>
      </w:pPr>
      <w:r>
        <w:rPr>
          <w:rFonts w:ascii="Times New Roman" w:hAnsi="Times New Roman"/>
          <w:b/>
          <w:lang w:val="uk-UA"/>
        </w:rPr>
        <w:t xml:space="preserve">Провідна установа:    </w:t>
      </w:r>
      <w:r>
        <w:rPr>
          <w:rFonts w:ascii="Times New Roman" w:hAnsi="Times New Roman"/>
          <w:lang w:val="uk-UA"/>
        </w:rPr>
        <w:t>Харківський державний медичний університет МОЗ України, кафедра ф</w:t>
      </w:r>
      <w:r>
        <w:rPr>
          <w:rFonts w:ascii="Times New Roman" w:hAnsi="Times New Roman"/>
          <w:lang w:val="uk-UA"/>
        </w:rPr>
        <w:t>а</w:t>
      </w:r>
      <w:r>
        <w:rPr>
          <w:rFonts w:ascii="Times New Roman" w:hAnsi="Times New Roman"/>
          <w:lang w:val="uk-UA"/>
        </w:rPr>
        <w:t xml:space="preserve">рмакології з медичною рецептурою, </w:t>
      </w:r>
    </w:p>
    <w:p w:rsidR="00D24B08" w:rsidRDefault="00D24B08" w:rsidP="00D24B08">
      <w:pPr>
        <w:pStyle w:val="afffffff5"/>
        <w:spacing w:line="360" w:lineRule="exact"/>
        <w:ind w:left="2880" w:hanging="90"/>
        <w:rPr>
          <w:rFonts w:ascii="Times New Roman" w:hAnsi="Times New Roman"/>
          <w:lang w:val="uk-UA"/>
        </w:rPr>
      </w:pPr>
      <w:r>
        <w:rPr>
          <w:rFonts w:ascii="Times New Roman" w:hAnsi="Times New Roman"/>
          <w:lang w:val="uk-UA"/>
        </w:rPr>
        <w:t xml:space="preserve">м. Харків </w:t>
      </w:r>
    </w:p>
    <w:p w:rsidR="00D24B08" w:rsidRDefault="00D24B08" w:rsidP="00D24B08">
      <w:pPr>
        <w:pStyle w:val="afffffff5"/>
        <w:spacing w:line="360" w:lineRule="exact"/>
        <w:rPr>
          <w:rFonts w:ascii="Times New Roman" w:hAnsi="Times New Roman"/>
          <w:b/>
          <w:lang w:val="uk-UA"/>
        </w:rPr>
      </w:pPr>
    </w:p>
    <w:p w:rsidR="00D24B08" w:rsidRDefault="00D24B08" w:rsidP="00D24B08">
      <w:pPr>
        <w:pStyle w:val="afffffff5"/>
        <w:spacing w:line="360" w:lineRule="exact"/>
        <w:rPr>
          <w:rFonts w:ascii="Times New Roman" w:hAnsi="Times New Roman"/>
          <w:b/>
          <w:lang w:val="uk-UA"/>
        </w:rPr>
      </w:pPr>
    </w:p>
    <w:p w:rsidR="00D24B08" w:rsidRDefault="00D24B08" w:rsidP="00D24B08">
      <w:pPr>
        <w:pStyle w:val="afffffff5"/>
        <w:spacing w:line="360" w:lineRule="exact"/>
        <w:rPr>
          <w:rFonts w:ascii="Times New Roman" w:hAnsi="Times New Roman"/>
          <w:lang w:val="uk-UA"/>
        </w:rPr>
      </w:pPr>
      <w:r>
        <w:rPr>
          <w:rFonts w:ascii="Times New Roman" w:hAnsi="Times New Roman"/>
          <w:lang w:val="uk-UA"/>
        </w:rPr>
        <w:t>Захист відбудеться  “____” ________________ 2003 року о ____ годині на зас</w:t>
      </w:r>
      <w:r>
        <w:rPr>
          <w:rFonts w:ascii="Times New Roman" w:hAnsi="Times New Roman"/>
          <w:lang w:val="uk-UA"/>
        </w:rPr>
        <w:t>і</w:t>
      </w:r>
      <w:r>
        <w:rPr>
          <w:rFonts w:ascii="Times New Roman" w:hAnsi="Times New Roman"/>
          <w:lang w:val="uk-UA"/>
        </w:rPr>
        <w:t>данні</w:t>
      </w:r>
    </w:p>
    <w:p w:rsidR="00D24B08" w:rsidRDefault="00D24B08" w:rsidP="00D24B08">
      <w:pPr>
        <w:pStyle w:val="afffffff5"/>
        <w:spacing w:line="360" w:lineRule="exact"/>
        <w:rPr>
          <w:rFonts w:ascii="Times New Roman" w:hAnsi="Times New Roman"/>
          <w:lang w:val="uk-UA"/>
        </w:rPr>
      </w:pPr>
      <w:r>
        <w:rPr>
          <w:rFonts w:ascii="Times New Roman" w:hAnsi="Times New Roman"/>
          <w:lang w:val="uk-UA"/>
        </w:rPr>
        <w:t>спеціалізованої вченої ради Д. 64.605.01 при Національному фармацевтичному універс</w:t>
      </w:r>
      <w:r>
        <w:rPr>
          <w:rFonts w:ascii="Times New Roman" w:hAnsi="Times New Roman"/>
          <w:lang w:val="uk-UA"/>
        </w:rPr>
        <w:t>и</w:t>
      </w:r>
      <w:r>
        <w:rPr>
          <w:rFonts w:ascii="Times New Roman" w:hAnsi="Times New Roman"/>
          <w:lang w:val="uk-UA"/>
        </w:rPr>
        <w:t>теті за адресою: 61002, м. Харків, вул. Пушкінська, 53</w:t>
      </w:r>
    </w:p>
    <w:p w:rsidR="00D24B08" w:rsidRDefault="00D24B08" w:rsidP="00D24B08">
      <w:pPr>
        <w:pStyle w:val="afffffff5"/>
        <w:spacing w:line="360" w:lineRule="exact"/>
        <w:rPr>
          <w:rFonts w:ascii="Times New Roman" w:hAnsi="Times New Roman"/>
          <w:lang w:val="uk-UA"/>
        </w:rPr>
      </w:pPr>
    </w:p>
    <w:p w:rsidR="00D24B08" w:rsidRDefault="00D24B08" w:rsidP="00D24B08">
      <w:pPr>
        <w:pStyle w:val="afffffff5"/>
        <w:spacing w:line="360" w:lineRule="exact"/>
        <w:rPr>
          <w:rFonts w:ascii="Times New Roman" w:hAnsi="Times New Roman"/>
          <w:lang w:val="uk-UA"/>
        </w:rPr>
      </w:pPr>
      <w:r>
        <w:rPr>
          <w:rFonts w:ascii="Times New Roman" w:hAnsi="Times New Roman"/>
          <w:lang w:val="uk-UA"/>
        </w:rPr>
        <w:t>З дисертацією можна ознайомитись у бібліотеці Національного фармацевтичного універс</w:t>
      </w:r>
      <w:r>
        <w:rPr>
          <w:rFonts w:ascii="Times New Roman" w:hAnsi="Times New Roman"/>
          <w:lang w:val="uk-UA"/>
        </w:rPr>
        <w:t>и</w:t>
      </w:r>
      <w:r>
        <w:rPr>
          <w:rFonts w:ascii="Times New Roman" w:hAnsi="Times New Roman"/>
          <w:lang w:val="uk-UA"/>
        </w:rPr>
        <w:t>тету (61168, м. Харків, вул. Блюхера, 4).</w:t>
      </w:r>
    </w:p>
    <w:p w:rsidR="00D24B08" w:rsidRDefault="00D24B08" w:rsidP="00D24B08">
      <w:pPr>
        <w:pStyle w:val="afffffff5"/>
        <w:spacing w:line="360" w:lineRule="exact"/>
        <w:rPr>
          <w:rFonts w:ascii="Times New Roman" w:hAnsi="Times New Roman"/>
          <w:lang w:val="uk-UA"/>
        </w:rPr>
      </w:pPr>
    </w:p>
    <w:p w:rsidR="00D24B08" w:rsidRDefault="00D24B08" w:rsidP="00D24B08">
      <w:pPr>
        <w:pStyle w:val="afffffff5"/>
        <w:spacing w:line="360" w:lineRule="exact"/>
        <w:rPr>
          <w:rFonts w:ascii="Times New Roman" w:hAnsi="Times New Roman"/>
          <w:lang w:val="uk-UA"/>
        </w:rPr>
      </w:pPr>
      <w:r>
        <w:rPr>
          <w:rFonts w:ascii="Times New Roman" w:hAnsi="Times New Roman"/>
          <w:lang w:val="uk-UA"/>
        </w:rPr>
        <w:t>Автореферат розісланий “___” ____________ 2003 р.</w:t>
      </w:r>
    </w:p>
    <w:p w:rsidR="00D24B08" w:rsidRDefault="00D24B08" w:rsidP="00D24B08">
      <w:pPr>
        <w:pStyle w:val="afffffff5"/>
        <w:spacing w:line="360" w:lineRule="exact"/>
        <w:rPr>
          <w:rFonts w:ascii="Times New Roman" w:hAnsi="Times New Roman"/>
          <w:lang w:val="uk-UA"/>
        </w:rPr>
      </w:pPr>
    </w:p>
    <w:p w:rsidR="00D24B08" w:rsidRDefault="00D24B08" w:rsidP="00D24B08">
      <w:pPr>
        <w:pStyle w:val="afffffff5"/>
        <w:spacing w:line="360" w:lineRule="exact"/>
        <w:rPr>
          <w:rFonts w:ascii="Times New Roman" w:hAnsi="Times New Roman"/>
          <w:lang w:val="uk-UA"/>
        </w:rPr>
      </w:pPr>
    </w:p>
    <w:p w:rsidR="00D24B08" w:rsidRDefault="00D24B08" w:rsidP="00D24B08">
      <w:pPr>
        <w:pStyle w:val="afffffff5"/>
        <w:spacing w:line="360" w:lineRule="exact"/>
        <w:rPr>
          <w:rFonts w:ascii="Times New Roman" w:hAnsi="Times New Roman"/>
          <w:lang w:val="uk-UA"/>
        </w:rPr>
      </w:pPr>
      <w:r>
        <w:rPr>
          <w:rFonts w:ascii="Times New Roman" w:hAnsi="Times New Roman"/>
          <w:lang w:val="uk-UA"/>
        </w:rPr>
        <w:t>Вчений секретар спеціалізованої</w:t>
      </w:r>
    </w:p>
    <w:p w:rsidR="00D24B08" w:rsidRDefault="00D24B08" w:rsidP="00D24B08">
      <w:pPr>
        <w:pStyle w:val="afffffff5"/>
        <w:spacing w:line="360" w:lineRule="exact"/>
        <w:rPr>
          <w:rFonts w:ascii="Times New Roman" w:hAnsi="Times New Roman"/>
          <w:lang w:val="uk-UA"/>
        </w:rPr>
        <w:sectPr w:rsidR="00D24B08">
          <w:pgSz w:w="11906" w:h="16838"/>
          <w:pgMar w:top="1134" w:right="737" w:bottom="1134" w:left="1134" w:header="720" w:footer="720" w:gutter="0"/>
          <w:cols w:space="720"/>
          <w:titlePg/>
        </w:sectPr>
      </w:pPr>
      <w:r>
        <w:rPr>
          <w:rFonts w:ascii="Times New Roman" w:hAnsi="Times New Roman"/>
          <w:lang w:val="uk-UA"/>
        </w:rPr>
        <w:t>вченої ради                                                                                            Л.М. Мал</w:t>
      </w:r>
      <w:r>
        <w:rPr>
          <w:rFonts w:ascii="Times New Roman" w:hAnsi="Times New Roman"/>
          <w:lang w:val="uk-UA"/>
        </w:rPr>
        <w:t>о</w:t>
      </w:r>
      <w:r>
        <w:rPr>
          <w:rFonts w:ascii="Times New Roman" w:hAnsi="Times New Roman"/>
          <w:lang w:val="uk-UA"/>
        </w:rPr>
        <w:t xml:space="preserve">штан </w:t>
      </w:r>
    </w:p>
    <w:p w:rsidR="00D24B08" w:rsidRDefault="00D24B08" w:rsidP="00D24B08">
      <w:pPr>
        <w:pStyle w:val="5"/>
        <w:spacing w:line="360" w:lineRule="exact"/>
      </w:pPr>
      <w:r>
        <w:lastRenderedPageBreak/>
        <w:t>ЗАГАЛЬНА ХАРАКТЕРИСТИКА РОБОТИ</w:t>
      </w:r>
    </w:p>
    <w:p w:rsidR="00D24B08" w:rsidRDefault="00D24B08" w:rsidP="00D24B08">
      <w:pPr>
        <w:spacing w:line="360" w:lineRule="exact"/>
        <w:rPr>
          <w:lang w:val="uk-UA"/>
        </w:rPr>
      </w:pPr>
    </w:p>
    <w:p w:rsidR="00D24B08" w:rsidRDefault="00D24B08" w:rsidP="00D24B08">
      <w:pPr>
        <w:spacing w:line="360" w:lineRule="exact"/>
        <w:rPr>
          <w:lang w:val="uk-UA"/>
        </w:rPr>
        <w:sectPr w:rsidR="00D24B08">
          <w:pgSz w:w="11906" w:h="16838"/>
          <w:pgMar w:top="1134" w:right="737" w:bottom="1134" w:left="1134" w:header="720" w:footer="720" w:gutter="0"/>
          <w:pgNumType w:start="1"/>
          <w:cols w:space="720"/>
        </w:sectPr>
      </w:pPr>
    </w:p>
    <w:p w:rsidR="00D24B08" w:rsidRDefault="00D24B08" w:rsidP="00D24B08">
      <w:pPr>
        <w:pStyle w:val="37"/>
        <w:spacing w:line="360" w:lineRule="exact"/>
        <w:ind w:left="0" w:firstLine="709"/>
        <w:rPr>
          <w:rFonts w:ascii="Times New Roman" w:hAnsi="Times New Roman"/>
          <w:lang w:val="uk-UA"/>
        </w:rPr>
      </w:pPr>
      <w:r>
        <w:rPr>
          <w:rFonts w:ascii="Times New Roman" w:hAnsi="Times New Roman"/>
          <w:b/>
          <w:lang w:val="uk-UA"/>
        </w:rPr>
        <w:lastRenderedPageBreak/>
        <w:t xml:space="preserve">Актуальність теми. </w:t>
      </w:r>
      <w:r>
        <w:rPr>
          <w:rFonts w:ascii="Times New Roman" w:hAnsi="Times New Roman"/>
          <w:lang w:val="uk-UA"/>
        </w:rPr>
        <w:t>За останні роки відмічається суттєве підвищення чис</w:t>
      </w:r>
      <w:r>
        <w:rPr>
          <w:rFonts w:ascii="Times New Roman" w:hAnsi="Times New Roman"/>
          <w:lang w:val="uk-UA"/>
        </w:rPr>
        <w:t>е</w:t>
      </w:r>
      <w:r>
        <w:rPr>
          <w:rFonts w:ascii="Times New Roman" w:hAnsi="Times New Roman"/>
          <w:lang w:val="uk-UA"/>
        </w:rPr>
        <w:t>льності людей з захворюваннями печінки, серед яких токсичні ураження органу складають 9 % (Дегтярева И.И., 2000). Важливість проблеми зумовлена несприя</w:t>
      </w:r>
      <w:r>
        <w:rPr>
          <w:rFonts w:ascii="Times New Roman" w:hAnsi="Times New Roman"/>
          <w:lang w:val="uk-UA"/>
        </w:rPr>
        <w:t>т</w:t>
      </w:r>
      <w:r>
        <w:rPr>
          <w:rFonts w:ascii="Times New Roman" w:hAnsi="Times New Roman"/>
          <w:lang w:val="uk-UA"/>
        </w:rPr>
        <w:t>ливою екологічною ситуацією в Україні, повсюдним використанням у побуті хімічних реч</w:t>
      </w:r>
      <w:r>
        <w:rPr>
          <w:rFonts w:ascii="Times New Roman" w:hAnsi="Times New Roman"/>
          <w:lang w:val="uk-UA"/>
        </w:rPr>
        <w:t>о</w:t>
      </w:r>
      <w:r>
        <w:rPr>
          <w:rFonts w:ascii="Times New Roman" w:hAnsi="Times New Roman"/>
          <w:lang w:val="uk-UA"/>
        </w:rPr>
        <w:t>вин, зловживанням алкоголем, поліпрагмазією у медичній практиці та іншими факторами навантаження на центральний орган метаболізму – печінку. Вказані ф</w:t>
      </w:r>
      <w:r>
        <w:rPr>
          <w:rFonts w:ascii="Times New Roman" w:hAnsi="Times New Roman"/>
          <w:lang w:val="uk-UA"/>
        </w:rPr>
        <w:t>а</w:t>
      </w:r>
      <w:r>
        <w:rPr>
          <w:rFonts w:ascii="Times New Roman" w:hAnsi="Times New Roman"/>
          <w:lang w:val="uk-UA"/>
        </w:rPr>
        <w:t>ктори тримають орган у стані підвищеної функціональної активності та призводять до й</w:t>
      </w:r>
      <w:r>
        <w:rPr>
          <w:rFonts w:ascii="Times New Roman" w:hAnsi="Times New Roman"/>
          <w:lang w:val="uk-UA"/>
        </w:rPr>
        <w:t>о</w:t>
      </w:r>
      <w:r>
        <w:rPr>
          <w:rFonts w:ascii="Times New Roman" w:hAnsi="Times New Roman"/>
          <w:lang w:val="uk-UA"/>
        </w:rPr>
        <w:t>го виснаження (Голубчиков М.В., 2000; Підручна С.Р., 1998). До того ж, складна економічна ситуація в Україні обумовлює необхідність поповне</w:t>
      </w:r>
      <w:r>
        <w:rPr>
          <w:rFonts w:ascii="Times New Roman" w:hAnsi="Times New Roman"/>
          <w:lang w:val="uk-UA"/>
        </w:rPr>
        <w:t>н</w:t>
      </w:r>
      <w:r>
        <w:rPr>
          <w:rFonts w:ascii="Times New Roman" w:hAnsi="Times New Roman"/>
          <w:lang w:val="uk-UA"/>
        </w:rPr>
        <w:t>ня фармацевтичного ринку недорогими лікарськими засобами, що можливо за р</w:t>
      </w:r>
      <w:r>
        <w:rPr>
          <w:rFonts w:ascii="Times New Roman" w:hAnsi="Times New Roman"/>
          <w:lang w:val="uk-UA"/>
        </w:rPr>
        <w:t>а</w:t>
      </w:r>
      <w:r>
        <w:rPr>
          <w:rFonts w:ascii="Times New Roman" w:hAnsi="Times New Roman"/>
          <w:lang w:val="uk-UA"/>
        </w:rPr>
        <w:t>хунок розширення асортименту вітчизняних препаратів. Вищезазначене є обґрунтуванням пошуку нових ефективних препаратів з гепатопр</w:t>
      </w:r>
      <w:r>
        <w:rPr>
          <w:rFonts w:ascii="Times New Roman" w:hAnsi="Times New Roman"/>
          <w:lang w:val="uk-UA"/>
        </w:rPr>
        <w:t>о</w:t>
      </w:r>
      <w:r>
        <w:rPr>
          <w:rFonts w:ascii="Times New Roman" w:hAnsi="Times New Roman"/>
          <w:lang w:val="uk-UA"/>
        </w:rPr>
        <w:t xml:space="preserve">текторною дією. </w:t>
      </w:r>
    </w:p>
    <w:p w:rsidR="00D24B08" w:rsidRDefault="00D24B08" w:rsidP="00D24B08">
      <w:pPr>
        <w:spacing w:line="360" w:lineRule="exact"/>
        <w:ind w:firstLine="709"/>
        <w:jc w:val="both"/>
        <w:rPr>
          <w:lang w:val="uk-UA"/>
        </w:rPr>
      </w:pPr>
      <w:r>
        <w:rPr>
          <w:lang w:val="uk-UA"/>
        </w:rPr>
        <w:t>Патогенетично обґрунтованим у фармакотерапії токсичних гепатитів є вик</w:t>
      </w:r>
      <w:r>
        <w:rPr>
          <w:lang w:val="uk-UA"/>
        </w:rPr>
        <w:t>о</w:t>
      </w:r>
      <w:r>
        <w:rPr>
          <w:lang w:val="uk-UA"/>
        </w:rPr>
        <w:t>ристання гепатозахисних лікарських засобів, які б виявляли антиоксидан</w:t>
      </w:r>
      <w:r>
        <w:rPr>
          <w:lang w:val="uk-UA"/>
        </w:rPr>
        <w:t>т</w:t>
      </w:r>
      <w:r>
        <w:rPr>
          <w:lang w:val="uk-UA"/>
        </w:rPr>
        <w:t>ну дію, коригували порушення метаболічних процесів та підвищували антитоксичні вла</w:t>
      </w:r>
      <w:r>
        <w:rPr>
          <w:lang w:val="uk-UA"/>
        </w:rPr>
        <w:t>с</w:t>
      </w:r>
      <w:r>
        <w:rPr>
          <w:lang w:val="uk-UA"/>
        </w:rPr>
        <w:t>тивості печінки (Деримедвідь Л.В., 1995). Враховуючи тенденцію хвороб п</w:t>
      </w:r>
      <w:r>
        <w:rPr>
          <w:lang w:val="uk-UA"/>
        </w:rPr>
        <w:t>е</w:t>
      </w:r>
      <w:r>
        <w:rPr>
          <w:lang w:val="uk-UA"/>
        </w:rPr>
        <w:t>чінки до хронізації та труднощі у виборі препаратів при тяжких порушеннях функції о</w:t>
      </w:r>
      <w:r>
        <w:rPr>
          <w:lang w:val="uk-UA"/>
        </w:rPr>
        <w:t>р</w:t>
      </w:r>
      <w:r>
        <w:rPr>
          <w:lang w:val="uk-UA"/>
        </w:rPr>
        <w:t>гану, адекватну фармакологічну регуляцію патологічного процесу можуть забезп</w:t>
      </w:r>
      <w:r>
        <w:rPr>
          <w:lang w:val="uk-UA"/>
        </w:rPr>
        <w:t>е</w:t>
      </w:r>
      <w:r>
        <w:rPr>
          <w:lang w:val="uk-UA"/>
        </w:rPr>
        <w:t>чити препарати, які поряд з вираженим ефектом не виявляли б негати</w:t>
      </w:r>
      <w:r>
        <w:rPr>
          <w:lang w:val="uk-UA"/>
        </w:rPr>
        <w:t>в</w:t>
      </w:r>
      <w:r>
        <w:rPr>
          <w:lang w:val="uk-UA"/>
        </w:rPr>
        <w:t xml:space="preserve">ного впливу при тривалому вживанні. </w:t>
      </w:r>
    </w:p>
    <w:p w:rsidR="00D24B08" w:rsidRDefault="00D24B08" w:rsidP="00D24B08">
      <w:pPr>
        <w:spacing w:line="360" w:lineRule="exact"/>
        <w:ind w:firstLine="709"/>
        <w:jc w:val="both"/>
        <w:rPr>
          <w:lang w:val="uk-UA"/>
        </w:rPr>
      </w:pPr>
      <w:r>
        <w:rPr>
          <w:lang w:val="uk-UA"/>
        </w:rPr>
        <w:t>Усім цим вимогам відповідають фітопрепарати, важливими особливостями яких є широкий діапазон терапевтичних доз, здатність активно впливати на ураж</w:t>
      </w:r>
      <w:r>
        <w:rPr>
          <w:lang w:val="uk-UA"/>
        </w:rPr>
        <w:t>е</w:t>
      </w:r>
      <w:r>
        <w:rPr>
          <w:lang w:val="uk-UA"/>
        </w:rPr>
        <w:t>ні мембранно-клітинні структури і метаболічні процеси, висока біодоступність, м'яка дія на організм та фізіологічна корекція порушених функцій, низькі токси</w:t>
      </w:r>
      <w:r>
        <w:rPr>
          <w:lang w:val="uk-UA"/>
        </w:rPr>
        <w:t>ч</w:t>
      </w:r>
      <w:r>
        <w:rPr>
          <w:lang w:val="uk-UA"/>
        </w:rPr>
        <w:t>ність та алергенність і у багатьох випадках - ціна (Бабак О.Я., Соломенц</w:t>
      </w:r>
      <w:r>
        <w:rPr>
          <w:lang w:val="uk-UA"/>
        </w:rPr>
        <w:t>е</w:t>
      </w:r>
      <w:r>
        <w:rPr>
          <w:lang w:val="uk-UA"/>
        </w:rPr>
        <w:t>ва Т.А., 1998). Враховуючи вищезазначене, як перспективну сировину для створення вітчизняного г</w:t>
      </w:r>
      <w:r>
        <w:rPr>
          <w:lang w:val="uk-UA"/>
        </w:rPr>
        <w:t>е</w:t>
      </w:r>
      <w:r>
        <w:rPr>
          <w:lang w:val="uk-UA"/>
        </w:rPr>
        <w:t>патопротектора було вибрано траву гороху посівного (</w:t>
      </w:r>
      <w:r>
        <w:rPr>
          <w:lang w:val="en-US"/>
        </w:rPr>
        <w:t>Pisum</w:t>
      </w:r>
      <w:r>
        <w:rPr>
          <w:lang w:val="uk-UA"/>
        </w:rPr>
        <w:t xml:space="preserve"> </w:t>
      </w:r>
      <w:r>
        <w:rPr>
          <w:lang w:val="en-US"/>
        </w:rPr>
        <w:t>sativum</w:t>
      </w:r>
      <w:r>
        <w:rPr>
          <w:lang w:val="uk-UA"/>
        </w:rPr>
        <w:t xml:space="preserve"> </w:t>
      </w:r>
      <w:r>
        <w:rPr>
          <w:lang w:val="en-US"/>
        </w:rPr>
        <w:t>L</w:t>
      </w:r>
      <w:r>
        <w:rPr>
          <w:lang w:val="uk-UA"/>
        </w:rPr>
        <w:t>.  род. Бобових (</w:t>
      </w:r>
      <w:r>
        <w:rPr>
          <w:lang w:val="en-US"/>
        </w:rPr>
        <w:t>F</w:t>
      </w:r>
      <w:r>
        <w:rPr>
          <w:lang w:val="en-US"/>
        </w:rPr>
        <w:t>a</w:t>
      </w:r>
      <w:r>
        <w:rPr>
          <w:lang w:val="en-US"/>
        </w:rPr>
        <w:t>baceae</w:t>
      </w:r>
      <w:r>
        <w:rPr>
          <w:lang w:val="uk-UA"/>
        </w:rPr>
        <w:t>)), яка містить поліфенольні сполуки, амінокислоти та інші біологічно активні речовини (БАР), що забезпечують гепатопротекторну дію. Горох широко вирощується в нашій країні як сільськогосп</w:t>
      </w:r>
      <w:r>
        <w:rPr>
          <w:lang w:val="uk-UA"/>
        </w:rPr>
        <w:t>о</w:t>
      </w:r>
      <w:r>
        <w:rPr>
          <w:lang w:val="uk-UA"/>
        </w:rPr>
        <w:t>дарська культура, і його надземна частина є економічно вигідною сировинною базою для одержання лікарського препарату, бо викори</w:t>
      </w:r>
      <w:r>
        <w:rPr>
          <w:lang w:val="uk-UA"/>
        </w:rPr>
        <w:t>с</w:t>
      </w:r>
      <w:r>
        <w:rPr>
          <w:lang w:val="uk-UA"/>
        </w:rPr>
        <w:t>товується після збору врожаю насіння.</w:t>
      </w:r>
    </w:p>
    <w:p w:rsidR="00D24B08" w:rsidRDefault="00D24B08" w:rsidP="00D24B08">
      <w:pPr>
        <w:pStyle w:val="1fff1"/>
        <w:spacing w:line="360" w:lineRule="exact"/>
        <w:ind w:firstLine="567"/>
        <w:jc w:val="both"/>
        <w:rPr>
          <w:rFonts w:ascii="Times New Roman" w:hAnsi="Times New Roman"/>
          <w:lang w:val="uk-UA"/>
        </w:rPr>
      </w:pPr>
      <w:r>
        <w:rPr>
          <w:rFonts w:ascii="Times New Roman" w:hAnsi="Times New Roman"/>
          <w:b/>
          <w:lang w:val="uk-UA"/>
        </w:rPr>
        <w:t>Зв</w:t>
      </w:r>
      <w:r>
        <w:rPr>
          <w:rFonts w:ascii="Times New Roman" w:hAnsi="Times New Roman"/>
          <w:b/>
          <w:lang w:val="uk-UA"/>
        </w:rPr>
        <w:sym w:font="Symbol" w:char="F0A2"/>
      </w:r>
      <w:r>
        <w:rPr>
          <w:rFonts w:ascii="Times New Roman" w:hAnsi="Times New Roman"/>
          <w:b/>
          <w:lang w:val="uk-UA"/>
        </w:rPr>
        <w:t xml:space="preserve">язок роботи з науковими програмами, планами, темами. </w:t>
      </w:r>
      <w:r>
        <w:rPr>
          <w:rFonts w:ascii="Times New Roman" w:hAnsi="Times New Roman"/>
          <w:bCs/>
          <w:lang w:val="uk-UA"/>
        </w:rPr>
        <w:t xml:space="preserve">Дисертація </w:t>
      </w:r>
      <w:r>
        <w:rPr>
          <w:rFonts w:ascii="Times New Roman" w:hAnsi="Times New Roman"/>
          <w:lang w:val="uk-UA"/>
        </w:rPr>
        <w:t>в</w:t>
      </w:r>
      <w:r>
        <w:rPr>
          <w:rFonts w:ascii="Times New Roman" w:hAnsi="Times New Roman"/>
          <w:lang w:val="uk-UA"/>
        </w:rPr>
        <w:t>и</w:t>
      </w:r>
      <w:r>
        <w:rPr>
          <w:rFonts w:ascii="Times New Roman" w:hAnsi="Times New Roman"/>
          <w:lang w:val="uk-UA"/>
        </w:rPr>
        <w:t>конана у рамках науково-дослідної програми Національного фармацевтичного ун</w:t>
      </w:r>
      <w:r>
        <w:rPr>
          <w:rFonts w:ascii="Times New Roman" w:hAnsi="Times New Roman"/>
          <w:lang w:val="uk-UA"/>
        </w:rPr>
        <w:t>і</w:t>
      </w:r>
      <w:r>
        <w:rPr>
          <w:rFonts w:ascii="Times New Roman" w:hAnsi="Times New Roman"/>
          <w:lang w:val="uk-UA"/>
        </w:rPr>
        <w:t>верситету з проблеми МОЗ України “Створення нових лікарських препаратів на основі рослинної та пр</w:t>
      </w:r>
      <w:r>
        <w:rPr>
          <w:rFonts w:ascii="Times New Roman" w:hAnsi="Times New Roman"/>
          <w:lang w:val="uk-UA"/>
        </w:rPr>
        <w:t>и</w:t>
      </w:r>
      <w:r>
        <w:rPr>
          <w:rFonts w:ascii="Times New Roman" w:hAnsi="Times New Roman"/>
          <w:lang w:val="uk-UA"/>
        </w:rPr>
        <w:t>родної сировини, у тому числі продуктів бджільництва, для дорослих та дітей” (№ Державної р</w:t>
      </w:r>
      <w:r>
        <w:rPr>
          <w:rFonts w:ascii="Times New Roman" w:hAnsi="Times New Roman"/>
          <w:lang w:val="uk-UA"/>
        </w:rPr>
        <w:t>е</w:t>
      </w:r>
      <w:r>
        <w:rPr>
          <w:rFonts w:ascii="Times New Roman" w:hAnsi="Times New Roman"/>
          <w:lang w:val="uk-UA"/>
        </w:rPr>
        <w:t xml:space="preserve">єстрації  0198U007008). </w:t>
      </w:r>
    </w:p>
    <w:p w:rsidR="00D24B08" w:rsidRDefault="00D24B08" w:rsidP="00D24B08">
      <w:pPr>
        <w:pStyle w:val="1fff1"/>
        <w:spacing w:line="360" w:lineRule="exact"/>
        <w:ind w:firstLine="567"/>
        <w:jc w:val="both"/>
        <w:rPr>
          <w:rFonts w:ascii="Times New Roman" w:hAnsi="Times New Roman"/>
          <w:lang w:val="uk-UA"/>
        </w:rPr>
      </w:pPr>
      <w:r>
        <w:rPr>
          <w:rFonts w:ascii="Times New Roman" w:hAnsi="Times New Roman"/>
          <w:b/>
          <w:lang w:val="uk-UA"/>
        </w:rPr>
        <w:t>Мета і завдання дослідження</w:t>
      </w:r>
      <w:r>
        <w:rPr>
          <w:rFonts w:ascii="Times New Roman" w:hAnsi="Times New Roman"/>
          <w:lang w:val="uk-UA"/>
        </w:rPr>
        <w:t>. Метою даної роботи стало експериментал</w:t>
      </w:r>
      <w:r>
        <w:rPr>
          <w:rFonts w:ascii="Times New Roman" w:hAnsi="Times New Roman"/>
          <w:lang w:val="uk-UA"/>
        </w:rPr>
        <w:t>ь</w:t>
      </w:r>
      <w:r>
        <w:rPr>
          <w:rFonts w:ascii="Times New Roman" w:hAnsi="Times New Roman"/>
          <w:lang w:val="uk-UA"/>
        </w:rPr>
        <w:t>не обґрунтування використання в медичній практиці нового гепатозахисного преп</w:t>
      </w:r>
      <w:r>
        <w:rPr>
          <w:rFonts w:ascii="Times New Roman" w:hAnsi="Times New Roman"/>
          <w:lang w:val="uk-UA"/>
        </w:rPr>
        <w:t>а</w:t>
      </w:r>
      <w:r>
        <w:rPr>
          <w:rFonts w:ascii="Times New Roman" w:hAnsi="Times New Roman"/>
          <w:lang w:val="uk-UA"/>
        </w:rPr>
        <w:t>рату піфламіну для патогенетичного лікування токсичних гепатитів.</w:t>
      </w:r>
    </w:p>
    <w:p w:rsidR="00D24B08" w:rsidRDefault="00D24B08" w:rsidP="00D24B08">
      <w:pPr>
        <w:spacing w:line="360" w:lineRule="exact"/>
        <w:ind w:firstLine="720"/>
        <w:jc w:val="both"/>
        <w:rPr>
          <w:lang w:val="uk-UA"/>
        </w:rPr>
      </w:pPr>
      <w:r>
        <w:rPr>
          <w:iCs/>
          <w:lang w:val="uk-UA"/>
        </w:rPr>
        <w:t>Для досягнення поставленої мети необхідно було вирішити такі завда</w:t>
      </w:r>
      <w:r>
        <w:rPr>
          <w:iCs/>
          <w:lang w:val="uk-UA"/>
        </w:rPr>
        <w:t>н</w:t>
      </w:r>
      <w:r>
        <w:rPr>
          <w:iCs/>
          <w:lang w:val="uk-UA"/>
        </w:rPr>
        <w:t>ня</w:t>
      </w:r>
      <w:r>
        <w:rPr>
          <w:lang w:val="uk-UA"/>
        </w:rPr>
        <w:t>:</w:t>
      </w:r>
    </w:p>
    <w:p w:rsidR="00D24B08" w:rsidRDefault="00D24B08" w:rsidP="00E34E4F">
      <w:pPr>
        <w:pStyle w:val="afffffff9"/>
        <w:numPr>
          <w:ilvl w:val="0"/>
          <w:numId w:val="42"/>
        </w:numPr>
        <w:tabs>
          <w:tab w:val="clear" w:pos="1440"/>
          <w:tab w:val="num" w:pos="270"/>
        </w:tabs>
        <w:suppressAutoHyphens w:val="0"/>
        <w:spacing w:after="0" w:line="360" w:lineRule="exact"/>
        <w:ind w:left="270" w:hanging="270"/>
        <w:jc w:val="both"/>
        <w:rPr>
          <w:rFonts w:ascii="Times New Roman" w:hAnsi="Times New Roman"/>
          <w:lang w:val="uk-UA"/>
        </w:rPr>
      </w:pPr>
      <w:r>
        <w:rPr>
          <w:rFonts w:ascii="Times New Roman" w:hAnsi="Times New Roman"/>
          <w:lang w:val="uk-UA"/>
        </w:rPr>
        <w:lastRenderedPageBreak/>
        <w:t>Вивчити антиоксидантну дію субстанції піфламіну в сист</w:t>
      </w:r>
      <w:r>
        <w:rPr>
          <w:rFonts w:ascii="Times New Roman" w:hAnsi="Times New Roman"/>
          <w:lang w:val="uk-UA"/>
        </w:rPr>
        <w:t>е</w:t>
      </w:r>
      <w:r>
        <w:rPr>
          <w:rFonts w:ascii="Times New Roman" w:hAnsi="Times New Roman"/>
          <w:lang w:val="uk-UA"/>
        </w:rPr>
        <w:t>мах in vitro та in vivo та елементи механізму цієї дії.</w:t>
      </w:r>
    </w:p>
    <w:p w:rsidR="00D24B08" w:rsidRDefault="00D24B08" w:rsidP="00E34E4F">
      <w:pPr>
        <w:pStyle w:val="afffffff9"/>
        <w:numPr>
          <w:ilvl w:val="0"/>
          <w:numId w:val="42"/>
        </w:numPr>
        <w:tabs>
          <w:tab w:val="clear" w:pos="1440"/>
          <w:tab w:val="num" w:pos="270"/>
        </w:tabs>
        <w:suppressAutoHyphens w:val="0"/>
        <w:spacing w:after="0" w:line="360" w:lineRule="exact"/>
        <w:ind w:left="270" w:hanging="270"/>
        <w:jc w:val="both"/>
        <w:rPr>
          <w:rFonts w:ascii="Times New Roman" w:hAnsi="Times New Roman"/>
          <w:lang w:val="uk-UA"/>
        </w:rPr>
      </w:pPr>
      <w:r>
        <w:rPr>
          <w:rFonts w:ascii="Times New Roman" w:hAnsi="Times New Roman"/>
          <w:lang w:val="uk-UA"/>
        </w:rPr>
        <w:t>Дослідити мембраностабілізувальні властивості таблеток піфламіну.</w:t>
      </w:r>
    </w:p>
    <w:p w:rsidR="00D24B08" w:rsidRDefault="00D24B08" w:rsidP="00E34E4F">
      <w:pPr>
        <w:pStyle w:val="afffffff9"/>
        <w:numPr>
          <w:ilvl w:val="0"/>
          <w:numId w:val="42"/>
        </w:numPr>
        <w:tabs>
          <w:tab w:val="clear" w:pos="1440"/>
          <w:tab w:val="num" w:pos="270"/>
        </w:tabs>
        <w:suppressAutoHyphens w:val="0"/>
        <w:spacing w:after="0" w:line="360" w:lineRule="exact"/>
        <w:ind w:left="270" w:hanging="270"/>
        <w:jc w:val="both"/>
        <w:rPr>
          <w:rFonts w:ascii="Times New Roman" w:hAnsi="Times New Roman"/>
          <w:lang w:val="uk-UA"/>
        </w:rPr>
      </w:pPr>
      <w:r>
        <w:rPr>
          <w:rFonts w:ascii="Times New Roman" w:hAnsi="Times New Roman"/>
          <w:lang w:val="uk-UA"/>
        </w:rPr>
        <w:t>Вивчити механізми протизапальної активності таблеток піфламіну.</w:t>
      </w:r>
    </w:p>
    <w:p w:rsidR="00D24B08" w:rsidRDefault="00D24B08" w:rsidP="00E34E4F">
      <w:pPr>
        <w:pStyle w:val="afffffff9"/>
        <w:numPr>
          <w:ilvl w:val="0"/>
          <w:numId w:val="42"/>
        </w:numPr>
        <w:tabs>
          <w:tab w:val="clear" w:pos="1440"/>
          <w:tab w:val="num" w:pos="270"/>
        </w:tabs>
        <w:suppressAutoHyphens w:val="0"/>
        <w:spacing w:after="0" w:line="360" w:lineRule="exact"/>
        <w:ind w:left="270" w:hanging="270"/>
        <w:jc w:val="both"/>
        <w:rPr>
          <w:rFonts w:ascii="Times New Roman" w:hAnsi="Times New Roman"/>
          <w:lang w:val="uk-UA"/>
        </w:rPr>
      </w:pPr>
      <w:r>
        <w:rPr>
          <w:rFonts w:ascii="Times New Roman" w:hAnsi="Times New Roman"/>
          <w:lang w:val="uk-UA"/>
        </w:rPr>
        <w:t>Дослідити ефективність субстанції й таблеток піфламіну на експериментал</w:t>
      </w:r>
      <w:r>
        <w:rPr>
          <w:rFonts w:ascii="Times New Roman" w:hAnsi="Times New Roman"/>
          <w:lang w:val="uk-UA"/>
        </w:rPr>
        <w:t>ь</w:t>
      </w:r>
      <w:r>
        <w:rPr>
          <w:rFonts w:ascii="Times New Roman" w:hAnsi="Times New Roman"/>
          <w:lang w:val="uk-UA"/>
        </w:rPr>
        <w:t>них моделях токсичних гепатитів з гострим, субхронічним і хронічним переб</w:t>
      </w:r>
      <w:r>
        <w:rPr>
          <w:rFonts w:ascii="Times New Roman" w:hAnsi="Times New Roman"/>
          <w:lang w:val="uk-UA"/>
        </w:rPr>
        <w:t>і</w:t>
      </w:r>
      <w:r>
        <w:rPr>
          <w:rFonts w:ascii="Times New Roman" w:hAnsi="Times New Roman"/>
          <w:lang w:val="uk-UA"/>
        </w:rPr>
        <w:t>гом у щурів.</w:t>
      </w:r>
    </w:p>
    <w:p w:rsidR="00D24B08" w:rsidRDefault="00D24B08" w:rsidP="00E34E4F">
      <w:pPr>
        <w:pStyle w:val="afffffff9"/>
        <w:numPr>
          <w:ilvl w:val="0"/>
          <w:numId w:val="42"/>
        </w:numPr>
        <w:tabs>
          <w:tab w:val="clear" w:pos="1440"/>
          <w:tab w:val="num" w:pos="270"/>
        </w:tabs>
        <w:suppressAutoHyphens w:val="0"/>
        <w:spacing w:after="0" w:line="360" w:lineRule="exact"/>
        <w:ind w:left="270" w:hanging="270"/>
        <w:jc w:val="both"/>
        <w:rPr>
          <w:rFonts w:ascii="Times New Roman" w:hAnsi="Times New Roman"/>
          <w:lang w:val="uk-UA"/>
        </w:rPr>
      </w:pPr>
      <w:r>
        <w:rPr>
          <w:rFonts w:ascii="Times New Roman" w:hAnsi="Times New Roman"/>
          <w:lang w:val="uk-UA"/>
        </w:rPr>
        <w:t>Провести порівняльний аналіз ефективності піфламіну та силібору при експер</w:t>
      </w:r>
      <w:r>
        <w:rPr>
          <w:rFonts w:ascii="Times New Roman" w:hAnsi="Times New Roman"/>
          <w:lang w:val="uk-UA"/>
        </w:rPr>
        <w:t>и</w:t>
      </w:r>
      <w:r>
        <w:rPr>
          <w:rFonts w:ascii="Times New Roman" w:hAnsi="Times New Roman"/>
          <w:lang w:val="uk-UA"/>
        </w:rPr>
        <w:t>ментальних гепатитах за основними критеріями гепатозахисної дії.</w:t>
      </w:r>
    </w:p>
    <w:p w:rsidR="00D24B08" w:rsidRDefault="00D24B08" w:rsidP="00E34E4F">
      <w:pPr>
        <w:pStyle w:val="afffffff9"/>
        <w:numPr>
          <w:ilvl w:val="0"/>
          <w:numId w:val="42"/>
        </w:numPr>
        <w:tabs>
          <w:tab w:val="clear" w:pos="1440"/>
          <w:tab w:val="num" w:pos="270"/>
        </w:tabs>
        <w:suppressAutoHyphens w:val="0"/>
        <w:spacing w:after="0" w:line="360" w:lineRule="exact"/>
        <w:ind w:left="270" w:hanging="270"/>
        <w:jc w:val="both"/>
        <w:rPr>
          <w:rFonts w:ascii="Times New Roman" w:hAnsi="Times New Roman"/>
          <w:lang w:val="uk-UA"/>
        </w:rPr>
      </w:pPr>
      <w:r>
        <w:rPr>
          <w:rFonts w:ascii="Times New Roman" w:hAnsi="Times New Roman"/>
          <w:lang w:val="uk-UA"/>
        </w:rPr>
        <w:t>Визначити показники гострої токсичності субстанції й таблеток піфл</w:t>
      </w:r>
      <w:r>
        <w:rPr>
          <w:rFonts w:ascii="Times New Roman" w:hAnsi="Times New Roman"/>
          <w:lang w:val="uk-UA"/>
        </w:rPr>
        <w:t>а</w:t>
      </w:r>
      <w:r>
        <w:rPr>
          <w:rFonts w:ascii="Times New Roman" w:hAnsi="Times New Roman"/>
          <w:lang w:val="uk-UA"/>
        </w:rPr>
        <w:t>міну.</w:t>
      </w:r>
    </w:p>
    <w:p w:rsidR="00D24B08" w:rsidRDefault="00D24B08" w:rsidP="00E34E4F">
      <w:pPr>
        <w:pStyle w:val="afffffff9"/>
        <w:numPr>
          <w:ilvl w:val="0"/>
          <w:numId w:val="42"/>
        </w:numPr>
        <w:tabs>
          <w:tab w:val="clear" w:pos="1440"/>
          <w:tab w:val="num" w:pos="270"/>
        </w:tabs>
        <w:suppressAutoHyphens w:val="0"/>
        <w:spacing w:after="0" w:line="360" w:lineRule="exact"/>
        <w:ind w:left="270" w:hanging="270"/>
        <w:jc w:val="both"/>
        <w:rPr>
          <w:rFonts w:ascii="Times New Roman" w:hAnsi="Times New Roman"/>
          <w:lang w:val="uk-UA"/>
        </w:rPr>
      </w:pPr>
      <w:r>
        <w:rPr>
          <w:rFonts w:ascii="Times New Roman" w:hAnsi="Times New Roman"/>
          <w:lang w:val="uk-UA"/>
        </w:rPr>
        <w:t>Визначити вплив субстанції і таблеток піфламіну на основні функції шлунк</w:t>
      </w:r>
      <w:r>
        <w:rPr>
          <w:rFonts w:ascii="Times New Roman" w:hAnsi="Times New Roman"/>
          <w:lang w:val="uk-UA"/>
        </w:rPr>
        <w:t>о</w:t>
      </w:r>
      <w:r>
        <w:rPr>
          <w:rFonts w:ascii="Times New Roman" w:hAnsi="Times New Roman"/>
          <w:lang w:val="uk-UA"/>
        </w:rPr>
        <w:t>во-кишкового тракту.</w:t>
      </w:r>
    </w:p>
    <w:p w:rsidR="00D24B08" w:rsidRDefault="00D24B08" w:rsidP="00D24B08">
      <w:pPr>
        <w:spacing w:line="360" w:lineRule="exact"/>
        <w:ind w:firstLine="720"/>
        <w:jc w:val="both"/>
        <w:rPr>
          <w:lang w:val="uk-UA"/>
        </w:rPr>
      </w:pPr>
      <w:r>
        <w:rPr>
          <w:i/>
          <w:lang w:val="uk-UA"/>
        </w:rPr>
        <w:t>Об</w:t>
      </w:r>
      <w:r>
        <w:rPr>
          <w:i/>
          <w:lang w:val="uk-UA"/>
        </w:rPr>
        <w:sym w:font="Symbol" w:char="F0A2"/>
      </w:r>
      <w:r>
        <w:rPr>
          <w:i/>
          <w:lang w:val="uk-UA"/>
        </w:rPr>
        <w:t>єкт дослідження</w:t>
      </w:r>
      <w:r>
        <w:rPr>
          <w:lang w:val="uk-UA"/>
        </w:rPr>
        <w:t xml:space="preserve"> </w:t>
      </w:r>
      <w:r>
        <w:rPr>
          <w:lang w:val="uk-UA"/>
        </w:rPr>
        <w:sym w:font="Symbol" w:char="F02D"/>
      </w:r>
      <w:r>
        <w:rPr>
          <w:lang w:val="uk-UA"/>
        </w:rPr>
        <w:t xml:space="preserve"> субстанція піфламіну, одержана з трави гороху посі</w:t>
      </w:r>
      <w:r>
        <w:rPr>
          <w:lang w:val="uk-UA"/>
        </w:rPr>
        <w:t>в</w:t>
      </w:r>
      <w:r>
        <w:rPr>
          <w:lang w:val="uk-UA"/>
        </w:rPr>
        <w:t>ного на кафедрі фармакогнозії Національного фармацевтичного університету д</w:t>
      </w:r>
      <w:r>
        <w:rPr>
          <w:lang w:val="uk-UA"/>
        </w:rPr>
        <w:t>о</w:t>
      </w:r>
      <w:r>
        <w:rPr>
          <w:lang w:val="uk-UA"/>
        </w:rPr>
        <w:t>центом Ковальовою А.М., і таблетки "Піфламін", які розроблені на дослідному з</w:t>
      </w:r>
      <w:r>
        <w:rPr>
          <w:lang w:val="uk-UA"/>
        </w:rPr>
        <w:t>а</w:t>
      </w:r>
      <w:r>
        <w:rPr>
          <w:lang w:val="uk-UA"/>
        </w:rPr>
        <w:t>воді ДНЦЛЗ і містять 125 мг діючої субстанції.</w:t>
      </w:r>
    </w:p>
    <w:p w:rsidR="00D24B08" w:rsidRDefault="00D24B08" w:rsidP="00D24B08">
      <w:pPr>
        <w:pStyle w:val="afffffff9"/>
        <w:spacing w:line="360" w:lineRule="exact"/>
        <w:ind w:left="0" w:firstLine="709"/>
        <w:jc w:val="both"/>
        <w:rPr>
          <w:rFonts w:ascii="Times New Roman" w:hAnsi="Times New Roman"/>
          <w:lang w:val="uk-UA"/>
        </w:rPr>
      </w:pPr>
      <w:r>
        <w:rPr>
          <w:rFonts w:ascii="Times New Roman" w:hAnsi="Times New Roman"/>
          <w:i/>
          <w:lang w:val="uk-UA"/>
        </w:rPr>
        <w:t xml:space="preserve">Предмет дослідження. </w:t>
      </w:r>
      <w:r>
        <w:rPr>
          <w:rFonts w:ascii="Times New Roman" w:hAnsi="Times New Roman"/>
          <w:lang w:val="uk-UA"/>
        </w:rPr>
        <w:t xml:space="preserve"> Фармакологічна активність  субстанції і таблеток піфламіну при патологіях печінки.</w:t>
      </w:r>
    </w:p>
    <w:p w:rsidR="00D24B08" w:rsidRDefault="00D24B08" w:rsidP="00D24B08">
      <w:pPr>
        <w:pStyle w:val="afffffff9"/>
        <w:spacing w:line="360" w:lineRule="exact"/>
        <w:ind w:left="0" w:firstLine="709"/>
        <w:jc w:val="both"/>
        <w:rPr>
          <w:rFonts w:ascii="Times New Roman" w:hAnsi="Times New Roman"/>
          <w:lang w:val="uk-UA"/>
        </w:rPr>
      </w:pPr>
      <w:r>
        <w:rPr>
          <w:rFonts w:ascii="Times New Roman" w:hAnsi="Times New Roman"/>
          <w:i/>
          <w:lang w:val="uk-UA"/>
        </w:rPr>
        <w:t>Методи дослідження.</w:t>
      </w:r>
      <w:r>
        <w:rPr>
          <w:rFonts w:ascii="Times New Roman" w:hAnsi="Times New Roman"/>
          <w:lang w:val="uk-UA"/>
        </w:rPr>
        <w:t xml:space="preserve"> При виконанні дисертаційної роботи були викори</w:t>
      </w:r>
      <w:r>
        <w:rPr>
          <w:rFonts w:ascii="Times New Roman" w:hAnsi="Times New Roman"/>
          <w:lang w:val="uk-UA"/>
        </w:rPr>
        <w:t>с</w:t>
      </w:r>
      <w:r>
        <w:rPr>
          <w:rFonts w:ascii="Times New Roman" w:hAnsi="Times New Roman"/>
          <w:lang w:val="uk-UA"/>
        </w:rPr>
        <w:t>тані фармакологічні, токсикологічні, біохімічні, гістологічні методи дослідження та методи математи</w:t>
      </w:r>
      <w:r>
        <w:rPr>
          <w:rFonts w:ascii="Times New Roman" w:hAnsi="Times New Roman"/>
          <w:lang w:val="uk-UA"/>
        </w:rPr>
        <w:t>ч</w:t>
      </w:r>
      <w:r>
        <w:rPr>
          <w:rFonts w:ascii="Times New Roman" w:hAnsi="Times New Roman"/>
          <w:lang w:val="uk-UA"/>
        </w:rPr>
        <w:t>ної статистики.</w:t>
      </w:r>
    </w:p>
    <w:p w:rsidR="00D24B08" w:rsidRDefault="00D24B08" w:rsidP="00D24B08">
      <w:pPr>
        <w:pStyle w:val="afffffff9"/>
        <w:spacing w:line="360" w:lineRule="exact"/>
        <w:ind w:left="0" w:firstLine="709"/>
        <w:jc w:val="both"/>
        <w:rPr>
          <w:rFonts w:ascii="Times New Roman" w:hAnsi="Times New Roman"/>
          <w:lang w:val="uk-UA"/>
        </w:rPr>
      </w:pPr>
      <w:r>
        <w:rPr>
          <w:rFonts w:ascii="Times New Roman" w:hAnsi="Times New Roman"/>
          <w:b/>
          <w:lang w:val="uk-UA"/>
        </w:rPr>
        <w:t xml:space="preserve">Наукова новизна одержаних результатів. </w:t>
      </w:r>
      <w:r>
        <w:rPr>
          <w:rFonts w:ascii="Times New Roman" w:hAnsi="Times New Roman"/>
          <w:lang w:val="uk-UA"/>
        </w:rPr>
        <w:t>Уперше вивчені фармаколог</w:t>
      </w:r>
      <w:r>
        <w:rPr>
          <w:rFonts w:ascii="Times New Roman" w:hAnsi="Times New Roman"/>
          <w:lang w:val="uk-UA"/>
        </w:rPr>
        <w:t>і</w:t>
      </w:r>
      <w:r>
        <w:rPr>
          <w:rFonts w:ascii="Times New Roman" w:hAnsi="Times New Roman"/>
          <w:lang w:val="uk-UA"/>
        </w:rPr>
        <w:t>чні властивості комплексу БАР з наземної частини гороху посівного та розробленого на його основі препарату "Піфламін". Встановлена виражена антиоксидантна, мембраностабілізувальна, протизапальна активність піфламіну і його спромо</w:t>
      </w:r>
      <w:r>
        <w:rPr>
          <w:rFonts w:ascii="Times New Roman" w:hAnsi="Times New Roman"/>
          <w:lang w:val="uk-UA"/>
        </w:rPr>
        <w:t>ж</w:t>
      </w:r>
      <w:r>
        <w:rPr>
          <w:rFonts w:ascii="Times New Roman" w:hAnsi="Times New Roman"/>
          <w:lang w:val="uk-UA"/>
        </w:rPr>
        <w:t>ність нормалізовувати судинну проникність. Зазначені фа</w:t>
      </w:r>
      <w:r>
        <w:rPr>
          <w:rFonts w:ascii="Times New Roman" w:hAnsi="Times New Roman"/>
          <w:lang w:val="uk-UA"/>
        </w:rPr>
        <w:t>р</w:t>
      </w:r>
      <w:r>
        <w:rPr>
          <w:rFonts w:ascii="Times New Roman" w:hAnsi="Times New Roman"/>
          <w:lang w:val="uk-UA"/>
        </w:rPr>
        <w:t>макологічні властивості піфламіну обумовили його гепатозахисну дію і ефективність при гострих і хроні</w:t>
      </w:r>
      <w:r>
        <w:rPr>
          <w:rFonts w:ascii="Times New Roman" w:hAnsi="Times New Roman"/>
          <w:lang w:val="uk-UA"/>
        </w:rPr>
        <w:t>ч</w:t>
      </w:r>
      <w:r>
        <w:rPr>
          <w:rFonts w:ascii="Times New Roman" w:hAnsi="Times New Roman"/>
          <w:lang w:val="uk-UA"/>
        </w:rPr>
        <w:t>них ураженнях печінки токсичної етіології. Доведено, що піфламін є відносно н</w:t>
      </w:r>
      <w:r>
        <w:rPr>
          <w:rFonts w:ascii="Times New Roman" w:hAnsi="Times New Roman"/>
          <w:lang w:val="uk-UA"/>
        </w:rPr>
        <w:t>е</w:t>
      </w:r>
      <w:r>
        <w:rPr>
          <w:rFonts w:ascii="Times New Roman" w:hAnsi="Times New Roman"/>
          <w:lang w:val="uk-UA"/>
        </w:rPr>
        <w:t>шкідливою речовиною, не має ульцерогенних властивостей, не впливає на секр</w:t>
      </w:r>
      <w:r>
        <w:rPr>
          <w:rFonts w:ascii="Times New Roman" w:hAnsi="Times New Roman"/>
          <w:lang w:val="uk-UA"/>
        </w:rPr>
        <w:t>е</w:t>
      </w:r>
      <w:r>
        <w:rPr>
          <w:rFonts w:ascii="Times New Roman" w:hAnsi="Times New Roman"/>
          <w:lang w:val="uk-UA"/>
        </w:rPr>
        <w:t>цію і кислотність шлункового соку, підвищує перистальтику кишечника. Одержані результати підтверджують доцільність використання піфламіну при токсичних г</w:t>
      </w:r>
      <w:r>
        <w:rPr>
          <w:rFonts w:ascii="Times New Roman" w:hAnsi="Times New Roman"/>
          <w:lang w:val="uk-UA"/>
        </w:rPr>
        <w:t>е</w:t>
      </w:r>
      <w:r>
        <w:rPr>
          <w:rFonts w:ascii="Times New Roman" w:hAnsi="Times New Roman"/>
          <w:lang w:val="uk-UA"/>
        </w:rPr>
        <w:t xml:space="preserve">патитах. </w:t>
      </w:r>
    </w:p>
    <w:p w:rsidR="00D24B08" w:rsidRDefault="00D24B08" w:rsidP="00D24B08">
      <w:pPr>
        <w:pStyle w:val="afffffff9"/>
        <w:spacing w:line="360" w:lineRule="exact"/>
        <w:ind w:left="0" w:firstLine="709"/>
        <w:jc w:val="both"/>
        <w:rPr>
          <w:rFonts w:ascii="Times New Roman" w:hAnsi="Times New Roman"/>
          <w:lang w:val="uk-UA"/>
        </w:rPr>
      </w:pPr>
      <w:r>
        <w:rPr>
          <w:rFonts w:ascii="Times New Roman" w:hAnsi="Times New Roman"/>
          <w:lang w:val="uk-UA"/>
        </w:rPr>
        <w:t>Новизна роботи підтверджена патентом № 30879А від 15.12.2000 р. на суб</w:t>
      </w:r>
      <w:r>
        <w:rPr>
          <w:rFonts w:ascii="Times New Roman" w:hAnsi="Times New Roman"/>
          <w:lang w:val="uk-UA"/>
        </w:rPr>
        <w:t>с</w:t>
      </w:r>
      <w:r>
        <w:rPr>
          <w:rFonts w:ascii="Times New Roman" w:hAnsi="Times New Roman"/>
          <w:lang w:val="uk-UA"/>
        </w:rPr>
        <w:t>танцію та таблетки піфламіну, які виявляють  гепатопротекторну дію.</w:t>
      </w:r>
    </w:p>
    <w:p w:rsidR="00D24B08" w:rsidRDefault="00D24B08" w:rsidP="00D24B08">
      <w:pPr>
        <w:pStyle w:val="Normal0"/>
        <w:spacing w:line="360" w:lineRule="exact"/>
        <w:ind w:firstLine="709"/>
      </w:pPr>
      <w:r>
        <w:rPr>
          <w:b/>
        </w:rPr>
        <w:t>Практичне значення одержаних результатів.</w:t>
      </w:r>
      <w:r>
        <w:t xml:space="preserve"> Таблетки піфламіну прой</w:t>
      </w:r>
      <w:r>
        <w:t>ш</w:t>
      </w:r>
      <w:r>
        <w:t>ли повний комплекс доклінічних і клінічних досліджень і дозволені ДФЦ МОЗ України (протокол № 9 від 25.10.01) для впровадження у медичну практику як з</w:t>
      </w:r>
      <w:r>
        <w:t>а</w:t>
      </w:r>
      <w:r>
        <w:t xml:space="preserve">сіб для патогенетичного лікування токсичних гепатитів. </w:t>
      </w:r>
      <w:r>
        <w:lastRenderedPageBreak/>
        <w:t>Промисловий випуск пр</w:t>
      </w:r>
      <w:r>
        <w:t>е</w:t>
      </w:r>
      <w:r>
        <w:t>парату планується здійснювати на дочірньому підприємстві “ДЗ ДНЦЛЗ” ДАК “Укрмед</w:t>
      </w:r>
      <w:r>
        <w:t>п</w:t>
      </w:r>
      <w:r>
        <w:t>ром”.</w:t>
      </w:r>
    </w:p>
    <w:p w:rsidR="00D24B08" w:rsidRDefault="00D24B08" w:rsidP="00D24B08">
      <w:pPr>
        <w:pStyle w:val="afffffff9"/>
        <w:spacing w:line="360" w:lineRule="exact"/>
        <w:ind w:left="0" w:firstLine="709"/>
        <w:jc w:val="both"/>
        <w:rPr>
          <w:rFonts w:ascii="Times New Roman" w:hAnsi="Times New Roman"/>
          <w:lang w:val="uk-UA"/>
        </w:rPr>
      </w:pPr>
      <w:r>
        <w:rPr>
          <w:rFonts w:ascii="Times New Roman" w:hAnsi="Times New Roman"/>
          <w:lang w:val="uk-UA"/>
        </w:rPr>
        <w:t>Результати дисертаційної роботи є фрагментом доклінічного вивчення нов</w:t>
      </w:r>
      <w:r>
        <w:rPr>
          <w:rFonts w:ascii="Times New Roman" w:hAnsi="Times New Roman"/>
          <w:lang w:val="uk-UA"/>
        </w:rPr>
        <w:t>о</w:t>
      </w:r>
      <w:r>
        <w:rPr>
          <w:rFonts w:ascii="Times New Roman" w:hAnsi="Times New Roman"/>
          <w:lang w:val="uk-UA"/>
        </w:rPr>
        <w:t xml:space="preserve">го гепатопротектора піфламіну. </w:t>
      </w:r>
    </w:p>
    <w:p w:rsidR="00D24B08" w:rsidRDefault="00D24B08" w:rsidP="00D24B08">
      <w:pPr>
        <w:pStyle w:val="afffffff9"/>
        <w:tabs>
          <w:tab w:val="left" w:pos="2250"/>
        </w:tabs>
        <w:spacing w:line="360" w:lineRule="exact"/>
        <w:ind w:left="0" w:firstLine="709"/>
        <w:jc w:val="both"/>
        <w:rPr>
          <w:rFonts w:ascii="Times New Roman" w:hAnsi="Times New Roman"/>
          <w:lang w:val="uk-UA"/>
        </w:rPr>
      </w:pPr>
      <w:r>
        <w:rPr>
          <w:rFonts w:ascii="Times New Roman" w:hAnsi="Times New Roman"/>
          <w:b/>
          <w:lang w:val="uk-UA"/>
        </w:rPr>
        <w:t>Особистий внесок здобувача</w:t>
      </w:r>
      <w:r>
        <w:rPr>
          <w:rFonts w:ascii="Times New Roman" w:hAnsi="Times New Roman"/>
          <w:lang w:val="uk-UA"/>
        </w:rPr>
        <w:t>. Разом з науковим керівником визначені м</w:t>
      </w:r>
      <w:r>
        <w:rPr>
          <w:rFonts w:ascii="Times New Roman" w:hAnsi="Times New Roman"/>
          <w:lang w:val="uk-UA"/>
        </w:rPr>
        <w:t>е</w:t>
      </w:r>
      <w:r>
        <w:rPr>
          <w:rFonts w:ascii="Times New Roman" w:hAnsi="Times New Roman"/>
          <w:lang w:val="uk-UA"/>
        </w:rPr>
        <w:t>та, завдання, розроблені методичні підходи, згідно з якими відібрані моделі та методи для виконання експериментальної частини дисертаційної роботи. Особисто пров</w:t>
      </w:r>
      <w:r>
        <w:rPr>
          <w:rFonts w:ascii="Times New Roman" w:hAnsi="Times New Roman"/>
          <w:lang w:val="uk-UA"/>
        </w:rPr>
        <w:t>е</w:t>
      </w:r>
      <w:r>
        <w:rPr>
          <w:rFonts w:ascii="Times New Roman" w:hAnsi="Times New Roman"/>
          <w:lang w:val="uk-UA"/>
        </w:rPr>
        <w:t>дені: патентно-інформаційний пошук, експериментальні дослідження, статистична обробка, аналіз та систематизація отриманих результатів, сформ</w:t>
      </w:r>
      <w:r>
        <w:rPr>
          <w:rFonts w:ascii="Times New Roman" w:hAnsi="Times New Roman"/>
          <w:lang w:val="uk-UA"/>
        </w:rPr>
        <w:t>у</w:t>
      </w:r>
      <w:r>
        <w:rPr>
          <w:rFonts w:ascii="Times New Roman" w:hAnsi="Times New Roman"/>
          <w:lang w:val="uk-UA"/>
        </w:rPr>
        <w:t>льовані висновки дисертації. В наукових працях, опублікованих у співавторстві, дисертантом нав</w:t>
      </w:r>
      <w:r>
        <w:rPr>
          <w:rFonts w:ascii="Times New Roman" w:hAnsi="Times New Roman"/>
          <w:lang w:val="uk-UA"/>
        </w:rPr>
        <w:t>е</w:t>
      </w:r>
      <w:r>
        <w:rPr>
          <w:rFonts w:ascii="Times New Roman" w:hAnsi="Times New Roman"/>
          <w:lang w:val="uk-UA"/>
        </w:rPr>
        <w:t>дені результати власних експериментальних досліджень, пр</w:t>
      </w:r>
      <w:r>
        <w:rPr>
          <w:rFonts w:ascii="Times New Roman" w:hAnsi="Times New Roman"/>
          <w:lang w:val="uk-UA"/>
        </w:rPr>
        <w:t>и</w:t>
      </w:r>
      <w:r>
        <w:rPr>
          <w:rFonts w:ascii="Times New Roman" w:hAnsi="Times New Roman"/>
          <w:lang w:val="uk-UA"/>
        </w:rPr>
        <w:t>йнята участь в аналізі й узагальненні отриманих д</w:t>
      </w:r>
      <w:r>
        <w:rPr>
          <w:rFonts w:ascii="Times New Roman" w:hAnsi="Times New Roman"/>
          <w:lang w:val="uk-UA"/>
        </w:rPr>
        <w:t>а</w:t>
      </w:r>
      <w:r>
        <w:rPr>
          <w:rFonts w:ascii="Times New Roman" w:hAnsi="Times New Roman"/>
          <w:lang w:val="uk-UA"/>
        </w:rPr>
        <w:t xml:space="preserve">них, у написанні статей. </w:t>
      </w:r>
    </w:p>
    <w:p w:rsidR="00D24B08" w:rsidRDefault="00D24B08" w:rsidP="00D24B08">
      <w:pPr>
        <w:pStyle w:val="afffffff9"/>
        <w:spacing w:line="360" w:lineRule="exact"/>
        <w:ind w:left="0" w:firstLine="720"/>
        <w:jc w:val="both"/>
        <w:rPr>
          <w:lang w:val="uk-UA"/>
        </w:rPr>
      </w:pPr>
      <w:r>
        <w:rPr>
          <w:rFonts w:ascii="Times New Roman" w:hAnsi="Times New Roman"/>
          <w:b/>
          <w:bCs/>
          <w:iCs/>
          <w:lang w:val="uk-UA"/>
        </w:rPr>
        <w:t>Апробація результатів дисертації.</w:t>
      </w:r>
      <w:r>
        <w:rPr>
          <w:rFonts w:ascii="Times New Roman" w:hAnsi="Times New Roman"/>
          <w:iCs/>
          <w:lang w:val="uk-UA"/>
        </w:rPr>
        <w:t xml:space="preserve"> Основні положення роботи викладені і обговорені на IV Міжнародному медичному конгресі студентів і молодих уч</w:t>
      </w:r>
      <w:r>
        <w:rPr>
          <w:rFonts w:ascii="Times New Roman" w:hAnsi="Times New Roman"/>
          <w:iCs/>
          <w:lang w:val="uk-UA"/>
        </w:rPr>
        <w:t>е</w:t>
      </w:r>
      <w:r>
        <w:rPr>
          <w:rFonts w:ascii="Times New Roman" w:hAnsi="Times New Roman"/>
          <w:iCs/>
          <w:lang w:val="uk-UA"/>
        </w:rPr>
        <w:t>них (м.Тернопіль, 2000); 6th European Congress of Pharmaceutical Sciences, (Budapest, Hungary, 2000); V Міжнародному медичному конгресі студентів і молодих учених, приуроченому до 10-ї річниці незалежності Укра</w:t>
      </w:r>
      <w:r>
        <w:rPr>
          <w:rFonts w:ascii="Times New Roman" w:hAnsi="Times New Roman"/>
          <w:iCs/>
          <w:lang w:val="uk-UA"/>
        </w:rPr>
        <w:t>ї</w:t>
      </w:r>
      <w:r>
        <w:rPr>
          <w:rFonts w:ascii="Times New Roman" w:hAnsi="Times New Roman"/>
          <w:iCs/>
          <w:lang w:val="uk-UA"/>
        </w:rPr>
        <w:t>ни, (м.Тернопіль, 2001); науково-практичній конференції “Сучасні проблеми фармацевтичної науки і практики” (м.Харків, 2001); республіканській науково-практичній конференції “Досягнення і перспективи розвитку у клініці внутр</w:t>
      </w:r>
      <w:r>
        <w:rPr>
          <w:rFonts w:ascii="Times New Roman" w:hAnsi="Times New Roman"/>
          <w:iCs/>
          <w:lang w:val="uk-UA"/>
        </w:rPr>
        <w:t>і</w:t>
      </w:r>
      <w:r>
        <w:rPr>
          <w:rFonts w:ascii="Times New Roman" w:hAnsi="Times New Roman"/>
          <w:iCs/>
          <w:lang w:val="uk-UA"/>
        </w:rPr>
        <w:t>шніх хвороб”, (м. Харків, 2001); науково-практичній ко</w:t>
      </w:r>
      <w:r>
        <w:rPr>
          <w:rFonts w:ascii="Times New Roman" w:hAnsi="Times New Roman"/>
          <w:iCs/>
          <w:lang w:val="uk-UA"/>
        </w:rPr>
        <w:t>н</w:t>
      </w:r>
      <w:r>
        <w:rPr>
          <w:rFonts w:ascii="Times New Roman" w:hAnsi="Times New Roman"/>
          <w:iCs/>
          <w:lang w:val="uk-UA"/>
        </w:rPr>
        <w:t>ференції «Лекарства – человеку», (м. Харків, 2001, 2002); науково-практичній конференції (з міжнародною участю) “Клінічна фармакологія метаб</w:t>
      </w:r>
      <w:r>
        <w:rPr>
          <w:rFonts w:ascii="Times New Roman" w:hAnsi="Times New Roman"/>
          <w:iCs/>
          <w:lang w:val="uk-UA"/>
        </w:rPr>
        <w:t>о</w:t>
      </w:r>
      <w:r>
        <w:rPr>
          <w:rFonts w:ascii="Times New Roman" w:hAnsi="Times New Roman"/>
          <w:iCs/>
          <w:lang w:val="uk-UA"/>
        </w:rPr>
        <w:t>лічних коректорів, взаємодія ліків в клінічній практиці”, (м. Вінниця, 2002); IV Всеукраїнській науково-практичній конференції (з міжнаро</w:t>
      </w:r>
      <w:r>
        <w:rPr>
          <w:rFonts w:ascii="Times New Roman" w:hAnsi="Times New Roman"/>
          <w:iCs/>
          <w:lang w:val="uk-UA"/>
        </w:rPr>
        <w:t>д</w:t>
      </w:r>
      <w:r>
        <w:rPr>
          <w:rFonts w:ascii="Times New Roman" w:hAnsi="Times New Roman"/>
          <w:iCs/>
          <w:lang w:val="uk-UA"/>
        </w:rPr>
        <w:t>ною участю) «Новое в клинической фармакологии и фармакотерапии заболев</w:t>
      </w:r>
      <w:r>
        <w:rPr>
          <w:rFonts w:ascii="Times New Roman" w:hAnsi="Times New Roman"/>
          <w:iCs/>
          <w:lang w:val="uk-UA"/>
        </w:rPr>
        <w:t>а</w:t>
      </w:r>
      <w:r>
        <w:rPr>
          <w:rFonts w:ascii="Times New Roman" w:hAnsi="Times New Roman"/>
          <w:iCs/>
          <w:lang w:val="uk-UA"/>
        </w:rPr>
        <w:t>ний внутренних органов», (м. Харків, 2002); Всеукраїнській науково-практичній ко</w:t>
      </w:r>
      <w:r>
        <w:rPr>
          <w:rFonts w:ascii="Times New Roman" w:hAnsi="Times New Roman"/>
          <w:iCs/>
          <w:lang w:val="uk-UA"/>
        </w:rPr>
        <w:t>н</w:t>
      </w:r>
      <w:r>
        <w:rPr>
          <w:rFonts w:ascii="Times New Roman" w:hAnsi="Times New Roman"/>
          <w:iCs/>
          <w:lang w:val="uk-UA"/>
        </w:rPr>
        <w:t>ференції «Фармація XXI століття”, (м. Ха</w:t>
      </w:r>
      <w:r>
        <w:rPr>
          <w:rFonts w:ascii="Times New Roman" w:hAnsi="Times New Roman"/>
          <w:iCs/>
          <w:lang w:val="uk-UA"/>
        </w:rPr>
        <w:t>р</w:t>
      </w:r>
      <w:r>
        <w:rPr>
          <w:rFonts w:ascii="Times New Roman" w:hAnsi="Times New Roman"/>
          <w:iCs/>
          <w:lang w:val="uk-UA"/>
        </w:rPr>
        <w:t>ків, 2002); наукових семінарах ЦНДЛ НФаУ.</w:t>
      </w:r>
    </w:p>
    <w:p w:rsidR="00D24B08" w:rsidRDefault="00D24B08" w:rsidP="00D24B08">
      <w:pPr>
        <w:spacing w:line="360" w:lineRule="exact"/>
        <w:ind w:firstLine="709"/>
        <w:jc w:val="both"/>
        <w:rPr>
          <w:lang w:val="uk-UA"/>
        </w:rPr>
      </w:pPr>
      <w:r>
        <w:rPr>
          <w:b/>
          <w:lang w:val="uk-UA"/>
        </w:rPr>
        <w:t>Публікації.</w:t>
      </w:r>
      <w:r>
        <w:rPr>
          <w:lang w:val="uk-UA"/>
        </w:rPr>
        <w:t xml:space="preserve"> За матеріалами дисертації опубліковано 15 наукових робіт. З них - 6 статей (в тому числі 4 роботи у наукових фахових виданнях), 8 тез допов</w:t>
      </w:r>
      <w:r>
        <w:rPr>
          <w:lang w:val="uk-UA"/>
        </w:rPr>
        <w:t>і</w:t>
      </w:r>
      <w:r>
        <w:rPr>
          <w:lang w:val="uk-UA"/>
        </w:rPr>
        <w:t>дей (з них 1 – за кордоном), 1 п</w:t>
      </w:r>
      <w:r>
        <w:rPr>
          <w:lang w:val="uk-UA"/>
        </w:rPr>
        <w:t>а</w:t>
      </w:r>
      <w:r>
        <w:rPr>
          <w:lang w:val="uk-UA"/>
        </w:rPr>
        <w:t>тент.</w:t>
      </w:r>
    </w:p>
    <w:p w:rsidR="00D24B08" w:rsidRDefault="00D24B08" w:rsidP="00D24B08">
      <w:pPr>
        <w:spacing w:line="360" w:lineRule="exact"/>
        <w:ind w:firstLine="709"/>
        <w:jc w:val="both"/>
        <w:rPr>
          <w:lang w:val="uk-UA"/>
        </w:rPr>
      </w:pPr>
      <w:r>
        <w:rPr>
          <w:b/>
          <w:lang w:val="uk-UA"/>
        </w:rPr>
        <w:t xml:space="preserve">Структура та обсяг дисертації. </w:t>
      </w:r>
      <w:r>
        <w:rPr>
          <w:bCs/>
          <w:lang w:val="uk-UA"/>
        </w:rPr>
        <w:t>Дисертаційна робота</w:t>
      </w:r>
      <w:r>
        <w:rPr>
          <w:lang w:val="uk-UA"/>
        </w:rPr>
        <w:t xml:space="preserve"> складається зі вст</w:t>
      </w:r>
      <w:r>
        <w:rPr>
          <w:lang w:val="uk-UA"/>
        </w:rPr>
        <w:t>у</w:t>
      </w:r>
      <w:r>
        <w:rPr>
          <w:lang w:val="uk-UA"/>
        </w:rPr>
        <w:t>пу, огляду літератури (розділ 1), матеріалів та методів досліджень (розділ 2), 3-х ро</w:t>
      </w:r>
      <w:r>
        <w:rPr>
          <w:lang w:val="uk-UA"/>
        </w:rPr>
        <w:t>з</w:t>
      </w:r>
      <w:r>
        <w:rPr>
          <w:lang w:val="uk-UA"/>
        </w:rPr>
        <w:t>ділів експериментальних досліджень, аналізу й узагальнення результатів досл</w:t>
      </w:r>
      <w:r>
        <w:rPr>
          <w:lang w:val="uk-UA"/>
        </w:rPr>
        <w:t>і</w:t>
      </w:r>
      <w:r>
        <w:rPr>
          <w:lang w:val="uk-UA"/>
        </w:rPr>
        <w:t>джень, висновків, списку використаних джерел. Загальний об</w:t>
      </w:r>
      <w:r>
        <w:rPr>
          <w:lang w:val="uk-UA"/>
        </w:rPr>
        <w:sym w:font="Symbol" w:char="F0A2"/>
      </w:r>
      <w:r>
        <w:rPr>
          <w:lang w:val="uk-UA"/>
        </w:rPr>
        <w:t>єм дисертації скл</w:t>
      </w:r>
      <w:r>
        <w:rPr>
          <w:lang w:val="uk-UA"/>
        </w:rPr>
        <w:t>а</w:t>
      </w:r>
      <w:r>
        <w:rPr>
          <w:lang w:val="uk-UA"/>
        </w:rPr>
        <w:t>дає 146 сторінок друкованого тексту. Робота ілюстрована 31 таблицею, 26 рисунками, 1 сх</w:t>
      </w:r>
      <w:r>
        <w:rPr>
          <w:lang w:val="uk-UA"/>
        </w:rPr>
        <w:t>е</w:t>
      </w:r>
      <w:r>
        <w:rPr>
          <w:lang w:val="uk-UA"/>
        </w:rPr>
        <w:t>мою. Перелік використаних джерел містить 301 джерело літератури, з них 62 - іноз</w:t>
      </w:r>
      <w:r>
        <w:rPr>
          <w:lang w:val="uk-UA"/>
        </w:rPr>
        <w:t>е</w:t>
      </w:r>
      <w:r>
        <w:rPr>
          <w:lang w:val="uk-UA"/>
        </w:rPr>
        <w:t>мні.</w:t>
      </w:r>
      <w:r>
        <w:t xml:space="preserve">  </w:t>
      </w:r>
    </w:p>
    <w:p w:rsidR="00D24B08" w:rsidRPr="00D24B08" w:rsidRDefault="00D24B08" w:rsidP="00D24B08">
      <w:pPr>
        <w:pStyle w:val="afffffff9"/>
        <w:spacing w:line="360" w:lineRule="exact"/>
        <w:ind w:left="0" w:firstLine="709"/>
        <w:jc w:val="center"/>
        <w:rPr>
          <w:rFonts w:ascii="Times New Roman" w:hAnsi="Times New Roman"/>
          <w:b/>
        </w:rPr>
      </w:pPr>
    </w:p>
    <w:p w:rsidR="00D24B08" w:rsidRDefault="00D24B08" w:rsidP="00D24B08">
      <w:pPr>
        <w:pStyle w:val="afffffff9"/>
        <w:spacing w:line="360" w:lineRule="exact"/>
        <w:ind w:left="0" w:firstLine="709"/>
        <w:jc w:val="center"/>
        <w:rPr>
          <w:rFonts w:ascii="Times New Roman" w:hAnsi="Times New Roman"/>
          <w:b/>
          <w:lang w:val="uk-UA"/>
        </w:rPr>
      </w:pPr>
      <w:r>
        <w:rPr>
          <w:rFonts w:ascii="Times New Roman" w:hAnsi="Times New Roman"/>
          <w:b/>
          <w:lang w:val="uk-UA"/>
        </w:rPr>
        <w:br w:type="page"/>
      </w:r>
      <w:r>
        <w:rPr>
          <w:rFonts w:ascii="Times New Roman" w:hAnsi="Times New Roman"/>
          <w:b/>
          <w:lang w:val="uk-UA"/>
        </w:rPr>
        <w:lastRenderedPageBreak/>
        <w:t>ОСНОВНИЙ ЗМІСТ РОБОТИ</w:t>
      </w:r>
    </w:p>
    <w:p w:rsidR="00D24B08" w:rsidRDefault="00D24B08" w:rsidP="00D24B08">
      <w:pPr>
        <w:pStyle w:val="afffffff9"/>
        <w:spacing w:line="360" w:lineRule="exact"/>
        <w:ind w:left="0" w:firstLine="720"/>
        <w:jc w:val="center"/>
        <w:rPr>
          <w:rFonts w:ascii="Times New Roman" w:hAnsi="Times New Roman"/>
          <w:b/>
          <w:lang w:val="uk-UA"/>
        </w:rPr>
      </w:pPr>
    </w:p>
    <w:p w:rsidR="00D24B08" w:rsidRDefault="00D24B08" w:rsidP="00D24B08">
      <w:pPr>
        <w:pStyle w:val="afffffff9"/>
        <w:spacing w:line="360" w:lineRule="exact"/>
        <w:ind w:left="0" w:firstLine="720"/>
        <w:jc w:val="both"/>
        <w:rPr>
          <w:rFonts w:ascii="Times New Roman" w:hAnsi="Times New Roman"/>
          <w:lang w:val="uk-UA"/>
        </w:rPr>
      </w:pPr>
      <w:r>
        <w:rPr>
          <w:rFonts w:ascii="Times New Roman" w:hAnsi="Times New Roman"/>
          <w:b/>
          <w:lang w:val="uk-UA"/>
        </w:rPr>
        <w:t xml:space="preserve">Матеріали та методи. </w:t>
      </w:r>
      <w:r>
        <w:rPr>
          <w:rFonts w:ascii="Times New Roman" w:hAnsi="Times New Roman"/>
          <w:lang w:val="uk-UA"/>
        </w:rPr>
        <w:t>Піфламін містить комплекс біологічно активних р</w:t>
      </w:r>
      <w:r>
        <w:rPr>
          <w:rFonts w:ascii="Times New Roman" w:hAnsi="Times New Roman"/>
          <w:lang w:val="uk-UA"/>
        </w:rPr>
        <w:t>е</w:t>
      </w:r>
      <w:r>
        <w:rPr>
          <w:rFonts w:ascii="Times New Roman" w:hAnsi="Times New Roman"/>
          <w:lang w:val="uk-UA"/>
        </w:rPr>
        <w:t>човин, основними з яких є поліфеноли (флавоноїди і гідроксикоричні кислоти), амінокислоти, олігосахариди, гетерополісахариди, макро- та мікроелеме</w:t>
      </w:r>
      <w:r>
        <w:rPr>
          <w:rFonts w:ascii="Times New Roman" w:hAnsi="Times New Roman"/>
          <w:lang w:val="uk-UA"/>
        </w:rPr>
        <w:t>н</w:t>
      </w:r>
      <w:r>
        <w:rPr>
          <w:rFonts w:ascii="Times New Roman" w:hAnsi="Times New Roman"/>
          <w:lang w:val="uk-UA"/>
        </w:rPr>
        <w:t xml:space="preserve">ти.  </w:t>
      </w:r>
    </w:p>
    <w:p w:rsidR="00D24B08" w:rsidRDefault="00D24B08" w:rsidP="00D24B08">
      <w:pPr>
        <w:pStyle w:val="afffffff9"/>
        <w:spacing w:line="360" w:lineRule="exact"/>
        <w:ind w:left="0" w:firstLine="709"/>
        <w:jc w:val="both"/>
        <w:rPr>
          <w:rFonts w:ascii="Times New Roman" w:hAnsi="Times New Roman"/>
          <w:lang w:val="uk-UA"/>
        </w:rPr>
      </w:pPr>
      <w:r>
        <w:rPr>
          <w:rFonts w:ascii="Times New Roman" w:hAnsi="Times New Roman"/>
          <w:lang w:val="uk-UA"/>
        </w:rPr>
        <w:t>Фармакологічні дослідження проведені на мишах та щурах, які були вир</w:t>
      </w:r>
      <w:r>
        <w:rPr>
          <w:rFonts w:ascii="Times New Roman" w:hAnsi="Times New Roman"/>
          <w:lang w:val="uk-UA"/>
        </w:rPr>
        <w:t>о</w:t>
      </w:r>
      <w:r>
        <w:rPr>
          <w:rFonts w:ascii="Times New Roman" w:hAnsi="Times New Roman"/>
          <w:lang w:val="uk-UA"/>
        </w:rPr>
        <w:t>щені у віварії ЦНДЛ НФаУ та утримувались на стандартному раціоні у відповідн</w:t>
      </w:r>
      <w:r>
        <w:rPr>
          <w:rFonts w:ascii="Times New Roman" w:hAnsi="Times New Roman"/>
          <w:lang w:val="uk-UA"/>
        </w:rPr>
        <w:t>о</w:t>
      </w:r>
      <w:r>
        <w:rPr>
          <w:rFonts w:ascii="Times New Roman" w:hAnsi="Times New Roman"/>
          <w:lang w:val="uk-UA"/>
        </w:rPr>
        <w:t xml:space="preserve">сті з санітарно-гігієнічними нормами </w:t>
      </w:r>
      <w:r>
        <w:rPr>
          <w:lang w:val="uk-UA"/>
        </w:rPr>
        <w:t>(“</w:t>
      </w:r>
      <w:r>
        <w:rPr>
          <w:rFonts w:ascii="Times New Roman" w:hAnsi="Times New Roman"/>
          <w:lang w:val="uk-UA"/>
        </w:rPr>
        <w:t>Доклінічні дослідження лікарських засобів” (м</w:t>
      </w:r>
      <w:r>
        <w:rPr>
          <w:rFonts w:ascii="Times New Roman" w:hAnsi="Times New Roman"/>
          <w:lang w:val="uk-UA"/>
        </w:rPr>
        <w:t>е</w:t>
      </w:r>
      <w:r>
        <w:rPr>
          <w:rFonts w:ascii="Times New Roman" w:hAnsi="Times New Roman"/>
          <w:lang w:val="uk-UA"/>
        </w:rPr>
        <w:t xml:space="preserve">тодичні рекомендації), 2001). </w:t>
      </w:r>
    </w:p>
    <w:p w:rsidR="00D24B08" w:rsidRDefault="00D24B08" w:rsidP="00D24B08">
      <w:pPr>
        <w:pStyle w:val="afffffff9"/>
        <w:spacing w:line="360" w:lineRule="exact"/>
        <w:ind w:left="0" w:firstLine="709"/>
        <w:jc w:val="both"/>
        <w:rPr>
          <w:rFonts w:ascii="Times New Roman" w:hAnsi="Times New Roman"/>
          <w:lang w:val="uk-UA"/>
        </w:rPr>
      </w:pPr>
      <w:r>
        <w:rPr>
          <w:rFonts w:ascii="Times New Roman" w:hAnsi="Times New Roman"/>
          <w:lang w:val="uk-UA"/>
        </w:rPr>
        <w:t xml:space="preserve"> Основним препаратом порівняння служив аналог піфламіну за гепатозахи</w:t>
      </w:r>
      <w:r>
        <w:rPr>
          <w:rFonts w:ascii="Times New Roman" w:hAnsi="Times New Roman"/>
          <w:lang w:val="uk-UA"/>
        </w:rPr>
        <w:t>с</w:t>
      </w:r>
      <w:r>
        <w:rPr>
          <w:rFonts w:ascii="Times New Roman" w:hAnsi="Times New Roman"/>
          <w:lang w:val="uk-UA"/>
        </w:rPr>
        <w:t>ною дією – вітчизняний рослинний поліфенольний гепатопротектор силібор, який широко використовується в медичній практиці. В дослідженнях, проведених в умовах in vi</w:t>
      </w:r>
      <w:r>
        <w:rPr>
          <w:rFonts w:ascii="Times New Roman" w:hAnsi="Times New Roman"/>
          <w:lang w:val="en-US"/>
        </w:rPr>
        <w:t>vo</w:t>
      </w:r>
      <w:r>
        <w:rPr>
          <w:rFonts w:ascii="Times New Roman" w:hAnsi="Times New Roman"/>
          <w:lang w:val="uk-UA"/>
        </w:rPr>
        <w:t>, силібор вивчали в дозі ED</w:t>
      </w:r>
      <w:r>
        <w:rPr>
          <w:rFonts w:ascii="Times New Roman" w:hAnsi="Times New Roman"/>
          <w:vertAlign w:val="subscript"/>
          <w:lang w:val="uk-UA"/>
        </w:rPr>
        <w:t>30</w:t>
      </w:r>
      <w:r>
        <w:rPr>
          <w:rFonts w:ascii="Times New Roman" w:hAnsi="Times New Roman"/>
          <w:lang w:val="uk-UA"/>
        </w:rPr>
        <w:t xml:space="preserve"> за гепатозахисною дією - 25 мг/кг (Дроговоз С.М. та ін., 1998).</w:t>
      </w:r>
    </w:p>
    <w:p w:rsidR="00D24B08" w:rsidRDefault="00D24B08" w:rsidP="00D24B08">
      <w:pPr>
        <w:pStyle w:val="afffffff9"/>
        <w:spacing w:line="360" w:lineRule="exact"/>
        <w:ind w:left="0" w:firstLine="709"/>
        <w:jc w:val="both"/>
        <w:rPr>
          <w:rFonts w:ascii="Times New Roman" w:hAnsi="Times New Roman"/>
          <w:lang w:val="uk-UA"/>
        </w:rPr>
      </w:pPr>
      <w:r>
        <w:rPr>
          <w:rFonts w:ascii="Times New Roman" w:hAnsi="Times New Roman"/>
          <w:lang w:val="uk-UA"/>
        </w:rPr>
        <w:t>На першому етапі досліджень вивчали антиоксидантну активність піфламіну. В системі in vitro  визначали сумарну антиокисну активність за методом Клебанова Г.І. зі співавт. (1988). Для підтвердження даної активності в системі in vivo вик</w:t>
      </w:r>
      <w:r>
        <w:rPr>
          <w:rFonts w:ascii="Times New Roman" w:hAnsi="Times New Roman"/>
          <w:lang w:val="uk-UA"/>
        </w:rPr>
        <w:t>о</w:t>
      </w:r>
      <w:r>
        <w:rPr>
          <w:rFonts w:ascii="Times New Roman" w:hAnsi="Times New Roman"/>
          <w:lang w:val="uk-UA"/>
        </w:rPr>
        <w:t>ристовували модель гострого тетрахлорметанового г</w:t>
      </w:r>
      <w:r>
        <w:rPr>
          <w:rFonts w:ascii="Times New Roman" w:hAnsi="Times New Roman"/>
          <w:lang w:val="uk-UA"/>
        </w:rPr>
        <w:t>е</w:t>
      </w:r>
      <w:r>
        <w:rPr>
          <w:rFonts w:ascii="Times New Roman" w:hAnsi="Times New Roman"/>
          <w:lang w:val="uk-UA"/>
        </w:rPr>
        <w:t>патиту у мишей (Слышков В.В., 1992). Дослідження проводили у порівнянні з класичним антио</w:t>
      </w:r>
      <w:r>
        <w:rPr>
          <w:rFonts w:ascii="Times New Roman" w:hAnsi="Times New Roman"/>
          <w:lang w:val="uk-UA"/>
        </w:rPr>
        <w:t>к</w:t>
      </w:r>
      <w:r>
        <w:rPr>
          <w:rFonts w:ascii="Times New Roman" w:hAnsi="Times New Roman"/>
          <w:lang w:val="uk-UA"/>
        </w:rPr>
        <w:t>сидантом - вітаміном Е та силібором. Ефективні дози піфламіну за антиоксидантною активн</w:t>
      </w:r>
      <w:r>
        <w:rPr>
          <w:rFonts w:ascii="Times New Roman" w:hAnsi="Times New Roman"/>
          <w:lang w:val="uk-UA"/>
        </w:rPr>
        <w:t>і</w:t>
      </w:r>
      <w:r>
        <w:rPr>
          <w:rFonts w:ascii="Times New Roman" w:hAnsi="Times New Roman"/>
          <w:lang w:val="uk-UA"/>
        </w:rPr>
        <w:t>стю визначали інтегрально за позитивною динамікою показників: масового коеф</w:t>
      </w:r>
      <w:r>
        <w:rPr>
          <w:rFonts w:ascii="Times New Roman" w:hAnsi="Times New Roman"/>
          <w:lang w:val="uk-UA"/>
        </w:rPr>
        <w:t>і</w:t>
      </w:r>
      <w:r>
        <w:rPr>
          <w:rFonts w:ascii="Times New Roman" w:hAnsi="Times New Roman"/>
          <w:lang w:val="uk-UA"/>
        </w:rPr>
        <w:t>цієнту печінки (МКП) (“Доклінічні дослідження лікарських засобів” (методичні рекомендації), 2001), вмісту у гомогенаті печінки компоненту антиоксидантної с</w:t>
      </w:r>
      <w:r>
        <w:rPr>
          <w:rFonts w:ascii="Times New Roman" w:hAnsi="Times New Roman"/>
          <w:lang w:val="uk-UA"/>
        </w:rPr>
        <w:t>и</w:t>
      </w:r>
      <w:r>
        <w:rPr>
          <w:rFonts w:ascii="Times New Roman" w:hAnsi="Times New Roman"/>
          <w:lang w:val="uk-UA"/>
        </w:rPr>
        <w:t>стеми (АОС) - відновленого глутатіону (GSH) (Be</w:t>
      </w:r>
      <w:r>
        <w:rPr>
          <w:rFonts w:ascii="Times New Roman" w:hAnsi="Times New Roman"/>
          <w:lang w:val="en-US"/>
        </w:rPr>
        <w:t>u</w:t>
      </w:r>
      <w:r>
        <w:rPr>
          <w:rFonts w:ascii="Times New Roman" w:hAnsi="Times New Roman"/>
          <w:lang w:val="uk-UA"/>
        </w:rPr>
        <w:t>tler E.D. et al., 1963) і продуктів перекисного окиснення ліпідів (ПОЛ) - малонового діальдегіду (МДА) (Стальная И.Д., Г</w:t>
      </w:r>
      <w:r>
        <w:rPr>
          <w:rFonts w:ascii="Times New Roman" w:hAnsi="Times New Roman"/>
          <w:lang w:val="uk-UA"/>
        </w:rPr>
        <w:t>а</w:t>
      </w:r>
      <w:r>
        <w:rPr>
          <w:rFonts w:ascii="Times New Roman" w:hAnsi="Times New Roman"/>
          <w:lang w:val="uk-UA"/>
        </w:rPr>
        <w:t xml:space="preserve">ришвили Т.Г.,1977) і дієнових кон’югатів (ДК) (Стальная И.Д., 1977). </w:t>
      </w:r>
    </w:p>
    <w:p w:rsidR="00D24B08" w:rsidRDefault="00D24B08" w:rsidP="00D24B08">
      <w:pPr>
        <w:spacing w:line="360" w:lineRule="exact"/>
        <w:ind w:firstLine="720"/>
        <w:jc w:val="both"/>
        <w:rPr>
          <w:lang w:val="uk-UA"/>
        </w:rPr>
      </w:pPr>
      <w:r>
        <w:rPr>
          <w:color w:val="000000"/>
          <w:lang w:val="uk-UA"/>
        </w:rPr>
        <w:t>Для з</w:t>
      </w:r>
      <w:r>
        <w:rPr>
          <w:color w:val="000000"/>
          <w:lang w:val="uk-UA"/>
        </w:rPr>
        <w:sym w:font="Symbol" w:char="F0A2"/>
      </w:r>
      <w:r>
        <w:rPr>
          <w:color w:val="000000"/>
          <w:lang w:val="uk-UA"/>
        </w:rPr>
        <w:t>ясування деяких сторін механізму антиоксидантної дії піфламіну до</w:t>
      </w:r>
      <w:r>
        <w:rPr>
          <w:color w:val="000000"/>
          <w:lang w:val="uk-UA"/>
        </w:rPr>
        <w:t>с</w:t>
      </w:r>
      <w:r>
        <w:rPr>
          <w:color w:val="000000"/>
          <w:lang w:val="uk-UA"/>
        </w:rPr>
        <w:t xml:space="preserve">ліджували його антирадикальну активність в модельних системах </w:t>
      </w:r>
      <w:r>
        <w:rPr>
          <w:color w:val="000000"/>
          <w:lang w:val="en-US"/>
        </w:rPr>
        <w:t>in</w:t>
      </w:r>
      <w:r>
        <w:rPr>
          <w:color w:val="000000"/>
          <w:lang w:val="uk-UA"/>
        </w:rPr>
        <w:t xml:space="preserve"> </w:t>
      </w:r>
      <w:r>
        <w:rPr>
          <w:color w:val="000000"/>
          <w:lang w:val="en-US"/>
        </w:rPr>
        <w:t>vitro</w:t>
      </w:r>
      <w:r>
        <w:rPr>
          <w:color w:val="000000"/>
          <w:lang w:val="uk-UA"/>
        </w:rPr>
        <w:t>, які ств</w:t>
      </w:r>
      <w:r>
        <w:rPr>
          <w:color w:val="000000"/>
          <w:lang w:val="uk-UA"/>
        </w:rPr>
        <w:t>о</w:t>
      </w:r>
      <w:r>
        <w:rPr>
          <w:color w:val="000000"/>
          <w:lang w:val="uk-UA"/>
        </w:rPr>
        <w:t xml:space="preserve">рюють умови для генерації гідроксильних радикалів (Halliwell B. </w:t>
      </w:r>
      <w:r>
        <w:rPr>
          <w:color w:val="000000"/>
          <w:lang w:val="en-US"/>
        </w:rPr>
        <w:t>et</w:t>
      </w:r>
      <w:r>
        <w:rPr>
          <w:color w:val="000000"/>
          <w:lang w:val="uk-UA"/>
        </w:rPr>
        <w:t xml:space="preserve"> </w:t>
      </w:r>
      <w:r>
        <w:rPr>
          <w:color w:val="000000"/>
          <w:lang w:val="en-US"/>
        </w:rPr>
        <w:t>al</w:t>
      </w:r>
      <w:r>
        <w:rPr>
          <w:color w:val="000000"/>
          <w:lang w:val="uk-UA"/>
        </w:rPr>
        <w:t>.</w:t>
      </w:r>
      <w:r>
        <w:rPr>
          <w:lang w:val="uk-UA"/>
        </w:rPr>
        <w:t>,  1987) та супероксиданіонів (Misra H.P., Fridovich I., 1972), а також оцінювали комплекс</w:t>
      </w:r>
      <w:r>
        <w:rPr>
          <w:lang w:val="uk-UA"/>
        </w:rPr>
        <w:t>о</w:t>
      </w:r>
      <w:r>
        <w:rPr>
          <w:lang w:val="uk-UA"/>
        </w:rPr>
        <w:t xml:space="preserve">утворюючі властивості препарату в умовах аскорбатіндукованого ПОЛ при різних концентраціях </w:t>
      </w:r>
      <w:r>
        <w:rPr>
          <w:color w:val="000000"/>
          <w:lang w:val="uk-UA"/>
        </w:rPr>
        <w:t>іонів заліза (</w:t>
      </w:r>
      <w:r>
        <w:rPr>
          <w:color w:val="000000"/>
          <w:lang w:val="en-US"/>
        </w:rPr>
        <w:t>II</w:t>
      </w:r>
      <w:r>
        <w:rPr>
          <w:color w:val="000000"/>
          <w:lang w:val="uk-UA"/>
        </w:rPr>
        <w:t>) - каталізаторів вільнорадикального окиснення (ВРО) (</w:t>
      </w:r>
      <w:r>
        <w:rPr>
          <w:lang w:val="uk-UA"/>
        </w:rPr>
        <w:t>Владим</w:t>
      </w:r>
      <w:r>
        <w:rPr>
          <w:lang w:val="uk-UA"/>
        </w:rPr>
        <w:t>и</w:t>
      </w:r>
      <w:r>
        <w:rPr>
          <w:lang w:val="uk-UA"/>
        </w:rPr>
        <w:t>ров Ю.А., Арчаков А.И., 1972).</w:t>
      </w:r>
    </w:p>
    <w:p w:rsidR="00D24B08" w:rsidRDefault="00D24B08" w:rsidP="00D24B08">
      <w:pPr>
        <w:spacing w:line="360" w:lineRule="exact"/>
        <w:ind w:firstLine="720"/>
        <w:jc w:val="both"/>
      </w:pPr>
      <w:r>
        <w:rPr>
          <w:lang w:val="uk-UA"/>
        </w:rPr>
        <w:t>Мембраностабілізувальні властивості піфламіну оцінювали за його впл</w:t>
      </w:r>
      <w:r>
        <w:rPr>
          <w:lang w:val="uk-UA"/>
        </w:rPr>
        <w:t>и</w:t>
      </w:r>
      <w:r>
        <w:rPr>
          <w:lang w:val="uk-UA"/>
        </w:rPr>
        <w:t xml:space="preserve">вом на ступінь спонтанного гемолізу еритроцитів в умовах </w:t>
      </w:r>
      <w:r>
        <w:rPr>
          <w:lang w:val="en-US"/>
        </w:rPr>
        <w:t>in</w:t>
      </w:r>
      <w:r>
        <w:rPr>
          <w:lang w:val="uk-UA"/>
        </w:rPr>
        <w:t xml:space="preserve"> </w:t>
      </w:r>
      <w:r>
        <w:rPr>
          <w:lang w:val="en-US"/>
        </w:rPr>
        <w:t>vivo</w:t>
      </w:r>
      <w:r>
        <w:rPr>
          <w:lang w:val="uk-UA"/>
        </w:rPr>
        <w:t xml:space="preserve"> за Jager F.C. (Вор</w:t>
      </w:r>
      <w:r>
        <w:rPr>
          <w:lang w:val="uk-UA"/>
        </w:rPr>
        <w:t>о</w:t>
      </w:r>
      <w:r>
        <w:rPr>
          <w:lang w:val="uk-UA"/>
        </w:rPr>
        <w:t>ніна Л.М. зі співав., 1996) і на вміст мембранозв</w:t>
      </w:r>
      <w:r>
        <w:rPr>
          <w:lang w:val="uk-UA"/>
        </w:rPr>
        <w:sym w:font="Symbol" w:char="F0A2"/>
      </w:r>
      <w:r>
        <w:rPr>
          <w:lang w:val="uk-UA"/>
        </w:rPr>
        <w:t>язаного ферменту цитохр</w:t>
      </w:r>
      <w:r>
        <w:rPr>
          <w:lang w:val="uk-UA"/>
        </w:rPr>
        <w:t>о</w:t>
      </w:r>
      <w:r>
        <w:rPr>
          <w:lang w:val="uk-UA"/>
        </w:rPr>
        <w:t xml:space="preserve">му Р-450 при аскорбатзалежному ПОЛ </w:t>
      </w:r>
      <w:r>
        <w:rPr>
          <w:lang w:val="uk-UA"/>
        </w:rPr>
        <w:lastRenderedPageBreak/>
        <w:t xml:space="preserve">мікросом печінки в системі in vitro (Omura T., Sato R., 1964). Дослідження мембранотропності піфламіну в умовах </w:t>
      </w:r>
      <w:r>
        <w:rPr>
          <w:lang w:val="en-US"/>
        </w:rPr>
        <w:t>in</w:t>
      </w:r>
      <w:r>
        <w:rPr>
          <w:lang w:val="uk-UA"/>
        </w:rPr>
        <w:t xml:space="preserve"> </w:t>
      </w:r>
      <w:r>
        <w:rPr>
          <w:lang w:val="en-US"/>
        </w:rPr>
        <w:t>vitro</w:t>
      </w:r>
      <w:r>
        <w:rPr>
          <w:lang w:val="uk-UA"/>
        </w:rPr>
        <w:t xml:space="preserve"> та с</w:t>
      </w:r>
      <w:r>
        <w:rPr>
          <w:lang w:val="uk-UA"/>
        </w:rPr>
        <w:t>у</w:t>
      </w:r>
      <w:r>
        <w:rPr>
          <w:lang w:val="uk-UA"/>
        </w:rPr>
        <w:t>марної антиоксидантної, антирадикальної, комплексоутворюючої активності вик</w:t>
      </w:r>
      <w:r>
        <w:rPr>
          <w:lang w:val="uk-UA"/>
        </w:rPr>
        <w:t>о</w:t>
      </w:r>
      <w:r>
        <w:rPr>
          <w:lang w:val="uk-UA"/>
        </w:rPr>
        <w:t>нані на базі БІН при Харківському національному університеті ім. В.Н. Кар</w:t>
      </w:r>
      <w:r>
        <w:rPr>
          <w:lang w:val="uk-UA"/>
        </w:rPr>
        <w:t>а</w:t>
      </w:r>
      <w:r>
        <w:rPr>
          <w:lang w:val="uk-UA"/>
        </w:rPr>
        <w:t>зіна.</w:t>
      </w:r>
    </w:p>
    <w:p w:rsidR="00D24B08" w:rsidRDefault="00D24B08" w:rsidP="00D24B08">
      <w:pPr>
        <w:spacing w:line="360" w:lineRule="exact"/>
        <w:ind w:firstLine="720"/>
        <w:jc w:val="both"/>
        <w:rPr>
          <w:lang w:val="uk-UA"/>
        </w:rPr>
      </w:pPr>
      <w:r>
        <w:rPr>
          <w:lang w:val="uk-UA"/>
        </w:rPr>
        <w:t>Дослідження протизапальних властивостей піфламіну проводили згідно з Методичними рекомендаціями (“Доклінічні дослідження лікарських засобів”, 2001) на моделях карагенінового, зімозанового набряків та декстранового запале</w:t>
      </w:r>
      <w:r>
        <w:rPr>
          <w:lang w:val="uk-UA"/>
        </w:rPr>
        <w:t>н</w:t>
      </w:r>
      <w:r>
        <w:rPr>
          <w:lang w:val="uk-UA"/>
        </w:rPr>
        <w:t>ня з використанням референс-препаратів: силібору, вольтарену, кверцетину, мод</w:t>
      </w:r>
      <w:r>
        <w:rPr>
          <w:lang w:val="uk-UA"/>
        </w:rPr>
        <w:t>е</w:t>
      </w:r>
      <w:r>
        <w:rPr>
          <w:lang w:val="uk-UA"/>
        </w:rPr>
        <w:t>льної речовини BW 755 С. Вплив піфламіну на судинно-тканинну проникність в осередку запалення визначали за мет</w:t>
      </w:r>
      <w:r>
        <w:rPr>
          <w:lang w:val="uk-UA"/>
        </w:rPr>
        <w:t>о</w:t>
      </w:r>
      <w:r>
        <w:rPr>
          <w:lang w:val="uk-UA"/>
        </w:rPr>
        <w:t xml:space="preserve">дом  Голікова П.П. (1964). </w:t>
      </w:r>
    </w:p>
    <w:p w:rsidR="00D24B08" w:rsidRDefault="00D24B08" w:rsidP="00D24B08">
      <w:pPr>
        <w:spacing w:line="360" w:lineRule="exact"/>
        <w:ind w:firstLine="720"/>
        <w:jc w:val="both"/>
        <w:rPr>
          <w:lang w:val="uk-UA"/>
        </w:rPr>
      </w:pPr>
      <w:r>
        <w:rPr>
          <w:lang w:val="uk-UA"/>
        </w:rPr>
        <w:t>Вивчення гепатозахисних властивостей піфламіну при пероральному вв</w:t>
      </w:r>
      <w:r>
        <w:rPr>
          <w:lang w:val="uk-UA"/>
        </w:rPr>
        <w:t>е</w:t>
      </w:r>
      <w:r>
        <w:rPr>
          <w:lang w:val="uk-UA"/>
        </w:rPr>
        <w:t>денні в лікувально-профілактичному режимі проводили на моделях гострого, су</w:t>
      </w:r>
      <w:r>
        <w:rPr>
          <w:lang w:val="uk-UA"/>
        </w:rPr>
        <w:t>б</w:t>
      </w:r>
      <w:r>
        <w:rPr>
          <w:lang w:val="uk-UA"/>
        </w:rPr>
        <w:t>хронічного і хронічного гепатиту, викликаних гепатотоксинами: тетрахлормет</w:t>
      </w:r>
      <w:r>
        <w:rPr>
          <w:lang w:val="uk-UA"/>
        </w:rPr>
        <w:t>а</w:t>
      </w:r>
      <w:r>
        <w:rPr>
          <w:lang w:val="uk-UA"/>
        </w:rPr>
        <w:t>ном, парацетамолом, тетрацикліном та комбінацією тетрахлормет</w:t>
      </w:r>
      <w:r>
        <w:rPr>
          <w:lang w:val="uk-UA"/>
        </w:rPr>
        <w:t>а</w:t>
      </w:r>
      <w:r>
        <w:rPr>
          <w:lang w:val="uk-UA"/>
        </w:rPr>
        <w:t>ну з етанолом (“Доклінічні дослідження лікарських засобів” (методичні рекомендації), 2001). Вказані моделі адекватні захворюванням печінки у люд</w:t>
      </w:r>
      <w:r>
        <w:rPr>
          <w:lang w:val="uk-UA"/>
        </w:rPr>
        <w:t>и</w:t>
      </w:r>
      <w:r>
        <w:rPr>
          <w:lang w:val="uk-UA"/>
        </w:rPr>
        <w:t>ни.</w:t>
      </w:r>
    </w:p>
    <w:p w:rsidR="00D24B08" w:rsidRDefault="00D24B08" w:rsidP="00D24B08">
      <w:pPr>
        <w:spacing w:line="360" w:lineRule="exact"/>
        <w:ind w:firstLine="709"/>
        <w:jc w:val="both"/>
        <w:rPr>
          <w:lang w:val="uk-UA"/>
        </w:rPr>
      </w:pPr>
      <w:r>
        <w:rPr>
          <w:color w:val="000000"/>
          <w:lang w:val="uk-UA"/>
        </w:rPr>
        <w:t>Функціональний стан печінки і лікувальний ефект піфламіну на всіх відтв</w:t>
      </w:r>
      <w:r>
        <w:rPr>
          <w:color w:val="000000"/>
          <w:lang w:val="uk-UA"/>
        </w:rPr>
        <w:t>о</w:t>
      </w:r>
      <w:r>
        <w:rPr>
          <w:color w:val="000000"/>
          <w:lang w:val="uk-UA"/>
        </w:rPr>
        <w:t>рених моделях оцінювали за біохімічними показниками сироватки крові, гомоген</w:t>
      </w:r>
      <w:r>
        <w:rPr>
          <w:color w:val="000000"/>
          <w:lang w:val="uk-UA"/>
        </w:rPr>
        <w:t>а</w:t>
      </w:r>
      <w:r>
        <w:rPr>
          <w:color w:val="000000"/>
          <w:lang w:val="uk-UA"/>
        </w:rPr>
        <w:t>ту тканини печінки і жовчі, за МКП, а також за результатами гі</w:t>
      </w:r>
      <w:r>
        <w:rPr>
          <w:lang w:val="uk-UA"/>
        </w:rPr>
        <w:t>стоморф</w:t>
      </w:r>
      <w:r>
        <w:rPr>
          <w:lang w:val="uk-UA"/>
        </w:rPr>
        <w:t>о</w:t>
      </w:r>
      <w:r>
        <w:rPr>
          <w:lang w:val="uk-UA"/>
        </w:rPr>
        <w:t>логічного аналізу структури печінки уніфікованими методами електронної (Га</w:t>
      </w:r>
      <w:r>
        <w:rPr>
          <w:lang w:val="uk-UA"/>
        </w:rPr>
        <w:t>й</w:t>
      </w:r>
      <w:r>
        <w:rPr>
          <w:lang w:val="uk-UA"/>
        </w:rPr>
        <w:t>дер Г., 1974) та світлової мікроскопії з напівкількісною оцінкою змін (Автандилов Г.Г., 1980, Во</w:t>
      </w:r>
      <w:r>
        <w:rPr>
          <w:lang w:val="uk-UA"/>
        </w:rPr>
        <w:t>л</w:t>
      </w:r>
      <w:r>
        <w:rPr>
          <w:lang w:val="uk-UA"/>
        </w:rPr>
        <w:t xml:space="preserve">кова О.В., 1982). </w:t>
      </w:r>
    </w:p>
    <w:p w:rsidR="00D24B08" w:rsidRDefault="00D24B08" w:rsidP="00D24B08">
      <w:pPr>
        <w:pStyle w:val="37"/>
        <w:spacing w:line="360" w:lineRule="exact"/>
        <w:ind w:left="0" w:firstLine="630"/>
        <w:rPr>
          <w:rFonts w:ascii="Times New Roman" w:hAnsi="Times New Roman"/>
          <w:lang w:val="uk-UA"/>
        </w:rPr>
      </w:pPr>
      <w:r>
        <w:rPr>
          <w:rFonts w:ascii="Times New Roman" w:hAnsi="Times New Roman"/>
          <w:color w:val="000000"/>
          <w:lang w:val="uk-UA"/>
        </w:rPr>
        <w:t>Критерієм стану системи “ПОЛ/АОС” були рівень МДА, ДК і GSH, які в</w:t>
      </w:r>
      <w:r>
        <w:rPr>
          <w:rFonts w:ascii="Times New Roman" w:hAnsi="Times New Roman"/>
          <w:color w:val="000000"/>
          <w:lang w:val="uk-UA"/>
        </w:rPr>
        <w:t>и</w:t>
      </w:r>
      <w:r>
        <w:rPr>
          <w:rFonts w:ascii="Times New Roman" w:hAnsi="Times New Roman"/>
          <w:color w:val="000000"/>
          <w:lang w:val="uk-UA"/>
        </w:rPr>
        <w:t>значали так, як наведено раніше, гідроперекисів ліпідів (ГПЛ) - за методикою Гаврил</w:t>
      </w:r>
      <w:r>
        <w:rPr>
          <w:rFonts w:ascii="Times New Roman" w:hAnsi="Times New Roman"/>
          <w:color w:val="000000"/>
          <w:lang w:val="uk-UA"/>
        </w:rPr>
        <w:t>о</w:t>
      </w:r>
      <w:r>
        <w:rPr>
          <w:rFonts w:ascii="Times New Roman" w:hAnsi="Times New Roman"/>
          <w:color w:val="000000"/>
          <w:lang w:val="uk-UA"/>
        </w:rPr>
        <w:t>ва В.Б. зі співавт. (1983), а також активність супероксиддисмутази (СОД) за методом Брусова О.С. зі співавт. (1976) і каталази за методом Королюк М.А. зі сп</w:t>
      </w:r>
      <w:r>
        <w:rPr>
          <w:rFonts w:ascii="Times New Roman" w:hAnsi="Times New Roman"/>
          <w:color w:val="000000"/>
          <w:lang w:val="uk-UA"/>
        </w:rPr>
        <w:t>і</w:t>
      </w:r>
      <w:r>
        <w:rPr>
          <w:rFonts w:ascii="Times New Roman" w:hAnsi="Times New Roman"/>
          <w:color w:val="000000"/>
          <w:lang w:val="uk-UA"/>
        </w:rPr>
        <w:t>вавт. (1988). Вказані показники визначали у сироватці крові і гомогенаті печі</w:t>
      </w:r>
      <w:r>
        <w:rPr>
          <w:rFonts w:ascii="Times New Roman" w:hAnsi="Times New Roman"/>
          <w:color w:val="000000"/>
          <w:lang w:val="uk-UA"/>
        </w:rPr>
        <w:t>н</w:t>
      </w:r>
      <w:r>
        <w:rPr>
          <w:rFonts w:ascii="Times New Roman" w:hAnsi="Times New Roman"/>
          <w:color w:val="000000"/>
          <w:lang w:val="uk-UA"/>
        </w:rPr>
        <w:t>ки. Енергозабезпеченість гепатоцитів оцінювали за рівнем глікогену у гомогенаті п</w:t>
      </w:r>
      <w:r>
        <w:rPr>
          <w:rFonts w:ascii="Times New Roman" w:hAnsi="Times New Roman"/>
          <w:color w:val="000000"/>
          <w:lang w:val="uk-UA"/>
        </w:rPr>
        <w:t>е</w:t>
      </w:r>
      <w:r>
        <w:rPr>
          <w:rFonts w:ascii="Times New Roman" w:hAnsi="Times New Roman"/>
          <w:color w:val="000000"/>
          <w:lang w:val="uk-UA"/>
        </w:rPr>
        <w:t xml:space="preserve">чінки, який визначали за методом Кемпа і Кітца (Прохорова М.И. и др., 1995). </w:t>
      </w:r>
      <w:r>
        <w:rPr>
          <w:rFonts w:ascii="Times New Roman" w:hAnsi="Times New Roman"/>
          <w:lang w:val="uk-UA"/>
        </w:rPr>
        <w:t>Зо</w:t>
      </w:r>
      <w:r>
        <w:rPr>
          <w:rFonts w:ascii="Times New Roman" w:hAnsi="Times New Roman"/>
          <w:lang w:val="uk-UA"/>
        </w:rPr>
        <w:t>в</w:t>
      </w:r>
      <w:r>
        <w:rPr>
          <w:rFonts w:ascii="Times New Roman" w:hAnsi="Times New Roman"/>
          <w:lang w:val="uk-UA"/>
        </w:rPr>
        <w:t xml:space="preserve">нішньовидільну функцію печінки </w:t>
      </w:r>
      <w:r>
        <w:rPr>
          <w:rFonts w:ascii="Times New Roman" w:hAnsi="Times New Roman"/>
          <w:color w:val="000000"/>
          <w:lang w:val="uk-UA"/>
        </w:rPr>
        <w:t>оцінювали за зміною інтенсивності жовчовид</w:t>
      </w:r>
      <w:r>
        <w:rPr>
          <w:rFonts w:ascii="Times New Roman" w:hAnsi="Times New Roman"/>
          <w:color w:val="000000"/>
          <w:lang w:val="uk-UA"/>
        </w:rPr>
        <w:t>і</w:t>
      </w:r>
      <w:r>
        <w:rPr>
          <w:rFonts w:ascii="Times New Roman" w:hAnsi="Times New Roman"/>
          <w:color w:val="000000"/>
          <w:lang w:val="uk-UA"/>
        </w:rPr>
        <w:t>лення (“Доклінічні дослідження лікарських засобів” (методичні рекомендації), 2001), вмістом жовчних кислот і холестерину у жовчі за методом Міро</w:t>
      </w:r>
      <w:r>
        <w:rPr>
          <w:rFonts w:ascii="Times New Roman" w:hAnsi="Times New Roman"/>
          <w:color w:val="000000"/>
          <w:lang w:val="uk-UA"/>
        </w:rPr>
        <w:t>ш</w:t>
      </w:r>
      <w:r>
        <w:rPr>
          <w:rFonts w:ascii="Times New Roman" w:hAnsi="Times New Roman"/>
          <w:color w:val="000000"/>
          <w:lang w:val="uk-UA"/>
        </w:rPr>
        <w:t>ниченко В.П. зі співавт. (1978). Про поглинально-видільну функцію органу судили за те</w:t>
      </w:r>
      <w:r>
        <w:rPr>
          <w:rFonts w:ascii="Times New Roman" w:hAnsi="Times New Roman"/>
          <w:color w:val="000000"/>
          <w:lang w:val="uk-UA"/>
        </w:rPr>
        <w:t>с</w:t>
      </w:r>
      <w:r>
        <w:rPr>
          <w:rFonts w:ascii="Times New Roman" w:hAnsi="Times New Roman"/>
          <w:color w:val="000000"/>
          <w:lang w:val="uk-UA"/>
        </w:rPr>
        <w:t>том з бромсульфалеїном (БСФ) за Ізрайлет Л.І. зі співавт. (1976).</w:t>
      </w:r>
      <w:r>
        <w:rPr>
          <w:rFonts w:ascii="Times New Roman" w:hAnsi="Times New Roman"/>
          <w:lang w:val="uk-UA"/>
        </w:rPr>
        <w:t xml:space="preserve"> </w:t>
      </w:r>
      <w:r>
        <w:rPr>
          <w:rFonts w:ascii="Times New Roman" w:hAnsi="Times New Roman"/>
          <w:color w:val="000000"/>
          <w:lang w:val="uk-UA"/>
        </w:rPr>
        <w:t xml:space="preserve">У плазмі крові виявляли церулоплазмін модифікованим методом </w:t>
      </w:r>
      <w:r>
        <w:rPr>
          <w:rFonts w:ascii="Times New Roman" w:hAnsi="Times New Roman"/>
          <w:lang w:val="uk-UA"/>
        </w:rPr>
        <w:t>Равіна</w:t>
      </w:r>
      <w:r>
        <w:rPr>
          <w:rFonts w:ascii="Times New Roman" w:hAnsi="Times New Roman"/>
          <w:color w:val="000000"/>
          <w:lang w:val="uk-UA"/>
        </w:rPr>
        <w:t xml:space="preserve"> і фібриноген </w:t>
      </w:r>
      <w:r>
        <w:rPr>
          <w:rFonts w:ascii="Times New Roman" w:hAnsi="Times New Roman"/>
          <w:lang w:val="uk-UA"/>
        </w:rPr>
        <w:t xml:space="preserve">за гравіметричним методом Рутберга </w:t>
      </w:r>
      <w:r>
        <w:rPr>
          <w:rFonts w:ascii="Times New Roman" w:hAnsi="Times New Roman"/>
          <w:color w:val="000000"/>
          <w:lang w:val="uk-UA"/>
        </w:rPr>
        <w:t>(</w:t>
      </w:r>
      <w:r>
        <w:rPr>
          <w:rFonts w:ascii="Times New Roman" w:hAnsi="Times New Roman"/>
          <w:lang w:val="uk-UA"/>
        </w:rPr>
        <w:t>Камышников В.С.,2000).</w:t>
      </w:r>
      <w:r>
        <w:rPr>
          <w:rFonts w:ascii="Times New Roman" w:hAnsi="Times New Roman"/>
          <w:color w:val="000000"/>
          <w:lang w:val="uk-UA"/>
        </w:rPr>
        <w:t xml:space="preserve"> У сироватці крові, використовуючи набори реактивів фірми «Lachema» (Чехія), визначали активність індикаторного ферменту холестазу - лужної фосфатази (ЛФ) </w:t>
      </w:r>
      <w:r>
        <w:rPr>
          <w:rFonts w:ascii="Times New Roman" w:hAnsi="Times New Roman"/>
          <w:lang w:val="uk-UA"/>
        </w:rPr>
        <w:t>за Бесеєм, Лоурі, Броком</w:t>
      </w:r>
      <w:r>
        <w:rPr>
          <w:rFonts w:ascii="Times New Roman" w:hAnsi="Times New Roman"/>
          <w:color w:val="000000"/>
          <w:lang w:val="uk-UA"/>
        </w:rPr>
        <w:t>; ма</w:t>
      </w:r>
      <w:r>
        <w:rPr>
          <w:rFonts w:ascii="Times New Roman" w:hAnsi="Times New Roman"/>
          <w:color w:val="000000"/>
          <w:lang w:val="uk-UA"/>
        </w:rPr>
        <w:t>р</w:t>
      </w:r>
      <w:r>
        <w:rPr>
          <w:rFonts w:ascii="Times New Roman" w:hAnsi="Times New Roman"/>
          <w:color w:val="000000"/>
          <w:lang w:val="uk-UA"/>
        </w:rPr>
        <w:t xml:space="preserve">керів цитолізу </w:t>
      </w:r>
      <w:r>
        <w:rPr>
          <w:rFonts w:cs="Courier New"/>
          <w:color w:val="000000"/>
          <w:lang w:val="uk-UA"/>
        </w:rPr>
        <w:t>-</w:t>
      </w:r>
      <w:r>
        <w:rPr>
          <w:rFonts w:ascii="Times New Roman" w:hAnsi="Times New Roman"/>
          <w:color w:val="000000"/>
          <w:lang w:val="uk-UA"/>
        </w:rPr>
        <w:t xml:space="preserve"> аланін- та аспартатамінотрансферази (АлАТ, АсАТ) за методом Reitman S., Frankel S.A.; рівень загального білка – біуретовим методом; загальних ліпідів – за реакцією з сульф</w:t>
      </w:r>
      <w:r>
        <w:rPr>
          <w:rFonts w:ascii="Times New Roman" w:hAnsi="Times New Roman"/>
          <w:color w:val="000000"/>
          <w:lang w:val="uk-UA"/>
        </w:rPr>
        <w:t>о</w:t>
      </w:r>
      <w:r>
        <w:rPr>
          <w:rFonts w:ascii="Times New Roman" w:hAnsi="Times New Roman"/>
          <w:color w:val="000000"/>
          <w:lang w:val="uk-UA"/>
        </w:rPr>
        <w:t xml:space="preserve">ваніліновим реактивом; холестерину </w:t>
      </w:r>
      <w:r>
        <w:rPr>
          <w:color w:val="000000"/>
          <w:lang w:val="uk-UA"/>
        </w:rPr>
        <w:t>-</w:t>
      </w:r>
      <w:r>
        <w:rPr>
          <w:rFonts w:ascii="Times New Roman" w:hAnsi="Times New Roman"/>
          <w:color w:val="000000"/>
          <w:lang w:val="uk-UA"/>
        </w:rPr>
        <w:t xml:space="preserve"> </w:t>
      </w:r>
      <w:r>
        <w:rPr>
          <w:rFonts w:ascii="Times New Roman" w:hAnsi="Times New Roman"/>
          <w:lang w:val="uk-UA"/>
        </w:rPr>
        <w:t>за реакцією Лібермана-Бурхардта;</w:t>
      </w:r>
      <w:r>
        <w:rPr>
          <w:rFonts w:ascii="Times New Roman" w:hAnsi="Times New Roman"/>
          <w:color w:val="000000"/>
          <w:lang w:val="uk-UA"/>
        </w:rPr>
        <w:t xml:space="preserve"> </w:t>
      </w:r>
      <w:r>
        <w:rPr>
          <w:rFonts w:ascii="Times New Roman" w:hAnsi="Times New Roman"/>
          <w:lang w:val="uk-UA"/>
        </w:rPr>
        <w:t>концентрацію сечовини - за кольоровою реакцією з діацет</w:t>
      </w:r>
      <w:r>
        <w:rPr>
          <w:rFonts w:ascii="Times New Roman" w:hAnsi="Times New Roman"/>
          <w:lang w:val="uk-UA"/>
        </w:rPr>
        <w:t>и</w:t>
      </w:r>
      <w:r>
        <w:rPr>
          <w:rFonts w:ascii="Times New Roman" w:hAnsi="Times New Roman"/>
          <w:lang w:val="uk-UA"/>
        </w:rPr>
        <w:t xml:space="preserve">лмонооксимом. </w:t>
      </w:r>
      <w:r>
        <w:rPr>
          <w:rFonts w:ascii="Times New Roman" w:hAnsi="Times New Roman"/>
          <w:lang w:val="uk-UA"/>
        </w:rPr>
        <w:lastRenderedPageBreak/>
        <w:t>В</w:t>
      </w:r>
      <w:r>
        <w:rPr>
          <w:rFonts w:ascii="Times New Roman" w:hAnsi="Times New Roman"/>
          <w:color w:val="000000"/>
          <w:lang w:val="uk-UA"/>
        </w:rPr>
        <w:t xml:space="preserve">міст фосфоліпідів досліджували </w:t>
      </w:r>
      <w:r>
        <w:rPr>
          <w:rFonts w:ascii="Times New Roman" w:hAnsi="Times New Roman"/>
          <w:lang w:val="uk-UA"/>
        </w:rPr>
        <w:t xml:space="preserve">ензиматичним методом </w:t>
      </w:r>
      <w:r>
        <w:rPr>
          <w:rFonts w:ascii="Times New Roman" w:hAnsi="Times New Roman"/>
          <w:color w:val="000000"/>
          <w:lang w:val="uk-UA"/>
        </w:rPr>
        <w:t>за доп</w:t>
      </w:r>
      <w:r>
        <w:rPr>
          <w:rFonts w:ascii="Times New Roman" w:hAnsi="Times New Roman"/>
          <w:color w:val="000000"/>
          <w:lang w:val="uk-UA"/>
        </w:rPr>
        <w:t>о</w:t>
      </w:r>
      <w:r>
        <w:rPr>
          <w:rFonts w:ascii="Times New Roman" w:hAnsi="Times New Roman"/>
          <w:color w:val="000000"/>
          <w:lang w:val="uk-UA"/>
        </w:rPr>
        <w:t>могою набору реактивів фірми “Sentinel CH“ (Іт</w:t>
      </w:r>
      <w:r>
        <w:rPr>
          <w:rFonts w:ascii="Times New Roman" w:hAnsi="Times New Roman"/>
          <w:color w:val="000000"/>
          <w:lang w:val="uk-UA"/>
        </w:rPr>
        <w:t>а</w:t>
      </w:r>
      <w:r>
        <w:rPr>
          <w:rFonts w:ascii="Times New Roman" w:hAnsi="Times New Roman"/>
          <w:color w:val="000000"/>
          <w:lang w:val="uk-UA"/>
        </w:rPr>
        <w:t xml:space="preserve">лія). </w:t>
      </w:r>
    </w:p>
    <w:p w:rsidR="00D24B08" w:rsidRDefault="00D24B08" w:rsidP="00D24B08">
      <w:pPr>
        <w:spacing w:line="360" w:lineRule="exact"/>
        <w:ind w:firstLine="709"/>
        <w:jc w:val="both"/>
        <w:rPr>
          <w:color w:val="000000"/>
          <w:lang w:val="uk-UA"/>
        </w:rPr>
      </w:pPr>
      <w:r>
        <w:rPr>
          <w:lang w:val="uk-UA"/>
        </w:rPr>
        <w:t xml:space="preserve">Гостру токсичність </w:t>
      </w:r>
      <w:r>
        <w:rPr>
          <w:color w:val="000000"/>
          <w:lang w:val="uk-UA"/>
        </w:rPr>
        <w:t>піфламіну з розрахунком середньолетальних доз при пероральному і внутрішньоочеревинному введенні визначали за методами Пастуш</w:t>
      </w:r>
      <w:r>
        <w:rPr>
          <w:color w:val="000000"/>
          <w:lang w:val="uk-UA"/>
        </w:rPr>
        <w:t>е</w:t>
      </w:r>
      <w:r>
        <w:rPr>
          <w:color w:val="000000"/>
          <w:lang w:val="uk-UA"/>
        </w:rPr>
        <w:t>нко Т.В. зі співавт. (1975) і Літчфілда-Уілкоксона (Криштопенко С.В., Т</w:t>
      </w:r>
      <w:r>
        <w:rPr>
          <w:color w:val="000000"/>
          <w:lang w:val="uk-UA"/>
        </w:rPr>
        <w:t>и</w:t>
      </w:r>
      <w:r>
        <w:rPr>
          <w:color w:val="000000"/>
          <w:lang w:val="uk-UA"/>
        </w:rPr>
        <w:t>хов М.С., 1997). Ступінь токсичності визначали за класифікацією Сидор</w:t>
      </w:r>
      <w:r>
        <w:rPr>
          <w:color w:val="000000"/>
          <w:lang w:val="uk-UA"/>
        </w:rPr>
        <w:t>о</w:t>
      </w:r>
      <w:r>
        <w:rPr>
          <w:color w:val="000000"/>
          <w:lang w:val="uk-UA"/>
        </w:rPr>
        <w:t xml:space="preserve">ва К.К. (1973). </w:t>
      </w:r>
    </w:p>
    <w:p w:rsidR="00D24B08" w:rsidRDefault="00D24B08" w:rsidP="00D24B08">
      <w:pPr>
        <w:spacing w:line="360" w:lineRule="exact"/>
        <w:ind w:firstLine="720"/>
        <w:jc w:val="both"/>
        <w:rPr>
          <w:lang w:val="uk-UA"/>
        </w:rPr>
      </w:pPr>
      <w:r>
        <w:rPr>
          <w:lang w:val="uk-UA"/>
        </w:rPr>
        <w:t>Вивчення впливу піфламіну на рухову активність шлунково-кишкового тр</w:t>
      </w:r>
      <w:r>
        <w:rPr>
          <w:lang w:val="uk-UA"/>
        </w:rPr>
        <w:t>а</w:t>
      </w:r>
      <w:r>
        <w:rPr>
          <w:lang w:val="uk-UA"/>
        </w:rPr>
        <w:t>кту (ШКТ) проводили за методом Sticknay I.S. зі співавт. (1951), на стан сл</w:t>
      </w:r>
      <w:r>
        <w:rPr>
          <w:lang w:val="uk-UA"/>
        </w:rPr>
        <w:t>и</w:t>
      </w:r>
      <w:r>
        <w:rPr>
          <w:lang w:val="uk-UA"/>
        </w:rPr>
        <w:t>зової оболонки і секреторну функцію шлунка – за методом Андреєвої Н.І., Ш</w:t>
      </w:r>
      <w:r>
        <w:rPr>
          <w:lang w:val="uk-UA"/>
        </w:rPr>
        <w:t>а</w:t>
      </w:r>
      <w:r>
        <w:rPr>
          <w:lang w:val="uk-UA"/>
        </w:rPr>
        <w:t xml:space="preserve">р                            ової С.Д. (1978). </w:t>
      </w:r>
    </w:p>
    <w:p w:rsidR="00D24B08" w:rsidRDefault="00D24B08" w:rsidP="00D24B08">
      <w:pPr>
        <w:pStyle w:val="37"/>
        <w:spacing w:line="360" w:lineRule="exact"/>
        <w:ind w:left="0" w:firstLine="709"/>
        <w:rPr>
          <w:rFonts w:ascii="Times New Roman" w:hAnsi="Times New Roman"/>
          <w:lang w:val="uk-UA"/>
        </w:rPr>
      </w:pPr>
      <w:r>
        <w:rPr>
          <w:rFonts w:ascii="Times New Roman" w:hAnsi="Times New Roman"/>
          <w:lang w:val="uk-UA"/>
        </w:rPr>
        <w:t>Обробку одержаних результатів проводили за допомогою методів математ</w:t>
      </w:r>
      <w:r>
        <w:rPr>
          <w:rFonts w:ascii="Times New Roman" w:hAnsi="Times New Roman"/>
          <w:lang w:val="uk-UA"/>
        </w:rPr>
        <w:t>и</w:t>
      </w:r>
      <w:r>
        <w:rPr>
          <w:rFonts w:ascii="Times New Roman" w:hAnsi="Times New Roman"/>
          <w:lang w:val="uk-UA"/>
        </w:rPr>
        <w:t>чної стати</w:t>
      </w:r>
      <w:r>
        <w:rPr>
          <w:rFonts w:ascii="Times New Roman" w:hAnsi="Times New Roman"/>
          <w:lang w:val="uk-UA"/>
        </w:rPr>
        <w:t>с</w:t>
      </w:r>
      <w:r>
        <w:rPr>
          <w:rFonts w:ascii="Times New Roman" w:hAnsi="Times New Roman"/>
          <w:lang w:val="uk-UA"/>
        </w:rPr>
        <w:t>тики (Иванов Ю.И., Погорелюк Р.Н.,1990)</w:t>
      </w:r>
    </w:p>
    <w:p w:rsidR="00D24B08" w:rsidRDefault="00D24B08" w:rsidP="00D24B08">
      <w:pPr>
        <w:pStyle w:val="afffffff9"/>
        <w:spacing w:line="360" w:lineRule="exact"/>
        <w:ind w:left="0" w:firstLine="720"/>
        <w:jc w:val="both"/>
        <w:rPr>
          <w:lang w:val="uk-UA"/>
        </w:rPr>
      </w:pPr>
      <w:r>
        <w:rPr>
          <w:rFonts w:ascii="Times New Roman" w:hAnsi="Times New Roman"/>
          <w:b/>
          <w:bCs/>
          <w:lang w:val="uk-UA"/>
        </w:rPr>
        <w:t>Дослідження фармакодинаміки субстанції та таблеток піфламіну.</w:t>
      </w:r>
      <w:r>
        <w:rPr>
          <w:rFonts w:ascii="Times New Roman" w:hAnsi="Times New Roman"/>
          <w:lang w:val="uk-UA"/>
        </w:rPr>
        <w:t xml:space="preserve"> У зв</w:t>
      </w:r>
      <w:r>
        <w:rPr>
          <w:rFonts w:ascii="Times New Roman" w:hAnsi="Times New Roman"/>
          <w:lang w:val="uk-UA"/>
        </w:rPr>
        <w:sym w:font="Symbol" w:char="F0A2"/>
      </w:r>
      <w:r>
        <w:rPr>
          <w:rFonts w:ascii="Times New Roman" w:hAnsi="Times New Roman"/>
          <w:lang w:val="uk-UA"/>
        </w:rPr>
        <w:t>язку з тим, що основним завданням даної роботи було фармакологічне в</w:t>
      </w:r>
      <w:r>
        <w:rPr>
          <w:rFonts w:ascii="Times New Roman" w:hAnsi="Times New Roman"/>
          <w:lang w:val="uk-UA"/>
        </w:rPr>
        <w:t>и</w:t>
      </w:r>
      <w:r>
        <w:rPr>
          <w:rFonts w:ascii="Times New Roman" w:hAnsi="Times New Roman"/>
          <w:lang w:val="uk-UA"/>
        </w:rPr>
        <w:t>вчення і впровадження в медичну практику нового рослинного гепатопротектора, доціл</w:t>
      </w:r>
      <w:r>
        <w:rPr>
          <w:rFonts w:ascii="Times New Roman" w:hAnsi="Times New Roman"/>
          <w:lang w:val="uk-UA"/>
        </w:rPr>
        <w:t>ь</w:t>
      </w:r>
      <w:r>
        <w:rPr>
          <w:rFonts w:ascii="Times New Roman" w:hAnsi="Times New Roman"/>
          <w:lang w:val="uk-UA"/>
        </w:rPr>
        <w:t>но було провести дослідження складових ефектів багатогранної геп</w:t>
      </w:r>
      <w:r>
        <w:rPr>
          <w:rFonts w:ascii="Times New Roman" w:hAnsi="Times New Roman"/>
          <w:lang w:val="uk-UA"/>
        </w:rPr>
        <w:t>а</w:t>
      </w:r>
      <w:r>
        <w:rPr>
          <w:rFonts w:ascii="Times New Roman" w:hAnsi="Times New Roman"/>
          <w:lang w:val="uk-UA"/>
        </w:rPr>
        <w:t>тозахисної дії: антиоксидантного, мембрано- і судиностабілізувального, прот</w:t>
      </w:r>
      <w:r>
        <w:rPr>
          <w:rFonts w:ascii="Times New Roman" w:hAnsi="Times New Roman"/>
          <w:lang w:val="uk-UA"/>
        </w:rPr>
        <w:t>и</w:t>
      </w:r>
      <w:r>
        <w:rPr>
          <w:rFonts w:ascii="Times New Roman" w:hAnsi="Times New Roman"/>
          <w:lang w:val="uk-UA"/>
        </w:rPr>
        <w:t>запального, які за даними літератури (Барабой В.А., 1984; Максютина Н.П. и др., 1985) притаманні поліфенольним сполукам, що входять до складу піфл</w:t>
      </w:r>
      <w:r>
        <w:rPr>
          <w:rFonts w:ascii="Times New Roman" w:hAnsi="Times New Roman"/>
          <w:lang w:val="uk-UA"/>
        </w:rPr>
        <w:t>а</w:t>
      </w:r>
      <w:r>
        <w:rPr>
          <w:rFonts w:ascii="Times New Roman" w:hAnsi="Times New Roman"/>
          <w:lang w:val="uk-UA"/>
        </w:rPr>
        <w:t>міну.</w:t>
      </w:r>
    </w:p>
    <w:p w:rsidR="00D24B08" w:rsidRDefault="00D24B08" w:rsidP="00D24B08">
      <w:pPr>
        <w:pStyle w:val="BodyTextIndent22"/>
        <w:spacing w:line="360" w:lineRule="exact"/>
      </w:pPr>
      <w:r>
        <w:t>В системі in vitro при моделюванні процесу перекисного окиснення жовто</w:t>
      </w:r>
      <w:r>
        <w:t>ч</w:t>
      </w:r>
      <w:r>
        <w:t xml:space="preserve">них ліпопротеїдів встановлена сумарна антиоксидантна активність піфламіну у широкому діапазоні концентрацій – 250-1250 мкг/мл  і здатність в найбільшій з доз інгібувати процеси ВРО на рівні 50 %.  </w:t>
      </w:r>
    </w:p>
    <w:p w:rsidR="00D24B08" w:rsidRDefault="00D24B08" w:rsidP="00D24B08">
      <w:pPr>
        <w:pStyle w:val="BodyTextIndent22"/>
        <w:spacing w:line="360" w:lineRule="exact"/>
        <w:rPr>
          <w:color w:val="000000"/>
        </w:rPr>
      </w:pPr>
      <w:r>
        <w:t>Доказове підтвердження антиоксидантної активності піфламіну провед</w:t>
      </w:r>
      <w:r>
        <w:t>е</w:t>
      </w:r>
      <w:r>
        <w:t>не на моделі гострого гепатиту, викликаного введенням мишам активатора проц</w:t>
      </w:r>
      <w:r>
        <w:t>е</w:t>
      </w:r>
      <w:r>
        <w:t>сів ВРО і ПОЛ - мембранотропного токсину тетрахлорметану (</w:t>
      </w:r>
      <w:r>
        <w:rPr>
          <w:color w:val="000000"/>
        </w:rPr>
        <w:t>CCL</w:t>
      </w:r>
      <w:r>
        <w:rPr>
          <w:color w:val="000000"/>
          <w:vertAlign w:val="subscript"/>
        </w:rPr>
        <w:t>4</w:t>
      </w:r>
      <w:r>
        <w:t>)</w:t>
      </w:r>
      <w:r>
        <w:rPr>
          <w:vertAlign w:val="subscript"/>
        </w:rPr>
        <w:t xml:space="preserve"> </w:t>
      </w:r>
      <w:r>
        <w:t>(Скакун Н.П. и др.,1995). У наведених дослідах встановлені ефективні дози піфламіну за антио</w:t>
      </w:r>
      <w:r>
        <w:t>к</w:t>
      </w:r>
      <w:r>
        <w:t>сидантною активністю - 100 і 150 мг/кг. Вплив препарату в наведених дозах на значення МКП, показників інтенсивності ПОЛ і стану АОС виявився їх відновленням до в</w:t>
      </w:r>
      <w:r>
        <w:t>и</w:t>
      </w:r>
      <w:r>
        <w:t>хідного рівня. За ефективністю піфламін був близьким до дії класичного антиоксиданта - вітаміна Е у дозі 50 мг/кг (Місюрьова С.В. із співав., 1999) і поз</w:t>
      </w:r>
      <w:r>
        <w:t>и</w:t>
      </w:r>
      <w:r>
        <w:t xml:space="preserve">тивно відрізнявся від силібору в дозі 25 мг/кг відновленням  фонду </w:t>
      </w:r>
      <w:r>
        <w:rPr>
          <w:lang w:val="en-US"/>
        </w:rPr>
        <w:t>GSH</w:t>
      </w:r>
      <w:r>
        <w:t>. Провед</w:t>
      </w:r>
      <w:r>
        <w:t>е</w:t>
      </w:r>
      <w:r>
        <w:t>ні дослідження обґрунтували доцільність використання доз 100 і 150 мг/кг у подальших дослідженнях фармакодинаміки препарату в ум</w:t>
      </w:r>
      <w:r>
        <w:t>о</w:t>
      </w:r>
      <w:r>
        <w:t xml:space="preserve">вах </w:t>
      </w:r>
      <w:r>
        <w:rPr>
          <w:lang w:val="en-US"/>
        </w:rPr>
        <w:t>in</w:t>
      </w:r>
      <w:r>
        <w:t xml:space="preserve"> </w:t>
      </w:r>
      <w:r>
        <w:rPr>
          <w:lang w:val="en-US"/>
        </w:rPr>
        <w:t>vivo</w:t>
      </w:r>
      <w:r>
        <w:t>.</w:t>
      </w:r>
    </w:p>
    <w:p w:rsidR="00D24B08" w:rsidRDefault="00D24B08" w:rsidP="00D24B08">
      <w:pPr>
        <w:pStyle w:val="BodyTextIndent22"/>
        <w:spacing w:line="360" w:lineRule="exact"/>
        <w:rPr>
          <w:color w:val="000000"/>
        </w:rPr>
      </w:pPr>
      <w:r>
        <w:rPr>
          <w:color w:val="000000"/>
        </w:rPr>
        <w:t>Вивчення складових механізму антиоксидантної дії піфламіну підтверд</w:t>
      </w:r>
      <w:r>
        <w:rPr>
          <w:color w:val="000000"/>
        </w:rPr>
        <w:t>и</w:t>
      </w:r>
      <w:r>
        <w:rPr>
          <w:color w:val="000000"/>
        </w:rPr>
        <w:t>ло її полікомпонентність, властиву поліфенольним сполукам (Барабой В.А., 1976), зо</w:t>
      </w:r>
      <w:r>
        <w:rPr>
          <w:color w:val="000000"/>
        </w:rPr>
        <w:t>к</w:t>
      </w:r>
      <w:r>
        <w:rPr>
          <w:color w:val="000000"/>
        </w:rPr>
        <w:t xml:space="preserve">рема наявність прямої антирадикальної і </w:t>
      </w:r>
      <w:r>
        <w:rPr>
          <w:color w:val="000000"/>
        </w:rPr>
        <w:lastRenderedPageBreak/>
        <w:t>комплексоутворюючої дії. Антирадикал</w:t>
      </w:r>
      <w:r>
        <w:rPr>
          <w:color w:val="000000"/>
        </w:rPr>
        <w:t>ь</w:t>
      </w:r>
      <w:r>
        <w:rPr>
          <w:color w:val="000000"/>
        </w:rPr>
        <w:t>ні властивості відносно активних форм кисню визначені за здатністю п</w:t>
      </w:r>
      <w:r>
        <w:rPr>
          <w:color w:val="000000"/>
        </w:rPr>
        <w:t>і</w:t>
      </w:r>
      <w:r>
        <w:rPr>
          <w:color w:val="000000"/>
        </w:rPr>
        <w:t>фламіну гальмувати  руйнування дезоксирибози гідроксильними радикалами (</w:t>
      </w:r>
      <w:r>
        <w:rPr>
          <w:color w:val="000000"/>
          <w:lang w:val="en-US"/>
        </w:rPr>
        <w:t>ID</w:t>
      </w:r>
      <w:r>
        <w:rPr>
          <w:color w:val="000000"/>
          <w:vertAlign w:val="subscript"/>
        </w:rPr>
        <w:t xml:space="preserve">50  </w:t>
      </w:r>
      <w:r>
        <w:rPr>
          <w:color w:val="000000"/>
        </w:rPr>
        <w:t>= 400 мкг/мл) і процес окиснення адреналіну, який проходить за участю супероксидані</w:t>
      </w:r>
      <w:r>
        <w:rPr>
          <w:color w:val="000000"/>
        </w:rPr>
        <w:t>о</w:t>
      </w:r>
      <w:r>
        <w:rPr>
          <w:color w:val="000000"/>
        </w:rPr>
        <w:t>нів (максимальний ефект препарату спостерігався в концентрації 25 мкг/мл на рівні 29,5%). В умовах аскорбатзалежного ПОЛ піфламін у ко</w:t>
      </w:r>
      <w:r>
        <w:rPr>
          <w:color w:val="000000"/>
        </w:rPr>
        <w:t>н</w:t>
      </w:r>
      <w:r>
        <w:rPr>
          <w:color w:val="000000"/>
        </w:rPr>
        <w:t>центраціях 62,5 і 125 мкг/мл пригнічував ініціативні ланки ліпопероксидації внаслідок інактивації кат</w:t>
      </w:r>
      <w:r>
        <w:rPr>
          <w:color w:val="000000"/>
        </w:rPr>
        <w:t>а</w:t>
      </w:r>
      <w:r>
        <w:rPr>
          <w:color w:val="000000"/>
        </w:rPr>
        <w:t>лізаторів ВРО - іонів заліза (II). Силібор за даних умов не виявив комплексоутв</w:t>
      </w:r>
      <w:r>
        <w:rPr>
          <w:color w:val="000000"/>
        </w:rPr>
        <w:t>о</w:t>
      </w:r>
      <w:r>
        <w:rPr>
          <w:color w:val="000000"/>
        </w:rPr>
        <w:t>рюючої активності, у 1,5 рази поступався піфламіну за здатністю інгібувати гідр</w:t>
      </w:r>
      <w:r>
        <w:rPr>
          <w:color w:val="000000"/>
        </w:rPr>
        <w:t>о</w:t>
      </w:r>
      <w:r>
        <w:rPr>
          <w:color w:val="000000"/>
        </w:rPr>
        <w:t>ксильні радикали (</w:t>
      </w:r>
      <w:r>
        <w:rPr>
          <w:color w:val="000000"/>
          <w:lang w:val="en-US"/>
        </w:rPr>
        <w:t>ID</w:t>
      </w:r>
      <w:r>
        <w:rPr>
          <w:color w:val="000000"/>
          <w:vertAlign w:val="subscript"/>
        </w:rPr>
        <w:t>50</w:t>
      </w:r>
      <w:r>
        <w:rPr>
          <w:color w:val="000000"/>
        </w:rPr>
        <w:t xml:space="preserve"> = 600 мкг/мл) і виявив антирадикальну активність по відношенню до супероксиданіонів тільки на рі</w:t>
      </w:r>
      <w:r>
        <w:rPr>
          <w:color w:val="000000"/>
        </w:rPr>
        <w:t>в</w:t>
      </w:r>
      <w:r>
        <w:rPr>
          <w:color w:val="000000"/>
        </w:rPr>
        <w:t>ні 18,7 % у концентрації 6 мкг/мл.</w:t>
      </w:r>
    </w:p>
    <w:p w:rsidR="00D24B08" w:rsidRDefault="00D24B08" w:rsidP="00D24B08">
      <w:pPr>
        <w:pStyle w:val="BodyTextIndent22"/>
        <w:tabs>
          <w:tab w:val="left" w:pos="3060"/>
        </w:tabs>
        <w:spacing w:line="360" w:lineRule="exact"/>
      </w:pPr>
      <w:r>
        <w:rPr>
          <w:color w:val="000000"/>
        </w:rPr>
        <w:t>Антиоксидантні властивості піфламіну забезпечуються комплексом БАР г</w:t>
      </w:r>
      <w:r>
        <w:rPr>
          <w:color w:val="000000"/>
        </w:rPr>
        <w:t>о</w:t>
      </w:r>
      <w:r>
        <w:rPr>
          <w:color w:val="000000"/>
        </w:rPr>
        <w:t>роху посівного. Фенольна структура його флавоноїдів та гідроксикоричних кислот надає препарату можливості взаємодіяти з вільними радикалами, утворювати ко</w:t>
      </w:r>
      <w:r>
        <w:rPr>
          <w:color w:val="000000"/>
        </w:rPr>
        <w:t>м</w:t>
      </w:r>
      <w:r>
        <w:rPr>
          <w:color w:val="000000"/>
        </w:rPr>
        <w:t>плекси з іонами металів, сприяти відновленню та поповненню компонентів АОС в умовах гіперліп</w:t>
      </w:r>
      <w:r>
        <w:rPr>
          <w:color w:val="000000"/>
        </w:rPr>
        <w:t>о</w:t>
      </w:r>
      <w:r>
        <w:rPr>
          <w:color w:val="000000"/>
        </w:rPr>
        <w:t>пероксидації (Барабой В.А., 1984). Наявні амінокислоти (цистеїн, метионін, гистидін, аргинін) як ендогенні метаболіти з антиоксидантною активністю забезпечують білоксинт</w:t>
      </w:r>
      <w:r>
        <w:rPr>
          <w:color w:val="000000"/>
        </w:rPr>
        <w:t>е</w:t>
      </w:r>
      <w:r>
        <w:rPr>
          <w:color w:val="000000"/>
        </w:rPr>
        <w:t xml:space="preserve">тичні процеси та додатково захищають мембрани від пошкоджень вільними радикалами (Голиков С.Н. и др., 1986). </w:t>
      </w:r>
    </w:p>
    <w:p w:rsidR="00D24B08" w:rsidRDefault="00D24B08" w:rsidP="00D24B08">
      <w:pPr>
        <w:pStyle w:val="24"/>
        <w:spacing w:line="360" w:lineRule="exact"/>
        <w:ind w:left="0" w:firstLine="720"/>
        <w:jc w:val="both"/>
        <w:rPr>
          <w:rFonts w:ascii="Times New Roman" w:hAnsi="Times New Roman"/>
          <w:color w:val="000000"/>
          <w:lang w:val="uk-UA"/>
        </w:rPr>
      </w:pPr>
      <w:r>
        <w:rPr>
          <w:rFonts w:ascii="Times New Roman" w:hAnsi="Times New Roman"/>
          <w:color w:val="000000"/>
          <w:lang w:val="uk-UA"/>
        </w:rPr>
        <w:t>Відображенням антиоксидантних властивостей піфламіну став його позит</w:t>
      </w:r>
      <w:r>
        <w:rPr>
          <w:rFonts w:ascii="Times New Roman" w:hAnsi="Times New Roman"/>
          <w:color w:val="000000"/>
          <w:lang w:val="uk-UA"/>
        </w:rPr>
        <w:t>и</w:t>
      </w:r>
      <w:r>
        <w:rPr>
          <w:rFonts w:ascii="Times New Roman" w:hAnsi="Times New Roman"/>
          <w:color w:val="000000"/>
          <w:lang w:val="uk-UA"/>
        </w:rPr>
        <w:t>вний вплив на стабілізацію мембран. Препарат в концентраціях 125 і 250 мкг/мл запобігав пошкодженню мембранопов</w:t>
      </w:r>
      <w:r>
        <w:rPr>
          <w:rFonts w:ascii="Times New Roman" w:hAnsi="Times New Roman"/>
          <w:color w:val="000000"/>
          <w:lang w:val="uk-UA"/>
        </w:rPr>
        <w:sym w:font="Symbol" w:char="F0A2"/>
      </w:r>
      <w:r>
        <w:rPr>
          <w:rFonts w:ascii="Times New Roman" w:hAnsi="Times New Roman"/>
          <w:color w:val="000000"/>
          <w:lang w:val="uk-UA"/>
        </w:rPr>
        <w:t>язаного ферменту – цитохрому Р-450 в си</w:t>
      </w:r>
      <w:r>
        <w:rPr>
          <w:rFonts w:ascii="Times New Roman" w:hAnsi="Times New Roman"/>
          <w:color w:val="000000"/>
          <w:lang w:val="uk-UA"/>
        </w:rPr>
        <w:t>с</w:t>
      </w:r>
      <w:r>
        <w:rPr>
          <w:rFonts w:ascii="Times New Roman" w:hAnsi="Times New Roman"/>
          <w:color w:val="000000"/>
          <w:lang w:val="uk-UA"/>
        </w:rPr>
        <w:t>темі in vitro та в дозі 150 мг/кг достовірно знижував ступінь спонтанного гемолізу ери</w:t>
      </w:r>
      <w:r>
        <w:rPr>
          <w:rFonts w:ascii="Times New Roman" w:hAnsi="Times New Roman"/>
          <w:color w:val="000000"/>
          <w:lang w:val="uk-UA"/>
        </w:rPr>
        <w:t>т</w:t>
      </w:r>
      <w:r>
        <w:rPr>
          <w:rFonts w:ascii="Times New Roman" w:hAnsi="Times New Roman"/>
          <w:color w:val="000000"/>
          <w:lang w:val="uk-UA"/>
        </w:rPr>
        <w:t>роцитів in vivo. Застосування силібору в аналогічних умовах не призводило до достовірних змін виучуваних показників, що підтверджує перевагу піфламіну п</w:t>
      </w:r>
      <w:r>
        <w:rPr>
          <w:rFonts w:ascii="Times New Roman" w:hAnsi="Times New Roman"/>
          <w:color w:val="000000"/>
          <w:lang w:val="uk-UA"/>
        </w:rPr>
        <w:t>е</w:t>
      </w:r>
      <w:r>
        <w:rPr>
          <w:rFonts w:ascii="Times New Roman" w:hAnsi="Times New Roman"/>
          <w:color w:val="000000"/>
          <w:lang w:val="uk-UA"/>
        </w:rPr>
        <w:t>ред препаратом порівняння за антиоксидантними властив</w:t>
      </w:r>
      <w:r>
        <w:rPr>
          <w:rFonts w:ascii="Times New Roman" w:hAnsi="Times New Roman"/>
          <w:color w:val="000000"/>
          <w:lang w:val="uk-UA"/>
        </w:rPr>
        <w:t>о</w:t>
      </w:r>
      <w:r>
        <w:rPr>
          <w:rFonts w:ascii="Times New Roman" w:hAnsi="Times New Roman"/>
          <w:color w:val="000000"/>
          <w:lang w:val="uk-UA"/>
        </w:rPr>
        <w:t xml:space="preserve">стями. </w:t>
      </w:r>
    </w:p>
    <w:p w:rsidR="00D24B08" w:rsidRDefault="00D24B08" w:rsidP="00D24B08">
      <w:pPr>
        <w:pStyle w:val="afffffff9"/>
        <w:spacing w:line="360" w:lineRule="exact"/>
        <w:ind w:left="0" w:firstLine="720"/>
        <w:jc w:val="both"/>
        <w:rPr>
          <w:rFonts w:ascii="Times New Roman" w:hAnsi="Times New Roman"/>
          <w:color w:val="000000"/>
          <w:lang w:val="uk-UA"/>
        </w:rPr>
      </w:pPr>
      <w:r>
        <w:rPr>
          <w:rFonts w:ascii="Times New Roman" w:hAnsi="Times New Roman"/>
          <w:color w:val="000000"/>
          <w:lang w:val="uk-UA"/>
        </w:rPr>
        <w:t>В патогенезі захворювань печінки важливе місце належить запальному пр</w:t>
      </w:r>
      <w:r>
        <w:rPr>
          <w:rFonts w:ascii="Times New Roman" w:hAnsi="Times New Roman"/>
          <w:color w:val="000000"/>
          <w:lang w:val="uk-UA"/>
        </w:rPr>
        <w:t>о</w:t>
      </w:r>
      <w:r>
        <w:rPr>
          <w:rFonts w:ascii="Times New Roman" w:hAnsi="Times New Roman"/>
          <w:color w:val="000000"/>
          <w:lang w:val="uk-UA"/>
        </w:rPr>
        <w:t>цесу (Дроговоз С.М., Сальникова С.І., 1995), а з даних літератури (Барабой В.А., 1984; Robak Jadwiga et al., 1996) відомо, що рослинні поліфенольні сполуки здатні усув</w:t>
      </w:r>
      <w:r>
        <w:rPr>
          <w:rFonts w:ascii="Times New Roman" w:hAnsi="Times New Roman"/>
          <w:color w:val="000000"/>
          <w:lang w:val="uk-UA"/>
        </w:rPr>
        <w:t>а</w:t>
      </w:r>
      <w:r>
        <w:rPr>
          <w:rFonts w:ascii="Times New Roman" w:hAnsi="Times New Roman"/>
          <w:color w:val="000000"/>
          <w:lang w:val="uk-UA"/>
        </w:rPr>
        <w:t>ти ексудативний компонент запальної реакції. Цей ефект пов</w:t>
      </w:r>
      <w:r>
        <w:rPr>
          <w:rFonts w:ascii="Times New Roman" w:hAnsi="Times New Roman"/>
          <w:color w:val="000000"/>
          <w:lang w:val="uk-UA"/>
        </w:rPr>
        <w:sym w:font="Symbol" w:char="F0A2"/>
      </w:r>
      <w:r>
        <w:rPr>
          <w:rFonts w:ascii="Times New Roman" w:hAnsi="Times New Roman"/>
          <w:color w:val="000000"/>
          <w:lang w:val="uk-UA"/>
        </w:rPr>
        <w:t>язаний як з їх мембраностабілізувальними та антиоксидантними властивостями, так і зі здатні</w:t>
      </w:r>
      <w:r>
        <w:rPr>
          <w:rFonts w:ascii="Times New Roman" w:hAnsi="Times New Roman"/>
          <w:color w:val="000000"/>
          <w:lang w:val="uk-UA"/>
        </w:rPr>
        <w:t>с</w:t>
      </w:r>
      <w:r>
        <w:rPr>
          <w:rFonts w:ascii="Times New Roman" w:hAnsi="Times New Roman"/>
          <w:color w:val="000000"/>
          <w:lang w:val="uk-UA"/>
        </w:rPr>
        <w:t>тю інгібувати циклооксигеназний, та ліпооксигеназний шляхи метаболізму арах</w:t>
      </w:r>
      <w:r>
        <w:rPr>
          <w:rFonts w:ascii="Times New Roman" w:hAnsi="Times New Roman"/>
          <w:color w:val="000000"/>
          <w:lang w:val="uk-UA"/>
        </w:rPr>
        <w:t>і</w:t>
      </w:r>
      <w:r>
        <w:rPr>
          <w:rFonts w:ascii="Times New Roman" w:hAnsi="Times New Roman"/>
          <w:color w:val="000000"/>
          <w:lang w:val="uk-UA"/>
        </w:rPr>
        <w:t>донової кислоти. Наші дослідження, проведені на моделях запалення з участю рі</w:t>
      </w:r>
      <w:r>
        <w:rPr>
          <w:rFonts w:ascii="Times New Roman" w:hAnsi="Times New Roman"/>
          <w:color w:val="000000"/>
          <w:lang w:val="uk-UA"/>
        </w:rPr>
        <w:t>з</w:t>
      </w:r>
      <w:r>
        <w:rPr>
          <w:rFonts w:ascii="Times New Roman" w:hAnsi="Times New Roman"/>
          <w:color w:val="000000"/>
          <w:lang w:val="uk-UA"/>
        </w:rPr>
        <w:t>них медіаторів, дозволили встановити для піфламіну в дозі 150 мг/кг наявність протизапальної дії і припустити її можливі механізми. Дані, отримані в експерим</w:t>
      </w:r>
      <w:r>
        <w:rPr>
          <w:rFonts w:ascii="Times New Roman" w:hAnsi="Times New Roman"/>
          <w:color w:val="000000"/>
          <w:lang w:val="uk-UA"/>
        </w:rPr>
        <w:t>е</w:t>
      </w:r>
      <w:r>
        <w:rPr>
          <w:rFonts w:ascii="Times New Roman" w:hAnsi="Times New Roman"/>
          <w:color w:val="000000"/>
          <w:lang w:val="uk-UA"/>
        </w:rPr>
        <w:t xml:space="preserve">нті при відтворенні карагенінового, зимозанового набряків у щурів </w:t>
      </w:r>
      <w:r>
        <w:rPr>
          <w:rFonts w:ascii="Times New Roman" w:hAnsi="Times New Roman"/>
          <w:color w:val="000000"/>
          <w:lang w:val="uk-UA"/>
        </w:rPr>
        <w:lastRenderedPageBreak/>
        <w:t>та декстранов</w:t>
      </w:r>
      <w:r>
        <w:rPr>
          <w:rFonts w:ascii="Times New Roman" w:hAnsi="Times New Roman"/>
          <w:color w:val="000000"/>
          <w:lang w:val="uk-UA"/>
        </w:rPr>
        <w:t>о</w:t>
      </w:r>
      <w:r>
        <w:rPr>
          <w:rFonts w:ascii="Times New Roman" w:hAnsi="Times New Roman"/>
          <w:color w:val="000000"/>
          <w:lang w:val="uk-UA"/>
        </w:rPr>
        <w:t>го запаленні вуха у мишей, дозволяють стверджувати, що в основі механізму пр</w:t>
      </w:r>
      <w:r>
        <w:rPr>
          <w:rFonts w:ascii="Times New Roman" w:hAnsi="Times New Roman"/>
          <w:color w:val="000000"/>
          <w:lang w:val="uk-UA"/>
        </w:rPr>
        <w:t>о</w:t>
      </w:r>
      <w:r>
        <w:rPr>
          <w:rFonts w:ascii="Times New Roman" w:hAnsi="Times New Roman"/>
          <w:color w:val="000000"/>
          <w:lang w:val="uk-UA"/>
        </w:rPr>
        <w:t>тизапальної дії препарату лежить інгібуючий вплив на утворення лейкотриєнів (ЛТ),  к</w:t>
      </w:r>
      <w:r>
        <w:rPr>
          <w:rFonts w:ascii="Times New Roman" w:hAnsi="Times New Roman"/>
          <w:color w:val="000000"/>
          <w:lang w:val="uk-UA"/>
        </w:rPr>
        <w:t>і</w:t>
      </w:r>
      <w:r>
        <w:rPr>
          <w:rFonts w:ascii="Times New Roman" w:hAnsi="Times New Roman"/>
          <w:color w:val="000000"/>
          <w:lang w:val="uk-UA"/>
        </w:rPr>
        <w:t>нінів та серотоніну та відсутній вплив на простагландини (ПГ) (Di Rosa M. et all, 1971). Піфламін поступався за виразністю дії препаратам порівняння – вол</w:t>
      </w:r>
      <w:r>
        <w:rPr>
          <w:rFonts w:ascii="Times New Roman" w:hAnsi="Times New Roman"/>
          <w:color w:val="000000"/>
          <w:lang w:val="uk-UA"/>
        </w:rPr>
        <w:t>ь</w:t>
      </w:r>
      <w:r>
        <w:rPr>
          <w:rFonts w:ascii="Times New Roman" w:hAnsi="Times New Roman"/>
          <w:color w:val="000000"/>
          <w:lang w:val="uk-UA"/>
        </w:rPr>
        <w:t>тарену, кверцетину, модельній речовині BW 755C, але виявив перевагу перед сил</w:t>
      </w:r>
      <w:r>
        <w:rPr>
          <w:rFonts w:ascii="Times New Roman" w:hAnsi="Times New Roman"/>
          <w:color w:val="000000"/>
          <w:lang w:val="uk-UA"/>
        </w:rPr>
        <w:t>і</w:t>
      </w:r>
      <w:r>
        <w:rPr>
          <w:rFonts w:ascii="Times New Roman" w:hAnsi="Times New Roman"/>
          <w:color w:val="000000"/>
          <w:lang w:val="uk-UA"/>
        </w:rPr>
        <w:t>бором за антиліпооксигеназною активністю і схожість з ним в динаміці антиексудативної активності на моделі карагенін</w:t>
      </w:r>
      <w:r>
        <w:rPr>
          <w:rFonts w:ascii="Times New Roman" w:hAnsi="Times New Roman"/>
          <w:color w:val="000000"/>
          <w:lang w:val="uk-UA"/>
        </w:rPr>
        <w:t>о</w:t>
      </w:r>
      <w:r>
        <w:rPr>
          <w:rFonts w:ascii="Times New Roman" w:hAnsi="Times New Roman"/>
          <w:color w:val="000000"/>
          <w:lang w:val="uk-UA"/>
        </w:rPr>
        <w:t xml:space="preserve">вого набряку. </w:t>
      </w:r>
    </w:p>
    <w:p w:rsidR="00D24B08" w:rsidRDefault="00D24B08" w:rsidP="00D24B08">
      <w:pPr>
        <w:pStyle w:val="BodyTextIndent22"/>
        <w:spacing w:line="360" w:lineRule="exact"/>
        <w:ind w:firstLine="709"/>
        <w:rPr>
          <w:color w:val="000000"/>
        </w:rPr>
      </w:pPr>
      <w:r>
        <w:rPr>
          <w:color w:val="000000"/>
        </w:rPr>
        <w:t>Встановлений інгібуючий</w:t>
      </w:r>
      <w:r>
        <w:t xml:space="preserve"> </w:t>
      </w:r>
      <w:r>
        <w:rPr>
          <w:color w:val="000000"/>
        </w:rPr>
        <w:t>вплив піфламіну на ЛТ має практичний інтерес, бо може сприяти зниженню запального процесу при захворюваннях печінки (Па</w:t>
      </w:r>
      <w:r>
        <w:rPr>
          <w:color w:val="000000"/>
        </w:rPr>
        <w:t>в</w:t>
      </w:r>
      <w:r>
        <w:rPr>
          <w:color w:val="000000"/>
        </w:rPr>
        <w:t>ловский М.П. с соавт, 1994), а відсутність впливу на синтез ПГ є свідченням відс</w:t>
      </w:r>
      <w:r>
        <w:rPr>
          <w:color w:val="000000"/>
        </w:rPr>
        <w:t>у</w:t>
      </w:r>
      <w:r>
        <w:rPr>
          <w:color w:val="000000"/>
        </w:rPr>
        <w:t>тності токсичної дії препарату в ефективній дозі 150 мг/кг на функцію печінки і здатності підтримувати її фізіологічні можливості (Яковл</w:t>
      </w:r>
      <w:r>
        <w:rPr>
          <w:color w:val="000000"/>
        </w:rPr>
        <w:t>е</w:t>
      </w:r>
      <w:r>
        <w:rPr>
          <w:color w:val="000000"/>
        </w:rPr>
        <w:t>ва Л.В., 1992).</w:t>
      </w:r>
    </w:p>
    <w:p w:rsidR="00D24B08" w:rsidRDefault="00D24B08" w:rsidP="00D24B08">
      <w:pPr>
        <w:pStyle w:val="BodyText20"/>
        <w:spacing w:line="360" w:lineRule="exact"/>
        <w:ind w:firstLine="720"/>
        <w:rPr>
          <w:color w:val="000000"/>
          <w:lang w:val="uk-UA"/>
        </w:rPr>
      </w:pPr>
      <w:r>
        <w:rPr>
          <w:color w:val="000000"/>
          <w:lang w:val="uk-UA"/>
        </w:rPr>
        <w:t>Позитивним доповненням до механізму протизапальної активності виучув</w:t>
      </w:r>
      <w:r>
        <w:rPr>
          <w:color w:val="000000"/>
          <w:lang w:val="uk-UA"/>
        </w:rPr>
        <w:t>а</w:t>
      </w:r>
      <w:r>
        <w:rPr>
          <w:color w:val="000000"/>
          <w:lang w:val="uk-UA"/>
        </w:rPr>
        <w:t>ного препарату став встановлений нами судиностабілізувальний ефект піфл</w:t>
      </w:r>
      <w:r>
        <w:rPr>
          <w:color w:val="000000"/>
          <w:lang w:val="uk-UA"/>
        </w:rPr>
        <w:t>а</w:t>
      </w:r>
      <w:r>
        <w:rPr>
          <w:color w:val="000000"/>
          <w:lang w:val="uk-UA"/>
        </w:rPr>
        <w:t>міну в дозах 100 і 150 мг/кг, який виявився при підшкірному введенні щурам білка і кс</w:t>
      </w:r>
      <w:r>
        <w:rPr>
          <w:color w:val="000000"/>
          <w:lang w:val="uk-UA"/>
        </w:rPr>
        <w:t>и</w:t>
      </w:r>
      <w:r>
        <w:rPr>
          <w:color w:val="000000"/>
          <w:lang w:val="uk-UA"/>
        </w:rPr>
        <w:t>лолу - факторів, що викликають підвищення проникності судин (Яковлєва Л.В., 1984). Ефект піфламіну обумовлений спроможністю поліфенолів ущільнювати тканинні і судинні мембр</w:t>
      </w:r>
      <w:r>
        <w:rPr>
          <w:color w:val="000000"/>
          <w:lang w:val="uk-UA"/>
        </w:rPr>
        <w:t>а</w:t>
      </w:r>
      <w:r>
        <w:rPr>
          <w:color w:val="000000"/>
          <w:lang w:val="uk-UA"/>
        </w:rPr>
        <w:t>ни і знижувати проникність судино-тканинних бар'єрів (Барабой В.А., 1984). Важливо, що піфламін стабілізує проникність судин при кс</w:t>
      </w:r>
      <w:r>
        <w:rPr>
          <w:color w:val="000000"/>
          <w:lang w:val="uk-UA"/>
        </w:rPr>
        <w:t>и</w:t>
      </w:r>
      <w:r>
        <w:rPr>
          <w:color w:val="000000"/>
          <w:lang w:val="uk-UA"/>
        </w:rPr>
        <w:t>лоловому запаленні достовірно виразніше, ніж препарати порівняння - кв</w:t>
      </w:r>
      <w:r>
        <w:rPr>
          <w:color w:val="000000"/>
          <w:lang w:val="uk-UA"/>
        </w:rPr>
        <w:t>е</w:t>
      </w:r>
      <w:r>
        <w:rPr>
          <w:color w:val="000000"/>
          <w:lang w:val="uk-UA"/>
        </w:rPr>
        <w:t xml:space="preserve">рцетин в дозі 50 мг/кг і силібор в дозі 25 мг/кг. </w:t>
      </w:r>
    </w:p>
    <w:p w:rsidR="00D24B08" w:rsidRDefault="00D24B08" w:rsidP="00D24B08">
      <w:pPr>
        <w:pStyle w:val="BodyText20"/>
        <w:spacing w:line="360" w:lineRule="exact"/>
        <w:ind w:firstLine="720"/>
        <w:rPr>
          <w:color w:val="000000"/>
          <w:lang w:val="uk-UA"/>
        </w:rPr>
      </w:pPr>
      <w:r>
        <w:rPr>
          <w:color w:val="000000"/>
          <w:lang w:val="uk-UA"/>
        </w:rPr>
        <w:t>Таким чином, вивчення фармакодинаміки піфламіну виявило залежність встановлених ефектів препарату від дози і дозволило визначити ефекти</w:t>
      </w:r>
      <w:r>
        <w:rPr>
          <w:color w:val="000000"/>
          <w:lang w:val="uk-UA"/>
        </w:rPr>
        <w:t>в</w:t>
      </w:r>
      <w:r>
        <w:rPr>
          <w:color w:val="000000"/>
          <w:lang w:val="uk-UA"/>
        </w:rPr>
        <w:t>ну дозу – 150 мг/кг, в якій піфламін in vivo виявляє широкий спектр фармакологічної акти</w:t>
      </w:r>
      <w:r>
        <w:rPr>
          <w:color w:val="000000"/>
          <w:lang w:val="uk-UA"/>
        </w:rPr>
        <w:t>в</w:t>
      </w:r>
      <w:r>
        <w:rPr>
          <w:color w:val="000000"/>
          <w:lang w:val="uk-UA"/>
        </w:rPr>
        <w:t>ності: антиоксидантну, протизапальну, мембрано- та судиностабілізув</w:t>
      </w:r>
      <w:r>
        <w:rPr>
          <w:color w:val="000000"/>
          <w:lang w:val="uk-UA"/>
        </w:rPr>
        <w:t>а</w:t>
      </w:r>
      <w:r>
        <w:rPr>
          <w:color w:val="000000"/>
          <w:lang w:val="uk-UA"/>
        </w:rPr>
        <w:t>льну.</w:t>
      </w:r>
    </w:p>
    <w:p w:rsidR="00D24B08" w:rsidRDefault="00D24B08" w:rsidP="00D24B08">
      <w:pPr>
        <w:pStyle w:val="BodyText20"/>
        <w:spacing w:line="360" w:lineRule="exact"/>
        <w:ind w:firstLine="720"/>
        <w:rPr>
          <w:color w:val="000000"/>
          <w:lang w:val="uk-UA"/>
        </w:rPr>
      </w:pPr>
      <w:r>
        <w:rPr>
          <w:color w:val="000000"/>
          <w:lang w:val="uk-UA"/>
        </w:rPr>
        <w:t>Сучасна концепція вільнорадикального пошкодження кліти</w:t>
      </w:r>
      <w:r>
        <w:rPr>
          <w:color w:val="000000"/>
          <w:lang w:val="uk-UA"/>
        </w:rPr>
        <w:t>н</w:t>
      </w:r>
      <w:r>
        <w:rPr>
          <w:color w:val="000000"/>
          <w:lang w:val="uk-UA"/>
        </w:rPr>
        <w:t>них мембран як основного патогенетичного механізму при ураженнях печінки (Скакун Н.П. и др., 1995; Логинов А.С., Матюшин Б.Н., 1996), розвиток запалення і порушення прон</w:t>
      </w:r>
      <w:r>
        <w:rPr>
          <w:color w:val="000000"/>
          <w:lang w:val="uk-UA"/>
        </w:rPr>
        <w:t>и</w:t>
      </w:r>
      <w:r>
        <w:rPr>
          <w:color w:val="000000"/>
          <w:lang w:val="uk-UA"/>
        </w:rPr>
        <w:t>кності судин при цих захворюваннях (Яковлєва Л.В., 1984, Яковлєва Л.В., 1992) свідчать про практичну сторону отриманих результатів, які є підставою для вивчення піфламіну як гепатопроте</w:t>
      </w:r>
      <w:r>
        <w:rPr>
          <w:color w:val="000000"/>
          <w:lang w:val="uk-UA"/>
        </w:rPr>
        <w:t>к</w:t>
      </w:r>
      <w:r>
        <w:rPr>
          <w:color w:val="000000"/>
          <w:lang w:val="uk-UA"/>
        </w:rPr>
        <w:t>тора.</w:t>
      </w:r>
    </w:p>
    <w:p w:rsidR="00D24B08" w:rsidRDefault="00D24B08" w:rsidP="00D24B08">
      <w:pPr>
        <w:spacing w:line="360" w:lineRule="exact"/>
        <w:ind w:firstLine="709"/>
        <w:jc w:val="both"/>
        <w:rPr>
          <w:lang w:val="uk-UA"/>
        </w:rPr>
      </w:pPr>
      <w:r>
        <w:rPr>
          <w:b/>
          <w:bCs/>
          <w:lang w:val="uk-UA"/>
        </w:rPr>
        <w:t>Поглиблене вивчення гепатопротекторної активності субстанції та та</w:t>
      </w:r>
      <w:r>
        <w:rPr>
          <w:b/>
          <w:bCs/>
          <w:lang w:val="uk-UA"/>
        </w:rPr>
        <w:t>б</w:t>
      </w:r>
      <w:r>
        <w:rPr>
          <w:b/>
          <w:bCs/>
          <w:lang w:val="uk-UA"/>
        </w:rPr>
        <w:t>леток піфламіну на моделях гострого  та хронічного гепатитів у щурів.</w:t>
      </w:r>
      <w:r>
        <w:rPr>
          <w:lang w:val="uk-UA"/>
        </w:rPr>
        <w:t xml:space="preserve"> Шир</w:t>
      </w:r>
      <w:r>
        <w:rPr>
          <w:lang w:val="uk-UA"/>
        </w:rPr>
        <w:t>о</w:t>
      </w:r>
      <w:r>
        <w:rPr>
          <w:lang w:val="uk-UA"/>
        </w:rPr>
        <w:t>ке застосування в гепатології препаратів, які містять поліфеноли і амінокислоти (Харченко Н.В, 2001), та наявність останніх у складі піфламіну обумовили вивче</w:t>
      </w:r>
      <w:r>
        <w:rPr>
          <w:lang w:val="uk-UA"/>
        </w:rPr>
        <w:t>н</w:t>
      </w:r>
      <w:r>
        <w:rPr>
          <w:lang w:val="uk-UA"/>
        </w:rPr>
        <w:t>ня гепатозахисного ефекту препарату у порівнянні з відомим рослинним поліфенольним гепатопротектором силіб</w:t>
      </w:r>
      <w:r>
        <w:rPr>
          <w:lang w:val="uk-UA"/>
        </w:rPr>
        <w:t>о</w:t>
      </w:r>
      <w:r>
        <w:rPr>
          <w:lang w:val="uk-UA"/>
        </w:rPr>
        <w:t>ром.</w:t>
      </w:r>
    </w:p>
    <w:p w:rsidR="00D24B08" w:rsidRDefault="00D24B08" w:rsidP="00D24B08">
      <w:pPr>
        <w:pStyle w:val="BodyText20"/>
        <w:spacing w:line="360" w:lineRule="exact"/>
        <w:ind w:firstLine="720"/>
        <w:rPr>
          <w:color w:val="000000"/>
          <w:lang w:val="uk-UA"/>
        </w:rPr>
      </w:pPr>
      <w:r>
        <w:rPr>
          <w:color w:val="000000"/>
          <w:lang w:val="uk-UA"/>
        </w:rPr>
        <w:lastRenderedPageBreak/>
        <w:t>Проведені дослідження на моделях гострих гепатитів у щурів (тетрахлорм</w:t>
      </w:r>
      <w:r>
        <w:rPr>
          <w:color w:val="000000"/>
          <w:lang w:val="uk-UA"/>
        </w:rPr>
        <w:t>е</w:t>
      </w:r>
      <w:r>
        <w:rPr>
          <w:color w:val="000000"/>
          <w:lang w:val="uk-UA"/>
        </w:rPr>
        <w:t>танового (CCL</w:t>
      </w:r>
      <w:r>
        <w:rPr>
          <w:color w:val="000000"/>
          <w:vertAlign w:val="subscript"/>
          <w:lang w:val="uk-UA"/>
        </w:rPr>
        <w:t>4</w:t>
      </w:r>
      <w:r>
        <w:rPr>
          <w:color w:val="000000"/>
          <w:lang w:val="uk-UA"/>
        </w:rPr>
        <w:t>-гепатит), парацетамолового – (ПЦГ), субхронічного тетрациклін</w:t>
      </w:r>
      <w:r>
        <w:rPr>
          <w:color w:val="000000"/>
          <w:lang w:val="uk-UA"/>
        </w:rPr>
        <w:t>о</w:t>
      </w:r>
      <w:r>
        <w:rPr>
          <w:color w:val="000000"/>
          <w:lang w:val="uk-UA"/>
        </w:rPr>
        <w:t>вого гепатиту (ТЦГ) і хронічного гепатиту, викликаного комбінованим уведенням CCL</w:t>
      </w:r>
      <w:r>
        <w:rPr>
          <w:color w:val="000000"/>
          <w:vertAlign w:val="subscript"/>
          <w:lang w:val="uk-UA"/>
        </w:rPr>
        <w:t>4</w:t>
      </w:r>
      <w:r>
        <w:rPr>
          <w:color w:val="000000"/>
          <w:lang w:val="uk-UA"/>
        </w:rPr>
        <w:t xml:space="preserve"> і етанолу, визначили ефективну дозу піфламіну за  гепатозахисною дією, яка скл</w:t>
      </w:r>
      <w:r>
        <w:rPr>
          <w:color w:val="000000"/>
          <w:lang w:val="uk-UA"/>
        </w:rPr>
        <w:t>а</w:t>
      </w:r>
      <w:r>
        <w:rPr>
          <w:color w:val="000000"/>
          <w:lang w:val="uk-UA"/>
        </w:rPr>
        <w:t>ла 150 мг/кг.</w:t>
      </w:r>
    </w:p>
    <w:p w:rsidR="00D24B08" w:rsidRDefault="00D24B08" w:rsidP="00D24B08">
      <w:pPr>
        <w:tabs>
          <w:tab w:val="right" w:pos="-2268"/>
        </w:tabs>
        <w:spacing w:line="360" w:lineRule="exact"/>
        <w:ind w:firstLine="709"/>
        <w:jc w:val="both"/>
        <w:rPr>
          <w:iCs/>
          <w:color w:val="000000"/>
          <w:lang w:val="uk-UA"/>
        </w:rPr>
      </w:pPr>
      <w:r>
        <w:rPr>
          <w:iCs/>
          <w:color w:val="000000"/>
          <w:lang w:val="uk-UA"/>
        </w:rPr>
        <w:t>Дослідження починали з моделювання гострого гепатиту у щурів введе</w:t>
      </w:r>
      <w:r>
        <w:rPr>
          <w:iCs/>
          <w:color w:val="000000"/>
          <w:lang w:val="uk-UA"/>
        </w:rPr>
        <w:t>н</w:t>
      </w:r>
      <w:r>
        <w:rPr>
          <w:iCs/>
          <w:color w:val="000000"/>
          <w:lang w:val="uk-UA"/>
        </w:rPr>
        <w:t>ням СCL</w:t>
      </w:r>
      <w:r>
        <w:rPr>
          <w:iCs/>
          <w:color w:val="000000"/>
          <w:vertAlign w:val="subscript"/>
          <w:lang w:val="uk-UA"/>
        </w:rPr>
        <w:t>4</w:t>
      </w:r>
      <w:r>
        <w:rPr>
          <w:iCs/>
          <w:color w:val="000000"/>
          <w:lang w:val="uk-UA"/>
        </w:rPr>
        <w:t>, який у експериментальних тварин викликає морфологічні і біохімі</w:t>
      </w:r>
      <w:r>
        <w:rPr>
          <w:iCs/>
          <w:color w:val="000000"/>
          <w:lang w:val="uk-UA"/>
        </w:rPr>
        <w:t>ч</w:t>
      </w:r>
      <w:r>
        <w:rPr>
          <w:iCs/>
          <w:color w:val="000000"/>
          <w:lang w:val="uk-UA"/>
        </w:rPr>
        <w:t>ні зміни близькі до гострих уражень печінки у людини (Губський Ю.І., 1989). Активація ПОЛ вільнорадикальними метаболітами цього гепатотоксина порушує обмін реч</w:t>
      </w:r>
      <w:r>
        <w:rPr>
          <w:iCs/>
          <w:color w:val="000000"/>
          <w:lang w:val="uk-UA"/>
        </w:rPr>
        <w:t>о</w:t>
      </w:r>
      <w:r>
        <w:rPr>
          <w:iCs/>
          <w:color w:val="000000"/>
          <w:lang w:val="uk-UA"/>
        </w:rPr>
        <w:t>вин і енергії, функції і структуру гепатоцитів і викликає солюбіліз</w:t>
      </w:r>
      <w:r>
        <w:rPr>
          <w:iCs/>
          <w:color w:val="000000"/>
          <w:lang w:val="uk-UA"/>
        </w:rPr>
        <w:t>а</w:t>
      </w:r>
      <w:r>
        <w:rPr>
          <w:iCs/>
          <w:color w:val="000000"/>
          <w:lang w:val="uk-UA"/>
        </w:rPr>
        <w:t>цію ферментів протоплазматичних, мікросомальних, лізосомальних, мітохондр</w:t>
      </w:r>
      <w:r>
        <w:rPr>
          <w:iCs/>
          <w:color w:val="000000"/>
          <w:lang w:val="uk-UA"/>
        </w:rPr>
        <w:t>і</w:t>
      </w:r>
      <w:r>
        <w:rPr>
          <w:iCs/>
          <w:color w:val="000000"/>
          <w:lang w:val="uk-UA"/>
        </w:rPr>
        <w:t xml:space="preserve">альних та інших мембран та їх ушкодження. Результатом цих змін є жирова дистрофія печінки (Скакун Н.П. и др., 1995; ). </w:t>
      </w:r>
    </w:p>
    <w:p w:rsidR="00D24B08" w:rsidRDefault="00D24B08" w:rsidP="00D24B08">
      <w:pPr>
        <w:tabs>
          <w:tab w:val="right" w:pos="-2268"/>
        </w:tabs>
        <w:spacing w:line="360" w:lineRule="exact"/>
        <w:ind w:firstLine="709"/>
        <w:jc w:val="both"/>
        <w:rPr>
          <w:lang w:val="uk-UA"/>
        </w:rPr>
      </w:pPr>
      <w:r>
        <w:rPr>
          <w:lang w:val="uk-UA"/>
        </w:rPr>
        <w:t>Свідченням вищенаведених порушень у наших дослідах (Рис.1) було нак</w:t>
      </w:r>
      <w:r>
        <w:rPr>
          <w:lang w:val="uk-UA"/>
        </w:rPr>
        <w:t>о</w:t>
      </w:r>
      <w:r>
        <w:rPr>
          <w:lang w:val="uk-UA"/>
        </w:rPr>
        <w:t>пичення в гомогенаті печінки продуктів ПОЛ - МДА і ДК, відповідно у 1,4 та 4,6 разів, зниження вмісту та активності компонентів АОС (GSH, СОД і каталази), п</w:t>
      </w:r>
      <w:r>
        <w:rPr>
          <w:lang w:val="uk-UA"/>
        </w:rPr>
        <w:t>і</w:t>
      </w:r>
      <w:r>
        <w:rPr>
          <w:lang w:val="uk-UA"/>
        </w:rPr>
        <w:t>двищення в 1,9 рази у сироватці крові активності маркеру цитолізу гепатоцитів АлАТ, зниження в 1,7 рази жовчовиділення та у 2 рази - вмісту холатів у жо</w:t>
      </w:r>
      <w:r>
        <w:rPr>
          <w:lang w:val="uk-UA"/>
        </w:rPr>
        <w:t>в</w:t>
      </w:r>
      <w:r>
        <w:rPr>
          <w:lang w:val="uk-UA"/>
        </w:rPr>
        <w:t xml:space="preserve">чі. </w:t>
      </w:r>
    </w:p>
    <w:p w:rsidR="00D24B08" w:rsidRDefault="00D24B08" w:rsidP="00D24B08">
      <w:pPr>
        <w:tabs>
          <w:tab w:val="right" w:pos="-2268"/>
        </w:tabs>
        <w:spacing w:line="360" w:lineRule="exact"/>
        <w:ind w:firstLine="709"/>
        <w:jc w:val="both"/>
        <w:rPr>
          <w:bCs/>
          <w:lang w:val="uk-UA"/>
        </w:rPr>
      </w:pPr>
      <w:r>
        <w:rPr>
          <w:bCs/>
          <w:lang w:val="uk-UA"/>
        </w:rPr>
        <w:t>Піфламін за умов цієї патології проявив антиоксидантні властивості: дост</w:t>
      </w:r>
      <w:r>
        <w:rPr>
          <w:bCs/>
          <w:lang w:val="uk-UA"/>
        </w:rPr>
        <w:t>о</w:t>
      </w:r>
      <w:r>
        <w:rPr>
          <w:bCs/>
          <w:lang w:val="uk-UA"/>
        </w:rPr>
        <w:t>вірно (р</w:t>
      </w:r>
      <w:r>
        <w:rPr>
          <w:bCs/>
          <w:lang w:val="uk-UA"/>
        </w:rPr>
        <w:sym w:font="Symbol" w:char="F0A3"/>
      </w:r>
      <w:r>
        <w:rPr>
          <w:bCs/>
          <w:lang w:val="uk-UA"/>
        </w:rPr>
        <w:t>0,05) стримував накопичення МДА і знижував у 2 рази вміст ДК в печі</w:t>
      </w:r>
      <w:r>
        <w:rPr>
          <w:bCs/>
          <w:lang w:val="uk-UA"/>
        </w:rPr>
        <w:t>н</w:t>
      </w:r>
      <w:r>
        <w:rPr>
          <w:bCs/>
          <w:lang w:val="uk-UA"/>
        </w:rPr>
        <w:t xml:space="preserve">ці, нормалізовував рівень СОД і </w:t>
      </w:r>
      <w:r>
        <w:rPr>
          <w:bCs/>
          <w:lang w:val="en-US"/>
        </w:rPr>
        <w:t>GSH</w:t>
      </w:r>
      <w:r>
        <w:rPr>
          <w:bCs/>
          <w:lang w:val="uk-UA"/>
        </w:rPr>
        <w:t>. Позитивний вплив препарату на жовчоутв</w:t>
      </w:r>
      <w:r>
        <w:rPr>
          <w:bCs/>
          <w:lang w:val="uk-UA"/>
        </w:rPr>
        <w:t>о</w:t>
      </w:r>
      <w:r>
        <w:rPr>
          <w:bCs/>
          <w:lang w:val="uk-UA"/>
        </w:rPr>
        <w:t>рення пов’язаний з вираженими антиоксидантними властивостями пр</w:t>
      </w:r>
      <w:r>
        <w:rPr>
          <w:bCs/>
          <w:lang w:val="uk-UA"/>
        </w:rPr>
        <w:t>е</w:t>
      </w:r>
      <w:r>
        <w:rPr>
          <w:bCs/>
          <w:lang w:val="uk-UA"/>
        </w:rPr>
        <w:t>парату, зі спроможністю запобігати пошкодженню ферменту монооксигеназної системи ц</w:t>
      </w:r>
      <w:r>
        <w:rPr>
          <w:bCs/>
          <w:lang w:val="uk-UA"/>
        </w:rPr>
        <w:t>и</w:t>
      </w:r>
      <w:r>
        <w:rPr>
          <w:bCs/>
          <w:lang w:val="uk-UA"/>
        </w:rPr>
        <w:t>тохрому Р-450, нормалізувати енергетичні процеси. Відновлення функцій печінки відбувається також внаслідок стимуляції препаратом синтетичних процесів, що п</w:t>
      </w:r>
      <w:r>
        <w:rPr>
          <w:bCs/>
          <w:lang w:val="uk-UA"/>
        </w:rPr>
        <w:t>і</w:t>
      </w:r>
      <w:r>
        <w:rPr>
          <w:bCs/>
          <w:lang w:val="uk-UA"/>
        </w:rPr>
        <w:t>дтверджується даними електронної мікроскопії. Спостерігалась компенсаторна г</w:t>
      </w:r>
      <w:r>
        <w:rPr>
          <w:bCs/>
          <w:lang w:val="uk-UA"/>
        </w:rPr>
        <w:t>і</w:t>
      </w:r>
      <w:r>
        <w:rPr>
          <w:bCs/>
          <w:lang w:val="uk-UA"/>
        </w:rPr>
        <w:t>перплазія мембран гранулярної ендоплазматичної сітки, підвищення кількості р</w:t>
      </w:r>
      <w:r>
        <w:rPr>
          <w:bCs/>
          <w:lang w:val="uk-UA"/>
        </w:rPr>
        <w:t>и</w:t>
      </w:r>
      <w:r>
        <w:rPr>
          <w:bCs/>
          <w:lang w:val="uk-UA"/>
        </w:rPr>
        <w:t>босом та полісом, а також гранул глікогену. Зміни більшої частини зазначених п</w:t>
      </w:r>
      <w:r>
        <w:rPr>
          <w:bCs/>
          <w:lang w:val="uk-UA"/>
        </w:rPr>
        <w:t>о</w:t>
      </w:r>
      <w:r>
        <w:rPr>
          <w:bCs/>
          <w:lang w:val="uk-UA"/>
        </w:rPr>
        <w:t>казників піфламін корегував подібно до силібору, а його вплив на вміст МДА в</w:t>
      </w:r>
      <w:r>
        <w:rPr>
          <w:b/>
          <w:lang w:val="uk-UA"/>
        </w:rPr>
        <w:t xml:space="preserve"> </w:t>
      </w:r>
      <w:r>
        <w:rPr>
          <w:bCs/>
          <w:lang w:val="uk-UA"/>
        </w:rPr>
        <w:t>печінці, інтенсивність жовчовиділення і концентрацію холестерину в жовчі був до</w:t>
      </w:r>
      <w:r>
        <w:rPr>
          <w:bCs/>
          <w:lang w:val="uk-UA"/>
        </w:rPr>
        <w:t>с</w:t>
      </w:r>
      <w:r>
        <w:rPr>
          <w:bCs/>
          <w:lang w:val="uk-UA"/>
        </w:rPr>
        <w:t>товірно вир</w:t>
      </w:r>
      <w:r>
        <w:rPr>
          <w:bCs/>
          <w:lang w:val="uk-UA"/>
        </w:rPr>
        <w:t>а</w:t>
      </w:r>
      <w:r>
        <w:rPr>
          <w:bCs/>
          <w:lang w:val="uk-UA"/>
        </w:rPr>
        <w:t>знішим (р</w:t>
      </w:r>
      <w:r>
        <w:rPr>
          <w:bCs/>
          <w:lang w:val="uk-UA"/>
        </w:rPr>
        <w:sym w:font="Symbol" w:char="F0A3"/>
      </w:r>
      <w:r>
        <w:rPr>
          <w:bCs/>
          <w:lang w:val="uk-UA"/>
        </w:rPr>
        <w:t>0,05), ніж у референс-препарата.</w:t>
      </w:r>
    </w:p>
    <w:p w:rsidR="00D24B08" w:rsidRDefault="00D24B08" w:rsidP="00D24B08">
      <w:pPr>
        <w:tabs>
          <w:tab w:val="right" w:pos="-2268"/>
        </w:tabs>
        <w:spacing w:line="360" w:lineRule="exact"/>
        <w:ind w:firstLine="709"/>
        <w:jc w:val="both"/>
        <w:rPr>
          <w:bCs/>
          <w:lang w:val="uk-UA"/>
        </w:rPr>
      </w:pPr>
    </w:p>
    <w:p w:rsidR="00D24B08" w:rsidRDefault="00D24B08" w:rsidP="00D24B08">
      <w:pPr>
        <w:tabs>
          <w:tab w:val="right" w:pos="-2268"/>
        </w:tabs>
        <w:spacing w:line="360" w:lineRule="exact"/>
        <w:ind w:firstLine="709"/>
        <w:jc w:val="both"/>
        <w:rPr>
          <w:bCs/>
          <w:iCs/>
          <w:color w:val="000000"/>
          <w:lang w:val="uk-UA"/>
        </w:rPr>
      </w:pPr>
      <w:r>
        <w:rPr>
          <w:b/>
          <w:noProof/>
          <w:color w:val="000000"/>
          <w:lang w:eastAsia="ru-RU"/>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6373495" cy="1995170"/>
            <wp:effectExtent l="0" t="0" r="2540" b="0"/>
            <wp:wrapNone/>
            <wp:docPr id="3808" name="Диаграмма 380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D24B08" w:rsidRDefault="00D24B08" w:rsidP="00D24B08">
      <w:pPr>
        <w:pStyle w:val="afffffff2"/>
        <w:spacing w:line="360" w:lineRule="exact"/>
        <w:ind w:firstLine="709"/>
        <w:jc w:val="both"/>
        <w:rPr>
          <w:rFonts w:ascii="Times New Roman" w:hAnsi="Times New Roman"/>
          <w:b/>
          <w:color w:val="000000"/>
          <w:lang w:val="uk-UA"/>
        </w:rPr>
      </w:pPr>
    </w:p>
    <w:p w:rsidR="00D24B08" w:rsidRDefault="00D24B08" w:rsidP="00D24B08">
      <w:pPr>
        <w:pStyle w:val="afffffff2"/>
        <w:spacing w:line="360" w:lineRule="exact"/>
        <w:ind w:firstLine="709"/>
        <w:jc w:val="both"/>
        <w:rPr>
          <w:rFonts w:ascii="Times New Roman" w:hAnsi="Times New Roman"/>
          <w:b/>
          <w:lang w:val="uk-UA"/>
        </w:rPr>
      </w:pPr>
    </w:p>
    <w:p w:rsidR="00D24B08" w:rsidRDefault="00D24B08" w:rsidP="00D24B08">
      <w:pPr>
        <w:pStyle w:val="afffffff2"/>
        <w:spacing w:line="360" w:lineRule="exact"/>
        <w:ind w:firstLine="709"/>
        <w:jc w:val="both"/>
        <w:rPr>
          <w:rFonts w:ascii="Times New Roman" w:hAnsi="Times New Roman"/>
          <w:b/>
          <w:lang w:val="uk-UA"/>
        </w:rPr>
      </w:pPr>
    </w:p>
    <w:p w:rsidR="00D24B08" w:rsidRDefault="00D24B08" w:rsidP="00D24B08">
      <w:pPr>
        <w:pStyle w:val="afffffff2"/>
        <w:spacing w:line="360" w:lineRule="exact"/>
        <w:ind w:firstLine="709"/>
        <w:jc w:val="both"/>
        <w:rPr>
          <w:rFonts w:ascii="Times New Roman" w:hAnsi="Times New Roman"/>
          <w:b/>
          <w:lang w:val="uk-UA"/>
        </w:rPr>
      </w:pPr>
    </w:p>
    <w:p w:rsidR="00D24B08" w:rsidRDefault="00D24B08" w:rsidP="00D24B08">
      <w:pPr>
        <w:pStyle w:val="afffffff2"/>
        <w:spacing w:line="360" w:lineRule="exact"/>
        <w:ind w:firstLine="709"/>
        <w:jc w:val="both"/>
        <w:rPr>
          <w:rFonts w:ascii="Times New Roman" w:hAnsi="Times New Roman"/>
          <w:b/>
          <w:lang w:val="uk-UA"/>
        </w:rPr>
      </w:pPr>
    </w:p>
    <w:p w:rsidR="00D24B08" w:rsidRDefault="00D24B08" w:rsidP="00D24B08">
      <w:pPr>
        <w:pStyle w:val="afffffff2"/>
        <w:spacing w:line="360" w:lineRule="exact"/>
        <w:ind w:firstLine="709"/>
        <w:jc w:val="both"/>
        <w:rPr>
          <w:rFonts w:ascii="Times New Roman" w:hAnsi="Times New Roman"/>
          <w:b/>
          <w:lang w:val="uk-UA"/>
        </w:rPr>
      </w:pPr>
    </w:p>
    <w:p w:rsidR="00D24B08" w:rsidRDefault="00D24B08" w:rsidP="00D24B08">
      <w:pPr>
        <w:pStyle w:val="afffffff2"/>
        <w:spacing w:line="360" w:lineRule="exact"/>
        <w:ind w:firstLine="709"/>
        <w:jc w:val="both"/>
        <w:rPr>
          <w:rFonts w:ascii="Times New Roman" w:hAnsi="Times New Roman"/>
          <w:b/>
          <w:lang w:val="uk-UA"/>
        </w:rPr>
      </w:pPr>
    </w:p>
    <w:p w:rsidR="00D24B08" w:rsidRDefault="00D24B08" w:rsidP="00D24B08">
      <w:pPr>
        <w:pStyle w:val="afffffff2"/>
        <w:spacing w:line="360" w:lineRule="exact"/>
        <w:ind w:firstLine="709"/>
        <w:jc w:val="both"/>
        <w:rPr>
          <w:rFonts w:ascii="Times New Roman" w:hAnsi="Times New Roman"/>
          <w:b/>
          <w:lang w:val="uk-UA"/>
        </w:rPr>
      </w:pPr>
    </w:p>
    <w:p w:rsidR="00D24B08" w:rsidRDefault="00D24B08" w:rsidP="00D24B08">
      <w:pPr>
        <w:pStyle w:val="afffffff2"/>
        <w:spacing w:line="360" w:lineRule="exact"/>
        <w:ind w:left="902" w:hanging="902"/>
        <w:jc w:val="both"/>
        <w:rPr>
          <w:rFonts w:ascii="Times New Roman" w:hAnsi="Times New Roman"/>
          <w:b/>
          <w:lang w:val="uk-UA"/>
        </w:rPr>
      </w:pPr>
    </w:p>
    <w:p w:rsidR="00D24B08" w:rsidRDefault="00D24B08" w:rsidP="00D24B08">
      <w:pPr>
        <w:pStyle w:val="afffffff2"/>
        <w:spacing w:line="360" w:lineRule="exact"/>
        <w:ind w:left="902" w:hanging="902"/>
        <w:jc w:val="both"/>
        <w:rPr>
          <w:rFonts w:ascii="Times New Roman" w:hAnsi="Times New Roman"/>
          <w:b/>
          <w:lang w:val="uk-UA"/>
        </w:rPr>
      </w:pPr>
      <w:r>
        <w:rPr>
          <w:rFonts w:ascii="Times New Roman" w:hAnsi="Times New Roman"/>
          <w:b/>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685800</wp:posOffset>
                </wp:positionV>
                <wp:extent cx="6400800" cy="1600200"/>
                <wp:effectExtent l="0" t="0" r="3810" b="3810"/>
                <wp:wrapTopAndBottom/>
                <wp:docPr id="3807" name="Поле 3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B08" w:rsidRDefault="00D24B08" w:rsidP="00D24B08">
                            <w:pPr>
                              <w:tabs>
                                <w:tab w:val="num" w:pos="1530"/>
                              </w:tabs>
                              <w:ind w:left="1620" w:hanging="1440"/>
                              <w:jc w:val="both"/>
                              <w:rPr>
                                <w:lang w:val="uk-UA"/>
                              </w:rPr>
                            </w:pPr>
                            <w:r>
                              <w:rPr>
                                <w:noProof/>
                                <w:lang w:eastAsia="ru-RU"/>
                              </w:rPr>
                              <w:drawing>
                                <wp:inline distT="0" distB="0" distL="0" distR="0">
                                  <wp:extent cx="122555" cy="122555"/>
                                  <wp:effectExtent l="0" t="0" r="0" b="0"/>
                                  <wp:docPr id="3806" name="Рисунок 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lang w:val="uk-UA"/>
                              </w:rPr>
                              <w:t xml:space="preserve"> Інтактний контроль;</w:t>
                            </w:r>
                          </w:p>
                          <w:p w:rsidR="00D24B08" w:rsidRDefault="00D24B08" w:rsidP="00D24B08">
                            <w:pPr>
                              <w:tabs>
                                <w:tab w:val="num" w:pos="2086"/>
                              </w:tabs>
                              <w:ind w:left="1620" w:hanging="1440"/>
                              <w:jc w:val="both"/>
                              <w:rPr>
                                <w:lang w:val="uk-UA"/>
                              </w:rPr>
                            </w:pPr>
                            <w:r>
                              <w:rPr>
                                <w:noProof/>
                                <w:lang w:eastAsia="ru-RU"/>
                              </w:rPr>
                              <w:drawing>
                                <wp:inline distT="0" distB="0" distL="0" distR="0">
                                  <wp:extent cx="122555" cy="122555"/>
                                  <wp:effectExtent l="0" t="0" r="0" b="0"/>
                                  <wp:docPr id="3805" name="Рисунок 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lang w:val="uk-UA"/>
                              </w:rPr>
                              <w:t xml:space="preserve"> Контрольна пат</w:t>
                            </w:r>
                            <w:r>
                              <w:rPr>
                                <w:lang w:val="uk-UA"/>
                              </w:rPr>
                              <w:t>о</w:t>
                            </w:r>
                            <w:r>
                              <w:rPr>
                                <w:lang w:val="uk-UA"/>
                              </w:rPr>
                              <w:t xml:space="preserve">логія; </w:t>
                            </w:r>
                          </w:p>
                          <w:p w:rsidR="00D24B08" w:rsidRDefault="00D24B08" w:rsidP="00D24B08">
                            <w:pPr>
                              <w:tabs>
                                <w:tab w:val="num" w:pos="1530"/>
                              </w:tabs>
                              <w:ind w:left="1620" w:hanging="1440"/>
                              <w:jc w:val="both"/>
                              <w:rPr>
                                <w:lang w:val="uk-UA"/>
                              </w:rPr>
                            </w:pPr>
                            <w:r>
                              <w:rPr>
                                <w:noProof/>
                                <w:lang w:eastAsia="ru-RU"/>
                              </w:rPr>
                              <w:drawing>
                                <wp:inline distT="0" distB="0" distL="0" distR="0">
                                  <wp:extent cx="122555" cy="122555"/>
                                  <wp:effectExtent l="0" t="0" r="0" b="0"/>
                                  <wp:docPr id="3804" name="Рисунок 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lang w:val="uk-UA"/>
                              </w:rPr>
                              <w:t xml:space="preserve"> С</w:t>
                            </w:r>
                            <w:r>
                              <w:rPr>
                                <w:lang w:val="uk-UA"/>
                              </w:rPr>
                              <w:t>и</w:t>
                            </w:r>
                            <w:r>
                              <w:rPr>
                                <w:lang w:val="uk-UA"/>
                              </w:rPr>
                              <w:t>лібор в дозі 25 мг/кг;</w:t>
                            </w:r>
                          </w:p>
                          <w:p w:rsidR="00D24B08" w:rsidRDefault="00D24B08" w:rsidP="00D24B08">
                            <w:pPr>
                              <w:tabs>
                                <w:tab w:val="num" w:pos="2086"/>
                              </w:tabs>
                              <w:ind w:left="1620" w:hanging="1440"/>
                              <w:jc w:val="both"/>
                              <w:rPr>
                                <w:lang w:val="uk-UA"/>
                              </w:rPr>
                            </w:pPr>
                            <w:r>
                              <w:rPr>
                                <w:noProof/>
                                <w:lang w:eastAsia="ru-RU"/>
                              </w:rPr>
                              <w:drawing>
                                <wp:inline distT="0" distB="0" distL="0" distR="0">
                                  <wp:extent cx="122555" cy="122555"/>
                                  <wp:effectExtent l="0" t="0" r="0" b="0"/>
                                  <wp:docPr id="3803" name="Рисунок 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lang w:val="uk-UA"/>
                              </w:rPr>
                              <w:t xml:space="preserve"> Піфламін в дозі 150 мг/кг;</w:t>
                            </w:r>
                          </w:p>
                          <w:p w:rsidR="00D24B08" w:rsidRDefault="00D24B08" w:rsidP="00D24B08">
                            <w:pPr>
                              <w:ind w:left="1620" w:right="76" w:hanging="1440"/>
                              <w:jc w:val="both"/>
                              <w:rPr>
                                <w:lang w:val="uk-UA"/>
                              </w:rPr>
                            </w:pPr>
                            <w:r>
                              <w:rPr>
                                <w:lang w:val="uk-UA"/>
                              </w:rPr>
                              <w:t>*</w:t>
                            </w:r>
                            <w:r>
                              <w:t xml:space="preserve">- </w:t>
                            </w:r>
                            <w:r>
                              <w:rPr>
                                <w:lang w:val="uk-UA"/>
                              </w:rPr>
                              <w:t xml:space="preserve">відхилення показника достовірне стосовно інтактного </w:t>
                            </w:r>
                            <w:r>
                              <w:t>ко</w:t>
                            </w:r>
                            <w:r>
                              <w:t>н</w:t>
                            </w:r>
                            <w:r>
                              <w:t>тролю</w:t>
                            </w:r>
                            <w:r>
                              <w:rPr>
                                <w:lang w:val="uk-UA"/>
                              </w:rPr>
                              <w:t xml:space="preserve">, </w:t>
                            </w:r>
                            <w:r>
                              <w:t>Р</w:t>
                            </w:r>
                            <w:r>
                              <w:sym w:font="Symbol" w:char="F0A3"/>
                            </w:r>
                            <w:r>
                              <w:t>0,05;</w:t>
                            </w:r>
                          </w:p>
                          <w:p w:rsidR="00D24B08" w:rsidRPr="00D24B08" w:rsidRDefault="00D24B08" w:rsidP="00D24B08">
                            <w:pPr>
                              <w:ind w:left="1620" w:right="76" w:hanging="1440"/>
                              <w:jc w:val="both"/>
                            </w:pPr>
                            <w:r>
                              <w:t xml:space="preserve">** - </w:t>
                            </w:r>
                            <w:r>
                              <w:rPr>
                                <w:lang w:val="uk-UA"/>
                              </w:rPr>
                              <w:t>відхилення показника достовірне стосовно контрольної патол</w:t>
                            </w:r>
                            <w:r>
                              <w:rPr>
                                <w:lang w:val="uk-UA"/>
                              </w:rPr>
                              <w:t>о</w:t>
                            </w:r>
                            <w:r>
                              <w:rPr>
                                <w:lang w:val="uk-UA"/>
                              </w:rPr>
                              <w:t>гії;</w:t>
                            </w:r>
                            <w:r>
                              <w:t xml:space="preserve"> Р</w:t>
                            </w:r>
                            <w:r>
                              <w:sym w:font="Symbol" w:char="F0A3"/>
                            </w:r>
                            <w:r>
                              <w:t>0,05;</w:t>
                            </w:r>
                          </w:p>
                          <w:p w:rsidR="00D24B08" w:rsidRDefault="00D24B08" w:rsidP="00D24B08">
                            <w:pPr>
                              <w:ind w:left="1620" w:right="76" w:hanging="1440"/>
                              <w:jc w:val="both"/>
                              <w:rPr>
                                <w:lang w:val="uk-UA"/>
                              </w:rPr>
                            </w:pPr>
                            <w:r>
                              <w:t xml:space="preserve">*** - </w:t>
                            </w:r>
                            <w:r>
                              <w:rPr>
                                <w:lang w:val="uk-UA"/>
                              </w:rPr>
                              <w:t>відхилення показника достовірне стосовно силібору</w:t>
                            </w:r>
                            <w:r>
                              <w:t>, Р</w:t>
                            </w:r>
                            <w:r>
                              <w:sym w:font="Symbol" w:char="F0A3"/>
                            </w:r>
                            <w:r>
                              <w:t>0,05.</w:t>
                            </w:r>
                          </w:p>
                          <w:p w:rsidR="00D24B08" w:rsidRDefault="00D24B08" w:rsidP="00D24B08">
                            <w:pPr>
                              <w:jc w:val="both"/>
                              <w:rPr>
                                <w:lang w:val="uk-UA"/>
                              </w:rPr>
                            </w:pPr>
                          </w:p>
                          <w:p w:rsidR="00D24B08" w:rsidRDefault="00D24B08" w:rsidP="00D24B08">
                            <w:pPr>
                              <w:jc w:val="both"/>
                              <w:rPr>
                                <w:lang w:val="uk-UA"/>
                              </w:rPr>
                            </w:pPr>
                          </w:p>
                          <w:p w:rsidR="00D24B08" w:rsidRDefault="00D24B08" w:rsidP="00D24B08">
                            <w:pPr>
                              <w:tabs>
                                <w:tab w:val="num" w:pos="2086"/>
                              </w:tabs>
                              <w:ind w:left="1800" w:firstLine="1080"/>
                              <w:jc w:val="both"/>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07" o:spid="_x0000_s1026" type="#_x0000_t202" style="position:absolute;left:0;text-align:left;margin-left:0;margin-top:54pt;width:7in;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rvkgIAABYFAAAOAAAAZHJzL2Uyb0RvYy54bWysVFlu2zAQ/S/QOxD8d0S58iIhcpClLgqk&#10;C5D2ADRFWUQpkiVpS2nQs/QU/SrQM/hIHVJ24nQBiqL6oDic4ZvtDU/P+laiLbdOaFXi9IRgxBXT&#10;lVDrEr9/txzNMXKeqopKrXiJb7nDZ4unT047U/CxbrSsuEUAolzRmRI33psiSRxreEvdiTZcgbLW&#10;tqUeRLtOKks7QG9lMiZkmnTaVsZqxp2D06tBiRcRv64582/q2nGPZIkhNh9XG9dVWJPFKS3WlppG&#10;sH0Y9B+iaKlQ4PQe6op6ijZW/ALVCma107U/YbpNdF0LxmMOkE1KfsrmpqGGx1ygOM7cl8n9P1j2&#10;evvWIlGV+NmczDBStIUu7b7svu++7b6ieAg16owrwPTGgLHvL3QPvY75OnOt2QeHlL5sqFrzc2t1&#10;13BaQYxpqG5ydHXAcQFk1b3SFXiiG68jUF/bNhQQSoIAHXp1e98f3nvE4HCaETInoGKgS6eEAAOi&#10;D1ocrhvr/AuuWxQ2JbZAgAhPt9fOh3BocTAJ3pyWoloKKaNg16tLadGWAlmW8dujPzKTKhgrHa4N&#10;iMMJRAk+gi7EG5t/l6fjjFyM89FyOp+NsmU2GeUzMh+RNL/IpyTLs6vl5xBgmhWNqCquroXiByKm&#10;2d81ej8SA4UiFVFX4nwyngw9+mOSJH6/S7IVHuZSirbEUHH4ghEtQmefqyruPRVy2CePw49Vhhoc&#10;/rEqkQeh9QMJfL/qASWQY6WrW2CE1dAv6C08JrBptP2EUQeDWWL3cUMtx0i+VMCqPM2yMMlRyCaz&#10;MQj2WLM61lDFAKrEHqNhe+mH6d8YK9YNeBp4rPQ5MLEWkSMPUe35C8MXk9k/FGG6j+Vo9fCcLX4A&#10;AAD//wMAUEsDBBQABgAIAAAAIQD6vKFZ2wAAAAkBAAAPAAAAZHJzL2Rvd25yZXYueG1sTI/NTsNA&#10;DITvSLzDykhcEN3lLy1pNhUggXpt6QM4iZtEzXqj7LZJ3x6XC9zGHmv8TbaaXKdONITWs4WHmQFF&#10;XPqq5drC7vvzfgEqROQKO89k4UwBVvn1VYZp5Ufe0GkbayUhHFK00MTYp1qHsiGHYeZ7YvH2fnAY&#10;ZRxqXQ04Srjr9KMxiXbYsnxosKePhsrD9ugs7Nfj3cvrWHzF3XzznLxjOy/82drbm+ltCSrSFP+O&#10;4YIv6JALU+GPXAXVWZAiUbZmIeJim19VWHhKjAGdZ/p/g/wHAAD//wMAUEsBAi0AFAAGAAgAAAAh&#10;ALaDOJL+AAAA4QEAABMAAAAAAAAAAAAAAAAAAAAAAFtDb250ZW50X1R5cGVzXS54bWxQSwECLQAU&#10;AAYACAAAACEAOP0h/9YAAACUAQAACwAAAAAAAAAAAAAAAAAvAQAAX3JlbHMvLnJlbHNQSwECLQAU&#10;AAYACAAAACEAObC675ICAAAWBQAADgAAAAAAAAAAAAAAAAAuAgAAZHJzL2Uyb0RvYy54bWxQSwEC&#10;LQAUAAYACAAAACEA+ryhWdsAAAAJAQAADwAAAAAAAAAAAAAAAADsBAAAZHJzL2Rvd25yZXYueG1s&#10;UEsFBgAAAAAEAAQA8wAAAPQFAAAAAA==&#10;" stroked="f">
                <v:textbox>
                  <w:txbxContent>
                    <w:p w:rsidR="00D24B08" w:rsidRDefault="00D24B08" w:rsidP="00D24B08">
                      <w:pPr>
                        <w:tabs>
                          <w:tab w:val="num" w:pos="1530"/>
                        </w:tabs>
                        <w:ind w:left="1620" w:hanging="1440"/>
                        <w:jc w:val="both"/>
                        <w:rPr>
                          <w:lang w:val="uk-UA"/>
                        </w:rPr>
                      </w:pPr>
                      <w:r>
                        <w:rPr>
                          <w:noProof/>
                          <w:lang w:eastAsia="ru-RU"/>
                        </w:rPr>
                        <w:drawing>
                          <wp:inline distT="0" distB="0" distL="0" distR="0">
                            <wp:extent cx="122555" cy="122555"/>
                            <wp:effectExtent l="0" t="0" r="0" b="0"/>
                            <wp:docPr id="3806" name="Рисунок 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lang w:val="uk-UA"/>
                        </w:rPr>
                        <w:t xml:space="preserve"> Інтактний контроль;</w:t>
                      </w:r>
                    </w:p>
                    <w:p w:rsidR="00D24B08" w:rsidRDefault="00D24B08" w:rsidP="00D24B08">
                      <w:pPr>
                        <w:tabs>
                          <w:tab w:val="num" w:pos="2086"/>
                        </w:tabs>
                        <w:ind w:left="1620" w:hanging="1440"/>
                        <w:jc w:val="both"/>
                        <w:rPr>
                          <w:lang w:val="uk-UA"/>
                        </w:rPr>
                      </w:pPr>
                      <w:r>
                        <w:rPr>
                          <w:noProof/>
                          <w:lang w:eastAsia="ru-RU"/>
                        </w:rPr>
                        <w:drawing>
                          <wp:inline distT="0" distB="0" distL="0" distR="0">
                            <wp:extent cx="122555" cy="122555"/>
                            <wp:effectExtent l="0" t="0" r="0" b="0"/>
                            <wp:docPr id="3805" name="Рисунок 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lang w:val="uk-UA"/>
                        </w:rPr>
                        <w:t xml:space="preserve"> Контрольна пат</w:t>
                      </w:r>
                      <w:r>
                        <w:rPr>
                          <w:lang w:val="uk-UA"/>
                        </w:rPr>
                        <w:t>о</w:t>
                      </w:r>
                      <w:r>
                        <w:rPr>
                          <w:lang w:val="uk-UA"/>
                        </w:rPr>
                        <w:t xml:space="preserve">логія; </w:t>
                      </w:r>
                    </w:p>
                    <w:p w:rsidR="00D24B08" w:rsidRDefault="00D24B08" w:rsidP="00D24B08">
                      <w:pPr>
                        <w:tabs>
                          <w:tab w:val="num" w:pos="1530"/>
                        </w:tabs>
                        <w:ind w:left="1620" w:hanging="1440"/>
                        <w:jc w:val="both"/>
                        <w:rPr>
                          <w:lang w:val="uk-UA"/>
                        </w:rPr>
                      </w:pPr>
                      <w:r>
                        <w:rPr>
                          <w:noProof/>
                          <w:lang w:eastAsia="ru-RU"/>
                        </w:rPr>
                        <w:drawing>
                          <wp:inline distT="0" distB="0" distL="0" distR="0">
                            <wp:extent cx="122555" cy="122555"/>
                            <wp:effectExtent l="0" t="0" r="0" b="0"/>
                            <wp:docPr id="3804" name="Рисунок 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lang w:val="uk-UA"/>
                        </w:rPr>
                        <w:t xml:space="preserve"> С</w:t>
                      </w:r>
                      <w:r>
                        <w:rPr>
                          <w:lang w:val="uk-UA"/>
                        </w:rPr>
                        <w:t>и</w:t>
                      </w:r>
                      <w:r>
                        <w:rPr>
                          <w:lang w:val="uk-UA"/>
                        </w:rPr>
                        <w:t>лібор в дозі 25 мг/кг;</w:t>
                      </w:r>
                    </w:p>
                    <w:p w:rsidR="00D24B08" w:rsidRDefault="00D24B08" w:rsidP="00D24B08">
                      <w:pPr>
                        <w:tabs>
                          <w:tab w:val="num" w:pos="2086"/>
                        </w:tabs>
                        <w:ind w:left="1620" w:hanging="1440"/>
                        <w:jc w:val="both"/>
                        <w:rPr>
                          <w:lang w:val="uk-UA"/>
                        </w:rPr>
                      </w:pPr>
                      <w:r>
                        <w:rPr>
                          <w:noProof/>
                          <w:lang w:eastAsia="ru-RU"/>
                        </w:rPr>
                        <w:drawing>
                          <wp:inline distT="0" distB="0" distL="0" distR="0">
                            <wp:extent cx="122555" cy="122555"/>
                            <wp:effectExtent l="0" t="0" r="0" b="0"/>
                            <wp:docPr id="3803" name="Рисунок 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Pr>
                          <w:lang w:val="uk-UA"/>
                        </w:rPr>
                        <w:t xml:space="preserve"> Піфламін в дозі 150 мг/кг;</w:t>
                      </w:r>
                    </w:p>
                    <w:p w:rsidR="00D24B08" w:rsidRDefault="00D24B08" w:rsidP="00D24B08">
                      <w:pPr>
                        <w:ind w:left="1620" w:right="76" w:hanging="1440"/>
                        <w:jc w:val="both"/>
                        <w:rPr>
                          <w:lang w:val="uk-UA"/>
                        </w:rPr>
                      </w:pPr>
                      <w:r>
                        <w:rPr>
                          <w:lang w:val="uk-UA"/>
                        </w:rPr>
                        <w:t>*</w:t>
                      </w:r>
                      <w:r>
                        <w:t xml:space="preserve">- </w:t>
                      </w:r>
                      <w:r>
                        <w:rPr>
                          <w:lang w:val="uk-UA"/>
                        </w:rPr>
                        <w:t xml:space="preserve">відхилення показника достовірне стосовно інтактного </w:t>
                      </w:r>
                      <w:r>
                        <w:t>ко</w:t>
                      </w:r>
                      <w:r>
                        <w:t>н</w:t>
                      </w:r>
                      <w:r>
                        <w:t>тролю</w:t>
                      </w:r>
                      <w:r>
                        <w:rPr>
                          <w:lang w:val="uk-UA"/>
                        </w:rPr>
                        <w:t xml:space="preserve">, </w:t>
                      </w:r>
                      <w:r>
                        <w:t>Р</w:t>
                      </w:r>
                      <w:r>
                        <w:sym w:font="Symbol" w:char="F0A3"/>
                      </w:r>
                      <w:r>
                        <w:t>0,05;</w:t>
                      </w:r>
                    </w:p>
                    <w:p w:rsidR="00D24B08" w:rsidRPr="00D24B08" w:rsidRDefault="00D24B08" w:rsidP="00D24B08">
                      <w:pPr>
                        <w:ind w:left="1620" w:right="76" w:hanging="1440"/>
                        <w:jc w:val="both"/>
                      </w:pPr>
                      <w:r>
                        <w:t xml:space="preserve">** - </w:t>
                      </w:r>
                      <w:r>
                        <w:rPr>
                          <w:lang w:val="uk-UA"/>
                        </w:rPr>
                        <w:t>відхилення показника достовірне стосовно контрольної патол</w:t>
                      </w:r>
                      <w:r>
                        <w:rPr>
                          <w:lang w:val="uk-UA"/>
                        </w:rPr>
                        <w:t>о</w:t>
                      </w:r>
                      <w:r>
                        <w:rPr>
                          <w:lang w:val="uk-UA"/>
                        </w:rPr>
                        <w:t>гії;</w:t>
                      </w:r>
                      <w:r>
                        <w:t xml:space="preserve"> Р</w:t>
                      </w:r>
                      <w:r>
                        <w:sym w:font="Symbol" w:char="F0A3"/>
                      </w:r>
                      <w:r>
                        <w:t>0,05;</w:t>
                      </w:r>
                    </w:p>
                    <w:p w:rsidR="00D24B08" w:rsidRDefault="00D24B08" w:rsidP="00D24B08">
                      <w:pPr>
                        <w:ind w:left="1620" w:right="76" w:hanging="1440"/>
                        <w:jc w:val="both"/>
                        <w:rPr>
                          <w:lang w:val="uk-UA"/>
                        </w:rPr>
                      </w:pPr>
                      <w:r>
                        <w:t xml:space="preserve">*** - </w:t>
                      </w:r>
                      <w:r>
                        <w:rPr>
                          <w:lang w:val="uk-UA"/>
                        </w:rPr>
                        <w:t>відхилення показника достовірне стосовно силібору</w:t>
                      </w:r>
                      <w:r>
                        <w:t>, Р</w:t>
                      </w:r>
                      <w:r>
                        <w:sym w:font="Symbol" w:char="F0A3"/>
                      </w:r>
                      <w:r>
                        <w:t>0,05.</w:t>
                      </w:r>
                    </w:p>
                    <w:p w:rsidR="00D24B08" w:rsidRDefault="00D24B08" w:rsidP="00D24B08">
                      <w:pPr>
                        <w:jc w:val="both"/>
                        <w:rPr>
                          <w:lang w:val="uk-UA"/>
                        </w:rPr>
                      </w:pPr>
                    </w:p>
                    <w:p w:rsidR="00D24B08" w:rsidRDefault="00D24B08" w:rsidP="00D24B08">
                      <w:pPr>
                        <w:jc w:val="both"/>
                        <w:rPr>
                          <w:lang w:val="uk-UA"/>
                        </w:rPr>
                      </w:pPr>
                    </w:p>
                    <w:p w:rsidR="00D24B08" w:rsidRDefault="00D24B08" w:rsidP="00D24B08">
                      <w:pPr>
                        <w:tabs>
                          <w:tab w:val="num" w:pos="2086"/>
                        </w:tabs>
                        <w:ind w:left="1800" w:firstLine="1080"/>
                        <w:jc w:val="both"/>
                        <w:rPr>
                          <w:lang w:val="uk-UA"/>
                        </w:rPr>
                      </w:pPr>
                    </w:p>
                  </w:txbxContent>
                </v:textbox>
                <w10:wrap type="topAndBottom"/>
              </v:shape>
            </w:pict>
          </mc:Fallback>
        </mc:AlternateContent>
      </w:r>
      <w:r>
        <w:rPr>
          <w:rFonts w:ascii="Times New Roman" w:hAnsi="Times New Roman"/>
          <w:b/>
          <w:lang w:val="uk-UA"/>
        </w:rPr>
        <w:t>Рис.1. Вплив піфламіну на функціонально-біохімічні показники печінки щурів в умовах гострого СС</w:t>
      </w:r>
      <w:r>
        <w:rPr>
          <w:rFonts w:ascii="Times New Roman" w:hAnsi="Times New Roman"/>
          <w:b/>
          <w:lang w:val="en-US"/>
        </w:rPr>
        <w:t>L</w:t>
      </w:r>
      <w:r>
        <w:rPr>
          <w:rFonts w:ascii="Times New Roman" w:hAnsi="Times New Roman"/>
          <w:b/>
          <w:vertAlign w:val="subscript"/>
          <w:lang w:val="uk-UA"/>
        </w:rPr>
        <w:t xml:space="preserve">4 </w:t>
      </w:r>
      <w:r>
        <w:rPr>
          <w:rFonts w:ascii="Times New Roman" w:hAnsi="Times New Roman"/>
          <w:b/>
          <w:lang w:val="uk-UA"/>
        </w:rPr>
        <w:t>–гепатиту (у % до показників відповідної інтактної групи): тут та надалі:</w:t>
      </w:r>
    </w:p>
    <w:p w:rsidR="00D24B08" w:rsidRDefault="00D24B08" w:rsidP="00D24B08">
      <w:pPr>
        <w:pStyle w:val="afffffff2"/>
        <w:spacing w:line="360" w:lineRule="exact"/>
        <w:ind w:firstLine="709"/>
        <w:jc w:val="both"/>
        <w:rPr>
          <w:rFonts w:ascii="Times New Roman" w:hAnsi="Times New Roman"/>
          <w:b/>
          <w:lang w:val="uk-UA"/>
        </w:rPr>
      </w:pPr>
      <w:r>
        <w:rPr>
          <w:rFonts w:ascii="Times New Roman" w:hAnsi="Times New Roman"/>
          <w:b/>
          <w:lang w:val="uk-UA"/>
        </w:rPr>
        <w:t>Гострий лікарський гепатит викликали введенням щурам парацетамолу, н</w:t>
      </w:r>
      <w:r>
        <w:rPr>
          <w:rFonts w:ascii="Times New Roman" w:hAnsi="Times New Roman"/>
          <w:b/>
          <w:lang w:val="uk-UA"/>
        </w:rPr>
        <w:t>е</w:t>
      </w:r>
      <w:r>
        <w:rPr>
          <w:rFonts w:ascii="Times New Roman" w:hAnsi="Times New Roman"/>
          <w:b/>
          <w:lang w:val="uk-UA"/>
        </w:rPr>
        <w:t>гативна дія якого на гепатоцити пов</w:t>
      </w:r>
      <w:r>
        <w:rPr>
          <w:rFonts w:ascii="Times New Roman" w:hAnsi="Times New Roman"/>
          <w:b/>
          <w:lang w:val="uk-UA"/>
        </w:rPr>
        <w:sym w:font="Symbol" w:char="F0A2"/>
      </w:r>
      <w:r>
        <w:rPr>
          <w:rFonts w:ascii="Times New Roman" w:hAnsi="Times New Roman"/>
          <w:b/>
          <w:lang w:val="uk-UA"/>
        </w:rPr>
        <w:t>язана з активацією ПОЛ, значним виснаже</w:t>
      </w:r>
      <w:r>
        <w:rPr>
          <w:rFonts w:ascii="Times New Roman" w:hAnsi="Times New Roman"/>
          <w:b/>
          <w:lang w:val="uk-UA"/>
        </w:rPr>
        <w:t>н</w:t>
      </w:r>
      <w:r>
        <w:rPr>
          <w:rFonts w:ascii="Times New Roman" w:hAnsi="Times New Roman"/>
          <w:b/>
          <w:lang w:val="uk-UA"/>
        </w:rPr>
        <w:t>ням пулу відновленого глутатіону, зв</w:t>
      </w:r>
      <w:r>
        <w:rPr>
          <w:rFonts w:ascii="Times New Roman" w:hAnsi="Times New Roman"/>
          <w:b/>
          <w:lang w:val="uk-UA"/>
        </w:rPr>
        <w:sym w:font="Symbol" w:char="F0A2"/>
      </w:r>
      <w:r>
        <w:rPr>
          <w:rFonts w:ascii="Times New Roman" w:hAnsi="Times New Roman"/>
          <w:b/>
          <w:lang w:val="uk-UA"/>
        </w:rPr>
        <w:t>язуванням токсичних метаболітів цього пр</w:t>
      </w:r>
      <w:r>
        <w:rPr>
          <w:rFonts w:ascii="Times New Roman" w:hAnsi="Times New Roman"/>
          <w:b/>
          <w:lang w:val="uk-UA"/>
        </w:rPr>
        <w:t>е</w:t>
      </w:r>
      <w:r>
        <w:rPr>
          <w:rFonts w:ascii="Times New Roman" w:hAnsi="Times New Roman"/>
          <w:b/>
          <w:lang w:val="uk-UA"/>
        </w:rPr>
        <w:t>парату з макромолекулами печінки (білками, ферментами, ДНК, РНК), що блокує обмін речовин та енергії в гепатоцитах та відіграє роль пускового механізму в ро</w:t>
      </w:r>
      <w:r>
        <w:rPr>
          <w:rFonts w:ascii="Times New Roman" w:hAnsi="Times New Roman"/>
          <w:b/>
          <w:lang w:val="uk-UA"/>
        </w:rPr>
        <w:t>з</w:t>
      </w:r>
      <w:r>
        <w:rPr>
          <w:rFonts w:ascii="Times New Roman" w:hAnsi="Times New Roman"/>
          <w:b/>
          <w:lang w:val="uk-UA"/>
        </w:rPr>
        <w:t>витку їх некрозу (Ажунова Т.А., 1991). Внаслідок описаних токсичних м</w:t>
      </w:r>
      <w:r>
        <w:rPr>
          <w:rFonts w:ascii="Times New Roman" w:hAnsi="Times New Roman"/>
          <w:b/>
          <w:lang w:val="uk-UA"/>
        </w:rPr>
        <w:t>е</w:t>
      </w:r>
      <w:r>
        <w:rPr>
          <w:rFonts w:ascii="Times New Roman" w:hAnsi="Times New Roman"/>
          <w:b/>
          <w:lang w:val="uk-UA"/>
        </w:rPr>
        <w:t>ханізмів парацетамолу у нелікованих тварин групи контрольної патології спостерігали підвищення в гомогенаті печ</w:t>
      </w:r>
      <w:r>
        <w:rPr>
          <w:rFonts w:ascii="Times New Roman" w:hAnsi="Times New Roman"/>
          <w:b/>
          <w:lang w:val="uk-UA"/>
        </w:rPr>
        <w:t>і</w:t>
      </w:r>
      <w:r>
        <w:rPr>
          <w:rFonts w:ascii="Times New Roman" w:hAnsi="Times New Roman"/>
          <w:b/>
          <w:lang w:val="uk-UA"/>
        </w:rPr>
        <w:t>нки рівня продуктів ПОЛ – ГПЛ, ДК та МДА відповідно у 1,2; 1,9 та 1,3 рази, активності захисного ферменту АОС – СОД, в</w:t>
      </w:r>
      <w:r>
        <w:rPr>
          <w:rFonts w:ascii="Times New Roman" w:hAnsi="Times New Roman"/>
          <w:b/>
          <w:lang w:val="uk-UA"/>
        </w:rPr>
        <w:t>и</w:t>
      </w:r>
      <w:r>
        <w:rPr>
          <w:rFonts w:ascii="Times New Roman" w:hAnsi="Times New Roman"/>
          <w:b/>
          <w:lang w:val="uk-UA"/>
        </w:rPr>
        <w:t>снаження GSН та підвищення в сироватці крові маркеру цитолізу – АлАТ. Відмічено також гал</w:t>
      </w:r>
      <w:r>
        <w:rPr>
          <w:rFonts w:ascii="Times New Roman" w:hAnsi="Times New Roman"/>
          <w:b/>
          <w:lang w:val="uk-UA"/>
        </w:rPr>
        <w:t>ь</w:t>
      </w:r>
      <w:r>
        <w:rPr>
          <w:rFonts w:ascii="Times New Roman" w:hAnsi="Times New Roman"/>
          <w:b/>
          <w:lang w:val="uk-UA"/>
        </w:rPr>
        <w:t>мування синтезу і секреції жовчних кислот у 1,3 та 1,6 разів, зростання показника набряку органу – МКП і гіперхолестерин</w:t>
      </w:r>
      <w:r>
        <w:rPr>
          <w:rFonts w:ascii="Times New Roman" w:hAnsi="Times New Roman"/>
          <w:b/>
          <w:lang w:val="uk-UA"/>
        </w:rPr>
        <w:t>е</w:t>
      </w:r>
      <w:r>
        <w:rPr>
          <w:rFonts w:ascii="Times New Roman" w:hAnsi="Times New Roman"/>
          <w:b/>
          <w:lang w:val="uk-UA"/>
        </w:rPr>
        <w:t>мію (Рис.2).</w:t>
      </w:r>
    </w:p>
    <w:p w:rsidR="00D24B08" w:rsidRDefault="00D24B08" w:rsidP="00D24B08">
      <w:pPr>
        <w:pStyle w:val="afffffff2"/>
        <w:spacing w:line="360" w:lineRule="exact"/>
        <w:ind w:firstLine="709"/>
        <w:jc w:val="both"/>
        <w:rPr>
          <w:rFonts w:ascii="Times New Roman" w:hAnsi="Times New Roman"/>
          <w:b/>
          <w:lang w:val="uk-UA"/>
        </w:rPr>
      </w:pPr>
    </w:p>
    <w:p w:rsidR="00D24B08" w:rsidRDefault="00D24B08" w:rsidP="00D24B08">
      <w:pPr>
        <w:pStyle w:val="afffffff2"/>
        <w:spacing w:line="360" w:lineRule="exact"/>
        <w:ind w:firstLine="709"/>
        <w:jc w:val="both"/>
        <w:rPr>
          <w:lang w:val="uk-UA"/>
        </w:rPr>
      </w:pPr>
      <w:r>
        <w:rPr>
          <w:noProof/>
          <w:lang w:eastAsia="ru-RU"/>
        </w:rPr>
        <w:drawing>
          <wp:anchor distT="0" distB="0" distL="114300" distR="114300" simplePos="0" relativeHeight="251661312" behindDoc="0" locked="0" layoutInCell="1" allowOverlap="1">
            <wp:simplePos x="0" y="0"/>
            <wp:positionH relativeFrom="column">
              <wp:posOffset>-57150</wp:posOffset>
            </wp:positionH>
            <wp:positionV relativeFrom="paragraph">
              <wp:posOffset>0</wp:posOffset>
            </wp:positionV>
            <wp:extent cx="6457950" cy="2125345"/>
            <wp:effectExtent l="0" t="0" r="3810" b="2540"/>
            <wp:wrapNone/>
            <wp:docPr id="3802" name="Диаграмма 380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D24B08" w:rsidRDefault="00D24B08" w:rsidP="00D24B08">
      <w:pPr>
        <w:spacing w:line="360" w:lineRule="exact"/>
        <w:ind w:firstLine="709"/>
        <w:jc w:val="both"/>
        <w:rPr>
          <w:lang w:val="uk-UA"/>
        </w:rPr>
      </w:pPr>
    </w:p>
    <w:p w:rsidR="00D24B08" w:rsidRDefault="00D24B08" w:rsidP="00D24B08">
      <w:pPr>
        <w:spacing w:line="360" w:lineRule="exact"/>
        <w:ind w:firstLine="709"/>
        <w:jc w:val="both"/>
        <w:rPr>
          <w:lang w:val="uk-UA"/>
        </w:rPr>
      </w:pPr>
    </w:p>
    <w:p w:rsidR="00D24B08" w:rsidRDefault="00D24B08" w:rsidP="00D24B08">
      <w:pPr>
        <w:spacing w:line="360" w:lineRule="exact"/>
        <w:ind w:firstLine="709"/>
        <w:jc w:val="both"/>
        <w:rPr>
          <w:lang w:val="uk-UA"/>
        </w:rPr>
      </w:pPr>
    </w:p>
    <w:p w:rsidR="00D24B08" w:rsidRDefault="00D24B08" w:rsidP="00D24B08">
      <w:pPr>
        <w:spacing w:line="360" w:lineRule="exact"/>
        <w:ind w:firstLine="709"/>
        <w:jc w:val="both"/>
        <w:rPr>
          <w:lang w:val="uk-UA"/>
        </w:rPr>
      </w:pPr>
    </w:p>
    <w:p w:rsidR="00D24B08" w:rsidRDefault="00D24B08" w:rsidP="00D24B08">
      <w:pPr>
        <w:spacing w:line="360" w:lineRule="exact"/>
        <w:ind w:firstLine="709"/>
        <w:jc w:val="both"/>
        <w:rPr>
          <w:lang w:val="uk-UA"/>
        </w:rPr>
      </w:pPr>
    </w:p>
    <w:p w:rsidR="00D24B08" w:rsidRDefault="00D24B08" w:rsidP="00D24B08">
      <w:pPr>
        <w:spacing w:line="360" w:lineRule="exact"/>
        <w:ind w:firstLine="709"/>
        <w:jc w:val="both"/>
        <w:rPr>
          <w:lang w:val="uk-UA"/>
        </w:rPr>
      </w:pPr>
    </w:p>
    <w:p w:rsidR="00D24B08" w:rsidRDefault="00D24B08" w:rsidP="00D24B08">
      <w:pPr>
        <w:pStyle w:val="afffffff2"/>
        <w:spacing w:line="360" w:lineRule="exact"/>
        <w:ind w:firstLine="709"/>
        <w:jc w:val="both"/>
        <w:rPr>
          <w:rFonts w:ascii="Times New Roman" w:hAnsi="Times New Roman"/>
          <w:b/>
          <w:lang w:val="uk-UA"/>
        </w:rPr>
      </w:pPr>
    </w:p>
    <w:p w:rsidR="00D24B08" w:rsidRDefault="00D24B08" w:rsidP="00D24B08">
      <w:pPr>
        <w:pStyle w:val="afffffff2"/>
        <w:spacing w:line="360" w:lineRule="exact"/>
        <w:ind w:firstLine="709"/>
        <w:jc w:val="both"/>
        <w:rPr>
          <w:rFonts w:ascii="Times New Roman" w:hAnsi="Times New Roman"/>
          <w:b/>
          <w:lang w:val="uk-UA"/>
        </w:rPr>
      </w:pPr>
    </w:p>
    <w:p w:rsidR="00D24B08" w:rsidRDefault="00D24B08" w:rsidP="00D24B08">
      <w:pPr>
        <w:pStyle w:val="afffffff2"/>
        <w:spacing w:line="360" w:lineRule="exact"/>
        <w:ind w:left="900" w:hanging="900"/>
        <w:jc w:val="both"/>
        <w:rPr>
          <w:rFonts w:ascii="Times New Roman" w:hAnsi="Times New Roman"/>
          <w:b/>
          <w:lang w:val="uk-UA"/>
        </w:rPr>
      </w:pPr>
    </w:p>
    <w:p w:rsidR="00D24B08" w:rsidRDefault="00D24B08" w:rsidP="00D24B08">
      <w:pPr>
        <w:pStyle w:val="afffffff2"/>
        <w:spacing w:line="360" w:lineRule="exact"/>
        <w:ind w:left="900" w:hanging="900"/>
        <w:jc w:val="both"/>
        <w:rPr>
          <w:rFonts w:ascii="Times New Roman" w:hAnsi="Times New Roman"/>
          <w:b/>
          <w:lang w:val="uk-UA"/>
        </w:rPr>
      </w:pPr>
      <w:r>
        <w:rPr>
          <w:rFonts w:ascii="Times New Roman" w:hAnsi="Times New Roman"/>
          <w:b/>
          <w:lang w:val="uk-UA"/>
        </w:rPr>
        <w:t>Рис.2. Вплив піфламіну на функціонально-біохімічні показники печінки щурів в умовах гострого ПЦГ (у % до показників відповідної інтактної гр</w:t>
      </w:r>
      <w:r>
        <w:rPr>
          <w:rFonts w:ascii="Times New Roman" w:hAnsi="Times New Roman"/>
          <w:b/>
          <w:lang w:val="uk-UA"/>
        </w:rPr>
        <w:t>у</w:t>
      </w:r>
      <w:r>
        <w:rPr>
          <w:rFonts w:ascii="Times New Roman" w:hAnsi="Times New Roman"/>
          <w:b/>
          <w:lang w:val="uk-UA"/>
        </w:rPr>
        <w:t>пи)</w:t>
      </w:r>
    </w:p>
    <w:p w:rsidR="00D24B08" w:rsidRDefault="00D24B08" w:rsidP="00D24B08">
      <w:pPr>
        <w:spacing w:line="360" w:lineRule="exact"/>
        <w:ind w:firstLine="709"/>
        <w:jc w:val="both"/>
        <w:rPr>
          <w:lang w:val="uk-UA"/>
        </w:rPr>
      </w:pPr>
    </w:p>
    <w:p w:rsidR="00D24B08" w:rsidRDefault="00D24B08" w:rsidP="00D24B08">
      <w:pPr>
        <w:spacing w:line="360" w:lineRule="exact"/>
        <w:ind w:firstLine="709"/>
        <w:jc w:val="both"/>
        <w:rPr>
          <w:lang w:val="uk-UA"/>
        </w:rPr>
      </w:pPr>
      <w:r>
        <w:rPr>
          <w:lang w:val="uk-UA"/>
        </w:rPr>
        <w:t>Піфламін за умов ПЦГ виявив спроможність до захисту печінки від негати</w:t>
      </w:r>
      <w:r>
        <w:rPr>
          <w:lang w:val="uk-UA"/>
        </w:rPr>
        <w:t>в</w:t>
      </w:r>
      <w:r>
        <w:rPr>
          <w:lang w:val="uk-UA"/>
        </w:rPr>
        <w:t>ної дії парацетамолу: зменшував запалення в печінці, перешкоджав цитолізу геп</w:t>
      </w:r>
      <w:r>
        <w:rPr>
          <w:lang w:val="uk-UA"/>
        </w:rPr>
        <w:t>а</w:t>
      </w:r>
      <w:r>
        <w:rPr>
          <w:lang w:val="uk-UA"/>
        </w:rPr>
        <w:t>тоцитів, інгібував гіперліпопероксидацію, підвищував антиоксидантний захист, стабілізував мембрани гепатоцитів і покращував обмін ліпідів. Ці зміни супров</w:t>
      </w:r>
      <w:r>
        <w:rPr>
          <w:lang w:val="uk-UA"/>
        </w:rPr>
        <w:t>о</w:t>
      </w:r>
      <w:r>
        <w:rPr>
          <w:lang w:val="uk-UA"/>
        </w:rPr>
        <w:t>джувались вираженою тенденцією до відновлення жовчоутворювального і жовчовидільного пр</w:t>
      </w:r>
      <w:r>
        <w:rPr>
          <w:lang w:val="uk-UA"/>
        </w:rPr>
        <w:t>о</w:t>
      </w:r>
      <w:r>
        <w:rPr>
          <w:lang w:val="uk-UA"/>
        </w:rPr>
        <w:t xml:space="preserve">цесів. </w:t>
      </w:r>
    </w:p>
    <w:p w:rsidR="00D24B08" w:rsidRDefault="00D24B08" w:rsidP="00D24B08">
      <w:pPr>
        <w:pStyle w:val="34"/>
        <w:spacing w:line="360" w:lineRule="exact"/>
        <w:ind w:firstLine="709"/>
        <w:jc w:val="both"/>
        <w:rPr>
          <w:rFonts w:ascii="Times New Roman" w:hAnsi="Times New Roman"/>
          <w:bCs/>
          <w:sz w:val="28"/>
          <w:lang w:val="uk-UA"/>
        </w:rPr>
      </w:pPr>
      <w:r>
        <w:rPr>
          <w:rFonts w:ascii="Times New Roman" w:hAnsi="Times New Roman"/>
          <w:bCs/>
          <w:sz w:val="28"/>
          <w:lang w:val="uk-UA"/>
        </w:rPr>
        <w:t>Порівняння ефективності піфламіну і силібору в умовах ПЦГ показало більш виражену стабілізацію мембран гепатоцитів під дією досліджуваного об</w:t>
      </w:r>
      <w:r>
        <w:rPr>
          <w:rFonts w:ascii="Times New Roman" w:hAnsi="Times New Roman"/>
          <w:bCs/>
          <w:sz w:val="28"/>
          <w:lang w:val="uk-UA"/>
        </w:rPr>
        <w:sym w:font="Symbol" w:char="F0A2"/>
      </w:r>
      <w:r>
        <w:rPr>
          <w:rFonts w:ascii="Times New Roman" w:hAnsi="Times New Roman"/>
          <w:bCs/>
          <w:sz w:val="28"/>
          <w:lang w:val="uk-UA"/>
        </w:rPr>
        <w:t>єкту. На відміну від силібору піфламін знижував цитолітичну реакцію і інтенсивність пр</w:t>
      </w:r>
      <w:r>
        <w:rPr>
          <w:rFonts w:ascii="Times New Roman" w:hAnsi="Times New Roman"/>
          <w:bCs/>
          <w:sz w:val="28"/>
          <w:lang w:val="uk-UA"/>
        </w:rPr>
        <w:t>о</w:t>
      </w:r>
      <w:r>
        <w:rPr>
          <w:rFonts w:ascii="Times New Roman" w:hAnsi="Times New Roman"/>
          <w:bCs/>
          <w:sz w:val="28"/>
          <w:lang w:val="uk-UA"/>
        </w:rPr>
        <w:t>цесів ПОЛ, що привело до зниження препаратом показника запалення в печінці - МКП. Під впливом піфламіну спостерігали також достовірно кращу (р</w:t>
      </w:r>
      <w:r>
        <w:rPr>
          <w:rFonts w:ascii="Times New Roman" w:hAnsi="Times New Roman"/>
          <w:bCs/>
          <w:sz w:val="28"/>
          <w:lang w:val="uk-UA"/>
        </w:rPr>
        <w:sym w:font="Symbol" w:char="F0A3"/>
      </w:r>
      <w:r>
        <w:rPr>
          <w:rFonts w:ascii="Times New Roman" w:hAnsi="Times New Roman"/>
          <w:bCs/>
          <w:sz w:val="28"/>
          <w:lang w:val="uk-UA"/>
        </w:rPr>
        <w:t>0,05) за р</w:t>
      </w:r>
      <w:r>
        <w:rPr>
          <w:rFonts w:ascii="Times New Roman" w:hAnsi="Times New Roman"/>
          <w:bCs/>
          <w:sz w:val="28"/>
          <w:lang w:val="uk-UA"/>
        </w:rPr>
        <w:t>е</w:t>
      </w:r>
      <w:r>
        <w:rPr>
          <w:rFonts w:ascii="Times New Roman" w:hAnsi="Times New Roman"/>
          <w:bCs/>
          <w:sz w:val="28"/>
          <w:lang w:val="uk-UA"/>
        </w:rPr>
        <w:t>ференс-препарат нормалізацію активності катал</w:t>
      </w:r>
      <w:r>
        <w:rPr>
          <w:rFonts w:ascii="Times New Roman" w:hAnsi="Times New Roman"/>
          <w:bCs/>
          <w:sz w:val="28"/>
          <w:lang w:val="uk-UA"/>
        </w:rPr>
        <w:t>а</w:t>
      </w:r>
      <w:r>
        <w:rPr>
          <w:rFonts w:ascii="Times New Roman" w:hAnsi="Times New Roman"/>
          <w:bCs/>
          <w:sz w:val="28"/>
          <w:lang w:val="uk-UA"/>
        </w:rPr>
        <w:t xml:space="preserve">зи. </w:t>
      </w:r>
    </w:p>
    <w:p w:rsidR="00D24B08" w:rsidRDefault="00D24B08" w:rsidP="00D24B08">
      <w:pPr>
        <w:pStyle w:val="34"/>
        <w:spacing w:line="360" w:lineRule="exact"/>
        <w:ind w:firstLine="709"/>
        <w:jc w:val="both"/>
        <w:rPr>
          <w:rFonts w:ascii="Times New Roman" w:hAnsi="Times New Roman"/>
          <w:sz w:val="28"/>
          <w:lang w:val="uk-UA"/>
        </w:rPr>
      </w:pPr>
      <w:r>
        <w:rPr>
          <w:rFonts w:ascii="Times New Roman" w:hAnsi="Times New Roman"/>
          <w:sz w:val="28"/>
          <w:lang w:val="uk-UA"/>
        </w:rPr>
        <w:t>Тенденція захворювань печінки до хронізації обумовила визначення терапевтичного ефекту піфламіну при субхронічному і хронічному гепат</w:t>
      </w:r>
      <w:r>
        <w:rPr>
          <w:rFonts w:ascii="Times New Roman" w:hAnsi="Times New Roman"/>
          <w:sz w:val="28"/>
          <w:lang w:val="uk-UA"/>
        </w:rPr>
        <w:t>и</w:t>
      </w:r>
      <w:r>
        <w:rPr>
          <w:rFonts w:ascii="Times New Roman" w:hAnsi="Times New Roman"/>
          <w:sz w:val="28"/>
          <w:lang w:val="uk-UA"/>
        </w:rPr>
        <w:t>тах.</w:t>
      </w:r>
    </w:p>
    <w:p w:rsidR="00D24B08" w:rsidRDefault="00D24B08" w:rsidP="00D24B08">
      <w:pPr>
        <w:spacing w:line="360" w:lineRule="exact"/>
        <w:ind w:firstLine="709"/>
        <w:jc w:val="both"/>
        <w:rPr>
          <w:lang w:val="uk-UA"/>
        </w:rPr>
      </w:pPr>
      <w:r>
        <w:rPr>
          <w:lang w:val="uk-UA"/>
        </w:rPr>
        <w:t>У гепатотоксичності тетрацикліну також важливе місце відводять інтенсиф</w:t>
      </w:r>
      <w:r>
        <w:rPr>
          <w:lang w:val="uk-UA"/>
        </w:rPr>
        <w:t>і</w:t>
      </w:r>
      <w:r>
        <w:rPr>
          <w:lang w:val="uk-UA"/>
        </w:rPr>
        <w:t>кації процесів ПОЛ (Дроговоз С.М. із співавт, 1999), що у наших дослідах підтве</w:t>
      </w:r>
      <w:r>
        <w:rPr>
          <w:lang w:val="uk-UA"/>
        </w:rPr>
        <w:t>р</w:t>
      </w:r>
      <w:r>
        <w:rPr>
          <w:lang w:val="uk-UA"/>
        </w:rPr>
        <w:t>джується накопиченням пр</w:t>
      </w:r>
      <w:r>
        <w:rPr>
          <w:lang w:val="uk-UA"/>
        </w:rPr>
        <w:t>о</w:t>
      </w:r>
      <w:r>
        <w:rPr>
          <w:lang w:val="uk-UA"/>
        </w:rPr>
        <w:t>дуктів ПОЛ – ГПЛ, ДК, МДА, підвищенням активності ферментів АОС – СОД і каталази (Рис.3). Деструкція мембранних ліпідів у нелікованих тварин супров</w:t>
      </w:r>
      <w:r>
        <w:rPr>
          <w:lang w:val="uk-UA"/>
        </w:rPr>
        <w:t>о</w:t>
      </w:r>
      <w:r>
        <w:rPr>
          <w:lang w:val="uk-UA"/>
        </w:rPr>
        <w:t>джувалась цитолізом і підвищенням активності ферментів - АлАТ і ЛФ, зниженням вмісту фосфоліпідів у сироватці крові, гальмуванням де</w:t>
      </w:r>
      <w:r>
        <w:rPr>
          <w:lang w:val="uk-UA"/>
        </w:rPr>
        <w:t>з</w:t>
      </w:r>
      <w:r>
        <w:rPr>
          <w:lang w:val="uk-UA"/>
        </w:rPr>
        <w:t>інтоксикаційної функції (порушення сечовиноутворення) і жовчоутворення (зокрема, секреції жо</w:t>
      </w:r>
      <w:r>
        <w:rPr>
          <w:lang w:val="uk-UA"/>
        </w:rPr>
        <w:t>в</w:t>
      </w:r>
      <w:r>
        <w:rPr>
          <w:lang w:val="uk-UA"/>
        </w:rPr>
        <w:t>чі і синтезу жовчних кислот). Поряд з визначеним у групі тварин контрольної патології спостерігали зміни ву</w:t>
      </w:r>
      <w:r>
        <w:rPr>
          <w:lang w:val="uk-UA"/>
        </w:rPr>
        <w:t>г</w:t>
      </w:r>
      <w:r>
        <w:rPr>
          <w:lang w:val="uk-UA"/>
        </w:rPr>
        <w:t>леводного і ліпідного обмінів, про що свідчать відповідно зниження запасів глікогену в печінці, гіперхолестеринемія, гіперліпідемія. Вказані зміни є результатом прямої ушк</w:t>
      </w:r>
      <w:r>
        <w:rPr>
          <w:lang w:val="uk-UA"/>
        </w:rPr>
        <w:t>о</w:t>
      </w:r>
      <w:r>
        <w:rPr>
          <w:lang w:val="uk-UA"/>
        </w:rPr>
        <w:t>джуючої дії тетрацикліну на печінку і відбуваються внаслідок порушення гепатотоксином проникності ме</w:t>
      </w:r>
      <w:r>
        <w:rPr>
          <w:lang w:val="uk-UA"/>
        </w:rPr>
        <w:t>м</w:t>
      </w:r>
      <w:r>
        <w:rPr>
          <w:lang w:val="uk-UA"/>
        </w:rPr>
        <w:t>бран, дезорієнтації ферментних систем, гальмування тканинного дихання (ТД) і сполученого з ним окиснюв</w:t>
      </w:r>
      <w:r>
        <w:rPr>
          <w:lang w:val="uk-UA"/>
        </w:rPr>
        <w:t>а</w:t>
      </w:r>
      <w:r>
        <w:rPr>
          <w:lang w:val="uk-UA"/>
        </w:rPr>
        <w:t xml:space="preserve">льного фосфорилювання (ОФ) (Коваленко В.М.,1998). </w:t>
      </w:r>
    </w:p>
    <w:p w:rsidR="00D24B08" w:rsidRDefault="00D24B08" w:rsidP="00D24B08">
      <w:pPr>
        <w:spacing w:line="360" w:lineRule="exact"/>
        <w:ind w:firstLine="709"/>
        <w:jc w:val="both"/>
        <w:rPr>
          <w:lang w:val="uk-UA"/>
        </w:rPr>
      </w:pPr>
      <w:r>
        <w:rPr>
          <w:noProof/>
          <w:sz w:val="20"/>
          <w:lang w:eastAsia="ru-RU"/>
        </w:rPr>
        <w:drawing>
          <wp:anchor distT="0" distB="0" distL="114300" distR="114300" simplePos="0" relativeHeight="251662336" behindDoc="0" locked="0" layoutInCell="1" allowOverlap="1">
            <wp:simplePos x="0" y="0"/>
            <wp:positionH relativeFrom="column">
              <wp:posOffset>0</wp:posOffset>
            </wp:positionH>
            <wp:positionV relativeFrom="paragraph">
              <wp:posOffset>114300</wp:posOffset>
            </wp:positionV>
            <wp:extent cx="6431280" cy="2095500"/>
            <wp:effectExtent l="0" t="0" r="1905" b="3810"/>
            <wp:wrapNone/>
            <wp:docPr id="3801" name="Диаграмма 38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D24B08" w:rsidRDefault="00D24B08" w:rsidP="00D24B08">
      <w:pPr>
        <w:spacing w:line="360" w:lineRule="exact"/>
        <w:ind w:firstLine="709"/>
        <w:jc w:val="both"/>
        <w:rPr>
          <w:lang w:val="uk-UA"/>
        </w:rPr>
      </w:pPr>
    </w:p>
    <w:p w:rsidR="00D24B08" w:rsidRDefault="00D24B08" w:rsidP="00D24B08">
      <w:pPr>
        <w:spacing w:line="360" w:lineRule="exact"/>
        <w:ind w:firstLine="709"/>
        <w:jc w:val="both"/>
        <w:rPr>
          <w:lang w:val="uk-UA"/>
        </w:rPr>
      </w:pPr>
    </w:p>
    <w:p w:rsidR="00D24B08" w:rsidRDefault="00D24B08" w:rsidP="00D24B08">
      <w:pPr>
        <w:spacing w:line="360" w:lineRule="exact"/>
        <w:ind w:firstLine="709"/>
        <w:jc w:val="both"/>
        <w:rPr>
          <w:lang w:val="uk-UA"/>
        </w:rPr>
      </w:pPr>
    </w:p>
    <w:p w:rsidR="00D24B08" w:rsidRDefault="00D24B08" w:rsidP="00D24B08">
      <w:pPr>
        <w:spacing w:line="360" w:lineRule="exact"/>
        <w:ind w:firstLine="709"/>
        <w:jc w:val="both"/>
        <w:rPr>
          <w:lang w:val="uk-UA"/>
        </w:rPr>
      </w:pPr>
    </w:p>
    <w:p w:rsidR="00D24B08" w:rsidRDefault="00D24B08" w:rsidP="00D24B08">
      <w:pPr>
        <w:spacing w:line="360" w:lineRule="exact"/>
        <w:ind w:firstLine="709"/>
        <w:jc w:val="both"/>
        <w:rPr>
          <w:lang w:val="uk-UA"/>
        </w:rPr>
      </w:pPr>
    </w:p>
    <w:p w:rsidR="00D24B08" w:rsidRDefault="00D24B08" w:rsidP="00D24B08">
      <w:pPr>
        <w:spacing w:line="360" w:lineRule="exact"/>
        <w:ind w:firstLine="709"/>
        <w:jc w:val="both"/>
        <w:rPr>
          <w:lang w:val="uk-UA"/>
        </w:rPr>
      </w:pPr>
    </w:p>
    <w:p w:rsidR="00D24B08" w:rsidRDefault="00D24B08" w:rsidP="00D24B08">
      <w:pPr>
        <w:spacing w:line="360" w:lineRule="exact"/>
        <w:ind w:firstLine="709"/>
        <w:jc w:val="both"/>
        <w:rPr>
          <w:lang w:val="uk-UA"/>
        </w:rPr>
      </w:pPr>
    </w:p>
    <w:p w:rsidR="00D24B08" w:rsidRDefault="00D24B08" w:rsidP="00D24B08">
      <w:pPr>
        <w:spacing w:line="360" w:lineRule="exact"/>
        <w:ind w:firstLine="709"/>
        <w:jc w:val="both"/>
        <w:rPr>
          <w:lang w:val="uk-UA"/>
        </w:rPr>
      </w:pPr>
    </w:p>
    <w:p w:rsidR="00D24B08" w:rsidRDefault="00D24B08" w:rsidP="00D24B08">
      <w:pPr>
        <w:spacing w:line="360" w:lineRule="exact"/>
        <w:ind w:firstLine="709"/>
        <w:jc w:val="both"/>
        <w:rPr>
          <w:lang w:val="uk-UA"/>
        </w:rPr>
      </w:pPr>
    </w:p>
    <w:p w:rsidR="00D24B08" w:rsidRDefault="00D24B08" w:rsidP="00D24B08">
      <w:pPr>
        <w:spacing w:line="360" w:lineRule="exact"/>
        <w:ind w:left="900" w:hanging="900"/>
        <w:jc w:val="both"/>
        <w:rPr>
          <w:lang w:val="uk-UA"/>
        </w:rPr>
      </w:pPr>
      <w:r>
        <w:rPr>
          <w:lang w:val="uk-UA"/>
        </w:rPr>
        <w:t>Рис.</w:t>
      </w:r>
      <w:r w:rsidRPr="00D24B08">
        <w:rPr>
          <w:lang w:val="uk-UA"/>
        </w:rPr>
        <w:t>3</w:t>
      </w:r>
      <w:r>
        <w:rPr>
          <w:lang w:val="uk-UA"/>
        </w:rPr>
        <w:t>. Вплив піфламіну на функціонально-біохімічні показники печінки щурів в умовах субхронічного ТЦГ (у % до показників відповідної інтактної гр</w:t>
      </w:r>
      <w:r>
        <w:rPr>
          <w:lang w:val="uk-UA"/>
        </w:rPr>
        <w:t>у</w:t>
      </w:r>
      <w:r>
        <w:rPr>
          <w:lang w:val="uk-UA"/>
        </w:rPr>
        <w:t>пи).</w:t>
      </w:r>
    </w:p>
    <w:p w:rsidR="00D24B08" w:rsidRDefault="00D24B08" w:rsidP="00D24B08">
      <w:pPr>
        <w:spacing w:line="360" w:lineRule="exact"/>
        <w:ind w:firstLine="709"/>
        <w:jc w:val="both"/>
        <w:rPr>
          <w:lang w:val="uk-UA"/>
        </w:rPr>
      </w:pPr>
    </w:p>
    <w:p w:rsidR="00D24B08" w:rsidRDefault="00D24B08" w:rsidP="00D24B08">
      <w:pPr>
        <w:spacing w:line="360" w:lineRule="exact"/>
        <w:ind w:firstLine="709"/>
        <w:jc w:val="both"/>
        <w:rPr>
          <w:lang w:val="uk-UA"/>
        </w:rPr>
      </w:pPr>
      <w:r>
        <w:rPr>
          <w:lang w:val="uk-UA"/>
        </w:rPr>
        <w:t>На моделі ТЦГ піфламін стабілізував мембрани гепатоцитів, знижував інте</w:t>
      </w:r>
      <w:r>
        <w:rPr>
          <w:lang w:val="uk-UA"/>
        </w:rPr>
        <w:t>н</w:t>
      </w:r>
      <w:r>
        <w:rPr>
          <w:lang w:val="uk-UA"/>
        </w:rPr>
        <w:t>сивність вільнорадикальних процесів, підвищував антирадикальний захист орган</w:t>
      </w:r>
      <w:r>
        <w:rPr>
          <w:lang w:val="uk-UA"/>
        </w:rPr>
        <w:t>і</w:t>
      </w:r>
      <w:r>
        <w:rPr>
          <w:lang w:val="uk-UA"/>
        </w:rPr>
        <w:t>зму, покращував енергозабезпеченість органу. Результатом такого впливу препар</w:t>
      </w:r>
      <w:r>
        <w:rPr>
          <w:lang w:val="uk-UA"/>
        </w:rPr>
        <w:t>а</w:t>
      </w:r>
      <w:r>
        <w:rPr>
          <w:lang w:val="uk-UA"/>
        </w:rPr>
        <w:t>ту стало поліпшення структури гепатоцитів (підвищення вмісту фосфоліпідів у с</w:t>
      </w:r>
      <w:r>
        <w:rPr>
          <w:lang w:val="uk-UA"/>
        </w:rPr>
        <w:t>и</w:t>
      </w:r>
      <w:r>
        <w:rPr>
          <w:lang w:val="uk-UA"/>
        </w:rPr>
        <w:t>роватці крові), нормалізація детоксикуючої функції (ві</w:t>
      </w:r>
      <w:r>
        <w:rPr>
          <w:lang w:val="uk-UA"/>
        </w:rPr>
        <w:t>д</w:t>
      </w:r>
      <w:r>
        <w:rPr>
          <w:lang w:val="uk-UA"/>
        </w:rPr>
        <w:t>новлення вмісту сечовини в сироватці крові) і ліпідного та вуглеводного обмінів, про що свідчить покраще</w:t>
      </w:r>
      <w:r>
        <w:rPr>
          <w:lang w:val="uk-UA"/>
        </w:rPr>
        <w:t>н</w:t>
      </w:r>
      <w:r>
        <w:rPr>
          <w:lang w:val="uk-UA"/>
        </w:rPr>
        <w:t>ня показників загального холестерину в сироватці крові та глікогену в печінці. Вплив піфламіну на жовчоутворення при ТЦГ був менш вираженим. Відзначалося підвищення рівня жовчних кислот у жовчі в 1,6 разів і тенденція до нормалізації екскреції холест</w:t>
      </w:r>
      <w:r>
        <w:rPr>
          <w:lang w:val="uk-UA"/>
        </w:rPr>
        <w:t>е</w:t>
      </w:r>
      <w:r>
        <w:rPr>
          <w:lang w:val="uk-UA"/>
        </w:rPr>
        <w:t>рину.</w:t>
      </w:r>
    </w:p>
    <w:p w:rsidR="00D24B08" w:rsidRDefault="00D24B08" w:rsidP="00D24B08">
      <w:pPr>
        <w:spacing w:line="360" w:lineRule="exact"/>
        <w:ind w:firstLine="720"/>
        <w:jc w:val="both"/>
        <w:rPr>
          <w:bCs/>
          <w:lang w:val="uk-UA"/>
        </w:rPr>
      </w:pPr>
      <w:r>
        <w:rPr>
          <w:bCs/>
          <w:lang w:val="uk-UA"/>
        </w:rPr>
        <w:t>На цій моделі медикаментозного гепатиту піфламін поліпшував показники перекисного статусу печінки та АОС, достовірно краще (р</w:t>
      </w:r>
      <w:r>
        <w:rPr>
          <w:bCs/>
          <w:lang w:val="uk-UA"/>
        </w:rPr>
        <w:sym w:font="Symbol" w:char="F0A3"/>
      </w:r>
      <w:r>
        <w:rPr>
          <w:bCs/>
          <w:lang w:val="uk-UA"/>
        </w:rPr>
        <w:t>0,05) за реф</w:t>
      </w:r>
      <w:r>
        <w:rPr>
          <w:bCs/>
          <w:lang w:val="uk-UA"/>
        </w:rPr>
        <w:t>е</w:t>
      </w:r>
      <w:r>
        <w:rPr>
          <w:bCs/>
          <w:lang w:val="uk-UA"/>
        </w:rPr>
        <w:t>ренс-препарат знижуючи вміст ГПЛ, ДК і активність каталази. Ефективне зниження п</w:t>
      </w:r>
      <w:r>
        <w:rPr>
          <w:bCs/>
          <w:lang w:val="uk-UA"/>
        </w:rPr>
        <w:t>і</w:t>
      </w:r>
      <w:r>
        <w:rPr>
          <w:bCs/>
          <w:lang w:val="uk-UA"/>
        </w:rPr>
        <w:t>фламіном гіперліпопероксидації корелює з усуненням препаратом цитолізу геп</w:t>
      </w:r>
      <w:r>
        <w:rPr>
          <w:bCs/>
          <w:lang w:val="uk-UA"/>
        </w:rPr>
        <w:t>а</w:t>
      </w:r>
      <w:r>
        <w:rPr>
          <w:bCs/>
          <w:lang w:val="uk-UA"/>
        </w:rPr>
        <w:t>тоцитів і підтверджується достовірною, на відміну від силібору (р</w:t>
      </w:r>
      <w:r>
        <w:rPr>
          <w:bCs/>
          <w:lang w:val="uk-UA"/>
        </w:rPr>
        <w:sym w:font="Symbol" w:char="F0A3"/>
      </w:r>
      <w:r>
        <w:rPr>
          <w:bCs/>
          <w:lang w:val="uk-UA"/>
        </w:rPr>
        <w:t>0,05), нормал</w:t>
      </w:r>
      <w:r>
        <w:rPr>
          <w:bCs/>
          <w:lang w:val="uk-UA"/>
        </w:rPr>
        <w:t>і</w:t>
      </w:r>
      <w:r>
        <w:rPr>
          <w:bCs/>
          <w:lang w:val="uk-UA"/>
        </w:rPr>
        <w:t>зацією активності АлАТ. В свою чергу силібор більшою мірою посилював синт</w:t>
      </w:r>
      <w:r>
        <w:rPr>
          <w:bCs/>
          <w:lang w:val="uk-UA"/>
        </w:rPr>
        <w:t>е</w:t>
      </w:r>
      <w:r>
        <w:rPr>
          <w:bCs/>
          <w:lang w:val="uk-UA"/>
        </w:rPr>
        <w:t>тичні процеси в печінці щурів.</w:t>
      </w:r>
    </w:p>
    <w:p w:rsidR="00D24B08" w:rsidRDefault="00D24B08" w:rsidP="00D24B08">
      <w:pPr>
        <w:spacing w:line="360" w:lineRule="exact"/>
        <w:ind w:firstLine="720"/>
        <w:jc w:val="both"/>
        <w:rPr>
          <w:lang w:val="uk-UA"/>
        </w:rPr>
      </w:pPr>
      <w:r>
        <w:rPr>
          <w:lang w:val="uk-UA"/>
        </w:rPr>
        <w:t>Глибокі порушення в печінці спостерігались при хронічному комбінов</w:t>
      </w:r>
      <w:r>
        <w:rPr>
          <w:lang w:val="uk-UA"/>
        </w:rPr>
        <w:t>а</w:t>
      </w:r>
      <w:r>
        <w:rPr>
          <w:lang w:val="uk-UA"/>
        </w:rPr>
        <w:t>ному введенні щурам етанолу і CCl</w:t>
      </w:r>
      <w:r>
        <w:rPr>
          <w:vertAlign w:val="subscript"/>
          <w:lang w:val="uk-UA"/>
        </w:rPr>
        <w:t>4</w:t>
      </w:r>
      <w:r>
        <w:rPr>
          <w:lang w:val="uk-UA"/>
        </w:rPr>
        <w:t>, що пояснюється потенціюванням їх гепатотокси</w:t>
      </w:r>
      <w:r>
        <w:rPr>
          <w:lang w:val="uk-UA"/>
        </w:rPr>
        <w:t>ч</w:t>
      </w:r>
      <w:r>
        <w:rPr>
          <w:lang w:val="uk-UA"/>
        </w:rPr>
        <w:t>ності (Олейник  А.Н. и др., 1994; Деримедвідь Л.В., 1995). При тривалій інтоксик</w:t>
      </w:r>
      <w:r>
        <w:rPr>
          <w:lang w:val="uk-UA"/>
        </w:rPr>
        <w:t>а</w:t>
      </w:r>
      <w:r>
        <w:rPr>
          <w:lang w:val="uk-UA"/>
        </w:rPr>
        <w:t>ції цими гепатотоксинами спостерігали  збільшення активності АлАТ у сирова</w:t>
      </w:r>
      <w:r>
        <w:rPr>
          <w:lang w:val="uk-UA"/>
        </w:rPr>
        <w:t>т</w:t>
      </w:r>
      <w:r>
        <w:rPr>
          <w:lang w:val="uk-UA"/>
        </w:rPr>
        <w:t>ці крові, порушення жовчовиділення, холатоутворення і екскреції холестер</w:t>
      </w:r>
      <w:r>
        <w:rPr>
          <w:lang w:val="uk-UA"/>
        </w:rPr>
        <w:t>и</w:t>
      </w:r>
      <w:r>
        <w:rPr>
          <w:lang w:val="uk-UA"/>
        </w:rPr>
        <w:t>ну, що свідчить про розвиток цитолітично-холестатичного характеру ураження печі</w:t>
      </w:r>
      <w:r>
        <w:rPr>
          <w:lang w:val="uk-UA"/>
        </w:rPr>
        <w:t>н</w:t>
      </w:r>
      <w:r>
        <w:rPr>
          <w:lang w:val="uk-UA"/>
        </w:rPr>
        <w:t>ки (Губський Ю.И., 1989). Цитоліз гепатоцитів викликаний дефіцитом GSH та нак</w:t>
      </w:r>
      <w:r>
        <w:rPr>
          <w:lang w:val="uk-UA"/>
        </w:rPr>
        <w:t>о</w:t>
      </w:r>
      <w:r>
        <w:rPr>
          <w:lang w:val="uk-UA"/>
        </w:rPr>
        <w:t>пиченням МДА, що, як і зниження енергетичних запасів у печінці (біохімічно і гі</w:t>
      </w:r>
      <w:r>
        <w:rPr>
          <w:lang w:val="uk-UA"/>
        </w:rPr>
        <w:t>с</w:t>
      </w:r>
      <w:r>
        <w:rPr>
          <w:lang w:val="uk-UA"/>
        </w:rPr>
        <w:t>тологічно доведене зменшення глікогену) і порушення її екскреторної ф</w:t>
      </w:r>
      <w:r>
        <w:rPr>
          <w:lang w:val="uk-UA"/>
        </w:rPr>
        <w:t>у</w:t>
      </w:r>
      <w:r>
        <w:rPr>
          <w:lang w:val="uk-UA"/>
        </w:rPr>
        <w:t>нкції, є наслідком гіперліпопероксидації (Скакун Н.П., Ковальчук С.Ф., 1987).  П</w:t>
      </w:r>
      <w:r>
        <w:rPr>
          <w:lang w:val="uk-UA"/>
        </w:rPr>
        <w:t>о</w:t>
      </w:r>
      <w:r>
        <w:rPr>
          <w:lang w:val="uk-UA"/>
        </w:rPr>
        <w:t>рушення найбільш чутливого тесту функціонального стану печінки – жовчоутворення - пов</w:t>
      </w:r>
      <w:r>
        <w:rPr>
          <w:lang w:val="uk-UA"/>
        </w:rPr>
        <w:sym w:font="Symbol" w:char="F0A2"/>
      </w:r>
      <w:r>
        <w:rPr>
          <w:lang w:val="uk-UA"/>
        </w:rPr>
        <w:t>язано із пригніченням метаболітами CCL</w:t>
      </w:r>
      <w:r>
        <w:rPr>
          <w:vertAlign w:val="subscript"/>
          <w:lang w:val="uk-UA"/>
        </w:rPr>
        <w:t>4</w:t>
      </w:r>
      <w:r>
        <w:rPr>
          <w:lang w:val="uk-UA"/>
        </w:rPr>
        <w:t>, етанолу, як і продуктами метабол</w:t>
      </w:r>
      <w:r>
        <w:rPr>
          <w:lang w:val="uk-UA"/>
        </w:rPr>
        <w:t>і</w:t>
      </w:r>
      <w:r>
        <w:rPr>
          <w:lang w:val="uk-UA"/>
        </w:rPr>
        <w:t>зму інших гепатотоксинів (парацетамолу та тетрацикліну), діяльності ферментат</w:t>
      </w:r>
      <w:r>
        <w:rPr>
          <w:lang w:val="uk-UA"/>
        </w:rPr>
        <w:t>и</w:t>
      </w:r>
      <w:r>
        <w:rPr>
          <w:lang w:val="uk-UA"/>
        </w:rPr>
        <w:t>вної системи гідроксилювання, активності фе</w:t>
      </w:r>
      <w:r>
        <w:rPr>
          <w:lang w:val="uk-UA"/>
        </w:rPr>
        <w:t>р</w:t>
      </w:r>
      <w:r>
        <w:rPr>
          <w:lang w:val="uk-UA"/>
        </w:rPr>
        <w:t>менту транспортування жовчі - К</w:t>
      </w:r>
      <w:r>
        <w:rPr>
          <w:vertAlign w:val="superscript"/>
          <w:lang w:val="uk-UA"/>
        </w:rPr>
        <w:t>+</w:t>
      </w:r>
      <w:r>
        <w:rPr>
          <w:lang w:val="uk-UA"/>
        </w:rPr>
        <w:t>-Na</w:t>
      </w:r>
      <w:r>
        <w:rPr>
          <w:vertAlign w:val="superscript"/>
          <w:lang w:val="uk-UA"/>
        </w:rPr>
        <w:t>+</w:t>
      </w:r>
      <w:r>
        <w:rPr>
          <w:lang w:val="uk-UA"/>
        </w:rPr>
        <w:t>- АТФази та біоенергетичних процесів жовчоутворення - ТД і ОФ (Жур</w:t>
      </w:r>
      <w:r>
        <w:rPr>
          <w:lang w:val="uk-UA"/>
        </w:rPr>
        <w:t>а</w:t>
      </w:r>
      <w:r>
        <w:rPr>
          <w:lang w:val="uk-UA"/>
        </w:rPr>
        <w:t xml:space="preserve">вель О.В., 1999). </w:t>
      </w:r>
    </w:p>
    <w:p w:rsidR="00D24B08" w:rsidRDefault="00D24B08" w:rsidP="00D24B08">
      <w:pPr>
        <w:spacing w:line="360" w:lineRule="exact"/>
        <w:ind w:firstLine="720"/>
        <w:jc w:val="both"/>
        <w:rPr>
          <w:bCs/>
          <w:lang w:val="uk-UA"/>
        </w:rPr>
      </w:pPr>
      <w:r>
        <w:rPr>
          <w:lang w:val="uk-UA"/>
        </w:rPr>
        <w:t xml:space="preserve"> Гепатопротекторні властивості піфламіну в умовах хронічної патології в</w:t>
      </w:r>
      <w:r>
        <w:rPr>
          <w:lang w:val="uk-UA"/>
        </w:rPr>
        <w:t>и</w:t>
      </w:r>
      <w:r>
        <w:rPr>
          <w:lang w:val="uk-UA"/>
        </w:rPr>
        <w:t>явились подібно до силібору пригніченням активності ПОЛ, тенденцією до зме</w:t>
      </w:r>
      <w:r>
        <w:rPr>
          <w:lang w:val="uk-UA"/>
        </w:rPr>
        <w:t>н</w:t>
      </w:r>
      <w:r>
        <w:rPr>
          <w:lang w:val="uk-UA"/>
        </w:rPr>
        <w:t>шення цитолізу, нормалізацією активності АОС, відновленням енергозабе</w:t>
      </w:r>
      <w:r>
        <w:rPr>
          <w:lang w:val="uk-UA"/>
        </w:rPr>
        <w:t>з</w:t>
      </w:r>
      <w:r>
        <w:rPr>
          <w:lang w:val="uk-UA"/>
        </w:rPr>
        <w:t>печення печінки, що підтверджується позитивною динамікою відповідних пок</w:t>
      </w:r>
      <w:r>
        <w:rPr>
          <w:lang w:val="uk-UA"/>
        </w:rPr>
        <w:t>а</w:t>
      </w:r>
      <w:r>
        <w:rPr>
          <w:lang w:val="uk-UA"/>
        </w:rPr>
        <w:t xml:space="preserve">зників. На активацію репаративних </w:t>
      </w:r>
      <w:r>
        <w:rPr>
          <w:lang w:val="uk-UA"/>
        </w:rPr>
        <w:lastRenderedPageBreak/>
        <w:t>процесів в печінці і пригнічення явищ жир</w:t>
      </w:r>
      <w:r>
        <w:rPr>
          <w:lang w:val="uk-UA"/>
        </w:rPr>
        <w:t>о</w:t>
      </w:r>
      <w:r>
        <w:rPr>
          <w:lang w:val="uk-UA"/>
        </w:rPr>
        <w:t>вої дистрофії вказувало поліпшення морфоструктури гепатоцитів. При мікроскопічних досл</w:t>
      </w:r>
      <w:r>
        <w:rPr>
          <w:lang w:val="uk-UA"/>
        </w:rPr>
        <w:t>і</w:t>
      </w:r>
      <w:r>
        <w:rPr>
          <w:lang w:val="uk-UA"/>
        </w:rPr>
        <w:t xml:space="preserve">дженнях спостерігали </w:t>
      </w:r>
      <w:r>
        <w:rPr>
          <w:bCs/>
          <w:lang w:val="uk-UA"/>
        </w:rPr>
        <w:t>збільшення  кількості гранул глікогену, гіперплазію ендо</w:t>
      </w:r>
      <w:r>
        <w:rPr>
          <w:bCs/>
          <w:lang w:val="uk-UA"/>
        </w:rPr>
        <w:t>п</w:t>
      </w:r>
      <w:r>
        <w:rPr>
          <w:bCs/>
          <w:lang w:val="uk-UA"/>
        </w:rPr>
        <w:t>лазматичного ретикулуму, значне збільшення кількості рибосом як зв'язаних з мембранами, так і вільно розташованих у цитоплазмі, підвищення кількості міт</w:t>
      </w:r>
      <w:r>
        <w:rPr>
          <w:bCs/>
          <w:lang w:val="uk-UA"/>
        </w:rPr>
        <w:t>о</w:t>
      </w:r>
      <w:r>
        <w:rPr>
          <w:bCs/>
          <w:lang w:val="uk-UA"/>
        </w:rPr>
        <w:t>хондрій і крист у них. Піфламін краще за силібор відновлював жовчовиділення і екскреторну функцію печінки (проба с БСФ) і поступався перед препаратом порівняння за впливом на холестериног</w:t>
      </w:r>
      <w:r>
        <w:rPr>
          <w:bCs/>
          <w:lang w:val="uk-UA"/>
        </w:rPr>
        <w:t>е</w:t>
      </w:r>
      <w:r>
        <w:rPr>
          <w:bCs/>
          <w:lang w:val="uk-UA"/>
        </w:rPr>
        <w:t>нез.</w:t>
      </w:r>
    </w:p>
    <w:p w:rsidR="00D24B08" w:rsidRDefault="00D24B08" w:rsidP="00D24B08">
      <w:pPr>
        <w:spacing w:line="360" w:lineRule="exact"/>
        <w:ind w:firstLine="720"/>
        <w:jc w:val="both"/>
        <w:rPr>
          <w:lang w:val="uk-UA"/>
        </w:rPr>
      </w:pPr>
      <w:r>
        <w:rPr>
          <w:lang w:val="uk-UA"/>
        </w:rPr>
        <w:t>Аналізуючи дані літератури про механізми уражень печінки різними гепат</w:t>
      </w:r>
      <w:r>
        <w:rPr>
          <w:lang w:val="uk-UA"/>
        </w:rPr>
        <w:t>о</w:t>
      </w:r>
      <w:r>
        <w:rPr>
          <w:lang w:val="uk-UA"/>
        </w:rPr>
        <w:t>токсинами і порівнюючи їх з результатами наших дослідів, можна ствердж</w:t>
      </w:r>
      <w:r>
        <w:rPr>
          <w:lang w:val="uk-UA"/>
        </w:rPr>
        <w:t>у</w:t>
      </w:r>
      <w:r>
        <w:rPr>
          <w:lang w:val="uk-UA"/>
        </w:rPr>
        <w:t>вати, що використані нами різні гепатотоксини викликають однотипний характер пор</w:t>
      </w:r>
      <w:r>
        <w:rPr>
          <w:lang w:val="uk-UA"/>
        </w:rPr>
        <w:t>у</w:t>
      </w:r>
      <w:r>
        <w:rPr>
          <w:lang w:val="uk-UA"/>
        </w:rPr>
        <w:t>шень структури і функцій гепатоцитів, пов</w:t>
      </w:r>
      <w:r>
        <w:rPr>
          <w:lang w:val="uk-UA"/>
        </w:rPr>
        <w:sym w:font="Symbol" w:char="F0A2"/>
      </w:r>
      <w:r>
        <w:rPr>
          <w:lang w:val="uk-UA"/>
        </w:rPr>
        <w:t>язаний з пошкодженням їх плазмати</w:t>
      </w:r>
      <w:r>
        <w:rPr>
          <w:lang w:val="uk-UA"/>
        </w:rPr>
        <w:t>ч</w:t>
      </w:r>
      <w:r>
        <w:rPr>
          <w:lang w:val="uk-UA"/>
        </w:rPr>
        <w:t>них мембран, ендоплазматичного ретикулуму та мітохондрій. Основною прич</w:t>
      </w:r>
      <w:r>
        <w:rPr>
          <w:lang w:val="uk-UA"/>
        </w:rPr>
        <w:t>и</w:t>
      </w:r>
      <w:r>
        <w:rPr>
          <w:lang w:val="uk-UA"/>
        </w:rPr>
        <w:t>ною цих порушень є активація процесів ВРО, яка супроводжується висн</w:t>
      </w:r>
      <w:r>
        <w:rPr>
          <w:lang w:val="uk-UA"/>
        </w:rPr>
        <w:t>а</w:t>
      </w:r>
      <w:r>
        <w:rPr>
          <w:lang w:val="uk-UA"/>
        </w:rPr>
        <w:t>женням АОС, роз</w:t>
      </w:r>
      <w:r>
        <w:rPr>
          <w:lang w:val="uk-UA"/>
        </w:rPr>
        <w:sym w:font="Symbol" w:char="F0A2"/>
      </w:r>
      <w:r>
        <w:rPr>
          <w:lang w:val="uk-UA"/>
        </w:rPr>
        <w:t>єднанням ТД та ОФ в мітохондріях, розвитком цитолізу, холестазу, м</w:t>
      </w:r>
      <w:r>
        <w:rPr>
          <w:lang w:val="uk-UA"/>
        </w:rPr>
        <w:t>е</w:t>
      </w:r>
      <w:r>
        <w:rPr>
          <w:lang w:val="uk-UA"/>
        </w:rPr>
        <w:t>таболічних та функціональних змін у печінці (Скакун Н.П. и др., 1995; Аж</w:t>
      </w:r>
      <w:r>
        <w:rPr>
          <w:lang w:val="uk-UA"/>
        </w:rPr>
        <w:t>у</w:t>
      </w:r>
      <w:r>
        <w:rPr>
          <w:lang w:val="uk-UA"/>
        </w:rPr>
        <w:t>нова Т.А., 1991). Як показали дослідження, застосування в експериментальній терапії токсичних гепатитів піфламіну підвищує стійкість печінки до патологічних впл</w:t>
      </w:r>
      <w:r>
        <w:rPr>
          <w:lang w:val="uk-UA"/>
        </w:rPr>
        <w:t>и</w:t>
      </w:r>
      <w:r>
        <w:rPr>
          <w:lang w:val="uk-UA"/>
        </w:rPr>
        <w:t>вів, підтримує структурно-функціональну цілісність мембран і метаболічні проц</w:t>
      </w:r>
      <w:r>
        <w:rPr>
          <w:lang w:val="uk-UA"/>
        </w:rPr>
        <w:t>е</w:t>
      </w:r>
      <w:r>
        <w:rPr>
          <w:lang w:val="uk-UA"/>
        </w:rPr>
        <w:t>си в печінці. Вказана дія забезпечена антиоксидантними, мембраностабілізувал</w:t>
      </w:r>
      <w:r>
        <w:rPr>
          <w:lang w:val="uk-UA"/>
        </w:rPr>
        <w:t>ь</w:t>
      </w:r>
      <w:r>
        <w:rPr>
          <w:lang w:val="uk-UA"/>
        </w:rPr>
        <w:t>ними, протизапальними та метаболічними властивостями поліфенолів, амінокислот, п</w:t>
      </w:r>
      <w:r>
        <w:rPr>
          <w:lang w:val="uk-UA"/>
        </w:rPr>
        <w:t>о</w:t>
      </w:r>
      <w:r>
        <w:rPr>
          <w:lang w:val="uk-UA"/>
        </w:rPr>
        <w:t>лісахаридів, мікро- та мікроелементів препарату. Гепатопротекторний ефект препарату проявляється покращенням жовчовидільної і жовчоутворювальної, д</w:t>
      </w:r>
      <w:r>
        <w:rPr>
          <w:lang w:val="uk-UA"/>
        </w:rPr>
        <w:t>е</w:t>
      </w:r>
      <w:r>
        <w:rPr>
          <w:lang w:val="uk-UA"/>
        </w:rPr>
        <w:t>токсикуючої та екскреторної функцій печінки, підвищенням енергозабезп</w:t>
      </w:r>
      <w:r>
        <w:rPr>
          <w:lang w:val="uk-UA"/>
        </w:rPr>
        <w:t>е</w:t>
      </w:r>
      <w:r>
        <w:rPr>
          <w:lang w:val="uk-UA"/>
        </w:rPr>
        <w:t>ченності органу і синтетичних процесів. При гострих гепатитах силібор поступався піфл</w:t>
      </w:r>
      <w:r>
        <w:rPr>
          <w:lang w:val="uk-UA"/>
        </w:rPr>
        <w:t>а</w:t>
      </w:r>
      <w:r>
        <w:rPr>
          <w:lang w:val="uk-UA"/>
        </w:rPr>
        <w:t>міну за протизапальним і мембраностабілізувальним ефектами, нормалізацією жовчовиділення і холестериногенезу. При субхронічному гепатиті піфламін виявив більш виражені мембраностабілізувальні властивості і нормалізував жовчоутв</w:t>
      </w:r>
      <w:r>
        <w:rPr>
          <w:lang w:val="uk-UA"/>
        </w:rPr>
        <w:t>о</w:t>
      </w:r>
      <w:r>
        <w:rPr>
          <w:lang w:val="uk-UA"/>
        </w:rPr>
        <w:t>рення, при хронічному -  виразніше за силібор стимулював видільну функцію печ</w:t>
      </w:r>
      <w:r>
        <w:rPr>
          <w:lang w:val="uk-UA"/>
        </w:rPr>
        <w:t>і</w:t>
      </w:r>
      <w:r>
        <w:rPr>
          <w:lang w:val="uk-UA"/>
        </w:rPr>
        <w:t>нки. На вивчених моделях патології піфламін виявив переваги перед  реф</w:t>
      </w:r>
      <w:r>
        <w:rPr>
          <w:lang w:val="uk-UA"/>
        </w:rPr>
        <w:t>е</w:t>
      </w:r>
      <w:r>
        <w:rPr>
          <w:lang w:val="uk-UA"/>
        </w:rPr>
        <w:t>ренс-препаратом за антиоксидантним ефектом і стимуляцією процесів внутрішньокл</w:t>
      </w:r>
      <w:r>
        <w:rPr>
          <w:lang w:val="uk-UA"/>
        </w:rPr>
        <w:t>і</w:t>
      </w:r>
      <w:r>
        <w:rPr>
          <w:lang w:val="uk-UA"/>
        </w:rPr>
        <w:t>тинної регенерації. Нормалізація ліпідного і  вуглеводного обмінів, енерг</w:t>
      </w:r>
      <w:r>
        <w:rPr>
          <w:lang w:val="uk-UA"/>
        </w:rPr>
        <w:t>е</w:t>
      </w:r>
      <w:r>
        <w:rPr>
          <w:lang w:val="uk-UA"/>
        </w:rPr>
        <w:t>тичних процесів у печінці, відновлення її детоксикуючої функції у піфламіну на різних моделях були на рівні силібору. Отримані результати дозволяють рекоме</w:t>
      </w:r>
      <w:r>
        <w:rPr>
          <w:lang w:val="uk-UA"/>
        </w:rPr>
        <w:t>н</w:t>
      </w:r>
      <w:r>
        <w:rPr>
          <w:lang w:val="uk-UA"/>
        </w:rPr>
        <w:t>дувати піфламін для лікування гострих і хронічних токсичних гепатитів у кл</w:t>
      </w:r>
      <w:r>
        <w:rPr>
          <w:lang w:val="uk-UA"/>
        </w:rPr>
        <w:t>і</w:t>
      </w:r>
      <w:r>
        <w:rPr>
          <w:lang w:val="uk-UA"/>
        </w:rPr>
        <w:t>ніці.</w:t>
      </w:r>
    </w:p>
    <w:p w:rsidR="00D24B08" w:rsidRDefault="00D24B08" w:rsidP="00D24B08">
      <w:pPr>
        <w:spacing w:line="360" w:lineRule="exact"/>
        <w:ind w:left="90" w:firstLine="619"/>
        <w:jc w:val="both"/>
        <w:rPr>
          <w:lang w:val="uk-UA"/>
        </w:rPr>
      </w:pPr>
      <w:r>
        <w:rPr>
          <w:b/>
          <w:lang w:val="uk-UA"/>
        </w:rPr>
        <w:t xml:space="preserve">Вивчення токсичності піфламіну. </w:t>
      </w:r>
      <w:r>
        <w:rPr>
          <w:lang w:val="uk-UA"/>
        </w:rPr>
        <w:t>Обов'язковою характеристикою лікарс</w:t>
      </w:r>
      <w:r>
        <w:rPr>
          <w:lang w:val="uk-UA"/>
        </w:rPr>
        <w:t>ь</w:t>
      </w:r>
      <w:r>
        <w:rPr>
          <w:lang w:val="uk-UA"/>
        </w:rPr>
        <w:t>кого препарату є його нешкідливість, що зумовило вивчення гострої токси</w:t>
      </w:r>
      <w:r>
        <w:rPr>
          <w:lang w:val="uk-UA"/>
        </w:rPr>
        <w:t>ч</w:t>
      </w:r>
      <w:r>
        <w:rPr>
          <w:lang w:val="uk-UA"/>
        </w:rPr>
        <w:t>ності піфламіну з визначенням показника ЛД</w:t>
      </w:r>
      <w:r>
        <w:rPr>
          <w:vertAlign w:val="subscript"/>
          <w:lang w:val="uk-UA"/>
        </w:rPr>
        <w:t xml:space="preserve">50 </w:t>
      </w:r>
      <w:r>
        <w:rPr>
          <w:lang w:val="uk-UA"/>
        </w:rPr>
        <w:t>і ступеня токсичності. Встано</w:t>
      </w:r>
      <w:r>
        <w:rPr>
          <w:lang w:val="uk-UA"/>
        </w:rPr>
        <w:t>в</w:t>
      </w:r>
      <w:r>
        <w:rPr>
          <w:lang w:val="uk-UA"/>
        </w:rPr>
        <w:t>лено, що субстанція піфламіну належить до групи "відносно нешкідливих" за класифікац</w:t>
      </w:r>
      <w:r>
        <w:rPr>
          <w:lang w:val="uk-UA"/>
        </w:rPr>
        <w:t>і</w:t>
      </w:r>
      <w:r>
        <w:rPr>
          <w:lang w:val="uk-UA"/>
        </w:rPr>
        <w:t>єю токсичності речовин Сидорова К.К. (1973) при однократному пероральному (ЛД</w:t>
      </w:r>
      <w:r>
        <w:rPr>
          <w:vertAlign w:val="subscript"/>
          <w:lang w:val="uk-UA"/>
        </w:rPr>
        <w:t>50</w:t>
      </w:r>
      <w:r>
        <w:rPr>
          <w:lang w:val="uk-UA"/>
        </w:rPr>
        <w:t xml:space="preserve"> &gt; 15000 мг/кг) і парентеральному (ЛД</w:t>
      </w:r>
      <w:r>
        <w:rPr>
          <w:vertAlign w:val="subscript"/>
          <w:lang w:val="uk-UA"/>
        </w:rPr>
        <w:t xml:space="preserve">50 </w:t>
      </w:r>
      <w:r>
        <w:rPr>
          <w:lang w:val="uk-UA"/>
        </w:rPr>
        <w:t>для щурів - 4150 (3450÷4880) мг/кг, для мишей – 3700 (3060÷4340) мг/кг) уведеннях, не має видової чутливості (КВЧ &lt; 3) і характеризується широким діапазоном умовнот</w:t>
      </w:r>
      <w:r>
        <w:rPr>
          <w:lang w:val="uk-UA"/>
        </w:rPr>
        <w:t>е</w:t>
      </w:r>
      <w:r>
        <w:rPr>
          <w:lang w:val="uk-UA"/>
        </w:rPr>
        <w:t xml:space="preserve">рапевтичних </w:t>
      </w:r>
      <w:r>
        <w:rPr>
          <w:lang w:val="uk-UA"/>
        </w:rPr>
        <w:lastRenderedPageBreak/>
        <w:t>доз (ТІ &gt; 150). Таблетки піфламіну при пероральному введенні мають ЛД</w:t>
      </w:r>
      <w:r>
        <w:rPr>
          <w:vertAlign w:val="subscript"/>
          <w:lang w:val="uk-UA"/>
        </w:rPr>
        <w:t>50</w:t>
      </w:r>
      <w:r>
        <w:rPr>
          <w:lang w:val="uk-UA"/>
        </w:rPr>
        <w:t xml:space="preserve"> &gt; 15000 мг/кг, що свідчить про однаковий із силібором ступінь то</w:t>
      </w:r>
      <w:r>
        <w:rPr>
          <w:lang w:val="uk-UA"/>
        </w:rPr>
        <w:t>к</w:t>
      </w:r>
      <w:r>
        <w:rPr>
          <w:lang w:val="uk-UA"/>
        </w:rPr>
        <w:t>сичності - “відносно нешкідливі”.</w:t>
      </w:r>
    </w:p>
    <w:p w:rsidR="00D24B08" w:rsidRDefault="00D24B08" w:rsidP="00D24B08">
      <w:pPr>
        <w:spacing w:line="360" w:lineRule="exact"/>
        <w:ind w:firstLine="709"/>
        <w:jc w:val="both"/>
        <w:rPr>
          <w:lang w:val="uk-UA"/>
        </w:rPr>
      </w:pPr>
      <w:r>
        <w:rPr>
          <w:lang w:val="uk-UA"/>
        </w:rPr>
        <w:t>Дослідження можливого впливу піфламіну на ШКТ у дозах, ефективних за антиоксидантною та гепатозахисною активністю, встановили відсутність у преп</w:t>
      </w:r>
      <w:r>
        <w:rPr>
          <w:lang w:val="uk-UA"/>
        </w:rPr>
        <w:t>а</w:t>
      </w:r>
      <w:r>
        <w:rPr>
          <w:lang w:val="uk-UA"/>
        </w:rPr>
        <w:t>рата ульцерогенної дії та впливу на секрецію і кислотність шлункового соку на в</w:t>
      </w:r>
      <w:r>
        <w:rPr>
          <w:lang w:val="uk-UA"/>
        </w:rPr>
        <w:t>і</w:t>
      </w:r>
      <w:r>
        <w:rPr>
          <w:lang w:val="uk-UA"/>
        </w:rPr>
        <w:t>дміну від препарату порівняння, який підвищував ці показники. Посилення піфл</w:t>
      </w:r>
      <w:r>
        <w:rPr>
          <w:lang w:val="uk-UA"/>
        </w:rPr>
        <w:t>а</w:t>
      </w:r>
      <w:r>
        <w:rPr>
          <w:lang w:val="uk-UA"/>
        </w:rPr>
        <w:t>міном перистальтики кишечнику властиве рослинним поліфенолам (Барабой В.А., 1984 ), в тому числі і біофлавоноїдам гепатопротектору - силіб</w:t>
      </w:r>
      <w:r>
        <w:rPr>
          <w:lang w:val="uk-UA"/>
        </w:rPr>
        <w:t>о</w:t>
      </w:r>
      <w:r>
        <w:rPr>
          <w:lang w:val="uk-UA"/>
        </w:rPr>
        <w:t>ру.</w:t>
      </w:r>
    </w:p>
    <w:p w:rsidR="00D24B08" w:rsidRDefault="00D24B08" w:rsidP="00D24B08">
      <w:pPr>
        <w:pStyle w:val="8"/>
        <w:spacing w:line="360" w:lineRule="exact"/>
      </w:pPr>
    </w:p>
    <w:p w:rsidR="00D24B08" w:rsidRDefault="00D24B08" w:rsidP="00D24B08">
      <w:pPr>
        <w:pStyle w:val="8"/>
        <w:spacing w:line="360" w:lineRule="exact"/>
      </w:pPr>
      <w:r>
        <w:t>ВИСНОВКИ</w:t>
      </w:r>
    </w:p>
    <w:p w:rsidR="00D24B08" w:rsidRDefault="00D24B08" w:rsidP="00D24B08"/>
    <w:p w:rsidR="00D24B08" w:rsidRDefault="00D24B08" w:rsidP="00D24B08">
      <w:pPr>
        <w:spacing w:line="360" w:lineRule="exact"/>
        <w:ind w:firstLine="720"/>
        <w:jc w:val="both"/>
        <w:rPr>
          <w:lang w:val="uk-UA"/>
        </w:rPr>
      </w:pPr>
      <w:r>
        <w:rPr>
          <w:lang w:val="uk-UA"/>
        </w:rPr>
        <w:t>У дисертації наведено теоретичне узагальнення даних про перспективність пошуку нових гепатопротекторних засобів з антиоксидантним механізмом дії і з</w:t>
      </w:r>
      <w:r>
        <w:rPr>
          <w:lang w:val="uk-UA"/>
        </w:rPr>
        <w:t>а</w:t>
      </w:r>
      <w:r>
        <w:rPr>
          <w:lang w:val="uk-UA"/>
        </w:rPr>
        <w:t>пропоновано нове вирішення наукового завдання, що виявляється в експеримент</w:t>
      </w:r>
      <w:r>
        <w:rPr>
          <w:lang w:val="uk-UA"/>
        </w:rPr>
        <w:t>а</w:t>
      </w:r>
      <w:r>
        <w:rPr>
          <w:lang w:val="uk-UA"/>
        </w:rPr>
        <w:t>льному дослідженні рослинного препарату гепатозахисної дії піфламіну, одерж</w:t>
      </w:r>
      <w:r>
        <w:rPr>
          <w:lang w:val="uk-UA"/>
        </w:rPr>
        <w:t>а</w:t>
      </w:r>
      <w:r>
        <w:rPr>
          <w:lang w:val="uk-UA"/>
        </w:rPr>
        <w:t>ного з трави гороху посівного. Порівняння з поліфенольним гепатопротектором сил</w:t>
      </w:r>
      <w:r>
        <w:rPr>
          <w:lang w:val="uk-UA"/>
        </w:rPr>
        <w:t>і</w:t>
      </w:r>
      <w:r>
        <w:rPr>
          <w:lang w:val="uk-UA"/>
        </w:rPr>
        <w:t>бором показало, що піфламін має більш виражені антиоксидантні, мембрано- і судиностабілізувальні та протизапальні властивості, які лежать в основі гепатоз</w:t>
      </w:r>
      <w:r>
        <w:rPr>
          <w:lang w:val="uk-UA"/>
        </w:rPr>
        <w:t>а</w:t>
      </w:r>
      <w:r>
        <w:rPr>
          <w:lang w:val="uk-UA"/>
        </w:rPr>
        <w:t xml:space="preserve">хисної дії препарату. </w:t>
      </w:r>
    </w:p>
    <w:p w:rsidR="00D24B08" w:rsidRDefault="00D24B08" w:rsidP="00E34E4F">
      <w:pPr>
        <w:numPr>
          <w:ilvl w:val="0"/>
          <w:numId w:val="43"/>
        </w:numPr>
        <w:tabs>
          <w:tab w:val="clear" w:pos="1069"/>
          <w:tab w:val="num" w:pos="270"/>
        </w:tabs>
        <w:suppressAutoHyphens w:val="0"/>
        <w:spacing w:line="360" w:lineRule="exact"/>
        <w:ind w:left="270" w:hanging="270"/>
        <w:jc w:val="both"/>
        <w:rPr>
          <w:lang w:val="uk-UA"/>
        </w:rPr>
      </w:pPr>
      <w:r>
        <w:rPr>
          <w:lang w:val="uk-UA"/>
        </w:rPr>
        <w:t>Установлені ефективні дози піфламіну за антиоксидантною дією – 100 і 150 мг/кг. Визначений механізм антиоксидантної дії, який включає антирадикальну активність по відношенню до активних метаболітів кисню - гідроксильного та суперо</w:t>
      </w:r>
      <w:r>
        <w:rPr>
          <w:lang w:val="uk-UA"/>
        </w:rPr>
        <w:t>к</w:t>
      </w:r>
      <w:r>
        <w:rPr>
          <w:lang w:val="uk-UA"/>
        </w:rPr>
        <w:t>сидного радикалів, утворення хелатних комплексів з іонами заліза (II) та підвищення активності фізіологічної антиоксидантної системи. За антиоксида</w:t>
      </w:r>
      <w:r>
        <w:rPr>
          <w:lang w:val="uk-UA"/>
        </w:rPr>
        <w:t>н</w:t>
      </w:r>
      <w:r>
        <w:rPr>
          <w:lang w:val="uk-UA"/>
        </w:rPr>
        <w:t>тною активністю піфламін не поступається перед вітаміном Е в дозі 50 мг/кг і перевершує акт</w:t>
      </w:r>
      <w:r>
        <w:rPr>
          <w:lang w:val="uk-UA"/>
        </w:rPr>
        <w:t>и</w:t>
      </w:r>
      <w:r>
        <w:rPr>
          <w:lang w:val="uk-UA"/>
        </w:rPr>
        <w:t>вність силібору в дозі 25 мг/кг.</w:t>
      </w:r>
    </w:p>
    <w:p w:rsidR="00D24B08" w:rsidRDefault="00D24B08" w:rsidP="00E34E4F">
      <w:pPr>
        <w:numPr>
          <w:ilvl w:val="0"/>
          <w:numId w:val="43"/>
        </w:numPr>
        <w:tabs>
          <w:tab w:val="clear" w:pos="1069"/>
          <w:tab w:val="num" w:pos="270"/>
        </w:tabs>
        <w:suppressAutoHyphens w:val="0"/>
        <w:spacing w:line="360" w:lineRule="exact"/>
        <w:ind w:left="270" w:hanging="270"/>
        <w:jc w:val="both"/>
        <w:rPr>
          <w:lang w:val="uk-UA"/>
        </w:rPr>
      </w:pPr>
      <w:r>
        <w:rPr>
          <w:lang w:val="uk-UA"/>
        </w:rPr>
        <w:t>Піфламін стабілізує клітинні і субклітинні мембрани, про що свідчить зн</w:t>
      </w:r>
      <w:r>
        <w:rPr>
          <w:lang w:val="uk-UA"/>
        </w:rPr>
        <w:t>и</w:t>
      </w:r>
      <w:r>
        <w:rPr>
          <w:lang w:val="uk-UA"/>
        </w:rPr>
        <w:t>ження цитолізу гепатоцитів, зниження спонтанного гемолізу і підвищення резистентн</w:t>
      </w:r>
      <w:r>
        <w:rPr>
          <w:lang w:val="uk-UA"/>
        </w:rPr>
        <w:t>о</w:t>
      </w:r>
      <w:r>
        <w:rPr>
          <w:lang w:val="uk-UA"/>
        </w:rPr>
        <w:t>сті еритроцитів, відновлення функцій мітохондрій, запобігання ушкодженню мембранозв’язаного ферменту цитохр</w:t>
      </w:r>
      <w:r>
        <w:rPr>
          <w:lang w:val="uk-UA"/>
        </w:rPr>
        <w:t>о</w:t>
      </w:r>
      <w:r>
        <w:rPr>
          <w:lang w:val="uk-UA"/>
        </w:rPr>
        <w:t xml:space="preserve">му Р-450. </w:t>
      </w:r>
    </w:p>
    <w:p w:rsidR="00D24B08" w:rsidRDefault="00D24B08" w:rsidP="00E34E4F">
      <w:pPr>
        <w:numPr>
          <w:ilvl w:val="0"/>
          <w:numId w:val="43"/>
        </w:numPr>
        <w:tabs>
          <w:tab w:val="clear" w:pos="1069"/>
          <w:tab w:val="num" w:pos="270"/>
        </w:tabs>
        <w:suppressAutoHyphens w:val="0"/>
        <w:spacing w:line="360" w:lineRule="exact"/>
        <w:ind w:left="270" w:hanging="270"/>
        <w:jc w:val="both"/>
        <w:rPr>
          <w:lang w:val="uk-UA"/>
        </w:rPr>
      </w:pPr>
      <w:r>
        <w:rPr>
          <w:lang w:val="uk-UA"/>
        </w:rPr>
        <w:t>Протизапальний ефект піфламіну обумовлений його антиоксидантними власт</w:t>
      </w:r>
      <w:r>
        <w:rPr>
          <w:lang w:val="uk-UA"/>
        </w:rPr>
        <w:t>и</w:t>
      </w:r>
      <w:r>
        <w:rPr>
          <w:lang w:val="uk-UA"/>
        </w:rPr>
        <w:t>востями, інгібуючим впливом на синтез медіаторів запалення - лейкотриєнів, к</w:t>
      </w:r>
      <w:r>
        <w:rPr>
          <w:lang w:val="uk-UA"/>
        </w:rPr>
        <w:t>і</w:t>
      </w:r>
      <w:r>
        <w:rPr>
          <w:lang w:val="uk-UA"/>
        </w:rPr>
        <w:t>нінів і серотоніну та зниженням судинної проникності.  Порівняння дії піфлам</w:t>
      </w:r>
      <w:r>
        <w:rPr>
          <w:lang w:val="uk-UA"/>
        </w:rPr>
        <w:t>і</w:t>
      </w:r>
      <w:r>
        <w:rPr>
          <w:lang w:val="uk-UA"/>
        </w:rPr>
        <w:t>ну і силібору в ізоефективних дозах за гепатозахисною активністю виявило п</w:t>
      </w:r>
      <w:r>
        <w:rPr>
          <w:lang w:val="uk-UA"/>
        </w:rPr>
        <w:t>е</w:t>
      </w:r>
      <w:r>
        <w:rPr>
          <w:lang w:val="uk-UA"/>
        </w:rPr>
        <w:t>реваги піфламіну за антиліпоксигеназною активністю і  судиностаб</w:t>
      </w:r>
      <w:r>
        <w:rPr>
          <w:lang w:val="uk-UA"/>
        </w:rPr>
        <w:t>і</w:t>
      </w:r>
      <w:r>
        <w:rPr>
          <w:lang w:val="uk-UA"/>
        </w:rPr>
        <w:t>лізувальним ефектом.</w:t>
      </w:r>
    </w:p>
    <w:p w:rsidR="00D24B08" w:rsidRDefault="00D24B08" w:rsidP="00E34E4F">
      <w:pPr>
        <w:numPr>
          <w:ilvl w:val="0"/>
          <w:numId w:val="43"/>
        </w:numPr>
        <w:tabs>
          <w:tab w:val="clear" w:pos="1069"/>
          <w:tab w:val="num" w:pos="270"/>
        </w:tabs>
        <w:suppressAutoHyphens w:val="0"/>
        <w:spacing w:line="360" w:lineRule="exact"/>
        <w:ind w:left="270" w:hanging="270"/>
        <w:jc w:val="both"/>
        <w:rPr>
          <w:b/>
          <w:color w:val="000000"/>
          <w:lang w:val="uk-UA"/>
        </w:rPr>
      </w:pPr>
      <w:r>
        <w:rPr>
          <w:lang w:val="uk-UA"/>
        </w:rPr>
        <w:t>За умов експериментального моделювання патологій печінки піфламін в дозі 150 мг/кг виявляє гепатозахисну дію, яка проявляється відновленням функціонального стану печі</w:t>
      </w:r>
      <w:r>
        <w:rPr>
          <w:lang w:val="uk-UA"/>
        </w:rPr>
        <w:t>н</w:t>
      </w:r>
      <w:r>
        <w:rPr>
          <w:lang w:val="uk-UA"/>
        </w:rPr>
        <w:t>ки і нормалізацією гомеостазу.</w:t>
      </w:r>
    </w:p>
    <w:p w:rsidR="00D24B08" w:rsidRDefault="00D24B08" w:rsidP="00E34E4F">
      <w:pPr>
        <w:numPr>
          <w:ilvl w:val="0"/>
          <w:numId w:val="43"/>
        </w:numPr>
        <w:tabs>
          <w:tab w:val="clear" w:pos="1069"/>
          <w:tab w:val="num" w:pos="270"/>
        </w:tabs>
        <w:suppressAutoHyphens w:val="0"/>
        <w:spacing w:line="360" w:lineRule="exact"/>
        <w:ind w:left="270" w:hanging="270"/>
        <w:jc w:val="both"/>
        <w:rPr>
          <w:b/>
          <w:color w:val="000000"/>
          <w:lang w:val="uk-UA"/>
        </w:rPr>
      </w:pPr>
      <w:r>
        <w:rPr>
          <w:lang w:val="uk-UA"/>
        </w:rPr>
        <w:t>Піфламін виявляє антитоксичні властивості, про що свідчить здатність усув</w:t>
      </w:r>
      <w:r>
        <w:rPr>
          <w:lang w:val="uk-UA"/>
        </w:rPr>
        <w:t>а</w:t>
      </w:r>
      <w:r>
        <w:rPr>
          <w:lang w:val="uk-UA"/>
        </w:rPr>
        <w:t>ти наслідки негативної дії гепатотоксинів за умов гострого, субхронічного і хроні</w:t>
      </w:r>
      <w:r>
        <w:rPr>
          <w:lang w:val="uk-UA"/>
        </w:rPr>
        <w:t>ч</w:t>
      </w:r>
      <w:r>
        <w:rPr>
          <w:lang w:val="uk-UA"/>
        </w:rPr>
        <w:t>ного гепатитів у щурів.</w:t>
      </w:r>
    </w:p>
    <w:p w:rsidR="00D24B08" w:rsidRDefault="00D24B08" w:rsidP="00E34E4F">
      <w:pPr>
        <w:numPr>
          <w:ilvl w:val="0"/>
          <w:numId w:val="43"/>
        </w:numPr>
        <w:tabs>
          <w:tab w:val="clear" w:pos="1069"/>
          <w:tab w:val="num" w:pos="270"/>
        </w:tabs>
        <w:suppressAutoHyphens w:val="0"/>
        <w:spacing w:line="360" w:lineRule="exact"/>
        <w:ind w:left="270" w:hanging="270"/>
        <w:jc w:val="both"/>
        <w:rPr>
          <w:b/>
          <w:color w:val="000000"/>
          <w:lang w:val="uk-UA"/>
        </w:rPr>
      </w:pPr>
      <w:r>
        <w:rPr>
          <w:lang w:val="uk-UA"/>
        </w:rPr>
        <w:lastRenderedPageBreak/>
        <w:t>Отримані результати показали переваги піфламіну за гепатопротекторною д</w:t>
      </w:r>
      <w:r>
        <w:rPr>
          <w:lang w:val="uk-UA"/>
        </w:rPr>
        <w:t>і</w:t>
      </w:r>
      <w:r>
        <w:rPr>
          <w:lang w:val="uk-UA"/>
        </w:rPr>
        <w:t>єю перед силібором у виучуваних дозах, а саме за антиоксидантною, мембраност</w:t>
      </w:r>
      <w:r>
        <w:rPr>
          <w:lang w:val="uk-UA"/>
        </w:rPr>
        <w:t>а</w:t>
      </w:r>
      <w:r>
        <w:rPr>
          <w:lang w:val="uk-UA"/>
        </w:rPr>
        <w:t>білізувальною та протизапальною активністю, відновленням функцій печінки, стимуляцією процесів синтезу та внутрішньоклітинної регенерації, що поясн</w:t>
      </w:r>
      <w:r>
        <w:rPr>
          <w:lang w:val="uk-UA"/>
        </w:rPr>
        <w:t>ю</w:t>
      </w:r>
      <w:r>
        <w:rPr>
          <w:lang w:val="uk-UA"/>
        </w:rPr>
        <w:t>ється більш вираженими антиоксидантними властивостями піфламіну та його комплексним складом: присутністю поряд з антиоксидантами-поліфенолами амінокислот, полісахаридів, глікопротеїнів, макро- та мікроелементів, які забезпечують метаболічну дію препар</w:t>
      </w:r>
      <w:r>
        <w:rPr>
          <w:lang w:val="uk-UA"/>
        </w:rPr>
        <w:t>а</w:t>
      </w:r>
      <w:r>
        <w:rPr>
          <w:lang w:val="uk-UA"/>
        </w:rPr>
        <w:t>ту.</w:t>
      </w:r>
    </w:p>
    <w:p w:rsidR="00D24B08" w:rsidRDefault="00D24B08" w:rsidP="00E34E4F">
      <w:pPr>
        <w:numPr>
          <w:ilvl w:val="0"/>
          <w:numId w:val="43"/>
        </w:numPr>
        <w:tabs>
          <w:tab w:val="clear" w:pos="1069"/>
          <w:tab w:val="num" w:pos="270"/>
        </w:tabs>
        <w:suppressAutoHyphens w:val="0"/>
        <w:spacing w:line="360" w:lineRule="exact"/>
        <w:ind w:left="270" w:hanging="270"/>
        <w:jc w:val="both"/>
        <w:rPr>
          <w:b/>
          <w:color w:val="000000"/>
          <w:lang w:val="uk-UA"/>
        </w:rPr>
      </w:pPr>
      <w:r>
        <w:rPr>
          <w:lang w:val="uk-UA"/>
        </w:rPr>
        <w:t>Піфламін є відносно нешкідливим, не має видової чутливості і характериз</w:t>
      </w:r>
      <w:r>
        <w:rPr>
          <w:lang w:val="uk-UA"/>
        </w:rPr>
        <w:t>у</w:t>
      </w:r>
      <w:r>
        <w:rPr>
          <w:lang w:val="uk-UA"/>
        </w:rPr>
        <w:t xml:space="preserve">ється великою широтою терапевтичної дії.    </w:t>
      </w:r>
    </w:p>
    <w:p w:rsidR="00D24B08" w:rsidRDefault="00D24B08" w:rsidP="00E34E4F">
      <w:pPr>
        <w:numPr>
          <w:ilvl w:val="0"/>
          <w:numId w:val="43"/>
        </w:numPr>
        <w:tabs>
          <w:tab w:val="clear" w:pos="1069"/>
          <w:tab w:val="num" w:pos="270"/>
        </w:tabs>
        <w:suppressAutoHyphens w:val="0"/>
        <w:spacing w:line="360" w:lineRule="exact"/>
        <w:ind w:left="270" w:hanging="270"/>
        <w:jc w:val="both"/>
        <w:rPr>
          <w:lang w:val="uk-UA"/>
        </w:rPr>
      </w:pPr>
      <w:r>
        <w:rPr>
          <w:lang w:val="uk-UA"/>
        </w:rPr>
        <w:t>Піфламін не проявляє ульцерогенної дії, на відміну від силібору не виявляє гіп</w:t>
      </w:r>
      <w:r>
        <w:rPr>
          <w:lang w:val="uk-UA"/>
        </w:rPr>
        <w:t>е</w:t>
      </w:r>
      <w:r>
        <w:rPr>
          <w:lang w:val="uk-UA"/>
        </w:rPr>
        <w:t>рацидних властивостей і не впливає на секреторну функцію шлунка. В ефекти</w:t>
      </w:r>
      <w:r>
        <w:rPr>
          <w:lang w:val="uk-UA"/>
        </w:rPr>
        <w:t>в</w:t>
      </w:r>
      <w:r>
        <w:rPr>
          <w:lang w:val="uk-UA"/>
        </w:rPr>
        <w:t>ній дозі за гепатозахисною дією піфламін, як і силібор, підвищує перистальтику к</w:t>
      </w:r>
      <w:r>
        <w:rPr>
          <w:lang w:val="uk-UA"/>
        </w:rPr>
        <w:t>и</w:t>
      </w:r>
      <w:r>
        <w:rPr>
          <w:lang w:val="uk-UA"/>
        </w:rPr>
        <w:t>шечнику.</w:t>
      </w:r>
    </w:p>
    <w:p w:rsidR="00D24B08" w:rsidRDefault="00D24B08" w:rsidP="00E34E4F">
      <w:pPr>
        <w:numPr>
          <w:ilvl w:val="0"/>
          <w:numId w:val="43"/>
        </w:numPr>
        <w:tabs>
          <w:tab w:val="clear" w:pos="1069"/>
          <w:tab w:val="num" w:pos="270"/>
        </w:tabs>
        <w:suppressAutoHyphens w:val="0"/>
        <w:spacing w:line="360" w:lineRule="exact"/>
        <w:ind w:left="270" w:hanging="270"/>
        <w:jc w:val="both"/>
        <w:rPr>
          <w:lang w:val="uk-UA"/>
        </w:rPr>
      </w:pPr>
      <w:r>
        <w:rPr>
          <w:lang w:val="uk-UA"/>
        </w:rPr>
        <w:t>Піфламін призначений для застосування в патогенетичній терапії гострих та хронічних гепатитів токсичної етіології і рекомендується для поширення асортименту вітчизняних г</w:t>
      </w:r>
      <w:r>
        <w:rPr>
          <w:lang w:val="uk-UA"/>
        </w:rPr>
        <w:t>е</w:t>
      </w:r>
      <w:r>
        <w:rPr>
          <w:lang w:val="uk-UA"/>
        </w:rPr>
        <w:t>патопротекторів.</w:t>
      </w:r>
    </w:p>
    <w:p w:rsidR="00D24B08" w:rsidRDefault="00D24B08" w:rsidP="00D24B08">
      <w:pPr>
        <w:spacing w:line="360" w:lineRule="exact"/>
        <w:jc w:val="both"/>
        <w:rPr>
          <w:lang w:val="uk-UA"/>
        </w:rPr>
      </w:pPr>
    </w:p>
    <w:p w:rsidR="00D24B08" w:rsidRDefault="00D24B08" w:rsidP="00D24B08">
      <w:pPr>
        <w:spacing w:line="360" w:lineRule="exact"/>
        <w:ind w:left="709"/>
        <w:jc w:val="both"/>
        <w:rPr>
          <w:b/>
          <w:bCs/>
          <w:lang w:val="uk-UA"/>
        </w:rPr>
      </w:pPr>
      <w:r>
        <w:rPr>
          <w:lang w:val="uk-UA"/>
        </w:rPr>
        <w:t xml:space="preserve"> </w:t>
      </w:r>
      <w:r>
        <w:rPr>
          <w:b/>
          <w:bCs/>
          <w:lang w:val="uk-UA"/>
        </w:rPr>
        <w:t>СПИСОК ОПУБЛІКОВАНИХ ПРАЦЬ ЗА ТЕМОЮ ДИСЕРТАЦІЇ:</w:t>
      </w:r>
    </w:p>
    <w:p w:rsidR="00D24B08" w:rsidRDefault="00D24B08" w:rsidP="00D24B08">
      <w:pPr>
        <w:spacing w:line="360" w:lineRule="exact"/>
        <w:ind w:left="709"/>
        <w:jc w:val="both"/>
        <w:rPr>
          <w:b/>
          <w:bCs/>
          <w:lang w:val="uk-UA"/>
        </w:rPr>
      </w:pPr>
    </w:p>
    <w:p w:rsidR="00D24B08" w:rsidRDefault="00D24B08" w:rsidP="00D24B08">
      <w:pPr>
        <w:spacing w:line="360" w:lineRule="exact"/>
        <w:ind w:left="270" w:hanging="270"/>
        <w:jc w:val="both"/>
        <w:rPr>
          <w:lang w:val="uk-UA"/>
        </w:rPr>
      </w:pPr>
      <w:r>
        <w:rPr>
          <w:color w:val="000000"/>
          <w:lang w:val="uk-UA"/>
        </w:rPr>
        <w:t>1.</w:t>
      </w:r>
      <w:r>
        <w:rPr>
          <w:lang w:val="uk-UA"/>
        </w:rPr>
        <w:t>Герасимова О.О. Експериментальне дослідження впливу на процеси вільнорад</w:t>
      </w:r>
      <w:r>
        <w:rPr>
          <w:lang w:val="uk-UA"/>
        </w:rPr>
        <w:t>и</w:t>
      </w:r>
      <w:r>
        <w:rPr>
          <w:lang w:val="uk-UA"/>
        </w:rPr>
        <w:t xml:space="preserve">кального окислення нового гепатопротектора піфламіну /Медична хімія,- 2001.- Т.3.- №1.- С.44-47. </w:t>
      </w:r>
    </w:p>
    <w:p w:rsidR="00D24B08" w:rsidRDefault="00D24B08" w:rsidP="00D24B08">
      <w:pPr>
        <w:spacing w:line="360" w:lineRule="exact"/>
        <w:ind w:left="270" w:hanging="270"/>
        <w:jc w:val="both"/>
        <w:rPr>
          <w:color w:val="000000"/>
          <w:lang w:val="uk-UA"/>
        </w:rPr>
      </w:pPr>
      <w:r>
        <w:rPr>
          <w:color w:val="000000"/>
          <w:lang w:val="uk-UA"/>
        </w:rPr>
        <w:t>2</w:t>
      </w:r>
      <w:r>
        <w:rPr>
          <w:lang w:val="uk-UA"/>
        </w:rPr>
        <w:t>.Герасимова О.О., Яковлєва Л.В. Корекція мембранних порушень, викликаних т</w:t>
      </w:r>
      <w:r>
        <w:rPr>
          <w:lang w:val="uk-UA"/>
        </w:rPr>
        <w:t>е</w:t>
      </w:r>
      <w:r>
        <w:rPr>
          <w:lang w:val="uk-UA"/>
        </w:rPr>
        <w:t>трацикліном, за допомогою нового рослинного гепатопротектора піфламіну //Медична хімія.- 2002.- Т.4.- № 1.- С.65-67</w:t>
      </w:r>
      <w:r>
        <w:rPr>
          <w:b/>
          <w:lang w:val="uk-UA"/>
        </w:rPr>
        <w:t xml:space="preserve"> </w:t>
      </w:r>
      <w:r>
        <w:rPr>
          <w:color w:val="000000"/>
          <w:lang w:val="uk-UA"/>
        </w:rPr>
        <w:t>(</w:t>
      </w:r>
      <w:r>
        <w:rPr>
          <w:b/>
          <w:color w:val="000000"/>
          <w:lang w:val="uk-UA"/>
        </w:rPr>
        <w:t xml:space="preserve">особистий внесок здобувача: </w:t>
      </w:r>
      <w:r>
        <w:rPr>
          <w:color w:val="000000"/>
          <w:lang w:val="uk-UA"/>
        </w:rPr>
        <w:t>пр</w:t>
      </w:r>
      <w:r>
        <w:rPr>
          <w:color w:val="000000"/>
          <w:lang w:val="uk-UA"/>
        </w:rPr>
        <w:t>о</w:t>
      </w:r>
      <w:r>
        <w:rPr>
          <w:color w:val="000000"/>
          <w:lang w:val="uk-UA"/>
        </w:rPr>
        <w:t>ведені експериментальні дослідження, участь в аналізі і узагальненні отриманих д</w:t>
      </w:r>
      <w:r>
        <w:rPr>
          <w:color w:val="000000"/>
          <w:lang w:val="uk-UA"/>
        </w:rPr>
        <w:t>а</w:t>
      </w:r>
      <w:r>
        <w:rPr>
          <w:color w:val="000000"/>
          <w:lang w:val="uk-UA"/>
        </w:rPr>
        <w:t>них, підготовка статті).</w:t>
      </w:r>
    </w:p>
    <w:p w:rsidR="00D24B08" w:rsidRDefault="00D24B08" w:rsidP="00D24B08">
      <w:pPr>
        <w:spacing w:line="360" w:lineRule="exact"/>
        <w:ind w:left="270" w:hanging="270"/>
        <w:jc w:val="both"/>
        <w:rPr>
          <w:color w:val="000000"/>
          <w:lang w:val="uk-UA"/>
        </w:rPr>
      </w:pPr>
      <w:r>
        <w:rPr>
          <w:color w:val="000000"/>
          <w:lang w:val="uk-UA"/>
        </w:rPr>
        <w:t>3.Яковлєва Л.В., Герасимова О.О. Дослідження механізмів антиоксидантної дії р</w:t>
      </w:r>
      <w:r>
        <w:rPr>
          <w:color w:val="000000"/>
          <w:lang w:val="uk-UA"/>
        </w:rPr>
        <w:t>о</w:t>
      </w:r>
      <w:r>
        <w:rPr>
          <w:color w:val="000000"/>
          <w:lang w:val="uk-UA"/>
        </w:rPr>
        <w:t>слинного гепатопротектора піфламіна //Клінічна фармація.- 2002.- Т.6.- №4.- С. 28-32. (</w:t>
      </w:r>
      <w:r>
        <w:rPr>
          <w:b/>
          <w:color w:val="000000"/>
          <w:lang w:val="uk-UA"/>
        </w:rPr>
        <w:t xml:space="preserve">особистий внесок здобувача: </w:t>
      </w:r>
      <w:r>
        <w:rPr>
          <w:color w:val="000000"/>
          <w:lang w:val="uk-UA"/>
        </w:rPr>
        <w:t>проведені експериментальні д</w:t>
      </w:r>
      <w:r>
        <w:rPr>
          <w:color w:val="000000"/>
          <w:lang w:val="uk-UA"/>
        </w:rPr>
        <w:t>о</w:t>
      </w:r>
      <w:r>
        <w:rPr>
          <w:color w:val="000000"/>
          <w:lang w:val="uk-UA"/>
        </w:rPr>
        <w:t>слідження, участь в аналізі і узагальненні отриманих д</w:t>
      </w:r>
      <w:r>
        <w:rPr>
          <w:color w:val="000000"/>
          <w:lang w:val="uk-UA"/>
        </w:rPr>
        <w:t>а</w:t>
      </w:r>
      <w:r>
        <w:rPr>
          <w:color w:val="000000"/>
          <w:lang w:val="uk-UA"/>
        </w:rPr>
        <w:t>них, підготовка статті).</w:t>
      </w:r>
    </w:p>
    <w:p w:rsidR="00D24B08" w:rsidRDefault="00D24B08" w:rsidP="00D24B08">
      <w:pPr>
        <w:spacing w:line="360" w:lineRule="exact"/>
        <w:ind w:left="270" w:hanging="270"/>
        <w:jc w:val="both"/>
        <w:rPr>
          <w:color w:val="000000"/>
          <w:lang w:val="uk-UA"/>
        </w:rPr>
      </w:pPr>
      <w:r>
        <w:rPr>
          <w:lang w:val="uk-UA"/>
        </w:rPr>
        <w:t>4.Ковальова А.М., Георгієвський Г.В., Комісаренко А.М., Герасимова О.О. Тр</w:t>
      </w:r>
      <w:r>
        <w:rPr>
          <w:lang w:val="uk-UA"/>
        </w:rPr>
        <w:t>а</w:t>
      </w:r>
      <w:r>
        <w:rPr>
          <w:lang w:val="uk-UA"/>
        </w:rPr>
        <w:t xml:space="preserve">ва гороху посівного – джерело одержання лікарських засобів //Фармаком.- 2002. - № 3.- С.158-163 </w:t>
      </w:r>
      <w:r>
        <w:rPr>
          <w:color w:val="000000"/>
          <w:lang w:val="uk-UA"/>
        </w:rPr>
        <w:t>(</w:t>
      </w:r>
      <w:r>
        <w:rPr>
          <w:b/>
          <w:color w:val="000000"/>
          <w:lang w:val="uk-UA"/>
        </w:rPr>
        <w:t xml:space="preserve">особистий внесок здобувача: </w:t>
      </w:r>
      <w:r>
        <w:rPr>
          <w:bCs/>
          <w:color w:val="000000"/>
          <w:lang w:val="uk-UA"/>
        </w:rPr>
        <w:t>приймала участь в аналізі і узагал</w:t>
      </w:r>
      <w:r>
        <w:rPr>
          <w:bCs/>
          <w:color w:val="000000"/>
          <w:lang w:val="uk-UA"/>
        </w:rPr>
        <w:t>ь</w:t>
      </w:r>
      <w:r>
        <w:rPr>
          <w:bCs/>
          <w:color w:val="000000"/>
          <w:lang w:val="uk-UA"/>
        </w:rPr>
        <w:t>ненні експериментальних даних з фармакології і у підготовці статті</w:t>
      </w:r>
      <w:r>
        <w:rPr>
          <w:color w:val="000000"/>
          <w:lang w:val="uk-UA"/>
        </w:rPr>
        <w:t>).</w:t>
      </w:r>
    </w:p>
    <w:p w:rsidR="00D24B08" w:rsidRDefault="00D24B08" w:rsidP="00D24B08">
      <w:pPr>
        <w:spacing w:line="360" w:lineRule="exact"/>
        <w:ind w:left="270" w:hanging="270"/>
        <w:jc w:val="both"/>
        <w:rPr>
          <w:bCs/>
          <w:lang w:val="uk-UA"/>
        </w:rPr>
      </w:pPr>
      <w:r>
        <w:rPr>
          <w:lang w:val="uk-UA"/>
        </w:rPr>
        <w:t>5.Деклараційний патент на винахід 30879А, Україна, МПК А 61К 38/43, А 61К 9/20. Спосіб одержання комплексу біологічно активних речовин, що має гепатопроте</w:t>
      </w:r>
      <w:r>
        <w:rPr>
          <w:lang w:val="uk-UA"/>
        </w:rPr>
        <w:t>к</w:t>
      </w:r>
      <w:r>
        <w:rPr>
          <w:lang w:val="uk-UA"/>
        </w:rPr>
        <w:t>торну дію, і засіб для лікування захворювань печінки, який вміщує даний комплекс “Піфламін” /Ковальова А.М., Комісаренко А.М., Яковлєва Л.В., Ти</w:t>
      </w:r>
      <w:r>
        <w:rPr>
          <w:lang w:val="uk-UA"/>
        </w:rPr>
        <w:t>м</w:t>
      </w:r>
      <w:r>
        <w:rPr>
          <w:lang w:val="uk-UA"/>
        </w:rPr>
        <w:t>ченко М.М., Черних В.П., Ковальов В.М., Герасимова О.О., Походенко М.П., Стрімоухов О.О., Бунятян Н.Д.; Заявл.16.06.98; Опубл. 15.12.00, Бюл.№ 7-</w:t>
      </w:r>
      <w:r>
        <w:rPr>
          <w:lang w:val="en-US"/>
        </w:rPr>
        <w:t>II</w:t>
      </w:r>
      <w:r>
        <w:rPr>
          <w:lang w:val="uk-UA"/>
        </w:rPr>
        <w:t xml:space="preserve"> </w:t>
      </w:r>
      <w:r>
        <w:rPr>
          <w:color w:val="000000"/>
          <w:lang w:val="uk-UA"/>
        </w:rPr>
        <w:t>(</w:t>
      </w:r>
      <w:r>
        <w:rPr>
          <w:b/>
          <w:color w:val="000000"/>
          <w:lang w:val="uk-UA"/>
        </w:rPr>
        <w:t xml:space="preserve">особистий внесок здобувача: </w:t>
      </w:r>
      <w:r>
        <w:rPr>
          <w:bCs/>
          <w:color w:val="000000"/>
          <w:lang w:val="uk-UA"/>
        </w:rPr>
        <w:t>приймала участь у патентному пошуку, в підг</w:t>
      </w:r>
      <w:r>
        <w:rPr>
          <w:bCs/>
          <w:color w:val="000000"/>
          <w:lang w:val="uk-UA"/>
        </w:rPr>
        <w:t>о</w:t>
      </w:r>
      <w:r>
        <w:rPr>
          <w:bCs/>
          <w:color w:val="000000"/>
          <w:lang w:val="uk-UA"/>
        </w:rPr>
        <w:t xml:space="preserve">товці опису до патенту).                                                                                                   </w:t>
      </w:r>
    </w:p>
    <w:p w:rsidR="00D24B08" w:rsidRDefault="00D24B08" w:rsidP="00D24B08">
      <w:pPr>
        <w:spacing w:line="360" w:lineRule="exact"/>
        <w:ind w:left="270" w:hanging="270"/>
        <w:jc w:val="both"/>
        <w:rPr>
          <w:color w:val="000000"/>
          <w:lang w:val="uk-UA"/>
        </w:rPr>
      </w:pPr>
      <w:r>
        <w:rPr>
          <w:lang w:val="uk-UA"/>
        </w:rPr>
        <w:lastRenderedPageBreak/>
        <w:t>6</w:t>
      </w:r>
      <w:r>
        <w:rPr>
          <w:color w:val="000000"/>
          <w:lang w:val="uk-UA"/>
        </w:rPr>
        <w:t>.Герасимова О.А. Гепатопротекторное действие растительного препарата пифл</w:t>
      </w:r>
      <w:r>
        <w:rPr>
          <w:color w:val="000000"/>
          <w:lang w:val="uk-UA"/>
        </w:rPr>
        <w:t>а</w:t>
      </w:r>
      <w:r>
        <w:rPr>
          <w:color w:val="000000"/>
          <w:lang w:val="uk-UA"/>
        </w:rPr>
        <w:t xml:space="preserve">мина при парацетамоловом поражении печени //Материалы научно-практ. конф. «Лекарства – человеку», г.Харьков.- 2001.- Т.XVI.- №1-2.- С.113-117. </w:t>
      </w:r>
    </w:p>
    <w:p w:rsidR="00D24B08" w:rsidRDefault="00D24B08" w:rsidP="00D24B08">
      <w:pPr>
        <w:spacing w:line="360" w:lineRule="exact"/>
        <w:ind w:left="270" w:hanging="270"/>
        <w:jc w:val="both"/>
        <w:rPr>
          <w:color w:val="000000"/>
          <w:lang w:val="uk-UA"/>
        </w:rPr>
      </w:pPr>
      <w:r>
        <w:rPr>
          <w:color w:val="000000"/>
          <w:lang w:val="uk-UA"/>
        </w:rPr>
        <w:t>7.Герасимова О.А. К механизму противовоспалительного действия растительн</w:t>
      </w:r>
      <w:r>
        <w:rPr>
          <w:color w:val="000000"/>
          <w:lang w:val="uk-UA"/>
        </w:rPr>
        <w:t>о</w:t>
      </w:r>
      <w:r>
        <w:rPr>
          <w:color w:val="000000"/>
          <w:lang w:val="uk-UA"/>
        </w:rPr>
        <w:t>го гепатопротектора пифламина //Материалы научно-практ. конф. «Лекарства – ч</w:t>
      </w:r>
      <w:r>
        <w:rPr>
          <w:color w:val="000000"/>
          <w:lang w:val="uk-UA"/>
        </w:rPr>
        <w:t>е</w:t>
      </w:r>
      <w:r>
        <w:rPr>
          <w:color w:val="000000"/>
          <w:lang w:val="uk-UA"/>
        </w:rPr>
        <w:t xml:space="preserve">ловеку», г.Харьков.- 2002.- Т.XVII.- №1.- С.115-120. </w:t>
      </w:r>
    </w:p>
    <w:p w:rsidR="00D24B08" w:rsidRDefault="00D24B08" w:rsidP="00D24B08">
      <w:pPr>
        <w:spacing w:line="360" w:lineRule="exact"/>
        <w:ind w:left="270" w:hanging="270"/>
        <w:jc w:val="both"/>
        <w:rPr>
          <w:color w:val="000000"/>
          <w:lang w:val="uk-UA"/>
        </w:rPr>
      </w:pPr>
      <w:r>
        <w:rPr>
          <w:color w:val="000000"/>
          <w:lang w:val="uk-UA"/>
        </w:rPr>
        <w:t xml:space="preserve">8. </w:t>
      </w:r>
      <w:r>
        <w:rPr>
          <w:lang w:val="uk-UA"/>
        </w:rPr>
        <w:t>Герасимова О., Карбушева І. Протизапальна активність нових поліфенольних препаратів // Матеріали IV Міжнародного медичного конгресу студентів і мол</w:t>
      </w:r>
      <w:r>
        <w:rPr>
          <w:lang w:val="uk-UA"/>
        </w:rPr>
        <w:t>о</w:t>
      </w:r>
      <w:r>
        <w:rPr>
          <w:lang w:val="uk-UA"/>
        </w:rPr>
        <w:t xml:space="preserve">дих учених, 11-13 травня.- Тернопіль.- 2000.- с.378-379 </w:t>
      </w:r>
      <w:r>
        <w:rPr>
          <w:color w:val="000000"/>
          <w:lang w:val="uk-UA"/>
        </w:rPr>
        <w:t>(</w:t>
      </w:r>
      <w:r>
        <w:rPr>
          <w:b/>
          <w:color w:val="000000"/>
          <w:lang w:val="uk-UA"/>
        </w:rPr>
        <w:t>особистий внесок зд</w:t>
      </w:r>
      <w:r>
        <w:rPr>
          <w:b/>
          <w:color w:val="000000"/>
          <w:lang w:val="uk-UA"/>
        </w:rPr>
        <w:t>о</w:t>
      </w:r>
      <w:r>
        <w:rPr>
          <w:b/>
          <w:color w:val="000000"/>
          <w:lang w:val="uk-UA"/>
        </w:rPr>
        <w:t xml:space="preserve">бувача: </w:t>
      </w:r>
      <w:r>
        <w:rPr>
          <w:lang w:val="uk-UA"/>
        </w:rPr>
        <w:t xml:space="preserve">досліджені протизапальні властивості піфламіну, </w:t>
      </w:r>
      <w:r>
        <w:rPr>
          <w:color w:val="000000"/>
          <w:lang w:val="uk-UA"/>
        </w:rPr>
        <w:t>участь в аналізі і узагальненні отр</w:t>
      </w:r>
      <w:r>
        <w:rPr>
          <w:color w:val="000000"/>
          <w:lang w:val="uk-UA"/>
        </w:rPr>
        <w:t>и</w:t>
      </w:r>
      <w:r>
        <w:rPr>
          <w:color w:val="000000"/>
          <w:lang w:val="uk-UA"/>
        </w:rPr>
        <w:t>маних даних і підготовці тезів).</w:t>
      </w:r>
    </w:p>
    <w:p w:rsidR="00D24B08" w:rsidRDefault="00D24B08" w:rsidP="00D24B08">
      <w:pPr>
        <w:spacing w:line="360" w:lineRule="exact"/>
        <w:ind w:left="360" w:right="-143" w:hanging="360"/>
        <w:jc w:val="both"/>
        <w:rPr>
          <w:lang w:val="uk-UA"/>
        </w:rPr>
      </w:pPr>
      <w:r>
        <w:rPr>
          <w:lang w:val="uk-UA"/>
        </w:rPr>
        <w:t xml:space="preserve">9.Gerasimova O., Yakovleva L.. Influence of a new bioflavonoid drug piflamin on medicinal hepatitis process /Аbstracts. 6th European Congress of Pharmaceutical Sciences, EUFEPS 2000, Budapest, Hungary, 16-19 September // </w:t>
      </w:r>
      <w:r>
        <w:rPr>
          <w:lang w:val="en-US"/>
        </w:rPr>
        <w:t>European</w:t>
      </w:r>
      <w:r>
        <w:rPr>
          <w:lang w:val="uk-UA"/>
        </w:rPr>
        <w:t xml:space="preserve"> </w:t>
      </w:r>
      <w:r>
        <w:rPr>
          <w:lang w:val="en-US"/>
        </w:rPr>
        <w:t>journal</w:t>
      </w:r>
      <w:r>
        <w:rPr>
          <w:lang w:val="uk-UA"/>
        </w:rPr>
        <w:t xml:space="preserve"> </w:t>
      </w:r>
      <w:r>
        <w:rPr>
          <w:lang w:val="en-US"/>
        </w:rPr>
        <w:t>of</w:t>
      </w:r>
      <w:r>
        <w:rPr>
          <w:lang w:val="uk-UA"/>
        </w:rPr>
        <w:t xml:space="preserve"> </w:t>
      </w:r>
      <w:r>
        <w:rPr>
          <w:lang w:val="en-US"/>
        </w:rPr>
        <w:t>Pharmaceutical sciences</w:t>
      </w:r>
      <w:r>
        <w:rPr>
          <w:lang w:val="uk-UA"/>
        </w:rPr>
        <w:t>.- Elsevier, Amsterdam. - 2000. –</w:t>
      </w:r>
      <w:r w:rsidRPr="00D24B08">
        <w:rPr>
          <w:lang w:val="uk-UA"/>
        </w:rPr>
        <w:t xml:space="preserve"> </w:t>
      </w:r>
      <w:r>
        <w:rPr>
          <w:lang w:val="en-US"/>
        </w:rPr>
        <w:t>Vol</w:t>
      </w:r>
      <w:r w:rsidRPr="00D24B08">
        <w:rPr>
          <w:lang w:val="uk-UA"/>
        </w:rPr>
        <w:t>.11/</w:t>
      </w:r>
      <w:r>
        <w:rPr>
          <w:lang w:val="en-US"/>
        </w:rPr>
        <w:t>Suppl</w:t>
      </w:r>
      <w:r w:rsidRPr="00D24B08">
        <w:rPr>
          <w:lang w:val="uk-UA"/>
        </w:rPr>
        <w:t>.1.-</w:t>
      </w:r>
      <w:r>
        <w:rPr>
          <w:lang w:val="uk-UA"/>
        </w:rPr>
        <w:t xml:space="preserve"> S 78 </w:t>
      </w:r>
      <w:r>
        <w:rPr>
          <w:color w:val="000000"/>
          <w:lang w:val="uk-UA"/>
        </w:rPr>
        <w:t>(</w:t>
      </w:r>
      <w:r>
        <w:rPr>
          <w:b/>
          <w:color w:val="000000"/>
          <w:lang w:val="uk-UA"/>
        </w:rPr>
        <w:t>ос</w:t>
      </w:r>
      <w:r>
        <w:rPr>
          <w:b/>
          <w:color w:val="000000"/>
          <w:lang w:val="uk-UA"/>
        </w:rPr>
        <w:t>о</w:t>
      </w:r>
      <w:r>
        <w:rPr>
          <w:b/>
          <w:color w:val="000000"/>
          <w:lang w:val="uk-UA"/>
        </w:rPr>
        <w:t xml:space="preserve">бистий внесок здобувача: </w:t>
      </w:r>
      <w:r>
        <w:rPr>
          <w:color w:val="000000"/>
          <w:lang w:val="uk-UA"/>
        </w:rPr>
        <w:t>проведені експериментальні дослідження, участь в аналізі і узагальненні отриманих даних, підгот</w:t>
      </w:r>
      <w:r>
        <w:rPr>
          <w:color w:val="000000"/>
          <w:lang w:val="uk-UA"/>
        </w:rPr>
        <w:t>о</w:t>
      </w:r>
      <w:r>
        <w:rPr>
          <w:color w:val="000000"/>
          <w:lang w:val="uk-UA"/>
        </w:rPr>
        <w:t>вці тезів).</w:t>
      </w:r>
    </w:p>
    <w:p w:rsidR="00D24B08" w:rsidRDefault="00D24B08" w:rsidP="00D24B08">
      <w:pPr>
        <w:spacing w:line="360" w:lineRule="exact"/>
        <w:ind w:left="360" w:right="-143" w:hanging="360"/>
        <w:jc w:val="both"/>
        <w:rPr>
          <w:lang w:val="uk-UA"/>
        </w:rPr>
      </w:pPr>
      <w:r>
        <w:rPr>
          <w:lang w:val="uk-UA"/>
        </w:rPr>
        <w:t>10.Герасимова О., Сахарова Т., Карбушева І. Вплив фенольних антиоксидантів ро</w:t>
      </w:r>
      <w:r>
        <w:rPr>
          <w:lang w:val="uk-UA"/>
        </w:rPr>
        <w:t>с</w:t>
      </w:r>
      <w:r>
        <w:rPr>
          <w:lang w:val="uk-UA"/>
        </w:rPr>
        <w:t>линного походження на обмін ліпідів при експериментальному тетрациклінов</w:t>
      </w:r>
      <w:r>
        <w:rPr>
          <w:lang w:val="uk-UA"/>
        </w:rPr>
        <w:t>о</w:t>
      </w:r>
      <w:r>
        <w:rPr>
          <w:lang w:val="uk-UA"/>
        </w:rPr>
        <w:t>му гепатиті //Матеріали V Міжнародного медичного конгресу студентів і мол</w:t>
      </w:r>
      <w:r>
        <w:rPr>
          <w:lang w:val="uk-UA"/>
        </w:rPr>
        <w:t>о</w:t>
      </w:r>
      <w:r>
        <w:rPr>
          <w:lang w:val="uk-UA"/>
        </w:rPr>
        <w:t>дих учених, приурочений до 10-ї річниці незалежності України, 10-12  травня.- Тернопіль.- 2001.- С.197.</w:t>
      </w:r>
      <w:r>
        <w:rPr>
          <w:color w:val="000000"/>
          <w:lang w:val="uk-UA"/>
        </w:rPr>
        <w:t>(</w:t>
      </w:r>
      <w:r>
        <w:rPr>
          <w:b/>
          <w:color w:val="000000"/>
          <w:lang w:val="uk-UA"/>
        </w:rPr>
        <w:t xml:space="preserve">особистий внесок здобувача: </w:t>
      </w:r>
      <w:r>
        <w:rPr>
          <w:lang w:val="uk-UA"/>
        </w:rPr>
        <w:t>досліджені гепатозахи</w:t>
      </w:r>
      <w:r>
        <w:rPr>
          <w:lang w:val="uk-UA"/>
        </w:rPr>
        <w:t>с</w:t>
      </w:r>
      <w:r>
        <w:rPr>
          <w:lang w:val="uk-UA"/>
        </w:rPr>
        <w:t xml:space="preserve">ні властивості піфламіну, проведена статистична обробка результатів, </w:t>
      </w:r>
      <w:r>
        <w:rPr>
          <w:color w:val="000000"/>
          <w:lang w:val="uk-UA"/>
        </w:rPr>
        <w:t>, участь в аналізі і узагальненні отриманих даних, підготовці т</w:t>
      </w:r>
      <w:r>
        <w:rPr>
          <w:color w:val="000000"/>
          <w:lang w:val="uk-UA"/>
        </w:rPr>
        <w:t>е</w:t>
      </w:r>
      <w:r>
        <w:rPr>
          <w:color w:val="000000"/>
          <w:lang w:val="uk-UA"/>
        </w:rPr>
        <w:t>зів</w:t>
      </w:r>
      <w:r>
        <w:rPr>
          <w:lang w:val="uk-UA"/>
        </w:rPr>
        <w:t>).</w:t>
      </w:r>
    </w:p>
    <w:p w:rsidR="00D24B08" w:rsidRDefault="00D24B08" w:rsidP="00D24B08">
      <w:pPr>
        <w:pStyle w:val="afffffff9"/>
        <w:spacing w:line="360" w:lineRule="exact"/>
        <w:ind w:left="360" w:hanging="360"/>
        <w:jc w:val="both"/>
        <w:rPr>
          <w:rFonts w:ascii="Times New Roman" w:hAnsi="Times New Roman"/>
          <w:iCs/>
          <w:lang w:val="uk-UA"/>
        </w:rPr>
      </w:pPr>
      <w:r>
        <w:rPr>
          <w:rFonts w:ascii="Times New Roman" w:hAnsi="Times New Roman"/>
          <w:lang w:val="uk-UA"/>
        </w:rPr>
        <w:t>11.</w:t>
      </w:r>
      <w:r>
        <w:rPr>
          <w:rFonts w:ascii="Times New Roman" w:hAnsi="Times New Roman"/>
          <w:iCs/>
          <w:lang w:val="uk-UA"/>
        </w:rPr>
        <w:t>Герасимова О.О. Вивчення гепатозахисних властивостей піфламіну при тетра</w:t>
      </w:r>
      <w:r>
        <w:rPr>
          <w:rFonts w:ascii="Times New Roman" w:hAnsi="Times New Roman"/>
          <w:iCs/>
          <w:lang w:val="uk-UA"/>
        </w:rPr>
        <w:t>х</w:t>
      </w:r>
      <w:r>
        <w:rPr>
          <w:rFonts w:ascii="Times New Roman" w:hAnsi="Times New Roman"/>
          <w:iCs/>
          <w:lang w:val="uk-UA"/>
        </w:rPr>
        <w:t>лорметановому гепатиті /Матеріали наук.-практ. конф. “Сучасні проблеми фа</w:t>
      </w:r>
      <w:r>
        <w:rPr>
          <w:rFonts w:ascii="Times New Roman" w:hAnsi="Times New Roman"/>
          <w:iCs/>
          <w:lang w:val="uk-UA"/>
        </w:rPr>
        <w:t>р</w:t>
      </w:r>
      <w:r>
        <w:rPr>
          <w:rFonts w:ascii="Times New Roman" w:hAnsi="Times New Roman"/>
          <w:iCs/>
          <w:lang w:val="uk-UA"/>
        </w:rPr>
        <w:t xml:space="preserve">мацевтичної науки і практики”//Вісник фармації.- 2001.- Т.27.- №3.- С.150. </w:t>
      </w:r>
    </w:p>
    <w:p w:rsidR="00D24B08" w:rsidRDefault="00D24B08" w:rsidP="00D24B08">
      <w:pPr>
        <w:pStyle w:val="afffffff9"/>
        <w:spacing w:line="360" w:lineRule="exact"/>
        <w:ind w:left="360" w:hanging="360"/>
        <w:jc w:val="both"/>
        <w:rPr>
          <w:rFonts w:ascii="Times New Roman" w:hAnsi="Times New Roman"/>
          <w:lang w:val="uk-UA"/>
        </w:rPr>
      </w:pPr>
      <w:r>
        <w:rPr>
          <w:rFonts w:ascii="Times New Roman" w:hAnsi="Times New Roman"/>
        </w:rPr>
        <w:t>12.</w:t>
      </w:r>
      <w:r>
        <w:rPr>
          <w:rFonts w:ascii="Times New Roman" w:hAnsi="Times New Roman"/>
          <w:lang w:val="uk-UA"/>
        </w:rPr>
        <w:t>Герасимова О.А. Активность пифламина на модели декстранового отека //Матеріали республік. наук.-практ. конф. “Досягнення і перспективи ро</w:t>
      </w:r>
      <w:r>
        <w:rPr>
          <w:rFonts w:ascii="Times New Roman" w:hAnsi="Times New Roman"/>
          <w:lang w:val="uk-UA"/>
        </w:rPr>
        <w:t>з</w:t>
      </w:r>
      <w:r>
        <w:rPr>
          <w:rFonts w:ascii="Times New Roman" w:hAnsi="Times New Roman"/>
          <w:lang w:val="uk-UA"/>
        </w:rPr>
        <w:t>витку у клініці внутрішніх хвороб”, 20-21 вересня.- Харків.- 2001.- С.5.</w:t>
      </w:r>
    </w:p>
    <w:p w:rsidR="00D24B08" w:rsidRDefault="00D24B08" w:rsidP="00D24B08">
      <w:pPr>
        <w:spacing w:line="360" w:lineRule="exact"/>
        <w:ind w:left="360" w:right="-143" w:hanging="360"/>
        <w:jc w:val="both"/>
        <w:rPr>
          <w:lang w:val="uk-UA"/>
        </w:rPr>
      </w:pPr>
      <w:r>
        <w:rPr>
          <w:lang w:val="uk-UA"/>
        </w:rPr>
        <w:t>13.Сахарова Т.С., Герасимова О.О., Карбушева І.В., Цубанова Н.А. З</w:t>
      </w:r>
      <w:r>
        <w:rPr>
          <w:lang w:val="uk-UA"/>
        </w:rPr>
        <w:sym w:font="Symbol" w:char="F0A2"/>
      </w:r>
      <w:r>
        <w:rPr>
          <w:lang w:val="uk-UA"/>
        </w:rPr>
        <w:t>ясування пот</w:t>
      </w:r>
      <w:r>
        <w:rPr>
          <w:lang w:val="uk-UA"/>
        </w:rPr>
        <w:t>е</w:t>
      </w:r>
      <w:r>
        <w:rPr>
          <w:lang w:val="uk-UA"/>
        </w:rPr>
        <w:t>нційної антиокислювальної активності оригінальних препаратів на основі ро</w:t>
      </w:r>
      <w:r>
        <w:rPr>
          <w:lang w:val="uk-UA"/>
        </w:rPr>
        <w:t>с</w:t>
      </w:r>
      <w:r>
        <w:rPr>
          <w:lang w:val="uk-UA"/>
        </w:rPr>
        <w:t>линних поліфенольних сполук /Матеріали наук.-практ. конф. (з міжнар.участю) “Клінічна фармакологія метаболічних коректорів, взаємодія ліків в клінічній практиці”, 7-8 лютого, м. Вінниця //Вісник Вінницького державного медичного університету.- 2002.- Т.6.- №1.- С. 207 .</w:t>
      </w:r>
      <w:r>
        <w:rPr>
          <w:color w:val="000000"/>
          <w:lang w:val="uk-UA"/>
        </w:rPr>
        <w:t>(</w:t>
      </w:r>
      <w:r>
        <w:rPr>
          <w:b/>
          <w:color w:val="000000"/>
          <w:lang w:val="uk-UA"/>
        </w:rPr>
        <w:t xml:space="preserve">особистий внесок здобувача: </w:t>
      </w:r>
      <w:r>
        <w:rPr>
          <w:lang w:val="uk-UA"/>
        </w:rPr>
        <w:t>дослідж</w:t>
      </w:r>
      <w:r>
        <w:rPr>
          <w:lang w:val="uk-UA"/>
        </w:rPr>
        <w:t>е</w:t>
      </w:r>
      <w:r>
        <w:rPr>
          <w:lang w:val="uk-UA"/>
        </w:rPr>
        <w:t xml:space="preserve">ні антиокислювальні властивості піфламіну, </w:t>
      </w:r>
      <w:r>
        <w:rPr>
          <w:color w:val="000000"/>
          <w:lang w:val="uk-UA"/>
        </w:rPr>
        <w:t>участь в аналізі і узагальненні отриманих даних, пі</w:t>
      </w:r>
      <w:r>
        <w:rPr>
          <w:color w:val="000000"/>
          <w:lang w:val="uk-UA"/>
        </w:rPr>
        <w:t>д</w:t>
      </w:r>
      <w:r>
        <w:rPr>
          <w:color w:val="000000"/>
          <w:lang w:val="uk-UA"/>
        </w:rPr>
        <w:t>готовці тезів</w:t>
      </w:r>
      <w:r>
        <w:rPr>
          <w:lang w:val="uk-UA"/>
        </w:rPr>
        <w:t>).</w:t>
      </w:r>
    </w:p>
    <w:p w:rsidR="00D24B08" w:rsidRDefault="00D24B08" w:rsidP="00D24B08">
      <w:pPr>
        <w:pStyle w:val="afffffff2"/>
        <w:spacing w:line="360" w:lineRule="exact"/>
        <w:ind w:left="450" w:hanging="450"/>
        <w:jc w:val="both"/>
        <w:rPr>
          <w:rFonts w:ascii="Times New Roman" w:hAnsi="Times New Roman"/>
          <w:b/>
          <w:lang w:val="uk-UA"/>
        </w:rPr>
      </w:pPr>
      <w:r>
        <w:rPr>
          <w:rFonts w:ascii="Times New Roman" w:hAnsi="Times New Roman"/>
          <w:b/>
          <w:lang w:val="uk-UA"/>
        </w:rPr>
        <w:lastRenderedPageBreak/>
        <w:t>14. Герасимова О.А. Изучение мембранотропности нового гепатопротектора пи</w:t>
      </w:r>
      <w:r>
        <w:rPr>
          <w:rFonts w:ascii="Times New Roman" w:hAnsi="Times New Roman"/>
          <w:b/>
          <w:lang w:val="uk-UA"/>
        </w:rPr>
        <w:t>ф</w:t>
      </w:r>
      <w:r>
        <w:rPr>
          <w:rFonts w:ascii="Times New Roman" w:hAnsi="Times New Roman"/>
          <w:b/>
          <w:lang w:val="uk-UA"/>
        </w:rPr>
        <w:t>ламина //Материалы I</w:t>
      </w:r>
      <w:r>
        <w:rPr>
          <w:rFonts w:ascii="Times New Roman" w:hAnsi="Times New Roman"/>
          <w:b/>
          <w:lang w:val="en-US"/>
        </w:rPr>
        <w:t>V</w:t>
      </w:r>
      <w:r>
        <w:rPr>
          <w:rFonts w:ascii="Times New Roman" w:hAnsi="Times New Roman"/>
          <w:b/>
        </w:rPr>
        <w:t xml:space="preserve"> Всеукраинск</w:t>
      </w:r>
      <w:r>
        <w:rPr>
          <w:rFonts w:ascii="Times New Roman" w:hAnsi="Times New Roman"/>
          <w:b/>
          <w:lang w:val="uk-UA"/>
        </w:rPr>
        <w:t>ой науч.-практ. конф. (с межд</w:t>
      </w:r>
      <w:r>
        <w:rPr>
          <w:rFonts w:ascii="Times New Roman" w:hAnsi="Times New Roman"/>
          <w:b/>
          <w:lang w:val="uk-UA"/>
        </w:rPr>
        <w:t>у</w:t>
      </w:r>
      <w:r>
        <w:rPr>
          <w:rFonts w:ascii="Times New Roman" w:hAnsi="Times New Roman"/>
          <w:b/>
          <w:lang w:val="uk-UA"/>
        </w:rPr>
        <w:t>нар.участием «Новое в клинической фармакологии и фармакотерапии забол</w:t>
      </w:r>
      <w:r>
        <w:rPr>
          <w:rFonts w:ascii="Times New Roman" w:hAnsi="Times New Roman"/>
          <w:b/>
          <w:lang w:val="uk-UA"/>
        </w:rPr>
        <w:t>е</w:t>
      </w:r>
      <w:r>
        <w:rPr>
          <w:rFonts w:ascii="Times New Roman" w:hAnsi="Times New Roman"/>
          <w:b/>
          <w:lang w:val="uk-UA"/>
        </w:rPr>
        <w:t>ваний внутренних органов», 30-31 мая.- Х</w:t>
      </w:r>
      <w:r>
        <w:rPr>
          <w:rFonts w:ascii="Times New Roman" w:hAnsi="Times New Roman"/>
          <w:b/>
          <w:lang w:val="uk-UA"/>
        </w:rPr>
        <w:t>а</w:t>
      </w:r>
      <w:r>
        <w:rPr>
          <w:rFonts w:ascii="Times New Roman" w:hAnsi="Times New Roman"/>
          <w:b/>
          <w:lang w:val="uk-UA"/>
        </w:rPr>
        <w:t>рьков.- 2002.- С.80.</w:t>
      </w:r>
    </w:p>
    <w:p w:rsidR="00D24B08" w:rsidRDefault="00D24B08" w:rsidP="00D24B08">
      <w:pPr>
        <w:pStyle w:val="afffffff2"/>
        <w:spacing w:line="360" w:lineRule="exact"/>
        <w:ind w:left="450" w:hanging="450"/>
        <w:jc w:val="both"/>
        <w:rPr>
          <w:rFonts w:ascii="Times New Roman" w:hAnsi="Times New Roman"/>
          <w:b/>
          <w:lang w:val="uk-UA"/>
        </w:rPr>
      </w:pPr>
      <w:r>
        <w:rPr>
          <w:rFonts w:ascii="Times New Roman" w:hAnsi="Times New Roman"/>
          <w:b/>
          <w:lang w:val="uk-UA"/>
        </w:rPr>
        <w:t>15. Герасимова О.О. Вплив рослинного гепатопротектора піфламіну на стабіліз</w:t>
      </w:r>
      <w:r>
        <w:rPr>
          <w:rFonts w:ascii="Times New Roman" w:hAnsi="Times New Roman"/>
          <w:b/>
          <w:lang w:val="uk-UA"/>
        </w:rPr>
        <w:t>а</w:t>
      </w:r>
      <w:r>
        <w:rPr>
          <w:rFonts w:ascii="Times New Roman" w:hAnsi="Times New Roman"/>
          <w:b/>
          <w:lang w:val="uk-UA"/>
        </w:rPr>
        <w:t>цію мембран //Матеріали Всеукраїнської наук.-практ. конф. «Фармація XXI столі</w:t>
      </w:r>
      <w:r>
        <w:rPr>
          <w:rFonts w:ascii="Times New Roman" w:hAnsi="Times New Roman"/>
          <w:b/>
          <w:lang w:val="uk-UA"/>
        </w:rPr>
        <w:t>т</w:t>
      </w:r>
      <w:r>
        <w:rPr>
          <w:rFonts w:ascii="Times New Roman" w:hAnsi="Times New Roman"/>
          <w:b/>
          <w:lang w:val="uk-UA"/>
        </w:rPr>
        <w:t>тя”, 23-24 жовтня. – Харків.- 2002.- С.135-136.</w:t>
      </w:r>
    </w:p>
    <w:p w:rsidR="00D24B08" w:rsidRDefault="00D24B08" w:rsidP="00D24B08">
      <w:pPr>
        <w:pStyle w:val="afffffff2"/>
        <w:spacing w:line="360" w:lineRule="exact"/>
        <w:ind w:left="450" w:hanging="450"/>
        <w:jc w:val="both"/>
        <w:rPr>
          <w:rFonts w:ascii="Times New Roman" w:hAnsi="Times New Roman"/>
          <w:b/>
          <w:lang w:val="uk-UA"/>
        </w:rPr>
      </w:pPr>
    </w:p>
    <w:p w:rsidR="00D24B08" w:rsidRDefault="00D24B08" w:rsidP="00D24B08">
      <w:pPr>
        <w:spacing w:line="360" w:lineRule="exact"/>
        <w:ind w:firstLine="709"/>
        <w:jc w:val="both"/>
        <w:rPr>
          <w:bCs/>
          <w:lang w:val="uk-UA"/>
        </w:rPr>
      </w:pPr>
      <w:r>
        <w:rPr>
          <w:b/>
          <w:lang w:val="uk-UA"/>
        </w:rPr>
        <w:t xml:space="preserve">Герасимова О.О. </w:t>
      </w:r>
      <w:r>
        <w:rPr>
          <w:bCs/>
          <w:lang w:val="uk-UA"/>
        </w:rPr>
        <w:t xml:space="preserve">«Вивчення гепатозахисної дії препарату з трави гороху посівного – піфламіну».- Рукопис.  </w:t>
      </w:r>
    </w:p>
    <w:p w:rsidR="00D24B08" w:rsidRDefault="00D24B08" w:rsidP="00D24B08">
      <w:pPr>
        <w:spacing w:line="360" w:lineRule="exact"/>
        <w:ind w:firstLine="709"/>
        <w:jc w:val="both"/>
        <w:rPr>
          <w:lang w:val="uk-UA"/>
        </w:rPr>
      </w:pPr>
      <w:r>
        <w:rPr>
          <w:lang w:val="uk-UA"/>
        </w:rPr>
        <w:t>Дисертація на здобуття вченого ступеня кандидата фармацевтичних наук за спеціальністю 14.03.05 – фармакологія.- Національний фармацевтичний універс</w:t>
      </w:r>
      <w:r>
        <w:rPr>
          <w:lang w:val="uk-UA"/>
        </w:rPr>
        <w:t>и</w:t>
      </w:r>
      <w:r>
        <w:rPr>
          <w:lang w:val="uk-UA"/>
        </w:rPr>
        <w:t>тет, Харків, 200</w:t>
      </w:r>
      <w:r w:rsidRPr="00D24B08">
        <w:rPr>
          <w:lang w:val="uk-UA"/>
        </w:rPr>
        <w:t>3</w:t>
      </w:r>
      <w:r>
        <w:rPr>
          <w:lang w:val="uk-UA"/>
        </w:rPr>
        <w:t xml:space="preserve">. </w:t>
      </w:r>
    </w:p>
    <w:p w:rsidR="00D24B08" w:rsidRDefault="00D24B08" w:rsidP="00D24B08">
      <w:pPr>
        <w:spacing w:line="360" w:lineRule="exact"/>
        <w:ind w:firstLine="709"/>
        <w:jc w:val="both"/>
        <w:rPr>
          <w:lang w:val="uk-UA"/>
        </w:rPr>
      </w:pPr>
      <w:r>
        <w:rPr>
          <w:lang w:val="uk-UA"/>
        </w:rPr>
        <w:t>Проведено фармакологічне вивчення субстанції і таблеток піфламіну, отр</w:t>
      </w:r>
      <w:r>
        <w:rPr>
          <w:lang w:val="uk-UA"/>
        </w:rPr>
        <w:t>и</w:t>
      </w:r>
      <w:r>
        <w:rPr>
          <w:lang w:val="uk-UA"/>
        </w:rPr>
        <w:t>маних з трави гороху посівного. Встановлено, що піфламін у дозі 150 мг/кг має широкий спектр фармакологічної активності: антиоксидантну, мембрано- та судиност</w:t>
      </w:r>
      <w:r>
        <w:rPr>
          <w:lang w:val="uk-UA"/>
        </w:rPr>
        <w:t>а</w:t>
      </w:r>
      <w:r>
        <w:rPr>
          <w:lang w:val="uk-UA"/>
        </w:rPr>
        <w:t>білізувальну, протизапальну, за якими він перевищує препарат порівняння – рослинний гепатопротектор силібор.</w:t>
      </w:r>
    </w:p>
    <w:p w:rsidR="00D24B08" w:rsidRDefault="00D24B08" w:rsidP="00D24B08">
      <w:pPr>
        <w:spacing w:line="360" w:lineRule="exact"/>
        <w:ind w:firstLine="709"/>
        <w:jc w:val="both"/>
        <w:rPr>
          <w:lang w:val="uk-UA"/>
        </w:rPr>
      </w:pPr>
      <w:r>
        <w:rPr>
          <w:lang w:val="uk-UA"/>
        </w:rPr>
        <w:t>На моделях токсичних гепатитів з гострим, субхронічним і хронічним пер</w:t>
      </w:r>
      <w:r>
        <w:rPr>
          <w:lang w:val="uk-UA"/>
        </w:rPr>
        <w:t>е</w:t>
      </w:r>
      <w:r>
        <w:rPr>
          <w:lang w:val="uk-UA"/>
        </w:rPr>
        <w:t>бігом за допомогою біохімічних і гістологічних д</w:t>
      </w:r>
      <w:r>
        <w:rPr>
          <w:lang w:val="uk-UA"/>
        </w:rPr>
        <w:t>о</w:t>
      </w:r>
      <w:r>
        <w:rPr>
          <w:lang w:val="uk-UA"/>
        </w:rPr>
        <w:t>сліджень доведена терапевтична ефективність піфламіну в дозі 150 мг/кг. Виявлені переваги піфламіну перед сил</w:t>
      </w:r>
      <w:r>
        <w:rPr>
          <w:lang w:val="uk-UA"/>
        </w:rPr>
        <w:t>і</w:t>
      </w:r>
      <w:r>
        <w:rPr>
          <w:lang w:val="uk-UA"/>
        </w:rPr>
        <w:t>бором за інгібуванням вільнорадикальних процесів, підтриманням активності а</w:t>
      </w:r>
      <w:r>
        <w:rPr>
          <w:lang w:val="uk-UA"/>
        </w:rPr>
        <w:t>н</w:t>
      </w:r>
      <w:r>
        <w:rPr>
          <w:lang w:val="uk-UA"/>
        </w:rPr>
        <w:t>тиоксидантної системи, нормалізацією синтетичних та репаративних процесів в печінці. Гепатозахисна дія піфламіну забезпечується комплексом біологічно акт</w:t>
      </w:r>
      <w:r>
        <w:rPr>
          <w:lang w:val="uk-UA"/>
        </w:rPr>
        <w:t>и</w:t>
      </w:r>
      <w:r>
        <w:rPr>
          <w:lang w:val="uk-UA"/>
        </w:rPr>
        <w:t>вних речовин трави гороху посівного, реалізується через антиоксидантний механізм, стабілізацію клітинних мембран, послаблення пр</w:t>
      </w:r>
      <w:r>
        <w:rPr>
          <w:lang w:val="uk-UA"/>
        </w:rPr>
        <w:t>о</w:t>
      </w:r>
      <w:r>
        <w:rPr>
          <w:lang w:val="uk-UA"/>
        </w:rPr>
        <w:t>явів цитолізу гепатоцитів і виявляється у відновленні функціонального стану печ</w:t>
      </w:r>
      <w:r>
        <w:rPr>
          <w:lang w:val="uk-UA"/>
        </w:rPr>
        <w:t>і</w:t>
      </w:r>
      <w:r>
        <w:rPr>
          <w:lang w:val="uk-UA"/>
        </w:rPr>
        <w:t xml:space="preserve">нки та нормалізації процесів обміну. </w:t>
      </w:r>
    </w:p>
    <w:p w:rsidR="00D24B08" w:rsidRDefault="00D24B08" w:rsidP="00D24B08">
      <w:pPr>
        <w:spacing w:line="360" w:lineRule="exact"/>
        <w:ind w:firstLine="709"/>
        <w:jc w:val="both"/>
        <w:rPr>
          <w:lang w:val="uk-UA"/>
        </w:rPr>
      </w:pPr>
      <w:r>
        <w:rPr>
          <w:lang w:val="uk-UA"/>
        </w:rPr>
        <w:t>Піфламін є “відносно нешкідливим”, не чинить ульцерогенної дії, посилює перистальтику кишечника, не впливає на секрецію і кислотність шлункового с</w:t>
      </w:r>
      <w:r>
        <w:rPr>
          <w:lang w:val="uk-UA"/>
        </w:rPr>
        <w:t>о</w:t>
      </w:r>
      <w:r>
        <w:rPr>
          <w:lang w:val="uk-UA"/>
        </w:rPr>
        <w:t>ку.</w:t>
      </w:r>
    </w:p>
    <w:p w:rsidR="00D24B08" w:rsidRDefault="00D24B08" w:rsidP="00D24B08">
      <w:pPr>
        <w:spacing w:line="360" w:lineRule="exact"/>
        <w:ind w:firstLine="709"/>
        <w:jc w:val="both"/>
        <w:rPr>
          <w:lang w:val="uk-UA"/>
        </w:rPr>
      </w:pPr>
      <w:r>
        <w:rPr>
          <w:lang w:val="uk-UA"/>
        </w:rPr>
        <w:t>Піфламін рекомендується як гепатопротекторний засіб для патогенетичн</w:t>
      </w:r>
      <w:r>
        <w:rPr>
          <w:lang w:val="uk-UA"/>
        </w:rPr>
        <w:t>о</w:t>
      </w:r>
      <w:r>
        <w:rPr>
          <w:lang w:val="uk-UA"/>
        </w:rPr>
        <w:t>го лікування уражень печінки токсичної етіології. Препарат характеризується шир</w:t>
      </w:r>
      <w:r>
        <w:rPr>
          <w:lang w:val="uk-UA"/>
        </w:rPr>
        <w:t>о</w:t>
      </w:r>
      <w:r>
        <w:rPr>
          <w:lang w:val="uk-UA"/>
        </w:rPr>
        <w:t>ким спектром активності і вигідними економічними характери</w:t>
      </w:r>
      <w:r>
        <w:rPr>
          <w:lang w:val="uk-UA"/>
        </w:rPr>
        <w:t>с</w:t>
      </w:r>
      <w:r>
        <w:rPr>
          <w:lang w:val="uk-UA"/>
        </w:rPr>
        <w:t xml:space="preserve">тиками. </w:t>
      </w:r>
    </w:p>
    <w:p w:rsidR="00D24B08" w:rsidRDefault="00D24B08" w:rsidP="00D24B08">
      <w:pPr>
        <w:spacing w:line="360" w:lineRule="exact"/>
        <w:ind w:firstLine="709"/>
        <w:jc w:val="both"/>
        <w:rPr>
          <w:lang w:val="uk-UA"/>
        </w:rPr>
      </w:pPr>
      <w:r>
        <w:rPr>
          <w:i/>
          <w:lang w:val="uk-UA"/>
        </w:rPr>
        <w:t>Ключові слова:</w:t>
      </w:r>
      <w:r>
        <w:rPr>
          <w:lang w:val="uk-UA"/>
        </w:rPr>
        <w:t xml:space="preserve"> експериментальне дослідження, гепатопротекторна дія, реч</w:t>
      </w:r>
      <w:r>
        <w:rPr>
          <w:lang w:val="uk-UA"/>
        </w:rPr>
        <w:t>о</w:t>
      </w:r>
      <w:r>
        <w:rPr>
          <w:lang w:val="uk-UA"/>
        </w:rPr>
        <w:t>вини рослинного походження, трава гороху, препарат піфламін, антиоксида</w:t>
      </w:r>
      <w:r>
        <w:rPr>
          <w:lang w:val="uk-UA"/>
        </w:rPr>
        <w:t>н</w:t>
      </w:r>
      <w:r>
        <w:rPr>
          <w:lang w:val="uk-UA"/>
        </w:rPr>
        <w:t>тна дія.</w:t>
      </w:r>
    </w:p>
    <w:p w:rsidR="00D24B08" w:rsidRPr="00D24B08" w:rsidRDefault="00D24B08" w:rsidP="00D24B08">
      <w:pPr>
        <w:spacing w:line="360" w:lineRule="exact"/>
        <w:ind w:firstLine="709"/>
        <w:rPr>
          <w:b/>
        </w:rPr>
      </w:pPr>
    </w:p>
    <w:p w:rsidR="00D24B08" w:rsidRDefault="00D24B08" w:rsidP="00D24B08">
      <w:pPr>
        <w:spacing w:line="360" w:lineRule="exact"/>
        <w:ind w:firstLine="709"/>
        <w:rPr>
          <w:b/>
        </w:rPr>
      </w:pPr>
      <w:r>
        <w:rPr>
          <w:b/>
        </w:rPr>
        <w:t xml:space="preserve">Герасимова О.А.  </w:t>
      </w:r>
      <w:r>
        <w:rPr>
          <w:bCs/>
        </w:rPr>
        <w:t>«Изучение гепатозащитного действия препарата из тр</w:t>
      </w:r>
      <w:r>
        <w:rPr>
          <w:bCs/>
        </w:rPr>
        <w:t>а</w:t>
      </w:r>
      <w:r>
        <w:rPr>
          <w:bCs/>
        </w:rPr>
        <w:t>вы гороха посевного – пифламина».- Рукопись.</w:t>
      </w:r>
      <w:r>
        <w:rPr>
          <w:b/>
        </w:rPr>
        <w:t xml:space="preserve"> </w:t>
      </w:r>
    </w:p>
    <w:p w:rsidR="00D24B08" w:rsidRDefault="00D24B08" w:rsidP="00D24B08">
      <w:pPr>
        <w:spacing w:line="360" w:lineRule="exact"/>
        <w:ind w:firstLine="709"/>
        <w:jc w:val="both"/>
      </w:pPr>
      <w:r>
        <w:lastRenderedPageBreak/>
        <w:t>Диссертация на соискание ученой степени кандидата фармацевтических н</w:t>
      </w:r>
      <w:r>
        <w:t>а</w:t>
      </w:r>
      <w:r>
        <w:t>ук по специальности  14.03.05. – фармакология.- Национальный фармацевт</w:t>
      </w:r>
      <w:r>
        <w:t>и</w:t>
      </w:r>
      <w:r>
        <w:t>ческий университет, Харьков, 2003.</w:t>
      </w:r>
    </w:p>
    <w:p w:rsidR="00D24B08" w:rsidRDefault="00D24B08" w:rsidP="00D24B08">
      <w:pPr>
        <w:spacing w:line="360" w:lineRule="exact"/>
        <w:ind w:firstLine="709"/>
        <w:jc w:val="both"/>
      </w:pPr>
      <w:r>
        <w:t>Проведено фармакологическое изучение субстанции из травы гороха посе</w:t>
      </w:r>
      <w:r>
        <w:t>в</w:t>
      </w:r>
      <w:r>
        <w:t>ного и препарата на ее основе - таблеток “Пифламин” в сравнении с отечестве</w:t>
      </w:r>
      <w:r>
        <w:t>н</w:t>
      </w:r>
      <w:r>
        <w:t>ным полифенольным гепатопротектором из плодов расторопши пятнистой – сил</w:t>
      </w:r>
      <w:r>
        <w:t>и</w:t>
      </w:r>
      <w:r>
        <w:t>бором.</w:t>
      </w:r>
    </w:p>
    <w:p w:rsidR="00D24B08" w:rsidRDefault="00D24B08" w:rsidP="00D24B08">
      <w:pPr>
        <w:spacing w:line="360" w:lineRule="exact"/>
        <w:ind w:firstLine="709"/>
        <w:jc w:val="both"/>
      </w:pPr>
      <w:r>
        <w:t>Данные литературы о высокой биологической активности полифенольных соединений, аминокислот, полисахаридов, макро- и микроэлементов, а также наличие их в составе травы гороха п</w:t>
      </w:r>
      <w:r>
        <w:t>о</w:t>
      </w:r>
      <w:r>
        <w:t>севного позволили предположить широкий спектр фармакологической акти</w:t>
      </w:r>
      <w:r>
        <w:t>в</w:t>
      </w:r>
      <w:r>
        <w:t>ности у пифламина.</w:t>
      </w:r>
    </w:p>
    <w:p w:rsidR="00D24B08" w:rsidRDefault="00D24B08" w:rsidP="00D24B08">
      <w:pPr>
        <w:spacing w:line="360" w:lineRule="exact"/>
        <w:ind w:firstLine="709"/>
        <w:jc w:val="both"/>
      </w:pPr>
      <w:r>
        <w:t>В системах in vitro и in vivo у пифламина установлены антиоксидантные свойства. На модели острого тетрахлорметанового гепатита выявлены эффекти</w:t>
      </w:r>
      <w:r>
        <w:t>в</w:t>
      </w:r>
      <w:r>
        <w:t>ные дозы препарата по антиоксидан</w:t>
      </w:r>
      <w:r>
        <w:t>т</w:t>
      </w:r>
      <w:r>
        <w:t>ной активности – 100 и 150 мг/кг, в которых препарат действовал на уровне классического антиоксиданта - витамина Е в дозе 50 мг/кг и</w:t>
      </w:r>
      <w:r>
        <w:rPr>
          <w:lang w:val="uk-UA"/>
        </w:rPr>
        <w:t>,</w:t>
      </w:r>
      <w:r>
        <w:t xml:space="preserve"> </w:t>
      </w:r>
      <w:r>
        <w:rPr>
          <w:lang w:val="uk-UA"/>
        </w:rPr>
        <w:t xml:space="preserve">в отличие от </w:t>
      </w:r>
      <w:r>
        <w:t>силибор</w:t>
      </w:r>
      <w:r>
        <w:rPr>
          <w:lang w:val="uk-UA"/>
        </w:rPr>
        <w:t>а</w:t>
      </w:r>
      <w:r>
        <w:t xml:space="preserve">, восстанавливал фонд компонента </w:t>
      </w:r>
      <w:r>
        <w:rPr>
          <w:lang w:val="uk-UA"/>
        </w:rPr>
        <w:t>антиоксидан</w:t>
      </w:r>
      <w:r>
        <w:rPr>
          <w:lang w:val="uk-UA"/>
        </w:rPr>
        <w:t>т</w:t>
      </w:r>
      <w:r>
        <w:rPr>
          <w:lang w:val="uk-UA"/>
        </w:rPr>
        <w:t>ной систем</w:t>
      </w:r>
      <w:r>
        <w:t>ы – GSH. Выявленная активность пифламина реализуется за счет пр</w:t>
      </w:r>
      <w:r>
        <w:t>я</w:t>
      </w:r>
      <w:r>
        <w:t>мых механизмов – инактивации свободных радикалов и образования компле</w:t>
      </w:r>
      <w:r>
        <w:t>к</w:t>
      </w:r>
      <w:r>
        <w:t xml:space="preserve">сов с катализаторами свободнорадикальных процессов </w:t>
      </w:r>
      <w:r>
        <w:rPr>
          <w:lang w:val="uk-UA"/>
        </w:rPr>
        <w:t xml:space="preserve">- </w:t>
      </w:r>
      <w:r>
        <w:t>ион</w:t>
      </w:r>
      <w:r>
        <w:rPr>
          <w:lang w:val="uk-UA"/>
        </w:rPr>
        <w:t>ами</w:t>
      </w:r>
      <w:r>
        <w:t xml:space="preserve"> железа (II), а также опосредованно – через повышение защитных возможностей физиологической антиоксидантной системы, что объясняет более сильные антиокислительные сво</w:t>
      </w:r>
      <w:r>
        <w:t>й</w:t>
      </w:r>
      <w:r>
        <w:t>ства пифламина в сра</w:t>
      </w:r>
      <w:r>
        <w:t>в</w:t>
      </w:r>
      <w:r>
        <w:t xml:space="preserve">нении с </w:t>
      </w:r>
      <w:r>
        <w:rPr>
          <w:lang w:val="uk-UA"/>
        </w:rPr>
        <w:t>силибором</w:t>
      </w:r>
      <w:r>
        <w:t xml:space="preserve">. </w:t>
      </w:r>
    </w:p>
    <w:p w:rsidR="00D24B08" w:rsidRDefault="00D24B08" w:rsidP="00D24B08">
      <w:pPr>
        <w:spacing w:line="360" w:lineRule="exact"/>
        <w:ind w:firstLine="709"/>
        <w:jc w:val="both"/>
      </w:pPr>
      <w:r>
        <w:t xml:space="preserve"> Подтверждением антиоксидантных свойств пифламина и его преимуществ</w:t>
      </w:r>
      <w:r>
        <w:t>а</w:t>
      </w:r>
      <w:r>
        <w:t xml:space="preserve"> перед силибором стала способность препарата стабилизировать мембраны, о чем свидетельствует устранение повреждения мембраносвязанного фермента цитохр</w:t>
      </w:r>
      <w:r>
        <w:t>о</w:t>
      </w:r>
      <w:r>
        <w:t>ма – 450</w:t>
      </w:r>
      <w:r>
        <w:rPr>
          <w:lang w:val="uk-UA"/>
        </w:rPr>
        <w:t xml:space="preserve"> </w:t>
      </w:r>
      <w:r>
        <w:t>в системе in vitro и достоверное уменьшение спонтанного пероксидного гемолиза в исследован</w:t>
      </w:r>
      <w:r>
        <w:t>и</w:t>
      </w:r>
      <w:r>
        <w:t>ях in vivo.</w:t>
      </w:r>
    </w:p>
    <w:p w:rsidR="00D24B08" w:rsidRDefault="00D24B08" w:rsidP="00D24B08">
      <w:pPr>
        <w:spacing w:line="360" w:lineRule="exact"/>
        <w:ind w:firstLine="709"/>
        <w:jc w:val="both"/>
      </w:pPr>
      <w:r>
        <w:t>При изучении противовоспалительных свойств пифламина на моделях дек</w:t>
      </w:r>
      <w:r>
        <w:t>с</w:t>
      </w:r>
      <w:r>
        <w:t>транового воспаления, каррагенинового и зимозанового отеков установлена э</w:t>
      </w:r>
      <w:r>
        <w:t>ф</w:t>
      </w:r>
      <w:r>
        <w:t>фективность препарата в дозе 150 мг/кг. Противовоспалительные свойства пифл</w:t>
      </w:r>
      <w:r>
        <w:t>а</w:t>
      </w:r>
      <w:r>
        <w:t>мина обусловлены антиоксидантными свойствами, угнетением синтеза лейкотри</w:t>
      </w:r>
      <w:r>
        <w:t>е</w:t>
      </w:r>
      <w:r>
        <w:t>нов, воздействием на кинины, серотонин, а также нормализацией сосудистой пр</w:t>
      </w:r>
      <w:r>
        <w:t>о</w:t>
      </w:r>
      <w:r>
        <w:t>ницаемости. Пифламин превышает силибор по антилипооксигеназной активн</w:t>
      </w:r>
      <w:r>
        <w:t>о</w:t>
      </w:r>
      <w:r>
        <w:t>сти</w:t>
      </w:r>
      <w:r>
        <w:rPr>
          <w:lang w:val="uk-UA"/>
        </w:rPr>
        <w:t>, а также</w:t>
      </w:r>
      <w:r>
        <w:t xml:space="preserve"> имеет сходство с референс-препаратом по антагонистическому дейс</w:t>
      </w:r>
      <w:r>
        <w:t>т</w:t>
      </w:r>
      <w:r>
        <w:t>вию в отношении кининов и отсутствию ингибирующего влияния на синтез простагла</w:t>
      </w:r>
      <w:r>
        <w:t>н</w:t>
      </w:r>
      <w:r>
        <w:t xml:space="preserve">динов. </w:t>
      </w:r>
    </w:p>
    <w:p w:rsidR="00D24B08" w:rsidRDefault="00D24B08" w:rsidP="00D24B08">
      <w:pPr>
        <w:spacing w:line="360" w:lineRule="exact"/>
        <w:ind w:firstLine="709"/>
        <w:jc w:val="both"/>
      </w:pPr>
      <w:r>
        <w:t>На моделях острых (тетрахлорметановый, парацетамоловый), субхронич</w:t>
      </w:r>
      <w:r>
        <w:t>е</w:t>
      </w:r>
      <w:r>
        <w:t>ского (тетрациклиновый) и хронического (комбинированное введение тетрахло</w:t>
      </w:r>
      <w:r>
        <w:t>р</w:t>
      </w:r>
      <w:r>
        <w:t>метана и этанола) гепатит</w:t>
      </w:r>
      <w:r>
        <w:rPr>
          <w:lang w:val="uk-UA"/>
        </w:rPr>
        <w:t>а</w:t>
      </w:r>
      <w:r>
        <w:t xml:space="preserve"> при помощи биохимических и гистологических иссл</w:t>
      </w:r>
      <w:r>
        <w:t>е</w:t>
      </w:r>
      <w:r>
        <w:t>дований показана гепатозащитная активность пифламина в дозе 150 мг/кг</w:t>
      </w:r>
      <w:r>
        <w:rPr>
          <w:lang w:val="uk-UA"/>
        </w:rPr>
        <w:t>. Выя</w:t>
      </w:r>
      <w:r>
        <w:rPr>
          <w:lang w:val="uk-UA"/>
        </w:rPr>
        <w:t>в</w:t>
      </w:r>
      <w:r>
        <w:rPr>
          <w:lang w:val="uk-UA"/>
        </w:rPr>
        <w:t xml:space="preserve">лены преимущества пифламина перед силибором </w:t>
      </w:r>
      <w:r>
        <w:t>по ингибированию гиперлипоп</w:t>
      </w:r>
      <w:r>
        <w:t>е</w:t>
      </w:r>
      <w:r>
        <w:t>роксидации, поддержанию активности физиологической антиоксидантной сист</w:t>
      </w:r>
      <w:r>
        <w:t>е</w:t>
      </w:r>
      <w:r>
        <w:t>мы, нормализации синтетических и репаративных процессов в печени. Гепатозащитная активность реализуется через ант</w:t>
      </w:r>
      <w:r>
        <w:t>и</w:t>
      </w:r>
      <w:r>
        <w:t xml:space="preserve">оксидантный механизм, стабилизацию клеточных мембран, ослабление проявлений </w:t>
      </w:r>
      <w:r>
        <w:lastRenderedPageBreak/>
        <w:t>цитолиза, и проявляется восстановл</w:t>
      </w:r>
      <w:r>
        <w:t>е</w:t>
      </w:r>
      <w:r>
        <w:t>нием функционального состояния печени и нормализацией обменных пр</w:t>
      </w:r>
      <w:r>
        <w:t>о</w:t>
      </w:r>
      <w:r>
        <w:t xml:space="preserve">цессов. </w:t>
      </w:r>
    </w:p>
    <w:p w:rsidR="00D24B08" w:rsidRDefault="00D24B08" w:rsidP="00D24B08">
      <w:pPr>
        <w:spacing w:line="360" w:lineRule="exact"/>
        <w:ind w:firstLine="709"/>
        <w:jc w:val="both"/>
      </w:pPr>
      <w:r>
        <w:t>Исследование токсических свойств пифламина позволило выявить, что пифламин является «относительно безвредным» и не имеет видовой чувствител</w:t>
      </w:r>
      <w:r>
        <w:t>ь</w:t>
      </w:r>
      <w:r>
        <w:t>ности. Пифламин не обладает ульцерогенным действием, не влияет на секреторную фун</w:t>
      </w:r>
      <w:r>
        <w:t>к</w:t>
      </w:r>
      <w:r>
        <w:t xml:space="preserve">цию желудка, усиливает двигательную активность кишечника. </w:t>
      </w:r>
    </w:p>
    <w:p w:rsidR="00D24B08" w:rsidRDefault="00D24B08" w:rsidP="00D24B08">
      <w:pPr>
        <w:spacing w:line="360" w:lineRule="exact"/>
        <w:ind w:firstLine="720"/>
        <w:jc w:val="both"/>
      </w:pPr>
      <w:r>
        <w:t>На основании проведенных исследований таблетки пифламина можно рек</w:t>
      </w:r>
      <w:r>
        <w:t>о</w:t>
      </w:r>
      <w:r>
        <w:t>мендовать как гепатозащитный препарат для патогенетического лечения пораж</w:t>
      </w:r>
      <w:r>
        <w:t>е</w:t>
      </w:r>
      <w:r>
        <w:t>ний печени токсической этиологии и расширения ассортимента отечественных г</w:t>
      </w:r>
      <w:r>
        <w:t>е</w:t>
      </w:r>
      <w:r>
        <w:t>патопротекторов. Преимуществом пифламина перед силибором являются более выраженные гепатозащитные, антиоксидантные, мембраностабилизирующие, пр</w:t>
      </w:r>
      <w:r>
        <w:t>о</w:t>
      </w:r>
      <w:r>
        <w:t>тивовоспалительные свойства, наличие способности стабилизировать сосудистую проница</w:t>
      </w:r>
      <w:r>
        <w:t>е</w:t>
      </w:r>
      <w:r>
        <w:t>мость, а также доступная и дешевая сырьевая база.</w:t>
      </w:r>
    </w:p>
    <w:p w:rsidR="00D24B08" w:rsidRDefault="00D24B08" w:rsidP="00D24B08">
      <w:pPr>
        <w:spacing w:line="360" w:lineRule="exact"/>
        <w:ind w:firstLine="709"/>
        <w:jc w:val="both"/>
      </w:pPr>
      <w:r>
        <w:rPr>
          <w:i/>
        </w:rPr>
        <w:t>Ключевые слова</w:t>
      </w:r>
      <w:r>
        <w:rPr>
          <w:iCs/>
        </w:rPr>
        <w:t>:</w:t>
      </w:r>
      <w:r>
        <w:t xml:space="preserve"> экспериментальное исследование, гепатопротекторное де</w:t>
      </w:r>
      <w:r>
        <w:t>й</w:t>
      </w:r>
      <w:r>
        <w:t>ствие, вещества растительного происхождения, трава гороха, препарат пифламин, антиоксидан</w:t>
      </w:r>
      <w:r>
        <w:t>т</w:t>
      </w:r>
      <w:r>
        <w:t>ное действие.</w:t>
      </w:r>
    </w:p>
    <w:p w:rsidR="00D24B08" w:rsidRDefault="00D24B08" w:rsidP="00D24B08">
      <w:pPr>
        <w:pStyle w:val="afffffff9"/>
        <w:spacing w:line="360" w:lineRule="exact"/>
        <w:rPr>
          <w:rFonts w:ascii="Times New Roman" w:hAnsi="Times New Roman"/>
          <w:lang w:val="uk-UA"/>
        </w:rPr>
      </w:pPr>
    </w:p>
    <w:p w:rsidR="00D24B08" w:rsidRDefault="00D24B08" w:rsidP="00D24B08">
      <w:pPr>
        <w:pStyle w:val="afffffff9"/>
        <w:spacing w:line="360" w:lineRule="exact"/>
        <w:ind w:left="0"/>
        <w:rPr>
          <w:rFonts w:ascii="Times New Roman" w:hAnsi="Times New Roman"/>
          <w:bCs/>
          <w:lang w:val="en-US"/>
        </w:rPr>
      </w:pPr>
      <w:r>
        <w:rPr>
          <w:rFonts w:ascii="Times New Roman" w:hAnsi="Times New Roman"/>
          <w:b/>
          <w:lang w:val="en-US"/>
        </w:rPr>
        <w:t>Gerasimova O.A</w:t>
      </w:r>
      <w:r>
        <w:rPr>
          <w:rFonts w:ascii="Times New Roman" w:hAnsi="Times New Roman"/>
          <w:bCs/>
          <w:lang w:val="en-US"/>
        </w:rPr>
        <w:t>. “Study of hepatoprotective effect of the preparation from a grass of a peas sowing – Piflamin”. – Manuscript.</w:t>
      </w:r>
    </w:p>
    <w:p w:rsidR="00D24B08" w:rsidRDefault="00D24B08" w:rsidP="00D24B08">
      <w:pPr>
        <w:pStyle w:val="afffffff9"/>
        <w:spacing w:line="360" w:lineRule="exact"/>
        <w:ind w:left="0" w:firstLine="720"/>
        <w:rPr>
          <w:rFonts w:ascii="Times New Roman" w:hAnsi="Times New Roman"/>
          <w:bCs/>
          <w:lang w:val="en-US"/>
        </w:rPr>
      </w:pPr>
      <w:r>
        <w:rPr>
          <w:rFonts w:ascii="Times New Roman" w:hAnsi="Times New Roman"/>
          <w:bCs/>
          <w:lang w:val="en-US"/>
        </w:rPr>
        <w:t>Thesis for scientific degree of the candidate of pharmaceutical sciences in special</w:t>
      </w:r>
      <w:r>
        <w:rPr>
          <w:rFonts w:ascii="Times New Roman" w:hAnsi="Times New Roman"/>
          <w:bCs/>
          <w:lang w:val="en-US"/>
        </w:rPr>
        <w:t>i</w:t>
      </w:r>
      <w:r>
        <w:rPr>
          <w:rFonts w:ascii="Times New Roman" w:hAnsi="Times New Roman"/>
          <w:bCs/>
          <w:lang w:val="en-US"/>
        </w:rPr>
        <w:t>ty 14.03.05.- pharmacology.- National University of Pharmacy, Kharkiv, 2003.</w:t>
      </w:r>
    </w:p>
    <w:p w:rsidR="00D24B08" w:rsidRDefault="00D24B08" w:rsidP="00D24B08">
      <w:pPr>
        <w:spacing w:line="360" w:lineRule="exact"/>
        <w:ind w:firstLine="708"/>
        <w:jc w:val="both"/>
        <w:rPr>
          <w:lang w:val="en-GB"/>
        </w:rPr>
      </w:pPr>
      <w:r>
        <w:rPr>
          <w:lang w:val="en-GB"/>
        </w:rPr>
        <w:t>The study of piflamin substance and tablets obtained from a grass of a peas so</w:t>
      </w:r>
      <w:r>
        <w:rPr>
          <w:lang w:val="en-GB"/>
        </w:rPr>
        <w:t>w</w:t>
      </w:r>
      <w:r>
        <w:rPr>
          <w:lang w:val="en-GB"/>
        </w:rPr>
        <w:t>ing was carried out. Piflamin in dosage 150 μg/kg was proved to have a wide range of pha</w:t>
      </w:r>
      <w:r>
        <w:rPr>
          <w:lang w:val="en-GB"/>
        </w:rPr>
        <w:t>r</w:t>
      </w:r>
      <w:r>
        <w:rPr>
          <w:lang w:val="en-GB"/>
        </w:rPr>
        <w:t xml:space="preserve">macological activity, namely antioxidant, membrane and vasostabilizing, anti-inflammatory, exceeding that of the preparation of comparison – plant hepatoprotector sylibor. </w:t>
      </w:r>
    </w:p>
    <w:p w:rsidR="00D24B08" w:rsidRDefault="00D24B08" w:rsidP="00D24B08">
      <w:pPr>
        <w:spacing w:line="360" w:lineRule="exact"/>
        <w:ind w:firstLine="708"/>
        <w:jc w:val="both"/>
        <w:rPr>
          <w:lang w:val="en-GB"/>
        </w:rPr>
      </w:pPr>
      <w:r>
        <w:rPr>
          <w:lang w:val="en-GB"/>
        </w:rPr>
        <w:t>Therapeutic efficiency of piflamin in dosage 150 μg/kg in biochemical and hist</w:t>
      </w:r>
      <w:r>
        <w:rPr>
          <w:lang w:val="en-GB"/>
        </w:rPr>
        <w:t>o</w:t>
      </w:r>
      <w:r>
        <w:rPr>
          <w:lang w:val="en-GB"/>
        </w:rPr>
        <w:t>logical studies on the models of toxic hepatitis with acute, sub-chronic and chronic course was proved.  The obtained results shown reliable advantages on inhibition of free radical processes, maintenance of the activity of anti-oxidant sy</w:t>
      </w:r>
      <w:r>
        <w:rPr>
          <w:lang w:val="en-GB"/>
        </w:rPr>
        <w:t>s</w:t>
      </w:r>
      <w:r>
        <w:rPr>
          <w:lang w:val="en-GB"/>
        </w:rPr>
        <w:t>tem, normalization of synthetic and reparative processes in liver of piflamin over those silibor. The hepatoprotective effect of piflamin is provided by the complex of biologically active substances a grass of a peas sowing and is realised through the antiox</w:t>
      </w:r>
      <w:r>
        <w:rPr>
          <w:lang w:val="en-GB"/>
        </w:rPr>
        <w:t>i</w:t>
      </w:r>
      <w:r>
        <w:rPr>
          <w:lang w:val="en-GB"/>
        </w:rPr>
        <w:t>dant mechanism,</w:t>
      </w:r>
      <w:r>
        <w:rPr>
          <w:lang w:val="en-US"/>
        </w:rPr>
        <w:t xml:space="preserve"> stabilizing of cell</w:t>
      </w:r>
      <w:r>
        <w:rPr>
          <w:lang w:val="en-US"/>
        </w:rPr>
        <w:t>u</w:t>
      </w:r>
      <w:r>
        <w:rPr>
          <w:lang w:val="en-US"/>
        </w:rPr>
        <w:t>lar membranes, weakening of cytolytic displays and</w:t>
      </w:r>
      <w:r>
        <w:rPr>
          <w:lang w:val="en-GB"/>
        </w:rPr>
        <w:t xml:space="preserve"> is shown by the restoration of the fun</w:t>
      </w:r>
      <w:r>
        <w:rPr>
          <w:lang w:val="en-GB"/>
        </w:rPr>
        <w:t>c</w:t>
      </w:r>
      <w:r>
        <w:rPr>
          <w:lang w:val="en-GB"/>
        </w:rPr>
        <w:t>tional state of liver and normalization of metabolic processes.</w:t>
      </w:r>
    </w:p>
    <w:p w:rsidR="00D24B08" w:rsidRDefault="00D24B08" w:rsidP="00D24B08">
      <w:pPr>
        <w:spacing w:line="360" w:lineRule="exact"/>
        <w:ind w:firstLine="708"/>
        <w:jc w:val="both"/>
        <w:rPr>
          <w:lang w:val="en-GB"/>
        </w:rPr>
      </w:pPr>
      <w:r>
        <w:rPr>
          <w:lang w:val="en-GB"/>
        </w:rPr>
        <w:t xml:space="preserve"> Piflamin is “relatively i</w:t>
      </w:r>
      <w:r>
        <w:rPr>
          <w:lang w:val="en-GB"/>
        </w:rPr>
        <w:t>n</w:t>
      </w:r>
      <w:r>
        <w:rPr>
          <w:lang w:val="en-GB"/>
        </w:rPr>
        <w:t>nocuous”, has no ulcerogenic activity, increases intestinal peristalsis, does not effect gastric juice secr</w:t>
      </w:r>
      <w:r>
        <w:rPr>
          <w:lang w:val="en-GB"/>
        </w:rPr>
        <w:t>e</w:t>
      </w:r>
      <w:r>
        <w:rPr>
          <w:lang w:val="en-GB"/>
        </w:rPr>
        <w:t>tion and acidity.</w:t>
      </w:r>
    </w:p>
    <w:p w:rsidR="00D24B08" w:rsidRDefault="00D24B08" w:rsidP="00D24B08">
      <w:pPr>
        <w:spacing w:line="360" w:lineRule="exact"/>
        <w:ind w:firstLine="708"/>
        <w:jc w:val="both"/>
        <w:rPr>
          <w:lang w:val="en-GB"/>
        </w:rPr>
      </w:pPr>
      <w:r>
        <w:rPr>
          <w:lang w:val="en-GB"/>
        </w:rPr>
        <w:t xml:space="preserve">Piflamin is recommended as a hepatoprotector for pathogenetic treatment of liver affection </w:t>
      </w:r>
      <w:r>
        <w:rPr>
          <w:lang w:val="en-US"/>
        </w:rPr>
        <w:t>of toxic aetiology</w:t>
      </w:r>
      <w:r>
        <w:rPr>
          <w:lang w:val="en-GB"/>
        </w:rPr>
        <w:t>. The preparation is characterized by the wide range of activ</w:t>
      </w:r>
      <w:r>
        <w:rPr>
          <w:lang w:val="en-GB"/>
        </w:rPr>
        <w:t>i</w:t>
      </w:r>
      <w:r>
        <w:rPr>
          <w:lang w:val="en-GB"/>
        </w:rPr>
        <w:t>ty and beneficial economic characteristics.</w:t>
      </w:r>
    </w:p>
    <w:p w:rsidR="00D24B08" w:rsidRDefault="00D24B08" w:rsidP="00D24B08">
      <w:pPr>
        <w:spacing w:line="360" w:lineRule="exact"/>
        <w:ind w:firstLine="708"/>
        <w:jc w:val="both"/>
        <w:rPr>
          <w:lang w:val="uk-UA"/>
        </w:rPr>
      </w:pPr>
      <w:r>
        <w:rPr>
          <w:i/>
          <w:iCs/>
          <w:lang w:val="en-GB"/>
        </w:rPr>
        <w:lastRenderedPageBreak/>
        <w:t>Key words</w:t>
      </w:r>
      <w:r>
        <w:rPr>
          <w:lang w:val="en-GB"/>
        </w:rPr>
        <w:t>: experimental study, hepatoprotective activity, phytogenic substances, grass of a peas, piflamin preparation, antioxidant activity.</w:t>
      </w:r>
    </w:p>
    <w:p w:rsidR="007D2A15" w:rsidRPr="00D24B08" w:rsidRDefault="007D2A15" w:rsidP="007D2A15">
      <w:pPr>
        <w:spacing w:line="360" w:lineRule="auto"/>
        <w:ind w:left="360"/>
        <w:jc w:val="both"/>
        <w:rPr>
          <w:lang w:val="uk-UA"/>
        </w:rPr>
      </w:pPr>
      <w:bookmarkStart w:id="0" w:name="_GoBack"/>
      <w:bookmarkEnd w:id="0"/>
    </w:p>
    <w:p w:rsidR="00E8063E" w:rsidRDefault="00E8063E" w:rsidP="007D2A15">
      <w:pPr>
        <w:pStyle w:val="afffffff6"/>
      </w:pPr>
      <w:r>
        <w:rPr>
          <w:color w:val="FF0000"/>
        </w:rPr>
        <w:t xml:space="preserve">Для заказа доставки данной работы воспользуйтесь поиском на сайте по ссылке:  </w:t>
      </w:r>
      <w:hyperlink r:id="rId21"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E4F" w:rsidRDefault="00E34E4F">
      <w:r>
        <w:separator/>
      </w:r>
    </w:p>
  </w:endnote>
  <w:endnote w:type="continuationSeparator" w:id="0">
    <w:p w:rsidR="00E34E4F" w:rsidRDefault="00E3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B08" w:rsidRDefault="00D24B08">
    <w:pPr>
      <w:pStyle w:val="afffffff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24B08" w:rsidRDefault="00D24B08">
    <w:pPr>
      <w:pStyle w:val="affffff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B08" w:rsidRDefault="00D24B08">
    <w:pPr>
      <w:pStyle w:val="affffff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E4F" w:rsidRDefault="00E34E4F">
      <w:r>
        <w:separator/>
      </w:r>
    </w:p>
  </w:footnote>
  <w:footnote w:type="continuationSeparator" w:id="0">
    <w:p w:rsidR="00E34E4F" w:rsidRDefault="00E3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B08" w:rsidRDefault="00D24B08">
    <w:pPr>
      <w:pStyle w:val="afffffff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D24B08" w:rsidRDefault="00D24B08">
    <w:pPr>
      <w:pStyle w:val="affffff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B08" w:rsidRDefault="00D24B08">
    <w:pPr>
      <w:pStyle w:val="afffffff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D24B08" w:rsidRDefault="00D24B08">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AD96484"/>
    <w:multiLevelType w:val="hybridMultilevel"/>
    <w:tmpl w:val="EB20DCC0"/>
    <w:lvl w:ilvl="0" w:tplc="3EC206C6">
      <w:start w:val="1"/>
      <w:numFmt w:val="decimal"/>
      <w:lvlText w:val="%1."/>
      <w:lvlJc w:val="left"/>
      <w:pPr>
        <w:tabs>
          <w:tab w:val="num" w:pos="1440"/>
        </w:tabs>
        <w:ind w:left="1440" w:hanging="360"/>
      </w:pPr>
      <w:rPr>
        <w:rFonts w:ascii="Times New Roman" w:hAnsi="Times New Roman" w:hint="default"/>
        <w:b w:val="0"/>
        <w:i w:val="0"/>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545B6DD9"/>
    <w:multiLevelType w:val="singleLevel"/>
    <w:tmpl w:val="F8267C34"/>
    <w:lvl w:ilvl="0">
      <w:start w:val="1"/>
      <w:numFmt w:val="decimal"/>
      <w:lvlText w:val="%1."/>
      <w:lvlJc w:val="left"/>
      <w:pPr>
        <w:tabs>
          <w:tab w:val="num" w:pos="1069"/>
        </w:tabs>
        <w:ind w:left="1069" w:hanging="360"/>
      </w:pPr>
      <w:rPr>
        <w:rFonts w:hint="default"/>
      </w:rPr>
    </w:lvl>
  </w:abstractNum>
  <w:abstractNum w:abstractNumId="4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5"/>
  </w:num>
  <w:num w:numId="39">
    <w:abstractNumId w:val="0"/>
  </w:num>
  <w:num w:numId="40">
    <w:abstractNumId w:val="1"/>
  </w:num>
  <w:num w:numId="41">
    <w:abstractNumId w:val="2"/>
  </w:num>
  <w:num w:numId="42">
    <w:abstractNumId w:val="44"/>
  </w:num>
  <w:num w:numId="43">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844DE"/>
    <w:rsid w:val="000976D0"/>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FC9"/>
    <w:rsid w:val="001B4376"/>
    <w:rsid w:val="001B4C01"/>
    <w:rsid w:val="001C702E"/>
    <w:rsid w:val="001D3DEF"/>
    <w:rsid w:val="001D5247"/>
    <w:rsid w:val="001F14AE"/>
    <w:rsid w:val="001F1507"/>
    <w:rsid w:val="001F66E7"/>
    <w:rsid w:val="0020387D"/>
    <w:rsid w:val="00206C75"/>
    <w:rsid w:val="0021207A"/>
    <w:rsid w:val="00214C91"/>
    <w:rsid w:val="00264972"/>
    <w:rsid w:val="00267173"/>
    <w:rsid w:val="00267C02"/>
    <w:rsid w:val="0028253D"/>
    <w:rsid w:val="0028553A"/>
    <w:rsid w:val="00285B73"/>
    <w:rsid w:val="00292B3F"/>
    <w:rsid w:val="002A1B6A"/>
    <w:rsid w:val="002A6528"/>
    <w:rsid w:val="002B6D66"/>
    <w:rsid w:val="002D11A8"/>
    <w:rsid w:val="002D4909"/>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723CF"/>
    <w:rsid w:val="00383B3E"/>
    <w:rsid w:val="00390306"/>
    <w:rsid w:val="0039380B"/>
    <w:rsid w:val="003A1A62"/>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17AB3"/>
    <w:rsid w:val="004230E1"/>
    <w:rsid w:val="004313DD"/>
    <w:rsid w:val="004438AE"/>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33D18"/>
    <w:rsid w:val="00535170"/>
    <w:rsid w:val="005461ED"/>
    <w:rsid w:val="005506B9"/>
    <w:rsid w:val="00550763"/>
    <w:rsid w:val="005521DD"/>
    <w:rsid w:val="00576C1A"/>
    <w:rsid w:val="005803EE"/>
    <w:rsid w:val="00592471"/>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D2A15"/>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429C"/>
    <w:rsid w:val="009654A3"/>
    <w:rsid w:val="009B3919"/>
    <w:rsid w:val="009C7D55"/>
    <w:rsid w:val="009D350E"/>
    <w:rsid w:val="009D4CB8"/>
    <w:rsid w:val="009F4BD2"/>
    <w:rsid w:val="009F7EAC"/>
    <w:rsid w:val="00A0133D"/>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07B"/>
    <w:rsid w:val="00B02945"/>
    <w:rsid w:val="00B1230A"/>
    <w:rsid w:val="00B15527"/>
    <w:rsid w:val="00B3226C"/>
    <w:rsid w:val="00B339FA"/>
    <w:rsid w:val="00B40C8A"/>
    <w:rsid w:val="00B46023"/>
    <w:rsid w:val="00B46ED5"/>
    <w:rsid w:val="00B52F20"/>
    <w:rsid w:val="00B53BD0"/>
    <w:rsid w:val="00B7172B"/>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92266"/>
    <w:rsid w:val="00D959BF"/>
    <w:rsid w:val="00D963CD"/>
    <w:rsid w:val="00D97F12"/>
    <w:rsid w:val="00DB43FE"/>
    <w:rsid w:val="00DB5B53"/>
    <w:rsid w:val="00DD4EAD"/>
    <w:rsid w:val="00DE5840"/>
    <w:rsid w:val="00DE5D7B"/>
    <w:rsid w:val="00E00292"/>
    <w:rsid w:val="00E038A0"/>
    <w:rsid w:val="00E0488E"/>
    <w:rsid w:val="00E126BD"/>
    <w:rsid w:val="00E26F4E"/>
    <w:rsid w:val="00E3373F"/>
    <w:rsid w:val="00E34E4F"/>
    <w:rsid w:val="00E36459"/>
    <w:rsid w:val="00E5494D"/>
    <w:rsid w:val="00E57281"/>
    <w:rsid w:val="00E63D91"/>
    <w:rsid w:val="00E73D4A"/>
    <w:rsid w:val="00E8063E"/>
    <w:rsid w:val="00E86990"/>
    <w:rsid w:val="00E91213"/>
    <w:rsid w:val="00E94606"/>
    <w:rsid w:val="00E978BC"/>
    <w:rsid w:val="00EA3D12"/>
    <w:rsid w:val="00EB2896"/>
    <w:rsid w:val="00EB777B"/>
    <w:rsid w:val="00EC68A6"/>
    <w:rsid w:val="00ED245E"/>
    <w:rsid w:val="00ED2E24"/>
    <w:rsid w:val="00EF51C8"/>
    <w:rsid w:val="00F02799"/>
    <w:rsid w:val="00F04FBC"/>
    <w:rsid w:val="00F07431"/>
    <w:rsid w:val="00F224B8"/>
    <w:rsid w:val="00F42DB2"/>
    <w:rsid w:val="00F501BB"/>
    <w:rsid w:val="00F6176E"/>
    <w:rsid w:val="00F65DB8"/>
    <w:rsid w:val="00F67C61"/>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8">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6"/>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1">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9">
    <w:name w:val="Текст диссертации"/>
    <w:basedOn w:val="a8"/>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9"/>
    <w:rsid w:val="00E86990"/>
  </w:style>
  <w:style w:type="paragraph" w:customStyle="1" w:styleId="165">
    <w:name w:val="16 пт"/>
    <w:basedOn w:val="a8"/>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8"/>
    <w:next w:val="a8"/>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9"/>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9"/>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8"/>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8"/>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9"/>
    <w:rsid w:val="00D77579"/>
    <w:rPr>
      <w:rFonts w:ascii="Times New Roman" w:hAnsi="Times New Roman" w:cs="Times New Roman"/>
      <w:sz w:val="24"/>
      <w:szCs w:val="24"/>
    </w:rPr>
  </w:style>
  <w:style w:type="paragraph" w:customStyle="1" w:styleId="table-text-0">
    <w:name w:val="table-text-0"/>
    <w:basedOn w:val="a8"/>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9"/>
    <w:rsid w:val="00D77579"/>
  </w:style>
  <w:style w:type="character" w:customStyle="1" w:styleId="searchterm4">
    <w:name w:val="searchterm4"/>
    <w:basedOn w:val="a9"/>
    <w:rsid w:val="00D77579"/>
  </w:style>
  <w:style w:type="paragraph" w:customStyle="1" w:styleId="table-text-2">
    <w:name w:val="table-text-2"/>
    <w:basedOn w:val="a8"/>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9"/>
    <w:rsid w:val="00D77579"/>
    <w:rPr>
      <w:b/>
      <w:bCs/>
      <w:color w:val="auto"/>
    </w:rPr>
  </w:style>
  <w:style w:type="character" w:customStyle="1" w:styleId="maintextbldleft">
    <w:name w:val="maintextbldleft"/>
    <w:basedOn w:val="a9"/>
    <w:rsid w:val="00D77579"/>
  </w:style>
  <w:style w:type="paragraph" w:customStyle="1" w:styleId="afffffffffffffffffffffffa">
    <w:name w:val="Ленчик"/>
    <w:basedOn w:val="affffffff"/>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8"/>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8"/>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8"/>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8"/>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9"/>
    <w:rsid w:val="00312315"/>
    <w:rPr>
      <w:rFonts w:ascii="Times New Roman" w:hAnsi="Times New Roman" w:cs="Times New Roman"/>
      <w:b/>
      <w:bCs/>
      <w:sz w:val="28"/>
      <w:szCs w:val="28"/>
    </w:rPr>
  </w:style>
  <w:style w:type="character" w:customStyle="1" w:styleId="rvts32">
    <w:name w:val="rvts32"/>
    <w:basedOn w:val="a9"/>
    <w:rsid w:val="00312315"/>
    <w:rPr>
      <w:rFonts w:ascii="Times New Roman" w:hAnsi="Times New Roman" w:cs="Times New Roman"/>
      <w:b/>
      <w:bCs/>
      <w:caps/>
      <w:sz w:val="24"/>
      <w:szCs w:val="24"/>
    </w:rPr>
  </w:style>
  <w:style w:type="paragraph" w:customStyle="1" w:styleId="afffffffffffffffffffffffb">
    <w:name w:val="Нормальний текст"/>
    <w:basedOn w:val="a8"/>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8"/>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c">
    <w:name w:val="Звичайний текст"/>
    <w:basedOn w:val="a8"/>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8">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6"/>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1">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9">
    <w:name w:val="Текст диссертации"/>
    <w:basedOn w:val="a8"/>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9"/>
    <w:rsid w:val="00E86990"/>
  </w:style>
  <w:style w:type="paragraph" w:customStyle="1" w:styleId="165">
    <w:name w:val="16 пт"/>
    <w:basedOn w:val="a8"/>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8"/>
    <w:next w:val="a8"/>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9"/>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9"/>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8"/>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8"/>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9"/>
    <w:rsid w:val="00D77579"/>
    <w:rPr>
      <w:rFonts w:ascii="Times New Roman" w:hAnsi="Times New Roman" w:cs="Times New Roman"/>
      <w:sz w:val="24"/>
      <w:szCs w:val="24"/>
    </w:rPr>
  </w:style>
  <w:style w:type="paragraph" w:customStyle="1" w:styleId="table-text-0">
    <w:name w:val="table-text-0"/>
    <w:basedOn w:val="a8"/>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9"/>
    <w:rsid w:val="00D77579"/>
  </w:style>
  <w:style w:type="character" w:customStyle="1" w:styleId="searchterm4">
    <w:name w:val="searchterm4"/>
    <w:basedOn w:val="a9"/>
    <w:rsid w:val="00D77579"/>
  </w:style>
  <w:style w:type="paragraph" w:customStyle="1" w:styleId="table-text-2">
    <w:name w:val="table-text-2"/>
    <w:basedOn w:val="a8"/>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9"/>
    <w:rsid w:val="00D77579"/>
    <w:rPr>
      <w:b/>
      <w:bCs/>
      <w:color w:val="auto"/>
    </w:rPr>
  </w:style>
  <w:style w:type="character" w:customStyle="1" w:styleId="maintextbldleft">
    <w:name w:val="maintextbldleft"/>
    <w:basedOn w:val="a9"/>
    <w:rsid w:val="00D77579"/>
  </w:style>
  <w:style w:type="paragraph" w:customStyle="1" w:styleId="afffffffffffffffffffffffa">
    <w:name w:val="Ленчик"/>
    <w:basedOn w:val="affffffff"/>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8"/>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8"/>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8"/>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8"/>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9"/>
    <w:rsid w:val="00312315"/>
    <w:rPr>
      <w:rFonts w:ascii="Times New Roman" w:hAnsi="Times New Roman" w:cs="Times New Roman"/>
      <w:b/>
      <w:bCs/>
      <w:sz w:val="28"/>
      <w:szCs w:val="28"/>
    </w:rPr>
  </w:style>
  <w:style w:type="character" w:customStyle="1" w:styleId="rvts32">
    <w:name w:val="rvts32"/>
    <w:basedOn w:val="a9"/>
    <w:rsid w:val="00312315"/>
    <w:rPr>
      <w:rFonts w:ascii="Times New Roman" w:hAnsi="Times New Roman" w:cs="Times New Roman"/>
      <w:b/>
      <w:bCs/>
      <w:caps/>
      <w:sz w:val="24"/>
      <w:szCs w:val="24"/>
    </w:rPr>
  </w:style>
  <w:style w:type="paragraph" w:customStyle="1" w:styleId="afffffffffffffffffffffffb">
    <w:name w:val="Нормальний текст"/>
    <w:basedOn w:val="a8"/>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8"/>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c">
    <w:name w:val="Звичайний текст"/>
    <w:basedOn w:val="a8"/>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mydisser.com/search.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1.xml"/><Relationship Id="rId22" Type="http://schemas.openxmlformats.org/officeDocument/2006/relationships/header" Target="header3.xml"/><Relationship Id="rId27"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27067669172932"/>
          <c:y val="8.1447963800904979E-2"/>
          <c:w val="0.87969924812030076"/>
          <c:h val="0.42986425339366519"/>
        </c:manualLayout>
      </c:layout>
      <c:barChart>
        <c:barDir val="col"/>
        <c:grouping val="clustered"/>
        <c:varyColors val="0"/>
        <c:ser>
          <c:idx val="0"/>
          <c:order val="0"/>
          <c:tx>
            <c:strRef>
              <c:f>Лист1!$A$2</c:f>
              <c:strCache>
                <c:ptCount val="1"/>
                <c:pt idx="0">
                  <c:v>Інтактний контроль</c:v>
                </c:pt>
              </c:strCache>
            </c:strRef>
          </c:tx>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1506">
              <a:solidFill>
                <a:srgbClr val="000000"/>
              </a:solidFill>
              <a:prstDash val="solid"/>
            </a:ln>
          </c:spPr>
          <c:invertIfNegative val="0"/>
          <c:cat>
            <c:strRef>
              <c:f>Лист1!$B$1:$F$1</c:f>
              <c:strCache>
                <c:ptCount val="5"/>
                <c:pt idx="0">
                  <c:v>МДА</c:v>
                </c:pt>
                <c:pt idx="1">
                  <c:v>GSH</c:v>
                </c:pt>
                <c:pt idx="2">
                  <c:v>СОД</c:v>
                </c:pt>
                <c:pt idx="3">
                  <c:v>Інтенсивність секреції жовчі</c:v>
                </c:pt>
                <c:pt idx="4">
                  <c:v>Жовчні кислоти</c:v>
                </c:pt>
              </c:strCache>
            </c:strRef>
          </c:cat>
          <c:val>
            <c:numRef>
              <c:f>Лист1!$B$2:$F$2</c:f>
              <c:numCache>
                <c:formatCode>General</c:formatCode>
                <c:ptCount val="5"/>
                <c:pt idx="0">
                  <c:v>100</c:v>
                </c:pt>
                <c:pt idx="1">
                  <c:v>100</c:v>
                </c:pt>
                <c:pt idx="2">
                  <c:v>100</c:v>
                </c:pt>
                <c:pt idx="3">
                  <c:v>100</c:v>
                </c:pt>
                <c:pt idx="4">
                  <c:v>100</c:v>
                </c:pt>
              </c:numCache>
            </c:numRef>
          </c:val>
        </c:ser>
        <c:ser>
          <c:idx val="1"/>
          <c:order val="1"/>
          <c:tx>
            <c:strRef>
              <c:f>Лист1!$A$3</c:f>
              <c:strCache>
                <c:ptCount val="1"/>
                <c:pt idx="0">
                  <c:v>Контрольна патологія</c:v>
                </c:pt>
              </c:strCache>
            </c:strRef>
          </c:tx>
          <c:spPr>
            <a:solidFill>
              <a:srgbClr val="000000"/>
            </a:solidFill>
            <a:ln w="11506">
              <a:solidFill>
                <a:srgbClr val="000000"/>
              </a:solidFill>
              <a:prstDash val="solid"/>
            </a:ln>
          </c:spPr>
          <c:invertIfNegative val="0"/>
          <c:dLbls>
            <c:dLbl>
              <c:idx val="0"/>
              <c:layout>
                <c:manualLayout>
                  <c:xMode val="edge"/>
                  <c:yMode val="edge"/>
                  <c:x val="0.17142857142857143"/>
                  <c:y val="0.14027149321266968"/>
                </c:manualLayout>
              </c:layout>
              <c:tx>
                <c:rich>
                  <a:bodyPr/>
                  <a:lstStyle/>
                  <a:p>
                    <a:r>
                      <a:t>*</a:t>
                    </a:r>
                  </a:p>
                </c:rich>
              </c:tx>
              <c:dLblPos val="outEnd"/>
              <c:showLegendKey val="0"/>
              <c:showVal val="0"/>
              <c:showCatName val="0"/>
              <c:showSerName val="0"/>
              <c:showPercent val="0"/>
              <c:showBubbleSize val="0"/>
            </c:dLbl>
            <c:dLbl>
              <c:idx val="1"/>
              <c:layout>
                <c:manualLayout>
                  <c:xMode val="edge"/>
                  <c:yMode val="edge"/>
                  <c:x val="0.34285714285714286"/>
                  <c:y val="0.29864253393665158"/>
                </c:manualLayout>
              </c:layout>
              <c:tx>
                <c:rich>
                  <a:bodyPr/>
                  <a:lstStyle/>
                  <a:p>
                    <a:r>
                      <a:t>*</a:t>
                    </a:r>
                  </a:p>
                </c:rich>
              </c:tx>
              <c:dLblPos val="outEnd"/>
              <c:showLegendKey val="0"/>
              <c:showVal val="0"/>
              <c:showCatName val="0"/>
              <c:showSerName val="0"/>
              <c:showPercent val="0"/>
              <c:showBubbleSize val="0"/>
            </c:dLbl>
            <c:dLbl>
              <c:idx val="2"/>
              <c:layout>
                <c:manualLayout>
                  <c:xMode val="edge"/>
                  <c:yMode val="edge"/>
                  <c:x val="0.52030075187969926"/>
                  <c:y val="4.072398190045249E-2"/>
                </c:manualLayout>
              </c:layout>
              <c:tx>
                <c:rich>
                  <a:bodyPr/>
                  <a:lstStyle/>
                  <a:p>
                    <a:r>
                      <a:t>*</a:t>
                    </a:r>
                  </a:p>
                </c:rich>
              </c:tx>
              <c:dLblPos val="outEnd"/>
              <c:showLegendKey val="0"/>
              <c:showVal val="0"/>
              <c:showCatName val="0"/>
              <c:showSerName val="0"/>
              <c:showPercent val="0"/>
              <c:showBubbleSize val="0"/>
            </c:dLbl>
            <c:dLbl>
              <c:idx val="3"/>
              <c:layout>
                <c:manualLayout>
                  <c:xMode val="edge"/>
                  <c:yMode val="edge"/>
                  <c:x val="0.69774436090225567"/>
                  <c:y val="0.30769230769230771"/>
                </c:manualLayout>
              </c:layout>
              <c:tx>
                <c:rich>
                  <a:bodyPr/>
                  <a:lstStyle/>
                  <a:p>
                    <a:r>
                      <a:t>*</a:t>
                    </a:r>
                  </a:p>
                </c:rich>
              </c:tx>
              <c:dLblPos val="outEnd"/>
              <c:showLegendKey val="0"/>
              <c:showVal val="0"/>
              <c:showCatName val="0"/>
              <c:showSerName val="0"/>
              <c:showPercent val="0"/>
              <c:showBubbleSize val="0"/>
            </c:dLbl>
            <c:dLbl>
              <c:idx val="4"/>
              <c:delete val="1"/>
            </c:dLbl>
            <c:dLbl>
              <c:idx val="5"/>
              <c:delete val="1"/>
            </c:dLbl>
            <c:spPr>
              <a:noFill/>
              <a:ln w="23013">
                <a:noFill/>
              </a:ln>
            </c:spPr>
            <c:txPr>
              <a:bodyPr/>
              <a:lstStyle/>
              <a:p>
                <a:pPr>
                  <a:defRPr sz="124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Лист1!$B$1:$F$1</c:f>
              <c:strCache>
                <c:ptCount val="5"/>
                <c:pt idx="0">
                  <c:v>МДА</c:v>
                </c:pt>
                <c:pt idx="1">
                  <c:v>GSH</c:v>
                </c:pt>
                <c:pt idx="2">
                  <c:v>СОД</c:v>
                </c:pt>
                <c:pt idx="3">
                  <c:v>Інтенсивність секреції жовчі</c:v>
                </c:pt>
                <c:pt idx="4">
                  <c:v>Жовчні кислоти</c:v>
                </c:pt>
              </c:strCache>
            </c:strRef>
          </c:cat>
          <c:val>
            <c:numRef>
              <c:f>Лист1!$B$3:$F$3</c:f>
              <c:numCache>
                <c:formatCode>General</c:formatCode>
                <c:ptCount val="5"/>
                <c:pt idx="0">
                  <c:v>137</c:v>
                </c:pt>
                <c:pt idx="1">
                  <c:v>63</c:v>
                </c:pt>
                <c:pt idx="2">
                  <c:v>216</c:v>
                </c:pt>
                <c:pt idx="3">
                  <c:v>58</c:v>
                </c:pt>
                <c:pt idx="4">
                  <c:v>49</c:v>
                </c:pt>
              </c:numCache>
            </c:numRef>
          </c:val>
        </c:ser>
        <c:ser>
          <c:idx val="2"/>
          <c:order val="2"/>
          <c:tx>
            <c:strRef>
              <c:f>Лист1!$A$4</c:f>
              <c:strCache>
                <c:ptCount val="1"/>
                <c:pt idx="0">
                  <c:v>Силібор</c:v>
                </c:pt>
              </c:strCache>
            </c:strRef>
          </c:tx>
          <c:spPr>
            <a:pattFill prst="solid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1506">
              <a:solidFill>
                <a:srgbClr val="000000"/>
              </a:solidFill>
              <a:prstDash val="solid"/>
            </a:ln>
          </c:spPr>
          <c:invertIfNegative val="0"/>
          <c:dLbls>
            <c:dLbl>
              <c:idx val="0"/>
              <c:layout>
                <c:manualLayout>
                  <c:xMode val="edge"/>
                  <c:yMode val="edge"/>
                  <c:x val="0.20150375939849624"/>
                  <c:y val="0.14027149321266968"/>
                </c:manualLayout>
              </c:layout>
              <c:tx>
                <c:rich>
                  <a:bodyPr/>
                  <a:lstStyle/>
                  <a:p>
                    <a:r>
                      <a:t>*</a:t>
                    </a:r>
                  </a:p>
                </c:rich>
              </c:tx>
              <c:dLblPos val="outEnd"/>
              <c:showLegendKey val="0"/>
              <c:showVal val="0"/>
              <c:showCatName val="0"/>
              <c:showSerName val="0"/>
              <c:showPercent val="0"/>
              <c:showBubbleSize val="0"/>
            </c:dLbl>
            <c:dLbl>
              <c:idx val="1"/>
              <c:layout>
                <c:manualLayout>
                  <c:xMode val="edge"/>
                  <c:yMode val="edge"/>
                  <c:x val="0.35939849624060149"/>
                  <c:y val="0.11312217194570136"/>
                </c:manualLayout>
              </c:layout>
              <c:tx>
                <c:rich>
                  <a:bodyPr/>
                  <a:lstStyle/>
                  <a:p>
                    <a:r>
                      <a:t>*/**</a:t>
                    </a:r>
                  </a:p>
                </c:rich>
              </c:tx>
              <c:dLblPos val="outEnd"/>
              <c:showLegendKey val="0"/>
              <c:showVal val="0"/>
              <c:showCatName val="0"/>
              <c:showSerName val="0"/>
              <c:showPercent val="0"/>
              <c:showBubbleSize val="0"/>
            </c:dLbl>
            <c:dLbl>
              <c:idx val="2"/>
              <c:layout>
                <c:manualLayout>
                  <c:xMode val="edge"/>
                  <c:yMode val="edge"/>
                  <c:x val="0.54887218045112784"/>
                  <c:y val="0.22171945701357465"/>
                </c:manualLayout>
              </c:layout>
              <c:tx>
                <c:rich>
                  <a:bodyPr/>
                  <a:lstStyle/>
                  <a:p>
                    <a:r>
                      <a:t>**</a:t>
                    </a:r>
                  </a:p>
                </c:rich>
              </c:tx>
              <c:dLblPos val="outEnd"/>
              <c:showLegendKey val="0"/>
              <c:showVal val="0"/>
              <c:showCatName val="0"/>
              <c:showSerName val="0"/>
              <c:showPercent val="0"/>
              <c:showBubbleSize val="0"/>
            </c:dLbl>
            <c:dLbl>
              <c:idx val="3"/>
              <c:layout>
                <c:manualLayout>
                  <c:xMode val="edge"/>
                  <c:yMode val="edge"/>
                  <c:x val="0.72932330827067671"/>
                  <c:y val="0.29864253393665158"/>
                </c:manualLayout>
              </c:layout>
              <c:tx>
                <c:rich>
                  <a:bodyPr/>
                  <a:lstStyle/>
                  <a:p>
                    <a:r>
                      <a:t>*</a:t>
                    </a:r>
                  </a:p>
                </c:rich>
              </c:tx>
              <c:dLblPos val="outEnd"/>
              <c:showLegendKey val="0"/>
              <c:showVal val="0"/>
              <c:showCatName val="0"/>
              <c:showSerName val="0"/>
              <c:showPercent val="0"/>
              <c:showBubbleSize val="0"/>
            </c:dLbl>
            <c:dLbl>
              <c:idx val="4"/>
              <c:layout>
                <c:manualLayout>
                  <c:xMode val="edge"/>
                  <c:yMode val="edge"/>
                  <c:x val="0.89473684210526316"/>
                  <c:y val="0"/>
                </c:manualLayout>
              </c:layout>
              <c:tx>
                <c:rich>
                  <a:bodyPr/>
                  <a:lstStyle/>
                  <a:p>
                    <a:r>
                      <a:t>**</a:t>
                    </a:r>
                  </a:p>
                </c:rich>
              </c:tx>
              <c:dLblPos val="outEnd"/>
              <c:showLegendKey val="0"/>
              <c:showVal val="0"/>
              <c:showCatName val="0"/>
              <c:showSerName val="0"/>
              <c:showPercent val="0"/>
              <c:showBubbleSize val="0"/>
            </c:dLbl>
            <c:dLbl>
              <c:idx val="5"/>
              <c:delete val="1"/>
            </c:dLbl>
            <c:spPr>
              <a:noFill/>
              <a:ln w="23013">
                <a:noFill/>
              </a:ln>
            </c:spPr>
            <c:txPr>
              <a:bodyPr/>
              <a:lstStyle/>
              <a:p>
                <a:pPr>
                  <a:defRPr sz="124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Лист1!$B$1:$F$1</c:f>
              <c:strCache>
                <c:ptCount val="5"/>
                <c:pt idx="0">
                  <c:v>МДА</c:v>
                </c:pt>
                <c:pt idx="1">
                  <c:v>GSH</c:v>
                </c:pt>
                <c:pt idx="2">
                  <c:v>СОД</c:v>
                </c:pt>
                <c:pt idx="3">
                  <c:v>Інтенсивність секреції жовчі</c:v>
                </c:pt>
                <c:pt idx="4">
                  <c:v>Жовчні кислоти</c:v>
                </c:pt>
              </c:strCache>
            </c:strRef>
          </c:cat>
          <c:val>
            <c:numRef>
              <c:f>Лист1!$B$4:$F$4</c:f>
              <c:numCache>
                <c:formatCode>General</c:formatCode>
                <c:ptCount val="5"/>
                <c:pt idx="0">
                  <c:v>155</c:v>
                </c:pt>
                <c:pt idx="1">
                  <c:v>172</c:v>
                </c:pt>
                <c:pt idx="2">
                  <c:v>109</c:v>
                </c:pt>
                <c:pt idx="3">
                  <c:v>64</c:v>
                </c:pt>
                <c:pt idx="4">
                  <c:v>235</c:v>
                </c:pt>
              </c:numCache>
            </c:numRef>
          </c:val>
        </c:ser>
        <c:ser>
          <c:idx val="3"/>
          <c:order val="3"/>
          <c:tx>
            <c:strRef>
              <c:f>Лист1!$A$5</c:f>
              <c:strCache>
                <c:ptCount val="1"/>
                <c:pt idx="0">
                  <c:v>Піфламін</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1506">
              <a:solidFill>
                <a:srgbClr val="000000"/>
              </a:solidFill>
              <a:prstDash val="solid"/>
            </a:ln>
          </c:spPr>
          <c:invertIfNegative val="0"/>
          <c:dLbls>
            <c:dLbl>
              <c:idx val="0"/>
              <c:layout>
                <c:manualLayout>
                  <c:xMode val="edge"/>
                  <c:yMode val="edge"/>
                  <c:x val="0.22556390977443608"/>
                  <c:y val="0.23076923076923078"/>
                </c:manualLayout>
              </c:layout>
              <c:tx>
                <c:rich>
                  <a:bodyPr/>
                  <a:lstStyle/>
                  <a:p>
                    <a:r>
                      <a:t>**/***</a:t>
                    </a:r>
                  </a:p>
                </c:rich>
              </c:tx>
              <c:dLblPos val="outEnd"/>
              <c:showLegendKey val="0"/>
              <c:showVal val="0"/>
              <c:showCatName val="0"/>
              <c:showSerName val="0"/>
              <c:showPercent val="0"/>
              <c:showBubbleSize val="0"/>
            </c:dLbl>
            <c:dLbl>
              <c:idx val="1"/>
              <c:layout>
                <c:manualLayout>
                  <c:xMode val="edge"/>
                  <c:yMode val="edge"/>
                  <c:x val="0.40601503759398494"/>
                  <c:y val="0.15384615384615385"/>
                </c:manualLayout>
              </c:layout>
              <c:tx>
                <c:rich>
                  <a:bodyPr/>
                  <a:lstStyle/>
                  <a:p>
                    <a:r>
                      <a:t>*/**</a:t>
                    </a:r>
                  </a:p>
                </c:rich>
              </c:tx>
              <c:dLblPos val="outEnd"/>
              <c:showLegendKey val="0"/>
              <c:showVal val="0"/>
              <c:showCatName val="0"/>
              <c:showSerName val="0"/>
              <c:showPercent val="0"/>
              <c:showBubbleSize val="0"/>
            </c:dLbl>
            <c:dLbl>
              <c:idx val="2"/>
              <c:layout>
                <c:manualLayout>
                  <c:xMode val="edge"/>
                  <c:yMode val="edge"/>
                  <c:x val="0.57894736842105265"/>
                  <c:y val="0.21719457013574661"/>
                </c:manualLayout>
              </c:layout>
              <c:tx>
                <c:rich>
                  <a:bodyPr/>
                  <a:lstStyle/>
                  <a:p>
                    <a:r>
                      <a:t>**</a:t>
                    </a:r>
                  </a:p>
                </c:rich>
              </c:tx>
              <c:dLblPos val="outEnd"/>
              <c:showLegendKey val="0"/>
              <c:showVal val="0"/>
              <c:showCatName val="0"/>
              <c:showSerName val="0"/>
              <c:showPercent val="0"/>
              <c:showBubbleSize val="0"/>
            </c:dLbl>
            <c:dLbl>
              <c:idx val="3"/>
              <c:layout>
                <c:manualLayout>
                  <c:xMode val="edge"/>
                  <c:yMode val="edge"/>
                  <c:x val="0.74135338345864665"/>
                  <c:y val="0.23076923076923078"/>
                </c:manualLayout>
              </c:layout>
              <c:tx>
                <c:rich>
                  <a:bodyPr/>
                  <a:lstStyle/>
                  <a:p>
                    <a:r>
                      <a:t>**/***</a:t>
                    </a:r>
                  </a:p>
                </c:rich>
              </c:tx>
              <c:dLblPos val="outEnd"/>
              <c:showLegendKey val="0"/>
              <c:showVal val="0"/>
              <c:showCatName val="0"/>
              <c:showSerName val="0"/>
              <c:showPercent val="0"/>
              <c:showBubbleSize val="0"/>
            </c:dLbl>
            <c:dLbl>
              <c:idx val="4"/>
              <c:layout>
                <c:manualLayout>
                  <c:xMode val="edge"/>
                  <c:yMode val="edge"/>
                  <c:x val="0.92781954887218043"/>
                  <c:y val="7.2398190045248875E-2"/>
                </c:manualLayout>
              </c:layout>
              <c:tx>
                <c:rich>
                  <a:bodyPr/>
                  <a:lstStyle/>
                  <a:p>
                    <a:r>
                      <a:t>*/**</a:t>
                    </a:r>
                  </a:p>
                </c:rich>
              </c:tx>
              <c:dLblPos val="outEnd"/>
              <c:showLegendKey val="0"/>
              <c:showVal val="0"/>
              <c:showCatName val="0"/>
              <c:showSerName val="0"/>
              <c:showPercent val="0"/>
              <c:showBubbleSize val="0"/>
            </c:dLbl>
            <c:dLbl>
              <c:idx val="5"/>
              <c:layout>
                <c:manualLayout>
                  <c:xMode val="edge"/>
                  <c:yMode val="edge"/>
                  <c:x val="0.80751879699248119"/>
                  <c:y val="4.5248868778280547E-3"/>
                </c:manualLayout>
              </c:layout>
              <c:tx>
                <c:rich>
                  <a:bodyPr/>
                  <a:lstStyle/>
                  <a:p>
                    <a:pPr>
                      <a:defRPr sz="294" b="0" i="0" u="none" strike="noStrike" baseline="0">
                        <a:solidFill>
                          <a:srgbClr val="000000"/>
                        </a:solidFill>
                        <a:latin typeface="Arial Cyr"/>
                        <a:ea typeface="Arial Cyr"/>
                        <a:cs typeface="Arial Cyr"/>
                      </a:defRPr>
                    </a:pPr>
                    <a:r>
                      <a:t>***</a:t>
                    </a:r>
                  </a:p>
                </c:rich>
              </c:tx>
              <c:spPr>
                <a:noFill/>
                <a:ln w="23013">
                  <a:noFill/>
                </a:ln>
              </c:spPr>
              <c:dLblPos val="outEnd"/>
              <c:showLegendKey val="0"/>
              <c:showVal val="0"/>
              <c:showCatName val="0"/>
              <c:showSerName val="0"/>
              <c:showPercent val="0"/>
              <c:showBubbleSize val="0"/>
            </c:dLbl>
            <c:spPr>
              <a:noFill/>
              <a:ln w="23013">
                <a:noFill/>
              </a:ln>
            </c:spPr>
            <c:txPr>
              <a:bodyPr/>
              <a:lstStyle/>
              <a:p>
                <a:pPr>
                  <a:defRPr sz="1246"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Лист1!$B$1:$F$1</c:f>
              <c:strCache>
                <c:ptCount val="5"/>
                <c:pt idx="0">
                  <c:v>МДА</c:v>
                </c:pt>
                <c:pt idx="1">
                  <c:v>GSH</c:v>
                </c:pt>
                <c:pt idx="2">
                  <c:v>СОД</c:v>
                </c:pt>
                <c:pt idx="3">
                  <c:v>Інтенсивність секреції жовчі</c:v>
                </c:pt>
                <c:pt idx="4">
                  <c:v>Жовчні кислоти</c:v>
                </c:pt>
              </c:strCache>
            </c:strRef>
          </c:cat>
          <c:val>
            <c:numRef>
              <c:f>Лист1!$B$5:$F$5</c:f>
              <c:numCache>
                <c:formatCode>General</c:formatCode>
                <c:ptCount val="5"/>
                <c:pt idx="0">
                  <c:v>90</c:v>
                </c:pt>
                <c:pt idx="1">
                  <c:v>142</c:v>
                </c:pt>
                <c:pt idx="2">
                  <c:v>108</c:v>
                </c:pt>
                <c:pt idx="3">
                  <c:v>97</c:v>
                </c:pt>
                <c:pt idx="4">
                  <c:v>184</c:v>
                </c:pt>
              </c:numCache>
            </c:numRef>
          </c:val>
        </c:ser>
        <c:dLbls>
          <c:showLegendKey val="0"/>
          <c:showVal val="0"/>
          <c:showCatName val="0"/>
          <c:showSerName val="0"/>
          <c:showPercent val="0"/>
          <c:showBubbleSize val="0"/>
        </c:dLbls>
        <c:gapWidth val="150"/>
        <c:axId val="438032256"/>
        <c:axId val="438033792"/>
      </c:barChart>
      <c:catAx>
        <c:axId val="438032256"/>
        <c:scaling>
          <c:orientation val="minMax"/>
        </c:scaling>
        <c:delete val="0"/>
        <c:axPos val="b"/>
        <c:numFmt formatCode="General" sourceLinked="1"/>
        <c:majorTickMark val="out"/>
        <c:minorTickMark val="none"/>
        <c:tickLblPos val="nextTo"/>
        <c:spPr>
          <a:ln w="2877">
            <a:solidFill>
              <a:srgbClr val="000000"/>
            </a:solidFill>
            <a:prstDash val="solid"/>
          </a:ln>
        </c:spPr>
        <c:txPr>
          <a:bodyPr rot="0" vert="horz"/>
          <a:lstStyle/>
          <a:p>
            <a:pPr>
              <a:defRPr sz="1268" b="0" i="0" u="none" strike="noStrike" baseline="0">
                <a:solidFill>
                  <a:srgbClr val="000000"/>
                </a:solidFill>
                <a:latin typeface="Times New Roman"/>
                <a:ea typeface="Times New Roman"/>
                <a:cs typeface="Times New Roman"/>
              </a:defRPr>
            </a:pPr>
            <a:endParaRPr lang="ru-RU"/>
          </a:p>
        </c:txPr>
        <c:crossAx val="438033792"/>
        <c:crosses val="autoZero"/>
        <c:auto val="1"/>
        <c:lblAlgn val="ctr"/>
        <c:lblOffset val="100"/>
        <c:tickLblSkip val="1"/>
        <c:tickMarkSkip val="1"/>
        <c:noMultiLvlLbl val="0"/>
      </c:catAx>
      <c:valAx>
        <c:axId val="438033792"/>
        <c:scaling>
          <c:orientation val="minMax"/>
        </c:scaling>
        <c:delete val="0"/>
        <c:axPos val="l"/>
        <c:majorGridlines>
          <c:spPr>
            <a:ln w="2877">
              <a:solidFill>
                <a:srgbClr val="000000"/>
              </a:solidFill>
              <a:prstDash val="solid"/>
            </a:ln>
          </c:spPr>
        </c:majorGridlines>
        <c:title>
          <c:tx>
            <c:rich>
              <a:bodyPr rot="0" vert="horz"/>
              <a:lstStyle/>
              <a:p>
                <a:pPr algn="ctr">
                  <a:defRPr sz="1268" b="0" i="0" u="none" strike="noStrike" baseline="0">
                    <a:solidFill>
                      <a:srgbClr val="000000"/>
                    </a:solidFill>
                    <a:latin typeface="Times New Roman"/>
                    <a:ea typeface="Times New Roman"/>
                    <a:cs typeface="Times New Roman"/>
                  </a:defRPr>
                </a:pPr>
                <a:r>
                  <a:t>%</a:t>
                </a:r>
              </a:p>
            </c:rich>
          </c:tx>
          <c:layout>
            <c:manualLayout>
              <c:xMode val="edge"/>
              <c:yMode val="edge"/>
              <c:x val="7.5187969924812026E-3"/>
              <c:y val="0"/>
            </c:manualLayout>
          </c:layout>
          <c:overlay val="0"/>
          <c:spPr>
            <a:noFill/>
            <a:ln w="23013">
              <a:noFill/>
            </a:ln>
          </c:spPr>
        </c:title>
        <c:numFmt formatCode="General" sourceLinked="1"/>
        <c:majorTickMark val="out"/>
        <c:minorTickMark val="none"/>
        <c:tickLblPos val="nextTo"/>
        <c:spPr>
          <a:ln w="2877">
            <a:solidFill>
              <a:srgbClr val="000000"/>
            </a:solidFill>
            <a:prstDash val="solid"/>
          </a:ln>
        </c:spPr>
        <c:txPr>
          <a:bodyPr rot="0" vert="horz"/>
          <a:lstStyle/>
          <a:p>
            <a:pPr>
              <a:defRPr sz="1268" b="0" i="0" u="none" strike="noStrike" baseline="0">
                <a:solidFill>
                  <a:srgbClr val="000000"/>
                </a:solidFill>
                <a:latin typeface="Times New Roman"/>
                <a:ea typeface="Times New Roman"/>
                <a:cs typeface="Times New Roman"/>
              </a:defRPr>
            </a:pPr>
            <a:endParaRPr lang="ru-RU"/>
          </a:p>
        </c:txPr>
        <c:crossAx val="438032256"/>
        <c:crosses val="autoZero"/>
        <c:crossBetween val="between"/>
      </c:valAx>
      <c:spPr>
        <a:solidFill>
          <a:srgbClr val="FFFFFF"/>
        </a:solidFill>
        <a:ln w="11506">
          <a:solidFill>
            <a:srgbClr val="808080"/>
          </a:solidFill>
          <a:prstDash val="solid"/>
        </a:ln>
      </c:spPr>
    </c:plotArea>
    <c:plotVisOnly val="1"/>
    <c:dispBlanksAs val="gap"/>
    <c:showDLblsOverMax val="0"/>
  </c:chart>
  <c:spPr>
    <a:solidFill>
      <a:srgbClr val="FFFFFF"/>
    </a:solidFill>
    <a:ln w="2877">
      <a:solidFill>
        <a:srgbClr val="000000"/>
      </a:solidFill>
      <a:prstDash val="solid"/>
    </a:ln>
  </c:spPr>
  <c:txPr>
    <a:bodyPr/>
    <a:lstStyle/>
    <a:p>
      <a:pPr>
        <a:defRPr sz="1382"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654708520179366E-2"/>
          <c:y val="8.4112149532710276E-2"/>
          <c:w val="0.88938714499252614"/>
          <c:h val="0.46728971962616822"/>
        </c:manualLayout>
      </c:layout>
      <c:barChart>
        <c:barDir val="col"/>
        <c:grouping val="clustered"/>
        <c:varyColors val="0"/>
        <c:ser>
          <c:idx val="0"/>
          <c:order val="0"/>
          <c:tx>
            <c:strRef>
              <c:f>Лист2!$A$2</c:f>
              <c:strCache>
                <c:ptCount val="1"/>
                <c:pt idx="0">
                  <c:v>Інтактний контроль</c:v>
                </c:pt>
              </c:strCache>
            </c:strRef>
          </c:tx>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0">
              <a:solidFill>
                <a:srgbClr val="000000"/>
              </a:solidFill>
              <a:prstDash val="solid"/>
            </a:ln>
          </c:spPr>
          <c:invertIfNegative val="0"/>
          <c:cat>
            <c:strRef>
              <c:f>Лист2!$B$1:$G$1</c:f>
              <c:strCache>
                <c:ptCount val="6"/>
                <c:pt idx="0">
                  <c:v>МКП</c:v>
                </c:pt>
                <c:pt idx="1">
                  <c:v>АлАТ</c:v>
                </c:pt>
                <c:pt idx="2">
                  <c:v>ГПЛ</c:v>
                </c:pt>
                <c:pt idx="3">
                  <c:v>GSH</c:v>
                </c:pt>
                <c:pt idx="4">
                  <c:v>Каталаза</c:v>
                </c:pt>
                <c:pt idx="5">
                  <c:v>Швидкість секреції жовчі</c:v>
                </c:pt>
              </c:strCache>
            </c:strRef>
          </c:cat>
          <c:val>
            <c:numRef>
              <c:f>Лист2!$B$2:$G$2</c:f>
              <c:numCache>
                <c:formatCode>General</c:formatCode>
                <c:ptCount val="6"/>
                <c:pt idx="0">
                  <c:v>100</c:v>
                </c:pt>
                <c:pt idx="1">
                  <c:v>100</c:v>
                </c:pt>
                <c:pt idx="2">
                  <c:v>100</c:v>
                </c:pt>
                <c:pt idx="3">
                  <c:v>100</c:v>
                </c:pt>
                <c:pt idx="4">
                  <c:v>100</c:v>
                </c:pt>
                <c:pt idx="5">
                  <c:v>100</c:v>
                </c:pt>
              </c:numCache>
            </c:numRef>
          </c:val>
        </c:ser>
        <c:ser>
          <c:idx val="1"/>
          <c:order val="1"/>
          <c:tx>
            <c:strRef>
              <c:f>Лист2!$A$3</c:f>
              <c:strCache>
                <c:ptCount val="1"/>
                <c:pt idx="0">
                  <c:v>Контрольна патологія</c:v>
                </c:pt>
              </c:strCache>
            </c:strRef>
          </c:tx>
          <c:spPr>
            <a:solidFill>
              <a:srgbClr val="000000"/>
            </a:solidFill>
            <a:ln w="12650">
              <a:solidFill>
                <a:srgbClr val="000000"/>
              </a:solidFill>
              <a:prstDash val="solid"/>
            </a:ln>
          </c:spPr>
          <c:invertIfNegative val="0"/>
          <c:dLbls>
            <c:dLbl>
              <c:idx val="0"/>
              <c:layout>
                <c:manualLayout>
                  <c:x val="-1.6953000486710144E-4"/>
                  <c:y val="4.2493174814863352E-2"/>
                </c:manualLayout>
              </c:layout>
              <c:tx>
                <c:rich>
                  <a:bodyPr/>
                  <a:lstStyle/>
                  <a:p>
                    <a:r>
                      <a:rPr lang="ru-RU"/>
                      <a:t>*</a:t>
                    </a:r>
                  </a:p>
                </c:rich>
              </c:tx>
              <c:dLblPos val="outEnd"/>
              <c:showLegendKey val="0"/>
              <c:showVal val="0"/>
              <c:showCatName val="0"/>
              <c:showSerName val="0"/>
              <c:showPercent val="0"/>
              <c:showBubbleSize val="0"/>
            </c:dLbl>
            <c:dLbl>
              <c:idx val="1"/>
              <c:layout>
                <c:manualLayout>
                  <c:x val="-4.186604489733804E-4"/>
                  <c:y val="1.8691588785046728E-2"/>
                </c:manualLayout>
              </c:layout>
              <c:tx>
                <c:rich>
                  <a:bodyPr/>
                  <a:lstStyle/>
                  <a:p>
                    <a:r>
                      <a:rPr lang="ru-RU"/>
                      <a:t>*</a:t>
                    </a:r>
                  </a:p>
                </c:rich>
              </c:tx>
              <c:dLblPos val="outEnd"/>
              <c:showLegendKey val="0"/>
              <c:showVal val="0"/>
              <c:showCatName val="0"/>
              <c:showSerName val="0"/>
              <c:showPercent val="0"/>
              <c:showBubbleSize val="0"/>
            </c:dLbl>
            <c:dLbl>
              <c:idx val="2"/>
              <c:delete val="1"/>
            </c:dLbl>
            <c:dLbl>
              <c:idx val="3"/>
              <c:layout>
                <c:manualLayout>
                  <c:x val="2.1954361817227456E-3"/>
                  <c:y val="3.3318834708839964E-2"/>
                </c:manualLayout>
              </c:layout>
              <c:tx>
                <c:rich>
                  <a:bodyPr/>
                  <a:lstStyle/>
                  <a:p>
                    <a:pPr>
                      <a:defRPr sz="1395" b="0" i="0" u="none" strike="noStrike" baseline="0">
                        <a:solidFill>
                          <a:srgbClr val="000000"/>
                        </a:solidFill>
                        <a:latin typeface="Times New Roman"/>
                        <a:ea typeface="Times New Roman"/>
                        <a:cs typeface="Times New Roman"/>
                      </a:defRPr>
                    </a:pPr>
                    <a:r>
                      <a:rPr lang="ru-RU"/>
                      <a:t>*</a:t>
                    </a:r>
                  </a:p>
                </c:rich>
              </c:tx>
              <c:spPr>
                <a:noFill/>
                <a:ln w="25300">
                  <a:noFill/>
                </a:ln>
              </c:spPr>
              <c:dLblPos val="outEnd"/>
              <c:showLegendKey val="0"/>
              <c:showVal val="0"/>
              <c:showCatName val="0"/>
              <c:showSerName val="0"/>
              <c:showPercent val="0"/>
              <c:showBubbleSize val="0"/>
            </c:dLbl>
            <c:dLbl>
              <c:idx val="4"/>
              <c:layout>
                <c:manualLayout>
                  <c:x val="2.723454612603211E-2"/>
                  <c:y val="-1.1208768033728314E-3"/>
                </c:manualLayout>
              </c:layout>
              <c:tx>
                <c:rich>
                  <a:bodyPr/>
                  <a:lstStyle/>
                  <a:p>
                    <a:r>
                      <a:rPr lang="ru-RU"/>
                      <a:t>*</a:t>
                    </a:r>
                  </a:p>
                </c:rich>
              </c:tx>
              <c:dLblPos val="outEnd"/>
              <c:showLegendKey val="0"/>
              <c:showVal val="0"/>
              <c:showCatName val="0"/>
              <c:showSerName val="0"/>
              <c:showPercent val="0"/>
              <c:showBubbleSize val="0"/>
            </c:dLbl>
            <c:dLbl>
              <c:idx val="5"/>
              <c:layout>
                <c:manualLayout>
                  <c:x val="2.0240698259835644E-4"/>
                  <c:y val="3.3318753531988342E-2"/>
                </c:manualLayout>
              </c:layout>
              <c:tx>
                <c:rich>
                  <a:bodyPr/>
                  <a:lstStyle/>
                  <a:p>
                    <a:pPr>
                      <a:defRPr sz="1395" b="0" i="0" u="none" strike="noStrike" baseline="0">
                        <a:solidFill>
                          <a:srgbClr val="000000"/>
                        </a:solidFill>
                        <a:latin typeface="Times New Roman"/>
                        <a:ea typeface="Times New Roman"/>
                        <a:cs typeface="Times New Roman"/>
                      </a:defRPr>
                    </a:pPr>
                    <a:r>
                      <a:rPr lang="ru-RU"/>
                      <a:t>*</a:t>
                    </a:r>
                  </a:p>
                </c:rich>
              </c:tx>
              <c:spPr>
                <a:noFill/>
                <a:ln w="25300">
                  <a:noFill/>
                </a:ln>
              </c:spPr>
              <c:dLblPos val="outEnd"/>
              <c:showLegendKey val="0"/>
              <c:showVal val="0"/>
              <c:showCatName val="0"/>
              <c:showSerName val="0"/>
              <c:showPercent val="0"/>
              <c:showBubbleSize val="0"/>
            </c:dLbl>
            <c:spPr>
              <a:noFill/>
              <a:ln w="25300">
                <a:noFill/>
              </a:ln>
            </c:spPr>
            <c:txPr>
              <a:bodyPr/>
              <a:lstStyle/>
              <a:p>
                <a:pPr>
                  <a:defRPr sz="137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Лист2!$B$1:$G$1</c:f>
              <c:strCache>
                <c:ptCount val="6"/>
                <c:pt idx="0">
                  <c:v>МКП</c:v>
                </c:pt>
                <c:pt idx="1">
                  <c:v>АлАТ</c:v>
                </c:pt>
                <c:pt idx="2">
                  <c:v>ГПЛ</c:v>
                </c:pt>
                <c:pt idx="3">
                  <c:v>GSH</c:v>
                </c:pt>
                <c:pt idx="4">
                  <c:v>Каталаза</c:v>
                </c:pt>
                <c:pt idx="5">
                  <c:v>Швидкість секреції жовчі</c:v>
                </c:pt>
              </c:strCache>
            </c:strRef>
          </c:cat>
          <c:val>
            <c:numRef>
              <c:f>Лист2!$B$3:$G$3</c:f>
              <c:numCache>
                <c:formatCode>General</c:formatCode>
                <c:ptCount val="6"/>
                <c:pt idx="0">
                  <c:v>151</c:v>
                </c:pt>
                <c:pt idx="1">
                  <c:v>275</c:v>
                </c:pt>
                <c:pt idx="2">
                  <c:v>123</c:v>
                </c:pt>
                <c:pt idx="3">
                  <c:v>54</c:v>
                </c:pt>
                <c:pt idx="4">
                  <c:v>114</c:v>
                </c:pt>
                <c:pt idx="5">
                  <c:v>63</c:v>
                </c:pt>
              </c:numCache>
            </c:numRef>
          </c:val>
        </c:ser>
        <c:ser>
          <c:idx val="2"/>
          <c:order val="2"/>
          <c:tx>
            <c:strRef>
              <c:f>Лист2!$A$4</c:f>
              <c:strCache>
                <c:ptCount val="1"/>
                <c:pt idx="0">
                  <c:v>Силібор</c:v>
                </c:pt>
              </c:strCache>
            </c:strRef>
          </c:tx>
          <c:spPr>
            <a:pattFill prst="solid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0">
              <a:solidFill>
                <a:srgbClr val="000000"/>
              </a:solidFill>
              <a:prstDash val="solid"/>
            </a:ln>
          </c:spPr>
          <c:invertIfNegative val="0"/>
          <c:dLbls>
            <c:dLbl>
              <c:idx val="0"/>
              <c:layout>
                <c:manualLayout>
                  <c:x val="-2.1475604864412278E-4"/>
                  <c:y val="4.0935327407151112E-2"/>
                </c:manualLayout>
              </c:layout>
              <c:tx>
                <c:rich>
                  <a:bodyPr/>
                  <a:lstStyle/>
                  <a:p>
                    <a:r>
                      <a:rPr lang="ru-RU"/>
                      <a:t>*</a:t>
                    </a:r>
                  </a:p>
                </c:rich>
              </c:tx>
              <c:dLblPos val="outEnd"/>
              <c:showLegendKey val="0"/>
              <c:showVal val="0"/>
              <c:showCatName val="0"/>
              <c:showSerName val="0"/>
              <c:showPercent val="0"/>
              <c:showBubbleSize val="0"/>
            </c:dLbl>
            <c:dLbl>
              <c:idx val="1"/>
              <c:layout>
                <c:manualLayout>
                  <c:x val="2.5254952477401856E-3"/>
                  <c:y val="3.0031843572680829E-2"/>
                </c:manualLayout>
              </c:layout>
              <c:tx>
                <c:rich>
                  <a:bodyPr/>
                  <a:lstStyle/>
                  <a:p>
                    <a:r>
                      <a:rPr lang="ru-RU"/>
                      <a:t>*</a:t>
                    </a:r>
                  </a:p>
                </c:rich>
              </c:tx>
              <c:dLblPos val="outEnd"/>
              <c:showLegendKey val="0"/>
              <c:showVal val="0"/>
              <c:showCatName val="0"/>
              <c:showSerName val="0"/>
              <c:showPercent val="0"/>
              <c:showBubbleSize val="0"/>
            </c:dLbl>
            <c:dLbl>
              <c:idx val="2"/>
              <c:delete val="1"/>
            </c:dLbl>
            <c:dLbl>
              <c:idx val="3"/>
              <c:layout>
                <c:manualLayout>
                  <c:x val="6.0205226369227736E-3"/>
                  <c:y val="3.0203622566587273E-2"/>
                </c:manualLayout>
              </c:layout>
              <c:tx>
                <c:rich>
                  <a:bodyPr/>
                  <a:lstStyle/>
                  <a:p>
                    <a:pPr>
                      <a:defRPr sz="1395" b="0" i="0" u="none" strike="noStrike" baseline="0">
                        <a:solidFill>
                          <a:srgbClr val="000000"/>
                        </a:solidFill>
                        <a:latin typeface="Times New Roman"/>
                        <a:ea typeface="Times New Roman"/>
                        <a:cs typeface="Times New Roman"/>
                      </a:defRPr>
                    </a:pPr>
                    <a:r>
                      <a:rPr lang="ru-RU"/>
                      <a:t>**</a:t>
                    </a:r>
                  </a:p>
                </c:rich>
              </c:tx>
              <c:spPr>
                <a:noFill/>
                <a:ln w="25300">
                  <a:noFill/>
                </a:ln>
              </c:spPr>
              <c:dLblPos val="outEnd"/>
              <c:showLegendKey val="0"/>
              <c:showVal val="0"/>
              <c:showCatName val="0"/>
              <c:showSerName val="0"/>
              <c:showPercent val="0"/>
              <c:showBubbleSize val="0"/>
            </c:dLbl>
            <c:dLbl>
              <c:idx val="4"/>
              <c:delete val="1"/>
            </c:dLbl>
            <c:dLbl>
              <c:idx val="5"/>
              <c:delete val="1"/>
            </c:dLbl>
            <c:spPr>
              <a:noFill/>
              <a:ln w="25300">
                <a:noFill/>
              </a:ln>
            </c:spPr>
            <c:txPr>
              <a:bodyPr/>
              <a:lstStyle/>
              <a:p>
                <a:pPr>
                  <a:defRPr sz="137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Лист2!$B$1:$G$1</c:f>
              <c:strCache>
                <c:ptCount val="6"/>
                <c:pt idx="0">
                  <c:v>МКП</c:v>
                </c:pt>
                <c:pt idx="1">
                  <c:v>АлАТ</c:v>
                </c:pt>
                <c:pt idx="2">
                  <c:v>ГПЛ</c:v>
                </c:pt>
                <c:pt idx="3">
                  <c:v>GSH</c:v>
                </c:pt>
                <c:pt idx="4">
                  <c:v>Каталаза</c:v>
                </c:pt>
                <c:pt idx="5">
                  <c:v>Швидкість секреції жовчі</c:v>
                </c:pt>
              </c:strCache>
            </c:strRef>
          </c:cat>
          <c:val>
            <c:numRef>
              <c:f>Лист2!$B$4:$G$4</c:f>
              <c:numCache>
                <c:formatCode>General</c:formatCode>
                <c:ptCount val="6"/>
                <c:pt idx="0">
                  <c:v>117</c:v>
                </c:pt>
                <c:pt idx="1">
                  <c:v>239</c:v>
                </c:pt>
                <c:pt idx="2">
                  <c:v>93</c:v>
                </c:pt>
                <c:pt idx="3">
                  <c:v>106</c:v>
                </c:pt>
                <c:pt idx="4">
                  <c:v>126</c:v>
                </c:pt>
                <c:pt idx="5">
                  <c:v>88</c:v>
                </c:pt>
              </c:numCache>
            </c:numRef>
          </c:val>
        </c:ser>
        <c:ser>
          <c:idx val="3"/>
          <c:order val="3"/>
          <c:tx>
            <c:strRef>
              <c:f>Лист2!$A$5</c:f>
              <c:strCache>
                <c:ptCount val="1"/>
                <c:pt idx="0">
                  <c:v>Піфламін</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50">
              <a:solidFill>
                <a:srgbClr val="000000"/>
              </a:solidFill>
              <a:prstDash val="solid"/>
            </a:ln>
          </c:spPr>
          <c:invertIfNegative val="0"/>
          <c:dLbls>
            <c:dLbl>
              <c:idx val="0"/>
              <c:layout>
                <c:manualLayout>
                  <c:x val="1.9925863172259128E-3"/>
                  <c:y val="2.2243949243124807E-2"/>
                </c:manualLayout>
              </c:layout>
              <c:tx>
                <c:rich>
                  <a:bodyPr/>
                  <a:lstStyle/>
                  <a:p>
                    <a:r>
                      <a:rPr lang="ru-RU"/>
                      <a:t>**</a:t>
                    </a:r>
                  </a:p>
                </c:rich>
              </c:tx>
              <c:dLblPos val="outEnd"/>
              <c:showLegendKey val="0"/>
              <c:showVal val="0"/>
              <c:showCatName val="0"/>
              <c:showSerName val="0"/>
              <c:showPercent val="0"/>
              <c:showBubbleSize val="0"/>
            </c:dLbl>
            <c:dLbl>
              <c:idx val="1"/>
              <c:layout>
                <c:manualLayout>
                  <c:x val="1.2222571983937804E-2"/>
                  <c:y val="2.535883448400203E-2"/>
                </c:manualLayout>
              </c:layout>
              <c:tx>
                <c:rich>
                  <a:bodyPr/>
                  <a:lstStyle/>
                  <a:p>
                    <a:r>
                      <a:rPr lang="ru-RU"/>
                      <a:t>*/**</a:t>
                    </a:r>
                  </a:p>
                </c:rich>
              </c:tx>
              <c:dLblPos val="outEnd"/>
              <c:showLegendKey val="0"/>
              <c:showVal val="0"/>
              <c:showCatName val="0"/>
              <c:showSerName val="0"/>
              <c:showPercent val="0"/>
              <c:showBubbleSize val="0"/>
            </c:dLbl>
            <c:dLbl>
              <c:idx val="2"/>
              <c:layout>
                <c:manualLayout>
                  <c:x val="-4.428818984210099E-7"/>
                  <c:y val="8.2250316755366013E-3"/>
                </c:manualLayout>
              </c:layout>
              <c:tx>
                <c:rich>
                  <a:bodyPr/>
                  <a:lstStyle/>
                  <a:p>
                    <a:r>
                      <a:rPr lang="ru-RU"/>
                      <a:t>**</a:t>
                    </a:r>
                  </a:p>
                </c:rich>
              </c:tx>
              <c:dLblPos val="outEnd"/>
              <c:showLegendKey val="0"/>
              <c:showVal val="0"/>
              <c:showCatName val="0"/>
              <c:showSerName val="0"/>
              <c:showPercent val="0"/>
              <c:showBubbleSize val="0"/>
            </c:dLbl>
            <c:dLbl>
              <c:idx val="3"/>
              <c:layout>
                <c:manualLayout>
                  <c:x val="0.16044843604029405"/>
                  <c:y val="5.3396268122858283E-2"/>
                </c:manualLayout>
              </c:layout>
              <c:tx>
                <c:rich>
                  <a:bodyPr/>
                  <a:lstStyle/>
                  <a:p>
                    <a:r>
                      <a:rPr lang="ru-RU"/>
                      <a:t>***</a:t>
                    </a:r>
                  </a:p>
                </c:rich>
              </c:tx>
              <c:dLblPos val="outEnd"/>
              <c:showLegendKey val="0"/>
              <c:showVal val="0"/>
              <c:showCatName val="0"/>
              <c:showSerName val="0"/>
              <c:showPercent val="0"/>
              <c:showBubbleSize val="0"/>
            </c:dLbl>
            <c:dLbl>
              <c:idx val="4"/>
              <c:layout>
                <c:manualLayout>
                  <c:x val="-0.13777159169849421"/>
                  <c:y val="2.0857698729895107E-2"/>
                </c:manualLayout>
              </c:layout>
              <c:tx>
                <c:rich>
                  <a:bodyPr/>
                  <a:lstStyle/>
                  <a:p>
                    <a:pPr>
                      <a:defRPr sz="1395" b="0" i="0" u="none" strike="noStrike" baseline="0">
                        <a:solidFill>
                          <a:srgbClr val="000000"/>
                        </a:solidFill>
                        <a:latin typeface="Times New Roman"/>
                        <a:ea typeface="Times New Roman"/>
                        <a:cs typeface="Times New Roman"/>
                      </a:defRPr>
                    </a:pPr>
                    <a:r>
                      <a:rPr lang="ru-RU"/>
                      <a:t>**</a:t>
                    </a:r>
                  </a:p>
                </c:rich>
              </c:tx>
              <c:spPr>
                <a:noFill/>
                <a:ln w="25300">
                  <a:noFill/>
                </a:ln>
              </c:spPr>
              <c:dLblPos val="outEnd"/>
              <c:showLegendKey val="0"/>
              <c:showVal val="0"/>
              <c:showCatName val="0"/>
              <c:showSerName val="0"/>
              <c:showPercent val="0"/>
              <c:showBubbleSize val="0"/>
            </c:dLbl>
            <c:dLbl>
              <c:idx val="5"/>
              <c:delete val="1"/>
            </c:dLbl>
            <c:spPr>
              <a:noFill/>
              <a:ln w="25300">
                <a:noFill/>
              </a:ln>
            </c:spPr>
            <c:txPr>
              <a:bodyPr/>
              <a:lstStyle/>
              <a:p>
                <a:pPr>
                  <a:defRPr sz="137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Лист2!$B$1:$G$1</c:f>
              <c:strCache>
                <c:ptCount val="6"/>
                <c:pt idx="0">
                  <c:v>МКП</c:v>
                </c:pt>
                <c:pt idx="1">
                  <c:v>АлАТ</c:v>
                </c:pt>
                <c:pt idx="2">
                  <c:v>ГПЛ</c:v>
                </c:pt>
                <c:pt idx="3">
                  <c:v>GSH</c:v>
                </c:pt>
                <c:pt idx="4">
                  <c:v>Каталаза</c:v>
                </c:pt>
                <c:pt idx="5">
                  <c:v>Швидкість секреції жовчі</c:v>
                </c:pt>
              </c:strCache>
            </c:strRef>
          </c:cat>
          <c:val>
            <c:numRef>
              <c:f>Лист2!$B$5:$G$5</c:f>
              <c:numCache>
                <c:formatCode>General</c:formatCode>
                <c:ptCount val="6"/>
                <c:pt idx="0">
                  <c:v>111</c:v>
                </c:pt>
                <c:pt idx="1">
                  <c:v>182</c:v>
                </c:pt>
                <c:pt idx="2">
                  <c:v>84</c:v>
                </c:pt>
                <c:pt idx="3">
                  <c:v>107</c:v>
                </c:pt>
                <c:pt idx="4">
                  <c:v>103</c:v>
                </c:pt>
                <c:pt idx="5">
                  <c:v>86</c:v>
                </c:pt>
              </c:numCache>
            </c:numRef>
          </c:val>
        </c:ser>
        <c:dLbls>
          <c:showLegendKey val="0"/>
          <c:showVal val="0"/>
          <c:showCatName val="0"/>
          <c:showSerName val="0"/>
          <c:showPercent val="0"/>
          <c:showBubbleSize val="0"/>
        </c:dLbls>
        <c:gapWidth val="150"/>
        <c:axId val="437990144"/>
        <c:axId val="437991680"/>
      </c:barChart>
      <c:catAx>
        <c:axId val="437990144"/>
        <c:scaling>
          <c:orientation val="minMax"/>
        </c:scaling>
        <c:delete val="0"/>
        <c:axPos val="b"/>
        <c:numFmt formatCode="General" sourceLinked="1"/>
        <c:majorTickMark val="out"/>
        <c:minorTickMark val="none"/>
        <c:tickLblPos val="nextTo"/>
        <c:spPr>
          <a:ln w="3163">
            <a:solidFill>
              <a:srgbClr val="000000"/>
            </a:solidFill>
            <a:prstDash val="solid"/>
          </a:ln>
        </c:spPr>
        <c:txPr>
          <a:bodyPr rot="0" vert="horz"/>
          <a:lstStyle/>
          <a:p>
            <a:pPr>
              <a:defRPr sz="1395" b="0" i="0" u="none" strike="noStrike" baseline="0">
                <a:solidFill>
                  <a:srgbClr val="000000"/>
                </a:solidFill>
                <a:latin typeface="Times New Roman"/>
                <a:ea typeface="Times New Roman"/>
                <a:cs typeface="Times New Roman"/>
              </a:defRPr>
            </a:pPr>
            <a:endParaRPr lang="ru-RU"/>
          </a:p>
        </c:txPr>
        <c:crossAx val="437991680"/>
        <c:crosses val="autoZero"/>
        <c:auto val="1"/>
        <c:lblAlgn val="ctr"/>
        <c:lblOffset val="100"/>
        <c:tickLblSkip val="1"/>
        <c:tickMarkSkip val="1"/>
        <c:noMultiLvlLbl val="0"/>
      </c:catAx>
      <c:valAx>
        <c:axId val="437991680"/>
        <c:scaling>
          <c:orientation val="minMax"/>
        </c:scaling>
        <c:delete val="0"/>
        <c:axPos val="l"/>
        <c:majorGridlines>
          <c:spPr>
            <a:ln w="3163">
              <a:solidFill>
                <a:srgbClr val="000000"/>
              </a:solidFill>
              <a:prstDash val="solid"/>
            </a:ln>
          </c:spPr>
        </c:majorGridlines>
        <c:title>
          <c:tx>
            <c:rich>
              <a:bodyPr rot="0" vert="horz"/>
              <a:lstStyle/>
              <a:p>
                <a:pPr algn="ctr">
                  <a:defRPr sz="1370" b="0" i="0" u="none" strike="noStrike" baseline="0">
                    <a:solidFill>
                      <a:srgbClr val="000000"/>
                    </a:solidFill>
                    <a:latin typeface="Times New Roman"/>
                    <a:ea typeface="Times New Roman"/>
                    <a:cs typeface="Times New Roman"/>
                  </a:defRPr>
                </a:pPr>
                <a:r>
                  <a:rPr lang="ru-RU"/>
                  <a:t>%</a:t>
                </a:r>
              </a:p>
            </c:rich>
          </c:tx>
          <c:layout>
            <c:manualLayout>
              <c:xMode val="edge"/>
              <c:yMode val="edge"/>
              <c:x val="0"/>
              <c:y val="0"/>
            </c:manualLayout>
          </c:layout>
          <c:overlay val="0"/>
          <c:spPr>
            <a:noFill/>
            <a:ln w="25300">
              <a:noFill/>
            </a:ln>
          </c:spPr>
        </c:title>
        <c:numFmt formatCode="General" sourceLinked="1"/>
        <c:majorTickMark val="out"/>
        <c:minorTickMark val="none"/>
        <c:tickLblPos val="nextTo"/>
        <c:spPr>
          <a:ln w="3163">
            <a:solidFill>
              <a:srgbClr val="000000"/>
            </a:solidFill>
            <a:prstDash val="solid"/>
          </a:ln>
        </c:spPr>
        <c:txPr>
          <a:bodyPr rot="0" vert="horz"/>
          <a:lstStyle/>
          <a:p>
            <a:pPr>
              <a:defRPr sz="1395" b="0" i="0" u="none" strike="noStrike" baseline="0">
                <a:solidFill>
                  <a:srgbClr val="000000"/>
                </a:solidFill>
                <a:latin typeface="Times New Roman"/>
                <a:ea typeface="Times New Roman"/>
                <a:cs typeface="Times New Roman"/>
              </a:defRPr>
            </a:pPr>
            <a:endParaRPr lang="ru-RU"/>
          </a:p>
        </c:txPr>
        <c:crossAx val="437990144"/>
        <c:crosses val="autoZero"/>
        <c:crossBetween val="between"/>
      </c:valAx>
      <c:spPr>
        <a:solidFill>
          <a:srgbClr val="FFFFFF"/>
        </a:solidFill>
        <a:ln w="12650">
          <a:solidFill>
            <a:srgbClr val="808080"/>
          </a:solidFill>
          <a:prstDash val="solid"/>
        </a:ln>
      </c:spPr>
    </c:plotArea>
    <c:plotVisOnly val="1"/>
    <c:dispBlanksAs val="gap"/>
    <c:showDLblsOverMax val="0"/>
  </c:chart>
  <c:spPr>
    <a:solidFill>
      <a:srgbClr val="FFFFFF"/>
    </a:solidFill>
    <a:ln w="3163">
      <a:solidFill>
        <a:srgbClr val="000000"/>
      </a:solidFill>
      <a:prstDash val="solid"/>
    </a:ln>
  </c:spPr>
  <c:txPr>
    <a:bodyPr/>
    <a:lstStyle/>
    <a:p>
      <a:pPr>
        <a:defRPr sz="1395"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76691729323308"/>
          <c:y val="8.5714285714285715E-2"/>
          <c:w val="0.88270676691729322"/>
          <c:h val="0.62857142857142856"/>
        </c:manualLayout>
      </c:layout>
      <c:barChart>
        <c:barDir val="col"/>
        <c:grouping val="clustered"/>
        <c:varyColors val="0"/>
        <c:ser>
          <c:idx val="0"/>
          <c:order val="0"/>
          <c:tx>
            <c:strRef>
              <c:f>Лист1!$A$2</c:f>
              <c:strCache>
                <c:ptCount val="1"/>
                <c:pt idx="0">
                  <c:v>Інтактний контроль</c:v>
                </c:pt>
              </c:strCache>
            </c:strRef>
          </c:tx>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strRef>
              <c:f>Лист1!$B$1:$F$1</c:f>
              <c:strCache>
                <c:ptCount val="5"/>
                <c:pt idx="0">
                  <c:v>АлАТ</c:v>
                </c:pt>
                <c:pt idx="1">
                  <c:v>ГПЛ</c:v>
                </c:pt>
                <c:pt idx="2">
                  <c:v>ДК</c:v>
                </c:pt>
                <c:pt idx="3">
                  <c:v>Каталаза</c:v>
                </c:pt>
                <c:pt idx="4">
                  <c:v>Сечовина</c:v>
                </c:pt>
              </c:strCache>
            </c:strRef>
          </c:cat>
          <c:val>
            <c:numRef>
              <c:f>Лист1!$B$2:$F$2</c:f>
              <c:numCache>
                <c:formatCode>General</c:formatCode>
                <c:ptCount val="5"/>
                <c:pt idx="0">
                  <c:v>100</c:v>
                </c:pt>
                <c:pt idx="1">
                  <c:v>100</c:v>
                </c:pt>
                <c:pt idx="2">
                  <c:v>100</c:v>
                </c:pt>
                <c:pt idx="3">
                  <c:v>100</c:v>
                </c:pt>
                <c:pt idx="4">
                  <c:v>100</c:v>
                </c:pt>
              </c:numCache>
            </c:numRef>
          </c:val>
        </c:ser>
        <c:ser>
          <c:idx val="1"/>
          <c:order val="1"/>
          <c:tx>
            <c:strRef>
              <c:f>Лист1!$A$3</c:f>
              <c:strCache>
                <c:ptCount val="1"/>
                <c:pt idx="0">
                  <c:v>Контрольна патологія</c:v>
                </c:pt>
              </c:strCache>
            </c:strRef>
          </c:tx>
          <c:spPr>
            <a:solidFill>
              <a:srgbClr val="000000"/>
            </a:solidFill>
            <a:ln w="12700">
              <a:solidFill>
                <a:srgbClr val="000000"/>
              </a:solidFill>
              <a:prstDash val="solid"/>
            </a:ln>
          </c:spPr>
          <c:invertIfNegative val="0"/>
          <c:dLbls>
            <c:dLbl>
              <c:idx val="0"/>
              <c:layout>
                <c:manualLayout>
                  <c:x val="6.3539015620697899E-4"/>
                  <c:y val="-6.55552392959196E-4"/>
                </c:manualLayout>
              </c:layout>
              <c:tx>
                <c:rich>
                  <a:bodyPr/>
                  <a:lstStyle/>
                  <a:p>
                    <a:r>
                      <a:rPr lang="ru-RU"/>
                      <a:t>*</a:t>
                    </a:r>
                  </a:p>
                </c:rich>
              </c:tx>
              <c:dLblPos val="outEnd"/>
              <c:showLegendKey val="0"/>
              <c:showVal val="0"/>
              <c:showCatName val="0"/>
              <c:showSerName val="0"/>
              <c:showPercent val="0"/>
              <c:showBubbleSize val="0"/>
            </c:dLbl>
            <c:dLbl>
              <c:idx val="1"/>
              <c:layout>
                <c:manualLayout>
                  <c:x val="3.3872280631608477E-5"/>
                  <c:y val="3.3534584853804339E-2"/>
                </c:manualLayout>
              </c:layout>
              <c:tx>
                <c:rich>
                  <a:bodyPr/>
                  <a:lstStyle/>
                  <a:p>
                    <a:r>
                      <a:rPr lang="ru-RU"/>
                      <a:t>*</a:t>
                    </a:r>
                  </a:p>
                </c:rich>
              </c:tx>
              <c:dLblPos val="outEnd"/>
              <c:showLegendKey val="0"/>
              <c:showVal val="0"/>
              <c:showCatName val="0"/>
              <c:showSerName val="0"/>
              <c:showPercent val="0"/>
              <c:showBubbleSize val="0"/>
            </c:dLbl>
            <c:dLbl>
              <c:idx val="2"/>
              <c:layout>
                <c:manualLayout>
                  <c:x val="9.3611380355246743E-4"/>
                  <c:y val="2.1487332347848016E-2"/>
                </c:manualLayout>
              </c:layout>
              <c:tx>
                <c:rich>
                  <a:bodyPr/>
                  <a:lstStyle/>
                  <a:p>
                    <a:r>
                      <a:rPr lang="ru-RU"/>
                      <a:t>*</a:t>
                    </a:r>
                  </a:p>
                </c:rich>
              </c:tx>
              <c:dLblPos val="outEnd"/>
              <c:showLegendKey val="0"/>
              <c:showVal val="0"/>
              <c:showCatName val="0"/>
              <c:showSerName val="0"/>
              <c:showPercent val="0"/>
              <c:showBubbleSize val="0"/>
            </c:dLbl>
            <c:dLbl>
              <c:idx val="3"/>
              <c:layout>
                <c:manualLayout>
                  <c:x val="3.3459592797709694E-4"/>
                  <c:y val="4.267761535267376E-2"/>
                </c:manualLayout>
              </c:layout>
              <c:tx>
                <c:rich>
                  <a:bodyPr/>
                  <a:lstStyle/>
                  <a:p>
                    <a:r>
                      <a:rPr lang="ru-RU"/>
                      <a:t>*</a:t>
                    </a:r>
                  </a:p>
                </c:rich>
              </c:tx>
              <c:dLblPos val="outEnd"/>
              <c:showLegendKey val="0"/>
              <c:showVal val="0"/>
              <c:showCatName val="0"/>
              <c:showSerName val="0"/>
              <c:showPercent val="0"/>
              <c:showBubbleSize val="0"/>
            </c:dLbl>
            <c:dLbl>
              <c:idx val="4"/>
              <c:layout>
                <c:manualLayout>
                  <c:x val="-2.6692194759838457E-4"/>
                  <c:y val="1.8296595918924134E-2"/>
                </c:manualLayout>
              </c:layout>
              <c:tx>
                <c:rich>
                  <a:bodyPr/>
                  <a:lstStyle/>
                  <a:p>
                    <a:r>
                      <a:rPr lang="ru-RU"/>
                      <a:t>*</a:t>
                    </a:r>
                  </a:p>
                </c:rich>
              </c:tx>
              <c:dLblPos val="outEnd"/>
              <c:showLegendKey val="0"/>
              <c:showVal val="0"/>
              <c:showCatName val="0"/>
              <c:showSerName val="0"/>
              <c:showPercent val="0"/>
              <c:showBubbleSize val="0"/>
            </c:dLbl>
            <c:spPr>
              <a:noFill/>
              <a:ln w="25399">
                <a:noFill/>
              </a:ln>
            </c:spPr>
            <c:txPr>
              <a:bodyPr/>
              <a:lstStyle/>
              <a:p>
                <a:pPr>
                  <a:defRPr sz="13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Лист1!$B$1:$F$1</c:f>
              <c:strCache>
                <c:ptCount val="5"/>
                <c:pt idx="0">
                  <c:v>АлАТ</c:v>
                </c:pt>
                <c:pt idx="1">
                  <c:v>ГПЛ</c:v>
                </c:pt>
                <c:pt idx="2">
                  <c:v>ДК</c:v>
                </c:pt>
                <c:pt idx="3">
                  <c:v>Каталаза</c:v>
                </c:pt>
                <c:pt idx="4">
                  <c:v>Сечовина</c:v>
                </c:pt>
              </c:strCache>
            </c:strRef>
          </c:cat>
          <c:val>
            <c:numRef>
              <c:f>Лист1!$B$3:$F$3</c:f>
              <c:numCache>
                <c:formatCode>General</c:formatCode>
                <c:ptCount val="5"/>
                <c:pt idx="0">
                  <c:v>167</c:v>
                </c:pt>
                <c:pt idx="1">
                  <c:v>313</c:v>
                </c:pt>
                <c:pt idx="2">
                  <c:v>172</c:v>
                </c:pt>
                <c:pt idx="3">
                  <c:v>137</c:v>
                </c:pt>
                <c:pt idx="4">
                  <c:v>73</c:v>
                </c:pt>
              </c:numCache>
            </c:numRef>
          </c:val>
        </c:ser>
        <c:ser>
          <c:idx val="2"/>
          <c:order val="2"/>
          <c:tx>
            <c:strRef>
              <c:f>Лист1!$A$4</c:f>
              <c:strCache>
                <c:ptCount val="1"/>
                <c:pt idx="0">
                  <c:v>Силібор</c:v>
                </c:pt>
              </c:strCache>
            </c:strRef>
          </c:tx>
          <c:spPr>
            <a:pattFill prst="solid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0"/>
              <c:delete val="1"/>
            </c:dLbl>
            <c:dLbl>
              <c:idx val="1"/>
              <c:layout>
                <c:manualLayout>
                  <c:x val="1.0182192376936869E-3"/>
                  <c:y val="5.2058481123763094E-2"/>
                </c:manualLayout>
              </c:layout>
              <c:tx>
                <c:rich>
                  <a:bodyPr/>
                  <a:lstStyle/>
                  <a:p>
                    <a:r>
                      <a:rPr lang="ru-RU"/>
                      <a:t>*</a:t>
                    </a:r>
                  </a:p>
                </c:rich>
              </c:tx>
              <c:dLblPos val="outEnd"/>
              <c:showLegendKey val="0"/>
              <c:showVal val="0"/>
              <c:showCatName val="0"/>
              <c:showSerName val="0"/>
              <c:showPercent val="0"/>
              <c:showBubbleSize val="0"/>
            </c:dLbl>
            <c:dLbl>
              <c:idx val="2"/>
              <c:layout>
                <c:manualLayout>
                  <c:x val="1.2151980995905483E-3"/>
                  <c:y val="2.2106048859637947E-2"/>
                </c:manualLayout>
              </c:layout>
              <c:tx>
                <c:rich>
                  <a:bodyPr/>
                  <a:lstStyle/>
                  <a:p>
                    <a:r>
                      <a:rPr lang="ru-RU"/>
                      <a:t>*/**</a:t>
                    </a:r>
                  </a:p>
                </c:rich>
              </c:tx>
              <c:dLblPos val="outEnd"/>
              <c:showLegendKey val="0"/>
              <c:showVal val="0"/>
              <c:showCatName val="0"/>
              <c:showSerName val="0"/>
              <c:showPercent val="0"/>
              <c:showBubbleSize val="0"/>
            </c:dLbl>
            <c:dLbl>
              <c:idx val="3"/>
              <c:layout>
                <c:manualLayout>
                  <c:x val="2.8227022835354051E-3"/>
                  <c:y val="1.9201499765735455E-2"/>
                </c:manualLayout>
              </c:layout>
              <c:tx>
                <c:rich>
                  <a:bodyPr/>
                  <a:lstStyle/>
                  <a:p>
                    <a:r>
                      <a:rPr lang="ru-RU"/>
                      <a:t>*</a:t>
                    </a:r>
                  </a:p>
                </c:rich>
              </c:tx>
              <c:dLblPos val="outEnd"/>
              <c:showLegendKey val="0"/>
              <c:showVal val="0"/>
              <c:showCatName val="0"/>
              <c:showSerName val="0"/>
              <c:showPercent val="0"/>
              <c:showBubbleSize val="0"/>
            </c:dLbl>
            <c:dLbl>
              <c:idx val="4"/>
              <c:layout>
                <c:manualLayout>
                  <c:x val="-1.5201956298321957E-3"/>
                  <c:y val="1.9391814320810264E-2"/>
                </c:manualLayout>
              </c:layout>
              <c:tx>
                <c:rich>
                  <a:bodyPr/>
                  <a:lstStyle/>
                  <a:p>
                    <a:r>
                      <a:rPr lang="ru-RU"/>
                      <a:t>**</a:t>
                    </a:r>
                  </a:p>
                </c:rich>
              </c:tx>
              <c:dLblPos val="outEnd"/>
              <c:showLegendKey val="0"/>
              <c:showVal val="0"/>
              <c:showCatName val="0"/>
              <c:showSerName val="0"/>
              <c:showPercent val="0"/>
              <c:showBubbleSize val="0"/>
            </c:dLbl>
            <c:spPr>
              <a:noFill/>
              <a:ln w="25399">
                <a:noFill/>
              </a:ln>
            </c:spPr>
            <c:txPr>
              <a:bodyPr/>
              <a:lstStyle/>
              <a:p>
                <a:pPr>
                  <a:defRPr sz="13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Лист1!$B$1:$F$1</c:f>
              <c:strCache>
                <c:ptCount val="5"/>
                <c:pt idx="0">
                  <c:v>АлАТ</c:v>
                </c:pt>
                <c:pt idx="1">
                  <c:v>ГПЛ</c:v>
                </c:pt>
                <c:pt idx="2">
                  <c:v>ДК</c:v>
                </c:pt>
                <c:pt idx="3">
                  <c:v>Каталаза</c:v>
                </c:pt>
                <c:pt idx="4">
                  <c:v>Сечовина</c:v>
                </c:pt>
              </c:strCache>
            </c:strRef>
          </c:cat>
          <c:val>
            <c:numRef>
              <c:f>Лист1!$B$4:$F$4</c:f>
              <c:numCache>
                <c:formatCode>General</c:formatCode>
                <c:ptCount val="5"/>
                <c:pt idx="0">
                  <c:v>117</c:v>
                </c:pt>
                <c:pt idx="1">
                  <c:v>346</c:v>
                </c:pt>
                <c:pt idx="2">
                  <c:v>233</c:v>
                </c:pt>
                <c:pt idx="3">
                  <c:v>116</c:v>
                </c:pt>
                <c:pt idx="4">
                  <c:v>104</c:v>
                </c:pt>
              </c:numCache>
            </c:numRef>
          </c:val>
        </c:ser>
        <c:ser>
          <c:idx val="3"/>
          <c:order val="3"/>
          <c:tx>
            <c:strRef>
              <c:f>Лист1!$A$5</c:f>
              <c:strCache>
                <c:ptCount val="1"/>
                <c:pt idx="0">
                  <c:v>Піфламін</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0"/>
              <c:layout>
                <c:manualLayout>
                  <c:x val="3.6646343103527402E-4"/>
                  <c:y val="1.772517525209364E-2"/>
                </c:manualLayout>
              </c:layout>
              <c:tx>
                <c:rich>
                  <a:bodyPr/>
                  <a:lstStyle/>
                  <a:p>
                    <a:r>
                      <a:rPr lang="ru-RU"/>
                      <a:t>**</a:t>
                    </a:r>
                  </a:p>
                </c:rich>
              </c:tx>
              <c:dLblPos val="outEnd"/>
              <c:showLegendKey val="0"/>
              <c:showVal val="0"/>
              <c:showCatName val="0"/>
              <c:showSerName val="0"/>
              <c:showPercent val="0"/>
              <c:showBubbleSize val="0"/>
            </c:dLbl>
            <c:dLbl>
              <c:idx val="1"/>
              <c:layout>
                <c:manualLayout>
                  <c:x val="1.4097276879398272E-2"/>
                  <c:y val="4.558216444657625E-2"/>
                </c:manualLayout>
              </c:layout>
              <c:tx>
                <c:rich>
                  <a:bodyPr/>
                  <a:lstStyle/>
                  <a:p>
                    <a:r>
                      <a:rPr lang="ru-RU"/>
                      <a:t>*/***</a:t>
                    </a:r>
                  </a:p>
                </c:rich>
              </c:tx>
              <c:dLblPos val="outEnd"/>
              <c:showLegendKey val="0"/>
              <c:showVal val="0"/>
              <c:showCatName val="0"/>
              <c:showSerName val="0"/>
              <c:showPercent val="0"/>
              <c:showBubbleSize val="0"/>
            </c:dLbl>
            <c:dLbl>
              <c:idx val="2"/>
              <c:layout>
                <c:manualLayout>
                  <c:x val="7.4521228300623325E-3"/>
                  <c:y val="1.4487292893000915E-2"/>
                </c:manualLayout>
              </c:layout>
              <c:tx>
                <c:rich>
                  <a:bodyPr/>
                  <a:lstStyle/>
                  <a:p>
                    <a:r>
                      <a:rPr lang="ru-RU"/>
                      <a:t>***</a:t>
                    </a:r>
                  </a:p>
                </c:rich>
              </c:tx>
              <c:dLblPos val="outEnd"/>
              <c:showLegendKey val="0"/>
              <c:showVal val="0"/>
              <c:showCatName val="0"/>
              <c:showSerName val="0"/>
              <c:showPercent val="0"/>
              <c:showBubbleSize val="0"/>
            </c:dLbl>
            <c:dLbl>
              <c:idx val="3"/>
              <c:layout>
                <c:manualLayout>
                  <c:x val="1.890927872223256E-2"/>
                  <c:y val="1.9677524654225537E-2"/>
                </c:manualLayout>
              </c:layout>
              <c:tx>
                <c:rich>
                  <a:bodyPr/>
                  <a:lstStyle/>
                  <a:p>
                    <a:r>
                      <a:rPr lang="ru-RU"/>
                      <a:t>*/***</a:t>
                    </a:r>
                  </a:p>
                </c:rich>
              </c:tx>
              <c:dLblPos val="outEnd"/>
              <c:showLegendKey val="0"/>
              <c:showVal val="0"/>
              <c:showCatName val="0"/>
              <c:showSerName val="0"/>
              <c:showPercent val="0"/>
              <c:showBubbleSize val="0"/>
            </c:dLbl>
            <c:dLbl>
              <c:idx val="4"/>
              <c:layout>
                <c:manualLayout>
                  <c:x val="-5.3584867277011719E-4"/>
                  <c:y val="1.7772873141263901E-2"/>
                </c:manualLayout>
              </c:layout>
              <c:tx>
                <c:rich>
                  <a:bodyPr/>
                  <a:lstStyle/>
                  <a:p>
                    <a:r>
                      <a:rPr lang="ru-RU"/>
                      <a:t>**</a:t>
                    </a:r>
                  </a:p>
                </c:rich>
              </c:tx>
              <c:dLblPos val="outEnd"/>
              <c:showLegendKey val="0"/>
              <c:showVal val="0"/>
              <c:showCatName val="0"/>
              <c:showSerName val="0"/>
              <c:showPercent val="0"/>
              <c:showBubbleSize val="0"/>
            </c:dLbl>
            <c:spPr>
              <a:noFill/>
              <a:ln w="25399">
                <a:noFill/>
              </a:ln>
            </c:spPr>
            <c:txPr>
              <a:bodyPr/>
              <a:lstStyle/>
              <a:p>
                <a:pPr>
                  <a:defRPr sz="13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Лист1!$B$1:$F$1</c:f>
              <c:strCache>
                <c:ptCount val="5"/>
                <c:pt idx="0">
                  <c:v>АлАТ</c:v>
                </c:pt>
                <c:pt idx="1">
                  <c:v>ГПЛ</c:v>
                </c:pt>
                <c:pt idx="2">
                  <c:v>ДК</c:v>
                </c:pt>
                <c:pt idx="3">
                  <c:v>Каталаза</c:v>
                </c:pt>
                <c:pt idx="4">
                  <c:v>Сечовина</c:v>
                </c:pt>
              </c:strCache>
            </c:strRef>
          </c:cat>
          <c:val>
            <c:numRef>
              <c:f>Лист1!$B$5:$F$5</c:f>
              <c:numCache>
                <c:formatCode>General</c:formatCode>
                <c:ptCount val="5"/>
                <c:pt idx="0">
                  <c:v>109</c:v>
                </c:pt>
                <c:pt idx="1">
                  <c:v>254</c:v>
                </c:pt>
                <c:pt idx="2">
                  <c:v>113</c:v>
                </c:pt>
                <c:pt idx="3">
                  <c:v>86</c:v>
                </c:pt>
                <c:pt idx="4">
                  <c:v>106</c:v>
                </c:pt>
              </c:numCache>
            </c:numRef>
          </c:val>
        </c:ser>
        <c:dLbls>
          <c:showLegendKey val="0"/>
          <c:showVal val="0"/>
          <c:showCatName val="0"/>
          <c:showSerName val="0"/>
          <c:showPercent val="0"/>
          <c:showBubbleSize val="0"/>
        </c:dLbls>
        <c:gapWidth val="150"/>
        <c:axId val="471717376"/>
        <c:axId val="471718912"/>
      </c:barChart>
      <c:catAx>
        <c:axId val="47171737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471718912"/>
        <c:crosses val="autoZero"/>
        <c:auto val="1"/>
        <c:lblAlgn val="ctr"/>
        <c:lblOffset val="100"/>
        <c:tickLblSkip val="1"/>
        <c:tickMarkSkip val="1"/>
        <c:noMultiLvlLbl val="0"/>
      </c:catAx>
      <c:valAx>
        <c:axId val="471718912"/>
        <c:scaling>
          <c:orientation val="minMax"/>
        </c:scaling>
        <c:delete val="0"/>
        <c:axPos val="l"/>
        <c:majorGridlines>
          <c:spPr>
            <a:ln w="3175">
              <a:solidFill>
                <a:srgbClr val="000000"/>
              </a:solidFill>
              <a:prstDash val="solid"/>
            </a:ln>
          </c:spPr>
        </c:majorGridlines>
        <c:title>
          <c:tx>
            <c:rich>
              <a:bodyPr rot="0" vert="horz"/>
              <a:lstStyle/>
              <a:p>
                <a:pPr algn="ctr">
                  <a:defRPr sz="1400" b="0" i="0" u="none" strike="noStrike" baseline="0">
                    <a:solidFill>
                      <a:srgbClr val="000000"/>
                    </a:solidFill>
                    <a:latin typeface="Times New Roman"/>
                    <a:ea typeface="Times New Roman"/>
                    <a:cs typeface="Times New Roman"/>
                  </a:defRPr>
                </a:pPr>
                <a:r>
                  <a:rPr lang="ru-RU"/>
                  <a:t>%</a:t>
                </a:r>
              </a:p>
            </c:rich>
          </c:tx>
          <c:layout>
            <c:manualLayout>
              <c:xMode val="edge"/>
              <c:yMode val="edge"/>
              <c:x val="6.0150375939849628E-3"/>
              <c:y val="9.5238095238095247E-3"/>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471717376"/>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F7C9E-0DAB-4023-916D-8F6CA834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26</Pages>
  <Words>7815</Words>
  <Characters>44551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121</cp:revision>
  <cp:lastPrinted>2009-02-06T08:36:00Z</cp:lastPrinted>
  <dcterms:created xsi:type="dcterms:W3CDTF">2015-03-22T11:10:00Z</dcterms:created>
  <dcterms:modified xsi:type="dcterms:W3CDTF">2016-02-09T10:23:00Z</dcterms:modified>
</cp:coreProperties>
</file>