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7C5103" w:rsidRDefault="007C5103" w:rsidP="007C5103">
      <w:pPr>
        <w:pStyle w:val="2ffffc"/>
        <w:spacing w:line="240" w:lineRule="auto"/>
        <w:ind w:left="935" w:hanging="935"/>
        <w:rPr>
          <w:b/>
          <w:bCs/>
          <w:sz w:val="28"/>
          <w:szCs w:val="28"/>
        </w:rPr>
      </w:pPr>
    </w:p>
    <w:p w:rsidR="007C5103" w:rsidRDefault="007C5103" w:rsidP="007C5103">
      <w:pPr>
        <w:pStyle w:val="2ffffc"/>
        <w:spacing w:line="240" w:lineRule="auto"/>
        <w:ind w:left="935" w:hanging="935"/>
        <w:rPr>
          <w:b/>
          <w:bCs/>
          <w:sz w:val="28"/>
          <w:szCs w:val="28"/>
        </w:rPr>
      </w:pPr>
    </w:p>
    <w:p w:rsidR="002D6496" w:rsidRDefault="002D6496" w:rsidP="002D6496">
      <w:pPr>
        <w:pStyle w:val="2ffffc"/>
        <w:jc w:val="center"/>
        <w:rPr>
          <w:color w:val="000000"/>
          <w:sz w:val="28"/>
          <w:szCs w:val="28"/>
        </w:rPr>
      </w:pPr>
      <w:r>
        <w:rPr>
          <w:color w:val="000000"/>
          <w:sz w:val="28"/>
          <w:szCs w:val="28"/>
        </w:rPr>
        <w:t xml:space="preserve">ЛЬВІВСЬКА  ДЕРЖАВНА АКАДЕМІЯ ВЕТЕРИНАРНОЇ МЕДИЦИНИ </w:t>
      </w:r>
    </w:p>
    <w:p w:rsidR="002D6496" w:rsidRDefault="002D6496" w:rsidP="002D6496">
      <w:pPr>
        <w:pStyle w:val="2ffffc"/>
        <w:jc w:val="center"/>
        <w:rPr>
          <w:color w:val="000000"/>
          <w:sz w:val="28"/>
          <w:szCs w:val="28"/>
        </w:rPr>
      </w:pPr>
      <w:r>
        <w:rPr>
          <w:color w:val="000000"/>
          <w:sz w:val="28"/>
          <w:szCs w:val="28"/>
        </w:rPr>
        <w:t>імені С.З. ҐЖИЦЬКОГО</w:t>
      </w:r>
    </w:p>
    <w:p w:rsidR="002D6496" w:rsidRDefault="002D6496" w:rsidP="002D6496">
      <w:pPr>
        <w:spacing w:line="360" w:lineRule="auto"/>
        <w:jc w:val="center"/>
        <w:rPr>
          <w:b/>
          <w:bCs/>
          <w:snapToGrid w:val="0"/>
          <w:color w:val="000000"/>
          <w:sz w:val="22"/>
          <w:szCs w:val="22"/>
        </w:rPr>
      </w:pPr>
    </w:p>
    <w:p w:rsidR="002D6496" w:rsidRDefault="002D6496" w:rsidP="002D6496">
      <w:pPr>
        <w:spacing w:line="360" w:lineRule="auto"/>
        <w:jc w:val="center"/>
        <w:rPr>
          <w:b/>
          <w:bCs/>
          <w:snapToGrid w:val="0"/>
          <w:color w:val="000000"/>
          <w:sz w:val="22"/>
          <w:szCs w:val="22"/>
        </w:rPr>
      </w:pPr>
    </w:p>
    <w:p w:rsidR="002D6496" w:rsidRDefault="002D6496" w:rsidP="002D6496">
      <w:pPr>
        <w:spacing w:line="360" w:lineRule="auto"/>
        <w:jc w:val="center"/>
        <w:rPr>
          <w:b/>
          <w:bCs/>
          <w:snapToGrid w:val="0"/>
          <w:color w:val="000000"/>
          <w:sz w:val="22"/>
          <w:szCs w:val="22"/>
        </w:rPr>
      </w:pPr>
    </w:p>
    <w:p w:rsidR="002D6496" w:rsidRDefault="002D6496" w:rsidP="002D6496">
      <w:pPr>
        <w:spacing w:line="360" w:lineRule="auto"/>
        <w:jc w:val="center"/>
        <w:rPr>
          <w:b/>
          <w:bCs/>
          <w:snapToGrid w:val="0"/>
          <w:color w:val="000000"/>
          <w:sz w:val="22"/>
          <w:szCs w:val="22"/>
        </w:rPr>
      </w:pPr>
    </w:p>
    <w:p w:rsidR="002D6496" w:rsidRDefault="002D6496" w:rsidP="002D6496">
      <w:pPr>
        <w:spacing w:line="360" w:lineRule="auto"/>
        <w:jc w:val="center"/>
        <w:rPr>
          <w:b/>
          <w:bCs/>
          <w:snapToGrid w:val="0"/>
          <w:color w:val="000000"/>
          <w:sz w:val="22"/>
          <w:szCs w:val="22"/>
        </w:rPr>
      </w:pPr>
    </w:p>
    <w:p w:rsidR="002D6496" w:rsidRDefault="002D6496" w:rsidP="002D6496">
      <w:pPr>
        <w:spacing w:line="360" w:lineRule="auto"/>
        <w:jc w:val="center"/>
        <w:rPr>
          <w:b/>
          <w:bCs/>
          <w:snapToGrid w:val="0"/>
          <w:color w:val="000000"/>
          <w:sz w:val="22"/>
          <w:szCs w:val="22"/>
        </w:rPr>
      </w:pPr>
    </w:p>
    <w:p w:rsidR="002D6496" w:rsidRDefault="002D6496" w:rsidP="002D6496">
      <w:pPr>
        <w:spacing w:line="360" w:lineRule="auto"/>
        <w:jc w:val="center"/>
        <w:rPr>
          <w:b/>
          <w:bCs/>
          <w:snapToGrid w:val="0"/>
          <w:color w:val="000000"/>
        </w:rPr>
      </w:pPr>
      <w:r>
        <w:rPr>
          <w:b/>
          <w:bCs/>
          <w:snapToGrid w:val="0"/>
          <w:color w:val="000000"/>
        </w:rPr>
        <w:t>ЖЕЛАВСЬКИЙ МИКОЛА МИКОЛАЙОВИЧ</w:t>
      </w:r>
    </w:p>
    <w:p w:rsidR="002D6496" w:rsidRDefault="002D6496" w:rsidP="002D6496">
      <w:pPr>
        <w:spacing w:line="360" w:lineRule="auto"/>
        <w:rPr>
          <w:snapToGrid w:val="0"/>
          <w:color w:val="000000"/>
        </w:rPr>
      </w:pPr>
    </w:p>
    <w:p w:rsidR="002D6496" w:rsidRDefault="002D6496" w:rsidP="002D6496">
      <w:pPr>
        <w:spacing w:line="360" w:lineRule="auto"/>
        <w:jc w:val="center"/>
        <w:rPr>
          <w:snapToGrid w:val="0"/>
          <w:color w:val="000000"/>
          <w:sz w:val="22"/>
          <w:szCs w:val="22"/>
        </w:rPr>
      </w:pPr>
    </w:p>
    <w:p w:rsidR="002D6496" w:rsidRDefault="002D6496" w:rsidP="002D6496">
      <w:pPr>
        <w:spacing w:line="360" w:lineRule="auto"/>
        <w:jc w:val="right"/>
        <w:rPr>
          <w:snapToGrid w:val="0"/>
          <w:color w:val="000000"/>
        </w:rPr>
      </w:pPr>
      <w:r>
        <w:rPr>
          <w:b/>
          <w:bCs/>
          <w:snapToGrid w:val="0"/>
          <w:color w:val="000000"/>
        </w:rPr>
        <w:t>УДК</w:t>
      </w:r>
      <w:r>
        <w:rPr>
          <w:snapToGrid w:val="0"/>
          <w:color w:val="000000"/>
        </w:rPr>
        <w:t>: 619:618.7</w:t>
      </w:r>
      <w:r>
        <w:rPr>
          <w:snapToGrid w:val="0"/>
          <w:color w:val="000000"/>
        </w:rPr>
        <w:sym w:font="Symbol" w:char="F02D"/>
      </w:r>
      <w:r>
        <w:rPr>
          <w:snapToGrid w:val="0"/>
          <w:color w:val="000000"/>
        </w:rPr>
        <w:t xml:space="preserve"> 0.85.0.37</w:t>
      </w:r>
    </w:p>
    <w:p w:rsidR="002D6496" w:rsidRDefault="002D6496" w:rsidP="002D6496">
      <w:pPr>
        <w:spacing w:line="360" w:lineRule="auto"/>
        <w:jc w:val="right"/>
        <w:rPr>
          <w:snapToGrid w:val="0"/>
          <w:color w:val="000000"/>
        </w:rPr>
      </w:pPr>
    </w:p>
    <w:p w:rsidR="002D6496" w:rsidRDefault="002D6496" w:rsidP="002D6496">
      <w:pPr>
        <w:spacing w:line="360" w:lineRule="auto"/>
        <w:jc w:val="right"/>
        <w:rPr>
          <w:snapToGrid w:val="0"/>
          <w:color w:val="000000"/>
        </w:rPr>
      </w:pPr>
    </w:p>
    <w:p w:rsidR="002D6496" w:rsidRDefault="002D6496" w:rsidP="002D6496">
      <w:pPr>
        <w:pStyle w:val="34"/>
        <w:rPr>
          <w:sz w:val="28"/>
          <w:szCs w:val="28"/>
        </w:rPr>
      </w:pPr>
      <w:r>
        <w:rPr>
          <w:sz w:val="28"/>
          <w:szCs w:val="28"/>
        </w:rPr>
        <w:t>ІМУНОБІОЛОГІЧНІ АСПЕКТИ ПІСЛЯРОДОВОГО ГНІЙНО-КАТАРАЛЬНОГО ЕНДОМЕТРИТУ У КОРІВ</w:t>
      </w:r>
    </w:p>
    <w:p w:rsidR="002D6496" w:rsidRDefault="002D6496" w:rsidP="002D6496">
      <w:pPr>
        <w:spacing w:line="360" w:lineRule="auto"/>
        <w:jc w:val="center"/>
        <w:rPr>
          <w:b/>
          <w:bCs/>
          <w:snapToGrid w:val="0"/>
          <w:color w:val="000000"/>
        </w:rPr>
      </w:pPr>
    </w:p>
    <w:p w:rsidR="002D6496" w:rsidRDefault="002D6496" w:rsidP="002D6496">
      <w:pPr>
        <w:spacing w:line="360" w:lineRule="auto"/>
        <w:jc w:val="center"/>
        <w:rPr>
          <w:b/>
          <w:bCs/>
          <w:snapToGrid w:val="0"/>
          <w:color w:val="000000"/>
        </w:rPr>
      </w:pPr>
    </w:p>
    <w:p w:rsidR="002D6496" w:rsidRDefault="002D6496" w:rsidP="002D6496">
      <w:pPr>
        <w:spacing w:line="360" w:lineRule="auto"/>
        <w:jc w:val="center"/>
        <w:rPr>
          <w:snapToGrid w:val="0"/>
          <w:color w:val="000000"/>
        </w:rPr>
      </w:pPr>
      <w:r>
        <w:rPr>
          <w:snapToGrid w:val="0"/>
          <w:color w:val="000000"/>
          <w:sz w:val="28"/>
          <w:szCs w:val="28"/>
        </w:rPr>
        <w:t>16.00.07</w:t>
      </w:r>
      <w:r>
        <w:rPr>
          <w:snapToGrid w:val="0"/>
          <w:color w:val="000000"/>
        </w:rPr>
        <w:t xml:space="preserve"> </w:t>
      </w:r>
      <w:r>
        <w:rPr>
          <w:snapToGrid w:val="0"/>
          <w:color w:val="000000"/>
        </w:rPr>
        <w:sym w:font="Symbol" w:char="F02D"/>
      </w:r>
      <w:r>
        <w:rPr>
          <w:snapToGrid w:val="0"/>
          <w:color w:val="000000"/>
        </w:rPr>
        <w:t xml:space="preserve"> ветеринарне акушерство</w:t>
      </w:r>
    </w:p>
    <w:p w:rsidR="002D6496" w:rsidRDefault="002D6496" w:rsidP="002D6496">
      <w:pPr>
        <w:spacing w:line="360" w:lineRule="auto"/>
        <w:jc w:val="center"/>
        <w:rPr>
          <w:snapToGrid w:val="0"/>
          <w:color w:val="000000"/>
        </w:rPr>
      </w:pPr>
    </w:p>
    <w:p w:rsidR="002D6496" w:rsidRDefault="002D6496" w:rsidP="002D6496">
      <w:pPr>
        <w:spacing w:line="360" w:lineRule="auto"/>
        <w:rPr>
          <w:snapToGrid w:val="0"/>
          <w:color w:val="000000"/>
        </w:rPr>
      </w:pPr>
    </w:p>
    <w:p w:rsidR="002D6496" w:rsidRDefault="002D6496" w:rsidP="002D6496">
      <w:pPr>
        <w:spacing w:line="360" w:lineRule="auto"/>
        <w:jc w:val="center"/>
        <w:rPr>
          <w:snapToGrid w:val="0"/>
          <w:color w:val="000000"/>
        </w:rPr>
      </w:pPr>
    </w:p>
    <w:p w:rsidR="002D6496" w:rsidRDefault="002D6496" w:rsidP="002D6496">
      <w:pPr>
        <w:pStyle w:val="30"/>
        <w:rPr>
          <w:snapToGrid w:val="0"/>
          <w:spacing w:val="54"/>
        </w:rPr>
      </w:pPr>
      <w:r>
        <w:rPr>
          <w:snapToGrid w:val="0"/>
          <w:spacing w:val="54"/>
        </w:rPr>
        <w:t xml:space="preserve">АВТОРЕФЕРАТ </w:t>
      </w:r>
    </w:p>
    <w:p w:rsidR="002D6496" w:rsidRDefault="002D6496" w:rsidP="002D6496">
      <w:pPr>
        <w:spacing w:line="360" w:lineRule="auto"/>
        <w:jc w:val="center"/>
        <w:rPr>
          <w:b/>
          <w:bCs/>
          <w:snapToGrid w:val="0"/>
          <w:color w:val="000000"/>
        </w:rPr>
      </w:pPr>
      <w:r>
        <w:rPr>
          <w:b/>
          <w:bCs/>
          <w:snapToGrid w:val="0"/>
          <w:color w:val="000000"/>
        </w:rPr>
        <w:t xml:space="preserve">дисертації на здобуття наукового </w:t>
      </w:r>
    </w:p>
    <w:p w:rsidR="002D6496" w:rsidRDefault="002D6496" w:rsidP="002D6496">
      <w:pPr>
        <w:spacing w:line="360" w:lineRule="auto"/>
        <w:jc w:val="center"/>
        <w:rPr>
          <w:b/>
          <w:bCs/>
        </w:rPr>
      </w:pPr>
      <w:r>
        <w:rPr>
          <w:b/>
          <w:bCs/>
          <w:snapToGrid w:val="0"/>
          <w:color w:val="000000"/>
        </w:rPr>
        <w:t>ступеня кандидата ветеринарних наук</w:t>
      </w:r>
    </w:p>
    <w:p w:rsidR="002D6496" w:rsidRDefault="002D6496" w:rsidP="002D6496">
      <w:pPr>
        <w:pStyle w:val="2ffffc"/>
      </w:pPr>
    </w:p>
    <w:p w:rsidR="002D6496" w:rsidRDefault="002D6496" w:rsidP="002D6496">
      <w:pPr>
        <w:pStyle w:val="2ffffc"/>
        <w:ind w:firstLine="567"/>
      </w:pPr>
    </w:p>
    <w:p w:rsidR="002D6496" w:rsidRDefault="002D6496" w:rsidP="002D6496">
      <w:pPr>
        <w:pStyle w:val="2ffffc"/>
        <w:ind w:firstLine="567"/>
      </w:pPr>
    </w:p>
    <w:p w:rsidR="002D6496" w:rsidRDefault="002D6496" w:rsidP="002D6496">
      <w:pPr>
        <w:pStyle w:val="2ffffc"/>
        <w:ind w:firstLine="567"/>
      </w:pPr>
    </w:p>
    <w:p w:rsidR="002D6496" w:rsidRDefault="002D6496" w:rsidP="002D6496">
      <w:pPr>
        <w:pStyle w:val="2ffffc"/>
        <w:ind w:firstLine="567"/>
      </w:pPr>
    </w:p>
    <w:p w:rsidR="002D6496" w:rsidRDefault="002D6496" w:rsidP="002D6496">
      <w:pPr>
        <w:pStyle w:val="2ffffc"/>
        <w:ind w:firstLine="567"/>
      </w:pPr>
    </w:p>
    <w:p w:rsidR="002D6496" w:rsidRDefault="002D6496" w:rsidP="002D6496">
      <w:pPr>
        <w:pStyle w:val="2ffffc"/>
        <w:ind w:firstLine="567"/>
      </w:pPr>
    </w:p>
    <w:p w:rsidR="002D6496" w:rsidRDefault="002D6496" w:rsidP="002D6496">
      <w:pPr>
        <w:pStyle w:val="2ffffc"/>
        <w:ind w:firstLine="567"/>
      </w:pPr>
    </w:p>
    <w:p w:rsidR="002D6496" w:rsidRDefault="002D6496" w:rsidP="002D6496">
      <w:pPr>
        <w:pStyle w:val="2ffffc"/>
        <w:ind w:firstLine="567"/>
      </w:pPr>
    </w:p>
    <w:p w:rsidR="002D6496" w:rsidRDefault="002D6496" w:rsidP="002D6496">
      <w:pPr>
        <w:pStyle w:val="2ffffc"/>
        <w:ind w:firstLine="567"/>
        <w:jc w:val="center"/>
        <w:rPr>
          <w:spacing w:val="24"/>
        </w:rPr>
      </w:pPr>
      <w:r>
        <w:rPr>
          <w:spacing w:val="24"/>
        </w:rPr>
        <w:t xml:space="preserve">Львів </w:t>
      </w:r>
      <w:r>
        <w:rPr>
          <w:rFonts w:ascii="Lucida Console" w:hAnsi="Lucida Console" w:cs="Lucida Console"/>
          <w:spacing w:val="24"/>
        </w:rPr>
        <w:t>―</w:t>
      </w:r>
      <w:r>
        <w:rPr>
          <w:spacing w:val="24"/>
        </w:rPr>
        <w:t xml:space="preserve"> 2002</w:t>
      </w:r>
    </w:p>
    <w:p w:rsidR="002D6496" w:rsidRDefault="002D6496" w:rsidP="002D6496">
      <w:pPr>
        <w:pStyle w:val="2ffffc"/>
        <w:sectPr w:rsidR="002D6496">
          <w:pgSz w:w="11907" w:h="16840"/>
          <w:pgMar w:top="1134" w:right="1418" w:bottom="1134" w:left="1418" w:header="709" w:footer="709" w:gutter="0"/>
          <w:pgNumType w:start="1"/>
          <w:cols w:space="709"/>
        </w:sectPr>
      </w:pPr>
    </w:p>
    <w:p w:rsidR="002D6496" w:rsidRDefault="002D6496" w:rsidP="002D6496">
      <w:pPr>
        <w:pStyle w:val="2ffffc"/>
        <w:tabs>
          <w:tab w:val="left" w:pos="0"/>
          <w:tab w:val="left" w:pos="142"/>
        </w:tabs>
      </w:pPr>
      <w:r>
        <w:lastRenderedPageBreak/>
        <w:tab/>
      </w:r>
      <w:r>
        <w:tab/>
        <w:t xml:space="preserve">Дисертацією є рукопис </w:t>
      </w:r>
    </w:p>
    <w:p w:rsidR="002D6496" w:rsidRDefault="002D6496" w:rsidP="002D6496">
      <w:pPr>
        <w:pStyle w:val="2ffffc"/>
        <w:tabs>
          <w:tab w:val="left" w:pos="0"/>
          <w:tab w:val="left" w:pos="142"/>
        </w:tabs>
        <w:rPr>
          <w:snapToGrid w:val="0"/>
        </w:rPr>
      </w:pPr>
      <w:r>
        <w:tab/>
      </w:r>
      <w:r>
        <w:tab/>
        <w:t xml:space="preserve">Робота виконана в </w:t>
      </w:r>
      <w:r>
        <w:rPr>
          <w:snapToGrid w:val="0"/>
        </w:rPr>
        <w:t xml:space="preserve">Подільській державній аграрно-технічній академії Міністерства аграрної політики України </w:t>
      </w:r>
    </w:p>
    <w:p w:rsidR="002D6496" w:rsidRDefault="002D6496" w:rsidP="002D6496">
      <w:pPr>
        <w:tabs>
          <w:tab w:val="left" w:pos="0"/>
          <w:tab w:val="left" w:pos="142"/>
          <w:tab w:val="left" w:pos="426"/>
        </w:tabs>
        <w:spacing w:line="360" w:lineRule="auto"/>
        <w:rPr>
          <w:snapToGrid w:val="0"/>
          <w:color w:val="000000"/>
        </w:rPr>
      </w:pPr>
    </w:p>
    <w:p w:rsidR="002D6496" w:rsidRDefault="002D6496" w:rsidP="002D6496">
      <w:pPr>
        <w:tabs>
          <w:tab w:val="left" w:pos="0"/>
          <w:tab w:val="left" w:pos="142"/>
          <w:tab w:val="left" w:pos="426"/>
        </w:tabs>
        <w:spacing w:line="360" w:lineRule="auto"/>
        <w:ind w:left="2127" w:hanging="2553"/>
        <w:jc w:val="both"/>
        <w:rPr>
          <w:snapToGrid w:val="0"/>
          <w:color w:val="000000"/>
        </w:rPr>
      </w:pPr>
      <w:r>
        <w:rPr>
          <w:b/>
          <w:bCs/>
          <w:snapToGrid w:val="0"/>
          <w:color w:val="000000"/>
        </w:rPr>
        <w:t>Науковий керівник:</w:t>
      </w:r>
      <w:r>
        <w:rPr>
          <w:snapToGrid w:val="0"/>
          <w:color w:val="000000"/>
        </w:rPr>
        <w:t xml:space="preserve"> </w:t>
      </w:r>
      <w:r>
        <w:rPr>
          <w:rFonts w:ascii="Lucida Console" w:hAnsi="Lucida Console" w:cs="Lucida Console"/>
          <w:snapToGrid w:val="0"/>
          <w:color w:val="000000"/>
        </w:rPr>
        <w:t>―</w:t>
      </w:r>
      <w:r>
        <w:rPr>
          <w:snapToGrid w:val="0"/>
          <w:color w:val="000000"/>
        </w:rPr>
        <w:t xml:space="preserve"> доктор біологічних наук, професор, заслужений діяч науки і техніки України, член-кореспондент УААН </w:t>
      </w:r>
      <w:r>
        <w:rPr>
          <w:b/>
          <w:bCs/>
          <w:snapToGrid w:val="0"/>
          <w:color w:val="000000"/>
        </w:rPr>
        <w:t xml:space="preserve">Яблонський Валентин Андрійович, </w:t>
      </w:r>
      <w:r>
        <w:rPr>
          <w:snapToGrid w:val="0"/>
          <w:color w:val="000000"/>
        </w:rPr>
        <w:t>Національний аграрний університет, професор кафедри акушерства, гінекології та біотехніки відтворення тварин.</w:t>
      </w:r>
      <w:r>
        <w:rPr>
          <w:b/>
          <w:bCs/>
          <w:snapToGrid w:val="0"/>
          <w:color w:val="000000"/>
        </w:rPr>
        <w:t xml:space="preserve"> </w:t>
      </w:r>
    </w:p>
    <w:p w:rsidR="002D6496" w:rsidRDefault="002D6496" w:rsidP="002D6496">
      <w:pPr>
        <w:spacing w:line="360" w:lineRule="auto"/>
        <w:ind w:left="2880" w:hanging="2880"/>
        <w:rPr>
          <w:snapToGrid w:val="0"/>
          <w:color w:val="000000"/>
        </w:rPr>
      </w:pPr>
      <w:r>
        <w:rPr>
          <w:snapToGrid w:val="0"/>
          <w:color w:val="000000"/>
        </w:rPr>
        <w:tab/>
      </w:r>
    </w:p>
    <w:p w:rsidR="002D6496" w:rsidRDefault="002D6496" w:rsidP="002D6496">
      <w:pPr>
        <w:spacing w:line="360" w:lineRule="auto"/>
        <w:ind w:left="2127" w:hanging="2553"/>
        <w:jc w:val="both"/>
        <w:rPr>
          <w:snapToGrid w:val="0"/>
          <w:color w:val="000000"/>
        </w:rPr>
      </w:pPr>
      <w:r>
        <w:rPr>
          <w:b/>
          <w:bCs/>
          <w:snapToGrid w:val="0"/>
          <w:color w:val="000000"/>
        </w:rPr>
        <w:t xml:space="preserve">Офіційні </w:t>
      </w:r>
      <w:r>
        <w:rPr>
          <w:b/>
          <w:bCs/>
          <w:snapToGrid w:val="0"/>
          <w:color w:val="000000"/>
          <w:spacing w:val="-6"/>
        </w:rPr>
        <w:t>опоненти</w:t>
      </w:r>
      <w:r>
        <w:rPr>
          <w:b/>
          <w:bCs/>
          <w:snapToGrid w:val="0"/>
          <w:color w:val="000000"/>
        </w:rPr>
        <w:t xml:space="preserve">: </w:t>
      </w:r>
      <w:r>
        <w:rPr>
          <w:rFonts w:ascii="Lucida Console" w:hAnsi="Lucida Console" w:cs="Lucida Console"/>
          <w:b/>
          <w:bCs/>
          <w:snapToGrid w:val="0"/>
          <w:color w:val="000000"/>
        </w:rPr>
        <w:t>―</w:t>
      </w:r>
      <w:r>
        <w:rPr>
          <w:rFonts w:ascii="Lucida Console" w:hAnsi="Lucida Console" w:cs="Lucida Console"/>
          <w:b/>
          <w:bCs/>
          <w:snapToGrid w:val="0"/>
          <w:color w:val="000000"/>
          <w:spacing w:val="-150"/>
        </w:rPr>
        <w:t xml:space="preserve"> </w:t>
      </w:r>
      <w:r>
        <w:rPr>
          <w:snapToGrid w:val="0"/>
          <w:color w:val="000000"/>
        </w:rPr>
        <w:t xml:space="preserve">доктор ветеринарних наук, професор </w:t>
      </w:r>
      <w:r>
        <w:rPr>
          <w:b/>
          <w:bCs/>
          <w:snapToGrid w:val="0"/>
          <w:color w:val="000000"/>
        </w:rPr>
        <w:t xml:space="preserve">Завірюха Володимир Іванович, </w:t>
      </w:r>
      <w:r>
        <w:rPr>
          <w:snapToGrid w:val="0"/>
          <w:color w:val="000000"/>
        </w:rPr>
        <w:t>Львівська державна академія ветеринарної медицини імені С.З. Ґжицького, професор кафедри хірургії;</w:t>
      </w:r>
    </w:p>
    <w:p w:rsidR="002D6496" w:rsidRDefault="002D6496" w:rsidP="002D6496">
      <w:pPr>
        <w:spacing w:line="360" w:lineRule="auto"/>
        <w:ind w:left="2127" w:hanging="2880"/>
        <w:jc w:val="both"/>
        <w:rPr>
          <w:b/>
          <w:bCs/>
          <w:snapToGrid w:val="0"/>
          <w:color w:val="000000"/>
        </w:rPr>
      </w:pPr>
      <w:r>
        <w:rPr>
          <w:b/>
          <w:bCs/>
          <w:snapToGrid w:val="0"/>
          <w:color w:val="000000"/>
        </w:rPr>
        <w:tab/>
      </w:r>
    </w:p>
    <w:p w:rsidR="002D6496" w:rsidRDefault="002D6496" w:rsidP="002D6496">
      <w:pPr>
        <w:tabs>
          <w:tab w:val="left" w:pos="2127"/>
        </w:tabs>
        <w:spacing w:line="360" w:lineRule="auto"/>
        <w:ind w:left="2127" w:hanging="284"/>
        <w:jc w:val="both"/>
        <w:rPr>
          <w:snapToGrid w:val="0"/>
          <w:color w:val="000000"/>
        </w:rPr>
      </w:pPr>
      <w:r>
        <w:rPr>
          <w:rFonts w:ascii="Lucida Console" w:hAnsi="Lucida Console" w:cs="Lucida Console"/>
          <w:b/>
          <w:bCs/>
          <w:snapToGrid w:val="0"/>
          <w:color w:val="000000"/>
        </w:rPr>
        <w:t>―</w:t>
      </w:r>
      <w:r>
        <w:rPr>
          <w:b/>
          <w:bCs/>
          <w:snapToGrid w:val="0"/>
          <w:color w:val="000000"/>
        </w:rPr>
        <w:t xml:space="preserve"> </w:t>
      </w:r>
      <w:r>
        <w:rPr>
          <w:snapToGrid w:val="0"/>
          <w:color w:val="000000"/>
        </w:rPr>
        <w:t xml:space="preserve">кандидат ветеринарних наук </w:t>
      </w:r>
      <w:r>
        <w:rPr>
          <w:b/>
          <w:bCs/>
          <w:snapToGrid w:val="0"/>
          <w:color w:val="000000"/>
        </w:rPr>
        <w:t xml:space="preserve">Каплінський Василь Васильович, </w:t>
      </w:r>
      <w:r>
        <w:rPr>
          <w:snapToGrid w:val="0"/>
          <w:color w:val="000000"/>
        </w:rPr>
        <w:t>Інститут біології тварин УААН, заступник директора з питань координації та апробації наукових розробок.</w:t>
      </w:r>
    </w:p>
    <w:p w:rsidR="002D6496" w:rsidRDefault="002D6496" w:rsidP="002D6496">
      <w:pPr>
        <w:spacing w:line="360" w:lineRule="auto"/>
        <w:ind w:left="2410" w:hanging="2880"/>
        <w:rPr>
          <w:snapToGrid w:val="0"/>
          <w:color w:val="000000"/>
        </w:rPr>
      </w:pPr>
      <w:r>
        <w:rPr>
          <w:b/>
          <w:bCs/>
          <w:snapToGrid w:val="0"/>
          <w:color w:val="000000"/>
        </w:rPr>
        <w:t xml:space="preserve"> </w:t>
      </w:r>
    </w:p>
    <w:p w:rsidR="002D6496" w:rsidRDefault="002D6496" w:rsidP="002D6496">
      <w:pPr>
        <w:spacing w:line="360" w:lineRule="auto"/>
        <w:ind w:left="2880" w:hanging="2880"/>
        <w:rPr>
          <w:snapToGrid w:val="0"/>
          <w:color w:val="000000"/>
        </w:rPr>
      </w:pPr>
    </w:p>
    <w:p w:rsidR="002D6496" w:rsidRDefault="002D6496" w:rsidP="002D6496">
      <w:pPr>
        <w:pStyle w:val="2ffffc"/>
        <w:tabs>
          <w:tab w:val="left" w:pos="-284"/>
          <w:tab w:val="left" w:pos="0"/>
          <w:tab w:val="left" w:pos="2127"/>
        </w:tabs>
        <w:ind w:left="2127" w:hanging="2694"/>
        <w:rPr>
          <w:snapToGrid w:val="0"/>
          <w:color w:val="000000"/>
        </w:rPr>
      </w:pPr>
      <w:r>
        <w:rPr>
          <w:b/>
          <w:bCs/>
          <w:snapToGrid w:val="0"/>
          <w:color w:val="000000"/>
        </w:rPr>
        <w:t xml:space="preserve"> Провідна установа: </w:t>
      </w:r>
      <w:r>
        <w:rPr>
          <w:rFonts w:ascii="Lucida Console" w:hAnsi="Lucida Console" w:cs="Lucida Console"/>
          <w:snapToGrid w:val="0"/>
          <w:color w:val="000000"/>
        </w:rPr>
        <w:t>―</w:t>
      </w:r>
      <w:r>
        <w:rPr>
          <w:rFonts w:ascii="Lucida Console" w:hAnsi="Lucida Console" w:cs="Lucida Console"/>
          <w:snapToGrid w:val="0"/>
          <w:color w:val="000000"/>
          <w:spacing w:val="-154"/>
        </w:rPr>
        <w:t xml:space="preserve"> </w:t>
      </w:r>
      <w:r>
        <w:rPr>
          <w:snapToGrid w:val="0"/>
          <w:color w:val="000000"/>
        </w:rPr>
        <w:t>Державний агроекологічний університет (м. Житомир) Міністерства аграрної політики України, кафедра акушерства, терапії і хірургії.</w:t>
      </w:r>
    </w:p>
    <w:p w:rsidR="002D6496" w:rsidRDefault="002D6496" w:rsidP="002D6496">
      <w:pPr>
        <w:pStyle w:val="2ffffc"/>
        <w:tabs>
          <w:tab w:val="left" w:pos="0"/>
          <w:tab w:val="left" w:pos="142"/>
        </w:tabs>
        <w:ind w:left="2880" w:hanging="2880"/>
        <w:rPr>
          <w:snapToGrid w:val="0"/>
        </w:rPr>
      </w:pPr>
      <w:r>
        <w:rPr>
          <w:snapToGrid w:val="0"/>
        </w:rPr>
        <w:t xml:space="preserve"> </w:t>
      </w:r>
    </w:p>
    <w:p w:rsidR="002D6496" w:rsidRDefault="002D6496" w:rsidP="002D6496">
      <w:pPr>
        <w:spacing w:line="360" w:lineRule="auto"/>
        <w:ind w:left="2880" w:hanging="2880"/>
        <w:rPr>
          <w:snapToGrid w:val="0"/>
          <w:color w:val="000000"/>
        </w:rPr>
      </w:pPr>
      <w:r>
        <w:rPr>
          <w:snapToGrid w:val="0"/>
          <w:color w:val="000000"/>
        </w:rPr>
        <w:tab/>
      </w:r>
    </w:p>
    <w:p w:rsidR="002D6496" w:rsidRDefault="002D6496" w:rsidP="002D6496">
      <w:pPr>
        <w:spacing w:line="360" w:lineRule="auto"/>
        <w:ind w:firstLine="709"/>
        <w:jc w:val="both"/>
        <w:rPr>
          <w:snapToGrid w:val="0"/>
          <w:color w:val="000000"/>
        </w:rPr>
      </w:pPr>
      <w:r>
        <w:rPr>
          <w:snapToGrid w:val="0"/>
          <w:color w:val="000000"/>
        </w:rPr>
        <w:t xml:space="preserve">Захист відбудеться  "____" __________ 2002 р. о _____ годині на засіданні спеціалізованої вченої ради Д 35.826.01 у Львівській державній академії ветеринарної медицини імені                    С.З.   Ґжицького за  адресою: 79010, м. Львів </w:t>
      </w:r>
      <w:r>
        <w:rPr>
          <w:rFonts w:ascii="Lucida Console" w:hAnsi="Lucida Console" w:cs="Lucida Console"/>
          <w:snapToGrid w:val="0"/>
          <w:color w:val="000000"/>
        </w:rPr>
        <w:t>―</w:t>
      </w:r>
      <w:r>
        <w:rPr>
          <w:snapToGrid w:val="0"/>
          <w:color w:val="000000"/>
        </w:rPr>
        <w:t xml:space="preserve"> 10, вул. Пекарська, 50, аудиторія №1.</w:t>
      </w:r>
    </w:p>
    <w:p w:rsidR="002D6496" w:rsidRDefault="002D6496" w:rsidP="002D6496">
      <w:pPr>
        <w:spacing w:line="360" w:lineRule="auto"/>
        <w:jc w:val="both"/>
        <w:rPr>
          <w:snapToGrid w:val="0"/>
          <w:color w:val="000000"/>
        </w:rPr>
      </w:pPr>
    </w:p>
    <w:p w:rsidR="002D6496" w:rsidRDefault="002D6496" w:rsidP="002D6496">
      <w:pPr>
        <w:spacing w:line="360" w:lineRule="auto"/>
        <w:ind w:firstLine="567"/>
        <w:rPr>
          <w:snapToGrid w:val="0"/>
          <w:color w:val="000000"/>
        </w:rPr>
      </w:pPr>
      <w:r>
        <w:rPr>
          <w:snapToGrid w:val="0"/>
        </w:rPr>
        <w:t xml:space="preserve">З дисертацією можна ознайомитися у бібліотеці </w:t>
      </w:r>
      <w:r>
        <w:rPr>
          <w:snapToGrid w:val="0"/>
          <w:color w:val="000000"/>
        </w:rPr>
        <w:t xml:space="preserve">Львівської державної академії ветеринарної медицини імені С.З. Ґжицького за  адресою: 79010, м. Львів </w:t>
      </w:r>
      <w:r>
        <w:rPr>
          <w:rFonts w:ascii="Lucida Console" w:hAnsi="Lucida Console" w:cs="Lucida Console"/>
          <w:snapToGrid w:val="0"/>
          <w:color w:val="000000"/>
        </w:rPr>
        <w:t>―</w:t>
      </w:r>
      <w:r>
        <w:rPr>
          <w:snapToGrid w:val="0"/>
          <w:color w:val="000000"/>
        </w:rPr>
        <w:t xml:space="preserve"> 10, вул. Пекарська, 50.</w:t>
      </w:r>
    </w:p>
    <w:p w:rsidR="002D6496" w:rsidRDefault="002D6496" w:rsidP="002D6496">
      <w:pPr>
        <w:pStyle w:val="9"/>
        <w:rPr>
          <w:sz w:val="20"/>
          <w:szCs w:val="20"/>
        </w:rPr>
      </w:pPr>
    </w:p>
    <w:p w:rsidR="002D6496" w:rsidRDefault="002D6496" w:rsidP="002D6496">
      <w:pPr>
        <w:spacing w:line="360" w:lineRule="auto"/>
        <w:ind w:left="2880" w:hanging="2880"/>
        <w:rPr>
          <w:snapToGrid w:val="0"/>
          <w:color w:val="000000"/>
        </w:rPr>
      </w:pPr>
      <w:r>
        <w:rPr>
          <w:snapToGrid w:val="0"/>
          <w:color w:val="000000"/>
        </w:rPr>
        <w:t>Автореферат розісланий "____" _________ 2002 р.</w:t>
      </w:r>
    </w:p>
    <w:p w:rsidR="002D6496" w:rsidRDefault="002D6496" w:rsidP="002D6496">
      <w:pPr>
        <w:spacing w:line="360" w:lineRule="auto"/>
        <w:ind w:left="2880" w:hanging="2880"/>
        <w:rPr>
          <w:snapToGrid w:val="0"/>
          <w:color w:val="000000"/>
        </w:rPr>
      </w:pPr>
    </w:p>
    <w:p w:rsidR="002D6496" w:rsidRDefault="002D6496" w:rsidP="002D6496">
      <w:pPr>
        <w:spacing w:line="360" w:lineRule="auto"/>
        <w:ind w:left="2880" w:hanging="2880"/>
        <w:rPr>
          <w:snapToGrid w:val="0"/>
          <w:color w:val="000000"/>
        </w:rPr>
      </w:pPr>
    </w:p>
    <w:p w:rsidR="002D6496" w:rsidRDefault="002D6496" w:rsidP="002D6496">
      <w:pPr>
        <w:spacing w:line="360" w:lineRule="auto"/>
        <w:ind w:left="2880" w:hanging="2880"/>
        <w:rPr>
          <w:snapToGrid w:val="0"/>
          <w:color w:val="000000"/>
        </w:rPr>
      </w:pPr>
    </w:p>
    <w:p w:rsidR="002D6496" w:rsidRDefault="002D6496" w:rsidP="002D6496">
      <w:pPr>
        <w:spacing w:line="360" w:lineRule="auto"/>
        <w:ind w:left="2880" w:hanging="2880"/>
        <w:rPr>
          <w:snapToGrid w:val="0"/>
          <w:color w:val="000000"/>
        </w:rPr>
      </w:pPr>
      <w:r>
        <w:rPr>
          <w:snapToGrid w:val="0"/>
          <w:color w:val="000000"/>
        </w:rPr>
        <w:t>Вчений секретар спеціалізованої</w:t>
      </w:r>
    </w:p>
    <w:p w:rsidR="002D6496" w:rsidRDefault="002D6496" w:rsidP="002D6496">
      <w:pPr>
        <w:spacing w:line="360" w:lineRule="auto"/>
        <w:ind w:left="2880" w:hanging="2880"/>
        <w:rPr>
          <w:snapToGrid w:val="0"/>
          <w:color w:val="000000"/>
          <w:sz w:val="22"/>
          <w:szCs w:val="22"/>
        </w:rPr>
      </w:pPr>
      <w:r>
        <w:rPr>
          <w:snapToGrid w:val="0"/>
          <w:color w:val="000000"/>
        </w:rPr>
        <w:t>вченої ради, кандидат біологічних наук, доцент</w:t>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b/>
          <w:bCs/>
          <w:snapToGrid w:val="0"/>
          <w:color w:val="000000"/>
        </w:rPr>
        <w:t>Головач П.І.</w:t>
      </w:r>
      <w:r>
        <w:rPr>
          <w:snapToGrid w:val="0"/>
          <w:color w:val="000000"/>
        </w:rPr>
        <w:tab/>
        <w:t xml:space="preserve">      </w:t>
      </w:r>
      <w:r>
        <w:rPr>
          <w:snapToGrid w:val="0"/>
          <w:color w:val="000000"/>
        </w:rPr>
        <w:tab/>
      </w:r>
      <w:r>
        <w:rPr>
          <w:snapToGrid w:val="0"/>
          <w:color w:val="000000"/>
          <w:sz w:val="22"/>
          <w:szCs w:val="22"/>
        </w:rPr>
        <w:tab/>
      </w:r>
      <w:r>
        <w:rPr>
          <w:snapToGrid w:val="0"/>
          <w:color w:val="000000"/>
          <w:sz w:val="22"/>
          <w:szCs w:val="22"/>
        </w:rPr>
        <w:tab/>
      </w:r>
    </w:p>
    <w:p w:rsidR="002D6496" w:rsidRDefault="002D6496" w:rsidP="002D6496">
      <w:pPr>
        <w:pStyle w:val="6"/>
        <w:ind w:left="0" w:firstLine="0"/>
        <w:jc w:val="left"/>
        <w:rPr>
          <w:sz w:val="20"/>
        </w:rPr>
      </w:pPr>
      <w:r>
        <w:rPr>
          <w:sz w:val="20"/>
        </w:rPr>
        <w:t xml:space="preserve">                         </w:t>
      </w:r>
    </w:p>
    <w:p w:rsidR="002D6496" w:rsidRDefault="002D6496" w:rsidP="002D6496">
      <w:pPr>
        <w:pStyle w:val="6"/>
        <w:ind w:left="0" w:firstLine="0"/>
        <w:rPr>
          <w:sz w:val="16"/>
          <w:szCs w:val="16"/>
        </w:rPr>
      </w:pPr>
      <w:r>
        <w:rPr>
          <w:sz w:val="16"/>
          <w:szCs w:val="16"/>
        </w:rPr>
        <w:t>ЗАГАЛЬНА ХАРАКТЕРИСТИКА    РОБОТИ</w:t>
      </w:r>
    </w:p>
    <w:p w:rsidR="002D6496" w:rsidRDefault="002D6496" w:rsidP="002D6496">
      <w:pPr>
        <w:spacing w:line="360" w:lineRule="auto"/>
        <w:jc w:val="both"/>
        <w:rPr>
          <w:sz w:val="25"/>
          <w:szCs w:val="25"/>
        </w:rPr>
      </w:pPr>
      <w:r>
        <w:rPr>
          <w:b/>
          <w:bCs/>
          <w:sz w:val="25"/>
          <w:szCs w:val="25"/>
        </w:rPr>
        <w:t>Актуальність теми.</w:t>
      </w:r>
      <w:r>
        <w:rPr>
          <w:sz w:val="25"/>
          <w:szCs w:val="25"/>
        </w:rPr>
        <w:t xml:space="preserve"> Молочне скотарство є основою тваринництва і тому питання  відтворення стада та підвищення його продуктивності є одним з найпріоритетніших  у реформуванні агропромислового комплексу. </w:t>
      </w:r>
    </w:p>
    <w:p w:rsidR="002D6496" w:rsidRDefault="002D6496" w:rsidP="002D6496">
      <w:pPr>
        <w:pStyle w:val="2ffffc"/>
        <w:ind w:firstLine="567"/>
        <w:rPr>
          <w:sz w:val="25"/>
          <w:szCs w:val="25"/>
        </w:rPr>
      </w:pPr>
      <w:r>
        <w:rPr>
          <w:sz w:val="25"/>
          <w:szCs w:val="25"/>
        </w:rPr>
        <w:t xml:space="preserve">Здатність до відтворення є однією із фізіологічних  функцій ссавців, що на різних етапах онтогенезу, починаючи з гаметогенезу, запліднення, внутрішньоутробного розвитку, родів, постнатального розвитку, статевого дозрівання і впродовж усього репродуктивного життя тварини знаходиться під постійним впливом факторів внутрішнього та зовнішнього середовища. Порушення цього складного  фізіологічного взаємозв’язку призводять до виникнення патологічних станів у репродуктивній системі та неплідності тварин. </w:t>
      </w:r>
    </w:p>
    <w:p w:rsidR="002D6496" w:rsidRDefault="002D6496" w:rsidP="002D6496">
      <w:pPr>
        <w:pStyle w:val="2ffffc"/>
        <w:ind w:firstLine="567"/>
        <w:rPr>
          <w:sz w:val="25"/>
          <w:szCs w:val="25"/>
        </w:rPr>
      </w:pPr>
      <w:r>
        <w:rPr>
          <w:sz w:val="25"/>
          <w:szCs w:val="25"/>
        </w:rPr>
        <w:t>Проблемам відтворення тварин присвячено чимало робіт  вітчизняних та зарубіжних учених, проте неплідність самок ще й досі залишається актуальною проблемою у ветеринарній медицині.</w:t>
      </w:r>
    </w:p>
    <w:p w:rsidR="002D6496" w:rsidRDefault="002D6496" w:rsidP="002D6496">
      <w:pPr>
        <w:pStyle w:val="2ffffc"/>
        <w:ind w:firstLine="567"/>
        <w:rPr>
          <w:sz w:val="25"/>
          <w:szCs w:val="25"/>
        </w:rPr>
      </w:pPr>
      <w:r>
        <w:rPr>
          <w:sz w:val="25"/>
          <w:szCs w:val="25"/>
        </w:rPr>
        <w:t xml:space="preserve">Однією із найрозповсюдженіших форм неплідності  в молочному скотарстві є симптоматична       (Д.Д. Логвинов, 1975; Г.В. Звєрєва, С.П. Хомин, 1976, 2001; В.А. Яблонський, 1989, 2000; В.П. Гончаров, В.А. Карпов, 1991; В.М. Косенко 1995; В.Й. Любецький, 1997). За даними Г.В. Звєрєвої з співавторами (1988,2000,2001) септичні ускладнення післяродового періоду є досить поширеною причиною неплідності. Вони </w:t>
      </w:r>
      <w:r>
        <w:rPr>
          <w:sz w:val="25"/>
          <w:szCs w:val="25"/>
        </w:rPr>
        <w:lastRenderedPageBreak/>
        <w:t xml:space="preserve">уражають від 10 до 72% усього молочного стада і найчастіше реєструються у формі гострого ендометриту. </w:t>
      </w:r>
    </w:p>
    <w:p w:rsidR="002D6496" w:rsidRDefault="002D6496" w:rsidP="002D6496">
      <w:pPr>
        <w:pStyle w:val="2ffffc"/>
        <w:ind w:firstLine="567"/>
        <w:rPr>
          <w:sz w:val="25"/>
          <w:szCs w:val="25"/>
        </w:rPr>
      </w:pPr>
      <w:r>
        <w:rPr>
          <w:sz w:val="25"/>
          <w:szCs w:val="25"/>
        </w:rPr>
        <w:t>Протягом останніх десятиріч було розроблено і впроваджено у виробництво низку методів лікування корів, хворих на післяродовий ендометрит, які в основному базуються на застосуванні різних антибактерійних засобів. Враховуючи складний патогенез запальних процесів  і  значні розлади як  місцевого, так і загального обміну речовин, нейро-ендокринної регуляції, пригнічення системи імунного захисту організму, актуальним є їх глибше вивчення і розробка таких методів лікування, які б поряд із відновленням репродуктивної функції, забезпечували імунореабілітацію хворого організму.</w:t>
      </w:r>
    </w:p>
    <w:p w:rsidR="002D6496" w:rsidRDefault="002D6496" w:rsidP="002D6496">
      <w:pPr>
        <w:pStyle w:val="2ffffc"/>
        <w:ind w:firstLine="567"/>
        <w:rPr>
          <w:sz w:val="25"/>
          <w:szCs w:val="25"/>
        </w:rPr>
      </w:pPr>
      <w:r>
        <w:rPr>
          <w:b/>
          <w:bCs/>
          <w:sz w:val="25"/>
          <w:szCs w:val="25"/>
        </w:rPr>
        <w:t xml:space="preserve">Зв’язок роботи з науковими програмами, планами, темами. </w:t>
      </w:r>
      <w:r>
        <w:rPr>
          <w:sz w:val="25"/>
          <w:szCs w:val="25"/>
        </w:rPr>
        <w:t xml:space="preserve">Тема роботи тісно пов'язана з державною програмою наукових досліджень у галузі ветеринарної медицини: "Становлення та формування неспецифічного імунітету у великої рогатої худоби по періодах відтворної функції, його змін під впливом факторів середовища, в тому числі екологічних факторів" (Держреєстрація № 0197 </w:t>
      </w:r>
      <w:r>
        <w:rPr>
          <w:sz w:val="25"/>
          <w:szCs w:val="25"/>
          <w:lang w:val="en-US"/>
        </w:rPr>
        <w:t>U</w:t>
      </w:r>
      <w:r>
        <w:rPr>
          <w:sz w:val="25"/>
          <w:szCs w:val="25"/>
        </w:rPr>
        <w:t>О 13621). Напрямки експериментальних  досліджень дисертації були складовою частиною тематичного плану</w:t>
      </w:r>
    </w:p>
    <w:p w:rsidR="002D6496" w:rsidRDefault="002D6496" w:rsidP="002D6496">
      <w:pPr>
        <w:pStyle w:val="2ffffc"/>
        <w:ind w:firstLine="567"/>
        <w:rPr>
          <w:sz w:val="25"/>
          <w:szCs w:val="25"/>
        </w:rPr>
      </w:pPr>
    </w:p>
    <w:p w:rsidR="002D6496" w:rsidRDefault="002D6496" w:rsidP="002D6496">
      <w:pPr>
        <w:pStyle w:val="2ffffc"/>
        <w:ind w:firstLine="567"/>
        <w:rPr>
          <w:sz w:val="16"/>
          <w:szCs w:val="16"/>
        </w:rPr>
      </w:pPr>
    </w:p>
    <w:p w:rsidR="002D6496" w:rsidRDefault="002D6496" w:rsidP="002D6496">
      <w:pPr>
        <w:pStyle w:val="2ffffc"/>
        <w:ind w:firstLine="567"/>
        <w:rPr>
          <w:sz w:val="16"/>
          <w:szCs w:val="16"/>
        </w:rPr>
      </w:pPr>
    </w:p>
    <w:p w:rsidR="002D6496" w:rsidRDefault="002D6496" w:rsidP="002D6496">
      <w:pPr>
        <w:pStyle w:val="2ffffc"/>
        <w:ind w:firstLine="567"/>
      </w:pPr>
    </w:p>
    <w:p w:rsidR="002D6496" w:rsidRDefault="002D6496" w:rsidP="002D6496">
      <w:pPr>
        <w:pStyle w:val="2ffffc"/>
        <w:rPr>
          <w:sz w:val="25"/>
          <w:szCs w:val="25"/>
        </w:rPr>
      </w:pPr>
      <w:r>
        <w:rPr>
          <w:sz w:val="25"/>
          <w:szCs w:val="25"/>
        </w:rPr>
        <w:t>Подільської державної аграрно-технічної академії "Вдосконалення біотехнологічних методів прискореного розмноження тварин, стимуляції їх відтворної функції, оцінки та корекції імунного статусу та запровадження їх у виробництво" (Держреєстрація № 0196 UО 16335).</w:t>
      </w:r>
    </w:p>
    <w:p w:rsidR="002D6496" w:rsidRDefault="002D6496" w:rsidP="002D6496">
      <w:pPr>
        <w:pStyle w:val="2ffffc"/>
        <w:ind w:firstLine="567"/>
        <w:rPr>
          <w:sz w:val="25"/>
          <w:szCs w:val="25"/>
        </w:rPr>
      </w:pPr>
      <w:r>
        <w:rPr>
          <w:b/>
          <w:bCs/>
          <w:sz w:val="25"/>
          <w:szCs w:val="25"/>
        </w:rPr>
        <w:lastRenderedPageBreak/>
        <w:t>Мета і завдання досліджень.</w:t>
      </w:r>
      <w:r>
        <w:rPr>
          <w:sz w:val="25"/>
          <w:szCs w:val="25"/>
        </w:rPr>
        <w:t xml:space="preserve"> Метою дослідження було вивчення імунобіологічних аспектів розвитку та перебігу післяродового гнійно-катарального ендометриту у корів та його динаміки під впливом застосованого лікування.</w:t>
      </w:r>
    </w:p>
    <w:p w:rsidR="002D6496" w:rsidRDefault="002D6496" w:rsidP="002D6496">
      <w:pPr>
        <w:pStyle w:val="2ffffc"/>
        <w:ind w:firstLine="567"/>
        <w:rPr>
          <w:b/>
          <w:bCs/>
          <w:sz w:val="25"/>
          <w:szCs w:val="25"/>
        </w:rPr>
      </w:pPr>
      <w:r>
        <w:rPr>
          <w:sz w:val="25"/>
          <w:szCs w:val="25"/>
        </w:rPr>
        <w:t xml:space="preserve">Для досягнення і реалізації мети нами  були поставлені до вирішення наступні </w:t>
      </w:r>
      <w:r>
        <w:rPr>
          <w:b/>
          <w:bCs/>
          <w:sz w:val="25"/>
          <w:szCs w:val="25"/>
        </w:rPr>
        <w:t>завдання:</w:t>
      </w:r>
    </w:p>
    <w:p w:rsidR="002D6496" w:rsidRDefault="002D6496" w:rsidP="00BA0B93">
      <w:pPr>
        <w:pStyle w:val="2ffffc"/>
        <w:numPr>
          <w:ilvl w:val="0"/>
          <w:numId w:val="59"/>
        </w:numPr>
        <w:suppressAutoHyphens w:val="0"/>
        <w:autoSpaceDE w:val="0"/>
        <w:autoSpaceDN w:val="0"/>
        <w:spacing w:after="0" w:line="360" w:lineRule="auto"/>
        <w:jc w:val="both"/>
        <w:rPr>
          <w:sz w:val="25"/>
          <w:szCs w:val="25"/>
        </w:rPr>
      </w:pPr>
      <w:r>
        <w:rPr>
          <w:sz w:val="25"/>
          <w:szCs w:val="25"/>
        </w:rPr>
        <w:t>вивчити показники неспецифічної резистентності, клітинного та гуморального імунітету у корів з фізіологічним перебігом післяродового періоду та при післяродовому гнійно-катаральному ендометриті;</w:t>
      </w:r>
    </w:p>
    <w:p w:rsidR="002D6496" w:rsidRDefault="002D6496" w:rsidP="00BA0B93">
      <w:pPr>
        <w:pStyle w:val="2ffffc"/>
        <w:numPr>
          <w:ilvl w:val="0"/>
          <w:numId w:val="59"/>
        </w:numPr>
        <w:suppressAutoHyphens w:val="0"/>
        <w:autoSpaceDE w:val="0"/>
        <w:autoSpaceDN w:val="0"/>
        <w:spacing w:after="0" w:line="360" w:lineRule="auto"/>
        <w:jc w:val="both"/>
        <w:rPr>
          <w:sz w:val="25"/>
          <w:szCs w:val="25"/>
        </w:rPr>
      </w:pPr>
      <w:r>
        <w:rPr>
          <w:sz w:val="25"/>
          <w:szCs w:val="25"/>
        </w:rPr>
        <w:t>вивчити чутливість мікрофлори, виділеної з геніталій корів, хворих на післяродовий ендометрит (у господарствах регіону), до застосовуваних сучасних антибактерійних засобів;</w:t>
      </w:r>
    </w:p>
    <w:p w:rsidR="002D6496" w:rsidRDefault="002D6496" w:rsidP="00BA0B93">
      <w:pPr>
        <w:pStyle w:val="2ffffc"/>
        <w:numPr>
          <w:ilvl w:val="0"/>
          <w:numId w:val="59"/>
        </w:numPr>
        <w:suppressAutoHyphens w:val="0"/>
        <w:autoSpaceDE w:val="0"/>
        <w:autoSpaceDN w:val="0"/>
        <w:spacing w:after="0" w:line="360" w:lineRule="auto"/>
        <w:jc w:val="both"/>
        <w:rPr>
          <w:sz w:val="25"/>
          <w:szCs w:val="25"/>
        </w:rPr>
      </w:pPr>
      <w:r>
        <w:rPr>
          <w:sz w:val="25"/>
          <w:szCs w:val="25"/>
        </w:rPr>
        <w:t xml:space="preserve">вивчити вплив окремих біологічно активних та антибактерійних препаратів на деякі показники імунного захисту корів у дослідах </w:t>
      </w:r>
      <w:r>
        <w:rPr>
          <w:sz w:val="25"/>
          <w:szCs w:val="25"/>
          <w:lang w:val="en-US"/>
        </w:rPr>
        <w:t>in</w:t>
      </w:r>
      <w:r>
        <w:rPr>
          <w:sz w:val="25"/>
          <w:szCs w:val="25"/>
        </w:rPr>
        <w:t xml:space="preserve"> </w:t>
      </w:r>
      <w:r>
        <w:rPr>
          <w:sz w:val="25"/>
          <w:szCs w:val="25"/>
          <w:lang w:val="en-US"/>
        </w:rPr>
        <w:t>vitro</w:t>
      </w:r>
      <w:r>
        <w:rPr>
          <w:sz w:val="25"/>
          <w:szCs w:val="25"/>
        </w:rPr>
        <w:t xml:space="preserve"> та </w:t>
      </w:r>
      <w:r>
        <w:rPr>
          <w:sz w:val="25"/>
          <w:szCs w:val="25"/>
          <w:lang w:val="en-US"/>
        </w:rPr>
        <w:t>in</w:t>
      </w:r>
      <w:r>
        <w:rPr>
          <w:sz w:val="25"/>
          <w:szCs w:val="25"/>
        </w:rPr>
        <w:t xml:space="preserve"> </w:t>
      </w:r>
      <w:r>
        <w:rPr>
          <w:sz w:val="25"/>
          <w:szCs w:val="25"/>
          <w:lang w:val="en-US"/>
        </w:rPr>
        <w:t>vivo</w:t>
      </w:r>
      <w:r>
        <w:rPr>
          <w:sz w:val="25"/>
          <w:szCs w:val="25"/>
        </w:rPr>
        <w:t>;</w:t>
      </w:r>
    </w:p>
    <w:p w:rsidR="002D6496" w:rsidRDefault="002D6496" w:rsidP="00BA0B93">
      <w:pPr>
        <w:pStyle w:val="2ffffc"/>
        <w:numPr>
          <w:ilvl w:val="0"/>
          <w:numId w:val="59"/>
        </w:numPr>
        <w:suppressAutoHyphens w:val="0"/>
        <w:autoSpaceDE w:val="0"/>
        <w:autoSpaceDN w:val="0"/>
        <w:spacing w:after="0" w:line="360" w:lineRule="auto"/>
        <w:jc w:val="both"/>
        <w:rPr>
          <w:sz w:val="25"/>
          <w:szCs w:val="25"/>
        </w:rPr>
      </w:pPr>
      <w:r>
        <w:rPr>
          <w:sz w:val="25"/>
          <w:szCs w:val="25"/>
        </w:rPr>
        <w:t>провести порівняльну оцінку  окремих методів лікування корів, хворих на післяродовий ендометрит, на основі чого  розробити ефективні методи комплексної терапії даної патології.</w:t>
      </w:r>
    </w:p>
    <w:p w:rsidR="002D6496" w:rsidRDefault="002D6496" w:rsidP="002D6496">
      <w:pPr>
        <w:pStyle w:val="2ffffc"/>
        <w:ind w:firstLine="567"/>
        <w:rPr>
          <w:sz w:val="25"/>
          <w:szCs w:val="25"/>
        </w:rPr>
      </w:pPr>
      <w:r>
        <w:rPr>
          <w:i/>
          <w:iCs/>
          <w:sz w:val="25"/>
          <w:szCs w:val="25"/>
        </w:rPr>
        <w:t>Об’єктом дослідження</w:t>
      </w:r>
      <w:r>
        <w:rPr>
          <w:b/>
          <w:bCs/>
          <w:sz w:val="25"/>
          <w:szCs w:val="25"/>
        </w:rPr>
        <w:t xml:space="preserve"> </w:t>
      </w:r>
      <w:r>
        <w:rPr>
          <w:sz w:val="25"/>
          <w:szCs w:val="25"/>
        </w:rPr>
        <w:t>була</w:t>
      </w:r>
      <w:r>
        <w:rPr>
          <w:b/>
          <w:bCs/>
          <w:sz w:val="25"/>
          <w:szCs w:val="25"/>
        </w:rPr>
        <w:t xml:space="preserve"> </w:t>
      </w:r>
      <w:r>
        <w:rPr>
          <w:sz w:val="25"/>
          <w:szCs w:val="25"/>
        </w:rPr>
        <w:t>імунобіологічна реактивність корів симентальської породи з фізіологічним і патологічним перебігом післяродового періоду, фізіологічний стан геніталій та репродуктивна функція корів-породіль.</w:t>
      </w:r>
    </w:p>
    <w:p w:rsidR="002D6496" w:rsidRDefault="002D6496" w:rsidP="002D6496">
      <w:pPr>
        <w:pStyle w:val="2ffffc"/>
        <w:ind w:firstLine="567"/>
        <w:rPr>
          <w:sz w:val="25"/>
          <w:szCs w:val="25"/>
        </w:rPr>
      </w:pPr>
      <w:r>
        <w:rPr>
          <w:i/>
          <w:iCs/>
          <w:sz w:val="25"/>
          <w:szCs w:val="25"/>
        </w:rPr>
        <w:t>Предметом дослідження</w:t>
      </w:r>
      <w:r>
        <w:rPr>
          <w:b/>
          <w:bCs/>
          <w:sz w:val="25"/>
          <w:szCs w:val="25"/>
        </w:rPr>
        <w:t xml:space="preserve">  </w:t>
      </w:r>
      <w:r>
        <w:rPr>
          <w:sz w:val="25"/>
          <w:szCs w:val="25"/>
        </w:rPr>
        <w:t>було</w:t>
      </w:r>
      <w:r>
        <w:rPr>
          <w:b/>
          <w:bCs/>
          <w:sz w:val="25"/>
          <w:szCs w:val="25"/>
        </w:rPr>
        <w:t xml:space="preserve"> </w:t>
      </w:r>
      <w:r>
        <w:rPr>
          <w:sz w:val="25"/>
          <w:szCs w:val="25"/>
        </w:rPr>
        <w:t>вдосконалення існуючих і розробка нових методів етіотропної та патогенетичної терапії корів, хворих на післяродовий гнійно-катаральний ендометрит.</w:t>
      </w:r>
    </w:p>
    <w:p w:rsidR="002D6496" w:rsidRDefault="002D6496" w:rsidP="002D6496">
      <w:pPr>
        <w:pStyle w:val="2ffffc"/>
        <w:ind w:firstLine="567"/>
        <w:rPr>
          <w:sz w:val="25"/>
          <w:szCs w:val="25"/>
        </w:rPr>
      </w:pPr>
      <w:r>
        <w:rPr>
          <w:i/>
          <w:iCs/>
          <w:sz w:val="25"/>
          <w:szCs w:val="25"/>
        </w:rPr>
        <w:t>Методи дослідження</w:t>
      </w:r>
      <w:r>
        <w:rPr>
          <w:sz w:val="25"/>
          <w:szCs w:val="25"/>
        </w:rPr>
        <w:t>.</w:t>
      </w:r>
      <w:r>
        <w:rPr>
          <w:b/>
          <w:bCs/>
          <w:sz w:val="25"/>
          <w:szCs w:val="25"/>
        </w:rPr>
        <w:t xml:space="preserve"> </w:t>
      </w:r>
      <w:r>
        <w:rPr>
          <w:sz w:val="25"/>
          <w:szCs w:val="25"/>
        </w:rPr>
        <w:t>У експериментальній частині дисертаційної  роботи було використано клінічні, гематологічні, цитохімічні, імунологічні, мікробіологічні та біометричні методи дослідження.</w:t>
      </w:r>
    </w:p>
    <w:p w:rsidR="002D6496" w:rsidRDefault="002D6496" w:rsidP="002D6496">
      <w:pPr>
        <w:pStyle w:val="2ffffc"/>
        <w:ind w:firstLine="567"/>
        <w:rPr>
          <w:sz w:val="25"/>
          <w:szCs w:val="25"/>
        </w:rPr>
      </w:pPr>
      <w:r>
        <w:rPr>
          <w:b/>
          <w:bCs/>
          <w:sz w:val="25"/>
          <w:szCs w:val="25"/>
        </w:rPr>
        <w:lastRenderedPageBreak/>
        <w:t xml:space="preserve">Наукова новизна одержаних результатів. </w:t>
      </w:r>
      <w:r>
        <w:rPr>
          <w:sz w:val="25"/>
          <w:szCs w:val="25"/>
        </w:rPr>
        <w:t xml:space="preserve">У роботі вперше проведено комплексні дослідження ряду імунобіологічних показників організму корів при фізіологічному перебізі післяродового періоду та в динаміці розвитку, перебігу та лікування післяродового гнійно-катарального ендометриту; вивчено антибіотикорезистентність мікрофлори з геніталій  хворих корів до найбільш поширених сучасних антибактерійних засобів; проведено підбір  лікарських препаратів на основі попередніх імунобіологічних  тестувань у дослідах </w:t>
      </w:r>
      <w:r>
        <w:rPr>
          <w:sz w:val="25"/>
          <w:szCs w:val="25"/>
          <w:lang w:val="en-US"/>
        </w:rPr>
        <w:t>in</w:t>
      </w:r>
      <w:r>
        <w:rPr>
          <w:sz w:val="25"/>
          <w:szCs w:val="25"/>
        </w:rPr>
        <w:t xml:space="preserve"> </w:t>
      </w:r>
      <w:r>
        <w:rPr>
          <w:sz w:val="25"/>
          <w:szCs w:val="25"/>
          <w:lang w:val="en-US"/>
        </w:rPr>
        <w:t>vitro</w:t>
      </w:r>
      <w:r>
        <w:rPr>
          <w:sz w:val="25"/>
          <w:szCs w:val="25"/>
        </w:rPr>
        <w:t xml:space="preserve"> та дано імунологічне обґрунтування їх клінічного застосування. </w:t>
      </w:r>
    </w:p>
    <w:p w:rsidR="002D6496" w:rsidRDefault="002D6496" w:rsidP="002D6496">
      <w:pPr>
        <w:pStyle w:val="2ffffc"/>
        <w:ind w:firstLine="567"/>
        <w:rPr>
          <w:b/>
          <w:bCs/>
          <w:sz w:val="25"/>
          <w:szCs w:val="25"/>
        </w:rPr>
      </w:pPr>
      <w:r>
        <w:rPr>
          <w:b/>
          <w:bCs/>
          <w:sz w:val="25"/>
          <w:szCs w:val="25"/>
        </w:rPr>
        <w:t xml:space="preserve"> Практичне значення одержаних результатів. </w:t>
      </w:r>
      <w:r>
        <w:rPr>
          <w:sz w:val="25"/>
          <w:szCs w:val="25"/>
        </w:rPr>
        <w:t xml:space="preserve">Проведеними дослідженнями виявили ряд специфічних  змін імунологічного статусу організму корів протягом післяродового періоду та під час розвитку, перебігу і в динаміці лікування післяродового гнійно-катарального ендометриту, які були покладені в основу розробки комплексних схем лікування даного захворювання. </w:t>
      </w:r>
    </w:p>
    <w:p w:rsidR="002D6496" w:rsidRDefault="002D6496" w:rsidP="002D6496">
      <w:pPr>
        <w:pStyle w:val="2ffffc"/>
        <w:tabs>
          <w:tab w:val="left" w:pos="709"/>
        </w:tabs>
        <w:ind w:firstLine="567"/>
        <w:rPr>
          <w:sz w:val="25"/>
          <w:szCs w:val="25"/>
        </w:rPr>
      </w:pPr>
      <w:r>
        <w:rPr>
          <w:b/>
          <w:bCs/>
          <w:sz w:val="25"/>
          <w:szCs w:val="25"/>
        </w:rPr>
        <w:t xml:space="preserve">Особистий внесок здобувача. </w:t>
      </w:r>
      <w:r>
        <w:rPr>
          <w:sz w:val="25"/>
          <w:szCs w:val="25"/>
        </w:rPr>
        <w:t>Дисертантом особисто виконано весь обсяг експериментальної частини роботи, лабораторних досліджень, проведено статистичну обробку результатів та їх аналіз, підбір та узагальнення інформаційних джерел. За участю наукового керівника та співавторів публікацій  проведено обґрунтування та інтерпретацію отриманих результатів.</w:t>
      </w:r>
    </w:p>
    <w:p w:rsidR="002D6496" w:rsidRDefault="002D6496" w:rsidP="002D6496">
      <w:pPr>
        <w:pStyle w:val="aff2"/>
        <w:spacing w:line="360" w:lineRule="auto"/>
        <w:ind w:firstLine="567"/>
        <w:jc w:val="both"/>
        <w:rPr>
          <w:rFonts w:ascii="Times New Roman" w:hAnsi="Times New Roman" w:cs="Times New Roman"/>
          <w:sz w:val="25"/>
          <w:szCs w:val="25"/>
          <w:lang w:val="uk-UA"/>
        </w:rPr>
      </w:pPr>
      <w:r>
        <w:rPr>
          <w:rFonts w:ascii="Times New Roman" w:hAnsi="Times New Roman" w:cs="Times New Roman"/>
          <w:b/>
          <w:bCs/>
          <w:sz w:val="25"/>
          <w:szCs w:val="25"/>
        </w:rPr>
        <w:t xml:space="preserve">Апробація результатів дисертації. </w:t>
      </w:r>
      <w:r>
        <w:rPr>
          <w:rFonts w:ascii="Times New Roman" w:hAnsi="Times New Roman" w:cs="Times New Roman"/>
          <w:sz w:val="25"/>
          <w:szCs w:val="25"/>
          <w:lang w:val="uk-UA"/>
        </w:rPr>
        <w:t xml:space="preserve">Результати експериментальної роботи висвітлювались на Міжнародній науковій конференції "С.З. Ґжицький і сучасна аграрна наука", присвяченій  100-річчю від дня народження С.З. Ґжицького (м. Львів, 4-6 травня 2000 р.), І Міжнародній науково-практичній конференції “Сучасні проблеми ветеринарної медицини з питань фізіології і патології відтворення тварин” (м. Київ, 25-26 травня 2000 р.), ІІІ Міжнародній науково-практичній конференції “Проблеми неінфекційної патології тварин”, присвяченій  90-річчю з дня народження А.Ф. Бурденюка (м. Біла Церква, 12-13 жовтня 2000 р.), VIII </w:t>
      </w:r>
      <w:r>
        <w:rPr>
          <w:rFonts w:ascii="Times New Roman" w:eastAsia="MS Mincho" w:hAnsi="Times New Roman" w:cs="Times New Roman"/>
          <w:sz w:val="25"/>
          <w:szCs w:val="25"/>
          <w:lang w:val="uk-UA"/>
        </w:rPr>
        <w:t xml:space="preserve">Міжнародному конгресі з </w:t>
      </w:r>
      <w:r>
        <w:rPr>
          <w:rFonts w:ascii="Times New Roman" w:eastAsia="MS Mincho" w:hAnsi="Times New Roman" w:cs="Times New Roman"/>
          <w:sz w:val="25"/>
          <w:szCs w:val="25"/>
          <w:lang w:val="uk-UA"/>
        </w:rPr>
        <w:lastRenderedPageBreak/>
        <w:t xml:space="preserve">імунології відтворення (Opatija-Croatia, 2-6 червня 2001 р.),              </w:t>
      </w:r>
      <w:r>
        <w:rPr>
          <w:rFonts w:ascii="Times New Roman" w:hAnsi="Times New Roman" w:cs="Times New Roman"/>
          <w:sz w:val="25"/>
          <w:szCs w:val="25"/>
          <w:lang w:val="uk-UA"/>
        </w:rPr>
        <w:t>ІІ Всеукраїнській науково-практичній конференції ветеринарних патологів (м. Київ, 21-24 листопада  2001 р.), I конференції науково-дослідного інституту ветеринарної медицини, якості і безпеки сільськогосподарської продукції (м. Київ, НАУ, 14-15 березня 2002 р.), а також доповідалися на щорічних науково-теоретичних конференціях професорсько-викладацького складу та науковців Подільської державної аграрно-технічної академії.</w:t>
      </w:r>
    </w:p>
    <w:p w:rsidR="002D6496" w:rsidRDefault="002D6496" w:rsidP="002D6496">
      <w:pPr>
        <w:pStyle w:val="2ffffc"/>
        <w:tabs>
          <w:tab w:val="left" w:pos="0"/>
        </w:tabs>
        <w:ind w:firstLine="567"/>
        <w:rPr>
          <w:sz w:val="25"/>
          <w:szCs w:val="25"/>
        </w:rPr>
      </w:pPr>
      <w:r>
        <w:rPr>
          <w:b/>
          <w:bCs/>
          <w:sz w:val="25"/>
          <w:szCs w:val="25"/>
        </w:rPr>
        <w:t xml:space="preserve">Публікації. </w:t>
      </w:r>
      <w:r>
        <w:rPr>
          <w:sz w:val="25"/>
          <w:szCs w:val="25"/>
        </w:rPr>
        <w:t>За темою дисертаційної роботи опубліковано 6 робіт у виданнях, що входять до переліку, затвердженого ВАК  України. Одноосібно опубліковано одну наукову працю.</w:t>
      </w:r>
    </w:p>
    <w:p w:rsidR="002D6496" w:rsidRDefault="002D6496" w:rsidP="002D6496">
      <w:pPr>
        <w:pStyle w:val="2ffffc"/>
        <w:tabs>
          <w:tab w:val="left" w:pos="709"/>
        </w:tabs>
        <w:ind w:firstLine="567"/>
        <w:rPr>
          <w:sz w:val="25"/>
          <w:szCs w:val="25"/>
        </w:rPr>
      </w:pPr>
      <w:r>
        <w:rPr>
          <w:b/>
          <w:bCs/>
          <w:sz w:val="25"/>
          <w:szCs w:val="25"/>
        </w:rPr>
        <w:t xml:space="preserve">Структура та обсяг дисертації. </w:t>
      </w:r>
      <w:r>
        <w:rPr>
          <w:sz w:val="25"/>
          <w:szCs w:val="25"/>
        </w:rPr>
        <w:t>Дисертаційна робота складається зі вступу, огляду літератури, матеріалів і методів досліджень, експериментальних досліджень, обговорення наслідків досліджень, висновків, пропозицій виробництву, списку використаних джерел та додатків. Робота викладена на 150 сторінках машинописного тексту, проілюстрована 25 таблицями, 3 мікрофотозображеннями    16 рисунками. Список використаних джерел  включає   345  найменувань, у тому числі   97  іноземних.</w:t>
      </w:r>
    </w:p>
    <w:p w:rsidR="002D6496" w:rsidRDefault="002D6496" w:rsidP="002D6496">
      <w:pPr>
        <w:pStyle w:val="2ffffc"/>
        <w:tabs>
          <w:tab w:val="left" w:pos="709"/>
        </w:tabs>
        <w:ind w:firstLine="567"/>
        <w:rPr>
          <w:sz w:val="25"/>
          <w:szCs w:val="25"/>
        </w:rPr>
      </w:pPr>
    </w:p>
    <w:p w:rsidR="002D6496" w:rsidRDefault="002D6496" w:rsidP="002D6496">
      <w:pPr>
        <w:pStyle w:val="2ffffc"/>
        <w:tabs>
          <w:tab w:val="left" w:pos="709"/>
        </w:tabs>
        <w:ind w:firstLine="567"/>
        <w:rPr>
          <w:sz w:val="25"/>
          <w:szCs w:val="25"/>
        </w:rPr>
      </w:pPr>
    </w:p>
    <w:p w:rsidR="002D6496" w:rsidRDefault="002D6496" w:rsidP="002D6496">
      <w:pPr>
        <w:pStyle w:val="2ffffc"/>
        <w:tabs>
          <w:tab w:val="left" w:pos="709"/>
        </w:tabs>
        <w:ind w:firstLine="567"/>
        <w:rPr>
          <w:sz w:val="25"/>
          <w:szCs w:val="25"/>
        </w:rPr>
      </w:pPr>
    </w:p>
    <w:p w:rsidR="002D6496" w:rsidRDefault="002D6496" w:rsidP="002D6496">
      <w:pPr>
        <w:pStyle w:val="2ffffc"/>
        <w:tabs>
          <w:tab w:val="left" w:pos="709"/>
        </w:tabs>
        <w:ind w:firstLine="567"/>
        <w:rPr>
          <w:sz w:val="25"/>
          <w:szCs w:val="25"/>
        </w:rPr>
      </w:pPr>
    </w:p>
    <w:p w:rsidR="002D6496" w:rsidRDefault="002D6496" w:rsidP="002D6496">
      <w:pPr>
        <w:pStyle w:val="2ffffc"/>
        <w:tabs>
          <w:tab w:val="left" w:pos="709"/>
        </w:tabs>
        <w:ind w:firstLine="567"/>
        <w:rPr>
          <w:sz w:val="25"/>
          <w:szCs w:val="25"/>
        </w:rPr>
      </w:pPr>
    </w:p>
    <w:p w:rsidR="002D6496" w:rsidRDefault="002D6496" w:rsidP="002D6496">
      <w:pPr>
        <w:pStyle w:val="2ffffc"/>
        <w:tabs>
          <w:tab w:val="left" w:pos="709"/>
        </w:tabs>
        <w:ind w:firstLine="567"/>
        <w:rPr>
          <w:sz w:val="25"/>
          <w:szCs w:val="25"/>
        </w:rPr>
      </w:pPr>
    </w:p>
    <w:p w:rsidR="002D6496" w:rsidRDefault="002D6496" w:rsidP="002D6496">
      <w:pPr>
        <w:pStyle w:val="2ffffc"/>
        <w:tabs>
          <w:tab w:val="left" w:pos="709"/>
        </w:tabs>
        <w:ind w:firstLine="567"/>
        <w:jc w:val="center"/>
        <w:rPr>
          <w:b/>
          <w:bCs/>
        </w:rPr>
      </w:pPr>
      <w:r>
        <w:rPr>
          <w:b/>
          <w:bCs/>
        </w:rPr>
        <w:t xml:space="preserve">ОСНОВНІ НАПРЯМКИ ДОСЛІДЖЕНЬ, </w:t>
      </w:r>
    </w:p>
    <w:p w:rsidR="002D6496" w:rsidRDefault="002D6496" w:rsidP="002D6496">
      <w:pPr>
        <w:pStyle w:val="2ffffc"/>
        <w:tabs>
          <w:tab w:val="left" w:pos="709"/>
        </w:tabs>
        <w:ind w:firstLine="567"/>
        <w:jc w:val="center"/>
        <w:rPr>
          <w:b/>
          <w:bCs/>
        </w:rPr>
      </w:pPr>
      <w:r>
        <w:rPr>
          <w:b/>
          <w:bCs/>
        </w:rPr>
        <w:t>МАТЕРІАЛ ТА МЕТОДИКА ВИКОНАННЯ РОБОТИ</w:t>
      </w:r>
    </w:p>
    <w:p w:rsidR="002D6496" w:rsidRDefault="002D6496" w:rsidP="002D6496">
      <w:pPr>
        <w:pStyle w:val="affffffff8"/>
        <w:ind w:firstLine="567"/>
        <w:jc w:val="both"/>
        <w:rPr>
          <w:b/>
          <w:bCs/>
          <w:sz w:val="25"/>
          <w:szCs w:val="25"/>
        </w:rPr>
      </w:pPr>
      <w:r>
        <w:rPr>
          <w:b/>
          <w:bCs/>
          <w:sz w:val="25"/>
          <w:szCs w:val="25"/>
        </w:rPr>
        <w:lastRenderedPageBreak/>
        <w:t xml:space="preserve">Дослідження проводилися протягом 1997 </w:t>
      </w:r>
      <w:r>
        <w:rPr>
          <w:b/>
          <w:bCs/>
          <w:sz w:val="25"/>
          <w:szCs w:val="24"/>
        </w:rPr>
        <w:sym w:font="Symbol" w:char="F02D"/>
      </w:r>
      <w:r>
        <w:rPr>
          <w:b/>
          <w:bCs/>
          <w:sz w:val="25"/>
          <w:szCs w:val="25"/>
        </w:rPr>
        <w:t xml:space="preserve"> 2000 років у лабораторії імунології відтворення тварин кафедри ветеринарного акушерства і хірургії Подільської державної аграрно-технічної академії та в господарствах Кам’янець-Подільського району Хмельницької області: БФСК “Мрія” с. Сокіл, СТОВ “Іскра” с. Голосків та в СК “ім. Котовського”  с. Гуменці. </w:t>
      </w:r>
    </w:p>
    <w:p w:rsidR="002D6496" w:rsidRDefault="002D6496" w:rsidP="002D6496">
      <w:pPr>
        <w:pStyle w:val="affffffff8"/>
        <w:ind w:firstLine="567"/>
        <w:jc w:val="both"/>
        <w:outlineLvl w:val="0"/>
        <w:rPr>
          <w:b/>
          <w:bCs/>
          <w:sz w:val="25"/>
          <w:szCs w:val="25"/>
        </w:rPr>
      </w:pPr>
      <w:r>
        <w:rPr>
          <w:b/>
          <w:bCs/>
          <w:sz w:val="25"/>
          <w:szCs w:val="25"/>
        </w:rPr>
        <w:t xml:space="preserve">Для проведення досліджень у вказаних  господарствах були відібрані групи корів-аналогів симентальської породи з молочною продуктивністю 3,5-4 тис. кг, що утримувалися в типових приміщеннях із задовільними параметрами мікроклімату та годівлі. </w:t>
      </w:r>
    </w:p>
    <w:p w:rsidR="002D6496" w:rsidRDefault="002D6496" w:rsidP="002D6496">
      <w:pPr>
        <w:pStyle w:val="affffffff8"/>
        <w:ind w:firstLine="567"/>
        <w:jc w:val="both"/>
        <w:outlineLvl w:val="0"/>
        <w:rPr>
          <w:b/>
          <w:bCs/>
          <w:sz w:val="25"/>
          <w:szCs w:val="25"/>
        </w:rPr>
      </w:pPr>
      <w:r>
        <w:rPr>
          <w:b/>
          <w:bCs/>
          <w:sz w:val="25"/>
          <w:szCs w:val="25"/>
        </w:rPr>
        <w:t>Для проведення експериментальної частини роботи  досліджень було відібрано 75 корів,  з яких сформували контрольні і дослідні групи. До  першої контрольної групи (</w:t>
      </w:r>
      <w:r>
        <w:rPr>
          <w:b/>
          <w:bCs/>
          <w:sz w:val="25"/>
          <w:szCs w:val="25"/>
          <w:lang w:val="en-US"/>
        </w:rPr>
        <w:t>n</w:t>
      </w:r>
      <w:r>
        <w:rPr>
          <w:b/>
          <w:bCs/>
          <w:sz w:val="25"/>
          <w:szCs w:val="25"/>
        </w:rPr>
        <w:t xml:space="preserve">=18) ввійшли  породілі  з фізіологічним перебігом післяродового періоду; в другу контрольну групу </w:t>
      </w:r>
      <w:r>
        <w:rPr>
          <w:b/>
          <w:bCs/>
          <w:sz w:val="25"/>
          <w:szCs w:val="24"/>
        </w:rPr>
        <w:sym w:font="Symbol" w:char="F02D"/>
      </w:r>
      <w:r>
        <w:rPr>
          <w:b/>
          <w:bCs/>
          <w:sz w:val="25"/>
          <w:szCs w:val="25"/>
        </w:rPr>
        <w:t xml:space="preserve"> хворі на післяродовий гнійно-катаральний ендометрит, лікування яких проводили за загальноприйнятій схемі (без застосування імуностимуляторів). П'ять дослідних груп були сформовані з хворих на післяродовий гнійно-катаральний ендометрит породіль, лікування яких проводили із застосуванням засобів етіотропної та патогенетичної терапії. </w:t>
      </w:r>
    </w:p>
    <w:p w:rsidR="002D6496" w:rsidRDefault="002D6496" w:rsidP="002D6496">
      <w:pPr>
        <w:pStyle w:val="affffffff8"/>
        <w:ind w:firstLine="567"/>
        <w:jc w:val="both"/>
        <w:outlineLvl w:val="0"/>
        <w:rPr>
          <w:sz w:val="25"/>
          <w:szCs w:val="25"/>
        </w:rPr>
      </w:pPr>
      <w:r>
        <w:rPr>
          <w:b/>
          <w:bCs/>
          <w:sz w:val="25"/>
          <w:szCs w:val="25"/>
        </w:rPr>
        <w:t xml:space="preserve">Імунологічні дослідження хворих корів проводили на початку досліду </w:t>
      </w:r>
      <w:r>
        <w:rPr>
          <w:b/>
          <w:bCs/>
          <w:sz w:val="25"/>
          <w:szCs w:val="24"/>
        </w:rPr>
        <w:sym w:font="Symbol" w:char="F02D"/>
      </w:r>
      <w:r>
        <w:rPr>
          <w:b/>
          <w:bCs/>
          <w:sz w:val="25"/>
          <w:szCs w:val="25"/>
        </w:rPr>
        <w:t xml:space="preserve"> в період виражених клінічних ознак гострого післяродового ендометриту (7-8-й день після родів),  під час  лікування та після одужання. </w:t>
      </w:r>
    </w:p>
    <w:p w:rsidR="002D6496" w:rsidRDefault="002D6496" w:rsidP="002D6496">
      <w:pPr>
        <w:pStyle w:val="affffffff8"/>
        <w:ind w:firstLine="567"/>
        <w:jc w:val="both"/>
        <w:rPr>
          <w:b/>
          <w:bCs/>
          <w:sz w:val="25"/>
          <w:szCs w:val="25"/>
        </w:rPr>
      </w:pPr>
      <w:r>
        <w:rPr>
          <w:b/>
          <w:bCs/>
          <w:sz w:val="25"/>
          <w:szCs w:val="25"/>
        </w:rPr>
        <w:t>Гематологічними дослідженнями у крові піддослідних корів визначали кількість еритроцитів, лейкоцитів, а також лейкоцитарну формулу.</w:t>
      </w:r>
    </w:p>
    <w:p w:rsidR="002D6496" w:rsidRDefault="002D6496" w:rsidP="002D6496">
      <w:pPr>
        <w:pStyle w:val="affffffff8"/>
        <w:ind w:firstLine="567"/>
        <w:jc w:val="both"/>
        <w:rPr>
          <w:b/>
          <w:bCs/>
          <w:sz w:val="25"/>
          <w:szCs w:val="25"/>
        </w:rPr>
      </w:pPr>
      <w:r>
        <w:rPr>
          <w:b/>
          <w:bCs/>
          <w:sz w:val="25"/>
          <w:szCs w:val="25"/>
        </w:rPr>
        <w:t xml:space="preserve">Стан клітинної та гуморальної ланок імунітету оцінювали за кількістю Т-, В- та </w:t>
      </w:r>
    </w:p>
    <w:p w:rsidR="002D6496" w:rsidRDefault="002D6496" w:rsidP="002D6496">
      <w:pPr>
        <w:pStyle w:val="affffffff8"/>
        <w:jc w:val="both"/>
        <w:rPr>
          <w:b/>
          <w:bCs/>
          <w:sz w:val="25"/>
          <w:szCs w:val="25"/>
        </w:rPr>
      </w:pPr>
      <w:r>
        <w:rPr>
          <w:b/>
          <w:bCs/>
          <w:sz w:val="25"/>
          <w:szCs w:val="25"/>
        </w:rPr>
        <w:lastRenderedPageBreak/>
        <w:t xml:space="preserve">“0”-лімфоцитів периферійної венозної крові, їх співвідношенням (Т:В), Т-індексом. Визначення кількості Т-лімфоцитів проводили   за  методикою  M. Jondal (1972) в реакції спонтанного  розеткоутворення  (Е-РУК),   В-лімфоцитів </w:t>
      </w:r>
      <w:r>
        <w:rPr>
          <w:b/>
          <w:bCs/>
          <w:sz w:val="25"/>
          <w:szCs w:val="24"/>
        </w:rPr>
        <w:sym w:font="Symbol" w:char="F02D"/>
      </w:r>
      <w:r>
        <w:rPr>
          <w:b/>
          <w:bCs/>
          <w:sz w:val="25"/>
          <w:szCs w:val="25"/>
        </w:rPr>
        <w:t xml:space="preserve"> за      методикою Г.Ф. Коромислова  </w:t>
      </w:r>
    </w:p>
    <w:p w:rsidR="002D6496" w:rsidRDefault="002D6496" w:rsidP="002D6496">
      <w:pPr>
        <w:pStyle w:val="affffffff8"/>
        <w:jc w:val="both"/>
        <w:rPr>
          <w:b/>
          <w:bCs/>
          <w:sz w:val="25"/>
          <w:szCs w:val="25"/>
        </w:rPr>
      </w:pPr>
      <w:r>
        <w:rPr>
          <w:b/>
          <w:bCs/>
          <w:sz w:val="25"/>
          <w:szCs w:val="25"/>
        </w:rPr>
        <w:t xml:space="preserve">та ін. (1980) </w:t>
      </w:r>
      <w:r>
        <w:rPr>
          <w:b/>
          <w:bCs/>
          <w:sz w:val="25"/>
          <w:szCs w:val="24"/>
        </w:rPr>
        <w:sym w:font="Symbol" w:char="F02D"/>
      </w:r>
      <w:r>
        <w:rPr>
          <w:b/>
          <w:bCs/>
          <w:sz w:val="25"/>
          <w:szCs w:val="25"/>
        </w:rPr>
        <w:t xml:space="preserve"> в реакції комплементарного розеткоутворення з еритроцитами барана            (ЕАС-РУК) у модифікації лабораторії імунології Інституту педіатрії акушерства та        гінекології (м.Київ,1997); метаболічну активність нейтрофілів </w:t>
      </w:r>
      <w:r>
        <w:rPr>
          <w:b/>
          <w:bCs/>
          <w:sz w:val="25"/>
          <w:szCs w:val="24"/>
        </w:rPr>
        <w:sym w:font="Symbol" w:char="F02D"/>
      </w:r>
      <w:r>
        <w:rPr>
          <w:b/>
          <w:bCs/>
          <w:sz w:val="25"/>
          <w:szCs w:val="25"/>
        </w:rPr>
        <w:t xml:space="preserve"> за                                     реакцією               відновлення нітросинього тетразолію (НСТ </w:t>
      </w:r>
      <w:r>
        <w:rPr>
          <w:b/>
          <w:bCs/>
          <w:sz w:val="25"/>
          <w:szCs w:val="24"/>
        </w:rPr>
        <w:sym w:font="Symbol" w:char="F02D"/>
      </w:r>
      <w:r>
        <w:rPr>
          <w:b/>
          <w:bCs/>
          <w:sz w:val="25"/>
          <w:szCs w:val="25"/>
        </w:rPr>
        <w:t xml:space="preserve"> тест); лізоцимну активність сироватки             крові (ЛАСК) </w:t>
      </w:r>
      <w:r>
        <w:rPr>
          <w:b/>
          <w:bCs/>
          <w:sz w:val="25"/>
          <w:szCs w:val="24"/>
        </w:rPr>
        <w:sym w:font="Symbol" w:char="F02D"/>
      </w:r>
      <w:r>
        <w:rPr>
          <w:b/>
          <w:bCs/>
          <w:sz w:val="25"/>
          <w:szCs w:val="25"/>
        </w:rPr>
        <w:t xml:space="preserve"> фотоколориметричним методом за  Ю.М. Марковим (1974) в модифікації         УНДІЕВ (в якості  тест-культури використовували Micrococcus lysodeicticus); бактерицидну активність сироватки крові (БАСК) </w:t>
      </w:r>
      <w:r>
        <w:rPr>
          <w:b/>
          <w:bCs/>
          <w:sz w:val="25"/>
          <w:szCs w:val="24"/>
        </w:rPr>
        <w:sym w:font="Symbol" w:char="F02D"/>
      </w:r>
      <w:r>
        <w:rPr>
          <w:b/>
          <w:bCs/>
          <w:sz w:val="25"/>
          <w:szCs w:val="25"/>
        </w:rPr>
        <w:t xml:space="preserve"> фотоколориметричним   методом  з мікробною          тест </w:t>
      </w:r>
      <w:r>
        <w:rPr>
          <w:b/>
          <w:bCs/>
          <w:sz w:val="25"/>
          <w:szCs w:val="24"/>
        </w:rPr>
        <w:sym w:font="Symbol" w:char="F02D"/>
      </w:r>
      <w:r>
        <w:rPr>
          <w:b/>
          <w:bCs/>
          <w:sz w:val="25"/>
          <w:szCs w:val="25"/>
        </w:rPr>
        <w:t xml:space="preserve"> культурою E. сoli (штам 0,4, S-форма МВА)     за     О.В.  Смірновою  і   Т.А.  Кузьміною  (1966),   з   урахуванням   рекомендацій   Н.Н.  Максим'юка   та  Л.А. Телішевської (1995); фагоцитарну активність лейкоцитів </w:t>
      </w:r>
      <w:r>
        <w:rPr>
          <w:b/>
          <w:bCs/>
          <w:sz w:val="25"/>
          <w:szCs w:val="24"/>
        </w:rPr>
        <w:sym w:font="Symbol" w:char="F02D"/>
      </w:r>
      <w:r>
        <w:rPr>
          <w:b/>
          <w:bCs/>
          <w:sz w:val="25"/>
          <w:szCs w:val="25"/>
        </w:rPr>
        <w:t xml:space="preserve"> в реакції з інертними полістероловими частками латексу; визначення кількості циркулюючих імунних комплексів (ЦІК) у сироватці крові </w:t>
      </w:r>
      <w:r>
        <w:rPr>
          <w:b/>
          <w:bCs/>
          <w:sz w:val="25"/>
          <w:szCs w:val="24"/>
        </w:rPr>
        <w:sym w:font="Symbol" w:char="F02D"/>
      </w:r>
      <w:r>
        <w:rPr>
          <w:b/>
          <w:bCs/>
          <w:sz w:val="25"/>
          <w:szCs w:val="25"/>
        </w:rPr>
        <w:t xml:space="preserve"> в реакції преципітації  з  поліетиленгліколем (ПЕГ 6000, </w:t>
      </w:r>
      <w:r>
        <w:rPr>
          <w:b/>
          <w:bCs/>
          <w:sz w:val="25"/>
          <w:szCs w:val="25"/>
          <w:lang w:val="en-US"/>
        </w:rPr>
        <w:t>Merk</w:t>
      </w:r>
      <w:r>
        <w:rPr>
          <w:b/>
          <w:bCs/>
          <w:sz w:val="25"/>
          <w:szCs w:val="25"/>
        </w:rPr>
        <w:t>).</w:t>
      </w:r>
    </w:p>
    <w:p w:rsidR="002D6496" w:rsidRDefault="002D6496" w:rsidP="002D6496">
      <w:pPr>
        <w:spacing w:line="360" w:lineRule="auto"/>
        <w:ind w:firstLine="720"/>
        <w:jc w:val="both"/>
        <w:rPr>
          <w:sz w:val="25"/>
          <w:szCs w:val="25"/>
        </w:rPr>
      </w:pPr>
      <w:r>
        <w:rPr>
          <w:sz w:val="25"/>
          <w:szCs w:val="25"/>
        </w:rPr>
        <w:t>Імунологічне тестування in vitro проводили в серійних дослідах з різними дозами препаратів, згідно інструкцій  їх використання (враховуючи рекомендації Н.П. Лымаря   та ін. (1988) і  В.І. Щербакова (1989)).</w:t>
      </w:r>
    </w:p>
    <w:p w:rsidR="002D6496" w:rsidRDefault="002D6496" w:rsidP="002D6496">
      <w:pPr>
        <w:pStyle w:val="2ffffc"/>
        <w:ind w:firstLine="567"/>
      </w:pPr>
      <w:r>
        <w:rPr>
          <w:sz w:val="25"/>
          <w:szCs w:val="25"/>
        </w:rPr>
        <w:t xml:space="preserve">При вивченні поширення, етіології та патогенезу післяродового ендометриту у корів різних господарств регіону особливе значення надавали визначенню антибіотикорезистентності мікрофлори, </w:t>
      </w:r>
      <w:r>
        <w:t xml:space="preserve">виділеної з геніталій хворих породіль. Ексудат відбирали за допомогою полістиролового катетера              (для цервікального осіменіння корів з ректальною фіксацією шийки матки), з’єднаного через гумову трубку з      20 мл </w:t>
      </w:r>
      <w:r>
        <w:lastRenderedPageBreak/>
        <w:t xml:space="preserve">шприцом, дотримуючись всіх правил асептики. У виділеному матеріалі в  лабораторних умовах,  згідно існуючих методик,  проводили визначення антибіотикочутливості мікрофлори.          </w:t>
      </w:r>
      <w:r>
        <w:tab/>
      </w:r>
    </w:p>
    <w:p w:rsidR="002D6496" w:rsidRDefault="002D6496" w:rsidP="002D6496">
      <w:pPr>
        <w:pStyle w:val="2ffffc"/>
        <w:ind w:firstLine="567"/>
      </w:pPr>
      <w:r>
        <w:tab/>
        <w:t xml:space="preserve">Перебіг ускладненого післяродового періоду оцінювали за змінами, що відбувалися у статевих органах протягом хвороби. При цьому враховували загальний стан тварин, їх продуктивність та основні клінічні показники, а також характер і  кількість виділень, величину й топографію матки, її ригідність та болісність, стан яєчників. </w:t>
      </w:r>
    </w:p>
    <w:p w:rsidR="002D6496" w:rsidRDefault="002D6496" w:rsidP="002D6496">
      <w:pPr>
        <w:pStyle w:val="2ffffc"/>
        <w:spacing w:line="240" w:lineRule="auto"/>
      </w:pPr>
      <w:r>
        <w:t xml:space="preserve">       З метою розробки ефективних схем терапевтичної обробки хворих тварин розділили на 6 груп (табл. 1).</w:t>
      </w:r>
      <w:r>
        <w:tab/>
      </w:r>
      <w:r>
        <w:tab/>
      </w:r>
      <w:r>
        <w:tab/>
      </w:r>
      <w:r>
        <w:tab/>
      </w:r>
      <w:r>
        <w:tab/>
      </w:r>
      <w:r>
        <w:tab/>
      </w:r>
      <w:r>
        <w:tab/>
        <w:t xml:space="preserve">  </w:t>
      </w:r>
      <w:r>
        <w:tab/>
      </w:r>
      <w:r>
        <w:tab/>
      </w:r>
      <w:r>
        <w:tab/>
      </w:r>
      <w:r>
        <w:tab/>
      </w:r>
      <w:r>
        <w:tab/>
        <w:t xml:space="preserve">         </w:t>
      </w:r>
    </w:p>
    <w:p w:rsidR="002D6496" w:rsidRDefault="002D6496" w:rsidP="002D6496">
      <w:pPr>
        <w:pStyle w:val="2ffffc"/>
        <w:spacing w:line="240" w:lineRule="auto"/>
      </w:pPr>
    </w:p>
    <w:p w:rsidR="002D6496" w:rsidRDefault="002D6496" w:rsidP="002D6496">
      <w:pPr>
        <w:pStyle w:val="2ffffc"/>
        <w:spacing w:line="240" w:lineRule="auto"/>
      </w:pPr>
    </w:p>
    <w:p w:rsidR="002D6496" w:rsidRDefault="002D6496" w:rsidP="002D6496">
      <w:pPr>
        <w:pStyle w:val="2ffffc"/>
        <w:spacing w:line="240" w:lineRule="auto"/>
        <w:ind w:left="8640"/>
        <w:rPr>
          <w:b/>
          <w:bCs/>
        </w:rPr>
      </w:pPr>
      <w:r>
        <w:rPr>
          <w:b/>
          <w:bCs/>
        </w:rPr>
        <w:t>Таблиця 1</w:t>
      </w:r>
    </w:p>
    <w:p w:rsidR="002D6496" w:rsidRDefault="002D6496" w:rsidP="002D6496">
      <w:pPr>
        <w:pStyle w:val="25"/>
        <w:spacing w:line="240" w:lineRule="auto"/>
        <w:ind w:firstLine="567"/>
        <w:jc w:val="center"/>
        <w:rPr>
          <w:b/>
          <w:bCs/>
          <w:sz w:val="24"/>
          <w:szCs w:val="24"/>
        </w:rPr>
      </w:pPr>
      <w:r>
        <w:rPr>
          <w:b/>
          <w:bCs/>
          <w:sz w:val="24"/>
          <w:szCs w:val="24"/>
        </w:rPr>
        <w:t xml:space="preserve">Схеми лікування корів з післяродовим ендометритом </w:t>
      </w:r>
    </w:p>
    <w:p w:rsidR="002D6496" w:rsidRDefault="002D6496" w:rsidP="002D6496">
      <w:pPr>
        <w:pStyle w:val="25"/>
        <w:spacing w:line="240" w:lineRule="auto"/>
        <w:ind w:firstLine="567"/>
        <w:jc w:val="center"/>
        <w:rPr>
          <w:b/>
          <w:bCs/>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119"/>
        <w:gridCol w:w="1701"/>
        <w:gridCol w:w="2410"/>
        <w:gridCol w:w="1984"/>
      </w:tblGrid>
      <w:tr w:rsidR="002D6496" w:rsidTr="004F3130">
        <w:tblPrEx>
          <w:tblCellMar>
            <w:top w:w="0" w:type="dxa"/>
            <w:bottom w:w="0" w:type="dxa"/>
          </w:tblCellMar>
        </w:tblPrEx>
        <w:trPr>
          <w:cantSplit/>
        </w:trPr>
        <w:tc>
          <w:tcPr>
            <w:tcW w:w="1242" w:type="dxa"/>
            <w:vMerge w:val="restart"/>
            <w:tcBorders>
              <w:top w:val="double" w:sz="4" w:space="0" w:color="auto"/>
              <w:left w:val="double" w:sz="4" w:space="0" w:color="auto"/>
              <w:right w:val="double" w:sz="4" w:space="0" w:color="auto"/>
            </w:tcBorders>
            <w:vAlign w:val="center"/>
          </w:tcPr>
          <w:p w:rsidR="002D6496" w:rsidRDefault="002D6496" w:rsidP="004F3130">
            <w:pPr>
              <w:pStyle w:val="25"/>
              <w:spacing w:line="240" w:lineRule="atLeast"/>
              <w:jc w:val="center"/>
              <w:rPr>
                <w:b/>
                <w:bCs/>
                <w:sz w:val="25"/>
                <w:szCs w:val="25"/>
              </w:rPr>
            </w:pPr>
            <w:r>
              <w:rPr>
                <w:b/>
                <w:bCs/>
                <w:sz w:val="25"/>
                <w:szCs w:val="25"/>
              </w:rPr>
              <w:t>Групи тварин</w:t>
            </w:r>
          </w:p>
        </w:tc>
        <w:tc>
          <w:tcPr>
            <w:tcW w:w="9214" w:type="dxa"/>
            <w:gridSpan w:val="4"/>
            <w:tcBorders>
              <w:top w:val="double" w:sz="4" w:space="0" w:color="auto"/>
              <w:left w:val="nil"/>
              <w:bottom w:val="double" w:sz="4" w:space="0" w:color="auto"/>
              <w:right w:val="double" w:sz="4" w:space="0" w:color="auto"/>
            </w:tcBorders>
            <w:vAlign w:val="center"/>
          </w:tcPr>
          <w:p w:rsidR="002D6496" w:rsidRDefault="002D6496" w:rsidP="004F3130">
            <w:pPr>
              <w:pStyle w:val="25"/>
              <w:spacing w:line="240" w:lineRule="atLeast"/>
              <w:jc w:val="center"/>
              <w:rPr>
                <w:b/>
                <w:bCs/>
                <w:sz w:val="25"/>
                <w:szCs w:val="25"/>
              </w:rPr>
            </w:pPr>
            <w:r>
              <w:rPr>
                <w:b/>
                <w:bCs/>
                <w:sz w:val="25"/>
                <w:szCs w:val="25"/>
              </w:rPr>
              <w:t>Препарати,  метод і доза їх застосування</w:t>
            </w:r>
          </w:p>
        </w:tc>
      </w:tr>
      <w:tr w:rsidR="002D6496" w:rsidTr="004F3130">
        <w:tblPrEx>
          <w:tblCellMar>
            <w:top w:w="0" w:type="dxa"/>
            <w:bottom w:w="0" w:type="dxa"/>
          </w:tblCellMar>
        </w:tblPrEx>
        <w:trPr>
          <w:cantSplit/>
        </w:trPr>
        <w:tc>
          <w:tcPr>
            <w:tcW w:w="1242" w:type="dxa"/>
            <w:vMerge/>
            <w:tcBorders>
              <w:left w:val="double" w:sz="4" w:space="0" w:color="auto"/>
              <w:bottom w:val="double" w:sz="4" w:space="0" w:color="auto"/>
              <w:right w:val="double" w:sz="4" w:space="0" w:color="auto"/>
            </w:tcBorders>
            <w:vAlign w:val="center"/>
          </w:tcPr>
          <w:p w:rsidR="002D6496" w:rsidRDefault="002D6496" w:rsidP="004F3130">
            <w:pPr>
              <w:pStyle w:val="25"/>
              <w:spacing w:line="240" w:lineRule="auto"/>
              <w:jc w:val="center"/>
              <w:rPr>
                <w:b/>
                <w:bCs/>
                <w:sz w:val="25"/>
                <w:szCs w:val="25"/>
              </w:rPr>
            </w:pPr>
          </w:p>
        </w:tc>
        <w:tc>
          <w:tcPr>
            <w:tcW w:w="3119" w:type="dxa"/>
            <w:tcBorders>
              <w:top w:val="double" w:sz="4" w:space="0" w:color="auto"/>
              <w:left w:val="nil"/>
              <w:bottom w:val="double" w:sz="4" w:space="0" w:color="auto"/>
              <w:right w:val="double" w:sz="4" w:space="0" w:color="auto"/>
            </w:tcBorders>
            <w:vAlign w:val="center"/>
          </w:tcPr>
          <w:p w:rsidR="002D6496" w:rsidRDefault="002D6496" w:rsidP="004F3130">
            <w:pPr>
              <w:pStyle w:val="25"/>
              <w:spacing w:line="240" w:lineRule="auto"/>
              <w:jc w:val="center"/>
              <w:rPr>
                <w:b/>
                <w:bCs/>
                <w:sz w:val="25"/>
                <w:szCs w:val="25"/>
              </w:rPr>
            </w:pPr>
            <w:r>
              <w:rPr>
                <w:b/>
                <w:bCs/>
                <w:sz w:val="25"/>
                <w:szCs w:val="25"/>
              </w:rPr>
              <w:t>Внутрішньоаортально</w:t>
            </w:r>
          </w:p>
        </w:tc>
        <w:tc>
          <w:tcPr>
            <w:tcW w:w="1701" w:type="dxa"/>
            <w:tcBorders>
              <w:top w:val="double" w:sz="4" w:space="0" w:color="auto"/>
              <w:left w:val="nil"/>
              <w:bottom w:val="double" w:sz="4" w:space="0" w:color="auto"/>
              <w:right w:val="double" w:sz="4" w:space="0" w:color="auto"/>
            </w:tcBorders>
            <w:vAlign w:val="center"/>
          </w:tcPr>
          <w:p w:rsidR="002D6496" w:rsidRDefault="002D6496" w:rsidP="004F3130">
            <w:pPr>
              <w:pStyle w:val="25"/>
              <w:spacing w:line="240" w:lineRule="auto"/>
              <w:jc w:val="center"/>
              <w:rPr>
                <w:b/>
                <w:bCs/>
                <w:sz w:val="25"/>
                <w:szCs w:val="25"/>
              </w:rPr>
            </w:pPr>
            <w:r>
              <w:rPr>
                <w:b/>
                <w:bCs/>
                <w:sz w:val="25"/>
                <w:szCs w:val="25"/>
              </w:rPr>
              <w:t>Підшкірно</w:t>
            </w:r>
          </w:p>
        </w:tc>
        <w:tc>
          <w:tcPr>
            <w:tcW w:w="2410" w:type="dxa"/>
            <w:tcBorders>
              <w:top w:val="double" w:sz="4" w:space="0" w:color="auto"/>
              <w:left w:val="nil"/>
              <w:bottom w:val="double" w:sz="4" w:space="0" w:color="auto"/>
              <w:right w:val="double" w:sz="4" w:space="0" w:color="auto"/>
            </w:tcBorders>
            <w:vAlign w:val="center"/>
          </w:tcPr>
          <w:p w:rsidR="002D6496" w:rsidRDefault="002D6496" w:rsidP="004F3130">
            <w:pPr>
              <w:pStyle w:val="25"/>
              <w:spacing w:line="240" w:lineRule="auto"/>
              <w:jc w:val="center"/>
              <w:rPr>
                <w:b/>
                <w:bCs/>
                <w:spacing w:val="-8"/>
                <w:sz w:val="25"/>
                <w:szCs w:val="25"/>
              </w:rPr>
            </w:pPr>
            <w:r>
              <w:rPr>
                <w:b/>
                <w:bCs/>
                <w:spacing w:val="-8"/>
                <w:sz w:val="25"/>
                <w:szCs w:val="25"/>
              </w:rPr>
              <w:t>Внутрішньо-матково</w:t>
            </w:r>
          </w:p>
        </w:tc>
        <w:tc>
          <w:tcPr>
            <w:tcW w:w="1984" w:type="dxa"/>
            <w:tcBorders>
              <w:top w:val="double" w:sz="4" w:space="0" w:color="auto"/>
              <w:left w:val="nil"/>
              <w:bottom w:val="double" w:sz="4" w:space="0" w:color="auto"/>
              <w:right w:val="double" w:sz="4" w:space="0" w:color="auto"/>
            </w:tcBorders>
            <w:vAlign w:val="center"/>
          </w:tcPr>
          <w:p w:rsidR="002D6496" w:rsidRDefault="002D6496" w:rsidP="004F3130">
            <w:pPr>
              <w:pStyle w:val="25"/>
              <w:spacing w:line="240" w:lineRule="auto"/>
              <w:jc w:val="center"/>
              <w:rPr>
                <w:b/>
                <w:bCs/>
                <w:sz w:val="25"/>
                <w:szCs w:val="25"/>
              </w:rPr>
            </w:pPr>
            <w:r>
              <w:rPr>
                <w:b/>
                <w:bCs/>
                <w:sz w:val="25"/>
                <w:szCs w:val="25"/>
              </w:rPr>
              <w:t xml:space="preserve">Внутрішньо-м'язово </w:t>
            </w:r>
          </w:p>
        </w:tc>
      </w:tr>
      <w:tr w:rsidR="002D6496" w:rsidTr="004F3130">
        <w:tblPrEx>
          <w:tblCellMar>
            <w:top w:w="0" w:type="dxa"/>
            <w:bottom w:w="0" w:type="dxa"/>
          </w:tblCellMar>
        </w:tblPrEx>
        <w:tc>
          <w:tcPr>
            <w:tcW w:w="1242" w:type="dxa"/>
            <w:tcBorders>
              <w:top w:val="double" w:sz="4" w:space="0" w:color="auto"/>
              <w:left w:val="double" w:sz="4" w:space="0" w:color="auto"/>
              <w:right w:val="double" w:sz="4" w:space="0" w:color="auto"/>
            </w:tcBorders>
            <w:vAlign w:val="center"/>
          </w:tcPr>
          <w:p w:rsidR="002D6496" w:rsidRDefault="002D6496" w:rsidP="004F3130">
            <w:pPr>
              <w:pStyle w:val="25"/>
              <w:spacing w:line="240" w:lineRule="auto"/>
              <w:jc w:val="center"/>
              <w:rPr>
                <w:b/>
                <w:bCs/>
                <w:szCs w:val="28"/>
              </w:rPr>
            </w:pPr>
            <w:r>
              <w:rPr>
                <w:b/>
                <w:bCs/>
                <w:szCs w:val="28"/>
              </w:rPr>
              <w:t>І*</w:t>
            </w:r>
          </w:p>
          <w:p w:rsidR="002D6496" w:rsidRDefault="002D6496" w:rsidP="004F3130">
            <w:pPr>
              <w:pStyle w:val="25"/>
              <w:spacing w:line="240" w:lineRule="auto"/>
              <w:jc w:val="center"/>
              <w:rPr>
                <w:b/>
                <w:bCs/>
                <w:szCs w:val="28"/>
              </w:rPr>
            </w:pPr>
            <w:r>
              <w:rPr>
                <w:b/>
                <w:bCs/>
                <w:szCs w:val="28"/>
              </w:rPr>
              <w:t>(</w:t>
            </w:r>
            <w:r>
              <w:rPr>
                <w:b/>
                <w:bCs/>
                <w:szCs w:val="28"/>
                <w:lang w:val="en-US"/>
              </w:rPr>
              <w:t>n</w:t>
            </w:r>
            <w:r>
              <w:rPr>
                <w:b/>
                <w:bCs/>
                <w:szCs w:val="28"/>
              </w:rPr>
              <w:t>=10)</w:t>
            </w:r>
          </w:p>
        </w:tc>
        <w:tc>
          <w:tcPr>
            <w:tcW w:w="3119" w:type="dxa"/>
            <w:tcBorders>
              <w:top w:val="double" w:sz="4" w:space="0" w:color="auto"/>
              <w:left w:val="nil"/>
              <w:right w:val="double" w:sz="4" w:space="0" w:color="auto"/>
            </w:tcBorders>
            <w:vAlign w:val="center"/>
          </w:tcPr>
          <w:p w:rsidR="002D6496" w:rsidRDefault="002D6496" w:rsidP="004F3130">
            <w:pPr>
              <w:pStyle w:val="25"/>
              <w:spacing w:line="240" w:lineRule="atLeast"/>
              <w:jc w:val="center"/>
              <w:rPr>
                <w:szCs w:val="28"/>
              </w:rPr>
            </w:pPr>
          </w:p>
          <w:p w:rsidR="002D6496" w:rsidRDefault="002D6496" w:rsidP="004F3130">
            <w:pPr>
              <w:pStyle w:val="25"/>
              <w:spacing w:line="240" w:lineRule="atLeast"/>
              <w:jc w:val="center"/>
              <w:rPr>
                <w:szCs w:val="28"/>
              </w:rPr>
            </w:pPr>
            <w:r>
              <w:rPr>
                <w:szCs w:val="28"/>
              </w:rPr>
              <w:t>1%-ний розчин новокаїну,</w:t>
            </w:r>
          </w:p>
          <w:p w:rsidR="002D6496" w:rsidRDefault="002D6496" w:rsidP="004F3130">
            <w:pPr>
              <w:pStyle w:val="25"/>
              <w:spacing w:line="240" w:lineRule="atLeast"/>
              <w:jc w:val="center"/>
              <w:rPr>
                <w:szCs w:val="28"/>
              </w:rPr>
            </w:pPr>
            <w:r>
              <w:rPr>
                <w:szCs w:val="28"/>
              </w:rPr>
              <w:t xml:space="preserve"> 25 ОД окситоцину, </w:t>
            </w:r>
          </w:p>
          <w:p w:rsidR="002D6496" w:rsidRDefault="002D6496" w:rsidP="004F3130">
            <w:pPr>
              <w:pStyle w:val="25"/>
              <w:spacing w:line="240" w:lineRule="atLeast"/>
              <w:jc w:val="center"/>
              <w:rPr>
                <w:szCs w:val="28"/>
              </w:rPr>
            </w:pPr>
            <w:r>
              <w:rPr>
                <w:szCs w:val="28"/>
              </w:rPr>
              <w:t>15 мл 5% розчину енрофлоксу</w:t>
            </w:r>
          </w:p>
          <w:p w:rsidR="002D6496" w:rsidRDefault="002D6496" w:rsidP="004F3130">
            <w:pPr>
              <w:pStyle w:val="25"/>
              <w:spacing w:line="240" w:lineRule="atLeast"/>
              <w:jc w:val="center"/>
              <w:rPr>
                <w:szCs w:val="28"/>
              </w:rPr>
            </w:pPr>
          </w:p>
        </w:tc>
        <w:tc>
          <w:tcPr>
            <w:tcW w:w="1701" w:type="dxa"/>
            <w:tcBorders>
              <w:top w:val="double" w:sz="4" w:space="0" w:color="auto"/>
              <w:left w:val="nil"/>
              <w:right w:val="double" w:sz="4" w:space="0" w:color="auto"/>
            </w:tcBorders>
            <w:vAlign w:val="center"/>
          </w:tcPr>
          <w:p w:rsidR="002D6496" w:rsidRDefault="002D6496" w:rsidP="004F3130">
            <w:pPr>
              <w:pStyle w:val="25"/>
              <w:spacing w:line="240" w:lineRule="atLeast"/>
              <w:jc w:val="center"/>
              <w:rPr>
                <w:szCs w:val="28"/>
              </w:rPr>
            </w:pPr>
            <w:r>
              <w:rPr>
                <w:szCs w:val="28"/>
              </w:rPr>
              <w:sym w:font="Symbol" w:char="F02D"/>
            </w:r>
          </w:p>
        </w:tc>
        <w:tc>
          <w:tcPr>
            <w:tcW w:w="2410" w:type="dxa"/>
            <w:tcBorders>
              <w:top w:val="double" w:sz="4" w:space="0" w:color="auto"/>
              <w:left w:val="nil"/>
              <w:right w:val="double" w:sz="4" w:space="0" w:color="auto"/>
            </w:tcBorders>
            <w:vAlign w:val="center"/>
          </w:tcPr>
          <w:p w:rsidR="002D6496" w:rsidRDefault="002D6496" w:rsidP="004F3130">
            <w:pPr>
              <w:pStyle w:val="25"/>
              <w:spacing w:line="240" w:lineRule="atLeast"/>
              <w:jc w:val="center"/>
              <w:rPr>
                <w:szCs w:val="28"/>
              </w:rPr>
            </w:pPr>
            <w:r>
              <w:rPr>
                <w:szCs w:val="28"/>
              </w:rPr>
              <w:sym w:font="Symbol" w:char="F02D"/>
            </w:r>
          </w:p>
        </w:tc>
        <w:tc>
          <w:tcPr>
            <w:tcW w:w="1984" w:type="dxa"/>
            <w:tcBorders>
              <w:top w:val="double" w:sz="4" w:space="0" w:color="auto"/>
              <w:left w:val="nil"/>
              <w:right w:val="double" w:sz="4" w:space="0" w:color="auto"/>
            </w:tcBorders>
            <w:vAlign w:val="center"/>
          </w:tcPr>
          <w:p w:rsidR="002D6496" w:rsidRDefault="002D6496" w:rsidP="004F3130">
            <w:pPr>
              <w:pStyle w:val="25"/>
              <w:spacing w:line="240" w:lineRule="atLeast"/>
              <w:jc w:val="center"/>
              <w:rPr>
                <w:szCs w:val="28"/>
              </w:rPr>
            </w:pPr>
            <w:r>
              <w:rPr>
                <w:szCs w:val="28"/>
              </w:rPr>
              <w:t xml:space="preserve">Біцилін-5 </w:t>
            </w:r>
          </w:p>
          <w:p w:rsidR="002D6496" w:rsidRDefault="002D6496" w:rsidP="004F3130">
            <w:pPr>
              <w:pStyle w:val="25"/>
              <w:spacing w:line="240" w:lineRule="atLeast"/>
              <w:jc w:val="center"/>
              <w:rPr>
                <w:szCs w:val="28"/>
              </w:rPr>
            </w:pPr>
            <w:r>
              <w:rPr>
                <w:szCs w:val="28"/>
              </w:rPr>
              <w:t>(15 тис. ОД на кг маси)</w:t>
            </w:r>
          </w:p>
        </w:tc>
      </w:tr>
      <w:tr w:rsidR="002D6496" w:rsidTr="004F3130">
        <w:tblPrEx>
          <w:tblCellMar>
            <w:top w:w="0" w:type="dxa"/>
            <w:bottom w:w="0" w:type="dxa"/>
          </w:tblCellMar>
        </w:tblPrEx>
        <w:tc>
          <w:tcPr>
            <w:tcW w:w="1242" w:type="dxa"/>
            <w:tcBorders>
              <w:left w:val="double" w:sz="4" w:space="0" w:color="auto"/>
              <w:right w:val="double" w:sz="4" w:space="0" w:color="auto"/>
            </w:tcBorders>
            <w:vAlign w:val="center"/>
          </w:tcPr>
          <w:p w:rsidR="002D6496" w:rsidRDefault="002D6496" w:rsidP="004F3130">
            <w:pPr>
              <w:pStyle w:val="25"/>
              <w:spacing w:line="240" w:lineRule="auto"/>
              <w:jc w:val="center"/>
              <w:rPr>
                <w:b/>
                <w:bCs/>
                <w:szCs w:val="28"/>
                <w:lang w:val="en-US"/>
              </w:rPr>
            </w:pPr>
            <w:r>
              <w:rPr>
                <w:b/>
                <w:bCs/>
                <w:szCs w:val="28"/>
              </w:rPr>
              <w:t>ІІ*</w:t>
            </w:r>
          </w:p>
          <w:p w:rsidR="002D6496" w:rsidRDefault="002D6496" w:rsidP="004F3130">
            <w:pPr>
              <w:pStyle w:val="25"/>
              <w:spacing w:line="240" w:lineRule="auto"/>
              <w:jc w:val="center"/>
              <w:rPr>
                <w:b/>
                <w:bCs/>
                <w:szCs w:val="28"/>
                <w:lang w:val="en-US"/>
              </w:rPr>
            </w:pPr>
            <w:r>
              <w:rPr>
                <w:b/>
                <w:bCs/>
                <w:szCs w:val="28"/>
              </w:rPr>
              <w:t>(</w:t>
            </w:r>
            <w:r>
              <w:rPr>
                <w:b/>
                <w:bCs/>
                <w:szCs w:val="28"/>
                <w:lang w:val="en-US"/>
              </w:rPr>
              <w:t>n=10)</w:t>
            </w:r>
          </w:p>
        </w:tc>
        <w:tc>
          <w:tcPr>
            <w:tcW w:w="3119" w:type="dxa"/>
            <w:tcBorders>
              <w:left w:val="nil"/>
              <w:right w:val="double" w:sz="4" w:space="0" w:color="auto"/>
            </w:tcBorders>
            <w:vAlign w:val="center"/>
          </w:tcPr>
          <w:p w:rsidR="002D6496" w:rsidRDefault="002D6496" w:rsidP="004F3130">
            <w:pPr>
              <w:pStyle w:val="25"/>
              <w:spacing w:line="240" w:lineRule="atLeast"/>
              <w:jc w:val="center"/>
              <w:rPr>
                <w:szCs w:val="28"/>
              </w:rPr>
            </w:pPr>
            <w:r>
              <w:rPr>
                <w:szCs w:val="28"/>
              </w:rPr>
              <w:sym w:font="Symbol" w:char="F02D"/>
            </w:r>
          </w:p>
        </w:tc>
        <w:tc>
          <w:tcPr>
            <w:tcW w:w="1701" w:type="dxa"/>
            <w:tcBorders>
              <w:left w:val="nil"/>
              <w:right w:val="double" w:sz="4" w:space="0" w:color="auto"/>
            </w:tcBorders>
            <w:vAlign w:val="center"/>
          </w:tcPr>
          <w:p w:rsidR="002D6496" w:rsidRDefault="002D6496" w:rsidP="004F3130">
            <w:pPr>
              <w:pStyle w:val="25"/>
              <w:spacing w:line="240" w:lineRule="atLeast"/>
              <w:jc w:val="center"/>
              <w:rPr>
                <w:szCs w:val="28"/>
              </w:rPr>
            </w:pPr>
            <w:r>
              <w:rPr>
                <w:szCs w:val="28"/>
              </w:rPr>
              <w:t xml:space="preserve">    40 ОД окситоцину</w:t>
            </w:r>
          </w:p>
        </w:tc>
        <w:tc>
          <w:tcPr>
            <w:tcW w:w="2410" w:type="dxa"/>
            <w:tcBorders>
              <w:left w:val="nil"/>
              <w:right w:val="double" w:sz="4" w:space="0" w:color="auto"/>
            </w:tcBorders>
            <w:vAlign w:val="center"/>
          </w:tcPr>
          <w:p w:rsidR="002D6496" w:rsidRDefault="002D6496" w:rsidP="004F3130">
            <w:pPr>
              <w:pStyle w:val="25"/>
              <w:spacing w:line="240" w:lineRule="atLeast"/>
              <w:jc w:val="center"/>
              <w:rPr>
                <w:szCs w:val="28"/>
              </w:rPr>
            </w:pPr>
            <w:r>
              <w:rPr>
                <w:szCs w:val="28"/>
              </w:rPr>
              <w:sym w:font="Symbol" w:char="F02D"/>
            </w:r>
          </w:p>
        </w:tc>
        <w:tc>
          <w:tcPr>
            <w:tcW w:w="1984" w:type="dxa"/>
            <w:tcBorders>
              <w:left w:val="nil"/>
              <w:right w:val="double" w:sz="4" w:space="0" w:color="auto"/>
            </w:tcBorders>
            <w:vAlign w:val="center"/>
          </w:tcPr>
          <w:p w:rsidR="002D6496" w:rsidRDefault="002D6496" w:rsidP="004F3130">
            <w:pPr>
              <w:pStyle w:val="25"/>
              <w:spacing w:line="240" w:lineRule="atLeast"/>
              <w:jc w:val="center"/>
              <w:rPr>
                <w:szCs w:val="28"/>
              </w:rPr>
            </w:pPr>
          </w:p>
          <w:p w:rsidR="002D6496" w:rsidRDefault="002D6496" w:rsidP="004F3130">
            <w:pPr>
              <w:pStyle w:val="25"/>
              <w:spacing w:line="240" w:lineRule="atLeast"/>
              <w:jc w:val="center"/>
              <w:rPr>
                <w:szCs w:val="28"/>
              </w:rPr>
            </w:pPr>
            <w:r>
              <w:rPr>
                <w:szCs w:val="28"/>
              </w:rPr>
              <w:t>15% амоксоцилін</w:t>
            </w:r>
          </w:p>
          <w:p w:rsidR="002D6496" w:rsidRDefault="002D6496" w:rsidP="004F3130">
            <w:pPr>
              <w:pStyle w:val="25"/>
              <w:spacing w:line="240" w:lineRule="atLeast"/>
              <w:jc w:val="center"/>
              <w:rPr>
                <w:szCs w:val="28"/>
              </w:rPr>
            </w:pPr>
            <w:r>
              <w:rPr>
                <w:szCs w:val="28"/>
              </w:rPr>
              <w:t>(1 мл на 10 кг маси)</w:t>
            </w:r>
          </w:p>
        </w:tc>
      </w:tr>
      <w:tr w:rsidR="002D6496" w:rsidTr="004F3130">
        <w:tblPrEx>
          <w:tblCellMar>
            <w:top w:w="0" w:type="dxa"/>
            <w:bottom w:w="0" w:type="dxa"/>
          </w:tblCellMar>
        </w:tblPrEx>
        <w:trPr>
          <w:trHeight w:val="1130"/>
        </w:trPr>
        <w:tc>
          <w:tcPr>
            <w:tcW w:w="1242" w:type="dxa"/>
            <w:tcBorders>
              <w:left w:val="double" w:sz="4" w:space="0" w:color="auto"/>
              <w:right w:val="double" w:sz="4" w:space="0" w:color="auto"/>
            </w:tcBorders>
            <w:vAlign w:val="center"/>
          </w:tcPr>
          <w:p w:rsidR="002D6496" w:rsidRDefault="002D6496" w:rsidP="004F3130">
            <w:pPr>
              <w:pStyle w:val="25"/>
              <w:spacing w:line="240" w:lineRule="auto"/>
              <w:jc w:val="center"/>
              <w:rPr>
                <w:b/>
                <w:bCs/>
                <w:szCs w:val="28"/>
              </w:rPr>
            </w:pPr>
            <w:r>
              <w:rPr>
                <w:b/>
                <w:bCs/>
                <w:szCs w:val="28"/>
                <w:lang w:val="en-US"/>
              </w:rPr>
              <w:lastRenderedPageBreak/>
              <w:t>III</w:t>
            </w:r>
            <w:r>
              <w:rPr>
                <w:b/>
                <w:bCs/>
                <w:szCs w:val="28"/>
              </w:rPr>
              <w:t>*</w:t>
            </w:r>
          </w:p>
          <w:p w:rsidR="002D6496" w:rsidRDefault="002D6496" w:rsidP="004F3130">
            <w:pPr>
              <w:pStyle w:val="25"/>
              <w:spacing w:line="240" w:lineRule="auto"/>
              <w:jc w:val="center"/>
              <w:rPr>
                <w:b/>
                <w:bCs/>
                <w:szCs w:val="28"/>
                <w:lang w:val="en-US"/>
              </w:rPr>
            </w:pPr>
            <w:r>
              <w:rPr>
                <w:b/>
                <w:bCs/>
                <w:szCs w:val="28"/>
              </w:rPr>
              <w:t>(</w:t>
            </w:r>
            <w:r>
              <w:rPr>
                <w:b/>
                <w:bCs/>
                <w:szCs w:val="28"/>
                <w:lang w:val="en-US"/>
              </w:rPr>
              <w:t>n=7)</w:t>
            </w:r>
          </w:p>
        </w:tc>
        <w:tc>
          <w:tcPr>
            <w:tcW w:w="3119" w:type="dxa"/>
            <w:tcBorders>
              <w:left w:val="nil"/>
              <w:right w:val="double" w:sz="4" w:space="0" w:color="auto"/>
            </w:tcBorders>
            <w:vAlign w:val="center"/>
          </w:tcPr>
          <w:p w:rsidR="002D6496" w:rsidRDefault="002D6496" w:rsidP="004F3130">
            <w:pPr>
              <w:pStyle w:val="25"/>
              <w:spacing w:line="240" w:lineRule="atLeast"/>
              <w:jc w:val="center"/>
              <w:rPr>
                <w:szCs w:val="28"/>
              </w:rPr>
            </w:pPr>
            <w:r>
              <w:rPr>
                <w:szCs w:val="28"/>
              </w:rPr>
              <w:sym w:font="Symbol" w:char="F02D"/>
            </w:r>
          </w:p>
        </w:tc>
        <w:tc>
          <w:tcPr>
            <w:tcW w:w="1701" w:type="dxa"/>
            <w:tcBorders>
              <w:left w:val="nil"/>
              <w:right w:val="double" w:sz="4" w:space="0" w:color="auto"/>
            </w:tcBorders>
            <w:vAlign w:val="center"/>
          </w:tcPr>
          <w:p w:rsidR="002D6496" w:rsidRDefault="002D6496" w:rsidP="004F3130">
            <w:pPr>
              <w:pStyle w:val="25"/>
              <w:spacing w:line="240" w:lineRule="atLeast"/>
              <w:jc w:val="center"/>
              <w:rPr>
                <w:szCs w:val="28"/>
              </w:rPr>
            </w:pPr>
            <w:r>
              <w:rPr>
                <w:szCs w:val="28"/>
              </w:rPr>
              <w:t>40 ОД окситоцину</w:t>
            </w:r>
          </w:p>
        </w:tc>
        <w:tc>
          <w:tcPr>
            <w:tcW w:w="2410" w:type="dxa"/>
            <w:tcBorders>
              <w:left w:val="nil"/>
              <w:right w:val="double" w:sz="4" w:space="0" w:color="auto"/>
            </w:tcBorders>
            <w:vAlign w:val="center"/>
          </w:tcPr>
          <w:p w:rsidR="002D6496" w:rsidRDefault="002D6496" w:rsidP="004F3130">
            <w:pPr>
              <w:pStyle w:val="25"/>
              <w:spacing w:line="240" w:lineRule="atLeast"/>
              <w:jc w:val="center"/>
              <w:rPr>
                <w:szCs w:val="28"/>
              </w:rPr>
            </w:pPr>
            <w:r>
              <w:rPr>
                <w:szCs w:val="28"/>
              </w:rPr>
              <w:t>5 мл 15%-го розчину амоксоциліну, 5 мл тетравіту</w:t>
            </w:r>
          </w:p>
        </w:tc>
        <w:tc>
          <w:tcPr>
            <w:tcW w:w="1984" w:type="dxa"/>
            <w:tcBorders>
              <w:left w:val="nil"/>
              <w:right w:val="double" w:sz="4" w:space="0" w:color="auto"/>
            </w:tcBorders>
            <w:vAlign w:val="center"/>
          </w:tcPr>
          <w:p w:rsidR="002D6496" w:rsidRDefault="002D6496" w:rsidP="004F3130">
            <w:pPr>
              <w:pStyle w:val="25"/>
              <w:spacing w:line="240" w:lineRule="atLeast"/>
              <w:jc w:val="center"/>
              <w:rPr>
                <w:szCs w:val="28"/>
              </w:rPr>
            </w:pPr>
            <w:r>
              <w:rPr>
                <w:szCs w:val="28"/>
              </w:rPr>
              <w:sym w:font="Symbol" w:char="F02D"/>
            </w:r>
          </w:p>
        </w:tc>
      </w:tr>
      <w:tr w:rsidR="002D6496" w:rsidTr="004F3130">
        <w:tblPrEx>
          <w:tblCellMar>
            <w:top w:w="0" w:type="dxa"/>
            <w:bottom w:w="0" w:type="dxa"/>
          </w:tblCellMar>
        </w:tblPrEx>
        <w:trPr>
          <w:cantSplit/>
          <w:trHeight w:val="150"/>
        </w:trPr>
        <w:tc>
          <w:tcPr>
            <w:tcW w:w="1242" w:type="dxa"/>
            <w:vMerge w:val="restart"/>
            <w:tcBorders>
              <w:left w:val="double" w:sz="4" w:space="0" w:color="auto"/>
              <w:right w:val="double" w:sz="4" w:space="0" w:color="auto"/>
            </w:tcBorders>
            <w:vAlign w:val="center"/>
          </w:tcPr>
          <w:p w:rsidR="002D6496" w:rsidRDefault="002D6496" w:rsidP="004F3130">
            <w:pPr>
              <w:pStyle w:val="25"/>
              <w:spacing w:line="240" w:lineRule="auto"/>
              <w:rPr>
                <w:b/>
                <w:bCs/>
                <w:szCs w:val="28"/>
              </w:rPr>
            </w:pPr>
            <w:r>
              <w:rPr>
                <w:b/>
                <w:bCs/>
                <w:sz w:val="25"/>
                <w:szCs w:val="25"/>
              </w:rPr>
              <w:t>Групи тварин</w:t>
            </w:r>
          </w:p>
        </w:tc>
        <w:tc>
          <w:tcPr>
            <w:tcW w:w="9214" w:type="dxa"/>
            <w:gridSpan w:val="4"/>
            <w:tcBorders>
              <w:left w:val="nil"/>
              <w:right w:val="double" w:sz="4" w:space="0" w:color="auto"/>
            </w:tcBorders>
            <w:vAlign w:val="center"/>
          </w:tcPr>
          <w:p w:rsidR="002D6496" w:rsidRDefault="002D6496" w:rsidP="004F3130">
            <w:pPr>
              <w:pStyle w:val="25"/>
              <w:spacing w:line="240" w:lineRule="atLeast"/>
              <w:jc w:val="center"/>
              <w:rPr>
                <w:szCs w:val="28"/>
              </w:rPr>
            </w:pPr>
            <w:r>
              <w:rPr>
                <w:b/>
                <w:bCs/>
                <w:sz w:val="25"/>
                <w:szCs w:val="25"/>
              </w:rPr>
              <w:t>Препарати,  метод і доза їх застосування</w:t>
            </w:r>
          </w:p>
        </w:tc>
      </w:tr>
      <w:tr w:rsidR="002D6496" w:rsidTr="004F3130">
        <w:tblPrEx>
          <w:tblCellMar>
            <w:top w:w="0" w:type="dxa"/>
            <w:bottom w:w="0" w:type="dxa"/>
          </w:tblCellMar>
        </w:tblPrEx>
        <w:trPr>
          <w:cantSplit/>
          <w:trHeight w:val="1175"/>
        </w:trPr>
        <w:tc>
          <w:tcPr>
            <w:tcW w:w="1242" w:type="dxa"/>
            <w:vMerge/>
            <w:tcBorders>
              <w:left w:val="double" w:sz="4" w:space="0" w:color="auto"/>
              <w:right w:val="double" w:sz="4" w:space="0" w:color="auto"/>
            </w:tcBorders>
            <w:vAlign w:val="center"/>
          </w:tcPr>
          <w:p w:rsidR="002D6496" w:rsidRDefault="002D6496" w:rsidP="004F3130">
            <w:pPr>
              <w:pStyle w:val="25"/>
              <w:spacing w:line="240" w:lineRule="auto"/>
              <w:rPr>
                <w:b/>
                <w:bCs/>
                <w:sz w:val="25"/>
                <w:szCs w:val="25"/>
              </w:rPr>
            </w:pPr>
          </w:p>
        </w:tc>
        <w:tc>
          <w:tcPr>
            <w:tcW w:w="3119" w:type="dxa"/>
            <w:tcBorders>
              <w:left w:val="nil"/>
              <w:right w:val="double" w:sz="4" w:space="0" w:color="auto"/>
            </w:tcBorders>
            <w:vAlign w:val="center"/>
          </w:tcPr>
          <w:p w:rsidR="002D6496" w:rsidRDefault="002D6496" w:rsidP="004F3130">
            <w:pPr>
              <w:pStyle w:val="25"/>
              <w:spacing w:line="240" w:lineRule="auto"/>
              <w:jc w:val="center"/>
              <w:rPr>
                <w:b/>
                <w:bCs/>
                <w:sz w:val="25"/>
                <w:szCs w:val="25"/>
              </w:rPr>
            </w:pPr>
            <w:r>
              <w:rPr>
                <w:b/>
                <w:bCs/>
                <w:sz w:val="25"/>
                <w:szCs w:val="25"/>
              </w:rPr>
              <w:t>Внутрішньоаортально</w:t>
            </w:r>
          </w:p>
        </w:tc>
        <w:tc>
          <w:tcPr>
            <w:tcW w:w="1701" w:type="dxa"/>
            <w:tcBorders>
              <w:left w:val="nil"/>
              <w:right w:val="double" w:sz="4" w:space="0" w:color="auto"/>
            </w:tcBorders>
            <w:vAlign w:val="center"/>
          </w:tcPr>
          <w:p w:rsidR="002D6496" w:rsidRDefault="002D6496" w:rsidP="004F3130">
            <w:pPr>
              <w:pStyle w:val="25"/>
              <w:spacing w:line="240" w:lineRule="atLeast"/>
              <w:ind w:firstLine="34"/>
              <w:jc w:val="center"/>
              <w:rPr>
                <w:szCs w:val="28"/>
              </w:rPr>
            </w:pPr>
            <w:r>
              <w:rPr>
                <w:b/>
                <w:bCs/>
                <w:sz w:val="25"/>
                <w:szCs w:val="25"/>
              </w:rPr>
              <w:t>Підшкірно</w:t>
            </w:r>
          </w:p>
        </w:tc>
        <w:tc>
          <w:tcPr>
            <w:tcW w:w="2410" w:type="dxa"/>
            <w:tcBorders>
              <w:left w:val="nil"/>
              <w:right w:val="double" w:sz="4" w:space="0" w:color="auto"/>
            </w:tcBorders>
            <w:vAlign w:val="center"/>
          </w:tcPr>
          <w:p w:rsidR="002D6496" w:rsidRDefault="002D6496" w:rsidP="004F3130">
            <w:pPr>
              <w:pStyle w:val="25"/>
              <w:spacing w:line="240" w:lineRule="auto"/>
              <w:jc w:val="center"/>
              <w:rPr>
                <w:b/>
                <w:bCs/>
                <w:spacing w:val="-8"/>
                <w:sz w:val="25"/>
                <w:szCs w:val="25"/>
              </w:rPr>
            </w:pPr>
            <w:r>
              <w:rPr>
                <w:b/>
                <w:bCs/>
                <w:spacing w:val="-8"/>
                <w:sz w:val="25"/>
                <w:szCs w:val="25"/>
              </w:rPr>
              <w:t>Внутрішньо-матково</w:t>
            </w:r>
          </w:p>
        </w:tc>
        <w:tc>
          <w:tcPr>
            <w:tcW w:w="1984" w:type="dxa"/>
            <w:tcBorders>
              <w:left w:val="nil"/>
              <w:right w:val="double" w:sz="4" w:space="0" w:color="auto"/>
            </w:tcBorders>
            <w:vAlign w:val="center"/>
          </w:tcPr>
          <w:p w:rsidR="002D6496" w:rsidRDefault="002D6496" w:rsidP="004F3130">
            <w:pPr>
              <w:pStyle w:val="25"/>
              <w:spacing w:line="240" w:lineRule="auto"/>
              <w:jc w:val="center"/>
              <w:rPr>
                <w:b/>
                <w:bCs/>
                <w:sz w:val="25"/>
                <w:szCs w:val="25"/>
              </w:rPr>
            </w:pPr>
            <w:r>
              <w:rPr>
                <w:b/>
                <w:bCs/>
                <w:sz w:val="25"/>
                <w:szCs w:val="25"/>
              </w:rPr>
              <w:t xml:space="preserve">Внутрішньо-м'язово </w:t>
            </w:r>
          </w:p>
        </w:tc>
      </w:tr>
      <w:tr w:rsidR="002D6496" w:rsidTr="004F3130">
        <w:tblPrEx>
          <w:tblCellMar>
            <w:top w:w="0" w:type="dxa"/>
            <w:bottom w:w="0" w:type="dxa"/>
          </w:tblCellMar>
        </w:tblPrEx>
        <w:tc>
          <w:tcPr>
            <w:tcW w:w="1242" w:type="dxa"/>
            <w:tcBorders>
              <w:left w:val="double" w:sz="4" w:space="0" w:color="auto"/>
              <w:right w:val="double" w:sz="4" w:space="0" w:color="auto"/>
            </w:tcBorders>
            <w:vAlign w:val="center"/>
          </w:tcPr>
          <w:p w:rsidR="002D6496" w:rsidRDefault="002D6496" w:rsidP="004F3130">
            <w:pPr>
              <w:pStyle w:val="25"/>
              <w:spacing w:line="240" w:lineRule="auto"/>
              <w:jc w:val="center"/>
              <w:rPr>
                <w:b/>
                <w:bCs/>
                <w:szCs w:val="28"/>
              </w:rPr>
            </w:pPr>
            <w:r>
              <w:rPr>
                <w:b/>
                <w:bCs/>
                <w:szCs w:val="28"/>
                <w:lang w:val="en-US"/>
              </w:rPr>
              <w:t>IV</w:t>
            </w:r>
          </w:p>
          <w:p w:rsidR="002D6496" w:rsidRDefault="002D6496" w:rsidP="004F3130">
            <w:pPr>
              <w:pStyle w:val="25"/>
              <w:spacing w:line="240" w:lineRule="auto"/>
              <w:jc w:val="center"/>
              <w:rPr>
                <w:b/>
                <w:bCs/>
                <w:szCs w:val="28"/>
              </w:rPr>
            </w:pPr>
            <w:r>
              <w:rPr>
                <w:b/>
                <w:bCs/>
                <w:szCs w:val="28"/>
              </w:rPr>
              <w:t>(</w:t>
            </w:r>
            <w:r>
              <w:rPr>
                <w:b/>
                <w:bCs/>
                <w:szCs w:val="28"/>
                <w:lang w:val="en-US"/>
              </w:rPr>
              <w:t>n</w:t>
            </w:r>
            <w:r>
              <w:rPr>
                <w:b/>
                <w:bCs/>
                <w:szCs w:val="28"/>
              </w:rPr>
              <w:t>=10)</w:t>
            </w:r>
          </w:p>
        </w:tc>
        <w:tc>
          <w:tcPr>
            <w:tcW w:w="3119" w:type="dxa"/>
            <w:tcBorders>
              <w:left w:val="nil"/>
              <w:right w:val="double" w:sz="4" w:space="0" w:color="auto"/>
            </w:tcBorders>
            <w:vAlign w:val="center"/>
          </w:tcPr>
          <w:p w:rsidR="002D6496" w:rsidRDefault="002D6496" w:rsidP="004F3130">
            <w:pPr>
              <w:pStyle w:val="25"/>
              <w:spacing w:line="240" w:lineRule="atLeast"/>
              <w:jc w:val="center"/>
              <w:rPr>
                <w:szCs w:val="28"/>
              </w:rPr>
            </w:pPr>
          </w:p>
          <w:p w:rsidR="002D6496" w:rsidRDefault="002D6496" w:rsidP="004F3130">
            <w:pPr>
              <w:pStyle w:val="25"/>
              <w:spacing w:line="240" w:lineRule="atLeast"/>
              <w:jc w:val="center"/>
              <w:rPr>
                <w:szCs w:val="28"/>
              </w:rPr>
            </w:pPr>
            <w:r>
              <w:rPr>
                <w:szCs w:val="28"/>
              </w:rPr>
              <w:t>1%-н</w:t>
            </w:r>
            <w:r>
              <w:rPr>
                <w:spacing w:val="-26"/>
                <w:szCs w:val="28"/>
              </w:rPr>
              <w:t>ий</w:t>
            </w:r>
            <w:r>
              <w:rPr>
                <w:szCs w:val="28"/>
              </w:rPr>
              <w:t xml:space="preserve"> розчин новокаїну, </w:t>
            </w:r>
          </w:p>
          <w:p w:rsidR="002D6496" w:rsidRDefault="002D6496" w:rsidP="004F3130">
            <w:pPr>
              <w:pStyle w:val="25"/>
              <w:spacing w:line="240" w:lineRule="atLeast"/>
              <w:jc w:val="center"/>
              <w:rPr>
                <w:szCs w:val="28"/>
              </w:rPr>
            </w:pPr>
            <w:r>
              <w:rPr>
                <w:szCs w:val="28"/>
              </w:rPr>
              <w:t xml:space="preserve">25 ОД окситоцину, </w:t>
            </w:r>
          </w:p>
          <w:p w:rsidR="002D6496" w:rsidRDefault="002D6496" w:rsidP="004F3130">
            <w:pPr>
              <w:pStyle w:val="25"/>
              <w:spacing w:line="240" w:lineRule="atLeast"/>
              <w:jc w:val="center"/>
              <w:rPr>
                <w:szCs w:val="28"/>
              </w:rPr>
            </w:pPr>
            <w:r>
              <w:rPr>
                <w:szCs w:val="28"/>
              </w:rPr>
              <w:t>15 мл 5% розчину енрофлоксу</w:t>
            </w:r>
          </w:p>
          <w:p w:rsidR="002D6496" w:rsidRDefault="002D6496" w:rsidP="004F3130">
            <w:pPr>
              <w:pStyle w:val="25"/>
              <w:spacing w:line="240" w:lineRule="atLeast"/>
              <w:jc w:val="center"/>
              <w:rPr>
                <w:szCs w:val="28"/>
              </w:rPr>
            </w:pPr>
          </w:p>
        </w:tc>
        <w:tc>
          <w:tcPr>
            <w:tcW w:w="1701" w:type="dxa"/>
            <w:tcBorders>
              <w:left w:val="nil"/>
              <w:right w:val="double" w:sz="4" w:space="0" w:color="auto"/>
            </w:tcBorders>
            <w:vAlign w:val="center"/>
          </w:tcPr>
          <w:p w:rsidR="002D6496" w:rsidRDefault="002D6496" w:rsidP="004F3130">
            <w:pPr>
              <w:pStyle w:val="25"/>
              <w:spacing w:line="240" w:lineRule="atLeast"/>
              <w:jc w:val="center"/>
              <w:rPr>
                <w:szCs w:val="28"/>
              </w:rPr>
            </w:pPr>
            <w:r>
              <w:rPr>
                <w:szCs w:val="28"/>
              </w:rPr>
              <w:sym w:font="Symbol" w:char="F02D"/>
            </w:r>
          </w:p>
        </w:tc>
        <w:tc>
          <w:tcPr>
            <w:tcW w:w="2410" w:type="dxa"/>
            <w:tcBorders>
              <w:left w:val="nil"/>
              <w:right w:val="double" w:sz="4" w:space="0" w:color="auto"/>
            </w:tcBorders>
            <w:vAlign w:val="center"/>
          </w:tcPr>
          <w:p w:rsidR="002D6496" w:rsidRDefault="002D6496" w:rsidP="004F3130">
            <w:pPr>
              <w:pStyle w:val="25"/>
              <w:spacing w:line="240" w:lineRule="atLeast"/>
              <w:jc w:val="center"/>
              <w:rPr>
                <w:szCs w:val="28"/>
              </w:rPr>
            </w:pPr>
            <w:r>
              <w:rPr>
                <w:szCs w:val="28"/>
              </w:rPr>
              <w:sym w:font="Symbol" w:char="F02D"/>
            </w:r>
          </w:p>
        </w:tc>
        <w:tc>
          <w:tcPr>
            <w:tcW w:w="1984" w:type="dxa"/>
            <w:tcBorders>
              <w:left w:val="nil"/>
              <w:right w:val="double" w:sz="4" w:space="0" w:color="auto"/>
            </w:tcBorders>
            <w:vAlign w:val="center"/>
          </w:tcPr>
          <w:p w:rsidR="002D6496" w:rsidRDefault="002D6496" w:rsidP="004F3130">
            <w:pPr>
              <w:pStyle w:val="25"/>
              <w:spacing w:line="240" w:lineRule="atLeast"/>
              <w:jc w:val="center"/>
              <w:rPr>
                <w:szCs w:val="28"/>
              </w:rPr>
            </w:pPr>
            <w:r>
              <w:rPr>
                <w:szCs w:val="28"/>
              </w:rPr>
              <w:t>Біцилін-5</w:t>
            </w:r>
          </w:p>
          <w:p w:rsidR="002D6496" w:rsidRDefault="002D6496" w:rsidP="004F3130">
            <w:pPr>
              <w:pStyle w:val="25"/>
              <w:spacing w:line="240" w:lineRule="atLeast"/>
              <w:jc w:val="center"/>
              <w:rPr>
                <w:szCs w:val="28"/>
              </w:rPr>
            </w:pPr>
            <w:r>
              <w:rPr>
                <w:szCs w:val="28"/>
              </w:rPr>
              <w:t>(15 тис. ОД на кг маси)</w:t>
            </w:r>
          </w:p>
        </w:tc>
      </w:tr>
      <w:tr w:rsidR="002D6496" w:rsidTr="004F3130">
        <w:tblPrEx>
          <w:tblCellMar>
            <w:top w:w="0" w:type="dxa"/>
            <w:bottom w:w="0" w:type="dxa"/>
          </w:tblCellMar>
        </w:tblPrEx>
        <w:tc>
          <w:tcPr>
            <w:tcW w:w="1242" w:type="dxa"/>
            <w:tcBorders>
              <w:left w:val="double" w:sz="4" w:space="0" w:color="auto"/>
              <w:bottom w:val="double" w:sz="4" w:space="0" w:color="auto"/>
              <w:right w:val="double" w:sz="4" w:space="0" w:color="auto"/>
            </w:tcBorders>
            <w:vAlign w:val="center"/>
          </w:tcPr>
          <w:p w:rsidR="002D6496" w:rsidRDefault="002D6496" w:rsidP="004F3130">
            <w:pPr>
              <w:pStyle w:val="25"/>
              <w:spacing w:line="240" w:lineRule="auto"/>
              <w:jc w:val="center"/>
              <w:rPr>
                <w:b/>
                <w:bCs/>
                <w:szCs w:val="28"/>
                <w:lang w:val="en-US"/>
              </w:rPr>
            </w:pPr>
            <w:r>
              <w:rPr>
                <w:b/>
                <w:bCs/>
                <w:szCs w:val="28"/>
                <w:lang w:val="en-US"/>
              </w:rPr>
              <w:t>V</w:t>
            </w:r>
          </w:p>
          <w:p w:rsidR="002D6496" w:rsidRDefault="002D6496" w:rsidP="004F3130">
            <w:pPr>
              <w:pStyle w:val="25"/>
              <w:spacing w:line="240" w:lineRule="auto"/>
              <w:jc w:val="center"/>
              <w:rPr>
                <w:b/>
                <w:bCs/>
                <w:szCs w:val="28"/>
                <w:lang w:val="en-US"/>
              </w:rPr>
            </w:pPr>
            <w:r>
              <w:rPr>
                <w:b/>
                <w:bCs/>
                <w:szCs w:val="28"/>
              </w:rPr>
              <w:t>(</w:t>
            </w:r>
            <w:r>
              <w:rPr>
                <w:b/>
                <w:bCs/>
                <w:szCs w:val="28"/>
                <w:lang w:val="en-US"/>
              </w:rPr>
              <w:t>n=10)</w:t>
            </w:r>
          </w:p>
          <w:p w:rsidR="002D6496" w:rsidRDefault="002D6496" w:rsidP="004F3130">
            <w:pPr>
              <w:pStyle w:val="25"/>
              <w:spacing w:line="240" w:lineRule="auto"/>
              <w:jc w:val="center"/>
              <w:rPr>
                <w:b/>
                <w:bCs/>
                <w:szCs w:val="28"/>
                <w:lang w:val="en-US"/>
              </w:rPr>
            </w:pPr>
          </w:p>
        </w:tc>
        <w:tc>
          <w:tcPr>
            <w:tcW w:w="3119" w:type="dxa"/>
            <w:tcBorders>
              <w:left w:val="nil"/>
              <w:bottom w:val="double" w:sz="4" w:space="0" w:color="auto"/>
              <w:right w:val="double" w:sz="4" w:space="0" w:color="auto"/>
            </w:tcBorders>
            <w:vAlign w:val="center"/>
          </w:tcPr>
          <w:p w:rsidR="002D6496" w:rsidRDefault="002D6496" w:rsidP="004F3130">
            <w:pPr>
              <w:pStyle w:val="25"/>
              <w:spacing w:line="240" w:lineRule="atLeast"/>
              <w:jc w:val="center"/>
              <w:rPr>
                <w:szCs w:val="28"/>
              </w:rPr>
            </w:pPr>
            <w:r>
              <w:rPr>
                <w:szCs w:val="28"/>
              </w:rPr>
              <w:sym w:font="Symbol" w:char="F02D"/>
            </w:r>
          </w:p>
        </w:tc>
        <w:tc>
          <w:tcPr>
            <w:tcW w:w="1701" w:type="dxa"/>
            <w:tcBorders>
              <w:left w:val="nil"/>
              <w:bottom w:val="double" w:sz="4" w:space="0" w:color="auto"/>
              <w:right w:val="double" w:sz="4" w:space="0" w:color="auto"/>
            </w:tcBorders>
            <w:vAlign w:val="center"/>
          </w:tcPr>
          <w:p w:rsidR="002D6496" w:rsidRDefault="002D6496" w:rsidP="004F3130">
            <w:pPr>
              <w:pStyle w:val="25"/>
              <w:spacing w:line="240" w:lineRule="atLeast"/>
              <w:jc w:val="center"/>
              <w:rPr>
                <w:szCs w:val="28"/>
              </w:rPr>
            </w:pPr>
            <w:r>
              <w:rPr>
                <w:szCs w:val="28"/>
              </w:rPr>
              <w:t>40 ОД окситоцину</w:t>
            </w:r>
          </w:p>
        </w:tc>
        <w:tc>
          <w:tcPr>
            <w:tcW w:w="2410" w:type="dxa"/>
            <w:tcBorders>
              <w:left w:val="nil"/>
              <w:bottom w:val="double" w:sz="4" w:space="0" w:color="auto"/>
              <w:right w:val="double" w:sz="4" w:space="0" w:color="auto"/>
            </w:tcBorders>
            <w:vAlign w:val="center"/>
          </w:tcPr>
          <w:p w:rsidR="002D6496" w:rsidRDefault="002D6496" w:rsidP="004F3130">
            <w:pPr>
              <w:pStyle w:val="25"/>
              <w:spacing w:line="240" w:lineRule="atLeast"/>
              <w:jc w:val="center"/>
              <w:rPr>
                <w:szCs w:val="28"/>
              </w:rPr>
            </w:pPr>
            <w:r>
              <w:rPr>
                <w:szCs w:val="28"/>
              </w:rPr>
              <w:sym w:font="Symbol" w:char="F02D"/>
            </w:r>
          </w:p>
        </w:tc>
        <w:tc>
          <w:tcPr>
            <w:tcW w:w="1984" w:type="dxa"/>
            <w:tcBorders>
              <w:left w:val="nil"/>
              <w:bottom w:val="double" w:sz="4" w:space="0" w:color="auto"/>
              <w:right w:val="double" w:sz="4" w:space="0" w:color="auto"/>
            </w:tcBorders>
            <w:vAlign w:val="center"/>
          </w:tcPr>
          <w:p w:rsidR="002D6496" w:rsidRDefault="002D6496" w:rsidP="004F3130">
            <w:pPr>
              <w:pStyle w:val="25"/>
              <w:spacing w:line="240" w:lineRule="atLeast"/>
              <w:jc w:val="center"/>
              <w:rPr>
                <w:szCs w:val="28"/>
              </w:rPr>
            </w:pPr>
            <w:r>
              <w:rPr>
                <w:szCs w:val="28"/>
              </w:rPr>
              <w:t>15% амоксоцилін</w:t>
            </w:r>
          </w:p>
          <w:p w:rsidR="002D6496" w:rsidRDefault="002D6496" w:rsidP="004F3130">
            <w:pPr>
              <w:pStyle w:val="25"/>
              <w:spacing w:line="240" w:lineRule="atLeast"/>
              <w:jc w:val="center"/>
              <w:rPr>
                <w:szCs w:val="28"/>
              </w:rPr>
            </w:pPr>
            <w:r>
              <w:rPr>
                <w:szCs w:val="28"/>
              </w:rPr>
              <w:t>(1 мл на 10 кг маси)</w:t>
            </w:r>
          </w:p>
        </w:tc>
      </w:tr>
      <w:tr w:rsidR="002D6496" w:rsidTr="004F3130">
        <w:tblPrEx>
          <w:tblCellMar>
            <w:top w:w="0" w:type="dxa"/>
            <w:bottom w:w="0" w:type="dxa"/>
          </w:tblCellMar>
        </w:tblPrEx>
        <w:tc>
          <w:tcPr>
            <w:tcW w:w="1242" w:type="dxa"/>
            <w:tcBorders>
              <w:top w:val="double" w:sz="4" w:space="0" w:color="auto"/>
              <w:left w:val="double" w:sz="4" w:space="0" w:color="auto"/>
              <w:bottom w:val="double" w:sz="4" w:space="0" w:color="auto"/>
              <w:right w:val="double" w:sz="4" w:space="0" w:color="auto"/>
            </w:tcBorders>
            <w:vAlign w:val="center"/>
          </w:tcPr>
          <w:p w:rsidR="002D6496" w:rsidRDefault="002D6496" w:rsidP="004F3130">
            <w:pPr>
              <w:pStyle w:val="25"/>
              <w:spacing w:line="240" w:lineRule="auto"/>
              <w:jc w:val="center"/>
              <w:rPr>
                <w:b/>
                <w:bCs/>
                <w:spacing w:val="-30"/>
                <w:szCs w:val="28"/>
              </w:rPr>
            </w:pPr>
            <w:r>
              <w:rPr>
                <w:b/>
                <w:bCs/>
                <w:spacing w:val="-30"/>
                <w:szCs w:val="28"/>
              </w:rPr>
              <w:t xml:space="preserve">Контрольна </w:t>
            </w:r>
          </w:p>
          <w:p w:rsidR="002D6496" w:rsidRDefault="002D6496" w:rsidP="004F3130">
            <w:pPr>
              <w:pStyle w:val="25"/>
              <w:spacing w:line="240" w:lineRule="auto"/>
              <w:jc w:val="center"/>
              <w:rPr>
                <w:b/>
                <w:bCs/>
                <w:spacing w:val="-30"/>
                <w:szCs w:val="28"/>
              </w:rPr>
            </w:pPr>
            <w:r>
              <w:rPr>
                <w:b/>
                <w:bCs/>
                <w:spacing w:val="-30"/>
                <w:szCs w:val="28"/>
              </w:rPr>
              <w:t>група</w:t>
            </w:r>
          </w:p>
          <w:p w:rsidR="002D6496" w:rsidRDefault="002D6496" w:rsidP="004F3130">
            <w:pPr>
              <w:pStyle w:val="25"/>
              <w:spacing w:line="240" w:lineRule="auto"/>
              <w:jc w:val="center"/>
              <w:rPr>
                <w:b/>
                <w:bCs/>
                <w:szCs w:val="28"/>
              </w:rPr>
            </w:pPr>
            <w:r>
              <w:rPr>
                <w:b/>
                <w:bCs/>
                <w:szCs w:val="28"/>
              </w:rPr>
              <w:t>(</w:t>
            </w:r>
            <w:r>
              <w:rPr>
                <w:b/>
                <w:bCs/>
                <w:szCs w:val="28"/>
                <w:lang w:val="en-US"/>
              </w:rPr>
              <w:t>n</w:t>
            </w:r>
            <w:r>
              <w:rPr>
                <w:b/>
                <w:bCs/>
                <w:szCs w:val="28"/>
              </w:rPr>
              <w:t>=10)</w:t>
            </w:r>
          </w:p>
        </w:tc>
        <w:tc>
          <w:tcPr>
            <w:tcW w:w="3119" w:type="dxa"/>
            <w:tcBorders>
              <w:top w:val="double" w:sz="4" w:space="0" w:color="auto"/>
              <w:left w:val="nil"/>
              <w:bottom w:val="double" w:sz="4" w:space="0" w:color="auto"/>
              <w:right w:val="double" w:sz="4" w:space="0" w:color="auto"/>
            </w:tcBorders>
            <w:vAlign w:val="center"/>
          </w:tcPr>
          <w:p w:rsidR="002D6496" w:rsidRDefault="002D6496" w:rsidP="004F3130">
            <w:pPr>
              <w:pStyle w:val="25"/>
              <w:spacing w:line="240" w:lineRule="atLeast"/>
              <w:jc w:val="center"/>
              <w:rPr>
                <w:szCs w:val="28"/>
              </w:rPr>
            </w:pPr>
            <w:r>
              <w:rPr>
                <w:szCs w:val="28"/>
              </w:rPr>
              <w:sym w:font="Symbol" w:char="F02D"/>
            </w:r>
          </w:p>
        </w:tc>
        <w:tc>
          <w:tcPr>
            <w:tcW w:w="1701" w:type="dxa"/>
            <w:tcBorders>
              <w:top w:val="double" w:sz="4" w:space="0" w:color="auto"/>
              <w:left w:val="nil"/>
              <w:bottom w:val="double" w:sz="4" w:space="0" w:color="auto"/>
              <w:right w:val="double" w:sz="4" w:space="0" w:color="auto"/>
            </w:tcBorders>
            <w:vAlign w:val="center"/>
          </w:tcPr>
          <w:p w:rsidR="002D6496" w:rsidRDefault="002D6496" w:rsidP="004F3130">
            <w:pPr>
              <w:pStyle w:val="25"/>
              <w:spacing w:line="240" w:lineRule="atLeast"/>
              <w:jc w:val="center"/>
              <w:rPr>
                <w:szCs w:val="28"/>
              </w:rPr>
            </w:pPr>
            <w:r>
              <w:rPr>
                <w:szCs w:val="28"/>
              </w:rPr>
              <w:t>40 ОД окситоцину</w:t>
            </w:r>
          </w:p>
        </w:tc>
        <w:tc>
          <w:tcPr>
            <w:tcW w:w="2410" w:type="dxa"/>
            <w:tcBorders>
              <w:top w:val="double" w:sz="4" w:space="0" w:color="auto"/>
              <w:left w:val="nil"/>
              <w:bottom w:val="double" w:sz="4" w:space="0" w:color="auto"/>
              <w:right w:val="double" w:sz="4" w:space="0" w:color="auto"/>
            </w:tcBorders>
            <w:vAlign w:val="center"/>
          </w:tcPr>
          <w:p w:rsidR="002D6496" w:rsidRDefault="002D6496" w:rsidP="004F3130">
            <w:pPr>
              <w:pStyle w:val="25"/>
              <w:spacing w:line="240" w:lineRule="atLeast"/>
              <w:jc w:val="center"/>
              <w:rPr>
                <w:szCs w:val="28"/>
              </w:rPr>
            </w:pPr>
          </w:p>
          <w:p w:rsidR="002D6496" w:rsidRDefault="002D6496" w:rsidP="004F3130">
            <w:pPr>
              <w:pStyle w:val="25"/>
              <w:spacing w:line="240" w:lineRule="atLeast"/>
              <w:jc w:val="center"/>
              <w:rPr>
                <w:szCs w:val="28"/>
              </w:rPr>
            </w:pPr>
            <w:r>
              <w:rPr>
                <w:szCs w:val="28"/>
              </w:rPr>
              <w:t xml:space="preserve">5 мл 15%-го розчину амоксоциліну, 10 мл соняшникової олії </w:t>
            </w:r>
          </w:p>
          <w:p w:rsidR="002D6496" w:rsidRDefault="002D6496" w:rsidP="004F3130">
            <w:pPr>
              <w:pStyle w:val="25"/>
              <w:spacing w:line="240" w:lineRule="atLeast"/>
              <w:jc w:val="center"/>
              <w:rPr>
                <w:szCs w:val="28"/>
              </w:rPr>
            </w:pPr>
          </w:p>
        </w:tc>
        <w:tc>
          <w:tcPr>
            <w:tcW w:w="1984" w:type="dxa"/>
            <w:tcBorders>
              <w:top w:val="double" w:sz="4" w:space="0" w:color="auto"/>
              <w:left w:val="nil"/>
              <w:bottom w:val="double" w:sz="4" w:space="0" w:color="auto"/>
              <w:right w:val="double" w:sz="4" w:space="0" w:color="auto"/>
            </w:tcBorders>
            <w:vAlign w:val="center"/>
          </w:tcPr>
          <w:p w:rsidR="002D6496" w:rsidRDefault="002D6496" w:rsidP="004F3130">
            <w:pPr>
              <w:pStyle w:val="25"/>
              <w:spacing w:line="240" w:lineRule="atLeast"/>
              <w:jc w:val="center"/>
              <w:rPr>
                <w:szCs w:val="28"/>
              </w:rPr>
            </w:pPr>
            <w:r>
              <w:rPr>
                <w:szCs w:val="28"/>
              </w:rPr>
              <w:sym w:font="Symbol" w:char="F02D"/>
            </w:r>
          </w:p>
        </w:tc>
      </w:tr>
    </w:tbl>
    <w:p w:rsidR="002D6496" w:rsidRDefault="002D6496" w:rsidP="002D6496">
      <w:pPr>
        <w:pStyle w:val="25"/>
        <w:ind w:firstLine="567"/>
        <w:rPr>
          <w:sz w:val="22"/>
          <w:szCs w:val="22"/>
        </w:rPr>
      </w:pPr>
      <w:r>
        <w:rPr>
          <w:b/>
          <w:bCs/>
          <w:sz w:val="22"/>
          <w:szCs w:val="22"/>
        </w:rPr>
        <w:t xml:space="preserve">Примітка: * </w:t>
      </w:r>
      <w:r>
        <w:rPr>
          <w:rFonts w:ascii="Lucida Console" w:hAnsi="Lucida Console" w:cs="Lucida Console"/>
          <w:b/>
          <w:bCs/>
          <w:sz w:val="22"/>
          <w:szCs w:val="22"/>
        </w:rPr>
        <w:t>―</w:t>
      </w:r>
      <w:r>
        <w:rPr>
          <w:b/>
          <w:bCs/>
          <w:sz w:val="22"/>
          <w:szCs w:val="22"/>
        </w:rPr>
        <w:t xml:space="preserve"> </w:t>
      </w:r>
      <w:r>
        <w:rPr>
          <w:sz w:val="22"/>
          <w:szCs w:val="22"/>
        </w:rPr>
        <w:t>групи, у яких застосовували препарат АСД-ф-2</w:t>
      </w:r>
    </w:p>
    <w:p w:rsidR="002D6496" w:rsidRDefault="002D6496" w:rsidP="002D6496">
      <w:pPr>
        <w:pStyle w:val="25"/>
        <w:ind w:firstLine="567"/>
        <w:rPr>
          <w:sz w:val="22"/>
          <w:szCs w:val="22"/>
        </w:rPr>
      </w:pPr>
    </w:p>
    <w:p w:rsidR="002D6496" w:rsidRDefault="002D6496" w:rsidP="002D6496">
      <w:pPr>
        <w:pStyle w:val="25"/>
        <w:ind w:firstLine="567"/>
        <w:rPr>
          <w:sz w:val="22"/>
          <w:szCs w:val="22"/>
        </w:rPr>
      </w:pPr>
    </w:p>
    <w:p w:rsidR="002D6496" w:rsidRDefault="002D6496" w:rsidP="002D6496">
      <w:pPr>
        <w:pStyle w:val="25"/>
        <w:ind w:firstLine="567"/>
        <w:rPr>
          <w:sz w:val="22"/>
          <w:szCs w:val="22"/>
        </w:rPr>
      </w:pPr>
    </w:p>
    <w:p w:rsidR="002D6496" w:rsidRDefault="002D6496" w:rsidP="002D6496">
      <w:pPr>
        <w:pStyle w:val="25"/>
        <w:ind w:firstLine="567"/>
        <w:rPr>
          <w:sz w:val="22"/>
          <w:szCs w:val="22"/>
        </w:rPr>
      </w:pPr>
    </w:p>
    <w:p w:rsidR="002D6496" w:rsidRDefault="002D6496" w:rsidP="002D6496">
      <w:pPr>
        <w:pStyle w:val="25"/>
        <w:ind w:firstLine="567"/>
        <w:rPr>
          <w:sz w:val="22"/>
          <w:szCs w:val="22"/>
        </w:rPr>
      </w:pPr>
    </w:p>
    <w:p w:rsidR="002D6496" w:rsidRDefault="002D6496" w:rsidP="002D6496">
      <w:pPr>
        <w:pStyle w:val="25"/>
        <w:ind w:firstLine="567"/>
        <w:rPr>
          <w:sz w:val="25"/>
          <w:szCs w:val="25"/>
        </w:rPr>
      </w:pPr>
      <w:r>
        <w:rPr>
          <w:sz w:val="25"/>
          <w:szCs w:val="25"/>
        </w:rPr>
        <w:t>На початку лікування в усіх групах корів проводили 7-10-хвилинний  ректальний масаж матки. Внутрішньоаортальні та  внутрішньоматкові введення лікарських препаратів проводили через кожні             48 годин до повного видужання. Внутрішньом'язові введення препарату біцилін</w:t>
      </w:r>
      <w:r>
        <w:rPr>
          <w:sz w:val="25"/>
          <w:szCs w:val="24"/>
        </w:rPr>
        <w:sym w:font="Symbol" w:char="F02D"/>
      </w:r>
      <w:r>
        <w:rPr>
          <w:sz w:val="25"/>
          <w:szCs w:val="25"/>
        </w:rPr>
        <w:t>5 проводили одноразово,  амоксоцилін двічі з інтервалом 48 годин; підшкірне введення окситоцину - один раз на добу.</w:t>
      </w:r>
    </w:p>
    <w:p w:rsidR="002D6496" w:rsidRDefault="002D6496" w:rsidP="002D6496">
      <w:pPr>
        <w:pStyle w:val="affffffff4"/>
        <w:spacing w:line="360" w:lineRule="auto"/>
        <w:ind w:firstLine="567"/>
        <w:jc w:val="both"/>
        <w:rPr>
          <w:sz w:val="25"/>
          <w:szCs w:val="25"/>
        </w:rPr>
      </w:pPr>
      <w:r>
        <w:rPr>
          <w:sz w:val="25"/>
          <w:szCs w:val="25"/>
        </w:rPr>
        <w:t>Лікування тварин продовжували до повного зникнення клінічних симптомів захворювання: нормалізації температури, відсутності виділення ексудату з статевих органів, відновлення ригідності матки, зменшення її розміру тощо.</w:t>
      </w:r>
    </w:p>
    <w:p w:rsidR="002D6496" w:rsidRDefault="002D6496" w:rsidP="002D6496">
      <w:pPr>
        <w:pStyle w:val="affffffff4"/>
        <w:spacing w:line="360" w:lineRule="auto"/>
        <w:ind w:firstLine="567"/>
        <w:jc w:val="both"/>
        <w:rPr>
          <w:sz w:val="25"/>
          <w:szCs w:val="25"/>
        </w:rPr>
      </w:pPr>
      <w:r>
        <w:rPr>
          <w:sz w:val="25"/>
          <w:szCs w:val="25"/>
        </w:rPr>
        <w:t>Економічну ефективність ветеринарних заходів визначали за методичними вказівками                       В.Ф. Воскобойника (1998).</w:t>
      </w:r>
    </w:p>
    <w:p w:rsidR="002D6496" w:rsidRDefault="002D6496" w:rsidP="002D6496">
      <w:pPr>
        <w:pStyle w:val="affffffff4"/>
        <w:spacing w:line="360" w:lineRule="auto"/>
        <w:ind w:firstLine="567"/>
        <w:jc w:val="both"/>
        <w:rPr>
          <w:sz w:val="22"/>
          <w:szCs w:val="22"/>
        </w:rPr>
      </w:pPr>
      <w:r>
        <w:rPr>
          <w:sz w:val="25"/>
          <w:szCs w:val="25"/>
        </w:rPr>
        <w:t xml:space="preserve"> Біометричну обробку отриманих результатів і оформлення дисертаційної роботи проводили за допомогою комп’ютерної SIS програми “Біом” на  ПК Pentium II та пакету прикладних програм </w:t>
      </w:r>
      <w:r>
        <w:rPr>
          <w:sz w:val="25"/>
          <w:szCs w:val="25"/>
          <w:lang w:val="en-US"/>
        </w:rPr>
        <w:t>Microsoft</w:t>
      </w:r>
      <w:r>
        <w:rPr>
          <w:sz w:val="25"/>
          <w:szCs w:val="25"/>
        </w:rPr>
        <w:t xml:space="preserve"> </w:t>
      </w:r>
      <w:r>
        <w:rPr>
          <w:sz w:val="25"/>
          <w:szCs w:val="25"/>
          <w:lang w:val="en-US"/>
        </w:rPr>
        <w:t>office</w:t>
      </w:r>
      <w:r>
        <w:rPr>
          <w:sz w:val="25"/>
          <w:szCs w:val="25"/>
        </w:rPr>
        <w:t xml:space="preserve"> 1997. При цьому визначали середнє арифметичне число, квадратичну похибку, середню похибку, критерій Стюдента, відносну величину похибки середньої арифметичної  та коефіцієнт варіації</w:t>
      </w:r>
      <w:r>
        <w:rPr>
          <w:sz w:val="22"/>
          <w:szCs w:val="22"/>
        </w:rPr>
        <w:t>.</w:t>
      </w:r>
    </w:p>
    <w:p w:rsidR="002D6496" w:rsidRDefault="002D6496" w:rsidP="002D6496">
      <w:pPr>
        <w:pStyle w:val="affffffff4"/>
        <w:spacing w:line="360" w:lineRule="auto"/>
        <w:ind w:firstLine="567"/>
        <w:jc w:val="both"/>
        <w:rPr>
          <w:sz w:val="22"/>
          <w:szCs w:val="22"/>
        </w:rPr>
      </w:pPr>
    </w:p>
    <w:p w:rsidR="002D6496" w:rsidRDefault="002D6496" w:rsidP="002D6496">
      <w:pPr>
        <w:pStyle w:val="2ffffc"/>
        <w:tabs>
          <w:tab w:val="left" w:pos="709"/>
        </w:tabs>
        <w:ind w:firstLine="567"/>
        <w:jc w:val="center"/>
        <w:rPr>
          <w:b/>
          <w:bCs/>
        </w:rPr>
      </w:pPr>
    </w:p>
    <w:p w:rsidR="002D6496" w:rsidRDefault="002D6496" w:rsidP="002D6496">
      <w:pPr>
        <w:pStyle w:val="2ffffc"/>
        <w:tabs>
          <w:tab w:val="left" w:pos="709"/>
        </w:tabs>
        <w:ind w:firstLine="567"/>
        <w:jc w:val="center"/>
        <w:rPr>
          <w:b/>
          <w:bCs/>
        </w:rPr>
      </w:pPr>
    </w:p>
    <w:p w:rsidR="002D6496" w:rsidRDefault="002D6496" w:rsidP="002D6496">
      <w:pPr>
        <w:pStyle w:val="2ffffc"/>
        <w:tabs>
          <w:tab w:val="left" w:pos="709"/>
        </w:tabs>
        <w:ind w:firstLine="567"/>
        <w:jc w:val="center"/>
        <w:rPr>
          <w:b/>
          <w:bCs/>
        </w:rPr>
      </w:pPr>
    </w:p>
    <w:p w:rsidR="002D6496" w:rsidRDefault="002D6496" w:rsidP="002D6496">
      <w:pPr>
        <w:pStyle w:val="2ffffc"/>
        <w:tabs>
          <w:tab w:val="left" w:pos="709"/>
        </w:tabs>
        <w:ind w:firstLine="567"/>
        <w:jc w:val="center"/>
        <w:rPr>
          <w:b/>
          <w:bCs/>
        </w:rPr>
      </w:pPr>
      <w:r>
        <w:rPr>
          <w:b/>
          <w:bCs/>
        </w:rPr>
        <w:t>РЕЗУЛЬТАТИ ДОСЛІДЖЕНЬ ТА ЇХ АНАЛІЗ</w:t>
      </w:r>
    </w:p>
    <w:p w:rsidR="002D6496" w:rsidRDefault="002D6496" w:rsidP="002D6496">
      <w:pPr>
        <w:pStyle w:val="2ffffc"/>
        <w:tabs>
          <w:tab w:val="left" w:pos="709"/>
        </w:tabs>
        <w:ind w:firstLine="567"/>
        <w:jc w:val="center"/>
        <w:rPr>
          <w:b/>
          <w:bCs/>
        </w:rPr>
      </w:pPr>
    </w:p>
    <w:p w:rsidR="002D6496" w:rsidRDefault="002D6496" w:rsidP="002D6496">
      <w:pPr>
        <w:pStyle w:val="2ffffc"/>
        <w:ind w:firstLine="142"/>
        <w:jc w:val="center"/>
        <w:rPr>
          <w:b/>
          <w:bCs/>
        </w:rPr>
      </w:pPr>
      <w:r>
        <w:rPr>
          <w:b/>
          <w:bCs/>
        </w:rPr>
        <w:t>Клінічні прояви післяродового гнійно-катарального ендометриту корів. Зміни клітинного і гуморального імунітету в динаміці розвитку та лікування ендометриту</w:t>
      </w:r>
    </w:p>
    <w:p w:rsidR="002D6496" w:rsidRDefault="002D6496" w:rsidP="002D6496">
      <w:pPr>
        <w:pStyle w:val="2ffffc"/>
        <w:ind w:firstLine="142"/>
        <w:jc w:val="center"/>
        <w:rPr>
          <w:b/>
          <w:bCs/>
        </w:rPr>
      </w:pPr>
    </w:p>
    <w:p w:rsidR="002D6496" w:rsidRDefault="002D6496" w:rsidP="002D6496">
      <w:pPr>
        <w:pStyle w:val="2ffffc"/>
        <w:ind w:firstLine="567"/>
        <w:rPr>
          <w:color w:val="000000"/>
          <w:sz w:val="25"/>
          <w:szCs w:val="25"/>
        </w:rPr>
      </w:pPr>
      <w:r>
        <w:rPr>
          <w:color w:val="000000"/>
          <w:sz w:val="25"/>
          <w:szCs w:val="25"/>
        </w:rPr>
        <w:t>Протягом дослідного періоду (грудень-березень) на 175 коровах нами було виявлено, що у 6,7% породіль післяродовий ендометрит проявлявся після нормального отелення, але все ж у більшості випадків виникав внаслідок патологічних родів. При детальному вивченні причинності  ендометриту було ще з’ясовано, що у 77% корів запальний процес виникав на підґрунті  затримання посліду. Всього ця патологія щорічно уражала до 17% породіль дослідних господарств.</w:t>
      </w:r>
    </w:p>
    <w:p w:rsidR="002D6496" w:rsidRDefault="002D6496" w:rsidP="002D6496">
      <w:pPr>
        <w:pStyle w:val="2ffffc"/>
        <w:ind w:firstLine="567"/>
        <w:rPr>
          <w:color w:val="000000"/>
          <w:sz w:val="25"/>
          <w:szCs w:val="25"/>
        </w:rPr>
      </w:pPr>
      <w:r>
        <w:rPr>
          <w:color w:val="000000"/>
          <w:sz w:val="25"/>
          <w:szCs w:val="25"/>
        </w:rPr>
        <w:t xml:space="preserve"> Клінічні ознаки гострого гнійно-катарального ендометриту корів відзначали в середньому на 7-8-й день післяродового періоду. Прояв захворювання породіль характеризувалось зниженням апетиту, загальним пригніченням та зниженням продуктивності. У окремих тварин виявляли підвищення температури тіла на 0,5-1 </w:t>
      </w:r>
      <w:r>
        <w:rPr>
          <w:color w:val="000000"/>
          <w:sz w:val="25"/>
          <w:szCs w:val="25"/>
          <w:vertAlign w:val="superscript"/>
        </w:rPr>
        <w:t>0</w:t>
      </w:r>
      <w:r>
        <w:rPr>
          <w:color w:val="000000"/>
          <w:sz w:val="25"/>
          <w:szCs w:val="25"/>
        </w:rPr>
        <w:t>С. З родових шляхів хворих тварин виділявся гнійно-катаральний ексудат жовто-бурого кольору з неприємним гнильним запахом, що іноді містив  частинки тканин плаценти. Хворі корови вигинали спину, тужилися і займали вимушену позу, характерну для сечовипускання. Це супроводжувалося порційним виділенням ексудату, який у великій кількості виявляли  на підстилці,  де лежали хворі тварини. При вагінальному обстеженні хворих породіль встановлювали, що слизова оболонка піхви набрякла, почервонівша  з крапчастими крововиливами. Шийка матки знаходилася у напіввідкритому стані. На вульві, корені хвоста та на сідничних горбах у них виявляли засохлі бурі кірки ексудату. При ректальному дослідженні відзначали збільшення об’єму матки, яка була опушена в черевну порожнину і за розмірами такою, як при  2 місячній вагітності. Стінки її були витончені, при пальпації проявлялася слабка  больова реакція, відчувалася флуктуація. Після ректального масажу спостерігали незначне виділення ексудату.</w:t>
      </w:r>
    </w:p>
    <w:p w:rsidR="002D6496" w:rsidRDefault="002D6496" w:rsidP="002D6496">
      <w:pPr>
        <w:pStyle w:val="2ffffc"/>
        <w:ind w:firstLine="567"/>
        <w:rPr>
          <w:sz w:val="25"/>
          <w:szCs w:val="25"/>
        </w:rPr>
      </w:pPr>
      <w:r>
        <w:rPr>
          <w:sz w:val="25"/>
          <w:szCs w:val="25"/>
        </w:rPr>
        <w:lastRenderedPageBreak/>
        <w:t>Імунобіологічними дослідженнями       встановлено, що на протязі фізіологічного та ускладненого післяродового періоду в організмі самки відбуваються істотні зміни клітинного та гуморального імунітету, зокрема популяцій Т-, В- та   “0”-лімфоцитів (табл. 2).</w:t>
      </w:r>
    </w:p>
    <w:p w:rsidR="002D6496" w:rsidRDefault="002D6496" w:rsidP="002D6496">
      <w:pPr>
        <w:pStyle w:val="2ffffc"/>
        <w:ind w:left="9360" w:firstLine="720"/>
        <w:rPr>
          <w:b/>
          <w:bCs/>
        </w:rPr>
      </w:pPr>
      <w:r>
        <w:rPr>
          <w:b/>
          <w:bCs/>
        </w:rPr>
        <w:t xml:space="preserve">                                                         </w:t>
      </w:r>
    </w:p>
    <w:p w:rsidR="002D6496" w:rsidRDefault="002D6496" w:rsidP="002D6496">
      <w:pPr>
        <w:pStyle w:val="2ffffc"/>
        <w:ind w:left="8640"/>
        <w:rPr>
          <w:b/>
          <w:bCs/>
        </w:rPr>
      </w:pPr>
      <w:r>
        <w:rPr>
          <w:b/>
          <w:bCs/>
        </w:rPr>
        <w:t>Таблиця 2</w:t>
      </w:r>
    </w:p>
    <w:p w:rsidR="002D6496" w:rsidRDefault="002D6496" w:rsidP="002D6496">
      <w:pPr>
        <w:spacing w:line="360" w:lineRule="auto"/>
        <w:jc w:val="center"/>
        <w:rPr>
          <w:b/>
          <w:bCs/>
          <w:sz w:val="25"/>
          <w:szCs w:val="25"/>
        </w:rPr>
      </w:pPr>
      <w:r>
        <w:rPr>
          <w:b/>
          <w:bCs/>
          <w:sz w:val="25"/>
          <w:szCs w:val="25"/>
        </w:rPr>
        <w:t>Вміст імунокомпетентних клітин у крові корів на 7</w:t>
      </w:r>
      <w:r>
        <w:rPr>
          <w:sz w:val="25"/>
          <w:szCs w:val="25"/>
        </w:rPr>
        <w:t>-</w:t>
      </w:r>
      <w:r>
        <w:rPr>
          <w:b/>
          <w:bCs/>
          <w:sz w:val="25"/>
          <w:szCs w:val="25"/>
        </w:rPr>
        <w:t>8</w:t>
      </w:r>
      <w:r>
        <w:rPr>
          <w:sz w:val="25"/>
          <w:szCs w:val="25"/>
        </w:rPr>
        <w:t>-</w:t>
      </w:r>
      <w:r>
        <w:rPr>
          <w:b/>
          <w:bCs/>
          <w:sz w:val="25"/>
          <w:szCs w:val="25"/>
        </w:rPr>
        <w:t>й день післяродового періоду (М</w:t>
      </w:r>
      <w:r>
        <w:rPr>
          <w:b/>
          <w:bCs/>
          <w:sz w:val="25"/>
        </w:rPr>
        <w:sym w:font="Symbol" w:char="F0B1"/>
      </w:r>
      <w:r>
        <w:rPr>
          <w:b/>
          <w:bCs/>
          <w:sz w:val="25"/>
          <w:szCs w:val="25"/>
        </w:rPr>
        <w:t>m)</w:t>
      </w:r>
    </w:p>
    <w:p w:rsidR="002D6496" w:rsidRDefault="002D6496" w:rsidP="002D6496">
      <w:pPr>
        <w:spacing w:line="360" w:lineRule="auto"/>
        <w:jc w:val="center"/>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402"/>
        <w:gridCol w:w="992"/>
      </w:tblGrid>
      <w:tr w:rsidR="002D6496" w:rsidTr="004F3130">
        <w:tblPrEx>
          <w:tblCellMar>
            <w:top w:w="0" w:type="dxa"/>
            <w:bottom w:w="0" w:type="dxa"/>
          </w:tblCellMar>
        </w:tblPrEx>
        <w:trPr>
          <w:cantSplit/>
        </w:trPr>
        <w:tc>
          <w:tcPr>
            <w:tcW w:w="2943" w:type="dxa"/>
            <w:vMerge w:val="restart"/>
            <w:tcBorders>
              <w:top w:val="double" w:sz="4" w:space="0" w:color="auto"/>
              <w:left w:val="double" w:sz="4" w:space="0" w:color="auto"/>
              <w:right w:val="double" w:sz="4" w:space="0" w:color="auto"/>
            </w:tcBorders>
            <w:vAlign w:val="center"/>
          </w:tcPr>
          <w:p w:rsidR="002D6496" w:rsidRDefault="002D6496" w:rsidP="004F3130">
            <w:pPr>
              <w:pStyle w:val="5"/>
              <w:rPr>
                <w:sz w:val="25"/>
                <w:szCs w:val="25"/>
              </w:rPr>
            </w:pPr>
          </w:p>
          <w:p w:rsidR="002D6496" w:rsidRDefault="002D6496" w:rsidP="004F3130">
            <w:pPr>
              <w:pStyle w:val="5"/>
              <w:rPr>
                <w:b w:val="0"/>
                <w:bCs/>
                <w:sz w:val="25"/>
                <w:szCs w:val="25"/>
              </w:rPr>
            </w:pPr>
            <w:r>
              <w:rPr>
                <w:b w:val="0"/>
                <w:bCs/>
                <w:sz w:val="25"/>
                <w:szCs w:val="25"/>
              </w:rPr>
              <w:t>Показники</w:t>
            </w:r>
          </w:p>
          <w:p w:rsidR="002D6496" w:rsidRDefault="002D6496" w:rsidP="004F3130">
            <w:pPr>
              <w:rPr>
                <w:sz w:val="25"/>
                <w:szCs w:val="25"/>
              </w:rPr>
            </w:pPr>
          </w:p>
        </w:tc>
        <w:tc>
          <w:tcPr>
            <w:tcW w:w="6379" w:type="dxa"/>
            <w:gridSpan w:val="2"/>
            <w:tcBorders>
              <w:top w:val="double" w:sz="4" w:space="0" w:color="auto"/>
              <w:left w:val="nil"/>
              <w:bottom w:val="double" w:sz="4" w:space="0" w:color="auto"/>
              <w:right w:val="double" w:sz="4" w:space="0" w:color="auto"/>
            </w:tcBorders>
            <w:vAlign w:val="center"/>
          </w:tcPr>
          <w:p w:rsidR="002D6496" w:rsidRDefault="002D6496" w:rsidP="004F3130">
            <w:pPr>
              <w:pStyle w:val="5"/>
              <w:jc w:val="center"/>
              <w:rPr>
                <w:b w:val="0"/>
                <w:bCs/>
                <w:sz w:val="25"/>
                <w:szCs w:val="25"/>
              </w:rPr>
            </w:pPr>
            <w:r>
              <w:rPr>
                <w:b w:val="0"/>
                <w:bCs/>
                <w:sz w:val="25"/>
                <w:szCs w:val="25"/>
              </w:rPr>
              <w:t>Групи тварин</w:t>
            </w:r>
          </w:p>
        </w:tc>
        <w:tc>
          <w:tcPr>
            <w:tcW w:w="992" w:type="dxa"/>
            <w:vMerge w:val="restart"/>
            <w:tcBorders>
              <w:top w:val="double" w:sz="4" w:space="0" w:color="auto"/>
              <w:left w:val="nil"/>
              <w:right w:val="double" w:sz="4" w:space="0" w:color="auto"/>
            </w:tcBorders>
            <w:vAlign w:val="center"/>
          </w:tcPr>
          <w:p w:rsidR="002D6496" w:rsidRDefault="002D6496" w:rsidP="004F3130">
            <w:pPr>
              <w:pStyle w:val="5"/>
              <w:ind w:firstLine="0"/>
              <w:jc w:val="left"/>
              <w:rPr>
                <w:sz w:val="25"/>
                <w:szCs w:val="25"/>
              </w:rPr>
            </w:pPr>
            <w:r>
              <w:rPr>
                <w:sz w:val="25"/>
                <w:szCs w:val="25"/>
              </w:rPr>
              <w:t xml:space="preserve">     Р</w:t>
            </w:r>
          </w:p>
        </w:tc>
      </w:tr>
      <w:tr w:rsidR="002D6496" w:rsidTr="004F3130">
        <w:tblPrEx>
          <w:tblCellMar>
            <w:top w:w="0" w:type="dxa"/>
            <w:bottom w:w="0" w:type="dxa"/>
          </w:tblCellMar>
        </w:tblPrEx>
        <w:trPr>
          <w:cantSplit/>
        </w:trPr>
        <w:tc>
          <w:tcPr>
            <w:tcW w:w="2943" w:type="dxa"/>
            <w:vMerge/>
            <w:tcBorders>
              <w:left w:val="double" w:sz="4" w:space="0" w:color="auto"/>
              <w:bottom w:val="double" w:sz="4" w:space="0" w:color="auto"/>
              <w:right w:val="double" w:sz="4" w:space="0" w:color="auto"/>
            </w:tcBorders>
          </w:tcPr>
          <w:p w:rsidR="002D6496" w:rsidRDefault="002D6496" w:rsidP="004F3130">
            <w:pPr>
              <w:spacing w:line="360" w:lineRule="auto"/>
              <w:ind w:firstLine="738"/>
              <w:jc w:val="both"/>
              <w:rPr>
                <w:sz w:val="25"/>
                <w:szCs w:val="25"/>
              </w:rPr>
            </w:pPr>
          </w:p>
        </w:tc>
        <w:tc>
          <w:tcPr>
            <w:tcW w:w="2977" w:type="dxa"/>
            <w:tcBorders>
              <w:top w:val="double" w:sz="4" w:space="0" w:color="auto"/>
              <w:left w:val="nil"/>
              <w:bottom w:val="double" w:sz="4" w:space="0" w:color="auto"/>
              <w:right w:val="double" w:sz="4" w:space="0" w:color="auto"/>
            </w:tcBorders>
            <w:vAlign w:val="center"/>
          </w:tcPr>
          <w:p w:rsidR="002D6496" w:rsidRDefault="002D6496" w:rsidP="004F3130">
            <w:pPr>
              <w:pStyle w:val="8"/>
              <w:rPr>
                <w:sz w:val="25"/>
                <w:szCs w:val="25"/>
              </w:rPr>
            </w:pPr>
            <w:r>
              <w:rPr>
                <w:sz w:val="25"/>
                <w:szCs w:val="25"/>
              </w:rPr>
              <w:t xml:space="preserve">Клінічно – здорові </w:t>
            </w:r>
          </w:p>
          <w:p w:rsidR="002D6496" w:rsidRDefault="002D6496" w:rsidP="004F3130">
            <w:pPr>
              <w:pStyle w:val="8"/>
              <w:rPr>
                <w:sz w:val="25"/>
                <w:szCs w:val="25"/>
              </w:rPr>
            </w:pPr>
            <w:r>
              <w:rPr>
                <w:sz w:val="25"/>
                <w:szCs w:val="25"/>
              </w:rPr>
              <w:t>(</w:t>
            </w:r>
            <w:r>
              <w:rPr>
                <w:sz w:val="25"/>
                <w:szCs w:val="25"/>
                <w:lang w:val="en-US"/>
              </w:rPr>
              <w:t>n</w:t>
            </w:r>
            <w:r>
              <w:rPr>
                <w:sz w:val="25"/>
                <w:szCs w:val="25"/>
              </w:rPr>
              <w:t xml:space="preserve">=18)       </w:t>
            </w:r>
          </w:p>
        </w:tc>
        <w:tc>
          <w:tcPr>
            <w:tcW w:w="3402" w:type="dxa"/>
            <w:tcBorders>
              <w:top w:val="double" w:sz="4" w:space="0" w:color="auto"/>
              <w:left w:val="nil"/>
              <w:bottom w:val="double" w:sz="4" w:space="0" w:color="auto"/>
              <w:right w:val="double" w:sz="4" w:space="0" w:color="auto"/>
            </w:tcBorders>
            <w:vAlign w:val="center"/>
          </w:tcPr>
          <w:p w:rsidR="002D6496" w:rsidRDefault="002D6496" w:rsidP="004F3130">
            <w:pPr>
              <w:spacing w:line="360" w:lineRule="auto"/>
              <w:jc w:val="center"/>
              <w:rPr>
                <w:b/>
                <w:bCs/>
                <w:spacing w:val="-2"/>
                <w:sz w:val="25"/>
                <w:szCs w:val="25"/>
              </w:rPr>
            </w:pPr>
            <w:r>
              <w:rPr>
                <w:b/>
                <w:bCs/>
                <w:spacing w:val="-2"/>
                <w:sz w:val="25"/>
                <w:szCs w:val="25"/>
              </w:rPr>
              <w:t xml:space="preserve">Хворі  на ендометрит </w:t>
            </w:r>
          </w:p>
          <w:p w:rsidR="002D6496" w:rsidRDefault="002D6496" w:rsidP="004F3130">
            <w:pPr>
              <w:spacing w:line="360" w:lineRule="auto"/>
              <w:jc w:val="center"/>
              <w:rPr>
                <w:b/>
                <w:bCs/>
                <w:sz w:val="25"/>
                <w:szCs w:val="25"/>
              </w:rPr>
            </w:pPr>
            <w:r>
              <w:rPr>
                <w:b/>
                <w:bCs/>
                <w:sz w:val="25"/>
                <w:szCs w:val="25"/>
              </w:rPr>
              <w:t>до лікування</w:t>
            </w:r>
          </w:p>
          <w:p w:rsidR="002D6496" w:rsidRDefault="002D6496" w:rsidP="004F3130">
            <w:pPr>
              <w:spacing w:line="360" w:lineRule="auto"/>
              <w:jc w:val="center"/>
              <w:rPr>
                <w:b/>
                <w:bCs/>
                <w:sz w:val="25"/>
                <w:szCs w:val="25"/>
              </w:rPr>
            </w:pPr>
            <w:r>
              <w:rPr>
                <w:b/>
                <w:bCs/>
                <w:sz w:val="25"/>
                <w:szCs w:val="25"/>
              </w:rPr>
              <w:t>(</w:t>
            </w:r>
            <w:r>
              <w:rPr>
                <w:b/>
                <w:bCs/>
                <w:sz w:val="25"/>
                <w:szCs w:val="25"/>
                <w:lang w:val="en-US"/>
              </w:rPr>
              <w:t>n</w:t>
            </w:r>
            <w:r>
              <w:rPr>
                <w:b/>
                <w:bCs/>
                <w:sz w:val="25"/>
                <w:szCs w:val="25"/>
              </w:rPr>
              <w:t>=27)</w:t>
            </w:r>
          </w:p>
        </w:tc>
        <w:tc>
          <w:tcPr>
            <w:tcW w:w="992" w:type="dxa"/>
            <w:vMerge/>
            <w:tcBorders>
              <w:left w:val="nil"/>
              <w:bottom w:val="double" w:sz="4" w:space="0" w:color="auto"/>
              <w:right w:val="double" w:sz="4" w:space="0" w:color="auto"/>
            </w:tcBorders>
            <w:vAlign w:val="center"/>
          </w:tcPr>
          <w:p w:rsidR="002D6496" w:rsidRDefault="002D6496" w:rsidP="004F3130">
            <w:pPr>
              <w:spacing w:line="360" w:lineRule="auto"/>
              <w:ind w:firstLine="738"/>
              <w:jc w:val="center"/>
              <w:rPr>
                <w:sz w:val="25"/>
                <w:szCs w:val="25"/>
              </w:rPr>
            </w:pPr>
          </w:p>
        </w:tc>
      </w:tr>
      <w:tr w:rsidR="002D6496" w:rsidTr="004F3130">
        <w:tblPrEx>
          <w:tblCellMar>
            <w:top w:w="0" w:type="dxa"/>
            <w:bottom w:w="0" w:type="dxa"/>
          </w:tblCellMar>
        </w:tblPrEx>
        <w:trPr>
          <w:cantSplit/>
        </w:trPr>
        <w:tc>
          <w:tcPr>
            <w:tcW w:w="2943" w:type="dxa"/>
            <w:tcBorders>
              <w:top w:val="double" w:sz="4" w:space="0" w:color="auto"/>
              <w:left w:val="double" w:sz="4" w:space="0" w:color="auto"/>
              <w:right w:val="double" w:sz="4" w:space="0" w:color="auto"/>
            </w:tcBorders>
            <w:vAlign w:val="center"/>
          </w:tcPr>
          <w:p w:rsidR="002D6496" w:rsidRDefault="002D6496" w:rsidP="004F3130">
            <w:pPr>
              <w:spacing w:line="360" w:lineRule="auto"/>
              <w:jc w:val="center"/>
              <w:rPr>
                <w:b/>
                <w:bCs/>
                <w:sz w:val="25"/>
                <w:szCs w:val="25"/>
              </w:rPr>
            </w:pPr>
            <w:r>
              <w:rPr>
                <w:b/>
                <w:bCs/>
                <w:sz w:val="25"/>
                <w:szCs w:val="25"/>
              </w:rPr>
              <w:t>Т-лімфоцити: %</w:t>
            </w:r>
          </w:p>
        </w:tc>
        <w:tc>
          <w:tcPr>
            <w:tcW w:w="2977" w:type="dxa"/>
            <w:tcBorders>
              <w:top w:val="double" w:sz="4" w:space="0" w:color="auto"/>
              <w:left w:val="nil"/>
              <w:right w:val="double" w:sz="4" w:space="0" w:color="auto"/>
            </w:tcBorders>
            <w:vAlign w:val="center"/>
          </w:tcPr>
          <w:p w:rsidR="002D6496" w:rsidRDefault="002D6496" w:rsidP="004F3130">
            <w:pPr>
              <w:spacing w:line="360" w:lineRule="auto"/>
              <w:jc w:val="center"/>
              <w:rPr>
                <w:b/>
                <w:bCs/>
                <w:sz w:val="25"/>
                <w:szCs w:val="25"/>
              </w:rPr>
            </w:pPr>
            <w:r>
              <w:rPr>
                <w:b/>
                <w:bCs/>
                <w:sz w:val="25"/>
                <w:szCs w:val="25"/>
              </w:rPr>
              <w:t>50,40</w:t>
            </w:r>
            <w:r>
              <w:rPr>
                <w:b/>
                <w:bCs/>
                <w:sz w:val="25"/>
              </w:rPr>
              <w:sym w:font="Symbol" w:char="F0B1"/>
            </w:r>
            <w:r>
              <w:rPr>
                <w:b/>
                <w:bCs/>
                <w:sz w:val="25"/>
                <w:szCs w:val="25"/>
              </w:rPr>
              <w:t>0,93</w:t>
            </w:r>
          </w:p>
        </w:tc>
        <w:tc>
          <w:tcPr>
            <w:tcW w:w="3402" w:type="dxa"/>
            <w:tcBorders>
              <w:top w:val="double" w:sz="4" w:space="0" w:color="auto"/>
              <w:left w:val="nil"/>
              <w:right w:val="double" w:sz="4" w:space="0" w:color="auto"/>
            </w:tcBorders>
            <w:vAlign w:val="center"/>
          </w:tcPr>
          <w:p w:rsidR="002D6496" w:rsidRDefault="002D6496" w:rsidP="004F3130">
            <w:pPr>
              <w:spacing w:line="360" w:lineRule="auto"/>
              <w:jc w:val="center"/>
              <w:rPr>
                <w:b/>
                <w:bCs/>
                <w:sz w:val="25"/>
                <w:szCs w:val="25"/>
              </w:rPr>
            </w:pPr>
            <w:r>
              <w:rPr>
                <w:b/>
                <w:bCs/>
                <w:sz w:val="25"/>
                <w:szCs w:val="25"/>
              </w:rPr>
              <w:t>37,67</w:t>
            </w:r>
            <w:r>
              <w:rPr>
                <w:b/>
                <w:bCs/>
                <w:sz w:val="25"/>
              </w:rPr>
              <w:sym w:font="Symbol" w:char="F0B1"/>
            </w:r>
            <w:r>
              <w:rPr>
                <w:b/>
                <w:bCs/>
                <w:sz w:val="25"/>
                <w:szCs w:val="25"/>
              </w:rPr>
              <w:t>0,50</w:t>
            </w:r>
          </w:p>
        </w:tc>
        <w:tc>
          <w:tcPr>
            <w:tcW w:w="992" w:type="dxa"/>
            <w:tcBorders>
              <w:top w:val="double" w:sz="4" w:space="0" w:color="auto"/>
              <w:left w:val="nil"/>
              <w:right w:val="double" w:sz="4" w:space="0" w:color="auto"/>
            </w:tcBorders>
          </w:tcPr>
          <w:p w:rsidR="002D6496" w:rsidRDefault="002D6496" w:rsidP="004F3130">
            <w:pPr>
              <w:spacing w:line="360" w:lineRule="auto"/>
              <w:rPr>
                <w:b/>
                <w:bCs/>
                <w:sz w:val="25"/>
                <w:szCs w:val="25"/>
              </w:rPr>
            </w:pPr>
            <w:r>
              <w:rPr>
                <w:b/>
                <w:bCs/>
                <w:sz w:val="25"/>
                <w:szCs w:val="25"/>
              </w:rPr>
              <w:t>&lt;0,001</w:t>
            </w:r>
          </w:p>
        </w:tc>
      </w:tr>
      <w:tr w:rsidR="002D6496" w:rsidTr="004F3130">
        <w:tblPrEx>
          <w:tblCellMar>
            <w:top w:w="0" w:type="dxa"/>
            <w:bottom w:w="0" w:type="dxa"/>
          </w:tblCellMar>
        </w:tblPrEx>
        <w:trPr>
          <w:cantSplit/>
        </w:trPr>
        <w:tc>
          <w:tcPr>
            <w:tcW w:w="2943" w:type="dxa"/>
            <w:tcBorders>
              <w:left w:val="double" w:sz="4" w:space="0" w:color="auto"/>
              <w:bottom w:val="double" w:sz="4" w:space="0" w:color="auto"/>
              <w:right w:val="double" w:sz="4" w:space="0" w:color="auto"/>
            </w:tcBorders>
            <w:vAlign w:val="center"/>
          </w:tcPr>
          <w:p w:rsidR="002D6496" w:rsidRDefault="002D6496" w:rsidP="004F3130">
            <w:pPr>
              <w:spacing w:line="360" w:lineRule="auto"/>
              <w:ind w:firstLine="738"/>
              <w:jc w:val="center"/>
              <w:rPr>
                <w:b/>
                <w:bCs/>
                <w:sz w:val="25"/>
                <w:szCs w:val="25"/>
              </w:rPr>
            </w:pPr>
            <w:r>
              <w:rPr>
                <w:b/>
                <w:bCs/>
                <w:sz w:val="25"/>
                <w:szCs w:val="25"/>
              </w:rPr>
              <w:t xml:space="preserve">Г/л </w:t>
            </w:r>
          </w:p>
        </w:tc>
        <w:tc>
          <w:tcPr>
            <w:tcW w:w="2977" w:type="dxa"/>
            <w:tcBorders>
              <w:left w:val="nil"/>
              <w:bottom w:val="double" w:sz="4" w:space="0" w:color="auto"/>
              <w:right w:val="double" w:sz="4" w:space="0" w:color="auto"/>
            </w:tcBorders>
            <w:vAlign w:val="center"/>
          </w:tcPr>
          <w:p w:rsidR="002D6496" w:rsidRDefault="002D6496" w:rsidP="004F3130">
            <w:pPr>
              <w:spacing w:line="360" w:lineRule="auto"/>
              <w:jc w:val="center"/>
              <w:rPr>
                <w:b/>
                <w:bCs/>
                <w:sz w:val="25"/>
                <w:szCs w:val="25"/>
              </w:rPr>
            </w:pPr>
            <w:r>
              <w:rPr>
                <w:b/>
                <w:bCs/>
                <w:sz w:val="25"/>
                <w:szCs w:val="25"/>
              </w:rPr>
              <w:t>2,16</w:t>
            </w:r>
            <w:r>
              <w:rPr>
                <w:b/>
                <w:bCs/>
                <w:sz w:val="25"/>
              </w:rPr>
              <w:sym w:font="Symbol" w:char="F0B1"/>
            </w:r>
            <w:r>
              <w:rPr>
                <w:b/>
                <w:bCs/>
                <w:sz w:val="25"/>
                <w:szCs w:val="25"/>
              </w:rPr>
              <w:t>0,07</w:t>
            </w:r>
          </w:p>
        </w:tc>
        <w:tc>
          <w:tcPr>
            <w:tcW w:w="3402" w:type="dxa"/>
            <w:tcBorders>
              <w:left w:val="nil"/>
              <w:bottom w:val="double" w:sz="4" w:space="0" w:color="auto"/>
              <w:right w:val="double" w:sz="4" w:space="0" w:color="auto"/>
            </w:tcBorders>
            <w:vAlign w:val="center"/>
          </w:tcPr>
          <w:p w:rsidR="002D6496" w:rsidRDefault="002D6496" w:rsidP="004F3130">
            <w:pPr>
              <w:spacing w:line="360" w:lineRule="auto"/>
              <w:jc w:val="center"/>
              <w:rPr>
                <w:b/>
                <w:bCs/>
                <w:sz w:val="25"/>
                <w:szCs w:val="25"/>
              </w:rPr>
            </w:pPr>
            <w:r>
              <w:rPr>
                <w:b/>
                <w:bCs/>
                <w:sz w:val="25"/>
                <w:szCs w:val="25"/>
              </w:rPr>
              <w:t>1,89</w:t>
            </w:r>
            <w:r>
              <w:rPr>
                <w:b/>
                <w:bCs/>
                <w:sz w:val="25"/>
              </w:rPr>
              <w:sym w:font="Symbol" w:char="F0B1"/>
            </w:r>
            <w:r>
              <w:rPr>
                <w:b/>
                <w:bCs/>
                <w:sz w:val="25"/>
                <w:szCs w:val="25"/>
              </w:rPr>
              <w:t>0,10</w:t>
            </w:r>
          </w:p>
        </w:tc>
        <w:tc>
          <w:tcPr>
            <w:tcW w:w="992" w:type="dxa"/>
            <w:tcBorders>
              <w:left w:val="nil"/>
              <w:bottom w:val="double" w:sz="4" w:space="0" w:color="auto"/>
              <w:right w:val="double" w:sz="4" w:space="0" w:color="auto"/>
            </w:tcBorders>
            <w:vAlign w:val="center"/>
          </w:tcPr>
          <w:p w:rsidR="002D6496" w:rsidRDefault="002D6496" w:rsidP="004F3130">
            <w:pPr>
              <w:spacing w:line="360" w:lineRule="auto"/>
              <w:rPr>
                <w:b/>
                <w:bCs/>
                <w:sz w:val="25"/>
                <w:szCs w:val="25"/>
              </w:rPr>
            </w:pPr>
            <w:r>
              <w:rPr>
                <w:b/>
                <w:bCs/>
                <w:sz w:val="25"/>
              </w:rPr>
              <w:sym w:font="Symbol" w:char="F03C"/>
            </w:r>
            <w:r>
              <w:rPr>
                <w:b/>
                <w:bCs/>
                <w:sz w:val="25"/>
                <w:szCs w:val="25"/>
              </w:rPr>
              <w:t>0,001</w:t>
            </w:r>
          </w:p>
        </w:tc>
      </w:tr>
      <w:tr w:rsidR="002D6496" w:rsidTr="004F3130">
        <w:tblPrEx>
          <w:tblCellMar>
            <w:top w:w="0" w:type="dxa"/>
            <w:bottom w:w="0" w:type="dxa"/>
          </w:tblCellMar>
        </w:tblPrEx>
        <w:trPr>
          <w:cantSplit/>
        </w:trPr>
        <w:tc>
          <w:tcPr>
            <w:tcW w:w="2943" w:type="dxa"/>
            <w:tcBorders>
              <w:top w:val="double" w:sz="4" w:space="0" w:color="auto"/>
              <w:left w:val="double" w:sz="4" w:space="0" w:color="auto"/>
              <w:right w:val="double" w:sz="4" w:space="0" w:color="auto"/>
            </w:tcBorders>
            <w:vAlign w:val="center"/>
          </w:tcPr>
          <w:p w:rsidR="002D6496" w:rsidRDefault="002D6496" w:rsidP="004F3130">
            <w:pPr>
              <w:pStyle w:val="4"/>
              <w:rPr>
                <w:b/>
                <w:bCs/>
                <w:sz w:val="25"/>
                <w:szCs w:val="25"/>
              </w:rPr>
            </w:pPr>
            <w:r>
              <w:rPr>
                <w:b/>
                <w:bCs/>
                <w:sz w:val="25"/>
                <w:szCs w:val="25"/>
              </w:rPr>
              <w:lastRenderedPageBreak/>
              <w:t>В-лімфоцити: %</w:t>
            </w:r>
          </w:p>
        </w:tc>
        <w:tc>
          <w:tcPr>
            <w:tcW w:w="2977" w:type="dxa"/>
            <w:tcBorders>
              <w:top w:val="double" w:sz="4" w:space="0" w:color="auto"/>
              <w:left w:val="nil"/>
              <w:right w:val="double" w:sz="4" w:space="0" w:color="auto"/>
            </w:tcBorders>
            <w:vAlign w:val="center"/>
          </w:tcPr>
          <w:p w:rsidR="002D6496" w:rsidRDefault="002D6496" w:rsidP="004F3130">
            <w:pPr>
              <w:spacing w:line="360" w:lineRule="auto"/>
              <w:jc w:val="center"/>
              <w:rPr>
                <w:b/>
                <w:bCs/>
                <w:sz w:val="25"/>
                <w:szCs w:val="25"/>
              </w:rPr>
            </w:pPr>
            <w:r>
              <w:rPr>
                <w:b/>
                <w:bCs/>
                <w:sz w:val="25"/>
                <w:szCs w:val="25"/>
              </w:rPr>
              <w:t>16,20</w:t>
            </w:r>
            <w:r>
              <w:rPr>
                <w:b/>
                <w:bCs/>
                <w:sz w:val="25"/>
              </w:rPr>
              <w:sym w:font="Symbol" w:char="F0B1"/>
            </w:r>
            <w:r>
              <w:rPr>
                <w:b/>
                <w:bCs/>
                <w:sz w:val="25"/>
                <w:szCs w:val="25"/>
              </w:rPr>
              <w:t>0,39</w:t>
            </w:r>
          </w:p>
        </w:tc>
        <w:tc>
          <w:tcPr>
            <w:tcW w:w="3402" w:type="dxa"/>
            <w:tcBorders>
              <w:top w:val="double" w:sz="4" w:space="0" w:color="auto"/>
              <w:left w:val="nil"/>
              <w:right w:val="double" w:sz="4" w:space="0" w:color="auto"/>
            </w:tcBorders>
            <w:vAlign w:val="center"/>
          </w:tcPr>
          <w:p w:rsidR="002D6496" w:rsidRDefault="002D6496" w:rsidP="004F3130">
            <w:pPr>
              <w:spacing w:line="360" w:lineRule="auto"/>
              <w:jc w:val="center"/>
              <w:rPr>
                <w:b/>
                <w:bCs/>
                <w:sz w:val="25"/>
                <w:szCs w:val="25"/>
              </w:rPr>
            </w:pPr>
            <w:r>
              <w:rPr>
                <w:b/>
                <w:bCs/>
                <w:sz w:val="25"/>
                <w:szCs w:val="25"/>
              </w:rPr>
              <w:t>13,20</w:t>
            </w:r>
            <w:r>
              <w:rPr>
                <w:b/>
                <w:bCs/>
                <w:sz w:val="25"/>
              </w:rPr>
              <w:sym w:font="Symbol" w:char="F0B1"/>
            </w:r>
            <w:r>
              <w:rPr>
                <w:b/>
                <w:bCs/>
                <w:sz w:val="25"/>
                <w:szCs w:val="25"/>
              </w:rPr>
              <w:t>0,46</w:t>
            </w:r>
          </w:p>
        </w:tc>
        <w:tc>
          <w:tcPr>
            <w:tcW w:w="992" w:type="dxa"/>
            <w:tcBorders>
              <w:top w:val="double" w:sz="4" w:space="0" w:color="auto"/>
              <w:left w:val="nil"/>
              <w:right w:val="double" w:sz="4" w:space="0" w:color="auto"/>
            </w:tcBorders>
            <w:vAlign w:val="center"/>
          </w:tcPr>
          <w:p w:rsidR="002D6496" w:rsidRDefault="002D6496" w:rsidP="004F3130">
            <w:pPr>
              <w:spacing w:line="360" w:lineRule="auto"/>
              <w:rPr>
                <w:b/>
                <w:bCs/>
                <w:sz w:val="25"/>
                <w:szCs w:val="25"/>
              </w:rPr>
            </w:pPr>
            <w:r>
              <w:rPr>
                <w:b/>
                <w:bCs/>
                <w:sz w:val="25"/>
              </w:rPr>
              <w:sym w:font="Symbol" w:char="F03C"/>
            </w:r>
            <w:r>
              <w:rPr>
                <w:b/>
                <w:bCs/>
                <w:sz w:val="25"/>
                <w:szCs w:val="25"/>
              </w:rPr>
              <w:t>0,01</w:t>
            </w:r>
          </w:p>
        </w:tc>
      </w:tr>
      <w:tr w:rsidR="002D6496" w:rsidTr="004F3130">
        <w:tblPrEx>
          <w:tblCellMar>
            <w:top w:w="0" w:type="dxa"/>
            <w:bottom w:w="0" w:type="dxa"/>
          </w:tblCellMar>
        </w:tblPrEx>
        <w:trPr>
          <w:cantSplit/>
          <w:trHeight w:val="265"/>
        </w:trPr>
        <w:tc>
          <w:tcPr>
            <w:tcW w:w="2943" w:type="dxa"/>
            <w:tcBorders>
              <w:left w:val="double" w:sz="4" w:space="0" w:color="auto"/>
              <w:bottom w:val="double" w:sz="4" w:space="0" w:color="auto"/>
              <w:right w:val="double" w:sz="4" w:space="0" w:color="auto"/>
            </w:tcBorders>
            <w:vAlign w:val="center"/>
          </w:tcPr>
          <w:p w:rsidR="002D6496" w:rsidRDefault="002D6496" w:rsidP="004F3130">
            <w:pPr>
              <w:spacing w:line="360" w:lineRule="auto"/>
              <w:ind w:firstLine="738"/>
              <w:jc w:val="center"/>
              <w:rPr>
                <w:b/>
                <w:bCs/>
                <w:sz w:val="25"/>
                <w:szCs w:val="25"/>
              </w:rPr>
            </w:pPr>
            <w:r>
              <w:rPr>
                <w:b/>
                <w:bCs/>
                <w:sz w:val="25"/>
                <w:szCs w:val="25"/>
              </w:rPr>
              <w:t>Г/л</w:t>
            </w:r>
          </w:p>
        </w:tc>
        <w:tc>
          <w:tcPr>
            <w:tcW w:w="2977" w:type="dxa"/>
            <w:tcBorders>
              <w:left w:val="nil"/>
              <w:bottom w:val="double" w:sz="4" w:space="0" w:color="auto"/>
              <w:right w:val="double" w:sz="4" w:space="0" w:color="auto"/>
            </w:tcBorders>
            <w:vAlign w:val="center"/>
          </w:tcPr>
          <w:p w:rsidR="002D6496" w:rsidRDefault="002D6496" w:rsidP="004F3130">
            <w:pPr>
              <w:spacing w:line="360" w:lineRule="auto"/>
              <w:jc w:val="center"/>
              <w:rPr>
                <w:b/>
                <w:bCs/>
                <w:sz w:val="25"/>
                <w:szCs w:val="25"/>
              </w:rPr>
            </w:pPr>
            <w:r>
              <w:rPr>
                <w:b/>
                <w:bCs/>
                <w:sz w:val="25"/>
                <w:szCs w:val="25"/>
              </w:rPr>
              <w:t>0,70</w:t>
            </w:r>
            <w:r>
              <w:rPr>
                <w:b/>
                <w:bCs/>
                <w:sz w:val="25"/>
              </w:rPr>
              <w:sym w:font="Symbol" w:char="F0B1"/>
            </w:r>
            <w:r>
              <w:rPr>
                <w:b/>
                <w:bCs/>
                <w:sz w:val="25"/>
                <w:szCs w:val="25"/>
              </w:rPr>
              <w:t>0,02</w:t>
            </w:r>
          </w:p>
        </w:tc>
        <w:tc>
          <w:tcPr>
            <w:tcW w:w="3402" w:type="dxa"/>
            <w:tcBorders>
              <w:left w:val="nil"/>
              <w:bottom w:val="double" w:sz="4" w:space="0" w:color="auto"/>
              <w:right w:val="double" w:sz="4" w:space="0" w:color="auto"/>
            </w:tcBorders>
            <w:vAlign w:val="center"/>
          </w:tcPr>
          <w:p w:rsidR="002D6496" w:rsidRDefault="002D6496" w:rsidP="004F3130">
            <w:pPr>
              <w:spacing w:line="360" w:lineRule="auto"/>
              <w:jc w:val="center"/>
              <w:rPr>
                <w:b/>
                <w:bCs/>
                <w:sz w:val="25"/>
                <w:szCs w:val="25"/>
              </w:rPr>
            </w:pPr>
            <w:r>
              <w:rPr>
                <w:b/>
                <w:bCs/>
                <w:sz w:val="25"/>
                <w:szCs w:val="25"/>
              </w:rPr>
              <w:t>0,63</w:t>
            </w:r>
            <w:r>
              <w:rPr>
                <w:b/>
                <w:bCs/>
                <w:sz w:val="25"/>
              </w:rPr>
              <w:sym w:font="Symbol" w:char="F0B1"/>
            </w:r>
            <w:r>
              <w:rPr>
                <w:b/>
                <w:bCs/>
                <w:sz w:val="25"/>
                <w:szCs w:val="25"/>
              </w:rPr>
              <w:t>0,04</w:t>
            </w:r>
          </w:p>
        </w:tc>
        <w:tc>
          <w:tcPr>
            <w:tcW w:w="992" w:type="dxa"/>
            <w:tcBorders>
              <w:left w:val="nil"/>
              <w:bottom w:val="double" w:sz="4" w:space="0" w:color="auto"/>
              <w:right w:val="double" w:sz="4" w:space="0" w:color="auto"/>
            </w:tcBorders>
            <w:vAlign w:val="center"/>
          </w:tcPr>
          <w:p w:rsidR="002D6496" w:rsidRDefault="002D6496" w:rsidP="004F3130">
            <w:pPr>
              <w:spacing w:line="360" w:lineRule="auto"/>
              <w:rPr>
                <w:b/>
                <w:bCs/>
                <w:sz w:val="25"/>
                <w:szCs w:val="25"/>
              </w:rPr>
            </w:pPr>
            <w:r>
              <w:rPr>
                <w:b/>
                <w:bCs/>
                <w:sz w:val="25"/>
              </w:rPr>
              <w:sym w:font="Symbol" w:char="F03C"/>
            </w:r>
            <w:r>
              <w:rPr>
                <w:b/>
                <w:bCs/>
                <w:sz w:val="25"/>
                <w:szCs w:val="25"/>
              </w:rPr>
              <w:t>0,1</w:t>
            </w:r>
          </w:p>
        </w:tc>
      </w:tr>
      <w:tr w:rsidR="002D6496" w:rsidTr="004F3130">
        <w:tblPrEx>
          <w:tblCellMar>
            <w:top w:w="0" w:type="dxa"/>
            <w:bottom w:w="0" w:type="dxa"/>
          </w:tblCellMar>
        </w:tblPrEx>
        <w:trPr>
          <w:cantSplit/>
        </w:trPr>
        <w:tc>
          <w:tcPr>
            <w:tcW w:w="2943" w:type="dxa"/>
            <w:tcBorders>
              <w:top w:val="double" w:sz="4" w:space="0" w:color="auto"/>
              <w:left w:val="double" w:sz="4" w:space="0" w:color="auto"/>
              <w:right w:val="double" w:sz="4" w:space="0" w:color="auto"/>
            </w:tcBorders>
            <w:vAlign w:val="center"/>
          </w:tcPr>
          <w:p w:rsidR="002D6496" w:rsidRDefault="002D6496" w:rsidP="004F3130">
            <w:pPr>
              <w:spacing w:line="360" w:lineRule="auto"/>
              <w:jc w:val="both"/>
              <w:rPr>
                <w:b/>
                <w:bCs/>
                <w:sz w:val="25"/>
                <w:szCs w:val="25"/>
              </w:rPr>
            </w:pPr>
            <w:r>
              <w:rPr>
                <w:b/>
                <w:bCs/>
                <w:sz w:val="25"/>
                <w:szCs w:val="25"/>
              </w:rPr>
              <w:t xml:space="preserve">     “0”-лімфоцити: %</w:t>
            </w:r>
          </w:p>
        </w:tc>
        <w:tc>
          <w:tcPr>
            <w:tcW w:w="2977" w:type="dxa"/>
            <w:tcBorders>
              <w:top w:val="double" w:sz="4" w:space="0" w:color="auto"/>
              <w:left w:val="nil"/>
              <w:right w:val="double" w:sz="4" w:space="0" w:color="auto"/>
            </w:tcBorders>
            <w:vAlign w:val="bottom"/>
          </w:tcPr>
          <w:p w:rsidR="002D6496" w:rsidRDefault="002D6496" w:rsidP="004F3130">
            <w:pPr>
              <w:spacing w:line="360" w:lineRule="auto"/>
              <w:jc w:val="center"/>
              <w:rPr>
                <w:b/>
                <w:bCs/>
                <w:sz w:val="25"/>
                <w:szCs w:val="25"/>
              </w:rPr>
            </w:pPr>
            <w:r>
              <w:rPr>
                <w:b/>
                <w:bCs/>
                <w:sz w:val="25"/>
                <w:szCs w:val="25"/>
              </w:rPr>
              <w:t>32,40</w:t>
            </w:r>
            <w:r>
              <w:rPr>
                <w:b/>
                <w:bCs/>
                <w:sz w:val="25"/>
              </w:rPr>
              <w:sym w:font="Symbol" w:char="F0B1"/>
            </w:r>
            <w:r>
              <w:rPr>
                <w:b/>
                <w:bCs/>
                <w:sz w:val="25"/>
                <w:szCs w:val="25"/>
              </w:rPr>
              <w:t>1,14</w:t>
            </w:r>
          </w:p>
        </w:tc>
        <w:tc>
          <w:tcPr>
            <w:tcW w:w="3402" w:type="dxa"/>
            <w:tcBorders>
              <w:top w:val="double" w:sz="4" w:space="0" w:color="auto"/>
              <w:left w:val="nil"/>
              <w:right w:val="double" w:sz="4" w:space="0" w:color="auto"/>
            </w:tcBorders>
            <w:vAlign w:val="center"/>
          </w:tcPr>
          <w:p w:rsidR="002D6496" w:rsidRDefault="002D6496" w:rsidP="004F3130">
            <w:pPr>
              <w:spacing w:line="360" w:lineRule="auto"/>
              <w:jc w:val="center"/>
              <w:rPr>
                <w:b/>
                <w:bCs/>
                <w:sz w:val="25"/>
                <w:szCs w:val="25"/>
              </w:rPr>
            </w:pPr>
            <w:r>
              <w:rPr>
                <w:b/>
                <w:bCs/>
                <w:sz w:val="25"/>
                <w:szCs w:val="25"/>
              </w:rPr>
              <w:t>48,87</w:t>
            </w:r>
            <w:r>
              <w:rPr>
                <w:b/>
                <w:bCs/>
                <w:sz w:val="25"/>
              </w:rPr>
              <w:sym w:font="Symbol" w:char="F0B1"/>
            </w:r>
            <w:r>
              <w:rPr>
                <w:b/>
                <w:bCs/>
                <w:sz w:val="25"/>
                <w:szCs w:val="25"/>
              </w:rPr>
              <w:t>0,97</w:t>
            </w:r>
          </w:p>
        </w:tc>
        <w:tc>
          <w:tcPr>
            <w:tcW w:w="992" w:type="dxa"/>
            <w:tcBorders>
              <w:top w:val="double" w:sz="4" w:space="0" w:color="auto"/>
              <w:left w:val="nil"/>
              <w:right w:val="double" w:sz="4" w:space="0" w:color="auto"/>
            </w:tcBorders>
            <w:vAlign w:val="center"/>
          </w:tcPr>
          <w:p w:rsidR="002D6496" w:rsidRDefault="002D6496" w:rsidP="004F3130">
            <w:pPr>
              <w:spacing w:line="360" w:lineRule="auto"/>
              <w:rPr>
                <w:b/>
                <w:bCs/>
                <w:sz w:val="25"/>
                <w:szCs w:val="25"/>
              </w:rPr>
            </w:pPr>
            <w:r>
              <w:rPr>
                <w:b/>
                <w:bCs/>
                <w:sz w:val="25"/>
                <w:szCs w:val="25"/>
              </w:rPr>
              <w:t>&lt;0,001</w:t>
            </w:r>
          </w:p>
        </w:tc>
      </w:tr>
      <w:tr w:rsidR="002D6496" w:rsidTr="004F3130">
        <w:tblPrEx>
          <w:tblCellMar>
            <w:top w:w="0" w:type="dxa"/>
            <w:bottom w:w="0" w:type="dxa"/>
          </w:tblCellMar>
        </w:tblPrEx>
        <w:trPr>
          <w:cantSplit/>
        </w:trPr>
        <w:tc>
          <w:tcPr>
            <w:tcW w:w="2943" w:type="dxa"/>
            <w:tcBorders>
              <w:left w:val="double" w:sz="4" w:space="0" w:color="auto"/>
              <w:bottom w:val="double" w:sz="4" w:space="0" w:color="auto"/>
              <w:right w:val="double" w:sz="4" w:space="0" w:color="auto"/>
            </w:tcBorders>
            <w:vAlign w:val="center"/>
          </w:tcPr>
          <w:p w:rsidR="002D6496" w:rsidRDefault="002D6496" w:rsidP="004F3130">
            <w:pPr>
              <w:spacing w:line="360" w:lineRule="auto"/>
              <w:ind w:firstLine="738"/>
              <w:jc w:val="center"/>
              <w:rPr>
                <w:b/>
                <w:bCs/>
                <w:sz w:val="25"/>
                <w:szCs w:val="25"/>
              </w:rPr>
            </w:pPr>
            <w:r>
              <w:rPr>
                <w:b/>
                <w:bCs/>
                <w:sz w:val="25"/>
                <w:szCs w:val="25"/>
              </w:rPr>
              <w:t xml:space="preserve">Г/л </w:t>
            </w:r>
          </w:p>
        </w:tc>
        <w:tc>
          <w:tcPr>
            <w:tcW w:w="2977" w:type="dxa"/>
            <w:tcBorders>
              <w:left w:val="nil"/>
              <w:bottom w:val="double" w:sz="4" w:space="0" w:color="auto"/>
              <w:right w:val="double" w:sz="4" w:space="0" w:color="auto"/>
            </w:tcBorders>
            <w:vAlign w:val="center"/>
          </w:tcPr>
          <w:p w:rsidR="002D6496" w:rsidRDefault="002D6496" w:rsidP="004F3130">
            <w:pPr>
              <w:spacing w:line="360" w:lineRule="auto"/>
              <w:jc w:val="center"/>
              <w:rPr>
                <w:b/>
                <w:bCs/>
                <w:sz w:val="25"/>
                <w:szCs w:val="25"/>
              </w:rPr>
            </w:pPr>
            <w:r>
              <w:rPr>
                <w:b/>
                <w:bCs/>
                <w:sz w:val="25"/>
                <w:szCs w:val="25"/>
              </w:rPr>
              <w:t>1,47</w:t>
            </w:r>
            <w:r>
              <w:rPr>
                <w:b/>
                <w:bCs/>
                <w:sz w:val="25"/>
              </w:rPr>
              <w:sym w:font="Symbol" w:char="F0B1"/>
            </w:r>
            <w:r>
              <w:rPr>
                <w:b/>
                <w:bCs/>
                <w:sz w:val="25"/>
                <w:szCs w:val="25"/>
              </w:rPr>
              <w:t>0,12</w:t>
            </w:r>
          </w:p>
        </w:tc>
        <w:tc>
          <w:tcPr>
            <w:tcW w:w="3402" w:type="dxa"/>
            <w:tcBorders>
              <w:left w:val="nil"/>
              <w:bottom w:val="double" w:sz="4" w:space="0" w:color="auto"/>
              <w:right w:val="double" w:sz="4" w:space="0" w:color="auto"/>
            </w:tcBorders>
            <w:vAlign w:val="center"/>
          </w:tcPr>
          <w:p w:rsidR="002D6496" w:rsidRDefault="002D6496" w:rsidP="004F3130">
            <w:pPr>
              <w:spacing w:line="360" w:lineRule="auto"/>
              <w:jc w:val="center"/>
              <w:rPr>
                <w:b/>
                <w:bCs/>
                <w:sz w:val="25"/>
                <w:szCs w:val="25"/>
              </w:rPr>
            </w:pPr>
            <w:r>
              <w:rPr>
                <w:b/>
                <w:bCs/>
                <w:sz w:val="25"/>
                <w:szCs w:val="25"/>
              </w:rPr>
              <w:t>2,22</w:t>
            </w:r>
            <w:r>
              <w:rPr>
                <w:b/>
                <w:bCs/>
                <w:sz w:val="25"/>
              </w:rPr>
              <w:sym w:font="Symbol" w:char="F0B1"/>
            </w:r>
            <w:r>
              <w:rPr>
                <w:b/>
                <w:bCs/>
                <w:sz w:val="25"/>
                <w:szCs w:val="25"/>
              </w:rPr>
              <w:t>0,15</w:t>
            </w:r>
          </w:p>
        </w:tc>
        <w:tc>
          <w:tcPr>
            <w:tcW w:w="992" w:type="dxa"/>
            <w:tcBorders>
              <w:left w:val="nil"/>
              <w:bottom w:val="double" w:sz="4" w:space="0" w:color="auto"/>
              <w:right w:val="double" w:sz="4" w:space="0" w:color="auto"/>
            </w:tcBorders>
            <w:vAlign w:val="center"/>
          </w:tcPr>
          <w:p w:rsidR="002D6496" w:rsidRDefault="002D6496" w:rsidP="004F3130">
            <w:pPr>
              <w:spacing w:line="360" w:lineRule="auto"/>
              <w:rPr>
                <w:b/>
                <w:bCs/>
                <w:sz w:val="25"/>
                <w:szCs w:val="25"/>
              </w:rPr>
            </w:pPr>
            <w:r>
              <w:rPr>
                <w:b/>
                <w:bCs/>
                <w:sz w:val="25"/>
                <w:szCs w:val="25"/>
              </w:rPr>
              <w:t>&lt;0,001</w:t>
            </w:r>
          </w:p>
        </w:tc>
      </w:tr>
    </w:tbl>
    <w:p w:rsidR="002D6496" w:rsidRDefault="002D6496" w:rsidP="002D6496">
      <w:pPr>
        <w:pStyle w:val="2ffffc"/>
        <w:ind w:firstLine="567"/>
      </w:pPr>
    </w:p>
    <w:p w:rsidR="002D6496" w:rsidRDefault="002D6496" w:rsidP="002D6496">
      <w:pPr>
        <w:pStyle w:val="2ffffc"/>
        <w:ind w:firstLine="567"/>
        <w:rPr>
          <w:sz w:val="25"/>
          <w:szCs w:val="25"/>
        </w:rPr>
      </w:pPr>
    </w:p>
    <w:p w:rsidR="002D6496" w:rsidRDefault="002D6496" w:rsidP="002D6496">
      <w:pPr>
        <w:pStyle w:val="2ffffc"/>
        <w:ind w:firstLine="567"/>
        <w:rPr>
          <w:sz w:val="25"/>
          <w:szCs w:val="25"/>
        </w:rPr>
      </w:pPr>
    </w:p>
    <w:p w:rsidR="002D6496" w:rsidRDefault="002D6496" w:rsidP="002D6496">
      <w:pPr>
        <w:pStyle w:val="2ffffc"/>
        <w:ind w:firstLine="567"/>
        <w:rPr>
          <w:sz w:val="25"/>
          <w:szCs w:val="25"/>
        </w:rPr>
      </w:pPr>
      <w:r>
        <w:rPr>
          <w:sz w:val="25"/>
          <w:szCs w:val="25"/>
        </w:rPr>
        <w:t>Насамперед встановлено, що в периферичному руслі крові симентальських корів міститься 50,40</w:t>
      </w:r>
      <w:r>
        <w:rPr>
          <w:sz w:val="25"/>
        </w:rPr>
        <w:sym w:font="Symbol" w:char="F0B1"/>
      </w:r>
      <w:r>
        <w:rPr>
          <w:sz w:val="25"/>
          <w:szCs w:val="25"/>
        </w:rPr>
        <w:t>0,93% Т-лімфоцитів, 16,20</w:t>
      </w:r>
      <w:r>
        <w:rPr>
          <w:sz w:val="25"/>
        </w:rPr>
        <w:sym w:font="Symbol" w:char="F0B1"/>
      </w:r>
      <w:r>
        <w:rPr>
          <w:sz w:val="25"/>
          <w:szCs w:val="25"/>
        </w:rPr>
        <w:t>0,39% В-лімфоцитів; на частку “нульових” відповідно припадало 33,40</w:t>
      </w:r>
      <w:r>
        <w:rPr>
          <w:sz w:val="25"/>
        </w:rPr>
        <w:sym w:font="Symbol" w:char="F0B1"/>
      </w:r>
      <w:r>
        <w:rPr>
          <w:sz w:val="25"/>
          <w:szCs w:val="25"/>
        </w:rPr>
        <w:t>1,14%. Абсолютна кількість Т-лімфоцитів в крові становила 2,16</w:t>
      </w:r>
      <w:r>
        <w:rPr>
          <w:sz w:val="25"/>
        </w:rPr>
        <w:sym w:font="Symbol" w:char="F0B1"/>
      </w:r>
      <w:r>
        <w:rPr>
          <w:sz w:val="25"/>
          <w:szCs w:val="25"/>
        </w:rPr>
        <w:t xml:space="preserve">0,07, В-лімфоцитів </w:t>
      </w:r>
      <w:r>
        <w:rPr>
          <w:sz w:val="25"/>
        </w:rPr>
        <w:sym w:font="Symbol" w:char="F02D"/>
      </w:r>
      <w:r>
        <w:rPr>
          <w:sz w:val="25"/>
          <w:szCs w:val="25"/>
        </w:rPr>
        <w:t xml:space="preserve"> 0,70</w:t>
      </w:r>
      <w:r>
        <w:rPr>
          <w:sz w:val="25"/>
        </w:rPr>
        <w:sym w:font="Symbol" w:char="F0B1"/>
      </w:r>
      <w:r>
        <w:rPr>
          <w:sz w:val="25"/>
          <w:szCs w:val="25"/>
        </w:rPr>
        <w:t>0,02  і  “0”</w:t>
      </w:r>
      <w:r>
        <w:rPr>
          <w:sz w:val="25"/>
        </w:rPr>
        <w:sym w:font="Symbol" w:char="F02D"/>
      </w:r>
      <w:r>
        <w:rPr>
          <w:sz w:val="25"/>
          <w:szCs w:val="25"/>
        </w:rPr>
        <w:t xml:space="preserve"> 1,47</w:t>
      </w:r>
      <w:r>
        <w:rPr>
          <w:sz w:val="25"/>
        </w:rPr>
        <w:sym w:font="Symbol" w:char="F0B1"/>
      </w:r>
      <w:r>
        <w:rPr>
          <w:sz w:val="25"/>
          <w:szCs w:val="25"/>
        </w:rPr>
        <w:t>0,12 (Г/л).</w:t>
      </w:r>
    </w:p>
    <w:p w:rsidR="002D6496" w:rsidRDefault="002D6496" w:rsidP="002D6496">
      <w:pPr>
        <w:pStyle w:val="2ffffc"/>
        <w:ind w:firstLine="567"/>
        <w:rPr>
          <w:sz w:val="25"/>
          <w:szCs w:val="25"/>
        </w:rPr>
      </w:pPr>
      <w:r>
        <w:rPr>
          <w:sz w:val="25"/>
          <w:szCs w:val="25"/>
        </w:rPr>
        <w:t>Розвиток запального процесу в матці в першу чергу супроводжувався пригніченням Т-системи імунітету. Як видно з таблиці 2, кількість Т-лімфоцитів у хворих на ендометрит корів була майже в 1,3 рази меншою, ніж у  клінічно здорових породіль (37,67</w:t>
      </w:r>
      <w:r>
        <w:rPr>
          <w:sz w:val="25"/>
        </w:rPr>
        <w:sym w:font="Symbol" w:char="F0B1"/>
      </w:r>
      <w:r>
        <w:rPr>
          <w:sz w:val="25"/>
          <w:szCs w:val="25"/>
        </w:rPr>
        <w:t xml:space="preserve">0,50 проти </w:t>
      </w:r>
      <w:r>
        <w:rPr>
          <w:sz w:val="25"/>
          <w:szCs w:val="25"/>
        </w:rPr>
        <w:lastRenderedPageBreak/>
        <w:t>50,40</w:t>
      </w:r>
      <w:r>
        <w:rPr>
          <w:sz w:val="25"/>
        </w:rPr>
        <w:sym w:font="Symbol" w:char="F0B1"/>
      </w:r>
      <w:r>
        <w:rPr>
          <w:sz w:val="25"/>
          <w:szCs w:val="25"/>
        </w:rPr>
        <w:t>0,93%). У хворих корів встановлено достовірно вищу відносну кількість “0”- лімфоцитів (48,87</w:t>
      </w:r>
      <w:r>
        <w:rPr>
          <w:sz w:val="25"/>
        </w:rPr>
        <w:sym w:font="Symbol" w:char="F0B1"/>
      </w:r>
      <w:r>
        <w:rPr>
          <w:sz w:val="25"/>
          <w:szCs w:val="25"/>
        </w:rPr>
        <w:t>0,97%, Р&lt;0,001), що також свідчить про активну імуносупресію в першу фазу запального процесу. Кількість В-лімфоцитів у крові хворих тварин становила  0,63</w:t>
      </w:r>
      <w:r>
        <w:rPr>
          <w:sz w:val="25"/>
        </w:rPr>
        <w:sym w:font="Symbol" w:char="F0B1"/>
      </w:r>
      <w:r>
        <w:rPr>
          <w:sz w:val="25"/>
          <w:szCs w:val="25"/>
        </w:rPr>
        <w:t>0,04  Г/л, тобто майже не відрізнялась від їх кількості у клінічно здорових тварин.</w:t>
      </w:r>
    </w:p>
    <w:p w:rsidR="002D6496" w:rsidRDefault="002D6496" w:rsidP="002D6496">
      <w:pPr>
        <w:pStyle w:val="2ffffc"/>
        <w:ind w:firstLine="567"/>
        <w:rPr>
          <w:sz w:val="25"/>
          <w:szCs w:val="25"/>
        </w:rPr>
      </w:pPr>
      <w:r>
        <w:rPr>
          <w:sz w:val="25"/>
          <w:szCs w:val="25"/>
        </w:rPr>
        <w:t xml:space="preserve">Таким чином, післяродовий гнійно-катаральний ендометрит супроводжується суттєвими змінами кількості у крові імунокомпетентних клітин і в першу чергу Т-ланки імунітету. </w:t>
      </w:r>
    </w:p>
    <w:p w:rsidR="002D6496" w:rsidRDefault="002D6496" w:rsidP="002D6496">
      <w:pPr>
        <w:spacing w:line="360" w:lineRule="auto"/>
        <w:ind w:firstLine="567"/>
        <w:jc w:val="both"/>
        <w:rPr>
          <w:sz w:val="25"/>
          <w:szCs w:val="25"/>
        </w:rPr>
      </w:pPr>
      <w:r>
        <w:rPr>
          <w:sz w:val="25"/>
          <w:szCs w:val="25"/>
        </w:rPr>
        <w:t xml:space="preserve">У процесі лікування і видужання в усіх дослідних групах проходила корекція        показників як клітинного, так  і гуморального імунітету. Зокрема,  вже                                           на п’ятий               день лікування            у       І,  ІІ  та  ІІІ  групах,  де    застосовували  препарат </w:t>
      </w:r>
    </w:p>
    <w:p w:rsidR="002D6496" w:rsidRDefault="002D6496" w:rsidP="002D6496">
      <w:pPr>
        <w:pStyle w:val="2ffffc"/>
        <w:rPr>
          <w:sz w:val="25"/>
          <w:szCs w:val="25"/>
        </w:rPr>
      </w:pPr>
    </w:p>
    <w:p w:rsidR="002D6496" w:rsidRDefault="002D6496" w:rsidP="002D6496">
      <w:pPr>
        <w:pStyle w:val="2ffffc"/>
        <w:rPr>
          <w:sz w:val="25"/>
          <w:szCs w:val="25"/>
        </w:rPr>
      </w:pPr>
    </w:p>
    <w:p w:rsidR="002D6496" w:rsidRDefault="002D6496" w:rsidP="002D6496">
      <w:pPr>
        <w:pStyle w:val="2ffffc"/>
        <w:rPr>
          <w:sz w:val="25"/>
          <w:szCs w:val="25"/>
        </w:rPr>
      </w:pPr>
      <w:r>
        <w:rPr>
          <w:sz w:val="25"/>
          <w:szCs w:val="25"/>
        </w:rPr>
        <w:t>АСД-ф-2, кількість   Т- і  В-лімфоцитів достовірно збільшувалась у порівнянні з початковими показниками, але все ж  була  нижчою, ніж  у породіль з фізіологічними перебігом післяродового періоду.</w:t>
      </w:r>
    </w:p>
    <w:p w:rsidR="002D6496" w:rsidRDefault="002D6496" w:rsidP="002D6496">
      <w:pPr>
        <w:spacing w:line="360" w:lineRule="auto"/>
        <w:ind w:firstLine="567"/>
        <w:jc w:val="both"/>
        <w:rPr>
          <w:sz w:val="25"/>
          <w:szCs w:val="25"/>
        </w:rPr>
      </w:pPr>
      <w:r>
        <w:rPr>
          <w:sz w:val="25"/>
          <w:szCs w:val="25"/>
        </w:rPr>
        <w:t>Зростання концентрації Т-лімфоцитів було найбільш вираженим у дослідній групі І  (47,0</w:t>
      </w:r>
      <w:r>
        <w:rPr>
          <w:sz w:val="25"/>
        </w:rPr>
        <w:sym w:font="Symbol" w:char="F0B1"/>
      </w:r>
      <w:r>
        <w:rPr>
          <w:sz w:val="25"/>
          <w:szCs w:val="25"/>
        </w:rPr>
        <w:t xml:space="preserve">0,35%), де використовували внутрішньоаортальні інфузії препаратів в поєднанні із препаратом АСД-ф-2, а найменше </w:t>
      </w:r>
      <w:r>
        <w:rPr>
          <w:sz w:val="25"/>
        </w:rPr>
        <w:sym w:font="Symbol" w:char="F02D"/>
      </w:r>
      <w:r>
        <w:rPr>
          <w:sz w:val="25"/>
          <w:szCs w:val="25"/>
        </w:rPr>
        <w:t xml:space="preserve"> у дослідній групі ІІІ, де застосовували внутрішньоматкові введення. </w:t>
      </w:r>
    </w:p>
    <w:p w:rsidR="002D6496" w:rsidRDefault="002D6496" w:rsidP="002D6496">
      <w:pPr>
        <w:spacing w:line="360" w:lineRule="auto"/>
        <w:ind w:firstLine="567"/>
        <w:jc w:val="both"/>
        <w:rPr>
          <w:sz w:val="25"/>
          <w:szCs w:val="25"/>
        </w:rPr>
      </w:pPr>
      <w:r>
        <w:rPr>
          <w:sz w:val="25"/>
          <w:szCs w:val="25"/>
        </w:rPr>
        <w:t xml:space="preserve">На п’ятий день лікування у всіх групах виявлено достовірне  збільшення кількості В-лімфоцитів. Зокрема, у першій дослідній групі в порівнянні з початковими показниками  їх концентрація зросла майже  на  4%, у другій групі на 2,9% і на 2,8% у третій (р&lt;0,01). </w:t>
      </w:r>
    </w:p>
    <w:p w:rsidR="002D6496" w:rsidRDefault="002D6496" w:rsidP="002D6496">
      <w:pPr>
        <w:spacing w:line="360" w:lineRule="auto"/>
        <w:ind w:firstLine="567"/>
        <w:jc w:val="both"/>
        <w:rPr>
          <w:sz w:val="25"/>
          <w:szCs w:val="25"/>
        </w:rPr>
      </w:pPr>
      <w:r>
        <w:rPr>
          <w:sz w:val="25"/>
          <w:szCs w:val="25"/>
        </w:rPr>
        <w:t>Паралельно відзначали зменшення відносної кількості “0”-лімоцитів крові, причому у корів, яким застосовували препарат АСД</w:t>
      </w:r>
      <w:r>
        <w:rPr>
          <w:sz w:val="25"/>
        </w:rPr>
        <w:sym w:font="Symbol" w:char="F02D"/>
      </w:r>
      <w:r>
        <w:rPr>
          <w:sz w:val="25"/>
          <w:szCs w:val="25"/>
        </w:rPr>
        <w:t>ф-2, воно було також достовірним (р&lt;0,001).</w:t>
      </w:r>
    </w:p>
    <w:p w:rsidR="002D6496" w:rsidRDefault="002D6496" w:rsidP="002D6496">
      <w:pPr>
        <w:spacing w:line="360" w:lineRule="auto"/>
        <w:ind w:firstLine="567"/>
        <w:jc w:val="both"/>
        <w:rPr>
          <w:sz w:val="25"/>
          <w:szCs w:val="25"/>
        </w:rPr>
      </w:pPr>
      <w:r>
        <w:rPr>
          <w:sz w:val="25"/>
          <w:szCs w:val="25"/>
        </w:rPr>
        <w:lastRenderedPageBreak/>
        <w:t xml:space="preserve"> Поряд з цим у всіх дослідних групах в процесі лікування спостерігали певну тенденцію до відновлення імунобіологічного балансу, про що свідчила корекція Т:В співвідношення та  Т-індексу.</w:t>
      </w:r>
    </w:p>
    <w:p w:rsidR="002D6496" w:rsidRDefault="002D6496" w:rsidP="002D6496">
      <w:pPr>
        <w:spacing w:line="360" w:lineRule="auto"/>
        <w:ind w:firstLine="567"/>
        <w:jc w:val="both"/>
        <w:rPr>
          <w:sz w:val="25"/>
          <w:szCs w:val="25"/>
        </w:rPr>
      </w:pPr>
      <w:r>
        <w:rPr>
          <w:sz w:val="25"/>
          <w:szCs w:val="25"/>
        </w:rPr>
        <w:t>Паралельно з динамічними коливаннями  імунобіологічних показників змінювалася симптоматика хвороби. У хворих корів у процесі лікування нормалізувалася температурна реакція, зменшувалось виділення ексудату з геніталій та зменшувалася больова реакція матки.</w:t>
      </w:r>
    </w:p>
    <w:p w:rsidR="002D6496" w:rsidRDefault="002D6496" w:rsidP="002D6496">
      <w:pPr>
        <w:spacing w:line="360" w:lineRule="auto"/>
        <w:ind w:firstLine="567"/>
        <w:jc w:val="both"/>
        <w:rPr>
          <w:sz w:val="25"/>
          <w:szCs w:val="25"/>
        </w:rPr>
      </w:pPr>
      <w:r>
        <w:rPr>
          <w:sz w:val="25"/>
          <w:szCs w:val="25"/>
        </w:rPr>
        <w:t xml:space="preserve"> Необхідно зазначити, що в цей час кількість Т- і В-лімфоцитів у крові тварин реконвалесцентів  усіх дослідних груп була вищою від  початкових показників, а у І групі навіть перевищила контрольні показники, що можна пояснити імуностимулюючим впливом біопрепаратів. </w:t>
      </w:r>
    </w:p>
    <w:p w:rsidR="002D6496" w:rsidRDefault="002D6496" w:rsidP="002D6496">
      <w:pPr>
        <w:spacing w:line="360" w:lineRule="auto"/>
        <w:ind w:firstLine="567"/>
        <w:jc w:val="both"/>
        <w:rPr>
          <w:sz w:val="25"/>
          <w:szCs w:val="25"/>
        </w:rPr>
      </w:pPr>
      <w:r>
        <w:rPr>
          <w:sz w:val="25"/>
          <w:szCs w:val="25"/>
        </w:rPr>
        <w:t>Таким чином, у процесі лікування корів з післяродовим гнійно-катаральним ендометритом при застосуванні біологічно активних препаратів проходить виражена стимуляція і корекція їх імунобіологічних показників.</w:t>
      </w:r>
    </w:p>
    <w:p w:rsidR="002D6496" w:rsidRDefault="002D6496" w:rsidP="002D6496">
      <w:pPr>
        <w:pStyle w:val="2ffffc"/>
        <w:ind w:firstLine="142"/>
        <w:jc w:val="center"/>
        <w:rPr>
          <w:b/>
          <w:bCs/>
          <w:sz w:val="25"/>
          <w:szCs w:val="25"/>
        </w:rPr>
      </w:pPr>
    </w:p>
    <w:p w:rsidR="002D6496" w:rsidRDefault="002D6496" w:rsidP="002D6496">
      <w:pPr>
        <w:pStyle w:val="2ffffc"/>
        <w:ind w:firstLine="142"/>
        <w:jc w:val="center"/>
        <w:rPr>
          <w:b/>
          <w:bCs/>
          <w:sz w:val="25"/>
          <w:szCs w:val="25"/>
        </w:rPr>
      </w:pPr>
      <w:r>
        <w:rPr>
          <w:b/>
          <w:bCs/>
          <w:sz w:val="25"/>
          <w:szCs w:val="25"/>
        </w:rPr>
        <w:t xml:space="preserve">Зміни неспецифічної резистентності корів у динаміці </w:t>
      </w:r>
    </w:p>
    <w:p w:rsidR="002D6496" w:rsidRDefault="002D6496" w:rsidP="002D6496">
      <w:pPr>
        <w:pStyle w:val="2ffffc"/>
        <w:ind w:firstLine="142"/>
        <w:jc w:val="center"/>
        <w:rPr>
          <w:b/>
          <w:bCs/>
          <w:sz w:val="25"/>
          <w:szCs w:val="25"/>
        </w:rPr>
      </w:pPr>
      <w:r>
        <w:rPr>
          <w:b/>
          <w:bCs/>
          <w:sz w:val="25"/>
          <w:szCs w:val="25"/>
        </w:rPr>
        <w:t>лікування післяродового гнійно-катарального</w:t>
      </w:r>
    </w:p>
    <w:p w:rsidR="002D6496" w:rsidRDefault="002D6496" w:rsidP="002D6496">
      <w:pPr>
        <w:pStyle w:val="2ffffc"/>
        <w:ind w:firstLine="142"/>
        <w:jc w:val="center"/>
        <w:rPr>
          <w:b/>
          <w:bCs/>
          <w:sz w:val="25"/>
          <w:szCs w:val="25"/>
        </w:rPr>
      </w:pPr>
      <w:r>
        <w:rPr>
          <w:b/>
          <w:bCs/>
          <w:sz w:val="25"/>
          <w:szCs w:val="25"/>
        </w:rPr>
        <w:t xml:space="preserve"> ендометриту</w:t>
      </w:r>
    </w:p>
    <w:p w:rsidR="002D6496" w:rsidRDefault="002D6496" w:rsidP="002D6496">
      <w:pPr>
        <w:pStyle w:val="2ffffc"/>
        <w:tabs>
          <w:tab w:val="left" w:pos="3648"/>
        </w:tabs>
        <w:ind w:firstLine="567"/>
        <w:rPr>
          <w:sz w:val="25"/>
          <w:szCs w:val="25"/>
        </w:rPr>
      </w:pPr>
      <w:r>
        <w:rPr>
          <w:sz w:val="25"/>
          <w:szCs w:val="25"/>
        </w:rPr>
        <w:t>Як видно з даних таблиці 3, метаболічна активність нейтрофільних гранулоцитів периферичної крові корів, хворих на післяродовий ендометрит, істотно відрізнялась від аналогічних показників клінічно здорових корів. Загальна кількість формазанпозитивних нейтрофілів у хворих породіль становила 18,80</w:t>
      </w:r>
      <w:r>
        <w:rPr>
          <w:sz w:val="25"/>
        </w:rPr>
        <w:sym w:font="Symbol" w:char="F0B1"/>
      </w:r>
      <w:r>
        <w:rPr>
          <w:sz w:val="25"/>
          <w:szCs w:val="25"/>
        </w:rPr>
        <w:t xml:space="preserve">0,74% при цитологічному                            індексі    (ЦЛІ) </w:t>
      </w:r>
      <w:r>
        <w:rPr>
          <w:sz w:val="25"/>
        </w:rPr>
        <w:sym w:font="Symbol" w:char="F02D"/>
      </w:r>
      <w:r>
        <w:rPr>
          <w:sz w:val="25"/>
          <w:szCs w:val="25"/>
        </w:rPr>
        <w:t xml:space="preserve"> 0,34</w:t>
      </w:r>
      <w:r>
        <w:rPr>
          <w:sz w:val="25"/>
        </w:rPr>
        <w:sym w:font="Symbol" w:char="F0B1"/>
      </w:r>
      <w:r>
        <w:rPr>
          <w:sz w:val="25"/>
          <w:szCs w:val="25"/>
        </w:rPr>
        <w:t>0,01%. Дана патологія супроводжувалась      також   високим    індексом</w:t>
      </w:r>
    </w:p>
    <w:p w:rsidR="002D6496" w:rsidRDefault="002D6496" w:rsidP="002D6496">
      <w:pPr>
        <w:pStyle w:val="2ffffc"/>
        <w:tabs>
          <w:tab w:val="left" w:pos="3648"/>
        </w:tabs>
        <w:ind w:firstLine="567"/>
        <w:rPr>
          <w:sz w:val="25"/>
          <w:szCs w:val="25"/>
        </w:rPr>
      </w:pPr>
    </w:p>
    <w:p w:rsidR="002D6496" w:rsidRDefault="002D6496" w:rsidP="002D6496">
      <w:pPr>
        <w:pStyle w:val="2ffffc"/>
        <w:tabs>
          <w:tab w:val="left" w:pos="3648"/>
        </w:tabs>
        <w:rPr>
          <w:sz w:val="25"/>
          <w:szCs w:val="25"/>
        </w:rPr>
      </w:pPr>
      <w:r>
        <w:rPr>
          <w:sz w:val="25"/>
          <w:szCs w:val="25"/>
        </w:rPr>
        <w:t>активації нейтрофілів (ІАН 0,44</w:t>
      </w:r>
      <w:r>
        <w:rPr>
          <w:sz w:val="25"/>
        </w:rPr>
        <w:sym w:font="Symbol" w:char="F0B1"/>
      </w:r>
      <w:r>
        <w:rPr>
          <w:sz w:val="25"/>
          <w:szCs w:val="25"/>
        </w:rPr>
        <w:t>0,02 проти 0,32</w:t>
      </w:r>
      <w:r>
        <w:rPr>
          <w:sz w:val="25"/>
        </w:rPr>
        <w:sym w:font="Symbol" w:char="F0B1"/>
      </w:r>
      <w:r>
        <w:rPr>
          <w:sz w:val="25"/>
          <w:szCs w:val="25"/>
        </w:rPr>
        <w:t>0,02 у клінічно здорових тварин), що ймовірно обумовлено  гострим перебігом запального процесу.</w:t>
      </w:r>
      <w:r>
        <w:rPr>
          <w:sz w:val="25"/>
          <w:szCs w:val="25"/>
        </w:rPr>
        <w:tab/>
      </w:r>
      <w:r>
        <w:rPr>
          <w:sz w:val="25"/>
          <w:szCs w:val="25"/>
        </w:rPr>
        <w:tab/>
      </w:r>
      <w:r>
        <w:rPr>
          <w:sz w:val="25"/>
          <w:szCs w:val="25"/>
        </w:rPr>
        <w:tab/>
      </w:r>
    </w:p>
    <w:p w:rsidR="002D6496" w:rsidRDefault="002D6496" w:rsidP="002D6496">
      <w:pPr>
        <w:pStyle w:val="2ffffc"/>
        <w:tabs>
          <w:tab w:val="left" w:pos="3648"/>
        </w:tabs>
        <w:ind w:firstLine="567"/>
        <w:rPr>
          <w:sz w:val="25"/>
          <w:szCs w:val="25"/>
        </w:rPr>
      </w:pPr>
      <w:r>
        <w:rPr>
          <w:sz w:val="25"/>
          <w:szCs w:val="25"/>
        </w:rPr>
        <w:lastRenderedPageBreak/>
        <w:t>У групі І, де застосовували комплексні внутрішньоаортальні інфузії препаратів, уже на 5-й день лікування було виявлено зменшення загальної кількості активних нейтрофілів, а в кінці досліду їх відсоток майже зрівнявся з показниками породіль з фізіологічним післяродовим періодом (10,17</w:t>
      </w:r>
      <w:r>
        <w:rPr>
          <w:sz w:val="25"/>
        </w:rPr>
        <w:sym w:font="Symbol" w:char="F0B1"/>
      </w:r>
      <w:r>
        <w:rPr>
          <w:sz w:val="25"/>
          <w:szCs w:val="25"/>
        </w:rPr>
        <w:t>0,44 проти 10,20</w:t>
      </w:r>
      <w:r>
        <w:rPr>
          <w:sz w:val="25"/>
        </w:rPr>
        <w:sym w:font="Symbol" w:char="F0B1"/>
      </w:r>
      <w:r>
        <w:rPr>
          <w:sz w:val="25"/>
          <w:szCs w:val="25"/>
        </w:rPr>
        <w:t>0,60%). Зменшення рівня формазанпозитивних клітин супроводжувалося  зниженням ЦЛІ та ІАН, що є ознакою згасання запальної реакції. Аналогічну тенденцію зменшення НСТ</w:t>
      </w:r>
      <w:r>
        <w:rPr>
          <w:rFonts w:ascii="Lucida Console" w:hAnsi="Lucida Console" w:cs="Lucida Console"/>
          <w:sz w:val="25"/>
          <w:szCs w:val="25"/>
        </w:rPr>
        <w:t>―</w:t>
      </w:r>
      <w:r>
        <w:rPr>
          <w:sz w:val="25"/>
          <w:szCs w:val="25"/>
        </w:rPr>
        <w:t>позитивних нейтрофілів спостерігали в ІІ і ІІІ групі, де згадані препарати застосовували підшкірно, внутрішньоматково чи внутрішньом'язово, проте цей процес проходив менш виражено.</w:t>
      </w:r>
    </w:p>
    <w:p w:rsidR="002D6496" w:rsidRDefault="002D6496" w:rsidP="002D6496">
      <w:pPr>
        <w:pStyle w:val="2ffffc"/>
        <w:tabs>
          <w:tab w:val="left" w:pos="3648"/>
        </w:tabs>
        <w:ind w:firstLine="567"/>
        <w:rPr>
          <w:sz w:val="25"/>
          <w:szCs w:val="25"/>
        </w:rPr>
      </w:pPr>
    </w:p>
    <w:p w:rsidR="002D6496" w:rsidRDefault="002D6496" w:rsidP="002D6496">
      <w:pPr>
        <w:pStyle w:val="2ffffc"/>
        <w:tabs>
          <w:tab w:val="left" w:pos="0"/>
        </w:tabs>
        <w:ind w:firstLine="567"/>
        <w:jc w:val="right"/>
        <w:rPr>
          <w:b/>
          <w:bCs/>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b/>
          <w:bCs/>
          <w:sz w:val="25"/>
          <w:szCs w:val="25"/>
        </w:rPr>
        <w:t>Таблиця 3</w:t>
      </w:r>
    </w:p>
    <w:p w:rsidR="002D6496" w:rsidRDefault="002D6496" w:rsidP="002D6496">
      <w:pPr>
        <w:pStyle w:val="2ffffc"/>
        <w:tabs>
          <w:tab w:val="left" w:pos="3648"/>
        </w:tabs>
        <w:ind w:firstLine="567"/>
        <w:jc w:val="center"/>
        <w:rPr>
          <w:b/>
          <w:bCs/>
          <w:sz w:val="25"/>
          <w:szCs w:val="25"/>
        </w:rPr>
      </w:pPr>
      <w:r>
        <w:rPr>
          <w:b/>
          <w:bCs/>
          <w:sz w:val="25"/>
          <w:szCs w:val="25"/>
        </w:rPr>
        <w:t>Метаболічна активність нейтрофілів у периферійній крові  корів, хворих на гнійно-катаральний ендометрит (М</w:t>
      </w:r>
      <w:r>
        <w:rPr>
          <w:b/>
          <w:bCs/>
          <w:sz w:val="25"/>
        </w:rPr>
        <w:sym w:font="Symbol" w:char="F0B1"/>
      </w:r>
      <w:r>
        <w:rPr>
          <w:b/>
          <w:bCs/>
          <w:sz w:val="25"/>
          <w:szCs w:val="25"/>
        </w:rPr>
        <w:t>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6"/>
        <w:gridCol w:w="3844"/>
        <w:gridCol w:w="2268"/>
        <w:gridCol w:w="1985"/>
      </w:tblGrid>
      <w:tr w:rsidR="002D6496" w:rsidTr="004F3130">
        <w:tblPrEx>
          <w:tblCellMar>
            <w:top w:w="0" w:type="dxa"/>
            <w:bottom w:w="0" w:type="dxa"/>
          </w:tblCellMar>
        </w:tblPrEx>
        <w:trPr>
          <w:cantSplit/>
          <w:trHeight w:val="483"/>
        </w:trPr>
        <w:tc>
          <w:tcPr>
            <w:tcW w:w="1826" w:type="dxa"/>
            <w:vMerge w:val="restart"/>
            <w:tcBorders>
              <w:top w:val="double" w:sz="4" w:space="0" w:color="auto"/>
              <w:left w:val="double" w:sz="4" w:space="0" w:color="auto"/>
              <w:right w:val="double" w:sz="4" w:space="0" w:color="auto"/>
            </w:tcBorders>
            <w:vAlign w:val="center"/>
          </w:tcPr>
          <w:p w:rsidR="002D6496" w:rsidRDefault="002D6496" w:rsidP="004F3130">
            <w:pPr>
              <w:pStyle w:val="2ffffc"/>
              <w:tabs>
                <w:tab w:val="left" w:pos="3648"/>
              </w:tabs>
              <w:spacing w:line="240" w:lineRule="auto"/>
              <w:jc w:val="center"/>
              <w:rPr>
                <w:b/>
                <w:bCs/>
                <w:sz w:val="25"/>
                <w:szCs w:val="25"/>
              </w:rPr>
            </w:pPr>
            <w:r>
              <w:rPr>
                <w:b/>
                <w:bCs/>
                <w:sz w:val="25"/>
                <w:szCs w:val="25"/>
              </w:rPr>
              <w:t>Групи тварин</w:t>
            </w:r>
          </w:p>
        </w:tc>
        <w:tc>
          <w:tcPr>
            <w:tcW w:w="3844" w:type="dxa"/>
            <w:vMerge w:val="restart"/>
            <w:tcBorders>
              <w:top w:val="double" w:sz="4" w:space="0" w:color="auto"/>
              <w:left w:val="nil"/>
              <w:right w:val="double" w:sz="4" w:space="0" w:color="auto"/>
            </w:tcBorders>
            <w:vAlign w:val="center"/>
          </w:tcPr>
          <w:p w:rsidR="002D6496" w:rsidRDefault="002D6496" w:rsidP="004F3130">
            <w:pPr>
              <w:pStyle w:val="2ffffc"/>
              <w:tabs>
                <w:tab w:val="left" w:pos="3648"/>
              </w:tabs>
              <w:spacing w:line="240" w:lineRule="auto"/>
              <w:jc w:val="center"/>
              <w:rPr>
                <w:b/>
                <w:bCs/>
                <w:spacing w:val="26"/>
                <w:sz w:val="25"/>
                <w:szCs w:val="25"/>
              </w:rPr>
            </w:pPr>
            <w:r>
              <w:rPr>
                <w:b/>
                <w:bCs/>
                <w:spacing w:val="26"/>
                <w:sz w:val="25"/>
                <w:szCs w:val="25"/>
              </w:rPr>
              <w:t>Загальна кількість НСТ позитивних нейтрофілів, %</w:t>
            </w:r>
          </w:p>
        </w:tc>
        <w:tc>
          <w:tcPr>
            <w:tcW w:w="2268" w:type="dxa"/>
            <w:vMerge w:val="restart"/>
            <w:tcBorders>
              <w:top w:val="double" w:sz="4" w:space="0" w:color="auto"/>
              <w:left w:val="nil"/>
              <w:right w:val="double" w:sz="4" w:space="0" w:color="auto"/>
            </w:tcBorders>
            <w:vAlign w:val="center"/>
          </w:tcPr>
          <w:p w:rsidR="002D6496" w:rsidRDefault="002D6496" w:rsidP="004F3130">
            <w:pPr>
              <w:pStyle w:val="2ffffc"/>
              <w:tabs>
                <w:tab w:val="left" w:pos="3648"/>
              </w:tabs>
              <w:spacing w:line="240" w:lineRule="auto"/>
              <w:jc w:val="center"/>
              <w:rPr>
                <w:b/>
                <w:bCs/>
                <w:sz w:val="25"/>
                <w:szCs w:val="25"/>
              </w:rPr>
            </w:pPr>
            <w:r>
              <w:rPr>
                <w:b/>
                <w:bCs/>
                <w:sz w:val="25"/>
                <w:szCs w:val="25"/>
              </w:rPr>
              <w:t>ЦЛІ,%</w:t>
            </w:r>
          </w:p>
        </w:tc>
        <w:tc>
          <w:tcPr>
            <w:tcW w:w="1985" w:type="dxa"/>
            <w:vMerge w:val="restart"/>
            <w:tcBorders>
              <w:top w:val="double" w:sz="4" w:space="0" w:color="auto"/>
              <w:left w:val="nil"/>
              <w:right w:val="double" w:sz="4" w:space="0" w:color="auto"/>
            </w:tcBorders>
            <w:vAlign w:val="center"/>
          </w:tcPr>
          <w:p w:rsidR="002D6496" w:rsidRDefault="002D6496" w:rsidP="004F3130">
            <w:pPr>
              <w:pStyle w:val="2ffffc"/>
              <w:tabs>
                <w:tab w:val="left" w:pos="3648"/>
              </w:tabs>
              <w:spacing w:line="240" w:lineRule="auto"/>
              <w:jc w:val="center"/>
              <w:rPr>
                <w:b/>
                <w:bCs/>
                <w:sz w:val="25"/>
                <w:szCs w:val="25"/>
              </w:rPr>
            </w:pPr>
            <w:r>
              <w:rPr>
                <w:b/>
                <w:bCs/>
                <w:sz w:val="25"/>
                <w:szCs w:val="25"/>
              </w:rPr>
              <w:t>ІАН</w:t>
            </w:r>
          </w:p>
        </w:tc>
      </w:tr>
      <w:tr w:rsidR="002D6496" w:rsidTr="004F3130">
        <w:tblPrEx>
          <w:tblCellMar>
            <w:top w:w="0" w:type="dxa"/>
            <w:bottom w:w="0" w:type="dxa"/>
          </w:tblCellMar>
        </w:tblPrEx>
        <w:trPr>
          <w:cantSplit/>
          <w:trHeight w:val="640"/>
        </w:trPr>
        <w:tc>
          <w:tcPr>
            <w:tcW w:w="1826" w:type="dxa"/>
            <w:vMerge/>
            <w:tcBorders>
              <w:left w:val="double" w:sz="4" w:space="0" w:color="auto"/>
              <w:bottom w:val="double" w:sz="4" w:space="0" w:color="auto"/>
              <w:right w:val="double" w:sz="4" w:space="0" w:color="auto"/>
            </w:tcBorders>
            <w:vAlign w:val="center"/>
          </w:tcPr>
          <w:p w:rsidR="002D6496" w:rsidRDefault="002D6496" w:rsidP="004F3130">
            <w:pPr>
              <w:pStyle w:val="2ffffc"/>
              <w:tabs>
                <w:tab w:val="left" w:pos="3648"/>
              </w:tabs>
              <w:spacing w:line="240" w:lineRule="auto"/>
              <w:jc w:val="center"/>
              <w:rPr>
                <w:sz w:val="25"/>
                <w:szCs w:val="25"/>
              </w:rPr>
            </w:pPr>
          </w:p>
        </w:tc>
        <w:tc>
          <w:tcPr>
            <w:tcW w:w="3844" w:type="dxa"/>
            <w:vMerge/>
            <w:tcBorders>
              <w:left w:val="nil"/>
              <w:bottom w:val="double" w:sz="4" w:space="0" w:color="auto"/>
              <w:right w:val="double" w:sz="4" w:space="0" w:color="auto"/>
            </w:tcBorders>
          </w:tcPr>
          <w:p w:rsidR="002D6496" w:rsidRDefault="002D6496" w:rsidP="004F3130">
            <w:pPr>
              <w:pStyle w:val="2ffffc"/>
              <w:tabs>
                <w:tab w:val="left" w:pos="3648"/>
              </w:tabs>
              <w:spacing w:line="240" w:lineRule="auto"/>
              <w:jc w:val="center"/>
              <w:rPr>
                <w:sz w:val="25"/>
                <w:szCs w:val="25"/>
              </w:rPr>
            </w:pPr>
          </w:p>
        </w:tc>
        <w:tc>
          <w:tcPr>
            <w:tcW w:w="2268" w:type="dxa"/>
            <w:vMerge/>
            <w:tcBorders>
              <w:left w:val="nil"/>
              <w:bottom w:val="double" w:sz="4" w:space="0" w:color="auto"/>
              <w:right w:val="double" w:sz="4" w:space="0" w:color="auto"/>
            </w:tcBorders>
          </w:tcPr>
          <w:p w:rsidR="002D6496" w:rsidRDefault="002D6496" w:rsidP="004F3130">
            <w:pPr>
              <w:pStyle w:val="2ffffc"/>
              <w:tabs>
                <w:tab w:val="left" w:pos="3648"/>
              </w:tabs>
              <w:spacing w:line="240" w:lineRule="auto"/>
              <w:jc w:val="center"/>
              <w:rPr>
                <w:sz w:val="25"/>
                <w:szCs w:val="25"/>
              </w:rPr>
            </w:pPr>
          </w:p>
        </w:tc>
        <w:tc>
          <w:tcPr>
            <w:tcW w:w="1985" w:type="dxa"/>
            <w:vMerge/>
            <w:tcBorders>
              <w:left w:val="nil"/>
              <w:bottom w:val="double" w:sz="4" w:space="0" w:color="auto"/>
              <w:right w:val="double" w:sz="4" w:space="0" w:color="auto"/>
            </w:tcBorders>
          </w:tcPr>
          <w:p w:rsidR="002D6496" w:rsidRDefault="002D6496" w:rsidP="004F3130">
            <w:pPr>
              <w:pStyle w:val="2ffffc"/>
              <w:tabs>
                <w:tab w:val="left" w:pos="3648"/>
              </w:tabs>
              <w:spacing w:line="240" w:lineRule="auto"/>
              <w:jc w:val="center"/>
              <w:rPr>
                <w:sz w:val="25"/>
                <w:szCs w:val="25"/>
              </w:rPr>
            </w:pPr>
          </w:p>
        </w:tc>
      </w:tr>
      <w:tr w:rsidR="002D6496" w:rsidTr="004F3130">
        <w:tblPrEx>
          <w:tblCellMar>
            <w:top w:w="0" w:type="dxa"/>
            <w:bottom w:w="0" w:type="dxa"/>
          </w:tblCellMar>
        </w:tblPrEx>
        <w:trPr>
          <w:cantSplit/>
          <w:trHeight w:val="395"/>
        </w:trPr>
        <w:tc>
          <w:tcPr>
            <w:tcW w:w="1826" w:type="dxa"/>
            <w:tcBorders>
              <w:top w:val="double" w:sz="4" w:space="0" w:color="auto"/>
              <w:left w:val="double" w:sz="4" w:space="0" w:color="auto"/>
              <w:bottom w:val="double" w:sz="4" w:space="0" w:color="auto"/>
              <w:right w:val="double" w:sz="4" w:space="0" w:color="auto"/>
            </w:tcBorders>
            <w:vAlign w:val="center"/>
          </w:tcPr>
          <w:p w:rsidR="002D6496" w:rsidRDefault="002D6496" w:rsidP="004F3130">
            <w:pPr>
              <w:pStyle w:val="2ffffc"/>
              <w:tabs>
                <w:tab w:val="left" w:pos="3648"/>
              </w:tabs>
              <w:spacing w:line="240" w:lineRule="auto"/>
              <w:jc w:val="center"/>
              <w:rPr>
                <w:b/>
                <w:bCs/>
                <w:sz w:val="25"/>
                <w:szCs w:val="25"/>
              </w:rPr>
            </w:pPr>
            <w:r>
              <w:rPr>
                <w:b/>
                <w:bCs/>
                <w:sz w:val="25"/>
                <w:szCs w:val="25"/>
              </w:rPr>
              <w:t xml:space="preserve">Клінічно здорові </w:t>
            </w:r>
          </w:p>
          <w:p w:rsidR="002D6496" w:rsidRDefault="002D6496" w:rsidP="004F3130">
            <w:pPr>
              <w:pStyle w:val="2ffffc"/>
              <w:tabs>
                <w:tab w:val="left" w:pos="3648"/>
              </w:tabs>
              <w:spacing w:line="240" w:lineRule="auto"/>
              <w:jc w:val="center"/>
              <w:rPr>
                <w:b/>
                <w:bCs/>
                <w:sz w:val="25"/>
                <w:szCs w:val="25"/>
              </w:rPr>
            </w:pPr>
            <w:r>
              <w:rPr>
                <w:b/>
                <w:bCs/>
                <w:sz w:val="25"/>
                <w:szCs w:val="25"/>
              </w:rPr>
              <w:t>(</w:t>
            </w:r>
            <w:r>
              <w:rPr>
                <w:b/>
                <w:bCs/>
                <w:sz w:val="25"/>
                <w:szCs w:val="25"/>
                <w:lang w:val="en-US"/>
              </w:rPr>
              <w:t>n</w:t>
            </w:r>
            <w:r>
              <w:rPr>
                <w:b/>
                <w:bCs/>
                <w:sz w:val="25"/>
                <w:szCs w:val="25"/>
              </w:rPr>
              <w:t xml:space="preserve">=18)       </w:t>
            </w:r>
          </w:p>
        </w:tc>
        <w:tc>
          <w:tcPr>
            <w:tcW w:w="3844" w:type="dxa"/>
            <w:tcBorders>
              <w:top w:val="double" w:sz="4" w:space="0" w:color="auto"/>
              <w:left w:val="nil"/>
              <w:bottom w:val="double" w:sz="4" w:space="0" w:color="auto"/>
              <w:right w:val="double" w:sz="4" w:space="0" w:color="auto"/>
            </w:tcBorders>
            <w:vAlign w:val="center"/>
          </w:tcPr>
          <w:p w:rsidR="002D6496" w:rsidRDefault="002D6496" w:rsidP="004F3130">
            <w:pPr>
              <w:pStyle w:val="2ffffc"/>
              <w:tabs>
                <w:tab w:val="left" w:pos="3648"/>
              </w:tabs>
              <w:spacing w:line="240" w:lineRule="auto"/>
              <w:jc w:val="center"/>
              <w:rPr>
                <w:b/>
                <w:bCs/>
                <w:sz w:val="25"/>
                <w:szCs w:val="25"/>
              </w:rPr>
            </w:pPr>
          </w:p>
          <w:p w:rsidR="002D6496" w:rsidRDefault="002D6496" w:rsidP="004F3130">
            <w:pPr>
              <w:pStyle w:val="2ffffc"/>
              <w:tabs>
                <w:tab w:val="left" w:pos="3648"/>
              </w:tabs>
              <w:spacing w:line="240" w:lineRule="auto"/>
              <w:jc w:val="center"/>
              <w:rPr>
                <w:b/>
                <w:bCs/>
                <w:sz w:val="25"/>
                <w:szCs w:val="25"/>
              </w:rPr>
            </w:pPr>
            <w:r>
              <w:rPr>
                <w:b/>
                <w:bCs/>
                <w:sz w:val="25"/>
                <w:szCs w:val="25"/>
              </w:rPr>
              <w:t>10,20</w:t>
            </w:r>
            <w:r>
              <w:rPr>
                <w:b/>
                <w:bCs/>
                <w:sz w:val="25"/>
              </w:rPr>
              <w:sym w:font="Symbol" w:char="F0B1"/>
            </w:r>
            <w:r>
              <w:rPr>
                <w:b/>
                <w:bCs/>
                <w:sz w:val="25"/>
                <w:szCs w:val="25"/>
              </w:rPr>
              <w:t>0,60***</w:t>
            </w:r>
          </w:p>
          <w:p w:rsidR="002D6496" w:rsidRDefault="002D6496" w:rsidP="004F3130">
            <w:pPr>
              <w:pStyle w:val="2ffffc"/>
              <w:tabs>
                <w:tab w:val="left" w:pos="3648"/>
              </w:tabs>
              <w:spacing w:line="240" w:lineRule="auto"/>
              <w:jc w:val="center"/>
              <w:rPr>
                <w:b/>
                <w:bCs/>
                <w:sz w:val="25"/>
                <w:szCs w:val="25"/>
              </w:rPr>
            </w:pPr>
          </w:p>
        </w:tc>
        <w:tc>
          <w:tcPr>
            <w:tcW w:w="2268" w:type="dxa"/>
            <w:tcBorders>
              <w:top w:val="double" w:sz="4" w:space="0" w:color="auto"/>
              <w:left w:val="nil"/>
              <w:bottom w:val="double" w:sz="4" w:space="0" w:color="auto"/>
              <w:right w:val="double" w:sz="4" w:space="0" w:color="auto"/>
            </w:tcBorders>
            <w:vAlign w:val="center"/>
          </w:tcPr>
          <w:p w:rsidR="002D6496" w:rsidRDefault="002D6496" w:rsidP="004F3130">
            <w:pPr>
              <w:pStyle w:val="2ffffc"/>
              <w:tabs>
                <w:tab w:val="left" w:pos="3648"/>
              </w:tabs>
              <w:spacing w:line="240" w:lineRule="auto"/>
              <w:ind w:firstLine="34"/>
              <w:jc w:val="center"/>
              <w:rPr>
                <w:b/>
                <w:bCs/>
                <w:sz w:val="25"/>
                <w:szCs w:val="25"/>
              </w:rPr>
            </w:pPr>
          </w:p>
          <w:p w:rsidR="002D6496" w:rsidRDefault="002D6496" w:rsidP="004F3130">
            <w:pPr>
              <w:pStyle w:val="2ffffc"/>
              <w:tabs>
                <w:tab w:val="left" w:pos="3648"/>
              </w:tabs>
              <w:spacing w:line="240" w:lineRule="auto"/>
              <w:ind w:firstLine="34"/>
              <w:jc w:val="center"/>
              <w:rPr>
                <w:b/>
                <w:bCs/>
                <w:sz w:val="25"/>
                <w:szCs w:val="25"/>
              </w:rPr>
            </w:pPr>
            <w:r>
              <w:rPr>
                <w:b/>
                <w:bCs/>
                <w:sz w:val="25"/>
                <w:szCs w:val="25"/>
              </w:rPr>
              <w:t>0,17</w:t>
            </w:r>
            <w:r>
              <w:rPr>
                <w:b/>
                <w:bCs/>
                <w:sz w:val="25"/>
              </w:rPr>
              <w:sym w:font="Symbol" w:char="F0B1"/>
            </w:r>
            <w:r>
              <w:rPr>
                <w:b/>
                <w:bCs/>
                <w:sz w:val="25"/>
                <w:szCs w:val="25"/>
              </w:rPr>
              <w:t xml:space="preserve"> 0,02***</w:t>
            </w:r>
          </w:p>
          <w:p w:rsidR="002D6496" w:rsidRDefault="002D6496" w:rsidP="004F3130">
            <w:pPr>
              <w:pStyle w:val="2ffffc"/>
              <w:tabs>
                <w:tab w:val="left" w:pos="3648"/>
              </w:tabs>
              <w:spacing w:line="240" w:lineRule="auto"/>
              <w:ind w:firstLine="34"/>
              <w:jc w:val="center"/>
              <w:rPr>
                <w:b/>
                <w:bCs/>
                <w:sz w:val="25"/>
                <w:szCs w:val="25"/>
              </w:rPr>
            </w:pPr>
          </w:p>
        </w:tc>
        <w:tc>
          <w:tcPr>
            <w:tcW w:w="1985" w:type="dxa"/>
            <w:tcBorders>
              <w:top w:val="double" w:sz="4" w:space="0" w:color="auto"/>
              <w:left w:val="nil"/>
              <w:bottom w:val="double" w:sz="4" w:space="0" w:color="auto"/>
              <w:right w:val="double" w:sz="4" w:space="0" w:color="auto"/>
            </w:tcBorders>
            <w:vAlign w:val="center"/>
          </w:tcPr>
          <w:p w:rsidR="002D6496" w:rsidRDefault="002D6496" w:rsidP="004F3130">
            <w:pPr>
              <w:pStyle w:val="2ffffc"/>
              <w:tabs>
                <w:tab w:val="left" w:pos="3648"/>
              </w:tabs>
              <w:spacing w:line="240" w:lineRule="auto"/>
              <w:jc w:val="center"/>
              <w:rPr>
                <w:b/>
                <w:bCs/>
                <w:sz w:val="25"/>
                <w:szCs w:val="25"/>
              </w:rPr>
            </w:pPr>
          </w:p>
          <w:p w:rsidR="002D6496" w:rsidRDefault="002D6496" w:rsidP="004F3130">
            <w:pPr>
              <w:pStyle w:val="2ffffc"/>
              <w:tabs>
                <w:tab w:val="left" w:pos="3648"/>
              </w:tabs>
              <w:spacing w:line="240" w:lineRule="auto"/>
              <w:jc w:val="center"/>
              <w:rPr>
                <w:b/>
                <w:bCs/>
                <w:sz w:val="25"/>
                <w:szCs w:val="25"/>
              </w:rPr>
            </w:pPr>
            <w:r>
              <w:rPr>
                <w:b/>
                <w:bCs/>
                <w:sz w:val="25"/>
                <w:szCs w:val="25"/>
              </w:rPr>
              <w:t>0,32</w:t>
            </w:r>
            <w:r>
              <w:rPr>
                <w:b/>
                <w:bCs/>
                <w:sz w:val="25"/>
              </w:rPr>
              <w:sym w:font="Symbol" w:char="F0B1"/>
            </w:r>
            <w:r>
              <w:rPr>
                <w:b/>
                <w:bCs/>
                <w:sz w:val="25"/>
                <w:szCs w:val="25"/>
              </w:rPr>
              <w:t>0,02**</w:t>
            </w:r>
          </w:p>
          <w:p w:rsidR="002D6496" w:rsidRDefault="002D6496" w:rsidP="004F3130">
            <w:pPr>
              <w:pStyle w:val="2ffffc"/>
              <w:tabs>
                <w:tab w:val="left" w:pos="3648"/>
              </w:tabs>
              <w:spacing w:line="240" w:lineRule="auto"/>
              <w:jc w:val="center"/>
              <w:rPr>
                <w:b/>
                <w:bCs/>
                <w:sz w:val="25"/>
                <w:szCs w:val="25"/>
              </w:rPr>
            </w:pPr>
          </w:p>
        </w:tc>
      </w:tr>
      <w:tr w:rsidR="002D6496" w:rsidTr="004F3130">
        <w:tblPrEx>
          <w:tblCellMar>
            <w:top w:w="0" w:type="dxa"/>
            <w:bottom w:w="0" w:type="dxa"/>
          </w:tblCellMar>
        </w:tblPrEx>
        <w:trPr>
          <w:cantSplit/>
          <w:trHeight w:val="395"/>
        </w:trPr>
        <w:tc>
          <w:tcPr>
            <w:tcW w:w="1826" w:type="dxa"/>
            <w:tcBorders>
              <w:top w:val="double" w:sz="4" w:space="0" w:color="auto"/>
              <w:left w:val="double" w:sz="4" w:space="0" w:color="auto"/>
              <w:bottom w:val="double" w:sz="4" w:space="0" w:color="auto"/>
              <w:right w:val="double" w:sz="4" w:space="0" w:color="auto"/>
            </w:tcBorders>
          </w:tcPr>
          <w:p w:rsidR="002D6496" w:rsidRDefault="002D6496" w:rsidP="004F3130">
            <w:pPr>
              <w:pStyle w:val="2ffffc"/>
              <w:tabs>
                <w:tab w:val="left" w:pos="3648"/>
              </w:tabs>
              <w:spacing w:line="240" w:lineRule="auto"/>
              <w:jc w:val="center"/>
              <w:rPr>
                <w:b/>
                <w:bCs/>
                <w:sz w:val="25"/>
                <w:szCs w:val="25"/>
              </w:rPr>
            </w:pPr>
            <w:r>
              <w:rPr>
                <w:b/>
                <w:bCs/>
                <w:spacing w:val="-2"/>
                <w:sz w:val="25"/>
                <w:szCs w:val="25"/>
              </w:rPr>
              <w:t>Хворі  тварини</w:t>
            </w:r>
            <w:r>
              <w:rPr>
                <w:b/>
                <w:bCs/>
                <w:sz w:val="25"/>
                <w:szCs w:val="25"/>
              </w:rPr>
              <w:t xml:space="preserve"> до лікування</w:t>
            </w:r>
          </w:p>
          <w:p w:rsidR="002D6496" w:rsidRDefault="002D6496" w:rsidP="004F3130">
            <w:pPr>
              <w:pStyle w:val="2ffffc"/>
              <w:tabs>
                <w:tab w:val="left" w:pos="3648"/>
              </w:tabs>
              <w:spacing w:line="240" w:lineRule="auto"/>
              <w:jc w:val="center"/>
              <w:rPr>
                <w:b/>
                <w:bCs/>
                <w:sz w:val="25"/>
                <w:szCs w:val="25"/>
              </w:rPr>
            </w:pPr>
            <w:r>
              <w:rPr>
                <w:b/>
                <w:bCs/>
                <w:sz w:val="25"/>
                <w:szCs w:val="25"/>
              </w:rPr>
              <w:t>(</w:t>
            </w:r>
            <w:r>
              <w:rPr>
                <w:b/>
                <w:bCs/>
                <w:sz w:val="25"/>
                <w:szCs w:val="25"/>
                <w:lang w:val="en-US"/>
              </w:rPr>
              <w:t>n</w:t>
            </w:r>
            <w:r>
              <w:rPr>
                <w:b/>
                <w:bCs/>
                <w:sz w:val="25"/>
                <w:szCs w:val="25"/>
              </w:rPr>
              <w:t xml:space="preserve">=27)       </w:t>
            </w:r>
          </w:p>
        </w:tc>
        <w:tc>
          <w:tcPr>
            <w:tcW w:w="3844" w:type="dxa"/>
            <w:tcBorders>
              <w:top w:val="double" w:sz="4" w:space="0" w:color="auto"/>
              <w:left w:val="nil"/>
              <w:bottom w:val="double" w:sz="4" w:space="0" w:color="auto"/>
              <w:right w:val="double" w:sz="4" w:space="0" w:color="auto"/>
            </w:tcBorders>
            <w:vAlign w:val="center"/>
          </w:tcPr>
          <w:p w:rsidR="002D6496" w:rsidRDefault="002D6496" w:rsidP="004F3130">
            <w:pPr>
              <w:pStyle w:val="2ffffc"/>
              <w:tabs>
                <w:tab w:val="left" w:pos="3648"/>
              </w:tabs>
              <w:spacing w:line="240" w:lineRule="auto"/>
              <w:jc w:val="center"/>
              <w:rPr>
                <w:b/>
                <w:bCs/>
                <w:sz w:val="25"/>
                <w:szCs w:val="25"/>
              </w:rPr>
            </w:pPr>
            <w:r>
              <w:rPr>
                <w:b/>
                <w:bCs/>
                <w:sz w:val="25"/>
                <w:szCs w:val="25"/>
              </w:rPr>
              <w:t>18,80</w:t>
            </w:r>
            <w:r>
              <w:rPr>
                <w:b/>
                <w:bCs/>
                <w:sz w:val="25"/>
              </w:rPr>
              <w:sym w:font="Symbol" w:char="F0B1"/>
            </w:r>
            <w:r>
              <w:rPr>
                <w:b/>
                <w:bCs/>
                <w:sz w:val="25"/>
                <w:szCs w:val="25"/>
              </w:rPr>
              <w:t>0,74</w:t>
            </w:r>
          </w:p>
        </w:tc>
        <w:tc>
          <w:tcPr>
            <w:tcW w:w="2268" w:type="dxa"/>
            <w:tcBorders>
              <w:top w:val="double" w:sz="4" w:space="0" w:color="auto"/>
              <w:left w:val="nil"/>
              <w:bottom w:val="double" w:sz="4" w:space="0" w:color="auto"/>
              <w:right w:val="double" w:sz="4" w:space="0" w:color="auto"/>
            </w:tcBorders>
            <w:vAlign w:val="center"/>
          </w:tcPr>
          <w:p w:rsidR="002D6496" w:rsidRDefault="002D6496" w:rsidP="004F3130">
            <w:pPr>
              <w:pStyle w:val="2ffffc"/>
              <w:tabs>
                <w:tab w:val="left" w:pos="3648"/>
              </w:tabs>
              <w:spacing w:line="240" w:lineRule="auto"/>
              <w:ind w:firstLine="34"/>
              <w:jc w:val="center"/>
              <w:rPr>
                <w:b/>
                <w:bCs/>
                <w:sz w:val="25"/>
                <w:szCs w:val="25"/>
              </w:rPr>
            </w:pPr>
            <w:r>
              <w:rPr>
                <w:b/>
                <w:bCs/>
                <w:sz w:val="25"/>
                <w:szCs w:val="25"/>
              </w:rPr>
              <w:t>0,34</w:t>
            </w:r>
            <w:r>
              <w:rPr>
                <w:b/>
                <w:bCs/>
                <w:sz w:val="25"/>
              </w:rPr>
              <w:sym w:font="Symbol" w:char="F0B1"/>
            </w:r>
            <w:r>
              <w:rPr>
                <w:b/>
                <w:bCs/>
                <w:sz w:val="25"/>
                <w:szCs w:val="25"/>
              </w:rPr>
              <w:t>0,01</w:t>
            </w:r>
          </w:p>
        </w:tc>
        <w:tc>
          <w:tcPr>
            <w:tcW w:w="1985" w:type="dxa"/>
            <w:tcBorders>
              <w:top w:val="double" w:sz="4" w:space="0" w:color="auto"/>
              <w:left w:val="nil"/>
              <w:bottom w:val="double" w:sz="4" w:space="0" w:color="auto"/>
              <w:right w:val="double" w:sz="4" w:space="0" w:color="auto"/>
            </w:tcBorders>
            <w:vAlign w:val="center"/>
          </w:tcPr>
          <w:p w:rsidR="002D6496" w:rsidRDefault="002D6496" w:rsidP="004F3130">
            <w:pPr>
              <w:pStyle w:val="2ffffc"/>
              <w:tabs>
                <w:tab w:val="left" w:pos="3648"/>
              </w:tabs>
              <w:spacing w:line="240" w:lineRule="auto"/>
              <w:jc w:val="center"/>
              <w:rPr>
                <w:b/>
                <w:bCs/>
                <w:sz w:val="25"/>
                <w:szCs w:val="25"/>
              </w:rPr>
            </w:pPr>
            <w:r>
              <w:rPr>
                <w:b/>
                <w:bCs/>
                <w:sz w:val="25"/>
                <w:szCs w:val="25"/>
              </w:rPr>
              <w:t>0,44</w:t>
            </w:r>
            <w:r>
              <w:rPr>
                <w:b/>
                <w:bCs/>
                <w:sz w:val="25"/>
              </w:rPr>
              <w:sym w:font="Symbol" w:char="F0B1"/>
            </w:r>
            <w:r>
              <w:rPr>
                <w:b/>
                <w:bCs/>
                <w:sz w:val="25"/>
                <w:szCs w:val="25"/>
              </w:rPr>
              <w:t xml:space="preserve">0,02 </w:t>
            </w:r>
          </w:p>
        </w:tc>
      </w:tr>
      <w:tr w:rsidR="002D6496" w:rsidTr="004F3130">
        <w:tblPrEx>
          <w:tblCellMar>
            <w:top w:w="0" w:type="dxa"/>
            <w:bottom w:w="0" w:type="dxa"/>
          </w:tblCellMar>
        </w:tblPrEx>
        <w:trPr>
          <w:cantSplit/>
          <w:trHeight w:val="253"/>
        </w:trPr>
        <w:tc>
          <w:tcPr>
            <w:tcW w:w="9923" w:type="dxa"/>
            <w:gridSpan w:val="4"/>
            <w:tcBorders>
              <w:top w:val="double" w:sz="4" w:space="0" w:color="auto"/>
              <w:left w:val="double" w:sz="4" w:space="0" w:color="auto"/>
              <w:bottom w:val="double" w:sz="4" w:space="0" w:color="auto"/>
              <w:right w:val="double" w:sz="4" w:space="0" w:color="auto"/>
            </w:tcBorders>
          </w:tcPr>
          <w:p w:rsidR="002D6496" w:rsidRDefault="002D6496" w:rsidP="004F3130">
            <w:pPr>
              <w:pStyle w:val="2ffffc"/>
              <w:tabs>
                <w:tab w:val="left" w:pos="3648"/>
              </w:tabs>
              <w:spacing w:line="240" w:lineRule="auto"/>
              <w:jc w:val="center"/>
              <w:rPr>
                <w:b/>
                <w:bCs/>
                <w:sz w:val="25"/>
                <w:szCs w:val="25"/>
              </w:rPr>
            </w:pPr>
            <w:r>
              <w:rPr>
                <w:b/>
                <w:bCs/>
                <w:sz w:val="25"/>
                <w:szCs w:val="25"/>
              </w:rPr>
              <w:t xml:space="preserve">Після лікування </w:t>
            </w:r>
          </w:p>
        </w:tc>
      </w:tr>
      <w:tr w:rsidR="002D6496" w:rsidTr="004F3130">
        <w:tblPrEx>
          <w:tblCellMar>
            <w:top w:w="0" w:type="dxa"/>
            <w:bottom w:w="0" w:type="dxa"/>
          </w:tblCellMar>
        </w:tblPrEx>
        <w:trPr>
          <w:trHeight w:val="546"/>
        </w:trPr>
        <w:tc>
          <w:tcPr>
            <w:tcW w:w="1826" w:type="dxa"/>
            <w:tcBorders>
              <w:top w:val="double" w:sz="4" w:space="0" w:color="auto"/>
              <w:left w:val="double" w:sz="4" w:space="0" w:color="auto"/>
              <w:bottom w:val="double" w:sz="4" w:space="0" w:color="auto"/>
              <w:right w:val="double" w:sz="4" w:space="0" w:color="auto"/>
            </w:tcBorders>
            <w:vAlign w:val="center"/>
          </w:tcPr>
          <w:p w:rsidR="002D6496" w:rsidRDefault="002D6496" w:rsidP="004F3130">
            <w:pPr>
              <w:pStyle w:val="2ffffc"/>
              <w:tabs>
                <w:tab w:val="left" w:pos="3648"/>
              </w:tabs>
              <w:spacing w:line="240" w:lineRule="auto"/>
              <w:jc w:val="center"/>
              <w:rPr>
                <w:b/>
                <w:bCs/>
                <w:spacing w:val="-2"/>
                <w:sz w:val="25"/>
                <w:szCs w:val="25"/>
                <w:lang w:val="en-US"/>
              </w:rPr>
            </w:pPr>
            <w:r>
              <w:rPr>
                <w:b/>
                <w:bCs/>
                <w:spacing w:val="-2"/>
                <w:sz w:val="25"/>
                <w:szCs w:val="25"/>
              </w:rPr>
              <w:t>І</w:t>
            </w:r>
            <w:r>
              <w:rPr>
                <w:b/>
                <w:bCs/>
                <w:spacing w:val="-2"/>
                <w:sz w:val="25"/>
                <w:szCs w:val="25"/>
                <w:lang w:val="en-US"/>
              </w:rPr>
              <w:t xml:space="preserve"> </w:t>
            </w:r>
            <w:r>
              <w:rPr>
                <w:b/>
                <w:bCs/>
                <w:sz w:val="25"/>
                <w:szCs w:val="25"/>
              </w:rPr>
              <w:t>(</w:t>
            </w:r>
            <w:r>
              <w:rPr>
                <w:b/>
                <w:bCs/>
                <w:sz w:val="25"/>
                <w:szCs w:val="25"/>
                <w:lang w:val="en-US"/>
              </w:rPr>
              <w:t>n=10)</w:t>
            </w:r>
            <w:r>
              <w:rPr>
                <w:b/>
                <w:bCs/>
                <w:sz w:val="25"/>
                <w:szCs w:val="25"/>
              </w:rPr>
              <w:t xml:space="preserve">       </w:t>
            </w:r>
          </w:p>
        </w:tc>
        <w:tc>
          <w:tcPr>
            <w:tcW w:w="3844" w:type="dxa"/>
            <w:tcBorders>
              <w:top w:val="double" w:sz="4" w:space="0" w:color="auto"/>
              <w:left w:val="nil"/>
              <w:bottom w:val="double" w:sz="4" w:space="0" w:color="auto"/>
              <w:right w:val="double" w:sz="4" w:space="0" w:color="auto"/>
            </w:tcBorders>
            <w:vAlign w:val="center"/>
          </w:tcPr>
          <w:p w:rsidR="002D6496" w:rsidRDefault="002D6496" w:rsidP="004F3130">
            <w:pPr>
              <w:pStyle w:val="2ffffc"/>
              <w:tabs>
                <w:tab w:val="left" w:pos="3648"/>
              </w:tabs>
              <w:spacing w:line="240" w:lineRule="auto"/>
              <w:jc w:val="center"/>
              <w:rPr>
                <w:b/>
                <w:bCs/>
                <w:sz w:val="25"/>
                <w:szCs w:val="25"/>
              </w:rPr>
            </w:pPr>
            <w:r>
              <w:rPr>
                <w:b/>
                <w:bCs/>
                <w:sz w:val="25"/>
                <w:szCs w:val="25"/>
                <w:lang w:val="en-US"/>
              </w:rPr>
              <w:t>10,17</w:t>
            </w:r>
            <w:r>
              <w:rPr>
                <w:b/>
                <w:bCs/>
                <w:sz w:val="25"/>
                <w:lang w:val="en-US"/>
              </w:rPr>
              <w:sym w:font="Symbol" w:char="F0B1"/>
            </w:r>
            <w:r>
              <w:rPr>
                <w:b/>
                <w:bCs/>
                <w:sz w:val="25"/>
                <w:szCs w:val="25"/>
                <w:lang w:val="en-US"/>
              </w:rPr>
              <w:t>0,44***</w:t>
            </w:r>
          </w:p>
        </w:tc>
        <w:tc>
          <w:tcPr>
            <w:tcW w:w="2268" w:type="dxa"/>
            <w:tcBorders>
              <w:top w:val="double" w:sz="4" w:space="0" w:color="auto"/>
              <w:left w:val="nil"/>
              <w:bottom w:val="double" w:sz="4" w:space="0" w:color="auto"/>
              <w:right w:val="double" w:sz="4" w:space="0" w:color="auto"/>
            </w:tcBorders>
            <w:vAlign w:val="center"/>
          </w:tcPr>
          <w:p w:rsidR="002D6496" w:rsidRDefault="002D6496" w:rsidP="004F3130">
            <w:pPr>
              <w:pStyle w:val="2ffffc"/>
              <w:tabs>
                <w:tab w:val="left" w:pos="3648"/>
              </w:tabs>
              <w:spacing w:line="240" w:lineRule="auto"/>
              <w:jc w:val="center"/>
              <w:rPr>
                <w:b/>
                <w:bCs/>
                <w:sz w:val="25"/>
                <w:szCs w:val="25"/>
              </w:rPr>
            </w:pPr>
            <w:r>
              <w:rPr>
                <w:b/>
                <w:bCs/>
                <w:sz w:val="25"/>
                <w:szCs w:val="25"/>
              </w:rPr>
              <w:t>0,20</w:t>
            </w:r>
            <w:r>
              <w:rPr>
                <w:b/>
                <w:bCs/>
                <w:sz w:val="25"/>
              </w:rPr>
              <w:sym w:font="Symbol" w:char="F0B1"/>
            </w:r>
            <w:r>
              <w:rPr>
                <w:b/>
                <w:bCs/>
                <w:sz w:val="25"/>
                <w:szCs w:val="25"/>
              </w:rPr>
              <w:t>0,07***</w:t>
            </w:r>
          </w:p>
        </w:tc>
        <w:tc>
          <w:tcPr>
            <w:tcW w:w="1985" w:type="dxa"/>
            <w:tcBorders>
              <w:top w:val="double" w:sz="4" w:space="0" w:color="auto"/>
              <w:left w:val="nil"/>
              <w:bottom w:val="double" w:sz="4" w:space="0" w:color="auto"/>
              <w:right w:val="double" w:sz="4" w:space="0" w:color="auto"/>
            </w:tcBorders>
            <w:vAlign w:val="center"/>
          </w:tcPr>
          <w:p w:rsidR="002D6496" w:rsidRDefault="002D6496" w:rsidP="004F3130">
            <w:pPr>
              <w:pStyle w:val="2ffffc"/>
              <w:tabs>
                <w:tab w:val="left" w:pos="3648"/>
              </w:tabs>
              <w:spacing w:line="240" w:lineRule="auto"/>
              <w:jc w:val="center"/>
              <w:rPr>
                <w:b/>
                <w:bCs/>
                <w:sz w:val="25"/>
                <w:szCs w:val="25"/>
              </w:rPr>
            </w:pPr>
            <w:r>
              <w:rPr>
                <w:b/>
                <w:bCs/>
                <w:sz w:val="25"/>
                <w:szCs w:val="25"/>
              </w:rPr>
              <w:t>0,31</w:t>
            </w:r>
            <w:r>
              <w:rPr>
                <w:b/>
                <w:bCs/>
                <w:sz w:val="25"/>
              </w:rPr>
              <w:sym w:font="Symbol" w:char="F0B1"/>
            </w:r>
            <w:r>
              <w:rPr>
                <w:b/>
                <w:bCs/>
                <w:sz w:val="25"/>
                <w:szCs w:val="25"/>
              </w:rPr>
              <w:t>0,06**</w:t>
            </w:r>
          </w:p>
        </w:tc>
      </w:tr>
      <w:tr w:rsidR="002D6496" w:rsidTr="004F3130">
        <w:tblPrEx>
          <w:tblCellMar>
            <w:top w:w="0" w:type="dxa"/>
            <w:bottom w:w="0" w:type="dxa"/>
          </w:tblCellMar>
        </w:tblPrEx>
        <w:trPr>
          <w:trHeight w:val="546"/>
        </w:trPr>
        <w:tc>
          <w:tcPr>
            <w:tcW w:w="1826" w:type="dxa"/>
            <w:tcBorders>
              <w:top w:val="double" w:sz="4" w:space="0" w:color="auto"/>
              <w:left w:val="double" w:sz="4" w:space="0" w:color="auto"/>
              <w:bottom w:val="double" w:sz="4" w:space="0" w:color="auto"/>
              <w:right w:val="double" w:sz="4" w:space="0" w:color="auto"/>
            </w:tcBorders>
            <w:vAlign w:val="center"/>
          </w:tcPr>
          <w:p w:rsidR="002D6496" w:rsidRDefault="002D6496" w:rsidP="004F3130">
            <w:pPr>
              <w:pStyle w:val="2ffffc"/>
              <w:tabs>
                <w:tab w:val="left" w:pos="3648"/>
              </w:tabs>
              <w:spacing w:line="240" w:lineRule="auto"/>
              <w:jc w:val="center"/>
              <w:rPr>
                <w:b/>
                <w:bCs/>
                <w:spacing w:val="-2"/>
                <w:sz w:val="25"/>
                <w:szCs w:val="25"/>
              </w:rPr>
            </w:pPr>
            <w:r>
              <w:rPr>
                <w:b/>
                <w:bCs/>
                <w:spacing w:val="-2"/>
                <w:sz w:val="25"/>
                <w:szCs w:val="25"/>
              </w:rPr>
              <w:t>ІІ</w:t>
            </w:r>
            <w:r>
              <w:rPr>
                <w:b/>
                <w:bCs/>
                <w:spacing w:val="-2"/>
                <w:sz w:val="25"/>
                <w:szCs w:val="25"/>
                <w:lang w:val="en-US"/>
              </w:rPr>
              <w:t xml:space="preserve"> </w:t>
            </w:r>
            <w:r>
              <w:rPr>
                <w:b/>
                <w:bCs/>
                <w:sz w:val="25"/>
                <w:szCs w:val="25"/>
              </w:rPr>
              <w:t>(</w:t>
            </w:r>
            <w:r>
              <w:rPr>
                <w:b/>
                <w:bCs/>
                <w:sz w:val="25"/>
                <w:szCs w:val="25"/>
                <w:lang w:val="en-US"/>
              </w:rPr>
              <w:t>n=10)</w:t>
            </w:r>
            <w:r>
              <w:rPr>
                <w:b/>
                <w:bCs/>
                <w:sz w:val="25"/>
                <w:szCs w:val="25"/>
              </w:rPr>
              <w:t xml:space="preserve">       </w:t>
            </w:r>
          </w:p>
        </w:tc>
        <w:tc>
          <w:tcPr>
            <w:tcW w:w="3844" w:type="dxa"/>
            <w:tcBorders>
              <w:top w:val="double" w:sz="4" w:space="0" w:color="auto"/>
              <w:left w:val="nil"/>
              <w:bottom w:val="double" w:sz="4" w:space="0" w:color="auto"/>
              <w:right w:val="double" w:sz="4" w:space="0" w:color="auto"/>
            </w:tcBorders>
            <w:vAlign w:val="center"/>
          </w:tcPr>
          <w:p w:rsidR="002D6496" w:rsidRDefault="002D6496" w:rsidP="004F3130">
            <w:pPr>
              <w:pStyle w:val="2ffffc"/>
              <w:tabs>
                <w:tab w:val="left" w:pos="3648"/>
              </w:tabs>
              <w:spacing w:line="240" w:lineRule="auto"/>
              <w:jc w:val="center"/>
              <w:rPr>
                <w:b/>
                <w:bCs/>
                <w:sz w:val="25"/>
                <w:szCs w:val="25"/>
              </w:rPr>
            </w:pPr>
            <w:r>
              <w:rPr>
                <w:b/>
                <w:bCs/>
                <w:sz w:val="25"/>
                <w:szCs w:val="25"/>
              </w:rPr>
              <w:t>11,30</w:t>
            </w:r>
            <w:r>
              <w:rPr>
                <w:b/>
                <w:bCs/>
                <w:sz w:val="25"/>
              </w:rPr>
              <w:sym w:font="Symbol" w:char="F0B1"/>
            </w:r>
            <w:r>
              <w:rPr>
                <w:b/>
                <w:bCs/>
                <w:sz w:val="25"/>
                <w:szCs w:val="25"/>
              </w:rPr>
              <w:t>0,74***</w:t>
            </w:r>
          </w:p>
        </w:tc>
        <w:tc>
          <w:tcPr>
            <w:tcW w:w="2268" w:type="dxa"/>
            <w:tcBorders>
              <w:top w:val="double" w:sz="4" w:space="0" w:color="auto"/>
              <w:left w:val="nil"/>
              <w:bottom w:val="double" w:sz="4" w:space="0" w:color="auto"/>
              <w:right w:val="double" w:sz="4" w:space="0" w:color="auto"/>
            </w:tcBorders>
            <w:vAlign w:val="center"/>
          </w:tcPr>
          <w:p w:rsidR="002D6496" w:rsidRDefault="002D6496" w:rsidP="004F3130">
            <w:pPr>
              <w:pStyle w:val="2ffffc"/>
              <w:tabs>
                <w:tab w:val="left" w:pos="3648"/>
              </w:tabs>
              <w:spacing w:line="240" w:lineRule="auto"/>
              <w:ind w:firstLine="34"/>
              <w:jc w:val="center"/>
              <w:rPr>
                <w:b/>
                <w:bCs/>
                <w:sz w:val="25"/>
                <w:szCs w:val="25"/>
              </w:rPr>
            </w:pPr>
            <w:r>
              <w:rPr>
                <w:b/>
                <w:bCs/>
                <w:sz w:val="25"/>
                <w:szCs w:val="25"/>
              </w:rPr>
              <w:t>0,19</w:t>
            </w:r>
            <w:r>
              <w:rPr>
                <w:b/>
                <w:bCs/>
                <w:sz w:val="25"/>
              </w:rPr>
              <w:sym w:font="Symbol" w:char="F0B1"/>
            </w:r>
            <w:r>
              <w:rPr>
                <w:b/>
                <w:bCs/>
                <w:sz w:val="25"/>
                <w:szCs w:val="25"/>
              </w:rPr>
              <w:t>0,02***</w:t>
            </w:r>
          </w:p>
        </w:tc>
        <w:tc>
          <w:tcPr>
            <w:tcW w:w="1985" w:type="dxa"/>
            <w:tcBorders>
              <w:top w:val="double" w:sz="4" w:space="0" w:color="auto"/>
              <w:left w:val="nil"/>
              <w:bottom w:val="double" w:sz="4" w:space="0" w:color="auto"/>
              <w:right w:val="double" w:sz="4" w:space="0" w:color="auto"/>
            </w:tcBorders>
            <w:vAlign w:val="center"/>
          </w:tcPr>
          <w:p w:rsidR="002D6496" w:rsidRDefault="002D6496" w:rsidP="004F3130">
            <w:pPr>
              <w:pStyle w:val="2ffffc"/>
              <w:tabs>
                <w:tab w:val="left" w:pos="3648"/>
              </w:tabs>
              <w:spacing w:line="240" w:lineRule="auto"/>
              <w:jc w:val="center"/>
              <w:rPr>
                <w:b/>
                <w:bCs/>
                <w:sz w:val="25"/>
                <w:szCs w:val="25"/>
              </w:rPr>
            </w:pPr>
            <w:r>
              <w:rPr>
                <w:b/>
                <w:bCs/>
                <w:sz w:val="25"/>
                <w:szCs w:val="25"/>
              </w:rPr>
              <w:t>0,35</w:t>
            </w:r>
            <w:r>
              <w:rPr>
                <w:b/>
                <w:bCs/>
                <w:sz w:val="25"/>
              </w:rPr>
              <w:sym w:font="Symbol" w:char="F0B1"/>
            </w:r>
            <w:r>
              <w:rPr>
                <w:b/>
                <w:bCs/>
                <w:sz w:val="25"/>
                <w:szCs w:val="25"/>
              </w:rPr>
              <w:t>0,02*</w:t>
            </w:r>
          </w:p>
        </w:tc>
      </w:tr>
      <w:tr w:rsidR="002D6496" w:rsidTr="004F3130">
        <w:tblPrEx>
          <w:tblCellMar>
            <w:top w:w="0" w:type="dxa"/>
            <w:bottom w:w="0" w:type="dxa"/>
          </w:tblCellMar>
        </w:tblPrEx>
        <w:trPr>
          <w:trHeight w:val="546"/>
        </w:trPr>
        <w:tc>
          <w:tcPr>
            <w:tcW w:w="1826" w:type="dxa"/>
            <w:tcBorders>
              <w:top w:val="double" w:sz="4" w:space="0" w:color="auto"/>
              <w:left w:val="double" w:sz="4" w:space="0" w:color="auto"/>
              <w:bottom w:val="double" w:sz="4" w:space="0" w:color="auto"/>
              <w:right w:val="double" w:sz="4" w:space="0" w:color="auto"/>
            </w:tcBorders>
            <w:vAlign w:val="center"/>
          </w:tcPr>
          <w:p w:rsidR="002D6496" w:rsidRDefault="002D6496" w:rsidP="004F3130">
            <w:pPr>
              <w:pStyle w:val="2ffffc"/>
              <w:tabs>
                <w:tab w:val="left" w:pos="3648"/>
              </w:tabs>
              <w:spacing w:line="240" w:lineRule="auto"/>
              <w:jc w:val="center"/>
              <w:rPr>
                <w:b/>
                <w:bCs/>
                <w:spacing w:val="-2"/>
                <w:sz w:val="25"/>
                <w:szCs w:val="25"/>
              </w:rPr>
            </w:pPr>
            <w:r>
              <w:rPr>
                <w:b/>
                <w:bCs/>
                <w:spacing w:val="-2"/>
                <w:sz w:val="25"/>
                <w:szCs w:val="25"/>
              </w:rPr>
              <w:t xml:space="preserve">ІІІ </w:t>
            </w:r>
            <w:r>
              <w:rPr>
                <w:b/>
                <w:bCs/>
                <w:sz w:val="25"/>
                <w:szCs w:val="25"/>
              </w:rPr>
              <w:t>(</w:t>
            </w:r>
            <w:r>
              <w:rPr>
                <w:b/>
                <w:bCs/>
                <w:sz w:val="25"/>
                <w:szCs w:val="25"/>
                <w:lang w:val="en-US"/>
              </w:rPr>
              <w:t>n</w:t>
            </w:r>
            <w:r>
              <w:rPr>
                <w:b/>
                <w:bCs/>
                <w:sz w:val="25"/>
                <w:szCs w:val="25"/>
              </w:rPr>
              <w:t xml:space="preserve">=7)       </w:t>
            </w:r>
          </w:p>
        </w:tc>
        <w:tc>
          <w:tcPr>
            <w:tcW w:w="3844" w:type="dxa"/>
            <w:tcBorders>
              <w:top w:val="double" w:sz="4" w:space="0" w:color="auto"/>
              <w:left w:val="nil"/>
              <w:bottom w:val="double" w:sz="4" w:space="0" w:color="auto"/>
              <w:right w:val="double" w:sz="4" w:space="0" w:color="auto"/>
            </w:tcBorders>
            <w:vAlign w:val="center"/>
          </w:tcPr>
          <w:p w:rsidR="002D6496" w:rsidRDefault="002D6496" w:rsidP="004F3130">
            <w:pPr>
              <w:pStyle w:val="2ffffc"/>
              <w:tabs>
                <w:tab w:val="left" w:pos="3648"/>
              </w:tabs>
              <w:spacing w:line="240" w:lineRule="auto"/>
              <w:jc w:val="center"/>
              <w:rPr>
                <w:b/>
                <w:bCs/>
                <w:sz w:val="25"/>
                <w:szCs w:val="25"/>
              </w:rPr>
            </w:pPr>
            <w:r>
              <w:rPr>
                <w:b/>
                <w:bCs/>
                <w:sz w:val="25"/>
                <w:szCs w:val="25"/>
              </w:rPr>
              <w:t>12,30</w:t>
            </w:r>
            <w:r>
              <w:rPr>
                <w:b/>
                <w:bCs/>
                <w:sz w:val="25"/>
              </w:rPr>
              <w:sym w:font="Symbol" w:char="F0B1"/>
            </w:r>
            <w:r>
              <w:rPr>
                <w:b/>
                <w:bCs/>
                <w:sz w:val="25"/>
                <w:szCs w:val="25"/>
              </w:rPr>
              <w:t>0,85***</w:t>
            </w:r>
          </w:p>
        </w:tc>
        <w:tc>
          <w:tcPr>
            <w:tcW w:w="2268" w:type="dxa"/>
            <w:tcBorders>
              <w:top w:val="double" w:sz="4" w:space="0" w:color="auto"/>
              <w:left w:val="nil"/>
              <w:bottom w:val="double" w:sz="4" w:space="0" w:color="auto"/>
              <w:right w:val="double" w:sz="4" w:space="0" w:color="auto"/>
            </w:tcBorders>
            <w:vAlign w:val="center"/>
          </w:tcPr>
          <w:p w:rsidR="002D6496" w:rsidRDefault="002D6496" w:rsidP="004F3130">
            <w:pPr>
              <w:pStyle w:val="2ffffc"/>
              <w:tabs>
                <w:tab w:val="left" w:pos="3648"/>
              </w:tabs>
              <w:spacing w:line="240" w:lineRule="auto"/>
              <w:ind w:firstLine="34"/>
              <w:jc w:val="center"/>
              <w:rPr>
                <w:b/>
                <w:bCs/>
                <w:sz w:val="25"/>
                <w:szCs w:val="25"/>
              </w:rPr>
            </w:pPr>
            <w:r>
              <w:rPr>
                <w:b/>
                <w:bCs/>
                <w:sz w:val="25"/>
                <w:szCs w:val="25"/>
              </w:rPr>
              <w:t>0,18</w:t>
            </w:r>
            <w:r>
              <w:rPr>
                <w:b/>
                <w:bCs/>
                <w:sz w:val="25"/>
              </w:rPr>
              <w:sym w:font="Symbol" w:char="F0B1"/>
            </w:r>
            <w:r>
              <w:rPr>
                <w:b/>
                <w:bCs/>
                <w:sz w:val="25"/>
                <w:szCs w:val="25"/>
              </w:rPr>
              <w:t>0,02***</w:t>
            </w:r>
          </w:p>
        </w:tc>
        <w:tc>
          <w:tcPr>
            <w:tcW w:w="1985" w:type="dxa"/>
            <w:tcBorders>
              <w:top w:val="double" w:sz="4" w:space="0" w:color="auto"/>
              <w:left w:val="nil"/>
              <w:bottom w:val="double" w:sz="4" w:space="0" w:color="auto"/>
              <w:right w:val="double" w:sz="4" w:space="0" w:color="auto"/>
            </w:tcBorders>
            <w:vAlign w:val="center"/>
          </w:tcPr>
          <w:p w:rsidR="002D6496" w:rsidRDefault="002D6496" w:rsidP="004F3130">
            <w:pPr>
              <w:pStyle w:val="2ffffc"/>
              <w:tabs>
                <w:tab w:val="left" w:pos="3648"/>
              </w:tabs>
              <w:spacing w:line="240" w:lineRule="auto"/>
              <w:jc w:val="center"/>
              <w:rPr>
                <w:b/>
                <w:bCs/>
                <w:sz w:val="25"/>
                <w:szCs w:val="25"/>
              </w:rPr>
            </w:pPr>
            <w:r>
              <w:rPr>
                <w:b/>
                <w:bCs/>
                <w:sz w:val="25"/>
                <w:szCs w:val="25"/>
              </w:rPr>
              <w:t>0,37</w:t>
            </w:r>
            <w:r>
              <w:rPr>
                <w:b/>
                <w:bCs/>
                <w:sz w:val="25"/>
              </w:rPr>
              <w:sym w:font="Symbol" w:char="F0B1"/>
            </w:r>
            <w:r>
              <w:rPr>
                <w:b/>
                <w:bCs/>
                <w:sz w:val="25"/>
                <w:szCs w:val="25"/>
              </w:rPr>
              <w:t>0,02*</w:t>
            </w:r>
          </w:p>
        </w:tc>
      </w:tr>
    </w:tbl>
    <w:p w:rsidR="002D6496" w:rsidRDefault="002D6496" w:rsidP="002D6496">
      <w:pPr>
        <w:pStyle w:val="2ffffc"/>
        <w:tabs>
          <w:tab w:val="left" w:pos="3648"/>
        </w:tabs>
        <w:rPr>
          <w:b/>
          <w:bCs/>
          <w:sz w:val="25"/>
          <w:szCs w:val="25"/>
        </w:rPr>
      </w:pPr>
      <w:r>
        <w:rPr>
          <w:b/>
          <w:bCs/>
          <w:sz w:val="25"/>
          <w:szCs w:val="25"/>
        </w:rPr>
        <w:lastRenderedPageBreak/>
        <w:t xml:space="preserve">Примітка: </w:t>
      </w:r>
      <w:r>
        <w:rPr>
          <w:b/>
          <w:bCs/>
          <w:sz w:val="25"/>
          <w:szCs w:val="25"/>
          <w:lang w:val="en-US"/>
        </w:rPr>
        <w:t>p</w:t>
      </w:r>
      <w:r>
        <w:rPr>
          <w:sz w:val="25"/>
          <w:szCs w:val="25"/>
        </w:rPr>
        <w:t xml:space="preserve"> - порівняно з показниками до лікування</w:t>
      </w:r>
      <w:r>
        <w:rPr>
          <w:b/>
          <w:bCs/>
          <w:sz w:val="25"/>
          <w:szCs w:val="25"/>
        </w:rPr>
        <w:t>: *</w:t>
      </w:r>
      <w:r>
        <w:rPr>
          <w:sz w:val="25"/>
          <w:szCs w:val="25"/>
        </w:rPr>
        <w:t>─</w:t>
      </w:r>
      <w:r>
        <w:rPr>
          <w:b/>
          <w:bCs/>
          <w:sz w:val="25"/>
          <w:szCs w:val="25"/>
          <w:lang w:val="en-US"/>
        </w:rPr>
        <w:t>p</w:t>
      </w:r>
      <w:r>
        <w:rPr>
          <w:b/>
          <w:bCs/>
          <w:sz w:val="25"/>
          <w:szCs w:val="25"/>
        </w:rPr>
        <w:t>&lt;0,05; **</w:t>
      </w:r>
      <w:r>
        <w:rPr>
          <w:sz w:val="25"/>
          <w:szCs w:val="25"/>
        </w:rPr>
        <w:t>─</w:t>
      </w:r>
      <w:r>
        <w:rPr>
          <w:b/>
          <w:bCs/>
          <w:sz w:val="25"/>
          <w:szCs w:val="25"/>
        </w:rPr>
        <w:t xml:space="preserve">р&lt;0,01; *** </w:t>
      </w:r>
      <w:r>
        <w:rPr>
          <w:sz w:val="25"/>
          <w:szCs w:val="25"/>
        </w:rPr>
        <w:t>─</w:t>
      </w:r>
      <w:r>
        <w:rPr>
          <w:b/>
          <w:bCs/>
          <w:sz w:val="25"/>
          <w:szCs w:val="25"/>
          <w:lang w:val="en-US"/>
        </w:rPr>
        <w:t>p</w:t>
      </w:r>
      <w:r>
        <w:rPr>
          <w:b/>
          <w:bCs/>
          <w:sz w:val="25"/>
          <w:szCs w:val="25"/>
        </w:rPr>
        <w:t>&lt;0,001</w:t>
      </w:r>
    </w:p>
    <w:p w:rsidR="002D6496" w:rsidRDefault="002D6496" w:rsidP="002D6496">
      <w:pPr>
        <w:pStyle w:val="2ffffc"/>
        <w:tabs>
          <w:tab w:val="left" w:pos="3648"/>
        </w:tabs>
        <w:rPr>
          <w:b/>
          <w:bCs/>
          <w:sz w:val="25"/>
          <w:szCs w:val="25"/>
        </w:rPr>
      </w:pPr>
    </w:p>
    <w:p w:rsidR="002D6496" w:rsidRDefault="002D6496" w:rsidP="002D6496">
      <w:pPr>
        <w:pStyle w:val="2ffffc"/>
        <w:tabs>
          <w:tab w:val="left" w:pos="3648"/>
        </w:tabs>
        <w:rPr>
          <w:b/>
          <w:bCs/>
          <w:sz w:val="25"/>
          <w:szCs w:val="25"/>
        </w:rPr>
      </w:pPr>
    </w:p>
    <w:p w:rsidR="002D6496" w:rsidRDefault="002D6496" w:rsidP="002D6496">
      <w:pPr>
        <w:pStyle w:val="2ffffc"/>
        <w:tabs>
          <w:tab w:val="left" w:pos="3648"/>
        </w:tabs>
        <w:ind w:firstLine="567"/>
        <w:rPr>
          <w:sz w:val="25"/>
          <w:szCs w:val="25"/>
        </w:rPr>
      </w:pPr>
      <w:r>
        <w:rPr>
          <w:sz w:val="25"/>
          <w:szCs w:val="25"/>
        </w:rPr>
        <w:t>Таким чином, післяродовий гнійно-катаральний ендометрит корів супроводжується значним зростанням кількості формазанпозитивних нейтрофілів. У процесі лікування проходить поступова корекція  метаболічної активності нейтрофілів, причому більш виражено при внутрішньоаортальних  інфузіях із застосуванням імуностимулятора.</w:t>
      </w:r>
    </w:p>
    <w:p w:rsidR="002D6496" w:rsidRDefault="002D6496" w:rsidP="002D6496">
      <w:pPr>
        <w:pStyle w:val="2ffffc"/>
        <w:ind w:firstLine="567"/>
        <w:jc w:val="center"/>
        <w:rPr>
          <w:b/>
          <w:bCs/>
          <w:sz w:val="25"/>
          <w:szCs w:val="25"/>
        </w:rPr>
      </w:pPr>
    </w:p>
    <w:p w:rsidR="002D6496" w:rsidRDefault="002D6496" w:rsidP="002D6496">
      <w:pPr>
        <w:pStyle w:val="2ffffc"/>
        <w:ind w:firstLine="567"/>
        <w:jc w:val="center"/>
        <w:rPr>
          <w:b/>
          <w:bCs/>
          <w:sz w:val="25"/>
          <w:szCs w:val="25"/>
        </w:rPr>
      </w:pPr>
    </w:p>
    <w:p w:rsidR="002D6496" w:rsidRDefault="002D6496" w:rsidP="002D6496">
      <w:pPr>
        <w:pStyle w:val="2ffffc"/>
        <w:ind w:firstLine="567"/>
        <w:jc w:val="center"/>
        <w:rPr>
          <w:b/>
          <w:bCs/>
          <w:sz w:val="25"/>
          <w:szCs w:val="25"/>
        </w:rPr>
      </w:pPr>
      <w:r>
        <w:rPr>
          <w:b/>
          <w:bCs/>
          <w:sz w:val="25"/>
          <w:szCs w:val="25"/>
        </w:rPr>
        <w:t>Тестування біологічно активних препаратів</w:t>
      </w:r>
    </w:p>
    <w:p w:rsidR="002D6496" w:rsidRDefault="002D6496" w:rsidP="002D6496">
      <w:pPr>
        <w:pStyle w:val="2ffffc"/>
        <w:ind w:firstLine="567"/>
        <w:jc w:val="center"/>
        <w:rPr>
          <w:b/>
          <w:bCs/>
          <w:sz w:val="25"/>
          <w:szCs w:val="25"/>
        </w:rPr>
      </w:pPr>
      <w:r>
        <w:rPr>
          <w:b/>
          <w:bCs/>
          <w:sz w:val="25"/>
          <w:szCs w:val="25"/>
        </w:rPr>
        <w:t>в реакціях РУК in vitro</w:t>
      </w:r>
    </w:p>
    <w:p w:rsidR="002D6496" w:rsidRDefault="002D6496" w:rsidP="002D6496">
      <w:pPr>
        <w:pStyle w:val="2ffffc"/>
        <w:ind w:firstLine="567"/>
        <w:jc w:val="center"/>
        <w:rPr>
          <w:b/>
          <w:bCs/>
          <w:sz w:val="25"/>
          <w:szCs w:val="25"/>
        </w:rPr>
      </w:pPr>
    </w:p>
    <w:p w:rsidR="002D6496" w:rsidRDefault="002D6496" w:rsidP="002D6496">
      <w:pPr>
        <w:pStyle w:val="2ffffc"/>
        <w:ind w:firstLine="567"/>
        <w:rPr>
          <w:sz w:val="25"/>
          <w:szCs w:val="25"/>
        </w:rPr>
      </w:pPr>
      <w:r>
        <w:rPr>
          <w:sz w:val="25"/>
          <w:szCs w:val="25"/>
        </w:rPr>
        <w:t xml:space="preserve">Біологічно активні препарати проявляють різнобічний вплив на ланки імунного захисту організму.     З метою прогнозування імунотропної дії антибіотиків на імунобіологічну реактивність хворого організму, визначення їх оптимальних доз проводили їх попереднє тестування у реакціях РУК  in vitro. </w:t>
      </w:r>
    </w:p>
    <w:p w:rsidR="002D6496" w:rsidRDefault="002D6496" w:rsidP="002D6496">
      <w:pPr>
        <w:pStyle w:val="25"/>
        <w:ind w:firstLine="567"/>
        <w:rPr>
          <w:sz w:val="25"/>
          <w:szCs w:val="25"/>
        </w:rPr>
      </w:pPr>
      <w:r>
        <w:rPr>
          <w:sz w:val="25"/>
          <w:szCs w:val="25"/>
        </w:rPr>
        <w:t>Дослідження проводили шляхом додавання різних доз чотирьох антибіотиків до клітинного субстрату.</w:t>
      </w:r>
      <w:r>
        <w:rPr>
          <w:sz w:val="25"/>
          <w:szCs w:val="25"/>
        </w:rPr>
        <w:tab/>
        <w:t>У дослідах з мінімальними дозами всі тестовані антибіотики (амоксоцилін, гентаміцин, спектолінк, енрофлокс) не справляли істотного імунотропного впливу в реакціях РУК.</w:t>
      </w:r>
      <w:r>
        <w:rPr>
          <w:sz w:val="25"/>
          <w:szCs w:val="25"/>
        </w:rPr>
        <w:tab/>
        <w:t xml:space="preserve">При апробації середніх доз тестованих препаратів  відмічалася активна індукція  реакцій розеткоутворення </w:t>
      </w:r>
      <w:r>
        <w:rPr>
          <w:sz w:val="25"/>
          <w:szCs w:val="25"/>
        </w:rPr>
        <w:lastRenderedPageBreak/>
        <w:t xml:space="preserve">імунокомпетентних клітин. Так, амоксоцилін вірогідно активізував В-систему імунітету. Частка ЕАС-РУК при цьому сягнула </w:t>
      </w:r>
    </w:p>
    <w:p w:rsidR="002D6496" w:rsidRDefault="002D6496" w:rsidP="002D6496">
      <w:pPr>
        <w:pStyle w:val="25"/>
        <w:rPr>
          <w:sz w:val="25"/>
          <w:szCs w:val="25"/>
        </w:rPr>
      </w:pPr>
      <w:r>
        <w:rPr>
          <w:sz w:val="25"/>
          <w:szCs w:val="25"/>
        </w:rPr>
        <w:t>18,18</w:t>
      </w:r>
      <w:r>
        <w:rPr>
          <w:sz w:val="25"/>
          <w:szCs w:val="24"/>
        </w:rPr>
        <w:sym w:font="Symbol" w:char="F0B1"/>
      </w:r>
      <w:r>
        <w:rPr>
          <w:sz w:val="25"/>
          <w:szCs w:val="25"/>
        </w:rPr>
        <w:t>0,47% (проти 14,40</w:t>
      </w:r>
      <w:r>
        <w:rPr>
          <w:sz w:val="25"/>
          <w:szCs w:val="24"/>
        </w:rPr>
        <w:sym w:font="Symbol" w:char="F0B1"/>
      </w:r>
      <w:r>
        <w:rPr>
          <w:sz w:val="25"/>
          <w:szCs w:val="25"/>
        </w:rPr>
        <w:t>0,32% у контролі), при коефіцієнті активації (КА) 1,26</w:t>
      </w:r>
      <w:r>
        <w:rPr>
          <w:sz w:val="25"/>
          <w:szCs w:val="24"/>
        </w:rPr>
        <w:sym w:font="Symbol" w:char="F0B1"/>
      </w:r>
      <w:r>
        <w:rPr>
          <w:sz w:val="25"/>
          <w:szCs w:val="25"/>
        </w:rPr>
        <w:t>0,02. Вплив цього препарату на активність Т-лімфоцитів виявився менш вираженим. У максимальних дозах останній проявляв виражене пригнічення активності як Т-, так і  В-ланок імунітету.</w:t>
      </w:r>
    </w:p>
    <w:p w:rsidR="002D6496" w:rsidRDefault="002D6496" w:rsidP="002D6496">
      <w:pPr>
        <w:pStyle w:val="2ffffc"/>
        <w:ind w:firstLine="567"/>
        <w:rPr>
          <w:color w:val="000000"/>
          <w:sz w:val="25"/>
          <w:szCs w:val="25"/>
        </w:rPr>
      </w:pPr>
      <w:r>
        <w:rPr>
          <w:sz w:val="25"/>
          <w:szCs w:val="25"/>
        </w:rPr>
        <w:tab/>
        <w:t xml:space="preserve"> </w:t>
      </w:r>
      <w:r>
        <w:rPr>
          <w:color w:val="000000"/>
          <w:sz w:val="25"/>
          <w:szCs w:val="25"/>
        </w:rPr>
        <w:t>Гентаміцин аналогічно амоксиціліну в середніх дозах стимулював ЕАС</w:t>
      </w:r>
      <w:r>
        <w:rPr>
          <w:color w:val="000000"/>
          <w:sz w:val="25"/>
        </w:rPr>
        <w:sym w:font="Symbol" w:char="F02D"/>
      </w:r>
      <w:r>
        <w:rPr>
          <w:color w:val="000000"/>
          <w:sz w:val="25"/>
          <w:szCs w:val="25"/>
        </w:rPr>
        <w:t>розеткоутворення (17,72</w:t>
      </w:r>
      <w:r>
        <w:rPr>
          <w:color w:val="000000"/>
          <w:sz w:val="25"/>
        </w:rPr>
        <w:sym w:font="Symbol" w:char="F0B1"/>
      </w:r>
      <w:r>
        <w:rPr>
          <w:color w:val="000000"/>
          <w:sz w:val="25"/>
          <w:szCs w:val="25"/>
        </w:rPr>
        <w:t>0,49%) з досить  високим коефіцієнтом активації (1,23</w:t>
      </w:r>
      <w:r>
        <w:rPr>
          <w:color w:val="000000"/>
          <w:sz w:val="25"/>
        </w:rPr>
        <w:sym w:font="Symbol" w:char="F0B1"/>
      </w:r>
      <w:r>
        <w:rPr>
          <w:color w:val="000000"/>
          <w:sz w:val="25"/>
          <w:szCs w:val="25"/>
        </w:rPr>
        <w:t>0,05), а у максимальних дозах - навпаки, вірогідно пригнічував Т- і В-розеткоутворення.</w:t>
      </w:r>
    </w:p>
    <w:p w:rsidR="002D6496" w:rsidRDefault="002D6496" w:rsidP="002D6496">
      <w:pPr>
        <w:spacing w:line="360" w:lineRule="auto"/>
        <w:ind w:firstLine="567"/>
        <w:jc w:val="both"/>
        <w:rPr>
          <w:sz w:val="25"/>
          <w:szCs w:val="25"/>
        </w:rPr>
      </w:pPr>
      <w:r>
        <w:t xml:space="preserve"> </w:t>
      </w:r>
      <w:r>
        <w:rPr>
          <w:sz w:val="25"/>
          <w:szCs w:val="25"/>
        </w:rPr>
        <w:t>При тестуванні біологічно активних препаратів (левамізол, АСД-ф-2, тканинний препарат із тимуса та тканинний препарат з селезінки) у дослідах in vitro нами було встановлено, що імунотропна  дія останніх була теж різнобічною  і  корелювала з їх дозою.</w:t>
      </w:r>
    </w:p>
    <w:p w:rsidR="002D6496" w:rsidRDefault="002D6496" w:rsidP="002D6496">
      <w:pPr>
        <w:pStyle w:val="affffffff4"/>
        <w:spacing w:line="360" w:lineRule="auto"/>
        <w:ind w:firstLine="567"/>
        <w:jc w:val="both"/>
        <w:rPr>
          <w:sz w:val="25"/>
          <w:szCs w:val="25"/>
        </w:rPr>
      </w:pPr>
      <w:r>
        <w:rPr>
          <w:sz w:val="25"/>
          <w:szCs w:val="25"/>
        </w:rPr>
        <w:t>Так, середні дози левамізолу не проявляли істотного впливу на реакцію розеткоутворення імунокомпетентних клітин крові. Після внесення подвійних доз останнього відносна частка активних        Т-мононуклеарів зростала до 43,62</w:t>
      </w:r>
      <w:r>
        <w:rPr>
          <w:sz w:val="25"/>
        </w:rPr>
        <w:sym w:font="Symbol" w:char="F0B1"/>
      </w:r>
      <w:r>
        <w:rPr>
          <w:sz w:val="25"/>
          <w:szCs w:val="25"/>
        </w:rPr>
        <w:t>2,02% (при 36,71</w:t>
      </w:r>
      <w:r>
        <w:rPr>
          <w:sz w:val="25"/>
        </w:rPr>
        <w:sym w:font="Symbol" w:char="F0B1"/>
      </w:r>
      <w:r>
        <w:rPr>
          <w:sz w:val="25"/>
          <w:szCs w:val="25"/>
        </w:rPr>
        <w:t xml:space="preserve">1,85% в контролі), а їх абсолютна кількість </w:t>
      </w:r>
      <w:r>
        <w:rPr>
          <w:sz w:val="25"/>
        </w:rPr>
        <w:sym w:font="Symbol" w:char="F02D"/>
      </w:r>
      <w:r>
        <w:rPr>
          <w:sz w:val="25"/>
          <w:szCs w:val="25"/>
        </w:rPr>
        <w:t xml:space="preserve"> до 2,45</w:t>
      </w:r>
      <w:r>
        <w:rPr>
          <w:sz w:val="25"/>
        </w:rPr>
        <w:sym w:font="Symbol" w:char="F0B1"/>
      </w:r>
      <w:r>
        <w:rPr>
          <w:sz w:val="25"/>
          <w:szCs w:val="25"/>
        </w:rPr>
        <w:t>0,01 Г/л, при КА 1,18</w:t>
      </w:r>
      <w:r>
        <w:rPr>
          <w:sz w:val="25"/>
        </w:rPr>
        <w:sym w:font="Symbol" w:char="F0B1"/>
      </w:r>
      <w:r>
        <w:rPr>
          <w:sz w:val="25"/>
          <w:szCs w:val="25"/>
        </w:rPr>
        <w:t xml:space="preserve">0,05. </w:t>
      </w:r>
    </w:p>
    <w:p w:rsidR="002D6496" w:rsidRDefault="002D6496" w:rsidP="002D6496">
      <w:pPr>
        <w:pStyle w:val="2ffffc"/>
        <w:ind w:firstLine="567"/>
        <w:rPr>
          <w:sz w:val="25"/>
          <w:szCs w:val="25"/>
        </w:rPr>
      </w:pPr>
      <w:r>
        <w:rPr>
          <w:sz w:val="25"/>
          <w:szCs w:val="25"/>
        </w:rPr>
        <w:t>Препарат АСД</w:t>
      </w:r>
      <w:r>
        <w:rPr>
          <w:sz w:val="25"/>
        </w:rPr>
        <w:sym w:font="Symbol" w:char="F02D"/>
      </w:r>
      <w:r>
        <w:rPr>
          <w:sz w:val="25"/>
          <w:szCs w:val="25"/>
        </w:rPr>
        <w:t>ф-2 у першій серії дослідів in vitro не проявляв істотного імунотропного впливу, і лише із збільшенням дози кількість активних Т-лімфоцитів зростала на 8,55% (45,26</w:t>
      </w:r>
      <w:r>
        <w:rPr>
          <w:sz w:val="25"/>
        </w:rPr>
        <w:sym w:font="Symbol" w:char="F0B1"/>
      </w:r>
      <w:r>
        <w:rPr>
          <w:sz w:val="25"/>
          <w:szCs w:val="25"/>
        </w:rPr>
        <w:t>1,43 проти 36,71</w:t>
      </w:r>
      <w:r>
        <w:rPr>
          <w:sz w:val="25"/>
        </w:rPr>
        <w:sym w:font="Symbol" w:char="F0B1"/>
      </w:r>
      <w:r>
        <w:rPr>
          <w:sz w:val="25"/>
          <w:szCs w:val="25"/>
        </w:rPr>
        <w:t xml:space="preserve">1,85%), при КА </w:t>
      </w:r>
      <w:r>
        <w:rPr>
          <w:sz w:val="25"/>
        </w:rPr>
        <w:sym w:font="Symbol" w:char="F02D"/>
      </w:r>
      <w:r>
        <w:rPr>
          <w:sz w:val="25"/>
          <w:szCs w:val="25"/>
        </w:rPr>
        <w:t xml:space="preserve"> 1,23</w:t>
      </w:r>
      <w:r>
        <w:rPr>
          <w:sz w:val="25"/>
        </w:rPr>
        <w:sym w:font="Symbol" w:char="F0B1"/>
      </w:r>
      <w:r>
        <w:rPr>
          <w:sz w:val="25"/>
          <w:szCs w:val="25"/>
        </w:rPr>
        <w:t>0,04.  Частка активних В-лімфоцитів при цьому збільшувалася до 14,67</w:t>
      </w:r>
      <w:r>
        <w:rPr>
          <w:sz w:val="25"/>
        </w:rPr>
        <w:sym w:font="Symbol" w:char="F0B1"/>
      </w:r>
      <w:r>
        <w:rPr>
          <w:sz w:val="25"/>
          <w:szCs w:val="25"/>
        </w:rPr>
        <w:t>0,46% (при 12,37</w:t>
      </w:r>
      <w:r>
        <w:rPr>
          <w:sz w:val="25"/>
        </w:rPr>
        <w:sym w:font="Symbol" w:char="F0B1"/>
      </w:r>
      <w:r>
        <w:rPr>
          <w:sz w:val="25"/>
          <w:szCs w:val="25"/>
        </w:rPr>
        <w:t>0,15% в контролі), а КА становив 1,19</w:t>
      </w:r>
      <w:r>
        <w:rPr>
          <w:sz w:val="25"/>
        </w:rPr>
        <w:sym w:font="Symbol" w:char="F0B1"/>
      </w:r>
      <w:r>
        <w:rPr>
          <w:sz w:val="25"/>
          <w:szCs w:val="25"/>
        </w:rPr>
        <w:t>0,05.</w:t>
      </w:r>
    </w:p>
    <w:p w:rsidR="002D6496" w:rsidRDefault="002D6496" w:rsidP="002D6496">
      <w:pPr>
        <w:spacing w:line="360" w:lineRule="auto"/>
        <w:ind w:firstLine="567"/>
        <w:jc w:val="both"/>
        <w:rPr>
          <w:sz w:val="25"/>
          <w:szCs w:val="25"/>
        </w:rPr>
      </w:pPr>
      <w:r>
        <w:rPr>
          <w:sz w:val="25"/>
          <w:szCs w:val="25"/>
        </w:rPr>
        <w:lastRenderedPageBreak/>
        <w:t xml:space="preserve">Тканинний препарат з тимуса в усіх дослідах відзначився переважною імунотропністю щодо        Т-лімфоцитів.       У    першому        досліді       частка      активних            </w:t>
      </w:r>
    </w:p>
    <w:p w:rsidR="002D6496" w:rsidRDefault="002D6496" w:rsidP="002D6496">
      <w:pPr>
        <w:spacing w:line="360" w:lineRule="auto"/>
        <w:ind w:firstLine="567"/>
        <w:jc w:val="both"/>
        <w:rPr>
          <w:sz w:val="25"/>
          <w:szCs w:val="25"/>
        </w:rPr>
      </w:pPr>
    </w:p>
    <w:p w:rsidR="002D6496" w:rsidRDefault="002D6496" w:rsidP="002D6496">
      <w:pPr>
        <w:spacing w:line="360" w:lineRule="auto"/>
        <w:ind w:firstLine="567"/>
        <w:jc w:val="both"/>
        <w:rPr>
          <w:sz w:val="25"/>
          <w:szCs w:val="25"/>
        </w:rPr>
      </w:pPr>
    </w:p>
    <w:p w:rsidR="002D6496" w:rsidRDefault="002D6496" w:rsidP="002D6496">
      <w:pPr>
        <w:spacing w:line="360" w:lineRule="auto"/>
        <w:ind w:firstLine="567"/>
        <w:jc w:val="both"/>
        <w:rPr>
          <w:sz w:val="25"/>
          <w:szCs w:val="25"/>
        </w:rPr>
      </w:pPr>
      <w:r>
        <w:rPr>
          <w:sz w:val="25"/>
          <w:szCs w:val="25"/>
        </w:rPr>
        <w:t xml:space="preserve">                                                          </w:t>
      </w:r>
    </w:p>
    <w:p w:rsidR="002D6496" w:rsidRDefault="002D6496" w:rsidP="002D6496">
      <w:pPr>
        <w:spacing w:line="360" w:lineRule="auto"/>
        <w:jc w:val="both"/>
        <w:rPr>
          <w:sz w:val="25"/>
          <w:szCs w:val="25"/>
        </w:rPr>
      </w:pPr>
      <w:r>
        <w:rPr>
          <w:sz w:val="25"/>
          <w:szCs w:val="25"/>
        </w:rPr>
        <w:t>розеток Е-РУК зростала на 5,64%, (КА 1,15</w:t>
      </w:r>
      <w:r>
        <w:rPr>
          <w:sz w:val="25"/>
        </w:rPr>
        <w:sym w:font="Symbol" w:char="F0B1"/>
      </w:r>
      <w:r>
        <w:rPr>
          <w:sz w:val="25"/>
          <w:szCs w:val="25"/>
        </w:rPr>
        <w:t xml:space="preserve">0,02); у другому </w:t>
      </w:r>
      <w:r>
        <w:rPr>
          <w:sz w:val="25"/>
        </w:rPr>
        <w:sym w:font="Symbol" w:char="F02D"/>
      </w:r>
      <w:r>
        <w:rPr>
          <w:sz w:val="25"/>
          <w:szCs w:val="25"/>
        </w:rPr>
        <w:t xml:space="preserve"> на 10,81% (КА- 1,29</w:t>
      </w:r>
      <w:r>
        <w:rPr>
          <w:sz w:val="25"/>
        </w:rPr>
        <w:sym w:font="Symbol" w:char="F0B1"/>
      </w:r>
      <w:r>
        <w:rPr>
          <w:sz w:val="25"/>
          <w:szCs w:val="25"/>
        </w:rPr>
        <w:t xml:space="preserve">0,03). </w:t>
      </w:r>
    </w:p>
    <w:p w:rsidR="002D6496" w:rsidRDefault="002D6496" w:rsidP="002D6496">
      <w:pPr>
        <w:pStyle w:val="37"/>
        <w:rPr>
          <w:b/>
          <w:bCs/>
          <w:sz w:val="25"/>
          <w:szCs w:val="25"/>
        </w:rPr>
      </w:pPr>
      <w:r>
        <w:rPr>
          <w:b/>
          <w:bCs/>
          <w:sz w:val="25"/>
          <w:szCs w:val="25"/>
        </w:rPr>
        <w:t>Тканинний препарат з селезінки виявляв вибіркову  активізацію  В-лімфоцитів. Додавання до тест-культури середніх доз спричинювало зростання ЕАС-РУК до 15,57</w:t>
      </w:r>
      <w:r>
        <w:rPr>
          <w:b/>
          <w:bCs/>
          <w:sz w:val="25"/>
          <w:szCs w:val="24"/>
        </w:rPr>
        <w:sym w:font="Symbol" w:char="F0B1"/>
      </w:r>
      <w:r>
        <w:rPr>
          <w:b/>
          <w:bCs/>
          <w:sz w:val="25"/>
          <w:szCs w:val="25"/>
        </w:rPr>
        <w:t xml:space="preserve">0,80%, а з подвоєнням дози препарату до </w:t>
      </w:r>
      <w:r>
        <w:rPr>
          <w:b/>
          <w:bCs/>
          <w:sz w:val="25"/>
          <w:szCs w:val="24"/>
        </w:rPr>
        <w:sym w:font="Symbol" w:char="F02D"/>
      </w:r>
      <w:r>
        <w:rPr>
          <w:b/>
          <w:bCs/>
          <w:sz w:val="25"/>
          <w:szCs w:val="25"/>
        </w:rPr>
        <w:t xml:space="preserve"> 17,68</w:t>
      </w:r>
      <w:r>
        <w:rPr>
          <w:b/>
          <w:bCs/>
          <w:sz w:val="25"/>
          <w:szCs w:val="24"/>
        </w:rPr>
        <w:sym w:font="Symbol" w:char="F0B1"/>
      </w:r>
      <w:r>
        <w:rPr>
          <w:b/>
          <w:bCs/>
          <w:sz w:val="25"/>
          <w:szCs w:val="25"/>
        </w:rPr>
        <w:t>0,96%, при КА-1,43</w:t>
      </w:r>
      <w:r>
        <w:rPr>
          <w:b/>
          <w:bCs/>
          <w:sz w:val="25"/>
          <w:szCs w:val="24"/>
        </w:rPr>
        <w:sym w:font="Symbol" w:char="F0B1"/>
      </w:r>
      <w:r>
        <w:rPr>
          <w:b/>
          <w:bCs/>
          <w:sz w:val="25"/>
          <w:szCs w:val="25"/>
        </w:rPr>
        <w:t xml:space="preserve">0,05. </w:t>
      </w:r>
    </w:p>
    <w:p w:rsidR="002D6496" w:rsidRDefault="002D6496" w:rsidP="002D6496">
      <w:pPr>
        <w:pStyle w:val="37"/>
        <w:rPr>
          <w:b/>
          <w:bCs/>
          <w:sz w:val="22"/>
          <w:szCs w:val="22"/>
        </w:rPr>
      </w:pPr>
      <w:r>
        <w:rPr>
          <w:b/>
          <w:bCs/>
          <w:sz w:val="23"/>
          <w:szCs w:val="23"/>
        </w:rPr>
        <w:t xml:space="preserve">При дослідженні впливу згаданих біопрепаратів на метаболічну активність фагоцитів (МАФ) в реакції НСТ-тесту та на фагоцитарну активність (ФА) також виявили різнобічну імунотропну дію останніх (рис. 1). </w:t>
      </w:r>
    </w:p>
    <w:p w:rsidR="002D6496" w:rsidRDefault="002D6496" w:rsidP="002D6496">
      <w:pPr>
        <w:pStyle w:val="37"/>
        <w:ind w:firstLine="0"/>
        <w:jc w:val="center"/>
        <w:rPr>
          <w:sz w:val="22"/>
          <w:szCs w:val="22"/>
        </w:rPr>
      </w:pPr>
      <w:r>
        <w:rPr>
          <w:noProof/>
        </w:rPr>
        <w:lastRenderedPageBreak/>
        <w:drawing>
          <wp:anchor distT="0" distB="0" distL="114300" distR="114300" simplePos="0" relativeHeight="251659264" behindDoc="0" locked="0" layoutInCell="0" allowOverlap="1">
            <wp:simplePos x="0" y="0"/>
            <wp:positionH relativeFrom="column">
              <wp:posOffset>-20955</wp:posOffset>
            </wp:positionH>
            <wp:positionV relativeFrom="paragraph">
              <wp:posOffset>88265</wp:posOffset>
            </wp:positionV>
            <wp:extent cx="6400800" cy="4548505"/>
            <wp:effectExtent l="3810" t="0" r="0" b="6350"/>
            <wp:wrapTopAndBottom/>
            <wp:docPr id="93" name="Диаграмма 9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sz w:val="22"/>
          <w:szCs w:val="22"/>
        </w:rPr>
        <w:t>Рис. 1  Вплив біологічно активних препаратів</w:t>
      </w:r>
    </w:p>
    <w:p w:rsidR="002D6496" w:rsidRDefault="002D6496" w:rsidP="002D6496">
      <w:pPr>
        <w:pStyle w:val="37"/>
        <w:ind w:firstLine="0"/>
        <w:jc w:val="center"/>
        <w:rPr>
          <w:sz w:val="22"/>
          <w:szCs w:val="22"/>
        </w:rPr>
      </w:pPr>
      <w:r>
        <w:rPr>
          <w:sz w:val="22"/>
          <w:szCs w:val="22"/>
        </w:rPr>
        <w:t xml:space="preserve">на МАФ і ФА в реакціях </w:t>
      </w:r>
      <w:r>
        <w:rPr>
          <w:sz w:val="22"/>
          <w:szCs w:val="22"/>
          <w:lang w:val="en-US"/>
        </w:rPr>
        <w:t>in</w:t>
      </w:r>
      <w:r>
        <w:rPr>
          <w:sz w:val="22"/>
          <w:szCs w:val="22"/>
        </w:rPr>
        <w:t xml:space="preserve"> </w:t>
      </w:r>
      <w:r>
        <w:rPr>
          <w:sz w:val="22"/>
          <w:szCs w:val="22"/>
          <w:lang w:val="en-US"/>
        </w:rPr>
        <w:t>vitr</w:t>
      </w:r>
      <w:r>
        <w:rPr>
          <w:sz w:val="22"/>
          <w:szCs w:val="22"/>
        </w:rPr>
        <w:t>о</w:t>
      </w:r>
    </w:p>
    <w:p w:rsidR="002D6496" w:rsidRDefault="002D6496" w:rsidP="002D6496">
      <w:pPr>
        <w:pStyle w:val="37"/>
        <w:rPr>
          <w:b/>
          <w:bCs/>
          <w:szCs w:val="24"/>
        </w:rPr>
      </w:pPr>
      <w:r>
        <w:rPr>
          <w:b/>
          <w:bCs/>
          <w:szCs w:val="24"/>
        </w:rPr>
        <w:t>Найпомітніший вплив на показники  НСТ</w:t>
      </w:r>
      <w:r>
        <w:rPr>
          <w:rFonts w:ascii="Lucida Console" w:hAnsi="Lucida Console" w:cs="Lucida Console"/>
          <w:b/>
          <w:bCs/>
          <w:szCs w:val="24"/>
        </w:rPr>
        <w:t>―</w:t>
      </w:r>
      <w:r>
        <w:rPr>
          <w:b/>
          <w:bCs/>
          <w:szCs w:val="24"/>
        </w:rPr>
        <w:t>тесту виявив препарат АСД</w:t>
      </w:r>
      <w:r>
        <w:rPr>
          <w:b/>
          <w:bCs/>
          <w:szCs w:val="24"/>
        </w:rPr>
        <w:sym w:font="Symbol" w:char="F02D"/>
      </w:r>
      <w:r>
        <w:rPr>
          <w:b/>
          <w:bCs/>
          <w:szCs w:val="24"/>
        </w:rPr>
        <w:t>ф-2 (р&gt;0,001 відносно контролю). В подвійній дозі він також виявив найвищу стимуляцію фагоцитозу (54,1</w:t>
      </w:r>
      <w:r>
        <w:rPr>
          <w:b/>
          <w:bCs/>
          <w:szCs w:val="24"/>
        </w:rPr>
        <w:sym w:font="Symbol" w:char="F0B1"/>
      </w:r>
      <w:r>
        <w:rPr>
          <w:b/>
          <w:bCs/>
          <w:szCs w:val="24"/>
        </w:rPr>
        <w:t>1,51%  проти 37,92</w:t>
      </w:r>
      <w:r>
        <w:rPr>
          <w:b/>
          <w:bCs/>
          <w:szCs w:val="24"/>
        </w:rPr>
        <w:sym w:font="Symbol" w:char="F0B1"/>
      </w:r>
      <w:r>
        <w:rPr>
          <w:b/>
          <w:bCs/>
          <w:szCs w:val="24"/>
        </w:rPr>
        <w:t xml:space="preserve">1,59 в контролі) з найвищим КА </w:t>
      </w:r>
      <w:r>
        <w:rPr>
          <w:b/>
          <w:bCs/>
          <w:szCs w:val="24"/>
        </w:rPr>
        <w:sym w:font="Symbol" w:char="F02D"/>
      </w:r>
      <w:r>
        <w:rPr>
          <w:b/>
          <w:bCs/>
          <w:szCs w:val="24"/>
        </w:rPr>
        <w:t>1,43</w:t>
      </w:r>
      <w:r>
        <w:rPr>
          <w:b/>
          <w:bCs/>
          <w:szCs w:val="24"/>
        </w:rPr>
        <w:sym w:font="Symbol" w:char="F0B1"/>
      </w:r>
      <w:r>
        <w:rPr>
          <w:b/>
          <w:bCs/>
          <w:szCs w:val="24"/>
        </w:rPr>
        <w:t xml:space="preserve">0,05. </w:t>
      </w:r>
    </w:p>
    <w:p w:rsidR="002D6496" w:rsidRDefault="002D6496" w:rsidP="002D6496">
      <w:pPr>
        <w:pStyle w:val="37"/>
        <w:rPr>
          <w:b/>
          <w:bCs/>
          <w:szCs w:val="24"/>
        </w:rPr>
      </w:pPr>
      <w:r>
        <w:rPr>
          <w:b/>
          <w:bCs/>
          <w:szCs w:val="24"/>
        </w:rPr>
        <w:t>Левамізол у подвійній дозі найістотніше змінював показники НСТ</w:t>
      </w:r>
      <w:r>
        <w:rPr>
          <w:b/>
          <w:bCs/>
          <w:szCs w:val="24"/>
        </w:rPr>
        <w:sym w:font="Symbol" w:char="F02D"/>
      </w:r>
      <w:r>
        <w:rPr>
          <w:b/>
          <w:bCs/>
          <w:szCs w:val="24"/>
        </w:rPr>
        <w:t>тесту (р&gt;0,01) і фагоцитарної реакції (49,51</w:t>
      </w:r>
      <w:r>
        <w:rPr>
          <w:b/>
          <w:bCs/>
          <w:szCs w:val="24"/>
        </w:rPr>
        <w:sym w:font="Symbol" w:char="F0B1"/>
      </w:r>
      <w:r>
        <w:rPr>
          <w:b/>
          <w:bCs/>
          <w:szCs w:val="24"/>
        </w:rPr>
        <w:t>1,48%) при КА 1,31</w:t>
      </w:r>
      <w:r>
        <w:rPr>
          <w:b/>
          <w:bCs/>
          <w:szCs w:val="24"/>
        </w:rPr>
        <w:sym w:font="Symbol" w:char="F0B1"/>
      </w:r>
      <w:r>
        <w:rPr>
          <w:b/>
          <w:bCs/>
          <w:szCs w:val="24"/>
        </w:rPr>
        <w:t>0,04.</w:t>
      </w:r>
    </w:p>
    <w:p w:rsidR="002D6496" w:rsidRDefault="002D6496" w:rsidP="002D6496">
      <w:pPr>
        <w:pStyle w:val="37"/>
        <w:rPr>
          <w:b/>
          <w:bCs/>
          <w:szCs w:val="24"/>
        </w:rPr>
      </w:pPr>
      <w:r>
        <w:rPr>
          <w:b/>
          <w:bCs/>
          <w:szCs w:val="24"/>
        </w:rPr>
        <w:t>Препарат з тимусу виявив досить виражену стимулюючу дію на МАФ як в мінімальній, так і у подвійній дозі. На відміну від нього, екстракт із селезінки  виявився найбільш індиферентним і лише в подвійній дозі проявив помірний стимулюючий ефект на МАФ та ФА.</w:t>
      </w:r>
    </w:p>
    <w:p w:rsidR="002D6496" w:rsidRDefault="002D6496" w:rsidP="002D6496">
      <w:pPr>
        <w:pStyle w:val="37"/>
        <w:rPr>
          <w:b/>
          <w:bCs/>
          <w:sz w:val="25"/>
          <w:szCs w:val="25"/>
        </w:rPr>
      </w:pPr>
      <w:r>
        <w:rPr>
          <w:b/>
          <w:bCs/>
          <w:sz w:val="25"/>
          <w:szCs w:val="25"/>
        </w:rPr>
        <w:t xml:space="preserve">Таким чином, найбільший імунотропний вплив у реакціях </w:t>
      </w:r>
      <w:r>
        <w:rPr>
          <w:b/>
          <w:bCs/>
          <w:sz w:val="25"/>
          <w:szCs w:val="25"/>
          <w:lang w:val="en-US"/>
        </w:rPr>
        <w:t>in</w:t>
      </w:r>
      <w:r>
        <w:rPr>
          <w:b/>
          <w:bCs/>
          <w:sz w:val="25"/>
          <w:szCs w:val="25"/>
        </w:rPr>
        <w:t xml:space="preserve"> </w:t>
      </w:r>
      <w:r>
        <w:rPr>
          <w:b/>
          <w:bCs/>
          <w:sz w:val="25"/>
          <w:szCs w:val="25"/>
          <w:lang w:val="en-US"/>
        </w:rPr>
        <w:t>vitro</w:t>
      </w:r>
      <w:r>
        <w:rPr>
          <w:b/>
          <w:bCs/>
          <w:sz w:val="25"/>
          <w:szCs w:val="25"/>
        </w:rPr>
        <w:t xml:space="preserve"> у відношенні  функціональної активності фагоцитів проявив препарат </w:t>
      </w:r>
      <w:r>
        <w:rPr>
          <w:b/>
          <w:bCs/>
          <w:sz w:val="25"/>
          <w:szCs w:val="25"/>
        </w:rPr>
        <w:lastRenderedPageBreak/>
        <w:t>АСД</w:t>
      </w:r>
      <w:r>
        <w:rPr>
          <w:b/>
          <w:bCs/>
          <w:sz w:val="25"/>
          <w:szCs w:val="24"/>
        </w:rPr>
        <w:sym w:font="Symbol" w:char="F02D"/>
      </w:r>
      <w:r>
        <w:rPr>
          <w:b/>
          <w:bCs/>
          <w:sz w:val="25"/>
          <w:szCs w:val="25"/>
        </w:rPr>
        <w:t>ф</w:t>
      </w:r>
      <w:r>
        <w:rPr>
          <w:b/>
          <w:bCs/>
          <w:sz w:val="25"/>
          <w:szCs w:val="24"/>
        </w:rPr>
        <w:sym w:font="Symbol" w:char="F02D"/>
      </w:r>
      <w:r>
        <w:rPr>
          <w:b/>
          <w:bCs/>
          <w:sz w:val="25"/>
          <w:szCs w:val="25"/>
        </w:rPr>
        <w:t xml:space="preserve">2, вибіркову стимуляцію </w:t>
      </w:r>
      <w:r>
        <w:rPr>
          <w:b/>
          <w:bCs/>
          <w:sz w:val="25"/>
          <w:szCs w:val="24"/>
        </w:rPr>
        <w:sym w:font="Symbol" w:char="F02D"/>
      </w:r>
      <w:r>
        <w:rPr>
          <w:b/>
          <w:bCs/>
          <w:sz w:val="25"/>
          <w:szCs w:val="25"/>
        </w:rPr>
        <w:t xml:space="preserve"> левамізол та тканинний препарат з тимусу і найменшу </w:t>
      </w:r>
      <w:r>
        <w:rPr>
          <w:b/>
          <w:bCs/>
          <w:sz w:val="25"/>
          <w:szCs w:val="24"/>
        </w:rPr>
        <w:sym w:font="Symbol" w:char="F02D"/>
      </w:r>
      <w:r>
        <w:rPr>
          <w:b/>
          <w:bCs/>
          <w:sz w:val="25"/>
          <w:szCs w:val="25"/>
        </w:rPr>
        <w:t xml:space="preserve"> екстракт із селезінки. </w:t>
      </w:r>
    </w:p>
    <w:p w:rsidR="002D6496" w:rsidRDefault="002D6496" w:rsidP="002D6496">
      <w:pPr>
        <w:pStyle w:val="37"/>
        <w:rPr>
          <w:b/>
          <w:bCs/>
          <w:sz w:val="25"/>
          <w:szCs w:val="25"/>
        </w:rPr>
      </w:pPr>
    </w:p>
    <w:p w:rsidR="002D6496" w:rsidRDefault="002D6496" w:rsidP="002D6496">
      <w:pPr>
        <w:pStyle w:val="affffffff4"/>
        <w:spacing w:line="360" w:lineRule="auto"/>
        <w:ind w:left="567" w:hanging="567"/>
        <w:jc w:val="center"/>
        <w:rPr>
          <w:b/>
          <w:bCs/>
          <w:sz w:val="25"/>
          <w:szCs w:val="25"/>
        </w:rPr>
      </w:pPr>
      <w:r>
        <w:rPr>
          <w:b/>
          <w:bCs/>
          <w:sz w:val="25"/>
          <w:szCs w:val="25"/>
        </w:rPr>
        <w:t xml:space="preserve">Антибіотикочутливість мікрофлори, </w:t>
      </w:r>
    </w:p>
    <w:p w:rsidR="002D6496" w:rsidRDefault="002D6496" w:rsidP="002D6496">
      <w:pPr>
        <w:pStyle w:val="affffffff4"/>
        <w:spacing w:line="360" w:lineRule="auto"/>
        <w:ind w:left="567" w:hanging="567"/>
        <w:jc w:val="center"/>
        <w:rPr>
          <w:b/>
          <w:bCs/>
          <w:sz w:val="25"/>
          <w:szCs w:val="25"/>
        </w:rPr>
      </w:pPr>
      <w:r>
        <w:rPr>
          <w:b/>
          <w:bCs/>
          <w:sz w:val="25"/>
          <w:szCs w:val="25"/>
        </w:rPr>
        <w:t xml:space="preserve">виявленої в матковому ексудаті при післяродовому  </w:t>
      </w:r>
    </w:p>
    <w:p w:rsidR="002D6496" w:rsidRDefault="002D6496" w:rsidP="002D6496">
      <w:pPr>
        <w:pStyle w:val="affffffff4"/>
        <w:spacing w:line="360" w:lineRule="auto"/>
        <w:ind w:left="567" w:hanging="567"/>
        <w:jc w:val="center"/>
        <w:rPr>
          <w:b/>
          <w:bCs/>
          <w:sz w:val="25"/>
          <w:szCs w:val="25"/>
        </w:rPr>
      </w:pPr>
      <w:r>
        <w:rPr>
          <w:b/>
          <w:bCs/>
          <w:sz w:val="25"/>
          <w:szCs w:val="25"/>
        </w:rPr>
        <w:t>гнійно-катаральному ендометриті корів</w:t>
      </w:r>
    </w:p>
    <w:p w:rsidR="002D6496" w:rsidRDefault="002D6496" w:rsidP="002D6496">
      <w:pPr>
        <w:pStyle w:val="2ffffc"/>
        <w:ind w:firstLine="567"/>
        <w:rPr>
          <w:sz w:val="25"/>
          <w:szCs w:val="25"/>
        </w:rPr>
      </w:pPr>
      <w:r>
        <w:rPr>
          <w:sz w:val="25"/>
          <w:szCs w:val="25"/>
        </w:rPr>
        <w:t>Однією з умов антибіотикотерапії є її етіотропність, тобто застосування лише тих препаратів (та їх комбінацій), до яких попередньо визначено чутливість мікрофлори. З цією метою було проведено 3 серії досліджень (в 3-х базових господарствах) для визначення антибіотикорезистентності мікрофлори з геніталій корів, хворих на післяродовий ендометрит. Всього було протестовано одинадцять антибіотиків (табл. 4), які найширше використовуються у ветеринарній практиці.</w:t>
      </w:r>
    </w:p>
    <w:p w:rsidR="002D6496" w:rsidRDefault="002D6496" w:rsidP="002D6496">
      <w:pPr>
        <w:pStyle w:val="2ffffc"/>
        <w:ind w:firstLine="567"/>
        <w:jc w:val="right"/>
        <w:rPr>
          <w:b/>
          <w:bCs/>
          <w:sz w:val="25"/>
          <w:szCs w:val="25"/>
        </w:rPr>
      </w:pPr>
      <w:r>
        <w:rPr>
          <w:b/>
          <w:bCs/>
          <w:sz w:val="25"/>
          <w:szCs w:val="25"/>
        </w:rPr>
        <w:t>Таблиця 4</w:t>
      </w:r>
    </w:p>
    <w:p w:rsidR="002D6496" w:rsidRDefault="002D6496" w:rsidP="002D6496">
      <w:pPr>
        <w:pStyle w:val="2ffffc"/>
        <w:ind w:firstLine="567"/>
        <w:jc w:val="center"/>
        <w:rPr>
          <w:b/>
          <w:bCs/>
          <w:sz w:val="25"/>
          <w:szCs w:val="25"/>
        </w:rPr>
      </w:pPr>
      <w:r>
        <w:rPr>
          <w:b/>
          <w:bCs/>
          <w:sz w:val="25"/>
          <w:szCs w:val="25"/>
        </w:rPr>
        <w:t>Антибіотикочутливість мікрофлори ексудату з порожнини матки хворих</w:t>
      </w:r>
    </w:p>
    <w:p w:rsidR="002D6496" w:rsidRDefault="002D6496" w:rsidP="002D6496">
      <w:pPr>
        <w:pStyle w:val="2ffffc"/>
        <w:ind w:firstLine="567"/>
        <w:jc w:val="center"/>
        <w:rPr>
          <w:b/>
          <w:bCs/>
          <w:sz w:val="25"/>
          <w:szCs w:val="25"/>
        </w:rPr>
      </w:pPr>
      <w:r>
        <w:rPr>
          <w:b/>
          <w:bCs/>
          <w:sz w:val="25"/>
          <w:szCs w:val="25"/>
        </w:rPr>
        <w:t xml:space="preserve"> на ендометрит корів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67"/>
        <w:gridCol w:w="567"/>
        <w:gridCol w:w="567"/>
        <w:gridCol w:w="567"/>
        <w:gridCol w:w="567"/>
        <w:gridCol w:w="567"/>
        <w:gridCol w:w="567"/>
        <w:gridCol w:w="567"/>
        <w:gridCol w:w="567"/>
        <w:gridCol w:w="567"/>
        <w:gridCol w:w="567"/>
      </w:tblGrid>
      <w:tr w:rsidR="002D6496" w:rsidTr="004F3130">
        <w:tblPrEx>
          <w:tblCellMar>
            <w:top w:w="0" w:type="dxa"/>
            <w:bottom w:w="0" w:type="dxa"/>
          </w:tblCellMar>
        </w:tblPrEx>
        <w:trPr>
          <w:cantSplit/>
          <w:trHeight w:val="435"/>
        </w:trPr>
        <w:tc>
          <w:tcPr>
            <w:tcW w:w="3510" w:type="dxa"/>
            <w:vMerge w:val="restart"/>
            <w:tcBorders>
              <w:top w:val="double" w:sz="4" w:space="0" w:color="auto"/>
              <w:left w:val="double" w:sz="4" w:space="0" w:color="auto"/>
              <w:bottom w:val="nil"/>
              <w:right w:val="double" w:sz="4" w:space="0" w:color="auto"/>
            </w:tcBorders>
            <w:vAlign w:val="center"/>
          </w:tcPr>
          <w:p w:rsidR="002D6496" w:rsidRDefault="002D6496" w:rsidP="004F3130">
            <w:pPr>
              <w:pStyle w:val="2ffffc"/>
              <w:jc w:val="center"/>
              <w:rPr>
                <w:b/>
                <w:bCs/>
                <w:spacing w:val="86"/>
              </w:rPr>
            </w:pPr>
            <w:r>
              <w:rPr>
                <w:b/>
                <w:bCs/>
                <w:spacing w:val="86"/>
              </w:rPr>
              <w:t>Мікроорганізми</w:t>
            </w:r>
          </w:p>
        </w:tc>
        <w:tc>
          <w:tcPr>
            <w:tcW w:w="6237" w:type="dxa"/>
            <w:gridSpan w:val="11"/>
            <w:tcBorders>
              <w:top w:val="double" w:sz="4" w:space="0" w:color="auto"/>
              <w:left w:val="nil"/>
              <w:bottom w:val="double" w:sz="4" w:space="0" w:color="auto"/>
              <w:right w:val="double" w:sz="4" w:space="0" w:color="auto"/>
            </w:tcBorders>
            <w:vAlign w:val="center"/>
          </w:tcPr>
          <w:p w:rsidR="002D6496" w:rsidRDefault="002D6496" w:rsidP="004F3130">
            <w:pPr>
              <w:pStyle w:val="2ffffc"/>
              <w:jc w:val="center"/>
              <w:rPr>
                <w:b/>
                <w:bCs/>
                <w:spacing w:val="146"/>
              </w:rPr>
            </w:pPr>
            <w:r>
              <w:rPr>
                <w:b/>
                <w:bCs/>
                <w:spacing w:val="146"/>
              </w:rPr>
              <w:t>Антибіотики</w:t>
            </w:r>
          </w:p>
        </w:tc>
      </w:tr>
      <w:tr w:rsidR="002D6496" w:rsidTr="004F3130">
        <w:tblPrEx>
          <w:tblCellMar>
            <w:top w:w="0" w:type="dxa"/>
            <w:bottom w:w="0" w:type="dxa"/>
          </w:tblCellMar>
        </w:tblPrEx>
        <w:trPr>
          <w:cantSplit/>
          <w:trHeight w:val="2199"/>
        </w:trPr>
        <w:tc>
          <w:tcPr>
            <w:tcW w:w="3510" w:type="dxa"/>
            <w:vMerge/>
            <w:tcBorders>
              <w:left w:val="double" w:sz="4" w:space="0" w:color="auto"/>
              <w:bottom w:val="thickThinSmallGap" w:sz="24" w:space="0" w:color="auto"/>
              <w:right w:val="double" w:sz="4" w:space="0" w:color="auto"/>
            </w:tcBorders>
            <w:vAlign w:val="center"/>
          </w:tcPr>
          <w:p w:rsidR="002D6496" w:rsidRDefault="002D6496" w:rsidP="004F3130">
            <w:pPr>
              <w:pStyle w:val="2ffffc"/>
              <w:jc w:val="center"/>
              <w:rPr>
                <w:b/>
                <w:bCs/>
                <w:spacing w:val="170"/>
              </w:rPr>
            </w:pPr>
          </w:p>
        </w:tc>
        <w:tc>
          <w:tcPr>
            <w:tcW w:w="567" w:type="dxa"/>
            <w:tcBorders>
              <w:top w:val="double" w:sz="4" w:space="0" w:color="auto"/>
              <w:left w:val="nil"/>
              <w:bottom w:val="thickThinSmallGap" w:sz="24" w:space="0" w:color="auto"/>
              <w:right w:val="double" w:sz="4" w:space="0" w:color="auto"/>
            </w:tcBorders>
            <w:textDirection w:val="btLr"/>
            <w:vAlign w:val="center"/>
          </w:tcPr>
          <w:p w:rsidR="002D6496" w:rsidRDefault="002D6496" w:rsidP="004F3130">
            <w:pPr>
              <w:pStyle w:val="2ffffc"/>
              <w:ind w:left="113" w:right="113"/>
              <w:jc w:val="center"/>
              <w:rPr>
                <w:b/>
                <w:bCs/>
              </w:rPr>
            </w:pPr>
            <w:r>
              <w:rPr>
                <w:b/>
                <w:bCs/>
              </w:rPr>
              <w:t>Бензилпеніцилін</w:t>
            </w:r>
          </w:p>
        </w:tc>
        <w:tc>
          <w:tcPr>
            <w:tcW w:w="567" w:type="dxa"/>
            <w:tcBorders>
              <w:top w:val="double" w:sz="4" w:space="0" w:color="auto"/>
              <w:left w:val="nil"/>
              <w:bottom w:val="thickThinSmallGap" w:sz="24" w:space="0" w:color="auto"/>
              <w:right w:val="double" w:sz="4" w:space="0" w:color="auto"/>
            </w:tcBorders>
            <w:textDirection w:val="btLr"/>
            <w:vAlign w:val="center"/>
          </w:tcPr>
          <w:p w:rsidR="002D6496" w:rsidRDefault="002D6496" w:rsidP="004F3130">
            <w:pPr>
              <w:pStyle w:val="2ffffc"/>
              <w:ind w:left="113" w:right="113"/>
              <w:jc w:val="center"/>
              <w:rPr>
                <w:b/>
                <w:bCs/>
              </w:rPr>
            </w:pPr>
            <w:r>
              <w:rPr>
                <w:b/>
                <w:bCs/>
              </w:rPr>
              <w:t>Стрептоміцин</w:t>
            </w:r>
          </w:p>
        </w:tc>
        <w:tc>
          <w:tcPr>
            <w:tcW w:w="567" w:type="dxa"/>
            <w:tcBorders>
              <w:top w:val="double" w:sz="4" w:space="0" w:color="auto"/>
              <w:left w:val="nil"/>
              <w:bottom w:val="thickThinSmallGap" w:sz="24" w:space="0" w:color="auto"/>
              <w:right w:val="double" w:sz="4" w:space="0" w:color="auto"/>
            </w:tcBorders>
            <w:textDirection w:val="btLr"/>
            <w:vAlign w:val="center"/>
          </w:tcPr>
          <w:p w:rsidR="002D6496" w:rsidRDefault="002D6496" w:rsidP="004F3130">
            <w:pPr>
              <w:pStyle w:val="2ffffc"/>
              <w:ind w:left="113" w:right="113"/>
              <w:jc w:val="center"/>
              <w:rPr>
                <w:b/>
                <w:bCs/>
              </w:rPr>
            </w:pPr>
            <w:r>
              <w:rPr>
                <w:b/>
                <w:bCs/>
              </w:rPr>
              <w:t>Тетрациклін</w:t>
            </w:r>
          </w:p>
        </w:tc>
        <w:tc>
          <w:tcPr>
            <w:tcW w:w="567" w:type="dxa"/>
            <w:tcBorders>
              <w:top w:val="double" w:sz="4" w:space="0" w:color="auto"/>
              <w:left w:val="nil"/>
              <w:bottom w:val="thickThinSmallGap" w:sz="24" w:space="0" w:color="auto"/>
              <w:right w:val="double" w:sz="4" w:space="0" w:color="auto"/>
            </w:tcBorders>
            <w:textDirection w:val="btLr"/>
            <w:vAlign w:val="center"/>
          </w:tcPr>
          <w:p w:rsidR="002D6496" w:rsidRDefault="002D6496" w:rsidP="004F3130">
            <w:pPr>
              <w:pStyle w:val="2ffffc"/>
              <w:ind w:left="113" w:right="113"/>
              <w:jc w:val="center"/>
              <w:rPr>
                <w:b/>
                <w:bCs/>
              </w:rPr>
            </w:pPr>
            <w:r>
              <w:rPr>
                <w:b/>
                <w:bCs/>
              </w:rPr>
              <w:t>Гентаміцин</w:t>
            </w:r>
          </w:p>
        </w:tc>
        <w:tc>
          <w:tcPr>
            <w:tcW w:w="567" w:type="dxa"/>
            <w:tcBorders>
              <w:top w:val="double" w:sz="4" w:space="0" w:color="auto"/>
              <w:left w:val="nil"/>
              <w:bottom w:val="thickThinSmallGap" w:sz="24" w:space="0" w:color="auto"/>
              <w:right w:val="double" w:sz="4" w:space="0" w:color="auto"/>
            </w:tcBorders>
            <w:textDirection w:val="btLr"/>
            <w:vAlign w:val="center"/>
          </w:tcPr>
          <w:p w:rsidR="002D6496" w:rsidRDefault="002D6496" w:rsidP="004F3130">
            <w:pPr>
              <w:pStyle w:val="2ffffc"/>
              <w:spacing w:line="240" w:lineRule="atLeast"/>
              <w:jc w:val="center"/>
              <w:rPr>
                <w:b/>
                <w:bCs/>
              </w:rPr>
            </w:pPr>
            <w:r>
              <w:rPr>
                <w:b/>
                <w:bCs/>
              </w:rPr>
              <w:t>Лінкоміцин</w:t>
            </w:r>
          </w:p>
        </w:tc>
        <w:tc>
          <w:tcPr>
            <w:tcW w:w="567" w:type="dxa"/>
            <w:tcBorders>
              <w:top w:val="double" w:sz="4" w:space="0" w:color="auto"/>
              <w:left w:val="nil"/>
              <w:bottom w:val="thickThinSmallGap" w:sz="24" w:space="0" w:color="auto"/>
              <w:right w:val="double" w:sz="4" w:space="0" w:color="auto"/>
            </w:tcBorders>
            <w:textDirection w:val="btLr"/>
            <w:vAlign w:val="center"/>
          </w:tcPr>
          <w:p w:rsidR="002D6496" w:rsidRDefault="002D6496" w:rsidP="004F3130">
            <w:pPr>
              <w:pStyle w:val="2ffffc"/>
              <w:ind w:left="113" w:right="113"/>
              <w:jc w:val="center"/>
              <w:rPr>
                <w:b/>
                <w:bCs/>
              </w:rPr>
            </w:pPr>
            <w:r>
              <w:rPr>
                <w:b/>
                <w:bCs/>
              </w:rPr>
              <w:t xml:space="preserve">Левоміцетин </w:t>
            </w:r>
          </w:p>
        </w:tc>
        <w:tc>
          <w:tcPr>
            <w:tcW w:w="567" w:type="dxa"/>
            <w:tcBorders>
              <w:top w:val="double" w:sz="4" w:space="0" w:color="auto"/>
              <w:left w:val="nil"/>
              <w:bottom w:val="thickThinSmallGap" w:sz="24" w:space="0" w:color="auto"/>
              <w:right w:val="double" w:sz="4" w:space="0" w:color="auto"/>
            </w:tcBorders>
            <w:textDirection w:val="btLr"/>
            <w:vAlign w:val="center"/>
          </w:tcPr>
          <w:p w:rsidR="002D6496" w:rsidRDefault="002D6496" w:rsidP="004F3130">
            <w:pPr>
              <w:pStyle w:val="2ffffc"/>
              <w:ind w:left="113" w:right="113"/>
              <w:jc w:val="center"/>
              <w:rPr>
                <w:b/>
                <w:bCs/>
              </w:rPr>
            </w:pPr>
            <w:r>
              <w:rPr>
                <w:b/>
                <w:bCs/>
              </w:rPr>
              <w:t xml:space="preserve">Амоксоцилін </w:t>
            </w:r>
          </w:p>
        </w:tc>
        <w:tc>
          <w:tcPr>
            <w:tcW w:w="567" w:type="dxa"/>
            <w:tcBorders>
              <w:top w:val="double" w:sz="4" w:space="0" w:color="auto"/>
              <w:left w:val="nil"/>
              <w:bottom w:val="thickThinSmallGap" w:sz="24" w:space="0" w:color="auto"/>
              <w:right w:val="double" w:sz="4" w:space="0" w:color="auto"/>
            </w:tcBorders>
            <w:textDirection w:val="btLr"/>
            <w:vAlign w:val="center"/>
          </w:tcPr>
          <w:p w:rsidR="002D6496" w:rsidRDefault="002D6496" w:rsidP="004F3130">
            <w:pPr>
              <w:pStyle w:val="2ffffc"/>
              <w:ind w:left="113" w:right="113"/>
              <w:jc w:val="center"/>
              <w:rPr>
                <w:b/>
                <w:bCs/>
              </w:rPr>
            </w:pPr>
            <w:r>
              <w:rPr>
                <w:b/>
                <w:bCs/>
              </w:rPr>
              <w:t>Фармазин</w:t>
            </w:r>
          </w:p>
        </w:tc>
        <w:tc>
          <w:tcPr>
            <w:tcW w:w="567" w:type="dxa"/>
            <w:tcBorders>
              <w:top w:val="double" w:sz="4" w:space="0" w:color="auto"/>
              <w:left w:val="nil"/>
              <w:bottom w:val="thickThinSmallGap" w:sz="24" w:space="0" w:color="auto"/>
              <w:right w:val="double" w:sz="4" w:space="0" w:color="auto"/>
            </w:tcBorders>
            <w:textDirection w:val="btLr"/>
            <w:vAlign w:val="center"/>
          </w:tcPr>
          <w:p w:rsidR="002D6496" w:rsidRDefault="002D6496" w:rsidP="004F3130">
            <w:pPr>
              <w:pStyle w:val="2ffffc"/>
              <w:ind w:left="113" w:right="113"/>
              <w:jc w:val="center"/>
              <w:rPr>
                <w:b/>
                <w:bCs/>
              </w:rPr>
            </w:pPr>
            <w:r>
              <w:rPr>
                <w:b/>
                <w:bCs/>
              </w:rPr>
              <w:t>Енрофлоксацин</w:t>
            </w:r>
          </w:p>
        </w:tc>
        <w:tc>
          <w:tcPr>
            <w:tcW w:w="567" w:type="dxa"/>
            <w:tcBorders>
              <w:top w:val="double" w:sz="4" w:space="0" w:color="auto"/>
              <w:left w:val="nil"/>
              <w:bottom w:val="thickThinSmallGap" w:sz="24" w:space="0" w:color="auto"/>
              <w:right w:val="double" w:sz="4" w:space="0" w:color="auto"/>
            </w:tcBorders>
            <w:textDirection w:val="btLr"/>
            <w:vAlign w:val="center"/>
          </w:tcPr>
          <w:p w:rsidR="002D6496" w:rsidRDefault="002D6496" w:rsidP="004F3130">
            <w:pPr>
              <w:pStyle w:val="2ffffc"/>
              <w:ind w:left="113" w:right="113"/>
              <w:jc w:val="center"/>
              <w:rPr>
                <w:b/>
                <w:bCs/>
              </w:rPr>
            </w:pPr>
            <w:r>
              <w:rPr>
                <w:b/>
                <w:bCs/>
              </w:rPr>
              <w:t>Олеандоміцин</w:t>
            </w:r>
          </w:p>
        </w:tc>
        <w:tc>
          <w:tcPr>
            <w:tcW w:w="567" w:type="dxa"/>
            <w:tcBorders>
              <w:top w:val="double" w:sz="4" w:space="0" w:color="auto"/>
              <w:left w:val="nil"/>
              <w:bottom w:val="thickThinSmallGap" w:sz="24" w:space="0" w:color="auto"/>
              <w:right w:val="double" w:sz="4" w:space="0" w:color="auto"/>
            </w:tcBorders>
            <w:textDirection w:val="btLr"/>
            <w:vAlign w:val="center"/>
          </w:tcPr>
          <w:p w:rsidR="002D6496" w:rsidRDefault="002D6496" w:rsidP="004F3130">
            <w:pPr>
              <w:pStyle w:val="2ffffc"/>
              <w:ind w:left="113" w:right="113"/>
              <w:jc w:val="center"/>
              <w:rPr>
                <w:b/>
                <w:bCs/>
              </w:rPr>
            </w:pPr>
            <w:r>
              <w:rPr>
                <w:b/>
                <w:bCs/>
              </w:rPr>
              <w:t>Цефазолін</w:t>
            </w:r>
          </w:p>
        </w:tc>
      </w:tr>
      <w:tr w:rsidR="002D6496" w:rsidTr="004F3130">
        <w:tblPrEx>
          <w:tblCellMar>
            <w:top w:w="0" w:type="dxa"/>
            <w:bottom w:w="0" w:type="dxa"/>
          </w:tblCellMar>
        </w:tblPrEx>
        <w:trPr>
          <w:trHeight w:val="507"/>
        </w:trPr>
        <w:tc>
          <w:tcPr>
            <w:tcW w:w="3510" w:type="dxa"/>
            <w:tcBorders>
              <w:top w:val="thickThinSmallGap" w:sz="24" w:space="0" w:color="auto"/>
              <w:left w:val="double" w:sz="4" w:space="0" w:color="auto"/>
              <w:bottom w:val="double" w:sz="4" w:space="0" w:color="auto"/>
              <w:right w:val="double" w:sz="4" w:space="0" w:color="auto"/>
            </w:tcBorders>
            <w:vAlign w:val="center"/>
          </w:tcPr>
          <w:p w:rsidR="002D6496" w:rsidRDefault="002D6496" w:rsidP="004F3130">
            <w:pPr>
              <w:pStyle w:val="2ffffc"/>
              <w:jc w:val="center"/>
              <w:rPr>
                <w:b/>
                <w:bCs/>
              </w:rPr>
            </w:pPr>
            <w:r>
              <w:rPr>
                <w:b/>
                <w:bCs/>
                <w:lang w:val="en-US"/>
              </w:rPr>
              <w:t>E</w:t>
            </w:r>
            <w:r>
              <w:rPr>
                <w:b/>
                <w:bCs/>
              </w:rPr>
              <w:t>.</w:t>
            </w:r>
            <w:r>
              <w:rPr>
                <w:b/>
                <w:bCs/>
                <w:lang w:val="en-US"/>
              </w:rPr>
              <w:t>coli</w:t>
            </w:r>
          </w:p>
        </w:tc>
        <w:tc>
          <w:tcPr>
            <w:tcW w:w="567" w:type="dxa"/>
            <w:tcBorders>
              <w:top w:val="thickThinSmallGap" w:sz="24" w:space="0" w:color="auto"/>
              <w:left w:val="nil"/>
              <w:bottom w:val="double" w:sz="4" w:space="0" w:color="auto"/>
            </w:tcBorders>
          </w:tcPr>
          <w:p w:rsidR="002D6496" w:rsidRDefault="002D6496" w:rsidP="004F3130">
            <w:pPr>
              <w:pStyle w:val="2ffffc"/>
            </w:pPr>
          </w:p>
        </w:tc>
        <w:tc>
          <w:tcPr>
            <w:tcW w:w="567" w:type="dxa"/>
            <w:tcBorders>
              <w:top w:val="thickThinSmallGap" w:sz="24" w:space="0" w:color="auto"/>
              <w:bottom w:val="double" w:sz="4" w:space="0" w:color="auto"/>
            </w:tcBorders>
            <w:shd w:val="pct30" w:color="000000" w:fill="FFFFFF"/>
          </w:tcPr>
          <w:p w:rsidR="002D6496" w:rsidRDefault="002D6496" w:rsidP="004F3130">
            <w:pPr>
              <w:pStyle w:val="2ffffc"/>
            </w:pPr>
          </w:p>
        </w:tc>
        <w:tc>
          <w:tcPr>
            <w:tcW w:w="567" w:type="dxa"/>
            <w:tcBorders>
              <w:top w:val="thickThinSmallGap" w:sz="24" w:space="0" w:color="auto"/>
              <w:bottom w:val="double" w:sz="4" w:space="0" w:color="auto"/>
            </w:tcBorders>
            <w:shd w:val="pct10" w:color="000000" w:fill="FFFFFF"/>
          </w:tcPr>
          <w:p w:rsidR="002D6496" w:rsidRDefault="002D6496" w:rsidP="004F3130">
            <w:pPr>
              <w:pStyle w:val="2ffffc"/>
            </w:pPr>
          </w:p>
        </w:tc>
        <w:tc>
          <w:tcPr>
            <w:tcW w:w="567" w:type="dxa"/>
            <w:tcBorders>
              <w:top w:val="thickThinSmallGap" w:sz="24" w:space="0" w:color="auto"/>
              <w:bottom w:val="double" w:sz="4" w:space="0" w:color="auto"/>
            </w:tcBorders>
            <w:shd w:val="pct10" w:color="000000" w:fill="FFFFFF"/>
          </w:tcPr>
          <w:p w:rsidR="002D6496" w:rsidRDefault="002D6496" w:rsidP="004F3130">
            <w:pPr>
              <w:pStyle w:val="2ffffc"/>
            </w:pPr>
          </w:p>
        </w:tc>
        <w:tc>
          <w:tcPr>
            <w:tcW w:w="567" w:type="dxa"/>
            <w:tcBorders>
              <w:top w:val="thickThinSmallGap" w:sz="24" w:space="0" w:color="auto"/>
              <w:bottom w:val="double" w:sz="4" w:space="0" w:color="auto"/>
            </w:tcBorders>
          </w:tcPr>
          <w:p w:rsidR="002D6496" w:rsidRDefault="002D6496" w:rsidP="004F3130">
            <w:pPr>
              <w:pStyle w:val="2ffffc"/>
            </w:pPr>
          </w:p>
        </w:tc>
        <w:tc>
          <w:tcPr>
            <w:tcW w:w="567" w:type="dxa"/>
            <w:tcBorders>
              <w:top w:val="thickThinSmallGap" w:sz="24" w:space="0" w:color="auto"/>
              <w:bottom w:val="double" w:sz="4" w:space="0" w:color="auto"/>
            </w:tcBorders>
            <w:shd w:val="pct10" w:color="000000" w:fill="FFFFFF"/>
          </w:tcPr>
          <w:p w:rsidR="002D6496" w:rsidRDefault="002D6496" w:rsidP="004F3130">
            <w:pPr>
              <w:pStyle w:val="2ffffc"/>
            </w:pPr>
          </w:p>
        </w:tc>
        <w:tc>
          <w:tcPr>
            <w:tcW w:w="567" w:type="dxa"/>
            <w:tcBorders>
              <w:top w:val="thickThinSmallGap" w:sz="24" w:space="0" w:color="auto"/>
              <w:bottom w:val="double" w:sz="4" w:space="0" w:color="auto"/>
            </w:tcBorders>
            <w:shd w:val="pct10" w:color="000000" w:fill="FFFFFF"/>
          </w:tcPr>
          <w:p w:rsidR="002D6496" w:rsidRDefault="002D6496" w:rsidP="004F3130">
            <w:pPr>
              <w:pStyle w:val="2ffffc"/>
            </w:pPr>
          </w:p>
        </w:tc>
        <w:tc>
          <w:tcPr>
            <w:tcW w:w="567" w:type="dxa"/>
            <w:tcBorders>
              <w:top w:val="thickThinSmallGap" w:sz="24" w:space="0" w:color="auto"/>
              <w:bottom w:val="double" w:sz="4" w:space="0" w:color="auto"/>
            </w:tcBorders>
          </w:tcPr>
          <w:p w:rsidR="002D6496" w:rsidRDefault="002D6496" w:rsidP="004F3130">
            <w:pPr>
              <w:pStyle w:val="2ffffc"/>
            </w:pPr>
          </w:p>
        </w:tc>
        <w:tc>
          <w:tcPr>
            <w:tcW w:w="567" w:type="dxa"/>
            <w:tcBorders>
              <w:top w:val="thickThinSmallGap" w:sz="24" w:space="0" w:color="auto"/>
              <w:bottom w:val="double" w:sz="4" w:space="0" w:color="auto"/>
            </w:tcBorders>
            <w:shd w:val="pct30" w:color="000000" w:fill="FFFFFF"/>
          </w:tcPr>
          <w:p w:rsidR="002D6496" w:rsidRDefault="002D6496" w:rsidP="004F3130">
            <w:pPr>
              <w:pStyle w:val="2ffffc"/>
            </w:pPr>
          </w:p>
        </w:tc>
        <w:tc>
          <w:tcPr>
            <w:tcW w:w="567" w:type="dxa"/>
            <w:tcBorders>
              <w:top w:val="thickThinSmallGap" w:sz="24" w:space="0" w:color="auto"/>
              <w:bottom w:val="double" w:sz="4" w:space="0" w:color="auto"/>
            </w:tcBorders>
          </w:tcPr>
          <w:p w:rsidR="002D6496" w:rsidRDefault="002D6496" w:rsidP="004F3130">
            <w:pPr>
              <w:pStyle w:val="2ffffc"/>
            </w:pPr>
          </w:p>
        </w:tc>
        <w:tc>
          <w:tcPr>
            <w:tcW w:w="567" w:type="dxa"/>
            <w:tcBorders>
              <w:top w:val="thickThinSmallGap" w:sz="24" w:space="0" w:color="auto"/>
              <w:bottom w:val="double" w:sz="4" w:space="0" w:color="auto"/>
              <w:right w:val="double" w:sz="4" w:space="0" w:color="auto"/>
            </w:tcBorders>
          </w:tcPr>
          <w:p w:rsidR="002D6496" w:rsidRDefault="002D6496" w:rsidP="004F3130">
            <w:pPr>
              <w:pStyle w:val="2ffffc"/>
            </w:pPr>
          </w:p>
        </w:tc>
      </w:tr>
      <w:tr w:rsidR="002D6496" w:rsidTr="004F3130">
        <w:tblPrEx>
          <w:tblCellMar>
            <w:top w:w="0" w:type="dxa"/>
            <w:bottom w:w="0" w:type="dxa"/>
          </w:tblCellMar>
        </w:tblPrEx>
        <w:trPr>
          <w:trHeight w:val="507"/>
        </w:trPr>
        <w:tc>
          <w:tcPr>
            <w:tcW w:w="3510" w:type="dxa"/>
            <w:tcBorders>
              <w:top w:val="double" w:sz="4" w:space="0" w:color="auto"/>
              <w:left w:val="double" w:sz="4" w:space="0" w:color="auto"/>
              <w:bottom w:val="double" w:sz="4" w:space="0" w:color="auto"/>
              <w:right w:val="double" w:sz="4" w:space="0" w:color="auto"/>
            </w:tcBorders>
            <w:vAlign w:val="center"/>
          </w:tcPr>
          <w:p w:rsidR="002D6496" w:rsidRDefault="002D6496" w:rsidP="004F3130">
            <w:pPr>
              <w:pStyle w:val="2ffffc"/>
              <w:jc w:val="center"/>
              <w:rPr>
                <w:b/>
                <w:bCs/>
                <w:lang w:val="en-US"/>
              </w:rPr>
            </w:pPr>
            <w:r>
              <w:rPr>
                <w:b/>
                <w:bCs/>
                <w:lang w:val="en-US"/>
              </w:rPr>
              <w:t>Proteus vulgaris</w:t>
            </w:r>
          </w:p>
        </w:tc>
        <w:tc>
          <w:tcPr>
            <w:tcW w:w="567" w:type="dxa"/>
            <w:tcBorders>
              <w:top w:val="double" w:sz="4" w:space="0" w:color="auto"/>
              <w:left w:val="nil"/>
              <w:bottom w:val="double" w:sz="4" w:space="0" w:color="auto"/>
            </w:tcBorders>
          </w:tcPr>
          <w:p w:rsidR="002D6496" w:rsidRDefault="002D6496" w:rsidP="004F3130">
            <w:pPr>
              <w:pStyle w:val="2ffffc"/>
            </w:pPr>
          </w:p>
        </w:tc>
        <w:tc>
          <w:tcPr>
            <w:tcW w:w="567" w:type="dxa"/>
            <w:tcBorders>
              <w:top w:val="double" w:sz="4" w:space="0" w:color="auto"/>
              <w:bottom w:val="double" w:sz="4" w:space="0" w:color="auto"/>
            </w:tcBorders>
            <w:shd w:val="pct10" w:color="000000" w:fill="FFFFFF"/>
          </w:tcPr>
          <w:p w:rsidR="002D6496" w:rsidRDefault="002D6496" w:rsidP="004F3130">
            <w:pPr>
              <w:pStyle w:val="2ffffc"/>
            </w:pPr>
          </w:p>
        </w:tc>
        <w:tc>
          <w:tcPr>
            <w:tcW w:w="567" w:type="dxa"/>
            <w:tcBorders>
              <w:top w:val="double" w:sz="4" w:space="0" w:color="auto"/>
              <w:bottom w:val="double" w:sz="4" w:space="0" w:color="auto"/>
            </w:tcBorders>
            <w:shd w:val="pct10" w:color="000000" w:fill="FFFFFF"/>
          </w:tcPr>
          <w:p w:rsidR="002D6496" w:rsidRDefault="002D6496" w:rsidP="004F3130">
            <w:pPr>
              <w:pStyle w:val="2ffffc"/>
            </w:pPr>
          </w:p>
        </w:tc>
        <w:tc>
          <w:tcPr>
            <w:tcW w:w="567" w:type="dxa"/>
            <w:tcBorders>
              <w:top w:val="double" w:sz="4" w:space="0" w:color="auto"/>
              <w:bottom w:val="double" w:sz="4" w:space="0" w:color="auto"/>
            </w:tcBorders>
            <w:shd w:val="pct30" w:color="000000" w:fill="FFFFFF"/>
          </w:tcPr>
          <w:p w:rsidR="002D6496" w:rsidRDefault="002D6496" w:rsidP="004F3130">
            <w:pPr>
              <w:pStyle w:val="2ffffc"/>
            </w:pPr>
          </w:p>
        </w:tc>
        <w:tc>
          <w:tcPr>
            <w:tcW w:w="567" w:type="dxa"/>
            <w:tcBorders>
              <w:top w:val="double" w:sz="4" w:space="0" w:color="auto"/>
              <w:bottom w:val="double" w:sz="4" w:space="0" w:color="auto"/>
            </w:tcBorders>
          </w:tcPr>
          <w:p w:rsidR="002D6496" w:rsidRDefault="002D6496" w:rsidP="004F3130">
            <w:pPr>
              <w:pStyle w:val="2ffffc"/>
            </w:pPr>
          </w:p>
        </w:tc>
        <w:tc>
          <w:tcPr>
            <w:tcW w:w="567" w:type="dxa"/>
            <w:tcBorders>
              <w:top w:val="double" w:sz="4" w:space="0" w:color="auto"/>
              <w:bottom w:val="double" w:sz="4" w:space="0" w:color="auto"/>
            </w:tcBorders>
            <w:shd w:val="pct10" w:color="000000" w:fill="FFFFFF"/>
          </w:tcPr>
          <w:p w:rsidR="002D6496" w:rsidRDefault="002D6496" w:rsidP="004F3130">
            <w:pPr>
              <w:pStyle w:val="2ffffc"/>
            </w:pPr>
          </w:p>
        </w:tc>
        <w:tc>
          <w:tcPr>
            <w:tcW w:w="567" w:type="dxa"/>
            <w:tcBorders>
              <w:top w:val="double" w:sz="4" w:space="0" w:color="auto"/>
              <w:bottom w:val="double" w:sz="4" w:space="0" w:color="auto"/>
            </w:tcBorders>
            <w:shd w:val="pct30" w:color="000000" w:fill="FFFFFF"/>
          </w:tcPr>
          <w:p w:rsidR="002D6496" w:rsidRDefault="002D6496" w:rsidP="004F3130">
            <w:pPr>
              <w:pStyle w:val="2ffffc"/>
            </w:pPr>
          </w:p>
        </w:tc>
        <w:tc>
          <w:tcPr>
            <w:tcW w:w="567" w:type="dxa"/>
            <w:tcBorders>
              <w:top w:val="double" w:sz="4" w:space="0" w:color="auto"/>
              <w:bottom w:val="double" w:sz="4" w:space="0" w:color="auto"/>
            </w:tcBorders>
          </w:tcPr>
          <w:p w:rsidR="002D6496" w:rsidRDefault="002D6496" w:rsidP="004F3130">
            <w:pPr>
              <w:pStyle w:val="2ffffc"/>
            </w:pPr>
          </w:p>
        </w:tc>
        <w:tc>
          <w:tcPr>
            <w:tcW w:w="567" w:type="dxa"/>
            <w:tcBorders>
              <w:top w:val="double" w:sz="4" w:space="0" w:color="auto"/>
              <w:bottom w:val="double" w:sz="4" w:space="0" w:color="auto"/>
            </w:tcBorders>
            <w:shd w:val="pct30" w:color="000000" w:fill="FFFFFF"/>
          </w:tcPr>
          <w:p w:rsidR="002D6496" w:rsidRDefault="002D6496" w:rsidP="004F3130">
            <w:pPr>
              <w:pStyle w:val="2ffffc"/>
            </w:pPr>
          </w:p>
        </w:tc>
        <w:tc>
          <w:tcPr>
            <w:tcW w:w="567" w:type="dxa"/>
            <w:tcBorders>
              <w:top w:val="double" w:sz="4" w:space="0" w:color="auto"/>
              <w:bottom w:val="double" w:sz="4" w:space="0" w:color="auto"/>
            </w:tcBorders>
          </w:tcPr>
          <w:p w:rsidR="002D6496" w:rsidRDefault="002D6496" w:rsidP="004F3130">
            <w:pPr>
              <w:pStyle w:val="2ffffc"/>
            </w:pPr>
          </w:p>
        </w:tc>
        <w:tc>
          <w:tcPr>
            <w:tcW w:w="567" w:type="dxa"/>
            <w:tcBorders>
              <w:top w:val="double" w:sz="4" w:space="0" w:color="auto"/>
              <w:bottom w:val="double" w:sz="4" w:space="0" w:color="auto"/>
              <w:right w:val="double" w:sz="4" w:space="0" w:color="auto"/>
            </w:tcBorders>
          </w:tcPr>
          <w:p w:rsidR="002D6496" w:rsidRDefault="002D6496" w:rsidP="004F3130">
            <w:pPr>
              <w:pStyle w:val="2ffffc"/>
            </w:pPr>
          </w:p>
        </w:tc>
      </w:tr>
      <w:tr w:rsidR="002D6496" w:rsidTr="004F3130">
        <w:tblPrEx>
          <w:tblCellMar>
            <w:top w:w="0" w:type="dxa"/>
            <w:bottom w:w="0" w:type="dxa"/>
          </w:tblCellMar>
        </w:tblPrEx>
        <w:trPr>
          <w:trHeight w:val="507"/>
        </w:trPr>
        <w:tc>
          <w:tcPr>
            <w:tcW w:w="3510" w:type="dxa"/>
            <w:tcBorders>
              <w:top w:val="double" w:sz="4" w:space="0" w:color="auto"/>
              <w:left w:val="double" w:sz="4" w:space="0" w:color="auto"/>
              <w:bottom w:val="double" w:sz="4" w:space="0" w:color="auto"/>
              <w:right w:val="double" w:sz="4" w:space="0" w:color="auto"/>
            </w:tcBorders>
            <w:vAlign w:val="center"/>
          </w:tcPr>
          <w:p w:rsidR="002D6496" w:rsidRDefault="002D6496" w:rsidP="004F3130">
            <w:pPr>
              <w:pStyle w:val="2ffffc"/>
              <w:jc w:val="center"/>
              <w:rPr>
                <w:b/>
                <w:bCs/>
              </w:rPr>
            </w:pPr>
            <w:r>
              <w:rPr>
                <w:b/>
                <w:bCs/>
                <w:lang w:val="en-US"/>
              </w:rPr>
              <w:t>Proteus</w:t>
            </w:r>
            <w:r>
              <w:rPr>
                <w:b/>
                <w:bCs/>
              </w:rPr>
              <w:t xml:space="preserve"> </w:t>
            </w:r>
            <w:r>
              <w:rPr>
                <w:b/>
                <w:bCs/>
                <w:lang w:val="en-US"/>
              </w:rPr>
              <w:t>mirabilis</w:t>
            </w:r>
          </w:p>
        </w:tc>
        <w:tc>
          <w:tcPr>
            <w:tcW w:w="567" w:type="dxa"/>
            <w:tcBorders>
              <w:top w:val="double" w:sz="4" w:space="0" w:color="auto"/>
              <w:left w:val="nil"/>
              <w:bottom w:val="double" w:sz="4" w:space="0" w:color="auto"/>
            </w:tcBorders>
          </w:tcPr>
          <w:p w:rsidR="002D6496" w:rsidRDefault="002D6496" w:rsidP="004F3130">
            <w:pPr>
              <w:pStyle w:val="2ffffc"/>
            </w:pPr>
          </w:p>
        </w:tc>
        <w:tc>
          <w:tcPr>
            <w:tcW w:w="567" w:type="dxa"/>
            <w:tcBorders>
              <w:top w:val="double" w:sz="4" w:space="0" w:color="auto"/>
              <w:bottom w:val="double" w:sz="4" w:space="0" w:color="auto"/>
            </w:tcBorders>
            <w:shd w:val="pct30" w:color="000000" w:fill="FFFFFF"/>
          </w:tcPr>
          <w:p w:rsidR="002D6496" w:rsidRDefault="002D6496" w:rsidP="004F3130">
            <w:pPr>
              <w:pStyle w:val="2ffffc"/>
            </w:pPr>
          </w:p>
        </w:tc>
        <w:tc>
          <w:tcPr>
            <w:tcW w:w="567" w:type="dxa"/>
            <w:tcBorders>
              <w:top w:val="double" w:sz="4" w:space="0" w:color="auto"/>
              <w:bottom w:val="double" w:sz="4" w:space="0" w:color="auto"/>
            </w:tcBorders>
            <w:shd w:val="pct10" w:color="000000" w:fill="FFFFFF"/>
          </w:tcPr>
          <w:p w:rsidR="002D6496" w:rsidRDefault="002D6496" w:rsidP="004F3130">
            <w:pPr>
              <w:pStyle w:val="2ffffc"/>
            </w:pPr>
          </w:p>
        </w:tc>
        <w:tc>
          <w:tcPr>
            <w:tcW w:w="567" w:type="dxa"/>
            <w:tcBorders>
              <w:top w:val="double" w:sz="4" w:space="0" w:color="auto"/>
              <w:bottom w:val="double" w:sz="4" w:space="0" w:color="auto"/>
            </w:tcBorders>
            <w:shd w:val="pct30" w:color="000000" w:fill="FFFFFF"/>
          </w:tcPr>
          <w:p w:rsidR="002D6496" w:rsidRDefault="002D6496" w:rsidP="004F3130">
            <w:pPr>
              <w:pStyle w:val="2ffffc"/>
            </w:pPr>
          </w:p>
        </w:tc>
        <w:tc>
          <w:tcPr>
            <w:tcW w:w="567" w:type="dxa"/>
            <w:tcBorders>
              <w:top w:val="double" w:sz="4" w:space="0" w:color="auto"/>
              <w:bottom w:val="double" w:sz="4" w:space="0" w:color="auto"/>
            </w:tcBorders>
          </w:tcPr>
          <w:p w:rsidR="002D6496" w:rsidRDefault="002D6496" w:rsidP="004F3130">
            <w:pPr>
              <w:pStyle w:val="2ffffc"/>
            </w:pPr>
          </w:p>
        </w:tc>
        <w:tc>
          <w:tcPr>
            <w:tcW w:w="567" w:type="dxa"/>
            <w:tcBorders>
              <w:top w:val="double" w:sz="4" w:space="0" w:color="auto"/>
              <w:bottom w:val="double" w:sz="4" w:space="0" w:color="auto"/>
            </w:tcBorders>
            <w:shd w:val="pct10" w:color="000000" w:fill="FFFFFF"/>
          </w:tcPr>
          <w:p w:rsidR="002D6496" w:rsidRDefault="002D6496" w:rsidP="004F3130">
            <w:pPr>
              <w:pStyle w:val="2ffffc"/>
            </w:pPr>
          </w:p>
        </w:tc>
        <w:tc>
          <w:tcPr>
            <w:tcW w:w="567" w:type="dxa"/>
            <w:tcBorders>
              <w:top w:val="double" w:sz="4" w:space="0" w:color="auto"/>
              <w:bottom w:val="double" w:sz="4" w:space="0" w:color="auto"/>
            </w:tcBorders>
            <w:shd w:val="pct10" w:color="000000" w:fill="FFFFFF"/>
          </w:tcPr>
          <w:p w:rsidR="002D6496" w:rsidRDefault="002D6496" w:rsidP="004F3130">
            <w:pPr>
              <w:pStyle w:val="2ffffc"/>
            </w:pPr>
          </w:p>
        </w:tc>
        <w:tc>
          <w:tcPr>
            <w:tcW w:w="567" w:type="dxa"/>
            <w:tcBorders>
              <w:top w:val="double" w:sz="4" w:space="0" w:color="auto"/>
              <w:bottom w:val="double" w:sz="4" w:space="0" w:color="auto"/>
            </w:tcBorders>
            <w:shd w:val="pct10" w:color="000000" w:fill="FFFFFF"/>
          </w:tcPr>
          <w:p w:rsidR="002D6496" w:rsidRDefault="002D6496" w:rsidP="004F3130">
            <w:pPr>
              <w:pStyle w:val="2ffffc"/>
            </w:pPr>
          </w:p>
        </w:tc>
        <w:tc>
          <w:tcPr>
            <w:tcW w:w="567" w:type="dxa"/>
            <w:tcBorders>
              <w:top w:val="double" w:sz="4" w:space="0" w:color="auto"/>
              <w:bottom w:val="double" w:sz="4" w:space="0" w:color="auto"/>
            </w:tcBorders>
            <w:shd w:val="pct30" w:color="000000" w:fill="FFFFFF"/>
          </w:tcPr>
          <w:p w:rsidR="002D6496" w:rsidRDefault="002D6496" w:rsidP="004F3130">
            <w:pPr>
              <w:pStyle w:val="2ffffc"/>
            </w:pPr>
          </w:p>
        </w:tc>
        <w:tc>
          <w:tcPr>
            <w:tcW w:w="567" w:type="dxa"/>
            <w:tcBorders>
              <w:top w:val="double" w:sz="4" w:space="0" w:color="auto"/>
              <w:bottom w:val="double" w:sz="4" w:space="0" w:color="auto"/>
            </w:tcBorders>
            <w:shd w:val="pct10" w:color="000000" w:fill="FFFFFF"/>
          </w:tcPr>
          <w:p w:rsidR="002D6496" w:rsidRDefault="002D6496" w:rsidP="004F3130">
            <w:pPr>
              <w:pStyle w:val="2ffffc"/>
            </w:pPr>
          </w:p>
        </w:tc>
        <w:tc>
          <w:tcPr>
            <w:tcW w:w="567" w:type="dxa"/>
            <w:tcBorders>
              <w:top w:val="double" w:sz="4" w:space="0" w:color="auto"/>
              <w:bottom w:val="double" w:sz="4" w:space="0" w:color="auto"/>
              <w:right w:val="double" w:sz="4" w:space="0" w:color="auto"/>
            </w:tcBorders>
            <w:shd w:val="pct10" w:color="000000" w:fill="FFFFFF"/>
          </w:tcPr>
          <w:p w:rsidR="002D6496" w:rsidRDefault="002D6496" w:rsidP="004F3130">
            <w:pPr>
              <w:pStyle w:val="2ffffc"/>
            </w:pPr>
          </w:p>
        </w:tc>
      </w:tr>
    </w:tbl>
    <w:p w:rsidR="002D6496" w:rsidRDefault="002D6496" w:rsidP="002D6496">
      <w:pPr>
        <w:pStyle w:val="2ffffc"/>
        <w:ind w:firstLine="567"/>
      </w:pPr>
    </w:p>
    <w:p w:rsidR="002D6496" w:rsidRDefault="002D6496" w:rsidP="002D6496">
      <w:pPr>
        <w:pStyle w:val="2ffffc"/>
        <w:ind w:firstLine="567"/>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1960245</wp:posOffset>
                </wp:positionH>
                <wp:positionV relativeFrom="paragraph">
                  <wp:posOffset>39370</wp:posOffset>
                </wp:positionV>
                <wp:extent cx="365760" cy="182880"/>
                <wp:effectExtent l="13335" t="11430" r="11430" b="5715"/>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26" style="position:absolute;margin-left:154.35pt;margin-top:3.1pt;width:28.8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" filled="f"/>
            </w:pict>
          </mc:Fallback>
        </mc:AlternateContent>
      </w:r>
      <w:r>
        <w:rPr>
          <w:b/>
          <w:bCs/>
        </w:rPr>
        <w:t>Умовні позначення:</w:t>
      </w:r>
      <w:r>
        <w:t xml:space="preserve">                     </w:t>
      </w:r>
      <w:r>
        <w:sym w:font="Symbol" w:char="F02D"/>
      </w:r>
      <w:r>
        <w:t xml:space="preserve"> не чутливі;</w:t>
      </w:r>
    </w:p>
    <w:p w:rsidR="002D6496" w:rsidRDefault="002D6496" w:rsidP="002D6496">
      <w:pPr>
        <w:pStyle w:val="2ffffc"/>
        <w:ind w:firstLine="567"/>
      </w:pPr>
      <w:r>
        <w:rPr>
          <w:noProof/>
          <w:lang w:eastAsia="ru-RU"/>
        </w:rPr>
        <mc:AlternateContent>
          <mc:Choice Requires="wps">
            <w:drawing>
              <wp:anchor distT="0" distB="0" distL="114300" distR="114300" simplePos="0" relativeHeight="251664384" behindDoc="0" locked="0" layoutInCell="0" allowOverlap="1">
                <wp:simplePos x="0" y="0"/>
                <wp:positionH relativeFrom="column">
                  <wp:posOffset>1937385</wp:posOffset>
                </wp:positionH>
                <wp:positionV relativeFrom="paragraph">
                  <wp:posOffset>93980</wp:posOffset>
                </wp:positionV>
                <wp:extent cx="0" cy="0"/>
                <wp:effectExtent l="9525" t="8255" r="9525" b="1079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7.4pt" to="152.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" o:allowincell="f"/>
            </w:pict>
          </mc:Fallback>
        </mc:AlternateContent>
      </w: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1937385</wp:posOffset>
                </wp:positionH>
                <wp:positionV relativeFrom="paragraph">
                  <wp:posOffset>2540</wp:posOffset>
                </wp:positionV>
                <wp:extent cx="365760" cy="182880"/>
                <wp:effectExtent l="9525" t="12065" r="5715" b="508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26" style="position:absolute;margin-left:152.55pt;margin-top:.2pt;width:28.8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" o:allowincell="f" fillcolor="#ddd"/>
            </w:pict>
          </mc:Fallback>
        </mc:AlternateContent>
      </w:r>
      <w:r>
        <w:rPr>
          <w:noProof/>
          <w:lang w:eastAsia="ru-RU"/>
        </w:rPr>
        <mc:AlternateContent>
          <mc:Choice Requires="wps">
            <w:drawing>
              <wp:anchor distT="0" distB="0" distL="114300" distR="114300" simplePos="0" relativeHeight="251663360" behindDoc="0" locked="0" layoutInCell="0" allowOverlap="1">
                <wp:simplePos x="0" y="0"/>
                <wp:positionH relativeFrom="column">
                  <wp:posOffset>1937385</wp:posOffset>
                </wp:positionH>
                <wp:positionV relativeFrom="paragraph">
                  <wp:posOffset>185420</wp:posOffset>
                </wp:positionV>
                <wp:extent cx="182880" cy="0"/>
                <wp:effectExtent l="9525" t="13970" r="7620" b="508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14.6pt" to="166.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" o:allowincell="f"/>
            </w:pict>
          </mc:Fallback>
        </mc:AlternateContent>
      </w:r>
      <w:r>
        <w:tab/>
      </w:r>
      <w:r>
        <w:tab/>
      </w:r>
      <w:r>
        <w:tab/>
      </w:r>
      <w:r>
        <w:tab/>
      </w:r>
      <w:r>
        <w:tab/>
        <w:t xml:space="preserve">  </w:t>
      </w:r>
      <w:r>
        <w:sym w:font="Symbol" w:char="F02D"/>
      </w:r>
      <w:r>
        <w:t xml:space="preserve"> умовно чутливі;</w:t>
      </w:r>
    </w:p>
    <w:p w:rsidR="002D6496" w:rsidRDefault="002D6496" w:rsidP="002D6496">
      <w:pPr>
        <w:pStyle w:val="2ffffc"/>
        <w:ind w:firstLine="567"/>
      </w:pPr>
      <w:r>
        <w:rPr>
          <w:noProof/>
          <w:lang w:eastAsia="ru-RU"/>
        </w:rPr>
        <mc:AlternateContent>
          <mc:Choice Requires="wps">
            <w:drawing>
              <wp:anchor distT="0" distB="0" distL="114300" distR="114300" simplePos="0" relativeHeight="251661312" behindDoc="0" locked="0" layoutInCell="0" allowOverlap="1">
                <wp:simplePos x="0" y="0"/>
                <wp:positionH relativeFrom="column">
                  <wp:posOffset>1937385</wp:posOffset>
                </wp:positionH>
                <wp:positionV relativeFrom="paragraph">
                  <wp:posOffset>635</wp:posOffset>
                </wp:positionV>
                <wp:extent cx="365760" cy="182880"/>
                <wp:effectExtent l="9525" t="9525" r="5715" b="762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26" style="position:absolute;margin-left:152.55pt;margin-top:.05pt;width:28.8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" o:allowincell="f" fillcolor="silver"/>
            </w:pict>
          </mc:Fallback>
        </mc:AlternateContent>
      </w:r>
      <w:r>
        <w:tab/>
      </w:r>
      <w:r>
        <w:tab/>
      </w:r>
      <w:r>
        <w:tab/>
      </w:r>
      <w:r>
        <w:tab/>
      </w:r>
      <w:r>
        <w:tab/>
        <w:t xml:space="preserve">  </w:t>
      </w:r>
      <w:r>
        <w:sym w:font="Symbol" w:char="F02D"/>
      </w:r>
      <w:r>
        <w:t xml:space="preserve"> чутливі. </w:t>
      </w:r>
    </w:p>
    <w:p w:rsidR="002D6496" w:rsidRDefault="002D6496" w:rsidP="002D6496">
      <w:pPr>
        <w:pStyle w:val="2ffffc"/>
        <w:ind w:firstLine="567"/>
        <w:rPr>
          <w:sz w:val="25"/>
          <w:szCs w:val="25"/>
        </w:rPr>
      </w:pPr>
      <w:r>
        <w:t>При визначенні видового складу виділеної мікрофлори від корів, хворих на післяродовий гнійно-катаральний ендометрит, було встановлено їх поліморфну популяцію. В усіх досліджуваних пробах (</w:t>
      </w:r>
      <w:r>
        <w:rPr>
          <w:lang w:val="en-US"/>
        </w:rPr>
        <w:t>n</w:t>
      </w:r>
      <w:r>
        <w:t xml:space="preserve">=30) ідентифіковували асоціації грамнегативної і грампозитивної </w:t>
      </w:r>
      <w:r>
        <w:rPr>
          <w:sz w:val="25"/>
          <w:szCs w:val="25"/>
        </w:rPr>
        <w:t>мікрофлори.</w:t>
      </w:r>
    </w:p>
    <w:p w:rsidR="002D6496" w:rsidRDefault="002D6496" w:rsidP="002D6496">
      <w:pPr>
        <w:pStyle w:val="2ffffc"/>
        <w:rPr>
          <w:sz w:val="25"/>
          <w:szCs w:val="25"/>
        </w:rPr>
      </w:pPr>
      <w:r>
        <w:rPr>
          <w:sz w:val="25"/>
          <w:szCs w:val="25"/>
        </w:rPr>
        <w:t xml:space="preserve"> В 70% випадків виявляли змішаний мікробний склад, до якого входили культури Е.</w:t>
      </w:r>
      <w:r>
        <w:rPr>
          <w:sz w:val="25"/>
          <w:szCs w:val="25"/>
          <w:lang w:val="en-US"/>
        </w:rPr>
        <w:t>coli</w:t>
      </w:r>
      <w:r>
        <w:rPr>
          <w:sz w:val="25"/>
          <w:szCs w:val="25"/>
        </w:rPr>
        <w:t xml:space="preserve">, </w:t>
      </w:r>
      <w:r>
        <w:rPr>
          <w:sz w:val="25"/>
          <w:szCs w:val="25"/>
          <w:lang w:val="en-US"/>
        </w:rPr>
        <w:t>Proteus</w:t>
      </w:r>
      <w:r>
        <w:rPr>
          <w:sz w:val="25"/>
          <w:szCs w:val="25"/>
        </w:rPr>
        <w:t xml:space="preserve"> mirabilis та </w:t>
      </w:r>
      <w:r>
        <w:rPr>
          <w:sz w:val="25"/>
          <w:szCs w:val="25"/>
          <w:lang w:val="en-US"/>
        </w:rPr>
        <w:t>Proteus</w:t>
      </w:r>
      <w:r>
        <w:rPr>
          <w:sz w:val="25"/>
          <w:szCs w:val="25"/>
        </w:rPr>
        <w:t xml:space="preserve"> </w:t>
      </w:r>
      <w:r>
        <w:rPr>
          <w:sz w:val="25"/>
          <w:szCs w:val="25"/>
          <w:lang w:val="en-US"/>
        </w:rPr>
        <w:t>vulgaris</w:t>
      </w:r>
      <w:r>
        <w:rPr>
          <w:sz w:val="25"/>
          <w:szCs w:val="25"/>
        </w:rPr>
        <w:t xml:space="preserve">. </w:t>
      </w:r>
    </w:p>
    <w:p w:rsidR="002D6496" w:rsidRDefault="002D6496" w:rsidP="002D6496">
      <w:pPr>
        <w:pStyle w:val="2ffffc"/>
        <w:ind w:firstLine="567"/>
        <w:rPr>
          <w:sz w:val="25"/>
          <w:szCs w:val="25"/>
        </w:rPr>
      </w:pPr>
      <w:r>
        <w:rPr>
          <w:sz w:val="25"/>
          <w:szCs w:val="25"/>
        </w:rPr>
        <w:t xml:space="preserve">При дослідженні спектру резистентності мікробних культур, виділених з геніталій хворих корів господарств регіону, було встановлено деякі особливості їх антибіотикочутливості. З антибіотикограми видно, що більшість виділених штамів мікроорганізмів проявили високу резистентність щодо бензилпеніциліну, лінкоміцину та фармазину. Найвищу чутливість мікроорганізми виявили до енрофлоксу. Культури </w:t>
      </w:r>
      <w:r>
        <w:rPr>
          <w:sz w:val="25"/>
          <w:szCs w:val="25"/>
          <w:lang w:val="en-US"/>
        </w:rPr>
        <w:t>Proteus</w:t>
      </w:r>
      <w:r>
        <w:rPr>
          <w:sz w:val="25"/>
          <w:szCs w:val="25"/>
        </w:rPr>
        <w:t xml:space="preserve"> mirabilis та </w:t>
      </w:r>
      <w:r>
        <w:rPr>
          <w:sz w:val="25"/>
          <w:szCs w:val="25"/>
          <w:lang w:val="en-US"/>
        </w:rPr>
        <w:t>Proteus</w:t>
      </w:r>
      <w:r>
        <w:rPr>
          <w:sz w:val="25"/>
          <w:szCs w:val="25"/>
        </w:rPr>
        <w:t xml:space="preserve"> </w:t>
      </w:r>
      <w:r>
        <w:rPr>
          <w:sz w:val="25"/>
          <w:szCs w:val="25"/>
          <w:lang w:val="en-US"/>
        </w:rPr>
        <w:t>vulgaris</w:t>
      </w:r>
      <w:r>
        <w:rPr>
          <w:sz w:val="25"/>
          <w:szCs w:val="25"/>
        </w:rPr>
        <w:t xml:space="preserve"> проявили високу чутливість також  до гентаміцину та стрептоміцину. </w:t>
      </w:r>
    </w:p>
    <w:p w:rsidR="002D6496" w:rsidRDefault="002D6496" w:rsidP="002D6496">
      <w:pPr>
        <w:pStyle w:val="2ffffc"/>
        <w:ind w:firstLine="567"/>
        <w:jc w:val="center"/>
        <w:rPr>
          <w:b/>
          <w:bCs/>
          <w:sz w:val="25"/>
          <w:szCs w:val="25"/>
        </w:rPr>
      </w:pPr>
    </w:p>
    <w:p w:rsidR="002D6496" w:rsidRDefault="002D6496" w:rsidP="002D6496">
      <w:pPr>
        <w:pStyle w:val="2ffffc"/>
        <w:ind w:firstLine="567"/>
        <w:jc w:val="center"/>
        <w:rPr>
          <w:b/>
          <w:bCs/>
          <w:sz w:val="25"/>
          <w:szCs w:val="25"/>
        </w:rPr>
      </w:pPr>
    </w:p>
    <w:p w:rsidR="002D6496" w:rsidRDefault="002D6496" w:rsidP="002D6496">
      <w:pPr>
        <w:pStyle w:val="2ffffc"/>
        <w:ind w:firstLine="567"/>
        <w:jc w:val="center"/>
        <w:rPr>
          <w:b/>
          <w:bCs/>
          <w:sz w:val="25"/>
          <w:szCs w:val="25"/>
        </w:rPr>
      </w:pPr>
      <w:r>
        <w:rPr>
          <w:b/>
          <w:bCs/>
          <w:sz w:val="25"/>
          <w:szCs w:val="25"/>
        </w:rPr>
        <w:t xml:space="preserve">Ефективність лікування корів з післяродовим </w:t>
      </w:r>
    </w:p>
    <w:p w:rsidR="002D6496" w:rsidRDefault="002D6496" w:rsidP="002D6496">
      <w:pPr>
        <w:pStyle w:val="2ffffc"/>
        <w:ind w:firstLine="567"/>
        <w:jc w:val="center"/>
        <w:rPr>
          <w:b/>
          <w:bCs/>
          <w:sz w:val="25"/>
          <w:szCs w:val="25"/>
        </w:rPr>
      </w:pPr>
      <w:r>
        <w:rPr>
          <w:b/>
          <w:bCs/>
          <w:sz w:val="25"/>
          <w:szCs w:val="25"/>
        </w:rPr>
        <w:t>гнійно-катаральним ендометритом</w:t>
      </w:r>
    </w:p>
    <w:p w:rsidR="002D6496" w:rsidRDefault="002D6496" w:rsidP="002D6496">
      <w:pPr>
        <w:pStyle w:val="2ffffc"/>
        <w:ind w:firstLine="567"/>
        <w:rPr>
          <w:sz w:val="25"/>
          <w:szCs w:val="25"/>
        </w:rPr>
      </w:pPr>
      <w:r>
        <w:rPr>
          <w:sz w:val="25"/>
          <w:szCs w:val="25"/>
        </w:rPr>
        <w:t xml:space="preserve">При вивченні терапевтичної ефективності проведеного лікування корів, хворих на гострий післяродовий гнійно-катаральний ендометрит враховували тривалість лікування </w:t>
      </w:r>
      <w:r>
        <w:rPr>
          <w:sz w:val="25"/>
          <w:szCs w:val="25"/>
        </w:rPr>
        <w:lastRenderedPageBreak/>
        <w:t>та його вартість, кількість осімінених і запліднених корів, тривалість сервіс - періоду та індекс осіменінь.</w:t>
      </w:r>
    </w:p>
    <w:p w:rsidR="002D6496" w:rsidRDefault="002D6496" w:rsidP="002D6496">
      <w:pPr>
        <w:pStyle w:val="2ffffc"/>
        <w:ind w:firstLine="567"/>
        <w:rPr>
          <w:sz w:val="25"/>
          <w:szCs w:val="25"/>
        </w:rPr>
      </w:pPr>
      <w:r>
        <w:rPr>
          <w:sz w:val="25"/>
          <w:szCs w:val="25"/>
        </w:rPr>
        <w:t>Як свідчать дані таблиці 5, найвищу лікувальну ефективність  було отримано у І, ІІ та ІV дослідних групах, де використовувалися внутрішньоаортальні, підшкірні та внутрішньом’язові введення лікарських  препаратів.</w:t>
      </w:r>
    </w:p>
    <w:p w:rsidR="002D6496" w:rsidRDefault="002D6496" w:rsidP="002D6496">
      <w:pPr>
        <w:pStyle w:val="2ffffc"/>
        <w:ind w:firstLine="567"/>
        <w:jc w:val="right"/>
        <w:rPr>
          <w:b/>
          <w:bCs/>
          <w:sz w:val="25"/>
          <w:szCs w:val="25"/>
        </w:rPr>
      </w:pPr>
      <w:r>
        <w:rPr>
          <w:b/>
          <w:bCs/>
          <w:sz w:val="25"/>
          <w:szCs w:val="25"/>
        </w:rPr>
        <w:t>Таблиця 5</w:t>
      </w:r>
    </w:p>
    <w:p w:rsidR="002D6496" w:rsidRDefault="002D6496" w:rsidP="002D6496">
      <w:pPr>
        <w:pStyle w:val="2ffffc"/>
        <w:ind w:firstLine="567"/>
        <w:jc w:val="center"/>
        <w:rPr>
          <w:b/>
          <w:bCs/>
        </w:rPr>
      </w:pPr>
      <w:r>
        <w:rPr>
          <w:b/>
          <w:bCs/>
          <w:sz w:val="25"/>
          <w:szCs w:val="25"/>
        </w:rPr>
        <w:t>Результати лікування корів, хворих на післяродовий ендометрит</w:t>
      </w:r>
      <w:r>
        <w:rPr>
          <w:b/>
          <w:bCs/>
        </w:rPr>
        <w:t xml:space="preserve"> </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51"/>
        <w:gridCol w:w="1275"/>
        <w:gridCol w:w="709"/>
        <w:gridCol w:w="992"/>
        <w:gridCol w:w="709"/>
        <w:gridCol w:w="709"/>
        <w:gridCol w:w="689"/>
        <w:gridCol w:w="870"/>
        <w:gridCol w:w="567"/>
        <w:gridCol w:w="992"/>
      </w:tblGrid>
      <w:tr w:rsidR="002D6496" w:rsidTr="004F3130">
        <w:tblPrEx>
          <w:tblCellMar>
            <w:top w:w="0" w:type="dxa"/>
            <w:bottom w:w="0" w:type="dxa"/>
          </w:tblCellMar>
        </w:tblPrEx>
        <w:trPr>
          <w:cantSplit/>
          <w:trHeight w:hRule="exact" w:val="885"/>
        </w:trPr>
        <w:tc>
          <w:tcPr>
            <w:tcW w:w="1384" w:type="dxa"/>
            <w:vMerge w:val="restart"/>
            <w:tcBorders>
              <w:top w:val="double" w:sz="4" w:space="0" w:color="auto"/>
              <w:left w:val="double" w:sz="4" w:space="0" w:color="auto"/>
              <w:right w:val="double" w:sz="4" w:space="0" w:color="auto"/>
            </w:tcBorders>
            <w:vAlign w:val="center"/>
          </w:tcPr>
          <w:p w:rsidR="002D6496" w:rsidRDefault="002D6496" w:rsidP="004F3130">
            <w:pPr>
              <w:pStyle w:val="2ffffc"/>
              <w:ind w:left="-142" w:right="-250"/>
              <w:jc w:val="center"/>
              <w:rPr>
                <w:b/>
                <w:bCs/>
              </w:rPr>
            </w:pPr>
            <w:r>
              <w:rPr>
                <w:b/>
                <w:bCs/>
              </w:rPr>
              <w:t>Групи</w:t>
            </w:r>
          </w:p>
          <w:p w:rsidR="002D6496" w:rsidRDefault="002D6496" w:rsidP="004F3130">
            <w:pPr>
              <w:pStyle w:val="2ffffc"/>
              <w:ind w:left="-142" w:right="-250"/>
              <w:jc w:val="center"/>
              <w:rPr>
                <w:b/>
                <w:bCs/>
              </w:rPr>
            </w:pPr>
            <w:r>
              <w:rPr>
                <w:b/>
                <w:bCs/>
              </w:rPr>
              <w:t>тварин</w:t>
            </w:r>
          </w:p>
        </w:tc>
        <w:tc>
          <w:tcPr>
            <w:tcW w:w="851" w:type="dxa"/>
            <w:vMerge w:val="restart"/>
            <w:tcBorders>
              <w:top w:val="double" w:sz="4" w:space="0" w:color="auto"/>
              <w:left w:val="nil"/>
              <w:right w:val="double" w:sz="4" w:space="0" w:color="auto"/>
            </w:tcBorders>
            <w:vAlign w:val="center"/>
          </w:tcPr>
          <w:p w:rsidR="002D6496" w:rsidRDefault="002D6496" w:rsidP="004F3130">
            <w:pPr>
              <w:pStyle w:val="2ffffc"/>
              <w:ind w:right="-250"/>
              <w:rPr>
                <w:b/>
                <w:bCs/>
              </w:rPr>
            </w:pPr>
            <w:r>
              <w:rPr>
                <w:b/>
                <w:bCs/>
              </w:rPr>
              <w:t xml:space="preserve">    </w:t>
            </w:r>
            <w:r>
              <w:rPr>
                <w:b/>
                <w:bCs/>
                <w:lang w:val="en-US"/>
              </w:rPr>
              <w:t>n</w:t>
            </w:r>
          </w:p>
        </w:tc>
        <w:tc>
          <w:tcPr>
            <w:tcW w:w="1275" w:type="dxa"/>
            <w:vMerge w:val="restart"/>
            <w:tcBorders>
              <w:top w:val="double" w:sz="4" w:space="0" w:color="auto"/>
              <w:left w:val="nil"/>
              <w:right w:val="double" w:sz="4" w:space="0" w:color="auto"/>
            </w:tcBorders>
            <w:textDirection w:val="btLr"/>
            <w:vAlign w:val="center"/>
          </w:tcPr>
          <w:p w:rsidR="002D6496" w:rsidRDefault="002D6496" w:rsidP="004F3130">
            <w:pPr>
              <w:pStyle w:val="2ffffc"/>
              <w:ind w:right="-250"/>
              <w:jc w:val="center"/>
              <w:rPr>
                <w:b/>
                <w:bCs/>
              </w:rPr>
            </w:pPr>
            <w:r>
              <w:rPr>
                <w:b/>
                <w:bCs/>
              </w:rPr>
              <w:t xml:space="preserve">Тривалість </w:t>
            </w:r>
          </w:p>
          <w:p w:rsidR="002D6496" w:rsidRDefault="002D6496" w:rsidP="004F3130">
            <w:pPr>
              <w:pStyle w:val="2ffffc"/>
              <w:ind w:right="-250"/>
              <w:jc w:val="center"/>
              <w:rPr>
                <w:b/>
                <w:bCs/>
              </w:rPr>
            </w:pPr>
            <w:r>
              <w:rPr>
                <w:b/>
                <w:bCs/>
              </w:rPr>
              <w:t>лікування, дн</w:t>
            </w:r>
          </w:p>
        </w:tc>
        <w:tc>
          <w:tcPr>
            <w:tcW w:w="709" w:type="dxa"/>
            <w:vMerge w:val="restart"/>
            <w:tcBorders>
              <w:top w:val="double" w:sz="4" w:space="0" w:color="auto"/>
              <w:left w:val="nil"/>
              <w:right w:val="double" w:sz="4" w:space="0" w:color="auto"/>
            </w:tcBorders>
            <w:textDirection w:val="btLr"/>
            <w:vAlign w:val="center"/>
          </w:tcPr>
          <w:p w:rsidR="002D6496" w:rsidRDefault="002D6496" w:rsidP="004F3130">
            <w:pPr>
              <w:pStyle w:val="2ffffc"/>
              <w:ind w:right="-250"/>
              <w:jc w:val="center"/>
              <w:rPr>
                <w:b/>
                <w:bCs/>
              </w:rPr>
            </w:pPr>
            <w:r>
              <w:rPr>
                <w:b/>
                <w:bCs/>
              </w:rPr>
              <w:t>Одужало, гол</w:t>
            </w:r>
          </w:p>
        </w:tc>
        <w:tc>
          <w:tcPr>
            <w:tcW w:w="3099" w:type="dxa"/>
            <w:gridSpan w:val="4"/>
            <w:tcBorders>
              <w:top w:val="double" w:sz="4" w:space="0" w:color="auto"/>
              <w:left w:val="nil"/>
              <w:bottom w:val="double" w:sz="4" w:space="0" w:color="auto"/>
              <w:right w:val="double" w:sz="4" w:space="0" w:color="auto"/>
            </w:tcBorders>
            <w:vAlign w:val="center"/>
          </w:tcPr>
          <w:p w:rsidR="002D6496" w:rsidRDefault="002D6496" w:rsidP="004F3130">
            <w:pPr>
              <w:pStyle w:val="2ffffc"/>
              <w:ind w:right="-250"/>
              <w:jc w:val="center"/>
              <w:rPr>
                <w:b/>
                <w:bCs/>
              </w:rPr>
            </w:pPr>
            <w:r>
              <w:rPr>
                <w:b/>
                <w:bCs/>
              </w:rPr>
              <w:t>Запліднилися після осіменіння, %</w:t>
            </w:r>
          </w:p>
          <w:p w:rsidR="002D6496" w:rsidRDefault="002D6496" w:rsidP="004F3130">
            <w:pPr>
              <w:pStyle w:val="2ffffc"/>
              <w:ind w:right="-250"/>
              <w:jc w:val="center"/>
              <w:rPr>
                <w:b/>
                <w:bCs/>
              </w:rPr>
            </w:pPr>
          </w:p>
        </w:tc>
        <w:tc>
          <w:tcPr>
            <w:tcW w:w="870" w:type="dxa"/>
            <w:vMerge w:val="restart"/>
            <w:tcBorders>
              <w:top w:val="double" w:sz="4" w:space="0" w:color="auto"/>
              <w:left w:val="nil"/>
              <w:right w:val="double" w:sz="4" w:space="0" w:color="auto"/>
            </w:tcBorders>
            <w:textDirection w:val="btLr"/>
            <w:vAlign w:val="center"/>
          </w:tcPr>
          <w:p w:rsidR="002D6496" w:rsidRDefault="002D6496" w:rsidP="004F3130">
            <w:pPr>
              <w:pStyle w:val="2ffffc"/>
              <w:ind w:right="-250"/>
              <w:jc w:val="center"/>
              <w:rPr>
                <w:b/>
                <w:bCs/>
              </w:rPr>
            </w:pPr>
            <w:r>
              <w:rPr>
                <w:b/>
                <w:bCs/>
              </w:rPr>
              <w:t xml:space="preserve">Залишилося </w:t>
            </w:r>
          </w:p>
          <w:p w:rsidR="002D6496" w:rsidRDefault="002D6496" w:rsidP="004F3130">
            <w:pPr>
              <w:pStyle w:val="2ffffc"/>
              <w:ind w:right="-250"/>
              <w:jc w:val="center"/>
              <w:rPr>
                <w:b/>
                <w:bCs/>
              </w:rPr>
            </w:pPr>
            <w:r>
              <w:rPr>
                <w:b/>
                <w:bCs/>
              </w:rPr>
              <w:t>неплідними, %</w:t>
            </w:r>
          </w:p>
        </w:tc>
        <w:tc>
          <w:tcPr>
            <w:tcW w:w="567" w:type="dxa"/>
            <w:vMerge w:val="restart"/>
            <w:tcBorders>
              <w:top w:val="double" w:sz="4" w:space="0" w:color="auto"/>
              <w:left w:val="nil"/>
              <w:right w:val="double" w:sz="4" w:space="0" w:color="auto"/>
            </w:tcBorders>
            <w:textDirection w:val="btLr"/>
            <w:vAlign w:val="center"/>
          </w:tcPr>
          <w:p w:rsidR="002D6496" w:rsidRDefault="002D6496" w:rsidP="004F3130">
            <w:pPr>
              <w:pStyle w:val="2ffffc"/>
              <w:ind w:right="-250"/>
              <w:jc w:val="center"/>
              <w:rPr>
                <w:b/>
                <w:bCs/>
              </w:rPr>
            </w:pPr>
            <w:r>
              <w:rPr>
                <w:b/>
                <w:bCs/>
              </w:rPr>
              <w:t>Індекс осіменіння</w:t>
            </w:r>
          </w:p>
        </w:tc>
        <w:tc>
          <w:tcPr>
            <w:tcW w:w="992" w:type="dxa"/>
            <w:vMerge w:val="restart"/>
            <w:tcBorders>
              <w:top w:val="double" w:sz="4" w:space="0" w:color="auto"/>
              <w:left w:val="nil"/>
              <w:right w:val="double" w:sz="4" w:space="0" w:color="auto"/>
            </w:tcBorders>
            <w:textDirection w:val="btLr"/>
            <w:vAlign w:val="center"/>
          </w:tcPr>
          <w:p w:rsidR="002D6496" w:rsidRDefault="002D6496" w:rsidP="004F3130">
            <w:pPr>
              <w:pStyle w:val="2ffffc"/>
              <w:ind w:right="-250"/>
              <w:jc w:val="center"/>
              <w:rPr>
                <w:b/>
                <w:bCs/>
              </w:rPr>
            </w:pPr>
            <w:r>
              <w:rPr>
                <w:b/>
                <w:bCs/>
              </w:rPr>
              <w:t>Інтервал від отелення</w:t>
            </w:r>
          </w:p>
          <w:p w:rsidR="002D6496" w:rsidRDefault="002D6496" w:rsidP="004F3130">
            <w:pPr>
              <w:pStyle w:val="2ffffc"/>
              <w:ind w:right="-250"/>
              <w:jc w:val="center"/>
              <w:rPr>
                <w:b/>
                <w:bCs/>
              </w:rPr>
            </w:pPr>
            <w:r>
              <w:rPr>
                <w:b/>
                <w:bCs/>
              </w:rPr>
              <w:t xml:space="preserve"> до запліднення, дн</w:t>
            </w:r>
          </w:p>
        </w:tc>
      </w:tr>
      <w:tr w:rsidR="002D6496" w:rsidTr="004F3130">
        <w:tblPrEx>
          <w:tblCellMar>
            <w:top w:w="0" w:type="dxa"/>
            <w:bottom w:w="0" w:type="dxa"/>
          </w:tblCellMar>
        </w:tblPrEx>
        <w:trPr>
          <w:cantSplit/>
          <w:trHeight w:val="675"/>
        </w:trPr>
        <w:tc>
          <w:tcPr>
            <w:tcW w:w="1384" w:type="dxa"/>
            <w:vMerge/>
            <w:tcBorders>
              <w:left w:val="double" w:sz="4" w:space="0" w:color="auto"/>
              <w:right w:val="double" w:sz="4" w:space="0" w:color="auto"/>
            </w:tcBorders>
            <w:textDirection w:val="btLr"/>
            <w:vAlign w:val="center"/>
          </w:tcPr>
          <w:p w:rsidR="002D6496" w:rsidRDefault="002D6496" w:rsidP="004F3130">
            <w:pPr>
              <w:pStyle w:val="2ffffc"/>
              <w:ind w:right="-250"/>
              <w:jc w:val="center"/>
              <w:rPr>
                <w:b/>
                <w:bCs/>
              </w:rPr>
            </w:pPr>
          </w:p>
        </w:tc>
        <w:tc>
          <w:tcPr>
            <w:tcW w:w="851" w:type="dxa"/>
            <w:vMerge/>
            <w:tcBorders>
              <w:left w:val="nil"/>
              <w:right w:val="double" w:sz="4" w:space="0" w:color="auto"/>
            </w:tcBorders>
            <w:textDirection w:val="btLr"/>
            <w:vAlign w:val="center"/>
          </w:tcPr>
          <w:p w:rsidR="002D6496" w:rsidRDefault="002D6496" w:rsidP="004F3130">
            <w:pPr>
              <w:pStyle w:val="2ffffc"/>
              <w:ind w:right="-250"/>
              <w:jc w:val="center"/>
              <w:rPr>
                <w:b/>
                <w:bCs/>
              </w:rPr>
            </w:pPr>
          </w:p>
        </w:tc>
        <w:tc>
          <w:tcPr>
            <w:tcW w:w="1275" w:type="dxa"/>
            <w:vMerge/>
            <w:tcBorders>
              <w:left w:val="nil"/>
              <w:right w:val="double" w:sz="4" w:space="0" w:color="auto"/>
            </w:tcBorders>
            <w:textDirection w:val="btLr"/>
            <w:vAlign w:val="center"/>
          </w:tcPr>
          <w:p w:rsidR="002D6496" w:rsidRDefault="002D6496" w:rsidP="004F3130">
            <w:pPr>
              <w:pStyle w:val="2ffffc"/>
              <w:ind w:right="-250"/>
              <w:jc w:val="center"/>
              <w:rPr>
                <w:b/>
                <w:bCs/>
              </w:rPr>
            </w:pPr>
          </w:p>
        </w:tc>
        <w:tc>
          <w:tcPr>
            <w:tcW w:w="709" w:type="dxa"/>
            <w:vMerge/>
            <w:tcBorders>
              <w:left w:val="nil"/>
              <w:right w:val="double" w:sz="4" w:space="0" w:color="auto"/>
            </w:tcBorders>
            <w:textDirection w:val="btLr"/>
            <w:vAlign w:val="center"/>
          </w:tcPr>
          <w:p w:rsidR="002D6496" w:rsidRDefault="002D6496" w:rsidP="004F3130">
            <w:pPr>
              <w:pStyle w:val="2ffffc"/>
              <w:ind w:right="-250"/>
              <w:jc w:val="center"/>
              <w:rPr>
                <w:b/>
                <w:bCs/>
              </w:rPr>
            </w:pPr>
          </w:p>
        </w:tc>
        <w:tc>
          <w:tcPr>
            <w:tcW w:w="992" w:type="dxa"/>
            <w:vMerge w:val="restart"/>
            <w:tcBorders>
              <w:top w:val="double" w:sz="4" w:space="0" w:color="auto"/>
              <w:left w:val="nil"/>
              <w:right w:val="double" w:sz="4" w:space="0" w:color="auto"/>
            </w:tcBorders>
            <w:textDirection w:val="btLr"/>
            <w:vAlign w:val="center"/>
          </w:tcPr>
          <w:p w:rsidR="002D6496" w:rsidRDefault="002D6496" w:rsidP="004F3130">
            <w:pPr>
              <w:pStyle w:val="2ffffc"/>
              <w:ind w:right="-250"/>
              <w:jc w:val="center"/>
              <w:rPr>
                <w:b/>
                <w:bCs/>
              </w:rPr>
            </w:pPr>
            <w:r>
              <w:rPr>
                <w:b/>
                <w:bCs/>
              </w:rPr>
              <w:t>в І охоту</w:t>
            </w:r>
          </w:p>
        </w:tc>
        <w:tc>
          <w:tcPr>
            <w:tcW w:w="709" w:type="dxa"/>
            <w:vMerge w:val="restart"/>
            <w:tcBorders>
              <w:top w:val="double" w:sz="4" w:space="0" w:color="auto"/>
              <w:left w:val="nil"/>
              <w:right w:val="double" w:sz="4" w:space="0" w:color="auto"/>
            </w:tcBorders>
            <w:textDirection w:val="btLr"/>
            <w:vAlign w:val="center"/>
          </w:tcPr>
          <w:p w:rsidR="002D6496" w:rsidRDefault="002D6496" w:rsidP="004F3130">
            <w:pPr>
              <w:pStyle w:val="2ffffc"/>
              <w:ind w:left="-249" w:right="-250"/>
              <w:jc w:val="center"/>
              <w:rPr>
                <w:b/>
                <w:bCs/>
              </w:rPr>
            </w:pPr>
            <w:r>
              <w:rPr>
                <w:b/>
                <w:bCs/>
              </w:rPr>
              <w:t xml:space="preserve"> в  ІІ охоту</w:t>
            </w:r>
          </w:p>
        </w:tc>
        <w:tc>
          <w:tcPr>
            <w:tcW w:w="709" w:type="dxa"/>
            <w:vMerge w:val="restart"/>
            <w:tcBorders>
              <w:top w:val="double" w:sz="4" w:space="0" w:color="auto"/>
              <w:left w:val="nil"/>
              <w:right w:val="double" w:sz="4" w:space="0" w:color="auto"/>
            </w:tcBorders>
            <w:textDirection w:val="btLr"/>
            <w:vAlign w:val="center"/>
          </w:tcPr>
          <w:p w:rsidR="002D6496" w:rsidRDefault="002D6496" w:rsidP="004F3130">
            <w:pPr>
              <w:pStyle w:val="2ffffc"/>
              <w:ind w:right="-250"/>
              <w:jc w:val="center"/>
              <w:rPr>
                <w:b/>
                <w:bCs/>
              </w:rPr>
            </w:pPr>
            <w:r>
              <w:rPr>
                <w:b/>
                <w:bCs/>
              </w:rPr>
              <w:t>в ІІІ охоту</w:t>
            </w:r>
          </w:p>
        </w:tc>
        <w:tc>
          <w:tcPr>
            <w:tcW w:w="689" w:type="dxa"/>
            <w:vMerge w:val="restart"/>
            <w:tcBorders>
              <w:top w:val="double" w:sz="4" w:space="0" w:color="auto"/>
              <w:left w:val="nil"/>
              <w:right w:val="double" w:sz="4" w:space="0" w:color="auto"/>
            </w:tcBorders>
            <w:textDirection w:val="btLr"/>
            <w:vAlign w:val="center"/>
          </w:tcPr>
          <w:p w:rsidR="002D6496" w:rsidRDefault="002D6496" w:rsidP="004F3130">
            <w:pPr>
              <w:pStyle w:val="2ffffc"/>
              <w:ind w:right="-533"/>
              <w:rPr>
                <w:b/>
                <w:bCs/>
              </w:rPr>
            </w:pPr>
            <w:r>
              <w:rPr>
                <w:b/>
                <w:bCs/>
              </w:rPr>
              <w:t xml:space="preserve">         Всього</w:t>
            </w:r>
          </w:p>
        </w:tc>
        <w:tc>
          <w:tcPr>
            <w:tcW w:w="870" w:type="dxa"/>
            <w:vMerge/>
            <w:tcBorders>
              <w:left w:val="nil"/>
              <w:right w:val="double" w:sz="4" w:space="0" w:color="auto"/>
            </w:tcBorders>
            <w:textDirection w:val="btLr"/>
            <w:vAlign w:val="center"/>
          </w:tcPr>
          <w:p w:rsidR="002D6496" w:rsidRDefault="002D6496" w:rsidP="004F3130">
            <w:pPr>
              <w:pStyle w:val="2ffffc"/>
              <w:ind w:right="-250"/>
              <w:jc w:val="center"/>
            </w:pPr>
          </w:p>
        </w:tc>
        <w:tc>
          <w:tcPr>
            <w:tcW w:w="567" w:type="dxa"/>
            <w:vMerge/>
            <w:tcBorders>
              <w:left w:val="nil"/>
              <w:right w:val="double" w:sz="4" w:space="0" w:color="auto"/>
            </w:tcBorders>
            <w:vAlign w:val="center"/>
          </w:tcPr>
          <w:p w:rsidR="002D6496" w:rsidRDefault="002D6496" w:rsidP="004F3130">
            <w:pPr>
              <w:pStyle w:val="2ffffc"/>
              <w:ind w:right="-250"/>
              <w:jc w:val="center"/>
            </w:pPr>
          </w:p>
        </w:tc>
        <w:tc>
          <w:tcPr>
            <w:tcW w:w="992" w:type="dxa"/>
            <w:vMerge/>
            <w:tcBorders>
              <w:left w:val="nil"/>
              <w:right w:val="double" w:sz="4" w:space="0" w:color="auto"/>
            </w:tcBorders>
            <w:vAlign w:val="center"/>
          </w:tcPr>
          <w:p w:rsidR="002D6496" w:rsidRDefault="002D6496" w:rsidP="004F3130">
            <w:pPr>
              <w:pStyle w:val="2ffffc"/>
              <w:ind w:right="-250"/>
              <w:jc w:val="center"/>
            </w:pPr>
          </w:p>
        </w:tc>
      </w:tr>
      <w:tr w:rsidR="002D6496" w:rsidTr="004F3130">
        <w:tblPrEx>
          <w:tblCellMar>
            <w:top w:w="0" w:type="dxa"/>
            <w:bottom w:w="0" w:type="dxa"/>
          </w:tblCellMar>
        </w:tblPrEx>
        <w:trPr>
          <w:cantSplit/>
          <w:trHeight w:val="1468"/>
        </w:trPr>
        <w:tc>
          <w:tcPr>
            <w:tcW w:w="1384" w:type="dxa"/>
            <w:vMerge/>
            <w:tcBorders>
              <w:left w:val="double" w:sz="4" w:space="0" w:color="auto"/>
              <w:bottom w:val="double" w:sz="4" w:space="0" w:color="auto"/>
              <w:right w:val="double" w:sz="4" w:space="0" w:color="auto"/>
            </w:tcBorders>
            <w:textDirection w:val="btLr"/>
            <w:vAlign w:val="center"/>
          </w:tcPr>
          <w:p w:rsidR="002D6496" w:rsidRDefault="002D6496" w:rsidP="004F3130">
            <w:pPr>
              <w:pStyle w:val="2ffffc"/>
              <w:ind w:left="-250" w:right="-249"/>
              <w:jc w:val="center"/>
            </w:pPr>
          </w:p>
        </w:tc>
        <w:tc>
          <w:tcPr>
            <w:tcW w:w="851" w:type="dxa"/>
            <w:vMerge/>
            <w:tcBorders>
              <w:left w:val="nil"/>
              <w:bottom w:val="double" w:sz="4" w:space="0" w:color="auto"/>
              <w:right w:val="double" w:sz="4" w:space="0" w:color="auto"/>
            </w:tcBorders>
            <w:textDirection w:val="btLr"/>
            <w:vAlign w:val="center"/>
          </w:tcPr>
          <w:p w:rsidR="002D6496" w:rsidRDefault="002D6496" w:rsidP="004F3130">
            <w:pPr>
              <w:pStyle w:val="2ffffc"/>
              <w:ind w:right="-250"/>
              <w:jc w:val="center"/>
            </w:pPr>
          </w:p>
        </w:tc>
        <w:tc>
          <w:tcPr>
            <w:tcW w:w="1275" w:type="dxa"/>
            <w:vMerge/>
            <w:tcBorders>
              <w:left w:val="nil"/>
              <w:bottom w:val="double" w:sz="4" w:space="0" w:color="auto"/>
              <w:right w:val="double" w:sz="4" w:space="0" w:color="auto"/>
            </w:tcBorders>
            <w:textDirection w:val="btLr"/>
            <w:vAlign w:val="center"/>
          </w:tcPr>
          <w:p w:rsidR="002D6496" w:rsidRDefault="002D6496" w:rsidP="004F3130">
            <w:pPr>
              <w:pStyle w:val="2ffffc"/>
              <w:ind w:right="-250"/>
              <w:jc w:val="center"/>
            </w:pPr>
          </w:p>
        </w:tc>
        <w:tc>
          <w:tcPr>
            <w:tcW w:w="709" w:type="dxa"/>
            <w:vMerge/>
            <w:tcBorders>
              <w:left w:val="nil"/>
              <w:bottom w:val="double" w:sz="4" w:space="0" w:color="auto"/>
              <w:right w:val="double" w:sz="4" w:space="0" w:color="auto"/>
            </w:tcBorders>
            <w:textDirection w:val="btLr"/>
            <w:vAlign w:val="center"/>
          </w:tcPr>
          <w:p w:rsidR="002D6496" w:rsidRDefault="002D6496" w:rsidP="004F3130">
            <w:pPr>
              <w:pStyle w:val="2ffffc"/>
              <w:ind w:right="-250"/>
              <w:jc w:val="center"/>
            </w:pPr>
          </w:p>
        </w:tc>
        <w:tc>
          <w:tcPr>
            <w:tcW w:w="992" w:type="dxa"/>
            <w:vMerge/>
            <w:tcBorders>
              <w:left w:val="nil"/>
              <w:bottom w:val="double" w:sz="4" w:space="0" w:color="auto"/>
              <w:right w:val="double" w:sz="4" w:space="0" w:color="auto"/>
            </w:tcBorders>
            <w:textDirection w:val="btLr"/>
            <w:vAlign w:val="center"/>
          </w:tcPr>
          <w:p w:rsidR="002D6496" w:rsidRDefault="002D6496" w:rsidP="004F3130">
            <w:pPr>
              <w:pStyle w:val="2ffffc"/>
              <w:ind w:right="-250"/>
              <w:jc w:val="center"/>
            </w:pPr>
          </w:p>
        </w:tc>
        <w:tc>
          <w:tcPr>
            <w:tcW w:w="709" w:type="dxa"/>
            <w:vMerge/>
            <w:tcBorders>
              <w:left w:val="nil"/>
              <w:bottom w:val="double" w:sz="4" w:space="0" w:color="auto"/>
              <w:right w:val="double" w:sz="4" w:space="0" w:color="auto"/>
            </w:tcBorders>
            <w:textDirection w:val="btLr"/>
            <w:vAlign w:val="center"/>
          </w:tcPr>
          <w:p w:rsidR="002D6496" w:rsidRDefault="002D6496" w:rsidP="004F3130">
            <w:pPr>
              <w:pStyle w:val="2ffffc"/>
              <w:ind w:left="-249" w:right="-250"/>
              <w:jc w:val="center"/>
            </w:pPr>
          </w:p>
        </w:tc>
        <w:tc>
          <w:tcPr>
            <w:tcW w:w="709" w:type="dxa"/>
            <w:vMerge/>
            <w:tcBorders>
              <w:left w:val="nil"/>
              <w:bottom w:val="double" w:sz="4" w:space="0" w:color="auto"/>
              <w:right w:val="double" w:sz="4" w:space="0" w:color="auto"/>
            </w:tcBorders>
            <w:textDirection w:val="btLr"/>
            <w:vAlign w:val="center"/>
          </w:tcPr>
          <w:p w:rsidR="002D6496" w:rsidRDefault="002D6496" w:rsidP="004F3130">
            <w:pPr>
              <w:pStyle w:val="2ffffc"/>
              <w:ind w:right="-250"/>
              <w:jc w:val="center"/>
            </w:pPr>
          </w:p>
        </w:tc>
        <w:tc>
          <w:tcPr>
            <w:tcW w:w="689" w:type="dxa"/>
            <w:vMerge/>
            <w:tcBorders>
              <w:left w:val="nil"/>
              <w:bottom w:val="double" w:sz="4" w:space="0" w:color="auto"/>
              <w:right w:val="double" w:sz="4" w:space="0" w:color="auto"/>
            </w:tcBorders>
            <w:textDirection w:val="btLr"/>
            <w:vAlign w:val="center"/>
          </w:tcPr>
          <w:p w:rsidR="002D6496" w:rsidRDefault="002D6496" w:rsidP="004F3130">
            <w:pPr>
              <w:pStyle w:val="2ffffc"/>
              <w:ind w:right="-533"/>
              <w:jc w:val="center"/>
            </w:pPr>
          </w:p>
        </w:tc>
        <w:tc>
          <w:tcPr>
            <w:tcW w:w="870" w:type="dxa"/>
            <w:vMerge/>
            <w:tcBorders>
              <w:left w:val="nil"/>
              <w:bottom w:val="double" w:sz="4" w:space="0" w:color="auto"/>
              <w:right w:val="double" w:sz="4" w:space="0" w:color="auto"/>
            </w:tcBorders>
            <w:textDirection w:val="btLr"/>
            <w:vAlign w:val="center"/>
          </w:tcPr>
          <w:p w:rsidR="002D6496" w:rsidRDefault="002D6496" w:rsidP="004F3130">
            <w:pPr>
              <w:pStyle w:val="2ffffc"/>
              <w:ind w:right="-250"/>
              <w:jc w:val="center"/>
            </w:pPr>
          </w:p>
        </w:tc>
        <w:tc>
          <w:tcPr>
            <w:tcW w:w="567" w:type="dxa"/>
            <w:vMerge/>
            <w:tcBorders>
              <w:left w:val="nil"/>
              <w:bottom w:val="double" w:sz="4" w:space="0" w:color="auto"/>
              <w:right w:val="double" w:sz="4" w:space="0" w:color="auto"/>
            </w:tcBorders>
            <w:vAlign w:val="center"/>
          </w:tcPr>
          <w:p w:rsidR="002D6496" w:rsidRDefault="002D6496" w:rsidP="004F3130">
            <w:pPr>
              <w:pStyle w:val="2ffffc"/>
              <w:ind w:right="-250"/>
              <w:jc w:val="center"/>
            </w:pPr>
          </w:p>
        </w:tc>
        <w:tc>
          <w:tcPr>
            <w:tcW w:w="992" w:type="dxa"/>
            <w:vMerge/>
            <w:tcBorders>
              <w:left w:val="nil"/>
              <w:bottom w:val="double" w:sz="4" w:space="0" w:color="auto"/>
              <w:right w:val="double" w:sz="4" w:space="0" w:color="auto"/>
            </w:tcBorders>
            <w:vAlign w:val="center"/>
          </w:tcPr>
          <w:p w:rsidR="002D6496" w:rsidRDefault="002D6496" w:rsidP="004F3130">
            <w:pPr>
              <w:pStyle w:val="2ffffc"/>
              <w:ind w:right="-250"/>
              <w:jc w:val="center"/>
            </w:pPr>
          </w:p>
        </w:tc>
      </w:tr>
      <w:tr w:rsidR="002D6496" w:rsidTr="004F3130">
        <w:tblPrEx>
          <w:tblCellMar>
            <w:top w:w="0" w:type="dxa"/>
            <w:bottom w:w="0" w:type="dxa"/>
          </w:tblCellMar>
        </w:tblPrEx>
        <w:trPr>
          <w:cantSplit/>
        </w:trPr>
        <w:tc>
          <w:tcPr>
            <w:tcW w:w="1384" w:type="dxa"/>
            <w:tcBorders>
              <w:top w:val="double" w:sz="4" w:space="0" w:color="auto"/>
              <w:left w:val="double" w:sz="4" w:space="0" w:color="auto"/>
              <w:bottom w:val="double" w:sz="4" w:space="0" w:color="auto"/>
              <w:right w:val="double" w:sz="4" w:space="0" w:color="auto"/>
            </w:tcBorders>
            <w:vAlign w:val="center"/>
          </w:tcPr>
          <w:p w:rsidR="002D6496" w:rsidRDefault="002D6496" w:rsidP="004F3130">
            <w:pPr>
              <w:pStyle w:val="2ffffc"/>
              <w:ind w:left="-142" w:right="-250"/>
              <w:rPr>
                <w:b/>
                <w:bCs/>
              </w:rPr>
            </w:pPr>
            <w:r>
              <w:rPr>
                <w:b/>
                <w:bCs/>
              </w:rPr>
              <w:t xml:space="preserve">            І*</w:t>
            </w:r>
          </w:p>
        </w:tc>
        <w:tc>
          <w:tcPr>
            <w:tcW w:w="851"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392" w:right="-392"/>
              <w:jc w:val="center"/>
              <w:rPr>
                <w:b/>
                <w:bCs/>
              </w:rPr>
            </w:pPr>
            <w:r>
              <w:rPr>
                <w:b/>
                <w:bCs/>
              </w:rPr>
              <w:t>10</w:t>
            </w:r>
          </w:p>
        </w:tc>
        <w:tc>
          <w:tcPr>
            <w:tcW w:w="1275"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7,5</w:t>
            </w:r>
            <w:r>
              <w:rPr>
                <w:b/>
                <w:bCs/>
              </w:rPr>
              <w:sym w:font="Symbol" w:char="F0B1"/>
            </w:r>
            <w:r>
              <w:rPr>
                <w:b/>
                <w:bCs/>
              </w:rPr>
              <w:t>1,7</w:t>
            </w:r>
          </w:p>
        </w:tc>
        <w:tc>
          <w:tcPr>
            <w:tcW w:w="70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9</w:t>
            </w:r>
          </w:p>
        </w:tc>
        <w:tc>
          <w:tcPr>
            <w:tcW w:w="992"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40,0</w:t>
            </w:r>
          </w:p>
        </w:tc>
        <w:tc>
          <w:tcPr>
            <w:tcW w:w="70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50,0</w:t>
            </w:r>
          </w:p>
        </w:tc>
        <w:tc>
          <w:tcPr>
            <w:tcW w:w="70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49" w:right="-250"/>
              <w:jc w:val="center"/>
              <w:rPr>
                <w:b/>
                <w:bCs/>
              </w:rPr>
            </w:pPr>
            <w:r>
              <w:rPr>
                <w:b/>
                <w:bCs/>
              </w:rPr>
              <w:sym w:font="Symbol" w:char="F02D"/>
            </w:r>
          </w:p>
        </w:tc>
        <w:tc>
          <w:tcPr>
            <w:tcW w:w="68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533" w:right="-533"/>
              <w:jc w:val="center"/>
              <w:rPr>
                <w:b/>
                <w:bCs/>
              </w:rPr>
            </w:pPr>
            <w:r>
              <w:rPr>
                <w:b/>
                <w:bCs/>
              </w:rPr>
              <w:t>90,0</w:t>
            </w:r>
          </w:p>
        </w:tc>
        <w:tc>
          <w:tcPr>
            <w:tcW w:w="870"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10,0</w:t>
            </w:r>
          </w:p>
        </w:tc>
        <w:tc>
          <w:tcPr>
            <w:tcW w:w="567"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1,6</w:t>
            </w:r>
          </w:p>
        </w:tc>
        <w:tc>
          <w:tcPr>
            <w:tcW w:w="992"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 xml:space="preserve">  46,5</w:t>
            </w:r>
            <w:r>
              <w:rPr>
                <w:b/>
                <w:bCs/>
              </w:rPr>
              <w:sym w:font="Symbol" w:char="F0B1"/>
            </w:r>
            <w:r>
              <w:rPr>
                <w:b/>
                <w:bCs/>
              </w:rPr>
              <w:t>2,2</w:t>
            </w:r>
          </w:p>
        </w:tc>
      </w:tr>
      <w:tr w:rsidR="002D6496" w:rsidTr="004F3130">
        <w:tblPrEx>
          <w:tblCellMar>
            <w:top w:w="0" w:type="dxa"/>
            <w:bottom w:w="0" w:type="dxa"/>
          </w:tblCellMar>
        </w:tblPrEx>
        <w:trPr>
          <w:cantSplit/>
        </w:trPr>
        <w:tc>
          <w:tcPr>
            <w:tcW w:w="1384" w:type="dxa"/>
            <w:tcBorders>
              <w:top w:val="double" w:sz="4" w:space="0" w:color="auto"/>
              <w:left w:val="double" w:sz="4" w:space="0" w:color="auto"/>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 xml:space="preserve"> ІІ*</w:t>
            </w:r>
          </w:p>
        </w:tc>
        <w:tc>
          <w:tcPr>
            <w:tcW w:w="851"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392" w:right="-392"/>
              <w:jc w:val="center"/>
              <w:rPr>
                <w:b/>
                <w:bCs/>
              </w:rPr>
            </w:pPr>
            <w:r>
              <w:rPr>
                <w:b/>
                <w:bCs/>
              </w:rPr>
              <w:t>10</w:t>
            </w:r>
          </w:p>
        </w:tc>
        <w:tc>
          <w:tcPr>
            <w:tcW w:w="1275"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9,5</w:t>
            </w:r>
            <w:r>
              <w:rPr>
                <w:b/>
                <w:bCs/>
              </w:rPr>
              <w:sym w:font="Symbol" w:char="F0B1"/>
            </w:r>
            <w:r>
              <w:rPr>
                <w:b/>
                <w:bCs/>
              </w:rPr>
              <w:t>1,5</w:t>
            </w:r>
          </w:p>
        </w:tc>
        <w:tc>
          <w:tcPr>
            <w:tcW w:w="70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8</w:t>
            </w:r>
          </w:p>
        </w:tc>
        <w:tc>
          <w:tcPr>
            <w:tcW w:w="992"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30,0</w:t>
            </w:r>
          </w:p>
        </w:tc>
        <w:tc>
          <w:tcPr>
            <w:tcW w:w="70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40,0</w:t>
            </w:r>
          </w:p>
        </w:tc>
        <w:tc>
          <w:tcPr>
            <w:tcW w:w="70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49" w:right="-250"/>
              <w:jc w:val="center"/>
              <w:rPr>
                <w:b/>
                <w:bCs/>
              </w:rPr>
            </w:pPr>
            <w:r>
              <w:rPr>
                <w:b/>
                <w:bCs/>
              </w:rPr>
              <w:t>10,0</w:t>
            </w:r>
          </w:p>
        </w:tc>
        <w:tc>
          <w:tcPr>
            <w:tcW w:w="68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533" w:right="-533"/>
              <w:jc w:val="center"/>
              <w:rPr>
                <w:b/>
                <w:bCs/>
              </w:rPr>
            </w:pPr>
            <w:r>
              <w:rPr>
                <w:b/>
                <w:bCs/>
              </w:rPr>
              <w:t>80,0</w:t>
            </w:r>
          </w:p>
        </w:tc>
        <w:tc>
          <w:tcPr>
            <w:tcW w:w="870"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20,0</w:t>
            </w:r>
          </w:p>
        </w:tc>
        <w:tc>
          <w:tcPr>
            <w:tcW w:w="567"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1,7</w:t>
            </w:r>
          </w:p>
        </w:tc>
        <w:tc>
          <w:tcPr>
            <w:tcW w:w="992"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52,1</w:t>
            </w:r>
            <w:r>
              <w:rPr>
                <w:b/>
                <w:bCs/>
              </w:rPr>
              <w:sym w:font="Symbol" w:char="F0B1"/>
            </w:r>
            <w:r>
              <w:rPr>
                <w:b/>
                <w:bCs/>
              </w:rPr>
              <w:t>3,0</w:t>
            </w:r>
          </w:p>
        </w:tc>
      </w:tr>
      <w:tr w:rsidR="002D6496" w:rsidTr="004F3130">
        <w:tblPrEx>
          <w:tblCellMar>
            <w:top w:w="0" w:type="dxa"/>
            <w:bottom w:w="0" w:type="dxa"/>
          </w:tblCellMar>
        </w:tblPrEx>
        <w:trPr>
          <w:cantSplit/>
        </w:trPr>
        <w:tc>
          <w:tcPr>
            <w:tcW w:w="1384" w:type="dxa"/>
            <w:tcBorders>
              <w:top w:val="double" w:sz="4" w:space="0" w:color="auto"/>
              <w:left w:val="double" w:sz="4" w:space="0" w:color="auto"/>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 xml:space="preserve">  ІІІ*</w:t>
            </w:r>
          </w:p>
        </w:tc>
        <w:tc>
          <w:tcPr>
            <w:tcW w:w="851"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392" w:right="-392"/>
              <w:jc w:val="center"/>
              <w:rPr>
                <w:b/>
                <w:bCs/>
              </w:rPr>
            </w:pPr>
            <w:r>
              <w:rPr>
                <w:b/>
                <w:bCs/>
              </w:rPr>
              <w:t>7</w:t>
            </w:r>
          </w:p>
        </w:tc>
        <w:tc>
          <w:tcPr>
            <w:tcW w:w="1275"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14,4</w:t>
            </w:r>
            <w:r>
              <w:rPr>
                <w:b/>
                <w:bCs/>
              </w:rPr>
              <w:sym w:font="Symbol" w:char="F0B1"/>
            </w:r>
            <w:r>
              <w:rPr>
                <w:b/>
                <w:bCs/>
              </w:rPr>
              <w:t>1,2</w:t>
            </w:r>
          </w:p>
        </w:tc>
        <w:tc>
          <w:tcPr>
            <w:tcW w:w="70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5</w:t>
            </w:r>
          </w:p>
        </w:tc>
        <w:tc>
          <w:tcPr>
            <w:tcW w:w="992"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28,5</w:t>
            </w:r>
          </w:p>
        </w:tc>
        <w:tc>
          <w:tcPr>
            <w:tcW w:w="70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28,5</w:t>
            </w:r>
          </w:p>
        </w:tc>
        <w:tc>
          <w:tcPr>
            <w:tcW w:w="70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49" w:right="-250"/>
              <w:jc w:val="center"/>
              <w:rPr>
                <w:b/>
                <w:bCs/>
              </w:rPr>
            </w:pPr>
            <w:r>
              <w:rPr>
                <w:b/>
                <w:bCs/>
              </w:rPr>
              <w:t>14,2</w:t>
            </w:r>
          </w:p>
        </w:tc>
        <w:tc>
          <w:tcPr>
            <w:tcW w:w="68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533" w:right="-533"/>
              <w:jc w:val="center"/>
              <w:rPr>
                <w:b/>
                <w:bCs/>
              </w:rPr>
            </w:pPr>
            <w:r>
              <w:rPr>
                <w:b/>
                <w:bCs/>
              </w:rPr>
              <w:t>71,2</w:t>
            </w:r>
          </w:p>
        </w:tc>
        <w:tc>
          <w:tcPr>
            <w:tcW w:w="870"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28,8</w:t>
            </w:r>
          </w:p>
        </w:tc>
        <w:tc>
          <w:tcPr>
            <w:tcW w:w="567"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1,8</w:t>
            </w:r>
          </w:p>
        </w:tc>
        <w:tc>
          <w:tcPr>
            <w:tcW w:w="992"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63,4</w:t>
            </w:r>
            <w:r>
              <w:rPr>
                <w:b/>
                <w:bCs/>
              </w:rPr>
              <w:sym w:font="Symbol" w:char="F0B1"/>
            </w:r>
            <w:r>
              <w:rPr>
                <w:b/>
                <w:bCs/>
              </w:rPr>
              <w:t>3,7</w:t>
            </w:r>
          </w:p>
        </w:tc>
      </w:tr>
      <w:tr w:rsidR="002D6496" w:rsidTr="004F3130">
        <w:tblPrEx>
          <w:tblCellMar>
            <w:top w:w="0" w:type="dxa"/>
            <w:bottom w:w="0" w:type="dxa"/>
          </w:tblCellMar>
        </w:tblPrEx>
        <w:trPr>
          <w:cantSplit/>
        </w:trPr>
        <w:tc>
          <w:tcPr>
            <w:tcW w:w="1384" w:type="dxa"/>
            <w:tcBorders>
              <w:top w:val="double" w:sz="4" w:space="0" w:color="auto"/>
              <w:left w:val="double" w:sz="4" w:space="0" w:color="auto"/>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ІV</w:t>
            </w:r>
          </w:p>
        </w:tc>
        <w:tc>
          <w:tcPr>
            <w:tcW w:w="851"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392" w:right="-392"/>
              <w:jc w:val="center"/>
              <w:rPr>
                <w:b/>
                <w:bCs/>
              </w:rPr>
            </w:pPr>
            <w:r>
              <w:rPr>
                <w:b/>
                <w:bCs/>
              </w:rPr>
              <w:t>10</w:t>
            </w:r>
          </w:p>
        </w:tc>
        <w:tc>
          <w:tcPr>
            <w:tcW w:w="1275"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10,6</w:t>
            </w:r>
            <w:r>
              <w:rPr>
                <w:b/>
                <w:bCs/>
              </w:rPr>
              <w:sym w:font="Symbol" w:char="F0B1"/>
            </w:r>
            <w:r>
              <w:rPr>
                <w:b/>
                <w:bCs/>
              </w:rPr>
              <w:t>1,6</w:t>
            </w:r>
          </w:p>
        </w:tc>
        <w:tc>
          <w:tcPr>
            <w:tcW w:w="70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8</w:t>
            </w:r>
          </w:p>
        </w:tc>
        <w:tc>
          <w:tcPr>
            <w:tcW w:w="992"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20,0</w:t>
            </w:r>
          </w:p>
        </w:tc>
        <w:tc>
          <w:tcPr>
            <w:tcW w:w="70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40,0</w:t>
            </w:r>
          </w:p>
        </w:tc>
        <w:tc>
          <w:tcPr>
            <w:tcW w:w="70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49" w:right="-250"/>
              <w:jc w:val="center"/>
              <w:rPr>
                <w:b/>
                <w:bCs/>
              </w:rPr>
            </w:pPr>
            <w:r>
              <w:rPr>
                <w:b/>
                <w:bCs/>
              </w:rPr>
              <w:t>20,0</w:t>
            </w:r>
          </w:p>
        </w:tc>
        <w:tc>
          <w:tcPr>
            <w:tcW w:w="68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533" w:right="-533"/>
              <w:jc w:val="center"/>
              <w:rPr>
                <w:b/>
                <w:bCs/>
              </w:rPr>
            </w:pPr>
            <w:r>
              <w:rPr>
                <w:b/>
                <w:bCs/>
              </w:rPr>
              <w:t>80,0</w:t>
            </w:r>
          </w:p>
        </w:tc>
        <w:tc>
          <w:tcPr>
            <w:tcW w:w="870"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20,0</w:t>
            </w:r>
          </w:p>
        </w:tc>
        <w:tc>
          <w:tcPr>
            <w:tcW w:w="567"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1,7</w:t>
            </w:r>
          </w:p>
        </w:tc>
        <w:tc>
          <w:tcPr>
            <w:tcW w:w="992"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55,7</w:t>
            </w:r>
            <w:r>
              <w:rPr>
                <w:b/>
                <w:bCs/>
              </w:rPr>
              <w:sym w:font="Symbol" w:char="F0B1"/>
            </w:r>
            <w:r>
              <w:rPr>
                <w:b/>
                <w:bCs/>
              </w:rPr>
              <w:t>3,0</w:t>
            </w:r>
          </w:p>
        </w:tc>
      </w:tr>
      <w:tr w:rsidR="002D6496" w:rsidTr="004F3130">
        <w:tblPrEx>
          <w:tblCellMar>
            <w:top w:w="0" w:type="dxa"/>
            <w:bottom w:w="0" w:type="dxa"/>
          </w:tblCellMar>
        </w:tblPrEx>
        <w:trPr>
          <w:cantSplit/>
        </w:trPr>
        <w:tc>
          <w:tcPr>
            <w:tcW w:w="1384" w:type="dxa"/>
            <w:tcBorders>
              <w:top w:val="double" w:sz="4" w:space="0" w:color="auto"/>
              <w:left w:val="double" w:sz="4" w:space="0" w:color="auto"/>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V</w:t>
            </w:r>
          </w:p>
        </w:tc>
        <w:tc>
          <w:tcPr>
            <w:tcW w:w="851"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392" w:right="-392"/>
              <w:jc w:val="center"/>
              <w:rPr>
                <w:b/>
                <w:bCs/>
              </w:rPr>
            </w:pPr>
            <w:r>
              <w:rPr>
                <w:b/>
                <w:bCs/>
              </w:rPr>
              <w:t>10</w:t>
            </w:r>
          </w:p>
        </w:tc>
        <w:tc>
          <w:tcPr>
            <w:tcW w:w="1275"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12,5</w:t>
            </w:r>
            <w:r>
              <w:rPr>
                <w:b/>
                <w:bCs/>
              </w:rPr>
              <w:sym w:font="Symbol" w:char="F0B1"/>
            </w:r>
            <w:r>
              <w:rPr>
                <w:b/>
                <w:bCs/>
              </w:rPr>
              <w:t>1,5</w:t>
            </w:r>
          </w:p>
        </w:tc>
        <w:tc>
          <w:tcPr>
            <w:tcW w:w="70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7</w:t>
            </w:r>
          </w:p>
        </w:tc>
        <w:tc>
          <w:tcPr>
            <w:tcW w:w="992"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10,0</w:t>
            </w:r>
          </w:p>
        </w:tc>
        <w:tc>
          <w:tcPr>
            <w:tcW w:w="70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20,0</w:t>
            </w:r>
          </w:p>
        </w:tc>
        <w:tc>
          <w:tcPr>
            <w:tcW w:w="70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49" w:right="-250"/>
              <w:jc w:val="center"/>
              <w:rPr>
                <w:b/>
                <w:bCs/>
              </w:rPr>
            </w:pPr>
            <w:r>
              <w:rPr>
                <w:b/>
                <w:bCs/>
              </w:rPr>
              <w:t>40,0</w:t>
            </w:r>
          </w:p>
        </w:tc>
        <w:tc>
          <w:tcPr>
            <w:tcW w:w="68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533" w:right="-533"/>
              <w:jc w:val="center"/>
              <w:rPr>
                <w:b/>
                <w:bCs/>
              </w:rPr>
            </w:pPr>
            <w:r>
              <w:rPr>
                <w:b/>
                <w:bCs/>
              </w:rPr>
              <w:t>70,0</w:t>
            </w:r>
          </w:p>
        </w:tc>
        <w:tc>
          <w:tcPr>
            <w:tcW w:w="870"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30,0</w:t>
            </w:r>
          </w:p>
        </w:tc>
        <w:tc>
          <w:tcPr>
            <w:tcW w:w="567"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2,0</w:t>
            </w:r>
          </w:p>
        </w:tc>
        <w:tc>
          <w:tcPr>
            <w:tcW w:w="992"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59,5</w:t>
            </w:r>
            <w:r>
              <w:rPr>
                <w:b/>
                <w:bCs/>
              </w:rPr>
              <w:sym w:font="Symbol" w:char="F0B1"/>
            </w:r>
            <w:r>
              <w:rPr>
                <w:b/>
                <w:bCs/>
              </w:rPr>
              <w:t>2,7</w:t>
            </w:r>
          </w:p>
        </w:tc>
      </w:tr>
      <w:tr w:rsidR="002D6496" w:rsidTr="004F3130">
        <w:tblPrEx>
          <w:tblCellMar>
            <w:top w:w="0" w:type="dxa"/>
            <w:bottom w:w="0" w:type="dxa"/>
          </w:tblCellMar>
        </w:tblPrEx>
        <w:trPr>
          <w:cantSplit/>
        </w:trPr>
        <w:tc>
          <w:tcPr>
            <w:tcW w:w="1384" w:type="dxa"/>
            <w:tcBorders>
              <w:top w:val="double" w:sz="4" w:space="0" w:color="auto"/>
              <w:left w:val="double" w:sz="4" w:space="0" w:color="auto"/>
              <w:bottom w:val="double" w:sz="4" w:space="0" w:color="auto"/>
              <w:right w:val="double" w:sz="4" w:space="0" w:color="auto"/>
            </w:tcBorders>
            <w:vAlign w:val="center"/>
          </w:tcPr>
          <w:p w:rsidR="002D6496" w:rsidRDefault="002D6496" w:rsidP="004F3130">
            <w:pPr>
              <w:pStyle w:val="2ffffc"/>
              <w:spacing w:line="240" w:lineRule="atLeast"/>
              <w:ind w:left="-284" w:right="-249"/>
              <w:jc w:val="center"/>
              <w:rPr>
                <w:b/>
                <w:bCs/>
              </w:rPr>
            </w:pPr>
            <w:r>
              <w:rPr>
                <w:b/>
                <w:bCs/>
              </w:rPr>
              <w:t>Контрольна</w:t>
            </w:r>
          </w:p>
          <w:p w:rsidR="002D6496" w:rsidRDefault="002D6496" w:rsidP="004F3130">
            <w:pPr>
              <w:pStyle w:val="2ffffc"/>
              <w:spacing w:line="240" w:lineRule="atLeast"/>
              <w:ind w:left="-284" w:right="-249"/>
              <w:jc w:val="center"/>
              <w:rPr>
                <w:b/>
                <w:bCs/>
              </w:rPr>
            </w:pPr>
            <w:r>
              <w:rPr>
                <w:b/>
                <w:bCs/>
              </w:rPr>
              <w:t>група</w:t>
            </w:r>
          </w:p>
        </w:tc>
        <w:tc>
          <w:tcPr>
            <w:tcW w:w="851"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392" w:right="-392"/>
              <w:jc w:val="center"/>
              <w:rPr>
                <w:b/>
                <w:bCs/>
              </w:rPr>
            </w:pPr>
            <w:r>
              <w:rPr>
                <w:b/>
                <w:bCs/>
              </w:rPr>
              <w:t>10</w:t>
            </w:r>
          </w:p>
        </w:tc>
        <w:tc>
          <w:tcPr>
            <w:tcW w:w="1275"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17,4</w:t>
            </w:r>
            <w:r>
              <w:rPr>
                <w:b/>
                <w:bCs/>
              </w:rPr>
              <w:sym w:font="Symbol" w:char="F0B1"/>
            </w:r>
            <w:r>
              <w:rPr>
                <w:b/>
                <w:bCs/>
              </w:rPr>
              <w:t>1,7</w:t>
            </w:r>
          </w:p>
        </w:tc>
        <w:tc>
          <w:tcPr>
            <w:tcW w:w="70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5</w:t>
            </w:r>
          </w:p>
        </w:tc>
        <w:tc>
          <w:tcPr>
            <w:tcW w:w="992"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10,0</w:t>
            </w:r>
          </w:p>
        </w:tc>
        <w:tc>
          <w:tcPr>
            <w:tcW w:w="70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30,0</w:t>
            </w:r>
          </w:p>
        </w:tc>
        <w:tc>
          <w:tcPr>
            <w:tcW w:w="70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49" w:right="-250"/>
              <w:jc w:val="center"/>
              <w:rPr>
                <w:b/>
                <w:bCs/>
              </w:rPr>
            </w:pPr>
            <w:r>
              <w:rPr>
                <w:b/>
                <w:bCs/>
              </w:rPr>
              <w:t>10,0</w:t>
            </w:r>
          </w:p>
        </w:tc>
        <w:tc>
          <w:tcPr>
            <w:tcW w:w="689"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533" w:right="-533"/>
              <w:jc w:val="center"/>
              <w:rPr>
                <w:b/>
                <w:bCs/>
              </w:rPr>
            </w:pPr>
            <w:r>
              <w:rPr>
                <w:b/>
                <w:bCs/>
              </w:rPr>
              <w:t>50,0</w:t>
            </w:r>
          </w:p>
        </w:tc>
        <w:tc>
          <w:tcPr>
            <w:tcW w:w="870"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50,0</w:t>
            </w:r>
          </w:p>
        </w:tc>
        <w:tc>
          <w:tcPr>
            <w:tcW w:w="567"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2,5</w:t>
            </w:r>
          </w:p>
        </w:tc>
        <w:tc>
          <w:tcPr>
            <w:tcW w:w="992" w:type="dxa"/>
            <w:tcBorders>
              <w:top w:val="double" w:sz="4" w:space="0" w:color="auto"/>
              <w:left w:val="nil"/>
              <w:bottom w:val="double" w:sz="4" w:space="0" w:color="auto"/>
              <w:right w:val="double" w:sz="4" w:space="0" w:color="auto"/>
            </w:tcBorders>
            <w:vAlign w:val="center"/>
          </w:tcPr>
          <w:p w:rsidR="002D6496" w:rsidRDefault="002D6496" w:rsidP="004F3130">
            <w:pPr>
              <w:pStyle w:val="2ffffc"/>
              <w:ind w:left="-284" w:right="-250"/>
              <w:jc w:val="center"/>
              <w:rPr>
                <w:b/>
                <w:bCs/>
              </w:rPr>
            </w:pPr>
            <w:r>
              <w:rPr>
                <w:b/>
                <w:bCs/>
              </w:rPr>
              <w:t>77,5</w:t>
            </w:r>
            <w:r>
              <w:rPr>
                <w:b/>
                <w:bCs/>
              </w:rPr>
              <w:sym w:font="Symbol" w:char="F0B1"/>
            </w:r>
            <w:r>
              <w:rPr>
                <w:b/>
                <w:bCs/>
              </w:rPr>
              <w:t>3,2</w:t>
            </w:r>
          </w:p>
        </w:tc>
      </w:tr>
    </w:tbl>
    <w:p w:rsidR="002D6496" w:rsidRDefault="002D6496" w:rsidP="002D6496">
      <w:pPr>
        <w:pStyle w:val="25"/>
        <w:ind w:firstLine="567"/>
        <w:rPr>
          <w:sz w:val="22"/>
          <w:szCs w:val="22"/>
        </w:rPr>
      </w:pPr>
      <w:r>
        <w:rPr>
          <w:b/>
          <w:bCs/>
          <w:sz w:val="22"/>
          <w:szCs w:val="22"/>
        </w:rPr>
        <w:t xml:space="preserve">Примітка: * </w:t>
      </w:r>
      <w:r>
        <w:rPr>
          <w:rFonts w:ascii="Lucida Console" w:hAnsi="Lucida Console" w:cs="Lucida Console"/>
          <w:b/>
          <w:bCs/>
          <w:sz w:val="22"/>
          <w:szCs w:val="22"/>
        </w:rPr>
        <w:t>―</w:t>
      </w:r>
      <w:r>
        <w:rPr>
          <w:b/>
          <w:bCs/>
          <w:sz w:val="22"/>
          <w:szCs w:val="22"/>
        </w:rPr>
        <w:t xml:space="preserve"> </w:t>
      </w:r>
      <w:r>
        <w:rPr>
          <w:sz w:val="22"/>
          <w:szCs w:val="22"/>
        </w:rPr>
        <w:t>групи, у яких застосовували препарат АСД-ф-2</w:t>
      </w:r>
    </w:p>
    <w:p w:rsidR="002D6496" w:rsidRDefault="002D6496" w:rsidP="002D6496">
      <w:pPr>
        <w:pStyle w:val="2ffffc"/>
        <w:ind w:firstLine="567"/>
      </w:pPr>
    </w:p>
    <w:p w:rsidR="002D6496" w:rsidRDefault="002D6496" w:rsidP="002D6496">
      <w:pPr>
        <w:pStyle w:val="2ffffc"/>
        <w:ind w:firstLine="567"/>
        <w:rPr>
          <w:sz w:val="25"/>
          <w:szCs w:val="25"/>
        </w:rPr>
      </w:pPr>
      <w:r>
        <w:rPr>
          <w:sz w:val="25"/>
          <w:szCs w:val="25"/>
        </w:rPr>
        <w:lastRenderedPageBreak/>
        <w:t>Слід відзначити, що у  І групі тривалість лікування була найменшою (7,5</w:t>
      </w:r>
      <w:r>
        <w:rPr>
          <w:sz w:val="25"/>
        </w:rPr>
        <w:sym w:font="Symbol" w:char="F0B1"/>
      </w:r>
      <w:r>
        <w:rPr>
          <w:sz w:val="25"/>
          <w:szCs w:val="25"/>
        </w:rPr>
        <w:t>1,7 днів), а запліднення найвищим (90%). Менш ефективними виявились ІІ та ІІІ схеми лікування. У другій  дослідній  групі, де препарат АСД</w:t>
      </w:r>
      <w:r>
        <w:rPr>
          <w:sz w:val="25"/>
        </w:rPr>
        <w:sym w:font="Symbol" w:char="F02D"/>
      </w:r>
      <w:r>
        <w:rPr>
          <w:sz w:val="25"/>
          <w:szCs w:val="25"/>
        </w:rPr>
        <w:t>ф</w:t>
      </w:r>
      <w:r>
        <w:rPr>
          <w:sz w:val="25"/>
        </w:rPr>
        <w:sym w:font="Symbol" w:char="F02D"/>
      </w:r>
      <w:r>
        <w:rPr>
          <w:sz w:val="25"/>
          <w:szCs w:val="25"/>
        </w:rPr>
        <w:t>2 ін'єкували підшкірно, середня тривалість лікування становила 9,5</w:t>
      </w:r>
      <w:r>
        <w:rPr>
          <w:sz w:val="25"/>
        </w:rPr>
        <w:sym w:font="Symbol" w:char="F0B1"/>
      </w:r>
      <w:r>
        <w:rPr>
          <w:sz w:val="25"/>
          <w:szCs w:val="25"/>
        </w:rPr>
        <w:t xml:space="preserve">1,5 днів, що поступається лише першій  лікувальній схемі. Найвищу економічну ефективність лікування було встановлено у І дослідній групі, де затрати на  лікування однієї корови становили 38,18 гривень, а економічний ефект від проведеного лікування становив 45,35 грн. У другій дослідній групі економічна ефективність лікування складала 47,55 грн, а прибуток на 1 грн затрат становив 2,05 грн. На лікування однієї корови затрачалось 43,5 грн. У третій групі, де лікарські речовини вводили внутрішньоматково, отримано найменшу лікувальну ефективність, а затрати на лікування однієї корови виявились найвищими </w:t>
      </w:r>
      <w:r>
        <w:rPr>
          <w:sz w:val="25"/>
        </w:rPr>
        <w:sym w:font="Symbol" w:char="F02D"/>
      </w:r>
      <w:r>
        <w:rPr>
          <w:sz w:val="25"/>
          <w:szCs w:val="25"/>
        </w:rPr>
        <w:t xml:space="preserve"> 57,87 грн.</w:t>
      </w:r>
    </w:p>
    <w:p w:rsidR="002D6496" w:rsidRDefault="002D6496" w:rsidP="002D6496">
      <w:pPr>
        <w:pStyle w:val="2ffffc"/>
        <w:ind w:firstLine="567"/>
        <w:rPr>
          <w:sz w:val="25"/>
          <w:szCs w:val="25"/>
        </w:rPr>
      </w:pPr>
      <w:r>
        <w:rPr>
          <w:sz w:val="25"/>
          <w:szCs w:val="25"/>
        </w:rPr>
        <w:t>Таким чином, одержані результати свідчать про високу лікувальну ефективність внутрішньоаортальних інфузій антибіотиків в поєднанні із біостимулятором АСД-ф-2 в схемах комплексної терапії післяродового гнійно-катарального ендометриту корів.</w:t>
      </w:r>
    </w:p>
    <w:p w:rsidR="002D6496" w:rsidRDefault="002D6496" w:rsidP="002D6496">
      <w:pPr>
        <w:rPr>
          <w:sz w:val="25"/>
          <w:szCs w:val="25"/>
        </w:rPr>
      </w:pPr>
    </w:p>
    <w:p w:rsidR="002D6496" w:rsidRDefault="002D6496" w:rsidP="002D6496">
      <w:pPr>
        <w:pStyle w:val="2fff2"/>
        <w:outlineLvl w:val="1"/>
        <w:rPr>
          <w:b/>
          <w:bCs/>
          <w:spacing w:val="50"/>
          <w:sz w:val="25"/>
          <w:szCs w:val="25"/>
        </w:rPr>
      </w:pPr>
      <w:r>
        <w:rPr>
          <w:b/>
          <w:bCs/>
          <w:spacing w:val="50"/>
          <w:sz w:val="25"/>
          <w:szCs w:val="25"/>
        </w:rPr>
        <w:t>ВИСНОВКИ</w:t>
      </w:r>
    </w:p>
    <w:p w:rsidR="002D6496" w:rsidRDefault="002D6496" w:rsidP="002D6496"/>
    <w:p w:rsidR="002D6496" w:rsidRDefault="002D6496" w:rsidP="002D6496">
      <w:pPr>
        <w:pStyle w:val="2ffffc"/>
        <w:ind w:firstLine="567"/>
        <w:rPr>
          <w:sz w:val="25"/>
          <w:szCs w:val="25"/>
        </w:rPr>
      </w:pPr>
      <w:r>
        <w:rPr>
          <w:sz w:val="25"/>
          <w:szCs w:val="25"/>
        </w:rPr>
        <w:t xml:space="preserve">У дисертації, відповідно до поставленої мети та завдань досліджень, уперше отримані результати комплексної імунобіологічної оцінки корів в процесі розвитку, перебігу та лікування при післяродовому гнійно-катаральному ендометриті із застосуванням лікарських препаратів, підібраних превентивно в імунологічних тестуваннях </w:t>
      </w:r>
      <w:r>
        <w:rPr>
          <w:sz w:val="25"/>
          <w:szCs w:val="25"/>
          <w:lang w:val="en-US"/>
        </w:rPr>
        <w:t>in</w:t>
      </w:r>
      <w:r>
        <w:rPr>
          <w:sz w:val="25"/>
          <w:szCs w:val="25"/>
        </w:rPr>
        <w:t xml:space="preserve"> </w:t>
      </w:r>
      <w:r>
        <w:rPr>
          <w:sz w:val="25"/>
          <w:szCs w:val="25"/>
          <w:lang w:val="en-US"/>
        </w:rPr>
        <w:t>vitro</w:t>
      </w:r>
      <w:r>
        <w:rPr>
          <w:sz w:val="25"/>
          <w:szCs w:val="25"/>
        </w:rPr>
        <w:t>, що підтверджується наступним.</w:t>
      </w:r>
    </w:p>
    <w:p w:rsidR="002D6496" w:rsidRDefault="002D6496" w:rsidP="00BA0B93">
      <w:pPr>
        <w:numPr>
          <w:ilvl w:val="0"/>
          <w:numId w:val="61"/>
        </w:numPr>
        <w:suppressAutoHyphens w:val="0"/>
        <w:autoSpaceDE w:val="0"/>
        <w:autoSpaceDN w:val="0"/>
        <w:spacing w:line="360" w:lineRule="auto"/>
        <w:jc w:val="both"/>
        <w:rPr>
          <w:sz w:val="25"/>
          <w:szCs w:val="25"/>
        </w:rPr>
      </w:pPr>
      <w:r>
        <w:rPr>
          <w:sz w:val="25"/>
          <w:szCs w:val="25"/>
        </w:rPr>
        <w:t xml:space="preserve"> Післяродові інволюційні  процеси в організмі корів супроводжуються суттєвими змінами окремих ланок імунітету. Перебіг післяродового гнійно-катарального  ендометриту характеризується  значним  пригніченням Т- і В-системи імунітету, що  вказує на імунодефіцитний характер цієї патології.</w:t>
      </w:r>
    </w:p>
    <w:p w:rsidR="002D6496" w:rsidRDefault="002D6496" w:rsidP="00BA0B93">
      <w:pPr>
        <w:numPr>
          <w:ilvl w:val="0"/>
          <w:numId w:val="61"/>
        </w:numPr>
        <w:suppressAutoHyphens w:val="0"/>
        <w:autoSpaceDE w:val="0"/>
        <w:autoSpaceDN w:val="0"/>
        <w:spacing w:line="360" w:lineRule="auto"/>
        <w:jc w:val="both"/>
        <w:rPr>
          <w:sz w:val="25"/>
          <w:szCs w:val="25"/>
        </w:rPr>
      </w:pPr>
      <w:r>
        <w:rPr>
          <w:sz w:val="25"/>
          <w:szCs w:val="25"/>
        </w:rPr>
        <w:lastRenderedPageBreak/>
        <w:t xml:space="preserve">Розвиток післяродового гнійно-катарального ендометриту супроводжується пригніченням бактерицидної активності сироватки крові (на 14,24%, р&lt;0,001) та фагоцитозу (на 20,4%, </w:t>
      </w:r>
      <w:r>
        <w:rPr>
          <w:sz w:val="25"/>
          <w:szCs w:val="25"/>
          <w:lang w:val="en-US"/>
        </w:rPr>
        <w:t>p</w:t>
      </w:r>
      <w:r>
        <w:rPr>
          <w:sz w:val="25"/>
          <w:szCs w:val="25"/>
        </w:rPr>
        <w:t xml:space="preserve">&lt;0,001)  на фоні зростання рівня циркулюючих імунних комплексів. Гострий ендометрит характеризується  зростанням кількості формазанпозитивних нейтрофілів та лізоцимної активності сироватки крові (на 8,98%, </w:t>
      </w:r>
      <w:r>
        <w:rPr>
          <w:sz w:val="25"/>
          <w:szCs w:val="25"/>
          <w:lang w:val="en-US"/>
        </w:rPr>
        <w:t>p</w:t>
      </w:r>
      <w:r>
        <w:rPr>
          <w:sz w:val="25"/>
          <w:szCs w:val="25"/>
        </w:rPr>
        <w:t xml:space="preserve">&lt;0,01), що можна вважати компенсаторною реакцією організму. </w:t>
      </w:r>
    </w:p>
    <w:p w:rsidR="002D6496" w:rsidRDefault="002D6496" w:rsidP="00BA0B93">
      <w:pPr>
        <w:numPr>
          <w:ilvl w:val="0"/>
          <w:numId w:val="61"/>
        </w:numPr>
        <w:suppressAutoHyphens w:val="0"/>
        <w:autoSpaceDE w:val="0"/>
        <w:autoSpaceDN w:val="0"/>
        <w:spacing w:line="360" w:lineRule="auto"/>
        <w:jc w:val="both"/>
        <w:rPr>
          <w:sz w:val="25"/>
          <w:szCs w:val="25"/>
        </w:rPr>
      </w:pPr>
      <w:r>
        <w:rPr>
          <w:sz w:val="25"/>
          <w:szCs w:val="25"/>
        </w:rPr>
        <w:t xml:space="preserve">Проведення         імунологічних        тестувань       антибактерійних та      біологічно активних           препаратів      у    дослідах     in vitro   є   цінним   інформативним   методом </w:t>
      </w:r>
    </w:p>
    <w:p w:rsidR="002D6496" w:rsidRDefault="002D6496" w:rsidP="002D6496">
      <w:pPr>
        <w:spacing w:line="360" w:lineRule="auto"/>
        <w:jc w:val="both"/>
        <w:rPr>
          <w:sz w:val="25"/>
          <w:szCs w:val="25"/>
        </w:rPr>
      </w:pPr>
    </w:p>
    <w:p w:rsidR="002D6496" w:rsidRDefault="002D6496" w:rsidP="002D6496">
      <w:pPr>
        <w:spacing w:line="360" w:lineRule="auto"/>
        <w:jc w:val="both"/>
        <w:rPr>
          <w:sz w:val="25"/>
          <w:szCs w:val="25"/>
        </w:rPr>
      </w:pPr>
      <w:r>
        <w:rPr>
          <w:sz w:val="25"/>
          <w:szCs w:val="25"/>
        </w:rPr>
        <w:t xml:space="preserve">     прогнозування їх впливу на функціональні ланки імунітету.</w:t>
      </w:r>
    </w:p>
    <w:p w:rsidR="002D6496" w:rsidRDefault="002D6496" w:rsidP="00BA0B93">
      <w:pPr>
        <w:numPr>
          <w:ilvl w:val="0"/>
          <w:numId w:val="61"/>
        </w:numPr>
        <w:suppressAutoHyphens w:val="0"/>
        <w:autoSpaceDE w:val="0"/>
        <w:autoSpaceDN w:val="0"/>
        <w:spacing w:line="360" w:lineRule="auto"/>
        <w:jc w:val="both"/>
        <w:rPr>
          <w:sz w:val="25"/>
          <w:szCs w:val="25"/>
        </w:rPr>
      </w:pPr>
      <w:r>
        <w:rPr>
          <w:sz w:val="25"/>
          <w:szCs w:val="25"/>
        </w:rPr>
        <w:t>Біологічно активний препарат АСД</w:t>
      </w:r>
      <w:r>
        <w:rPr>
          <w:sz w:val="25"/>
        </w:rPr>
        <w:sym w:font="Symbol" w:char="F02D"/>
      </w:r>
      <w:r>
        <w:rPr>
          <w:sz w:val="25"/>
          <w:szCs w:val="25"/>
        </w:rPr>
        <w:t xml:space="preserve">ф-2 виявив найвищу імунотропну дію в дослідах </w:t>
      </w:r>
      <w:r>
        <w:rPr>
          <w:sz w:val="25"/>
          <w:szCs w:val="25"/>
          <w:lang w:val="en-US"/>
        </w:rPr>
        <w:t>in</w:t>
      </w:r>
      <w:r>
        <w:rPr>
          <w:sz w:val="25"/>
          <w:szCs w:val="25"/>
        </w:rPr>
        <w:t xml:space="preserve"> </w:t>
      </w:r>
      <w:r>
        <w:rPr>
          <w:sz w:val="25"/>
          <w:szCs w:val="25"/>
          <w:lang w:val="en-US"/>
        </w:rPr>
        <w:t>vitro</w:t>
      </w:r>
      <w:r>
        <w:rPr>
          <w:sz w:val="25"/>
          <w:szCs w:val="25"/>
        </w:rPr>
        <w:t xml:space="preserve"> та </w:t>
      </w:r>
      <w:r>
        <w:rPr>
          <w:sz w:val="25"/>
          <w:szCs w:val="25"/>
          <w:lang w:val="en-US"/>
        </w:rPr>
        <w:t>in</w:t>
      </w:r>
      <w:r>
        <w:rPr>
          <w:sz w:val="25"/>
          <w:szCs w:val="25"/>
        </w:rPr>
        <w:t xml:space="preserve"> </w:t>
      </w:r>
      <w:r>
        <w:rPr>
          <w:sz w:val="25"/>
          <w:szCs w:val="25"/>
          <w:lang w:val="en-US"/>
        </w:rPr>
        <w:t>vivo</w:t>
      </w:r>
      <w:r>
        <w:rPr>
          <w:sz w:val="25"/>
          <w:szCs w:val="25"/>
        </w:rPr>
        <w:t>.</w:t>
      </w:r>
    </w:p>
    <w:p w:rsidR="002D6496" w:rsidRDefault="002D6496" w:rsidP="00BA0B93">
      <w:pPr>
        <w:numPr>
          <w:ilvl w:val="0"/>
          <w:numId w:val="61"/>
        </w:numPr>
        <w:suppressAutoHyphens w:val="0"/>
        <w:autoSpaceDE w:val="0"/>
        <w:autoSpaceDN w:val="0"/>
        <w:spacing w:line="360" w:lineRule="auto"/>
        <w:jc w:val="both"/>
        <w:rPr>
          <w:sz w:val="25"/>
          <w:szCs w:val="25"/>
        </w:rPr>
      </w:pPr>
      <w:r>
        <w:rPr>
          <w:sz w:val="25"/>
          <w:szCs w:val="25"/>
        </w:rPr>
        <w:t>Умовно-патогенна мікрофлора (</w:t>
      </w:r>
      <w:r>
        <w:rPr>
          <w:sz w:val="25"/>
          <w:szCs w:val="25"/>
          <w:lang w:val="en-US"/>
        </w:rPr>
        <w:t>Escherichia</w:t>
      </w:r>
      <w:r>
        <w:rPr>
          <w:sz w:val="25"/>
          <w:szCs w:val="25"/>
        </w:rPr>
        <w:t xml:space="preserve"> </w:t>
      </w:r>
      <w:r>
        <w:rPr>
          <w:sz w:val="25"/>
          <w:szCs w:val="25"/>
          <w:lang w:val="en-US"/>
        </w:rPr>
        <w:t>coli</w:t>
      </w:r>
      <w:r>
        <w:rPr>
          <w:sz w:val="25"/>
          <w:szCs w:val="25"/>
        </w:rPr>
        <w:t xml:space="preserve">, </w:t>
      </w:r>
      <w:r>
        <w:rPr>
          <w:sz w:val="25"/>
          <w:szCs w:val="25"/>
          <w:lang w:val="en-US"/>
        </w:rPr>
        <w:t>Proteus</w:t>
      </w:r>
      <w:r>
        <w:rPr>
          <w:sz w:val="25"/>
          <w:szCs w:val="25"/>
        </w:rPr>
        <w:t xml:space="preserve"> </w:t>
      </w:r>
      <w:r>
        <w:rPr>
          <w:sz w:val="25"/>
          <w:szCs w:val="25"/>
          <w:lang w:val="en-US"/>
        </w:rPr>
        <w:t>vulgaris</w:t>
      </w:r>
      <w:r>
        <w:rPr>
          <w:sz w:val="25"/>
          <w:szCs w:val="25"/>
        </w:rPr>
        <w:t xml:space="preserve"> та </w:t>
      </w:r>
      <w:r>
        <w:rPr>
          <w:sz w:val="25"/>
          <w:szCs w:val="25"/>
          <w:lang w:val="en-US"/>
        </w:rPr>
        <w:t>Proteus</w:t>
      </w:r>
      <w:r>
        <w:rPr>
          <w:sz w:val="25"/>
          <w:szCs w:val="25"/>
        </w:rPr>
        <w:t xml:space="preserve"> </w:t>
      </w:r>
      <w:r>
        <w:rPr>
          <w:sz w:val="25"/>
          <w:szCs w:val="25"/>
          <w:lang w:val="en-US"/>
        </w:rPr>
        <w:t>mirabilis</w:t>
      </w:r>
      <w:r>
        <w:rPr>
          <w:sz w:val="25"/>
          <w:szCs w:val="25"/>
        </w:rPr>
        <w:t xml:space="preserve">)  з геніталій хворих на післяродовий  гнійно-катаральний ендометрит корів проявляла найбільшу антибіотикочутливість до енрофлоксу, гентаміцину, стрептоміцину та амоксоциліну. </w:t>
      </w:r>
    </w:p>
    <w:p w:rsidR="002D6496" w:rsidRDefault="002D6496" w:rsidP="00BA0B93">
      <w:pPr>
        <w:numPr>
          <w:ilvl w:val="0"/>
          <w:numId w:val="61"/>
        </w:numPr>
        <w:suppressAutoHyphens w:val="0"/>
        <w:autoSpaceDE w:val="0"/>
        <w:autoSpaceDN w:val="0"/>
        <w:spacing w:line="360" w:lineRule="auto"/>
        <w:jc w:val="both"/>
        <w:rPr>
          <w:sz w:val="25"/>
          <w:szCs w:val="25"/>
        </w:rPr>
      </w:pPr>
      <w:r>
        <w:rPr>
          <w:sz w:val="25"/>
          <w:szCs w:val="25"/>
        </w:rPr>
        <w:t>Найвищу лікувальну ефективність при післяродовому ендометриті корів отримано при застосуванні комплексної терапії з інтрааортальними інфузіями лікарських речовин.</w:t>
      </w:r>
    </w:p>
    <w:p w:rsidR="002D6496" w:rsidRDefault="002D6496" w:rsidP="00BA0B93">
      <w:pPr>
        <w:numPr>
          <w:ilvl w:val="0"/>
          <w:numId w:val="61"/>
        </w:numPr>
        <w:suppressAutoHyphens w:val="0"/>
        <w:autoSpaceDE w:val="0"/>
        <w:autoSpaceDN w:val="0"/>
        <w:spacing w:line="360" w:lineRule="auto"/>
        <w:jc w:val="both"/>
        <w:rPr>
          <w:sz w:val="25"/>
          <w:szCs w:val="25"/>
        </w:rPr>
      </w:pPr>
      <w:r>
        <w:rPr>
          <w:sz w:val="25"/>
          <w:szCs w:val="25"/>
        </w:rPr>
        <w:t>Запропонована схема комплексного проведення клінічних, гематологічних, імунобіологічних, цитохімічних та мікробіологічних досліджень дозволяє об’єктивно оцінити патогенетичний механізм розвитку післяродових захворювань, прогнозувати їх перебіг та ефективність лікувально-профілактичних заходів.</w:t>
      </w:r>
    </w:p>
    <w:p w:rsidR="002D6496" w:rsidRDefault="002D6496" w:rsidP="002D6496">
      <w:pPr>
        <w:pStyle w:val="affffffff8"/>
        <w:rPr>
          <w:spacing w:val="42"/>
          <w:sz w:val="25"/>
          <w:szCs w:val="25"/>
        </w:rPr>
      </w:pPr>
    </w:p>
    <w:p w:rsidR="002D6496" w:rsidRDefault="002D6496" w:rsidP="002D6496">
      <w:pPr>
        <w:pStyle w:val="affffffff8"/>
        <w:rPr>
          <w:spacing w:val="42"/>
          <w:sz w:val="25"/>
          <w:szCs w:val="25"/>
        </w:rPr>
      </w:pPr>
    </w:p>
    <w:p w:rsidR="002D6496" w:rsidRDefault="002D6496" w:rsidP="002D6496">
      <w:pPr>
        <w:pStyle w:val="affffffff8"/>
        <w:rPr>
          <w:spacing w:val="42"/>
          <w:sz w:val="25"/>
          <w:szCs w:val="25"/>
        </w:rPr>
      </w:pPr>
    </w:p>
    <w:p w:rsidR="002D6496" w:rsidRDefault="002D6496" w:rsidP="002D6496">
      <w:pPr>
        <w:pStyle w:val="affffffff8"/>
        <w:rPr>
          <w:spacing w:val="42"/>
          <w:sz w:val="25"/>
          <w:szCs w:val="25"/>
        </w:rPr>
      </w:pPr>
      <w:r>
        <w:rPr>
          <w:spacing w:val="42"/>
          <w:sz w:val="25"/>
          <w:szCs w:val="25"/>
        </w:rPr>
        <w:t>ПРОПОЗИЦІЇ ВИРОБНИЦТВУ</w:t>
      </w:r>
    </w:p>
    <w:p w:rsidR="002D6496" w:rsidRDefault="002D6496" w:rsidP="002D6496">
      <w:pPr>
        <w:pStyle w:val="affffffff8"/>
        <w:rPr>
          <w:sz w:val="25"/>
          <w:szCs w:val="25"/>
        </w:rPr>
      </w:pPr>
    </w:p>
    <w:p w:rsidR="002D6496" w:rsidRDefault="002D6496" w:rsidP="00BA0B93">
      <w:pPr>
        <w:numPr>
          <w:ilvl w:val="0"/>
          <w:numId w:val="62"/>
        </w:numPr>
        <w:suppressAutoHyphens w:val="0"/>
        <w:autoSpaceDE w:val="0"/>
        <w:autoSpaceDN w:val="0"/>
        <w:spacing w:line="360" w:lineRule="auto"/>
        <w:jc w:val="both"/>
        <w:rPr>
          <w:sz w:val="25"/>
          <w:szCs w:val="25"/>
        </w:rPr>
      </w:pPr>
      <w:r>
        <w:rPr>
          <w:sz w:val="25"/>
          <w:szCs w:val="25"/>
        </w:rPr>
        <w:t>Для лікування корів, хворих на післяродовий гнійно-катаральний ендометрит, пропонується комплексна схема, що передбачає внутрішньоаортальні інфузії 30 мл 1% розчину новокаїну, 15 мл 5% розчину енрофлоксу  та    25 ОД  окистоцину в поєднанні із введенням 50 мл 10% водного розчину АСД</w:t>
      </w:r>
      <w:r>
        <w:rPr>
          <w:sz w:val="25"/>
        </w:rPr>
        <w:sym w:font="Symbol" w:char="F02D"/>
      </w:r>
      <w:r>
        <w:rPr>
          <w:sz w:val="25"/>
          <w:szCs w:val="25"/>
        </w:rPr>
        <w:t>ф-2.</w:t>
      </w:r>
    </w:p>
    <w:p w:rsidR="002D6496" w:rsidRDefault="002D6496" w:rsidP="002D6496">
      <w:pPr>
        <w:spacing w:line="360" w:lineRule="auto"/>
        <w:jc w:val="both"/>
        <w:rPr>
          <w:sz w:val="25"/>
          <w:szCs w:val="25"/>
        </w:rPr>
      </w:pPr>
    </w:p>
    <w:p w:rsidR="002D6496" w:rsidRDefault="002D6496" w:rsidP="00BA0B93">
      <w:pPr>
        <w:numPr>
          <w:ilvl w:val="0"/>
          <w:numId w:val="62"/>
        </w:numPr>
        <w:suppressAutoHyphens w:val="0"/>
        <w:autoSpaceDE w:val="0"/>
        <w:autoSpaceDN w:val="0"/>
        <w:spacing w:line="360" w:lineRule="auto"/>
        <w:jc w:val="both"/>
        <w:rPr>
          <w:sz w:val="25"/>
          <w:szCs w:val="25"/>
        </w:rPr>
      </w:pPr>
      <w:r>
        <w:rPr>
          <w:sz w:val="25"/>
          <w:szCs w:val="25"/>
        </w:rPr>
        <w:t xml:space="preserve"> З метою підвищення ефективності етіотропної терапії при післяродовому  септичному ендометриті слід проводити попереднє визначення антибіотикочутливості мікрофлори.</w:t>
      </w:r>
    </w:p>
    <w:p w:rsidR="002D6496" w:rsidRDefault="002D6496" w:rsidP="002D6496">
      <w:pPr>
        <w:spacing w:line="360" w:lineRule="auto"/>
        <w:jc w:val="both"/>
        <w:rPr>
          <w:sz w:val="25"/>
          <w:szCs w:val="25"/>
        </w:rPr>
      </w:pPr>
    </w:p>
    <w:p w:rsidR="002D6496" w:rsidRDefault="002D6496" w:rsidP="002D6496">
      <w:pPr>
        <w:spacing w:line="360" w:lineRule="auto"/>
        <w:jc w:val="both"/>
        <w:rPr>
          <w:sz w:val="25"/>
          <w:szCs w:val="25"/>
        </w:rPr>
      </w:pPr>
    </w:p>
    <w:p w:rsidR="002D6496" w:rsidRDefault="002D6496" w:rsidP="00BA0B93">
      <w:pPr>
        <w:numPr>
          <w:ilvl w:val="0"/>
          <w:numId w:val="62"/>
        </w:numPr>
        <w:suppressAutoHyphens w:val="0"/>
        <w:autoSpaceDE w:val="0"/>
        <w:autoSpaceDN w:val="0"/>
        <w:spacing w:line="360" w:lineRule="auto"/>
        <w:jc w:val="both"/>
        <w:rPr>
          <w:sz w:val="25"/>
          <w:szCs w:val="25"/>
        </w:rPr>
      </w:pPr>
      <w:r>
        <w:rPr>
          <w:sz w:val="25"/>
          <w:szCs w:val="25"/>
        </w:rPr>
        <w:t xml:space="preserve">У наукових дослідженнях з метою прогнозування впливу  лікарських препаратів  на імунобіологічну реактивність організму доцільно проводити їх попереднє  імунологічне тестування в дослідах </w:t>
      </w:r>
      <w:r>
        <w:rPr>
          <w:sz w:val="25"/>
          <w:szCs w:val="25"/>
          <w:lang w:val="en-US"/>
        </w:rPr>
        <w:t>in</w:t>
      </w:r>
      <w:r>
        <w:rPr>
          <w:sz w:val="25"/>
          <w:szCs w:val="25"/>
        </w:rPr>
        <w:t xml:space="preserve"> </w:t>
      </w:r>
      <w:r>
        <w:rPr>
          <w:sz w:val="25"/>
          <w:szCs w:val="25"/>
          <w:lang w:val="en-US"/>
        </w:rPr>
        <w:t>vitro</w:t>
      </w:r>
      <w:r>
        <w:rPr>
          <w:sz w:val="25"/>
          <w:szCs w:val="25"/>
        </w:rPr>
        <w:t>.</w:t>
      </w:r>
    </w:p>
    <w:p w:rsidR="002D6496" w:rsidRDefault="002D6496" w:rsidP="002D6496">
      <w:pPr>
        <w:pStyle w:val="affffffff4"/>
        <w:jc w:val="center"/>
        <w:rPr>
          <w:b/>
          <w:bCs/>
          <w:sz w:val="25"/>
          <w:szCs w:val="25"/>
        </w:rPr>
      </w:pPr>
    </w:p>
    <w:p w:rsidR="002D6496" w:rsidRDefault="002D6496" w:rsidP="002D6496">
      <w:pPr>
        <w:pStyle w:val="affffffff4"/>
        <w:jc w:val="center"/>
        <w:rPr>
          <w:b/>
          <w:bCs/>
          <w:sz w:val="25"/>
          <w:szCs w:val="25"/>
        </w:rPr>
      </w:pPr>
      <w:r>
        <w:rPr>
          <w:b/>
          <w:bCs/>
          <w:sz w:val="25"/>
          <w:szCs w:val="25"/>
        </w:rPr>
        <w:t xml:space="preserve">СПИСОК ОСНОВНИХ ПРАЦЬ, </w:t>
      </w:r>
    </w:p>
    <w:p w:rsidR="002D6496" w:rsidRDefault="002D6496" w:rsidP="002D6496">
      <w:pPr>
        <w:pStyle w:val="affffffff4"/>
        <w:jc w:val="center"/>
        <w:rPr>
          <w:b/>
          <w:bCs/>
          <w:sz w:val="25"/>
          <w:szCs w:val="25"/>
        </w:rPr>
      </w:pPr>
      <w:r>
        <w:rPr>
          <w:b/>
          <w:bCs/>
          <w:sz w:val="25"/>
          <w:szCs w:val="25"/>
        </w:rPr>
        <w:t>ОПУБЛІКОВАНИХ ЗА ТЕМОЮ ДИСЕРТАЦІЇ</w:t>
      </w:r>
    </w:p>
    <w:p w:rsidR="002D6496" w:rsidRDefault="002D6496" w:rsidP="002D6496">
      <w:pPr>
        <w:pStyle w:val="affffffff4"/>
        <w:jc w:val="center"/>
        <w:rPr>
          <w:b/>
          <w:bCs/>
          <w:sz w:val="25"/>
          <w:szCs w:val="25"/>
        </w:rPr>
      </w:pPr>
    </w:p>
    <w:p w:rsidR="002D6496" w:rsidRDefault="002D6496" w:rsidP="002D6496">
      <w:pPr>
        <w:pStyle w:val="affffffff4"/>
        <w:jc w:val="center"/>
        <w:rPr>
          <w:b/>
          <w:bCs/>
          <w:sz w:val="25"/>
          <w:szCs w:val="25"/>
        </w:rPr>
      </w:pPr>
    </w:p>
    <w:p w:rsidR="002D6496" w:rsidRDefault="002D6496" w:rsidP="00BA0B93">
      <w:pPr>
        <w:numPr>
          <w:ilvl w:val="0"/>
          <w:numId w:val="60"/>
        </w:numPr>
        <w:suppressAutoHyphens w:val="0"/>
        <w:autoSpaceDE w:val="0"/>
        <w:autoSpaceDN w:val="0"/>
        <w:spacing w:line="360" w:lineRule="auto"/>
        <w:ind w:left="357" w:hanging="357"/>
        <w:jc w:val="both"/>
        <w:rPr>
          <w:sz w:val="25"/>
          <w:szCs w:val="25"/>
        </w:rPr>
      </w:pPr>
      <w:r>
        <w:rPr>
          <w:sz w:val="25"/>
          <w:szCs w:val="25"/>
        </w:rPr>
        <w:t xml:space="preserve">Яблонський В.А., Боднар О.О., </w:t>
      </w:r>
      <w:r>
        <w:rPr>
          <w:b/>
          <w:bCs/>
          <w:sz w:val="25"/>
          <w:szCs w:val="25"/>
        </w:rPr>
        <w:t>Желавський М.М.,</w:t>
      </w:r>
      <w:r>
        <w:rPr>
          <w:sz w:val="25"/>
          <w:szCs w:val="25"/>
        </w:rPr>
        <w:t xml:space="preserve"> Ратушняк М.П.                        Дослідження імунорегулюючої дії біологічно активних препаратів </w:t>
      </w:r>
      <w:r>
        <w:rPr>
          <w:sz w:val="25"/>
          <w:szCs w:val="25"/>
          <w:lang w:val="en-US"/>
        </w:rPr>
        <w:t>in</w:t>
      </w:r>
      <w:r>
        <w:rPr>
          <w:sz w:val="25"/>
          <w:szCs w:val="25"/>
        </w:rPr>
        <w:t xml:space="preserve">                                    </w:t>
      </w:r>
      <w:r>
        <w:rPr>
          <w:sz w:val="25"/>
          <w:szCs w:val="25"/>
          <w:lang w:val="en-US"/>
        </w:rPr>
        <w:t>vitro</w:t>
      </w:r>
      <w:r>
        <w:rPr>
          <w:sz w:val="25"/>
          <w:szCs w:val="25"/>
        </w:rPr>
        <w:t xml:space="preserve"> // Вісник Білоцеків. держ. аграр.ун-ту: Зб. наук. праць ”Актуальні проблеми ветеринарної медицини”.</w:t>
      </w:r>
      <w:r>
        <w:rPr>
          <w:sz w:val="25"/>
        </w:rPr>
        <w:sym w:font="Symbol" w:char="F02D"/>
      </w:r>
      <w:r>
        <w:rPr>
          <w:sz w:val="25"/>
          <w:szCs w:val="25"/>
        </w:rPr>
        <w:t xml:space="preserve"> Вип.8.</w:t>
      </w:r>
      <w:r>
        <w:rPr>
          <w:sz w:val="25"/>
        </w:rPr>
        <w:sym w:font="Symbol" w:char="F02D"/>
      </w:r>
      <w:r>
        <w:rPr>
          <w:sz w:val="25"/>
          <w:szCs w:val="25"/>
        </w:rPr>
        <w:t>Ч.1.</w:t>
      </w:r>
      <w:r>
        <w:rPr>
          <w:sz w:val="25"/>
        </w:rPr>
        <w:sym w:font="Symbol" w:char="F02D"/>
      </w:r>
      <w:r>
        <w:rPr>
          <w:sz w:val="25"/>
          <w:szCs w:val="25"/>
        </w:rPr>
        <w:t>Біла Церква, 1999.</w:t>
      </w:r>
      <w:r>
        <w:rPr>
          <w:sz w:val="25"/>
        </w:rPr>
        <w:sym w:font="Symbol" w:char="F02D"/>
      </w:r>
      <w:r>
        <w:rPr>
          <w:sz w:val="25"/>
          <w:szCs w:val="25"/>
        </w:rPr>
        <w:t>С. 270-274.</w:t>
      </w:r>
    </w:p>
    <w:p w:rsidR="002D6496" w:rsidRDefault="002D6496" w:rsidP="002D6496">
      <w:pPr>
        <w:pStyle w:val="2ffffc"/>
        <w:rPr>
          <w:i/>
          <w:iCs/>
          <w:sz w:val="25"/>
          <w:szCs w:val="25"/>
        </w:rPr>
      </w:pPr>
      <w:r>
        <w:rPr>
          <w:i/>
          <w:iCs/>
          <w:sz w:val="25"/>
          <w:szCs w:val="25"/>
        </w:rPr>
        <w:t>Здобувач брав участь у формуванні груп, проводив імунологічне дослідження препаратів, проводив біометричну обробку результатів.</w:t>
      </w:r>
    </w:p>
    <w:p w:rsidR="002D6496" w:rsidRDefault="002D6496" w:rsidP="002D6496">
      <w:pPr>
        <w:pStyle w:val="2ffffc"/>
        <w:rPr>
          <w:i/>
          <w:iCs/>
          <w:sz w:val="25"/>
          <w:szCs w:val="25"/>
        </w:rPr>
      </w:pPr>
    </w:p>
    <w:p w:rsidR="002D6496" w:rsidRDefault="002D6496" w:rsidP="00BA0B93">
      <w:pPr>
        <w:numPr>
          <w:ilvl w:val="0"/>
          <w:numId w:val="60"/>
        </w:numPr>
        <w:suppressAutoHyphens w:val="0"/>
        <w:autoSpaceDE w:val="0"/>
        <w:autoSpaceDN w:val="0"/>
        <w:spacing w:line="360" w:lineRule="auto"/>
        <w:ind w:left="357" w:hanging="357"/>
        <w:jc w:val="both"/>
        <w:rPr>
          <w:sz w:val="25"/>
          <w:szCs w:val="25"/>
        </w:rPr>
      </w:pPr>
      <w:r>
        <w:rPr>
          <w:b/>
          <w:bCs/>
          <w:sz w:val="25"/>
          <w:szCs w:val="25"/>
        </w:rPr>
        <w:t>Желавський М.М</w:t>
      </w:r>
      <w:r>
        <w:rPr>
          <w:sz w:val="25"/>
          <w:szCs w:val="25"/>
        </w:rPr>
        <w:t>., Яблонський В.А., Боднар О.О., Ратушняк М.П. Імунологічні аспекти раціонального підбору антибіотиків при терапії гнійно-катаральних ендометритів корів // Вісник Білоцеків. держ. аграр. ун-ту:  Зб. наук. праць.</w:t>
      </w:r>
      <w:r>
        <w:rPr>
          <w:sz w:val="25"/>
        </w:rPr>
        <w:sym w:font="Symbol" w:char="F02D"/>
      </w:r>
      <w:r>
        <w:rPr>
          <w:sz w:val="25"/>
          <w:szCs w:val="25"/>
        </w:rPr>
        <w:t>Вип.9.</w:t>
      </w:r>
      <w:r>
        <w:rPr>
          <w:sz w:val="25"/>
        </w:rPr>
        <w:sym w:font="Symbol" w:char="F02D"/>
      </w:r>
      <w:r>
        <w:rPr>
          <w:sz w:val="25"/>
          <w:szCs w:val="25"/>
        </w:rPr>
        <w:t>Біла Церква, 1999.</w:t>
      </w:r>
      <w:r>
        <w:rPr>
          <w:sz w:val="25"/>
        </w:rPr>
        <w:sym w:font="Symbol" w:char="F02D"/>
      </w:r>
      <w:r>
        <w:rPr>
          <w:sz w:val="25"/>
          <w:szCs w:val="25"/>
        </w:rPr>
        <w:t xml:space="preserve"> С.58-62.</w:t>
      </w:r>
    </w:p>
    <w:p w:rsidR="002D6496" w:rsidRDefault="002D6496" w:rsidP="002D6496">
      <w:pPr>
        <w:pStyle w:val="68"/>
        <w:keepNext w:val="0"/>
        <w:outlineLvl w:val="5"/>
        <w:rPr>
          <w:i/>
          <w:iCs/>
          <w:sz w:val="25"/>
          <w:szCs w:val="25"/>
        </w:rPr>
      </w:pPr>
      <w:r>
        <w:rPr>
          <w:i/>
          <w:iCs/>
          <w:sz w:val="25"/>
          <w:szCs w:val="25"/>
        </w:rPr>
        <w:t>Дисертант брав участь у формуванні груп, готував матеріал для проведення дослідів, проводив імунологічне тестування препаратів,  узагальнення одержаних результатів та підготовку роботи до друку.</w:t>
      </w:r>
    </w:p>
    <w:p w:rsidR="002D6496" w:rsidRDefault="002D6496" w:rsidP="002D6496"/>
    <w:p w:rsidR="002D6496" w:rsidRDefault="002D6496" w:rsidP="00BA0B93">
      <w:pPr>
        <w:numPr>
          <w:ilvl w:val="0"/>
          <w:numId w:val="60"/>
        </w:numPr>
        <w:suppressAutoHyphens w:val="0"/>
        <w:autoSpaceDE w:val="0"/>
        <w:autoSpaceDN w:val="0"/>
        <w:spacing w:line="360" w:lineRule="auto"/>
        <w:ind w:left="357" w:hanging="357"/>
        <w:jc w:val="both"/>
        <w:rPr>
          <w:sz w:val="25"/>
          <w:szCs w:val="25"/>
        </w:rPr>
      </w:pPr>
      <w:r>
        <w:rPr>
          <w:sz w:val="25"/>
          <w:szCs w:val="25"/>
        </w:rPr>
        <w:t xml:space="preserve">Боднар О.О., </w:t>
      </w:r>
      <w:r>
        <w:rPr>
          <w:b/>
          <w:bCs/>
          <w:sz w:val="25"/>
          <w:szCs w:val="25"/>
        </w:rPr>
        <w:t>Желавський М.М</w:t>
      </w:r>
      <w:r>
        <w:rPr>
          <w:sz w:val="25"/>
          <w:szCs w:val="25"/>
        </w:rPr>
        <w:t xml:space="preserve">. Показники функціональної метаболічної активності нейтрофілів при гострих післяпологових ендометритах у корів // Науковий вісник </w:t>
      </w:r>
      <w:r>
        <w:rPr>
          <w:sz w:val="25"/>
          <w:szCs w:val="25"/>
        </w:rPr>
        <w:lastRenderedPageBreak/>
        <w:t xml:space="preserve">Львівської держ. академії ветеринарної медицини  ім. С.З. Ґжицького. </w:t>
      </w:r>
      <w:r>
        <w:rPr>
          <w:sz w:val="25"/>
        </w:rPr>
        <w:sym w:font="Symbol" w:char="F02D"/>
      </w:r>
      <w:r>
        <w:rPr>
          <w:sz w:val="25"/>
          <w:szCs w:val="25"/>
        </w:rPr>
        <w:t xml:space="preserve"> Т.2 (№ 2).</w:t>
      </w:r>
      <w:r>
        <w:rPr>
          <w:sz w:val="25"/>
        </w:rPr>
        <w:sym w:font="Symbol" w:char="F02D"/>
      </w:r>
      <w:r>
        <w:rPr>
          <w:sz w:val="25"/>
          <w:szCs w:val="25"/>
        </w:rPr>
        <w:t>Ч.1. Львів, 2000.</w:t>
      </w:r>
      <w:r>
        <w:rPr>
          <w:sz w:val="25"/>
        </w:rPr>
        <w:sym w:font="Symbol" w:char="F02D"/>
      </w:r>
      <w:r>
        <w:rPr>
          <w:sz w:val="25"/>
          <w:szCs w:val="25"/>
        </w:rPr>
        <w:t>С. 19-21.</w:t>
      </w:r>
    </w:p>
    <w:p w:rsidR="002D6496" w:rsidRDefault="002D6496" w:rsidP="002D6496">
      <w:pPr>
        <w:pStyle w:val="2ffffc"/>
        <w:rPr>
          <w:i/>
          <w:iCs/>
          <w:sz w:val="25"/>
          <w:szCs w:val="25"/>
        </w:rPr>
      </w:pPr>
      <w:r>
        <w:rPr>
          <w:i/>
          <w:iCs/>
          <w:sz w:val="25"/>
          <w:szCs w:val="25"/>
        </w:rPr>
        <w:t>Здобувач формував дослідні групи, проводив дослідження показників крові; узагальнено результати і оформлено статтю.</w:t>
      </w:r>
    </w:p>
    <w:p w:rsidR="002D6496" w:rsidRDefault="002D6496" w:rsidP="002D6496">
      <w:pPr>
        <w:pStyle w:val="2ffffc"/>
        <w:rPr>
          <w:i/>
          <w:iCs/>
          <w:sz w:val="25"/>
          <w:szCs w:val="25"/>
        </w:rPr>
      </w:pPr>
    </w:p>
    <w:p w:rsidR="002D6496" w:rsidRDefault="002D6496" w:rsidP="00BA0B93">
      <w:pPr>
        <w:numPr>
          <w:ilvl w:val="0"/>
          <w:numId w:val="60"/>
        </w:numPr>
        <w:suppressAutoHyphens w:val="0"/>
        <w:autoSpaceDE w:val="0"/>
        <w:autoSpaceDN w:val="0"/>
        <w:spacing w:line="360" w:lineRule="auto"/>
        <w:ind w:left="357" w:hanging="357"/>
        <w:jc w:val="both"/>
        <w:rPr>
          <w:sz w:val="25"/>
          <w:szCs w:val="25"/>
        </w:rPr>
      </w:pPr>
      <w:r>
        <w:rPr>
          <w:b/>
          <w:bCs/>
          <w:sz w:val="25"/>
          <w:szCs w:val="25"/>
        </w:rPr>
        <w:t>Желавський М.М.</w:t>
      </w:r>
      <w:r>
        <w:rPr>
          <w:sz w:val="25"/>
          <w:szCs w:val="25"/>
        </w:rPr>
        <w:t xml:space="preserve"> Деякі питання раціональної антибіотикотерапії післяпологових ускладнень у корів // Науковий вісник Національного аграрного університету “Проблеми фізіології і патології відтворення тварин”.</w:t>
      </w:r>
      <w:r>
        <w:rPr>
          <w:sz w:val="25"/>
        </w:rPr>
        <w:sym w:font="Symbol" w:char="F02D"/>
      </w:r>
      <w:r>
        <w:rPr>
          <w:sz w:val="25"/>
          <w:szCs w:val="25"/>
        </w:rPr>
        <w:t xml:space="preserve"> Київ, 2000.</w:t>
      </w:r>
      <w:r>
        <w:rPr>
          <w:sz w:val="25"/>
        </w:rPr>
        <w:sym w:font="Symbol" w:char="F02D"/>
      </w:r>
      <w:r>
        <w:rPr>
          <w:sz w:val="25"/>
          <w:szCs w:val="25"/>
        </w:rPr>
        <w:t xml:space="preserve"> Вип. 22.</w:t>
      </w:r>
      <w:r>
        <w:rPr>
          <w:sz w:val="25"/>
        </w:rPr>
        <w:sym w:font="Symbol" w:char="F02D"/>
      </w:r>
      <w:r>
        <w:rPr>
          <w:sz w:val="25"/>
          <w:szCs w:val="25"/>
        </w:rPr>
        <w:t>С. 56-58.</w:t>
      </w:r>
    </w:p>
    <w:p w:rsidR="002D6496" w:rsidRDefault="002D6496" w:rsidP="002D6496">
      <w:pPr>
        <w:spacing w:line="360" w:lineRule="auto"/>
        <w:jc w:val="both"/>
        <w:rPr>
          <w:sz w:val="25"/>
          <w:szCs w:val="25"/>
        </w:rPr>
      </w:pPr>
    </w:p>
    <w:p w:rsidR="002D6496" w:rsidRDefault="002D6496" w:rsidP="00BA0B93">
      <w:pPr>
        <w:pStyle w:val="68"/>
        <w:keepNext w:val="0"/>
        <w:numPr>
          <w:ilvl w:val="0"/>
          <w:numId w:val="60"/>
        </w:numPr>
        <w:tabs>
          <w:tab w:val="clear" w:pos="360"/>
          <w:tab w:val="num" w:pos="426"/>
        </w:tabs>
        <w:suppressAutoHyphens w:val="0"/>
        <w:autoSpaceDN w:val="0"/>
        <w:spacing w:line="360" w:lineRule="auto"/>
        <w:ind w:left="426" w:hanging="426"/>
        <w:jc w:val="both"/>
        <w:outlineLvl w:val="5"/>
        <w:rPr>
          <w:sz w:val="25"/>
          <w:szCs w:val="25"/>
        </w:rPr>
      </w:pPr>
      <w:r>
        <w:rPr>
          <w:sz w:val="25"/>
          <w:szCs w:val="25"/>
        </w:rPr>
        <w:t xml:space="preserve">Яблонський В.А., Боднар О.О., </w:t>
      </w:r>
      <w:r>
        <w:rPr>
          <w:b/>
          <w:bCs/>
          <w:sz w:val="25"/>
          <w:szCs w:val="25"/>
        </w:rPr>
        <w:t>Желавський М.М.</w:t>
      </w:r>
      <w:r>
        <w:rPr>
          <w:sz w:val="25"/>
          <w:szCs w:val="25"/>
        </w:rPr>
        <w:t xml:space="preserve"> Імунологічний статус корів при гострому післяродовому ендометриті // Вісник Білоцеків. держ. аграр. ун-ту: Зб. наук. праць.</w:t>
      </w:r>
      <w:r>
        <w:rPr>
          <w:sz w:val="25"/>
          <w:szCs w:val="24"/>
        </w:rPr>
        <w:sym w:font="Symbol" w:char="F02D"/>
      </w:r>
      <w:r>
        <w:rPr>
          <w:sz w:val="25"/>
          <w:szCs w:val="25"/>
        </w:rPr>
        <w:t>Вип.13.</w:t>
      </w:r>
      <w:r>
        <w:rPr>
          <w:sz w:val="25"/>
          <w:szCs w:val="24"/>
        </w:rPr>
        <w:sym w:font="Symbol" w:char="F02D"/>
      </w:r>
      <w:r>
        <w:rPr>
          <w:sz w:val="25"/>
          <w:szCs w:val="25"/>
        </w:rPr>
        <w:t>Ч.1.</w:t>
      </w:r>
      <w:r>
        <w:rPr>
          <w:sz w:val="25"/>
          <w:szCs w:val="24"/>
        </w:rPr>
        <w:sym w:font="Symbol" w:char="F02D"/>
      </w:r>
      <w:r>
        <w:rPr>
          <w:sz w:val="25"/>
          <w:szCs w:val="25"/>
        </w:rPr>
        <w:t>Біла Церква, 2000.</w:t>
      </w:r>
      <w:r>
        <w:rPr>
          <w:sz w:val="25"/>
          <w:szCs w:val="24"/>
        </w:rPr>
        <w:sym w:font="Symbol" w:char="F02D"/>
      </w:r>
      <w:r>
        <w:rPr>
          <w:sz w:val="25"/>
          <w:szCs w:val="25"/>
        </w:rPr>
        <w:t xml:space="preserve">С. 129-132. </w:t>
      </w:r>
    </w:p>
    <w:p w:rsidR="002D6496" w:rsidRDefault="002D6496" w:rsidP="002D6496">
      <w:pPr>
        <w:pStyle w:val="2ffffc"/>
        <w:rPr>
          <w:i/>
          <w:iCs/>
          <w:sz w:val="25"/>
          <w:szCs w:val="25"/>
        </w:rPr>
      </w:pPr>
      <w:r>
        <w:rPr>
          <w:i/>
          <w:iCs/>
          <w:sz w:val="25"/>
          <w:szCs w:val="25"/>
        </w:rPr>
        <w:t>Дисертант брав участь у формуванні груп, проводив імунологічні дослідження, проводив біометричну обробку результатів; за результатами досліджень була підготовлена стаття до друку.</w:t>
      </w:r>
    </w:p>
    <w:p w:rsidR="002D6496" w:rsidRDefault="002D6496" w:rsidP="002D6496">
      <w:pPr>
        <w:pStyle w:val="2ffffc"/>
        <w:rPr>
          <w:i/>
          <w:iCs/>
          <w:sz w:val="25"/>
          <w:szCs w:val="25"/>
        </w:rPr>
      </w:pPr>
    </w:p>
    <w:p w:rsidR="002D6496" w:rsidRDefault="002D6496" w:rsidP="00BA0B93">
      <w:pPr>
        <w:numPr>
          <w:ilvl w:val="0"/>
          <w:numId w:val="60"/>
        </w:numPr>
        <w:suppressAutoHyphens w:val="0"/>
        <w:autoSpaceDE w:val="0"/>
        <w:autoSpaceDN w:val="0"/>
        <w:spacing w:line="360" w:lineRule="auto"/>
        <w:jc w:val="both"/>
        <w:rPr>
          <w:sz w:val="25"/>
          <w:szCs w:val="25"/>
        </w:rPr>
      </w:pPr>
      <w:r>
        <w:rPr>
          <w:sz w:val="25"/>
          <w:szCs w:val="25"/>
        </w:rPr>
        <w:t xml:space="preserve"> Яблонський В.А., Боднар О.О., </w:t>
      </w:r>
      <w:r>
        <w:rPr>
          <w:b/>
          <w:bCs/>
          <w:sz w:val="25"/>
          <w:szCs w:val="25"/>
        </w:rPr>
        <w:t xml:space="preserve">Желавський М.М. </w:t>
      </w:r>
      <w:r>
        <w:rPr>
          <w:sz w:val="25"/>
          <w:szCs w:val="25"/>
        </w:rPr>
        <w:t>Динаміка  імунобіологічної реактивності організму корів при післяродовому ендометриті</w:t>
      </w:r>
      <w:r>
        <w:rPr>
          <w:sz w:val="25"/>
          <w:szCs w:val="25"/>
          <w:lang w:val="el-GR"/>
        </w:rPr>
        <w:t xml:space="preserve"> // </w:t>
      </w:r>
      <w:r>
        <w:rPr>
          <w:sz w:val="25"/>
          <w:szCs w:val="25"/>
        </w:rPr>
        <w:t xml:space="preserve"> Науковий вісник Національного аграрного університету.</w:t>
      </w:r>
      <w:r>
        <w:rPr>
          <w:sz w:val="25"/>
        </w:rPr>
        <w:sym w:font="Symbol" w:char="F02D"/>
      </w:r>
      <w:r>
        <w:rPr>
          <w:sz w:val="25"/>
          <w:szCs w:val="25"/>
        </w:rPr>
        <w:t xml:space="preserve"> Київ, 2001.</w:t>
      </w:r>
      <w:r>
        <w:rPr>
          <w:sz w:val="25"/>
        </w:rPr>
        <w:sym w:font="Symbol" w:char="F02D"/>
      </w:r>
      <w:r>
        <w:rPr>
          <w:sz w:val="25"/>
          <w:szCs w:val="25"/>
        </w:rPr>
        <w:t xml:space="preserve"> Вип. 42.</w:t>
      </w:r>
      <w:r>
        <w:rPr>
          <w:sz w:val="25"/>
        </w:rPr>
        <w:sym w:font="Symbol" w:char="F02D"/>
      </w:r>
      <w:r>
        <w:rPr>
          <w:sz w:val="25"/>
          <w:szCs w:val="25"/>
        </w:rPr>
        <w:t>С. 41-43.</w:t>
      </w:r>
    </w:p>
    <w:p w:rsidR="002D6496" w:rsidRDefault="002D6496" w:rsidP="002D6496">
      <w:pPr>
        <w:spacing w:line="360" w:lineRule="auto"/>
        <w:jc w:val="both"/>
        <w:rPr>
          <w:sz w:val="25"/>
          <w:szCs w:val="25"/>
        </w:rPr>
      </w:pPr>
      <w:r>
        <w:rPr>
          <w:i/>
          <w:iCs/>
          <w:sz w:val="25"/>
          <w:szCs w:val="25"/>
        </w:rPr>
        <w:t>Дисертант брав участь у формуванні груп, проводив імунологічні дослідження, проводив біометричну обробку результатів; приймав участь у підготовці статті до друку.</w:t>
      </w:r>
    </w:p>
    <w:p w:rsidR="002D6496" w:rsidRDefault="002D6496" w:rsidP="002D6496">
      <w:pPr>
        <w:spacing w:line="360" w:lineRule="auto"/>
        <w:jc w:val="both"/>
        <w:rPr>
          <w:sz w:val="25"/>
          <w:szCs w:val="25"/>
        </w:rPr>
      </w:pPr>
    </w:p>
    <w:p w:rsidR="002D6496" w:rsidRDefault="002D6496" w:rsidP="002D6496">
      <w:pPr>
        <w:pStyle w:val="37"/>
        <w:rPr>
          <w:sz w:val="25"/>
          <w:szCs w:val="25"/>
        </w:rPr>
      </w:pPr>
      <w:r>
        <w:rPr>
          <w:sz w:val="25"/>
          <w:szCs w:val="25"/>
        </w:rPr>
        <w:t>Желавський М.М. Імунобіологічні аспекти післяродового гнійно-катарального ендометриту у корів. – Рукопис.</w:t>
      </w:r>
    </w:p>
    <w:p w:rsidR="002D6496" w:rsidRDefault="002D6496" w:rsidP="002D6496">
      <w:pPr>
        <w:pStyle w:val="37"/>
        <w:rPr>
          <w:sz w:val="25"/>
          <w:szCs w:val="25"/>
        </w:rPr>
      </w:pPr>
    </w:p>
    <w:p w:rsidR="002D6496" w:rsidRDefault="002D6496" w:rsidP="002D6496">
      <w:pPr>
        <w:pStyle w:val="2ffffc"/>
        <w:rPr>
          <w:sz w:val="25"/>
          <w:szCs w:val="25"/>
        </w:rPr>
      </w:pPr>
      <w:r>
        <w:rPr>
          <w:sz w:val="25"/>
          <w:szCs w:val="25"/>
        </w:rPr>
        <w:t xml:space="preserve">Дисертація на здобуття наукового ступеня кандидата ветеринарних наук за спеціальністю 16.00.07 – ветеринарне акушерство. </w:t>
      </w:r>
      <w:r>
        <w:rPr>
          <w:sz w:val="25"/>
        </w:rPr>
        <w:sym w:font="Symbol" w:char="F02D"/>
      </w:r>
      <w:r>
        <w:rPr>
          <w:sz w:val="25"/>
          <w:szCs w:val="25"/>
        </w:rPr>
        <w:t xml:space="preserve"> </w:t>
      </w:r>
      <w:r>
        <w:rPr>
          <w:i/>
          <w:iCs/>
          <w:sz w:val="25"/>
          <w:szCs w:val="25"/>
        </w:rPr>
        <w:t xml:space="preserve"> </w:t>
      </w:r>
      <w:r>
        <w:rPr>
          <w:sz w:val="25"/>
          <w:szCs w:val="25"/>
        </w:rPr>
        <w:t>Львівська державна академія ветеринарної медицини  ім. С.З. Ґжицького, Львів, 2002.</w:t>
      </w:r>
    </w:p>
    <w:p w:rsidR="002D6496" w:rsidRDefault="002D6496" w:rsidP="002D6496">
      <w:pPr>
        <w:pStyle w:val="2ffffc"/>
        <w:ind w:firstLine="567"/>
        <w:rPr>
          <w:sz w:val="25"/>
          <w:szCs w:val="25"/>
        </w:rPr>
      </w:pPr>
      <w:r>
        <w:rPr>
          <w:sz w:val="25"/>
          <w:szCs w:val="25"/>
        </w:rPr>
        <w:lastRenderedPageBreak/>
        <w:t>Дисертація присвячена вивченню імунобіологічних аспектів діагностики та лікування післяродового гнійно-катарального ендометриту у корів.</w:t>
      </w:r>
    </w:p>
    <w:p w:rsidR="002D6496" w:rsidRDefault="002D6496" w:rsidP="002D6496">
      <w:pPr>
        <w:pStyle w:val="2ffffc"/>
        <w:ind w:firstLine="567"/>
        <w:rPr>
          <w:sz w:val="25"/>
          <w:szCs w:val="25"/>
        </w:rPr>
      </w:pPr>
      <w:r>
        <w:rPr>
          <w:sz w:val="25"/>
          <w:szCs w:val="25"/>
        </w:rPr>
        <w:t xml:space="preserve">У роботі досліджено імунобіологічний статус корів при фізіологічному перебізі післяродового періоду та в динаміці лікування ендометриту. </w:t>
      </w:r>
    </w:p>
    <w:p w:rsidR="002D6496" w:rsidRDefault="002D6496" w:rsidP="002D6496">
      <w:pPr>
        <w:pStyle w:val="2ffffc"/>
        <w:ind w:firstLine="567"/>
        <w:rPr>
          <w:sz w:val="25"/>
          <w:szCs w:val="25"/>
        </w:rPr>
      </w:pPr>
      <w:r>
        <w:rPr>
          <w:sz w:val="25"/>
          <w:szCs w:val="25"/>
        </w:rPr>
        <w:t xml:space="preserve">Післяродовий гнійно-катаральний ендометрит корів супроводжується зменшенням вмісту Т- та  В-лімфоцитів,  зростанням лізоцимної активності  сироватки крові, пригніченням бактерицидної активності та фагоцитозу. </w:t>
      </w:r>
    </w:p>
    <w:p w:rsidR="002D6496" w:rsidRDefault="002D6496" w:rsidP="002D6496">
      <w:pPr>
        <w:pStyle w:val="2ffffc"/>
        <w:ind w:firstLine="567"/>
        <w:rPr>
          <w:sz w:val="25"/>
          <w:szCs w:val="25"/>
        </w:rPr>
      </w:pPr>
      <w:r>
        <w:rPr>
          <w:sz w:val="25"/>
          <w:szCs w:val="25"/>
        </w:rPr>
        <w:t>За результатами досліджень зроблена порівняльна оцінка різних методів лікування. Вперше здійснено імунобіологічний підбір біологічно активних та антибактерійних препаратів, на основі чого зроблено прогностичне обґрунтування їх клінічного застосування.</w:t>
      </w:r>
    </w:p>
    <w:p w:rsidR="002D6496" w:rsidRDefault="002D6496" w:rsidP="002D6496">
      <w:pPr>
        <w:pStyle w:val="2ffffc"/>
        <w:ind w:firstLine="567"/>
        <w:rPr>
          <w:sz w:val="25"/>
          <w:szCs w:val="25"/>
        </w:rPr>
      </w:pPr>
      <w:r>
        <w:rPr>
          <w:sz w:val="25"/>
          <w:szCs w:val="25"/>
        </w:rPr>
        <w:t>На основі отриманих експериментальних даних встановлено, що при  післяродовому гнійно-катаральному ендометриті найвищу терапевтичну ефективність досягають при застосуванні комплексної схеми лікування, яка включала внутрішньоаортальні інфузії (1% р-ну новокаїну; 25 ОД окситоцину; 5%  р-ну енрофлоксу) в поєднанні із біостимулятором АСД-ф-2.</w:t>
      </w:r>
    </w:p>
    <w:p w:rsidR="002D6496" w:rsidRDefault="002D6496" w:rsidP="002D6496">
      <w:pPr>
        <w:pStyle w:val="2ffffc"/>
        <w:ind w:firstLine="567"/>
        <w:rPr>
          <w:sz w:val="25"/>
          <w:szCs w:val="25"/>
        </w:rPr>
      </w:pPr>
    </w:p>
    <w:p w:rsidR="002D6496" w:rsidRDefault="002D6496" w:rsidP="002D6496">
      <w:pPr>
        <w:pStyle w:val="2ffffc"/>
        <w:ind w:firstLine="567"/>
        <w:rPr>
          <w:sz w:val="25"/>
          <w:szCs w:val="25"/>
        </w:rPr>
      </w:pPr>
      <w:r>
        <w:rPr>
          <w:b/>
          <w:bCs/>
          <w:sz w:val="25"/>
          <w:szCs w:val="25"/>
        </w:rPr>
        <w:t xml:space="preserve">Ключові слова: </w:t>
      </w:r>
      <w:r>
        <w:rPr>
          <w:sz w:val="25"/>
          <w:szCs w:val="25"/>
        </w:rPr>
        <w:t>неплідність, післяродовий гнійно-катаральний ендометрит корів,  діагностика ендометриту, імунобіологічні показники, лікування, внутрішньоаортальні інфузії, біологічно активні речовини, антибіотики, досліди in vitro, антибіотикорезистентність мікрофлори.</w:t>
      </w:r>
    </w:p>
    <w:p w:rsidR="002D6496" w:rsidRDefault="002D6496" w:rsidP="002D6496">
      <w:pPr>
        <w:pStyle w:val="2ffffc"/>
        <w:ind w:firstLine="567"/>
        <w:rPr>
          <w:sz w:val="25"/>
          <w:szCs w:val="25"/>
        </w:rPr>
      </w:pPr>
    </w:p>
    <w:p w:rsidR="002D6496" w:rsidRDefault="002D6496" w:rsidP="002D6496">
      <w:pPr>
        <w:pStyle w:val="2ffffc"/>
        <w:ind w:firstLine="567"/>
        <w:rPr>
          <w:b/>
          <w:bCs/>
          <w:sz w:val="25"/>
          <w:szCs w:val="25"/>
        </w:rPr>
      </w:pPr>
      <w:r>
        <w:rPr>
          <w:b/>
          <w:bCs/>
          <w:sz w:val="25"/>
          <w:szCs w:val="25"/>
        </w:rPr>
        <w:lastRenderedPageBreak/>
        <w:t xml:space="preserve">Желавский Н.Н. Иммунобиологические аспекты послеродового гнойно-катарального эндометрита у коров. </w:t>
      </w:r>
      <w:r>
        <w:rPr>
          <w:b/>
          <w:bCs/>
          <w:sz w:val="25"/>
        </w:rPr>
        <w:sym w:font="Symbol" w:char="F02D"/>
      </w:r>
      <w:r>
        <w:rPr>
          <w:b/>
          <w:bCs/>
          <w:sz w:val="25"/>
          <w:szCs w:val="25"/>
        </w:rPr>
        <w:t xml:space="preserve"> Рукопись.</w:t>
      </w:r>
    </w:p>
    <w:p w:rsidR="002D6496" w:rsidRDefault="002D6496" w:rsidP="002D6496">
      <w:pPr>
        <w:pStyle w:val="2ffffc"/>
        <w:rPr>
          <w:sz w:val="25"/>
          <w:szCs w:val="25"/>
        </w:rPr>
      </w:pPr>
      <w:r>
        <w:rPr>
          <w:sz w:val="25"/>
          <w:szCs w:val="25"/>
        </w:rPr>
        <w:t>Диссертация на соискание ученой степени кандидата ветеринарных наук по специальности 16.00.07.</w:t>
      </w:r>
      <w:r>
        <w:rPr>
          <w:sz w:val="25"/>
        </w:rPr>
        <w:sym w:font="Symbol" w:char="F02D"/>
      </w:r>
      <w:r>
        <w:rPr>
          <w:sz w:val="25"/>
          <w:szCs w:val="25"/>
        </w:rPr>
        <w:t xml:space="preserve"> ветеринарное акушерство.</w:t>
      </w:r>
      <w:r>
        <w:rPr>
          <w:sz w:val="25"/>
        </w:rPr>
        <w:sym w:font="Symbol" w:char="F02D"/>
      </w:r>
      <w:r>
        <w:rPr>
          <w:sz w:val="25"/>
          <w:szCs w:val="25"/>
        </w:rPr>
        <w:t>Львовская государственная академия ветеринарной медицины       им. С.З. Гжицкого, Львов, 2002.</w:t>
      </w:r>
    </w:p>
    <w:p w:rsidR="002D6496" w:rsidRDefault="002D6496" w:rsidP="002D6496">
      <w:pPr>
        <w:pStyle w:val="2ffffc"/>
        <w:ind w:firstLine="567"/>
        <w:rPr>
          <w:sz w:val="25"/>
          <w:szCs w:val="25"/>
        </w:rPr>
      </w:pPr>
      <w:r>
        <w:rPr>
          <w:sz w:val="25"/>
          <w:szCs w:val="25"/>
        </w:rPr>
        <w:t>Диссертация посвящена изучению иммунобиологических аспектов диагностики и лечения послеродового гнойно-катарального эндометрита у коров.</w:t>
      </w:r>
    </w:p>
    <w:p w:rsidR="002D6496" w:rsidRDefault="002D6496" w:rsidP="002D6496">
      <w:pPr>
        <w:pStyle w:val="2ffffc"/>
        <w:ind w:firstLine="567"/>
        <w:rPr>
          <w:sz w:val="25"/>
          <w:szCs w:val="25"/>
        </w:rPr>
      </w:pPr>
    </w:p>
    <w:p w:rsidR="002D6496" w:rsidRDefault="002D6496" w:rsidP="002D6496">
      <w:pPr>
        <w:pStyle w:val="2ffffc"/>
        <w:ind w:firstLine="567"/>
        <w:rPr>
          <w:sz w:val="25"/>
          <w:szCs w:val="25"/>
        </w:rPr>
      </w:pPr>
    </w:p>
    <w:p w:rsidR="002D6496" w:rsidRDefault="002D6496" w:rsidP="002D6496">
      <w:pPr>
        <w:pStyle w:val="2ffffc"/>
        <w:ind w:firstLine="567"/>
        <w:rPr>
          <w:sz w:val="25"/>
          <w:szCs w:val="25"/>
        </w:rPr>
      </w:pPr>
    </w:p>
    <w:p w:rsidR="002D6496" w:rsidRDefault="002D6496" w:rsidP="002D6496">
      <w:pPr>
        <w:pStyle w:val="2ffffc"/>
        <w:ind w:firstLine="567"/>
        <w:rPr>
          <w:sz w:val="25"/>
          <w:szCs w:val="25"/>
        </w:rPr>
      </w:pPr>
      <w:r>
        <w:rPr>
          <w:sz w:val="25"/>
          <w:szCs w:val="25"/>
        </w:rPr>
        <w:t xml:space="preserve">Учитывая широкое распространение среди заболеваний коров послеродового эндометрита и недостаточную изученность иммунопатологии этого заболевания, в работе на 175 животных было исследовано их иммунобиологический статус на протяжении физиологического послеродового периода  и в динамике лечения эндометрита. </w:t>
      </w:r>
    </w:p>
    <w:p w:rsidR="002D6496" w:rsidRDefault="002D6496" w:rsidP="002D6496">
      <w:pPr>
        <w:pStyle w:val="2ffffc"/>
        <w:ind w:firstLine="567"/>
        <w:rPr>
          <w:sz w:val="25"/>
          <w:szCs w:val="25"/>
        </w:rPr>
      </w:pPr>
      <w:r>
        <w:rPr>
          <w:sz w:val="25"/>
          <w:szCs w:val="25"/>
        </w:rPr>
        <w:t>Впервые комплексно изучен иммунобиологический статус коров при послеродовом гнойно-катаральном эндометрите, с определением количественного и качественного состава лимфоцитов,  динамики циркулирующих иммунных комплексов, ряда относительных показателей иммунитета. При определении состояния неспецифической реактивности изучены с использованием современных высокочувствительных методов исследований  метаболический бактерицидный потенциал нейтрофилов, фагоцитарная активность, лизоцимная  и бактерицидная активность сыворотки крови.</w:t>
      </w:r>
    </w:p>
    <w:p w:rsidR="002D6496" w:rsidRDefault="002D6496" w:rsidP="002D6496">
      <w:pPr>
        <w:pStyle w:val="2ffffc"/>
        <w:ind w:firstLine="567"/>
        <w:rPr>
          <w:sz w:val="25"/>
          <w:szCs w:val="25"/>
        </w:rPr>
      </w:pPr>
      <w:r>
        <w:rPr>
          <w:sz w:val="25"/>
          <w:szCs w:val="25"/>
        </w:rPr>
        <w:t xml:space="preserve">Послеродовой гнойно-катаральний эндометрит коров проявляется уменьшением содержания Т- и   В-лимфоцитов в периферической крови, которое проходит на фоне </w:t>
      </w:r>
      <w:r>
        <w:rPr>
          <w:sz w:val="25"/>
          <w:szCs w:val="25"/>
        </w:rPr>
        <w:lastRenderedPageBreak/>
        <w:t>возрастания количества  “0”-лимфоцитов  с выраженным дисбалансом соотношения мононуклеаров, что свидетельствует  о  иммунодефицитном характере этого заболевания. Эти изменения сохраняются вплоть до выздоровления животных.</w:t>
      </w:r>
    </w:p>
    <w:p w:rsidR="002D6496" w:rsidRDefault="002D6496" w:rsidP="002D6496">
      <w:pPr>
        <w:pStyle w:val="2ffffc"/>
        <w:ind w:firstLine="567"/>
        <w:rPr>
          <w:sz w:val="25"/>
          <w:szCs w:val="25"/>
        </w:rPr>
      </w:pPr>
      <w:r>
        <w:rPr>
          <w:sz w:val="25"/>
          <w:szCs w:val="25"/>
        </w:rPr>
        <w:t>Данная патология сопровождается также резкими изменениями неспецифической реактивности организма. Отмечено возрастание лизоцимной  активности  сыворотки крови при одновременном угнетении бактерицидной активности и фагоцитарной реакции. Воспалительная реакция при этом также характеризировались возрастанием активности формазанположительных нейтрофильних гранулоцитов. Определено, что  в  крови больных острым эндометритом коров количество НСТ-положительных нейтрофилов  колебалось от 18 до 20% при относительно высоком цитологическом индексе и индексе активации, что указывает на мобилизацию защитных сил организма. В процессе выздоровления происходила нормализация основных иммунологических показателей.  Все выше сказание изменения иммунологической реактивности животных были высокодостоверными.</w:t>
      </w:r>
    </w:p>
    <w:p w:rsidR="002D6496" w:rsidRDefault="002D6496" w:rsidP="002D6496">
      <w:pPr>
        <w:pStyle w:val="2ffffc"/>
        <w:ind w:firstLine="567"/>
        <w:rPr>
          <w:sz w:val="25"/>
          <w:szCs w:val="25"/>
        </w:rPr>
      </w:pPr>
      <w:r>
        <w:rPr>
          <w:sz w:val="25"/>
          <w:szCs w:val="25"/>
        </w:rPr>
        <w:t xml:space="preserve">Оценивая функциональное состояние иммунного гомеостаза, определено, что                                 в сыворотке крови больных рожениц возрастает содержание  циркулирующих иммунных комплексов с большой и средней относительной молекулярной массой. В процессе проведенного лечения  происходила нормализация их количественного и  фракционного соотношения. Определение фракционного состава циркулирующих иммунных комплексов,      их      изменение    в     динамике     развития     заболевания    и    лечения        послеродового </w:t>
      </w:r>
    </w:p>
    <w:p w:rsidR="002D6496" w:rsidRDefault="002D6496" w:rsidP="002D6496">
      <w:pPr>
        <w:pStyle w:val="2ffffc"/>
        <w:ind w:firstLine="567"/>
        <w:rPr>
          <w:sz w:val="25"/>
          <w:szCs w:val="25"/>
        </w:rPr>
      </w:pPr>
    </w:p>
    <w:p w:rsidR="002D6496" w:rsidRDefault="002D6496" w:rsidP="002D6496">
      <w:pPr>
        <w:pStyle w:val="2ffffc"/>
        <w:ind w:firstLine="567"/>
        <w:rPr>
          <w:sz w:val="25"/>
          <w:szCs w:val="25"/>
        </w:rPr>
      </w:pPr>
    </w:p>
    <w:p w:rsidR="002D6496" w:rsidRDefault="002D6496" w:rsidP="002D6496">
      <w:pPr>
        <w:pStyle w:val="2ffffc"/>
        <w:ind w:firstLine="567"/>
        <w:rPr>
          <w:sz w:val="25"/>
          <w:szCs w:val="25"/>
        </w:rPr>
      </w:pPr>
    </w:p>
    <w:p w:rsidR="002D6496" w:rsidRDefault="002D6496" w:rsidP="002D6496">
      <w:pPr>
        <w:pStyle w:val="2ffffc"/>
        <w:rPr>
          <w:sz w:val="25"/>
          <w:szCs w:val="25"/>
        </w:rPr>
      </w:pPr>
      <w:r>
        <w:rPr>
          <w:sz w:val="25"/>
          <w:szCs w:val="25"/>
        </w:rPr>
        <w:lastRenderedPageBreak/>
        <w:t>гнойно-катарального эндометрита проведено впервые в ветеринарной практике.</w:t>
      </w:r>
    </w:p>
    <w:p w:rsidR="002D6496" w:rsidRDefault="002D6496" w:rsidP="002D6496">
      <w:pPr>
        <w:pStyle w:val="2ffffc"/>
        <w:ind w:firstLine="567"/>
        <w:rPr>
          <w:sz w:val="25"/>
          <w:szCs w:val="25"/>
        </w:rPr>
      </w:pPr>
      <w:r>
        <w:rPr>
          <w:sz w:val="25"/>
          <w:szCs w:val="25"/>
        </w:rPr>
        <w:t>Впервые  также в диссертационной работе  проведен иммунобиологический подбор биологически активных и антибактериальных препаратов, что явилось прогностическим обоснованием применения их в схемах лечения послеродового гнойно-катарального эндометрита коров. Указанная методика имеет большое прогностическое значение, применение ее согласуется с современными требованиями биоэтики, европейских законов и нормативных актов о защите животных.</w:t>
      </w:r>
    </w:p>
    <w:p w:rsidR="002D6496" w:rsidRDefault="002D6496" w:rsidP="002D6496">
      <w:pPr>
        <w:pStyle w:val="2ffffc"/>
        <w:ind w:firstLine="567"/>
        <w:rPr>
          <w:sz w:val="25"/>
          <w:szCs w:val="25"/>
        </w:rPr>
      </w:pPr>
      <w:r>
        <w:rPr>
          <w:sz w:val="25"/>
          <w:szCs w:val="25"/>
        </w:rPr>
        <w:t xml:space="preserve">При иммунобиологическом тестировании биологически активных препаратов in vitro наиболее стимулирующие действие на процесс розеткообразования Т- и В-лимфоцитов и на метаболическую активность нейтрофилов проявил препарат АСД-ф-2. Селективное  действие  на  Т-лимфоциты  в    реакции     Е-РОК проявил тканевой препарат с тимуса, а    на В-мононуклеары  (ЕАС-РОК) – тканевой препарат из селезенки. Прогнозированное иммунностимулируюшие действие препарата АСД-ф-2 подтверждено в последующих клинических исследованиях in vivo. </w:t>
      </w:r>
    </w:p>
    <w:p w:rsidR="002D6496" w:rsidRDefault="002D6496" w:rsidP="002D6496">
      <w:pPr>
        <w:pStyle w:val="2ffffc"/>
        <w:ind w:firstLine="567"/>
        <w:rPr>
          <w:sz w:val="25"/>
          <w:szCs w:val="25"/>
        </w:rPr>
      </w:pPr>
      <w:r>
        <w:rPr>
          <w:sz w:val="25"/>
          <w:szCs w:val="25"/>
        </w:rPr>
        <w:t xml:space="preserve"> Было определено антибиотикчоуствительность условно-патогенной микрофлоры, выделенной из гениталий больных эндометритом коров. Наибольшую чувствительность микробные штаммы (Escherichia coli, Proteus vulgaris и Proteus mirabilis) проявили к энрофлоксциллину, стрептомицину сульфату, гентамицину и амоксоциллину. На основании этих исследований біла разработана антибиотикограмма, которая использовалась при проведении рациональной антибиотикотерапии.</w:t>
      </w:r>
    </w:p>
    <w:p w:rsidR="002D6496" w:rsidRDefault="002D6496" w:rsidP="002D6496">
      <w:pPr>
        <w:pStyle w:val="2ffffc"/>
        <w:ind w:firstLine="567"/>
        <w:rPr>
          <w:sz w:val="25"/>
          <w:szCs w:val="25"/>
        </w:rPr>
      </w:pPr>
      <w:r>
        <w:rPr>
          <w:sz w:val="25"/>
          <w:szCs w:val="25"/>
        </w:rPr>
        <w:t>По результатам исследований сделана сравнительная оценка различных методов лечения послеродового гнойно-катарального эндометрита коров с применением иммуностимулирующих препаратов и антибиотиков.</w:t>
      </w:r>
    </w:p>
    <w:p w:rsidR="002D6496" w:rsidRDefault="002D6496" w:rsidP="002D6496">
      <w:pPr>
        <w:pStyle w:val="2ffffc"/>
        <w:ind w:firstLine="567"/>
        <w:rPr>
          <w:sz w:val="25"/>
          <w:szCs w:val="25"/>
        </w:rPr>
      </w:pPr>
      <w:r>
        <w:rPr>
          <w:sz w:val="25"/>
          <w:szCs w:val="25"/>
        </w:rPr>
        <w:lastRenderedPageBreak/>
        <w:t xml:space="preserve"> На основании полученных экспериментальных данных установлено, что при лечении послеродового гнойно-катарального эндометрита наивысшую терапевтическую эффективность получено при применении комплексной схемы терапии, включающей внутриаортальные инфузии препаратов (1% раствора новокаина;  окситоцина; 5%  энрофлокса)  в сочетании с биостимулятором АСД-ф-2.</w:t>
      </w:r>
    </w:p>
    <w:p w:rsidR="002D6496" w:rsidRDefault="002D6496" w:rsidP="002D6496">
      <w:pPr>
        <w:pStyle w:val="2ffffc"/>
        <w:ind w:firstLine="567"/>
        <w:rPr>
          <w:sz w:val="25"/>
          <w:szCs w:val="25"/>
        </w:rPr>
      </w:pPr>
    </w:p>
    <w:p w:rsidR="002D6496" w:rsidRDefault="002D6496" w:rsidP="002D6496">
      <w:pPr>
        <w:pStyle w:val="2ffffc"/>
        <w:ind w:firstLine="567"/>
        <w:rPr>
          <w:sz w:val="25"/>
          <w:szCs w:val="25"/>
        </w:rPr>
      </w:pPr>
      <w:r>
        <w:rPr>
          <w:b/>
          <w:bCs/>
          <w:sz w:val="25"/>
          <w:szCs w:val="25"/>
        </w:rPr>
        <w:t xml:space="preserve"> Ключевые слова: </w:t>
      </w:r>
      <w:r>
        <w:rPr>
          <w:sz w:val="25"/>
          <w:szCs w:val="25"/>
        </w:rPr>
        <w:t>бесплодие, послеродовой гнойно-катаральный эндометрит коров,  диагностика эндометрита, иммунобиологические показатели, лечение, внутриаортальные инфузии, исследования in vitro, биологически активные вещества, антибиотики, антибиотикорезистентность  микрофлоры.</w:t>
      </w:r>
    </w:p>
    <w:p w:rsidR="002D6496" w:rsidRDefault="002D6496" w:rsidP="002D6496">
      <w:pPr>
        <w:pStyle w:val="2ffffc"/>
        <w:ind w:firstLine="567"/>
        <w:rPr>
          <w:b/>
          <w:bCs/>
          <w:sz w:val="25"/>
          <w:szCs w:val="25"/>
        </w:rPr>
      </w:pPr>
    </w:p>
    <w:p w:rsidR="002D6496" w:rsidRDefault="002D6496" w:rsidP="002D6496">
      <w:pPr>
        <w:pStyle w:val="2ffffc"/>
        <w:ind w:firstLine="567"/>
        <w:rPr>
          <w:b/>
          <w:bCs/>
          <w:sz w:val="25"/>
          <w:szCs w:val="25"/>
        </w:rPr>
      </w:pPr>
    </w:p>
    <w:p w:rsidR="002D6496" w:rsidRDefault="002D6496" w:rsidP="002D6496">
      <w:pPr>
        <w:pStyle w:val="2ffffc"/>
        <w:ind w:firstLine="567"/>
        <w:rPr>
          <w:b/>
          <w:bCs/>
          <w:snapToGrid w:val="0"/>
          <w:sz w:val="25"/>
          <w:szCs w:val="25"/>
          <w:lang w:val="en-US"/>
        </w:rPr>
      </w:pPr>
      <w:r>
        <w:rPr>
          <w:b/>
          <w:bCs/>
          <w:sz w:val="25"/>
          <w:szCs w:val="25"/>
          <w:lang w:val="en-US"/>
        </w:rPr>
        <w:t>Zhelavsky M.</w:t>
      </w:r>
      <w:r>
        <w:rPr>
          <w:snapToGrid w:val="0"/>
          <w:sz w:val="25"/>
          <w:szCs w:val="25"/>
          <w:lang w:val="en-US"/>
        </w:rPr>
        <w:t xml:space="preserve"> </w:t>
      </w:r>
      <w:r>
        <w:rPr>
          <w:b/>
          <w:bCs/>
          <w:snapToGrid w:val="0"/>
          <w:sz w:val="25"/>
          <w:szCs w:val="25"/>
          <w:lang w:val="en-US"/>
        </w:rPr>
        <w:t xml:space="preserve">Immunobiologic aspects of acute puerperal purulent – and - catarrhalis endometritis of  cows. </w:t>
      </w:r>
      <w:r>
        <w:rPr>
          <w:b/>
          <w:bCs/>
          <w:snapToGrid w:val="0"/>
          <w:sz w:val="25"/>
          <w:lang w:val="en-US"/>
        </w:rPr>
        <w:sym w:font="Symbol" w:char="F02D"/>
      </w:r>
      <w:r>
        <w:rPr>
          <w:b/>
          <w:bCs/>
          <w:snapToGrid w:val="0"/>
          <w:sz w:val="25"/>
          <w:szCs w:val="25"/>
          <w:lang w:val="en-US"/>
        </w:rPr>
        <w:t xml:space="preserve"> Manuscript.</w:t>
      </w:r>
    </w:p>
    <w:p w:rsidR="002D6496" w:rsidRDefault="002D6496" w:rsidP="002D6496">
      <w:pPr>
        <w:spacing w:line="360" w:lineRule="auto"/>
        <w:ind w:firstLine="426"/>
        <w:jc w:val="both"/>
        <w:rPr>
          <w:snapToGrid w:val="0"/>
          <w:sz w:val="25"/>
          <w:szCs w:val="25"/>
          <w:lang w:val="en-US"/>
        </w:rPr>
      </w:pPr>
      <w:r>
        <w:rPr>
          <w:snapToGrid w:val="0"/>
          <w:sz w:val="25"/>
          <w:szCs w:val="25"/>
          <w:lang w:val="en-US"/>
        </w:rPr>
        <w:t>The thesis for candidate degree of veterinary sciences, specialіty 16.00.07</w:t>
      </w:r>
      <w:r>
        <w:rPr>
          <w:snapToGrid w:val="0"/>
          <w:sz w:val="25"/>
          <w:szCs w:val="25"/>
        </w:rPr>
        <w:t xml:space="preserve"> </w:t>
      </w:r>
      <w:r>
        <w:rPr>
          <w:rFonts w:ascii="Lucida Console" w:hAnsi="Lucida Console" w:cs="Lucida Console"/>
          <w:snapToGrid w:val="0"/>
          <w:sz w:val="25"/>
          <w:szCs w:val="25"/>
        </w:rPr>
        <w:t>―</w:t>
      </w:r>
      <w:r>
        <w:rPr>
          <w:snapToGrid w:val="0"/>
          <w:sz w:val="25"/>
          <w:szCs w:val="25"/>
          <w:lang w:val="en-US"/>
        </w:rPr>
        <w:t xml:space="preserve"> Veterinary Obstetrics. -</w:t>
      </w:r>
      <w:r>
        <w:rPr>
          <w:snapToGrid w:val="0"/>
          <w:sz w:val="25"/>
          <w:szCs w:val="25"/>
        </w:rPr>
        <w:t xml:space="preserve"> </w:t>
      </w:r>
      <w:r>
        <w:rPr>
          <w:snapToGrid w:val="0"/>
          <w:sz w:val="25"/>
          <w:szCs w:val="25"/>
          <w:lang w:val="en-US"/>
        </w:rPr>
        <w:t xml:space="preserve"> Lviv State Academy of Veterinary Medicine named after S.Z.Gzhytskyi, Lviv</w:t>
      </w:r>
      <w:r>
        <w:rPr>
          <w:snapToGrid w:val="0"/>
          <w:sz w:val="25"/>
          <w:szCs w:val="25"/>
        </w:rPr>
        <w:t>,</w:t>
      </w:r>
      <w:r>
        <w:rPr>
          <w:snapToGrid w:val="0"/>
          <w:sz w:val="25"/>
          <w:szCs w:val="25"/>
          <w:lang w:val="en-US"/>
        </w:rPr>
        <w:t xml:space="preserve"> 2002.</w:t>
      </w:r>
    </w:p>
    <w:p w:rsidR="002D6496" w:rsidRDefault="002D6496" w:rsidP="002D6496">
      <w:pPr>
        <w:spacing w:line="360" w:lineRule="auto"/>
        <w:ind w:firstLine="426"/>
        <w:jc w:val="both"/>
        <w:rPr>
          <w:snapToGrid w:val="0"/>
          <w:sz w:val="25"/>
          <w:szCs w:val="25"/>
          <w:lang w:val="en-US"/>
        </w:rPr>
      </w:pPr>
    </w:p>
    <w:p w:rsidR="002D6496" w:rsidRDefault="002D6496" w:rsidP="002D6496">
      <w:pPr>
        <w:spacing w:line="360" w:lineRule="auto"/>
        <w:ind w:firstLine="567"/>
        <w:jc w:val="both"/>
        <w:rPr>
          <w:rFonts w:ascii="Arial" w:hAnsi="Arial" w:cs="Arial"/>
          <w:snapToGrid w:val="0"/>
          <w:color w:val="000000"/>
          <w:sz w:val="25"/>
          <w:szCs w:val="25"/>
          <w:lang w:val="en-US"/>
        </w:rPr>
      </w:pPr>
      <w:r>
        <w:rPr>
          <w:snapToGrid w:val="0"/>
          <w:color w:val="000000"/>
          <w:sz w:val="25"/>
          <w:szCs w:val="25"/>
          <w:lang w:val="en-US"/>
        </w:rPr>
        <w:t xml:space="preserve">The dissertation is devoted to study immunobiologic aspects of diagnostics and treatment acute puerperal purulent – and </w:t>
      </w:r>
      <w:r>
        <w:rPr>
          <w:rFonts w:ascii="Lucida Console" w:hAnsi="Lucida Console" w:cs="Lucida Console"/>
          <w:snapToGrid w:val="0"/>
          <w:color w:val="000000"/>
          <w:sz w:val="25"/>
          <w:szCs w:val="25"/>
          <w:lang w:val="en-US"/>
        </w:rPr>
        <w:t>―</w:t>
      </w:r>
      <w:r>
        <w:rPr>
          <w:snapToGrid w:val="0"/>
          <w:color w:val="000000"/>
          <w:sz w:val="25"/>
          <w:szCs w:val="25"/>
          <w:lang w:val="en-US"/>
        </w:rPr>
        <w:t xml:space="preserve"> </w:t>
      </w:r>
      <w:r>
        <w:rPr>
          <w:snapToGrid w:val="0"/>
          <w:sz w:val="25"/>
          <w:szCs w:val="25"/>
          <w:lang w:val="en-US"/>
        </w:rPr>
        <w:t>catarrhalis</w:t>
      </w:r>
      <w:r>
        <w:rPr>
          <w:snapToGrid w:val="0"/>
          <w:color w:val="000000"/>
          <w:sz w:val="25"/>
          <w:szCs w:val="25"/>
          <w:lang w:val="en-US"/>
        </w:rPr>
        <w:t xml:space="preserve"> </w:t>
      </w:r>
      <w:r>
        <w:rPr>
          <w:snapToGrid w:val="0"/>
          <w:sz w:val="25"/>
          <w:szCs w:val="25"/>
          <w:lang w:val="en-US"/>
        </w:rPr>
        <w:t>endometritis</w:t>
      </w:r>
      <w:r>
        <w:rPr>
          <w:b/>
          <w:bCs/>
          <w:snapToGrid w:val="0"/>
          <w:sz w:val="25"/>
          <w:szCs w:val="25"/>
          <w:lang w:val="en-US"/>
        </w:rPr>
        <w:t xml:space="preserve"> </w:t>
      </w:r>
      <w:r>
        <w:rPr>
          <w:snapToGrid w:val="0"/>
          <w:color w:val="000000"/>
          <w:sz w:val="25"/>
          <w:szCs w:val="25"/>
          <w:lang w:val="en-US"/>
        </w:rPr>
        <w:t>of cows.</w:t>
      </w:r>
    </w:p>
    <w:p w:rsidR="002D6496" w:rsidRDefault="002D6496" w:rsidP="002D6496">
      <w:pPr>
        <w:spacing w:line="360" w:lineRule="auto"/>
        <w:ind w:firstLine="567"/>
        <w:jc w:val="both"/>
        <w:rPr>
          <w:rFonts w:ascii="Arial" w:hAnsi="Arial" w:cs="Arial"/>
          <w:snapToGrid w:val="0"/>
          <w:color w:val="000000"/>
          <w:sz w:val="25"/>
          <w:szCs w:val="25"/>
          <w:lang w:val="en-US"/>
        </w:rPr>
      </w:pPr>
      <w:r>
        <w:rPr>
          <w:snapToGrid w:val="0"/>
          <w:color w:val="000000"/>
          <w:sz w:val="25"/>
          <w:szCs w:val="25"/>
          <w:lang w:val="en-US"/>
        </w:rPr>
        <w:t xml:space="preserve">In the work is investigated the immunobiological status of the cows during of the physiological postpartum period and in dynamics of treatment. </w:t>
      </w:r>
    </w:p>
    <w:p w:rsidR="002D6496" w:rsidRDefault="002D6496" w:rsidP="002D6496">
      <w:pPr>
        <w:spacing w:line="360" w:lineRule="auto"/>
        <w:ind w:firstLine="567"/>
        <w:jc w:val="both"/>
        <w:rPr>
          <w:rFonts w:ascii="Arial" w:hAnsi="Arial" w:cs="Arial"/>
          <w:color w:val="000000"/>
          <w:sz w:val="25"/>
          <w:szCs w:val="25"/>
        </w:rPr>
      </w:pPr>
      <w:r>
        <w:rPr>
          <w:snapToGrid w:val="0"/>
          <w:color w:val="000000"/>
          <w:sz w:val="25"/>
          <w:szCs w:val="25"/>
          <w:lang w:val="en-US"/>
        </w:rPr>
        <w:t xml:space="preserve">Puerperal purulent </w:t>
      </w:r>
      <w:r>
        <w:rPr>
          <w:color w:val="000000"/>
          <w:sz w:val="25"/>
          <w:szCs w:val="25"/>
        </w:rPr>
        <w:t>-</w:t>
      </w:r>
      <w:r>
        <w:rPr>
          <w:snapToGrid w:val="0"/>
          <w:color w:val="000000"/>
          <w:sz w:val="25"/>
          <w:szCs w:val="25"/>
          <w:lang w:val="en-US"/>
        </w:rPr>
        <w:t xml:space="preserve"> </w:t>
      </w:r>
      <w:r>
        <w:rPr>
          <w:snapToGrid w:val="0"/>
          <w:sz w:val="25"/>
          <w:szCs w:val="25"/>
          <w:lang w:val="en-US"/>
        </w:rPr>
        <w:t>catarrhalis</w:t>
      </w:r>
      <w:r>
        <w:rPr>
          <w:snapToGrid w:val="0"/>
          <w:color w:val="000000"/>
          <w:sz w:val="25"/>
          <w:szCs w:val="25"/>
          <w:lang w:val="en-US"/>
        </w:rPr>
        <w:t xml:space="preserve"> </w:t>
      </w:r>
      <w:r>
        <w:rPr>
          <w:snapToGrid w:val="0"/>
          <w:sz w:val="25"/>
          <w:szCs w:val="25"/>
          <w:lang w:val="en-US"/>
        </w:rPr>
        <w:t>endometritis</w:t>
      </w:r>
      <w:r>
        <w:rPr>
          <w:b/>
          <w:bCs/>
          <w:snapToGrid w:val="0"/>
          <w:sz w:val="25"/>
          <w:szCs w:val="25"/>
          <w:lang w:val="en-US"/>
        </w:rPr>
        <w:t xml:space="preserve"> </w:t>
      </w:r>
      <w:r>
        <w:rPr>
          <w:color w:val="000000"/>
          <w:sz w:val="25"/>
          <w:szCs w:val="25"/>
        </w:rPr>
        <w:t xml:space="preserve">of cows is </w:t>
      </w:r>
      <w:r>
        <w:rPr>
          <w:color w:val="000000"/>
          <w:sz w:val="25"/>
          <w:szCs w:val="25"/>
          <w:lang w:val="en-US"/>
        </w:rPr>
        <w:t xml:space="preserve">accompanied </w:t>
      </w:r>
      <w:r>
        <w:rPr>
          <w:color w:val="000000"/>
          <w:sz w:val="25"/>
          <w:szCs w:val="25"/>
        </w:rPr>
        <w:t xml:space="preserve">by decrease of the contents </w:t>
      </w:r>
      <w:r>
        <w:rPr>
          <w:sz w:val="25"/>
          <w:szCs w:val="25"/>
        </w:rPr>
        <w:t>Т-</w:t>
      </w:r>
      <w:r>
        <w:rPr>
          <w:color w:val="000000"/>
          <w:sz w:val="25"/>
          <w:szCs w:val="25"/>
        </w:rPr>
        <w:t xml:space="preserve"> and                      </w:t>
      </w:r>
      <w:r>
        <w:rPr>
          <w:color w:val="000000"/>
          <w:sz w:val="25"/>
          <w:szCs w:val="25"/>
          <w:lang w:val="en-US"/>
        </w:rPr>
        <w:t>B</w:t>
      </w:r>
      <w:r>
        <w:rPr>
          <w:color w:val="000000"/>
          <w:sz w:val="25"/>
          <w:szCs w:val="25"/>
        </w:rPr>
        <w:t>-lymphocytes</w:t>
      </w:r>
      <w:r>
        <w:rPr>
          <w:color w:val="000000"/>
          <w:sz w:val="25"/>
          <w:szCs w:val="25"/>
          <w:lang w:val="en-US"/>
        </w:rPr>
        <w:t xml:space="preserve">. </w:t>
      </w:r>
      <w:r>
        <w:rPr>
          <w:color w:val="000000"/>
          <w:sz w:val="25"/>
          <w:szCs w:val="25"/>
        </w:rPr>
        <w:t>The given pathology is accompanied also by sharp changes of a nonspecific reactivity of an organism</w:t>
      </w:r>
      <w:r>
        <w:rPr>
          <w:color w:val="000000"/>
          <w:sz w:val="25"/>
          <w:szCs w:val="25"/>
          <w:lang w:val="en-US"/>
        </w:rPr>
        <w:t>.</w:t>
      </w:r>
      <w:r>
        <w:rPr>
          <w:color w:val="000000"/>
          <w:sz w:val="25"/>
          <w:szCs w:val="25"/>
        </w:rPr>
        <w:t xml:space="preserve"> </w:t>
      </w:r>
    </w:p>
    <w:p w:rsidR="002D6496" w:rsidRDefault="002D6496" w:rsidP="002D6496">
      <w:pPr>
        <w:spacing w:line="360" w:lineRule="auto"/>
        <w:ind w:firstLine="567"/>
        <w:jc w:val="both"/>
        <w:rPr>
          <w:rFonts w:ascii="Arial" w:hAnsi="Arial" w:cs="Arial"/>
          <w:snapToGrid w:val="0"/>
          <w:color w:val="000000"/>
          <w:sz w:val="25"/>
          <w:szCs w:val="25"/>
          <w:lang w:val="en-US"/>
        </w:rPr>
      </w:pPr>
      <w:r>
        <w:rPr>
          <w:snapToGrid w:val="0"/>
          <w:color w:val="000000"/>
          <w:sz w:val="25"/>
          <w:szCs w:val="25"/>
          <w:lang w:val="en-US"/>
        </w:rPr>
        <w:t>For the first time is made immunobiological selection of biologically active preparations and antibiotics, that has become prognosis  substantiation of their clinical application.</w:t>
      </w:r>
    </w:p>
    <w:p w:rsidR="002D6496" w:rsidRDefault="002D6496" w:rsidP="002D6496">
      <w:pPr>
        <w:spacing w:line="360" w:lineRule="auto"/>
        <w:ind w:firstLine="567"/>
        <w:jc w:val="both"/>
        <w:rPr>
          <w:rFonts w:ascii="Arial" w:hAnsi="Arial" w:cs="Arial"/>
          <w:snapToGrid w:val="0"/>
          <w:color w:val="000000"/>
          <w:sz w:val="25"/>
          <w:szCs w:val="25"/>
          <w:lang w:val="en-US"/>
        </w:rPr>
      </w:pPr>
      <w:r>
        <w:rPr>
          <w:snapToGrid w:val="0"/>
          <w:color w:val="000000"/>
          <w:sz w:val="25"/>
          <w:szCs w:val="25"/>
          <w:lang w:val="en-US"/>
        </w:rPr>
        <w:lastRenderedPageBreak/>
        <w:t xml:space="preserve">On the basis of the received experimental data was established, that therapy efficiency treatment of acute puerperal purulent – and </w:t>
      </w:r>
      <w:r>
        <w:rPr>
          <w:rFonts w:ascii="Lucida Console" w:hAnsi="Lucida Console" w:cs="Lucida Console"/>
          <w:snapToGrid w:val="0"/>
          <w:color w:val="000000"/>
          <w:sz w:val="25"/>
          <w:szCs w:val="25"/>
          <w:lang w:val="en-US"/>
        </w:rPr>
        <w:t>―</w:t>
      </w:r>
      <w:r>
        <w:rPr>
          <w:snapToGrid w:val="0"/>
          <w:sz w:val="25"/>
          <w:szCs w:val="25"/>
          <w:lang w:val="en-US"/>
        </w:rPr>
        <w:t>catarrhalis</w:t>
      </w:r>
      <w:r>
        <w:rPr>
          <w:snapToGrid w:val="0"/>
          <w:color w:val="000000"/>
          <w:sz w:val="25"/>
          <w:szCs w:val="25"/>
          <w:lang w:val="en-US"/>
        </w:rPr>
        <w:t xml:space="preserve"> </w:t>
      </w:r>
      <w:r>
        <w:rPr>
          <w:snapToGrid w:val="0"/>
          <w:sz w:val="25"/>
          <w:szCs w:val="25"/>
          <w:lang w:val="en-US"/>
        </w:rPr>
        <w:t>endometritis</w:t>
      </w:r>
      <w:r>
        <w:rPr>
          <w:snapToGrid w:val="0"/>
          <w:color w:val="000000"/>
          <w:sz w:val="25"/>
          <w:szCs w:val="25"/>
          <w:lang w:val="en-US"/>
        </w:rPr>
        <w:t xml:space="preserve"> is received at application of the complex its circuit of treatment, that in itself included intraaortal infusion (1 % Sol. Novocain, 30 ml; 10%; Oxytocin, 25 IU;  5 % Enroflox</w:t>
      </w:r>
      <w:r w:rsidRPr="002D6496">
        <w:rPr>
          <w:snapToGrid w:val="0"/>
          <w:color w:val="000000"/>
          <w:sz w:val="25"/>
          <w:szCs w:val="25"/>
          <w:lang w:val="en-US"/>
        </w:rPr>
        <w:t>,</w:t>
      </w:r>
      <w:r>
        <w:rPr>
          <w:snapToGrid w:val="0"/>
          <w:color w:val="000000"/>
          <w:sz w:val="25"/>
          <w:szCs w:val="25"/>
          <w:lang w:val="en-US"/>
        </w:rPr>
        <w:t xml:space="preserve"> 15 ml) and introduction of Sol. АSD-f-2, 50</w:t>
      </w:r>
      <w:r w:rsidRPr="002D6496">
        <w:rPr>
          <w:snapToGrid w:val="0"/>
          <w:color w:val="000000"/>
          <w:sz w:val="25"/>
          <w:szCs w:val="25"/>
          <w:lang w:val="en-US"/>
        </w:rPr>
        <w:t xml:space="preserve"> </w:t>
      </w:r>
      <w:r>
        <w:rPr>
          <w:snapToGrid w:val="0"/>
          <w:color w:val="000000"/>
          <w:sz w:val="25"/>
          <w:szCs w:val="25"/>
          <w:lang w:val="en-US"/>
        </w:rPr>
        <w:t>ml.</w:t>
      </w:r>
    </w:p>
    <w:p w:rsidR="002D6496" w:rsidRPr="002D6496" w:rsidRDefault="002D6496" w:rsidP="002D6496">
      <w:pPr>
        <w:spacing w:line="360" w:lineRule="auto"/>
        <w:ind w:firstLine="567"/>
        <w:jc w:val="both"/>
        <w:rPr>
          <w:b/>
          <w:bCs/>
          <w:snapToGrid w:val="0"/>
          <w:color w:val="000000"/>
          <w:sz w:val="25"/>
          <w:szCs w:val="25"/>
          <w:lang w:val="en-US"/>
        </w:rPr>
      </w:pPr>
    </w:p>
    <w:p w:rsidR="002D6496" w:rsidRDefault="002D6496" w:rsidP="002D6496">
      <w:pPr>
        <w:spacing w:line="360" w:lineRule="auto"/>
        <w:ind w:firstLine="567"/>
        <w:jc w:val="both"/>
        <w:rPr>
          <w:rFonts w:ascii="Arial" w:hAnsi="Arial" w:cs="Arial"/>
          <w:snapToGrid w:val="0"/>
          <w:color w:val="000000"/>
          <w:sz w:val="25"/>
          <w:szCs w:val="25"/>
          <w:lang w:val="en-US"/>
        </w:rPr>
      </w:pPr>
      <w:r>
        <w:rPr>
          <w:b/>
          <w:bCs/>
          <w:snapToGrid w:val="0"/>
          <w:color w:val="000000"/>
          <w:sz w:val="25"/>
          <w:szCs w:val="25"/>
          <w:lang w:val="en-US"/>
        </w:rPr>
        <w:t>Key words:</w:t>
      </w:r>
      <w:r>
        <w:rPr>
          <w:snapToGrid w:val="0"/>
          <w:color w:val="000000"/>
          <w:sz w:val="25"/>
          <w:szCs w:val="25"/>
          <w:lang w:val="en-US"/>
        </w:rPr>
        <w:t xml:space="preserve"> sterility, puerperal purulent </w:t>
      </w:r>
      <w:r>
        <w:rPr>
          <w:rFonts w:ascii="Lucida Console" w:hAnsi="Lucida Console" w:cs="Lucida Console"/>
          <w:snapToGrid w:val="0"/>
          <w:color w:val="000000"/>
          <w:sz w:val="25"/>
          <w:szCs w:val="25"/>
          <w:lang w:val="en-US"/>
        </w:rPr>
        <w:t xml:space="preserve">― </w:t>
      </w:r>
      <w:r>
        <w:rPr>
          <w:snapToGrid w:val="0"/>
          <w:color w:val="000000"/>
          <w:sz w:val="25"/>
          <w:szCs w:val="25"/>
          <w:lang w:val="en-US"/>
        </w:rPr>
        <w:t>and</w:t>
      </w:r>
      <w:r>
        <w:rPr>
          <w:rFonts w:ascii="Lucida Console" w:hAnsi="Lucida Console" w:cs="Lucida Console"/>
          <w:snapToGrid w:val="0"/>
          <w:color w:val="000000"/>
          <w:sz w:val="25"/>
          <w:szCs w:val="25"/>
          <w:lang w:val="en-US"/>
        </w:rPr>
        <w:t xml:space="preserve"> ― </w:t>
      </w:r>
      <w:r>
        <w:rPr>
          <w:snapToGrid w:val="0"/>
          <w:sz w:val="25"/>
          <w:szCs w:val="25"/>
          <w:lang w:val="en-US"/>
        </w:rPr>
        <w:t>catarrhalis</w:t>
      </w:r>
      <w:r>
        <w:rPr>
          <w:snapToGrid w:val="0"/>
          <w:color w:val="000000"/>
          <w:sz w:val="25"/>
          <w:szCs w:val="25"/>
          <w:lang w:val="en-US"/>
        </w:rPr>
        <w:t xml:space="preserve"> endometritis of cows, diagnostics endometritis,  immunobiologic parameters, treatment, intraaortal infusion, biologically active substances, antibiotics, research in vitro,  antibioticresistant microflora.</w:t>
      </w:r>
    </w:p>
    <w:p w:rsidR="007C5103" w:rsidRPr="002D6496" w:rsidRDefault="007C5103" w:rsidP="007C5103">
      <w:pPr>
        <w:spacing w:line="360" w:lineRule="auto"/>
        <w:ind w:firstLine="567"/>
        <w:jc w:val="both"/>
        <w:rPr>
          <w:lang w:val="en-US"/>
        </w:rPr>
      </w:pPr>
      <w:bookmarkStart w:id="0" w:name="_GoBack"/>
      <w:bookmarkEnd w:id="0"/>
    </w:p>
    <w:p w:rsidR="007C5103" w:rsidRPr="002D6496" w:rsidRDefault="007C5103" w:rsidP="007C5103">
      <w:pPr>
        <w:spacing w:line="360" w:lineRule="auto"/>
        <w:ind w:firstLine="567"/>
        <w:jc w:val="both"/>
        <w:rPr>
          <w:lang w:val="en-US"/>
        </w:rPr>
      </w:pPr>
    </w:p>
    <w:p w:rsidR="00E527DC" w:rsidRPr="00042AC4" w:rsidRDefault="00E527DC" w:rsidP="00E527DC">
      <w:pPr>
        <w:pStyle w:val="affffffff8"/>
        <w:widowControl w:val="0"/>
        <w:jc w:val="left"/>
        <w:rPr>
          <w:lang w:val="uk-UA"/>
        </w:rPr>
      </w:pPr>
    </w:p>
    <w:p w:rsidR="00E527DC" w:rsidRPr="00042AC4" w:rsidRDefault="00E527DC" w:rsidP="00E527DC">
      <w:pPr>
        <w:pStyle w:val="affffffff8"/>
        <w:widowControl w:val="0"/>
        <w:jc w:val="left"/>
        <w:rPr>
          <w:lang w:val="uk-UA"/>
        </w:rPr>
      </w:pPr>
    </w:p>
    <w:p w:rsidR="00E527DC" w:rsidRPr="00042AC4" w:rsidRDefault="00E527DC" w:rsidP="00E527DC">
      <w:pPr>
        <w:pStyle w:val="affffffff8"/>
        <w:widowControl w:val="0"/>
        <w:jc w:val="left"/>
        <w:rPr>
          <w:lang w:val="uk-UA"/>
        </w:rPr>
      </w:pPr>
    </w:p>
    <w:p w:rsidR="002F7CAF" w:rsidRPr="00042AC4" w:rsidRDefault="002F7CAF" w:rsidP="0002113F">
      <w:pPr>
        <w:spacing w:line="360" w:lineRule="auto"/>
        <w:jc w:val="both"/>
        <w:rPr>
          <w:bCs/>
          <w:sz w:val="28"/>
          <w:szCs w:val="28"/>
          <w:lang w:val="uk-UA"/>
        </w:rPr>
        <w:sectPr w:rsidR="002F7CAF" w:rsidRPr="00042AC4">
          <w:headerReference w:type="even" r:id="rId11"/>
          <w:headerReference w:type="default" r:id="rId12"/>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3"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B93" w:rsidRDefault="00BA0B93">
      <w:r>
        <w:separator/>
      </w:r>
    </w:p>
  </w:endnote>
  <w:endnote w:type="continuationSeparator" w:id="0">
    <w:p w:rsidR="00BA0B93" w:rsidRDefault="00BA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CC"/>
    <w:family w:val="modern"/>
    <w:pitch w:val="fixed"/>
    <w:sig w:usb0="8000028F" w:usb1="00001800" w:usb2="00000000" w:usb3="00000000" w:csb0="0000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B93" w:rsidRDefault="00BA0B93">
      <w:r>
        <w:separator/>
      </w:r>
    </w:p>
  </w:footnote>
  <w:footnote w:type="continuationSeparator" w:id="0">
    <w:p w:rsidR="00BA0B93" w:rsidRDefault="00BA0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2D6496">
      <w:rPr>
        <w:rStyle w:val="af9"/>
        <w:noProof/>
      </w:rPr>
      <w:t>28</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596EB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71B4816"/>
    <w:multiLevelType w:val="singleLevel"/>
    <w:tmpl w:val="0419000F"/>
    <w:lvl w:ilvl="0">
      <w:start w:val="1"/>
      <w:numFmt w:val="decimal"/>
      <w:lvlText w:val="%1."/>
      <w:lvlJc w:val="left"/>
      <w:pPr>
        <w:tabs>
          <w:tab w:val="num" w:pos="360"/>
        </w:tabs>
        <w:ind w:left="360" w:hanging="360"/>
      </w:p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1700A11"/>
    <w:multiLevelType w:val="singleLevel"/>
    <w:tmpl w:val="0419000F"/>
    <w:lvl w:ilvl="0">
      <w:start w:val="1"/>
      <w:numFmt w:val="decimal"/>
      <w:lvlText w:val="%1."/>
      <w:lvlJc w:val="left"/>
      <w:pPr>
        <w:tabs>
          <w:tab w:val="num" w:pos="360"/>
        </w:tabs>
        <w:ind w:left="360" w:hanging="360"/>
      </w:p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41E262D"/>
    <w:multiLevelType w:val="singleLevel"/>
    <w:tmpl w:val="61B60B62"/>
    <w:lvl w:ilvl="0">
      <w:start w:val="1"/>
      <w:numFmt w:val="decimal"/>
      <w:pStyle w:val="af0"/>
      <w:lvlText w:val="%1."/>
      <w:lvlJc w:val="left"/>
      <w:pPr>
        <w:tabs>
          <w:tab w:val="num" w:pos="510"/>
        </w:tabs>
        <w:ind w:left="510" w:hanging="51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6F7A689A"/>
    <w:multiLevelType w:val="singleLevel"/>
    <w:tmpl w:val="0419000F"/>
    <w:lvl w:ilvl="0">
      <w:start w:val="1"/>
      <w:numFmt w:val="decimal"/>
      <w:lvlText w:val="%1."/>
      <w:lvlJc w:val="left"/>
      <w:pPr>
        <w:tabs>
          <w:tab w:val="num" w:pos="360"/>
        </w:tabs>
        <w:ind w:left="360" w:hanging="360"/>
      </w:pPr>
    </w:lvl>
  </w:abstractNum>
  <w:abstractNum w:abstractNumId="65">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1"/>
  </w:num>
  <w:num w:numId="37">
    <w:abstractNumId w:val="39"/>
  </w:num>
  <w:num w:numId="38">
    <w:abstractNumId w:val="50"/>
  </w:num>
  <w:num w:numId="39">
    <w:abstractNumId w:val="0"/>
  </w:num>
  <w:num w:numId="40">
    <w:abstractNumId w:val="1"/>
  </w:num>
  <w:num w:numId="41">
    <w:abstractNumId w:val="2"/>
  </w:num>
  <w:num w:numId="42">
    <w:abstractNumId w:val="45"/>
  </w:num>
  <w:num w:numId="43">
    <w:abstractNumId w:val="62"/>
  </w:num>
  <w:num w:numId="44">
    <w:abstractNumId w:val="49"/>
  </w:num>
  <w:num w:numId="45">
    <w:abstractNumId w:val="53"/>
  </w:num>
  <w:num w:numId="46">
    <w:abstractNumId w:val="65"/>
  </w:num>
  <w:num w:numId="47">
    <w:abstractNumId w:val="56"/>
  </w:num>
  <w:num w:numId="48">
    <w:abstractNumId w:val="51"/>
  </w:num>
  <w:num w:numId="49">
    <w:abstractNumId w:val="54"/>
  </w:num>
  <w:num w:numId="50">
    <w:abstractNumId w:val="59"/>
  </w:num>
  <w:num w:numId="51">
    <w:abstractNumId w:val="60"/>
  </w:num>
  <w:num w:numId="52">
    <w:abstractNumId w:val="52"/>
  </w:num>
  <w:num w:numId="53">
    <w:abstractNumId w:val="47"/>
  </w:num>
  <w:num w:numId="54">
    <w:abstractNumId w:val="67"/>
  </w:num>
  <w:num w:numId="55">
    <w:abstractNumId w:val="63"/>
  </w:num>
  <w:num w:numId="56">
    <w:abstractNumId w:val="48"/>
  </w:num>
  <w:num w:numId="57">
    <w:abstractNumId w:val="58"/>
  </w:num>
  <w:num w:numId="58">
    <w:abstractNumId w:val="61"/>
  </w:num>
  <w:num w:numId="59">
    <w:abstractNumId w:val="38"/>
  </w:num>
  <w:num w:numId="60">
    <w:abstractNumId w:val="40"/>
  </w:num>
  <w:num w:numId="61">
    <w:abstractNumId w:val="55"/>
  </w:num>
  <w:num w:numId="62">
    <w:abstractNumId w:val="6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0BF1"/>
    <w:rsid w:val="00151077"/>
    <w:rsid w:val="00152934"/>
    <w:rsid w:val="00152E36"/>
    <w:rsid w:val="00155598"/>
    <w:rsid w:val="00155A06"/>
    <w:rsid w:val="00155A25"/>
    <w:rsid w:val="001573D9"/>
    <w:rsid w:val="00161F23"/>
    <w:rsid w:val="001622EC"/>
    <w:rsid w:val="00162632"/>
    <w:rsid w:val="00162753"/>
    <w:rsid w:val="00162A81"/>
    <w:rsid w:val="001663A9"/>
    <w:rsid w:val="00166E48"/>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A6BA7"/>
    <w:rsid w:val="005B0D87"/>
    <w:rsid w:val="005B16C4"/>
    <w:rsid w:val="005B3130"/>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62A"/>
    <w:rsid w:val="00957FD8"/>
    <w:rsid w:val="00961C1C"/>
    <w:rsid w:val="009621BA"/>
    <w:rsid w:val="00962949"/>
    <w:rsid w:val="00964165"/>
    <w:rsid w:val="0096429C"/>
    <w:rsid w:val="009654A3"/>
    <w:rsid w:val="009673CA"/>
    <w:rsid w:val="009708C1"/>
    <w:rsid w:val="00971131"/>
    <w:rsid w:val="009723CA"/>
    <w:rsid w:val="00973233"/>
    <w:rsid w:val="009732EF"/>
    <w:rsid w:val="00973CC1"/>
    <w:rsid w:val="00976556"/>
    <w:rsid w:val="0097734F"/>
    <w:rsid w:val="0097772C"/>
    <w:rsid w:val="009818ED"/>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0B9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14D9"/>
    <w:rsid w:val="00C93557"/>
    <w:rsid w:val="00CA251F"/>
    <w:rsid w:val="00CA2AC2"/>
    <w:rsid w:val="00CA4ED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iPriority="99" w:unhideWhenUsed="0" w:qFormat="1"/>
    <w:lsdException w:name="Default Paragraph Font" w:uiPriority="1"/>
    <w:lsdException w:name="Body Text" w:uiPriority="99"/>
    <w:lsdException w:name="Subtitle" w:semiHidden="0" w:uiPriority="99" w:unhideWhenUsed="0" w:qFormat="1"/>
    <w:lsdException w:name="Body Text 2" w:uiPriority="99"/>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uiPriority w:val="99"/>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iPriority="99" w:unhideWhenUsed="0" w:qFormat="1"/>
    <w:lsdException w:name="Default Paragraph Font" w:uiPriority="1"/>
    <w:lsdException w:name="Body Text" w:uiPriority="99"/>
    <w:lsdException w:name="Subtitle" w:semiHidden="0" w:uiPriority="99" w:unhideWhenUsed="0" w:qFormat="1"/>
    <w:lsdException w:name="Body Text 2" w:uiPriority="99"/>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uiPriority w:val="99"/>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722054380664655"/>
          <c:y val="4.9250535331905779E-2"/>
          <c:w val="0.49395770392749244"/>
          <c:h val="0.70021413276231259"/>
        </c:manualLayout>
      </c:layout>
      <c:radarChart>
        <c:radarStyle val="marker"/>
        <c:varyColors val="0"/>
        <c:ser>
          <c:idx val="0"/>
          <c:order val="0"/>
          <c:tx>
            <c:strRef>
              <c:f>Sheet1!$B$1</c:f>
              <c:strCache>
                <c:ptCount val="1"/>
                <c:pt idx="0">
                  <c:v>Загальна кількість НСТ +, %</c:v>
                </c:pt>
              </c:strCache>
            </c:strRef>
          </c:tx>
          <c:spPr>
            <a:ln w="12700">
              <a:solidFill>
                <a:srgbClr val="000000"/>
              </a:solidFill>
              <a:prstDash val="solid"/>
            </a:ln>
          </c:spPr>
          <c:marker>
            <c:symbol val="none"/>
          </c:marker>
          <c:cat>
            <c:strRef>
              <c:f>Sheet1!$A$2:$A$10</c:f>
              <c:strCache>
                <c:ptCount val="9"/>
                <c:pt idx="0">
                  <c:v>Контроль</c:v>
                </c:pt>
                <c:pt idx="1">
                  <c:v>Левамізол І</c:v>
                </c:pt>
                <c:pt idx="2">
                  <c:v>Левамізол ІІ</c:v>
                </c:pt>
                <c:pt idx="3">
                  <c:v>АСД - ф-2 І</c:v>
                </c:pt>
                <c:pt idx="4">
                  <c:v>АСД - ф-2 ІІ</c:v>
                </c:pt>
                <c:pt idx="5">
                  <c:v>Ткан. преп. з тимуса І</c:v>
                </c:pt>
                <c:pt idx="6">
                  <c:v>Ткан. преп. з тимуса ІІ</c:v>
                </c:pt>
                <c:pt idx="7">
                  <c:v>Ткан. преп. з селезінки І</c:v>
                </c:pt>
                <c:pt idx="8">
                  <c:v>Ткан. преп. з селезінки ІІ</c:v>
                </c:pt>
              </c:strCache>
            </c:strRef>
          </c:cat>
          <c:val>
            <c:numRef>
              <c:f>Sheet1!$B$2:$B$10</c:f>
              <c:numCache>
                <c:formatCode>General</c:formatCode>
                <c:ptCount val="9"/>
                <c:pt idx="0">
                  <c:v>19.62</c:v>
                </c:pt>
                <c:pt idx="1">
                  <c:v>27.9</c:v>
                </c:pt>
                <c:pt idx="2">
                  <c:v>28.63</c:v>
                </c:pt>
                <c:pt idx="3">
                  <c:v>30.26</c:v>
                </c:pt>
                <c:pt idx="4">
                  <c:v>34.43</c:v>
                </c:pt>
                <c:pt idx="5">
                  <c:v>30.89</c:v>
                </c:pt>
                <c:pt idx="6">
                  <c:v>31.25</c:v>
                </c:pt>
                <c:pt idx="7">
                  <c:v>20.57</c:v>
                </c:pt>
                <c:pt idx="8">
                  <c:v>22.31</c:v>
                </c:pt>
              </c:numCache>
            </c:numRef>
          </c:val>
        </c:ser>
        <c:ser>
          <c:idx val="1"/>
          <c:order val="1"/>
          <c:tx>
            <c:strRef>
              <c:f>Sheet1!$C$1</c:f>
              <c:strCache>
                <c:ptCount val="1"/>
                <c:pt idx="0">
                  <c:v>Фагоцитарна активність, %</c:v>
                </c:pt>
              </c:strCache>
            </c:strRef>
          </c:tx>
          <c:spPr>
            <a:ln w="38100">
              <a:pattFill prst="pct75">
                <a:fgClr>
                  <a:srgbClr val="333333"/>
                </a:fgClr>
                <a:bgClr>
                  <a:srgbClr val="FFFFFF"/>
                </a:bgClr>
              </a:pattFill>
              <a:prstDash val="solid"/>
            </a:ln>
          </c:spPr>
          <c:marker>
            <c:symbol val="square"/>
            <c:size val="5"/>
            <c:spPr>
              <a:noFill/>
              <a:ln>
                <a:solidFill>
                  <a:srgbClr val="333333"/>
                </a:solidFill>
                <a:prstDash val="solid"/>
              </a:ln>
            </c:spPr>
          </c:marker>
          <c:cat>
            <c:strRef>
              <c:f>Sheet1!$A$2:$A$10</c:f>
              <c:strCache>
                <c:ptCount val="9"/>
                <c:pt idx="0">
                  <c:v>Контроль</c:v>
                </c:pt>
                <c:pt idx="1">
                  <c:v>Левамізол І</c:v>
                </c:pt>
                <c:pt idx="2">
                  <c:v>Левамізол ІІ</c:v>
                </c:pt>
                <c:pt idx="3">
                  <c:v>АСД - ф-2 І</c:v>
                </c:pt>
                <c:pt idx="4">
                  <c:v>АСД - ф-2 ІІ</c:v>
                </c:pt>
                <c:pt idx="5">
                  <c:v>Ткан. преп. з тимуса І</c:v>
                </c:pt>
                <c:pt idx="6">
                  <c:v>Ткан. преп. з тимуса ІІ</c:v>
                </c:pt>
                <c:pt idx="7">
                  <c:v>Ткан. преп. з селезінки І</c:v>
                </c:pt>
                <c:pt idx="8">
                  <c:v>Ткан. преп. з селезінки ІІ</c:v>
                </c:pt>
              </c:strCache>
            </c:strRef>
          </c:cat>
          <c:val>
            <c:numRef>
              <c:f>Sheet1!$C$2:$C$10</c:f>
              <c:numCache>
                <c:formatCode>General</c:formatCode>
                <c:ptCount val="9"/>
                <c:pt idx="0">
                  <c:v>37.92</c:v>
                </c:pt>
                <c:pt idx="1">
                  <c:v>42.37</c:v>
                </c:pt>
                <c:pt idx="2">
                  <c:v>49.51</c:v>
                </c:pt>
                <c:pt idx="3">
                  <c:v>44.55</c:v>
                </c:pt>
                <c:pt idx="4">
                  <c:v>54.1</c:v>
                </c:pt>
                <c:pt idx="5">
                  <c:v>43.3</c:v>
                </c:pt>
                <c:pt idx="6">
                  <c:v>48.58</c:v>
                </c:pt>
                <c:pt idx="7">
                  <c:v>41.42</c:v>
                </c:pt>
                <c:pt idx="8">
                  <c:v>43.33</c:v>
                </c:pt>
              </c:numCache>
            </c:numRef>
          </c:val>
        </c:ser>
        <c:dLbls>
          <c:showLegendKey val="0"/>
          <c:showVal val="0"/>
          <c:showCatName val="0"/>
          <c:showSerName val="0"/>
          <c:showPercent val="0"/>
          <c:showBubbleSize val="0"/>
        </c:dLbls>
        <c:axId val="150017920"/>
        <c:axId val="153333760"/>
      </c:radarChart>
      <c:catAx>
        <c:axId val="150017920"/>
        <c:scaling>
          <c:orientation val="minMax"/>
        </c:scaling>
        <c:delete val="0"/>
        <c:axPos val="b"/>
        <c:majorGridlines/>
        <c:numFmt formatCode="General" sourceLinked="1"/>
        <c:majorTickMark val="out"/>
        <c:minorTickMark val="none"/>
        <c:tickLblPos val="nextTo"/>
        <c:txPr>
          <a:bodyPr rot="0" vert="horz"/>
          <a:lstStyle/>
          <a:p>
            <a:pPr>
              <a:defRPr sz="1200" b="1" i="0" u="none" strike="noStrike" baseline="0">
                <a:solidFill>
                  <a:srgbClr val="000000"/>
                </a:solidFill>
                <a:latin typeface="Times New Roman Cyr"/>
                <a:ea typeface="Times New Roman Cyr"/>
                <a:cs typeface="Times New Roman Cyr"/>
              </a:defRPr>
            </a:pPr>
            <a:endParaRPr lang="ru-RU"/>
          </a:p>
        </c:txPr>
        <c:crossAx val="153333760"/>
        <c:crosses val="autoZero"/>
        <c:auto val="0"/>
        <c:lblAlgn val="ctr"/>
        <c:lblOffset val="100"/>
        <c:noMultiLvlLbl val="0"/>
      </c:catAx>
      <c:valAx>
        <c:axId val="153333760"/>
        <c:scaling>
          <c:orientation val="minMax"/>
        </c:scaling>
        <c:delete val="0"/>
        <c:axPos val="l"/>
        <c:numFmt formatCode="General" sourceLinked="1"/>
        <c:majorTickMark val="cross"/>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Times New Roman Cyr"/>
                <a:ea typeface="Times New Roman Cyr"/>
                <a:cs typeface="Times New Roman Cyr"/>
              </a:defRPr>
            </a:pPr>
            <a:endParaRPr lang="ru-RU"/>
          </a:p>
        </c:txPr>
        <c:crossAx val="150017920"/>
        <c:crosses val="autoZero"/>
        <c:crossBetween val="between"/>
      </c:valAx>
      <c:spPr>
        <a:noFill/>
        <a:ln w="25400">
          <a:noFill/>
        </a:ln>
      </c:spPr>
    </c:plotArea>
    <c:legend>
      <c:legendPos val="b"/>
      <c:layout>
        <c:manualLayout>
          <c:xMode val="edge"/>
          <c:yMode val="edge"/>
          <c:x val="0.61631419939577037"/>
          <c:y val="0.854389721627409"/>
          <c:w val="0.38066465256797583"/>
          <c:h val="0.14775160599571735"/>
        </c:manualLayout>
      </c:layout>
      <c:overlay val="0"/>
      <c:spPr>
        <a:noFill/>
        <a:ln w="3175">
          <a:solidFill>
            <a:srgbClr val="000000"/>
          </a:solidFill>
          <a:prstDash val="solid"/>
        </a:ln>
      </c:spPr>
      <c:txPr>
        <a:bodyPr/>
        <a:lstStyle/>
        <a:p>
          <a:pPr>
            <a:defRPr sz="1010" b="1" i="0" u="none" strike="noStrike" baseline="0">
              <a:solidFill>
                <a:srgbClr val="000000"/>
              </a:solidFill>
              <a:latin typeface="Times New Roman Cyr"/>
              <a:ea typeface="Times New Roman Cyr"/>
              <a:cs typeface="Times New Roman Cyr"/>
            </a:defRPr>
          </a:pPr>
          <a:endParaRPr lang="ru-RU"/>
        </a:p>
      </c:txPr>
    </c:legend>
    <c:plotVisOnly val="1"/>
    <c:dispBlanksAs val="gap"/>
    <c:showDLblsOverMax val="0"/>
  </c:chart>
  <c:spPr>
    <a:noFill/>
    <a:ln>
      <a:noFill/>
    </a:ln>
  </c:spPr>
  <c:txPr>
    <a:bodyPr/>
    <a:lstStyle/>
    <a:p>
      <a:pPr>
        <a:defRPr sz="190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7FBA9-9BFA-40A3-ABC5-10A4EDF9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7055</TotalTime>
  <Pages>38</Pages>
  <Words>6937</Words>
  <Characters>39542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cp:revision>
  <cp:lastPrinted>2009-02-06T08:36:00Z</cp:lastPrinted>
  <dcterms:created xsi:type="dcterms:W3CDTF">2015-03-22T11:10:00Z</dcterms:created>
  <dcterms:modified xsi:type="dcterms:W3CDTF">2016-03-21T13:58:00Z</dcterms:modified>
</cp:coreProperties>
</file>