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A6" w:rsidRDefault="005740A6" w:rsidP="005740A6">
      <w:pPr>
        <w:pStyle w:val="a6"/>
        <w:widowControl w:val="0"/>
        <w:shd w:val="clear" w:color="auto" w:fill="FFFFFF"/>
        <w:spacing w:before="240" w:after="60" w:line="360" w:lineRule="auto"/>
        <w:ind w:firstLine="709"/>
        <w:jc w:val="both"/>
      </w:pPr>
      <w:r>
        <w:rPr>
          <w:rStyle w:val="a5"/>
          <w:color w:val="0070C0"/>
        </w:rPr>
        <w:t> </w:t>
      </w:r>
      <w:r>
        <w:rPr>
          <w:rStyle w:val="a5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7" w:history="1">
        <w:r>
          <w:rPr>
            <w:rStyle w:val="a5"/>
            <w:color w:val="0070C0"/>
          </w:rPr>
          <w:t>http://www.mydisser.com/search.html</w:t>
        </w:r>
      </w:hyperlink>
    </w:p>
    <w:p w:rsidR="003B05B6" w:rsidRPr="004C6D3F" w:rsidRDefault="003B05B6" w:rsidP="003B05B6">
      <w:pPr>
        <w:jc w:val="center"/>
        <w:rPr>
          <w:b/>
          <w:sz w:val="28"/>
          <w:szCs w:val="28"/>
          <w:lang w:val="uk-UA"/>
        </w:rPr>
      </w:pPr>
      <w:r w:rsidRPr="004C6D3F">
        <w:rPr>
          <w:b/>
          <w:sz w:val="28"/>
          <w:szCs w:val="28"/>
        </w:rPr>
        <w:t>АКАДЕМІЯ МЕДИЧНИХ НАУК УКРАЇНИ</w:t>
      </w:r>
    </w:p>
    <w:p w:rsidR="003B05B6" w:rsidRPr="004C6D3F" w:rsidRDefault="003B05B6" w:rsidP="003B05B6">
      <w:pPr>
        <w:jc w:val="center"/>
        <w:rPr>
          <w:b/>
          <w:sz w:val="28"/>
          <w:szCs w:val="28"/>
          <w:lang w:val="uk-UA"/>
        </w:rPr>
      </w:pPr>
      <w:r w:rsidRPr="004C6D3F">
        <w:rPr>
          <w:b/>
          <w:sz w:val="28"/>
          <w:szCs w:val="28"/>
          <w:lang w:val="uk-UA"/>
        </w:rPr>
        <w:t>НАЦІОНАЛЬНИЙ НАУКОВИЙ ЦЕНТР</w:t>
      </w:r>
    </w:p>
    <w:p w:rsidR="003B05B6" w:rsidRPr="004C6D3F" w:rsidRDefault="003B05B6" w:rsidP="003B05B6">
      <w:pPr>
        <w:jc w:val="center"/>
        <w:rPr>
          <w:b/>
          <w:sz w:val="28"/>
          <w:szCs w:val="28"/>
          <w:lang w:val="uk-UA"/>
        </w:rPr>
      </w:pPr>
      <w:r w:rsidRPr="004C6D3F">
        <w:rPr>
          <w:b/>
          <w:sz w:val="28"/>
          <w:szCs w:val="28"/>
          <w:lang w:val="uk-UA"/>
        </w:rPr>
        <w:t>«ІНСТИТУТ КАРДІОЛОГІЇ імені АКАДЕМІКА М.Д.СТРАЖЕСКА»</w:t>
      </w:r>
    </w:p>
    <w:p w:rsidR="003B05B6" w:rsidRPr="004C6D3F" w:rsidRDefault="003B05B6" w:rsidP="003B05B6">
      <w:pPr>
        <w:jc w:val="right"/>
        <w:rPr>
          <w:sz w:val="28"/>
          <w:szCs w:val="28"/>
          <w:lang w:val="uk-UA"/>
        </w:rPr>
      </w:pPr>
    </w:p>
    <w:p w:rsidR="003B05B6" w:rsidRPr="004C6D3F" w:rsidRDefault="003B05B6" w:rsidP="003B05B6">
      <w:pPr>
        <w:jc w:val="right"/>
        <w:rPr>
          <w:sz w:val="28"/>
          <w:szCs w:val="28"/>
          <w:lang w:val="uk-UA"/>
        </w:rPr>
      </w:pPr>
    </w:p>
    <w:p w:rsidR="003B05B6" w:rsidRPr="004C6D3F" w:rsidRDefault="003B05B6" w:rsidP="003B05B6">
      <w:pPr>
        <w:jc w:val="right"/>
        <w:rPr>
          <w:sz w:val="28"/>
          <w:szCs w:val="28"/>
          <w:lang w:val="uk-UA"/>
        </w:rPr>
      </w:pPr>
    </w:p>
    <w:p w:rsidR="003B05B6" w:rsidRPr="004C6D3F" w:rsidRDefault="003B05B6" w:rsidP="003B05B6">
      <w:pPr>
        <w:jc w:val="right"/>
        <w:rPr>
          <w:sz w:val="28"/>
          <w:szCs w:val="28"/>
          <w:lang w:val="uk-UA"/>
        </w:rPr>
      </w:pPr>
    </w:p>
    <w:p w:rsidR="003B05B6" w:rsidRPr="004C6D3F" w:rsidRDefault="003B05B6" w:rsidP="003B05B6">
      <w:pPr>
        <w:jc w:val="right"/>
        <w:rPr>
          <w:sz w:val="28"/>
          <w:szCs w:val="28"/>
          <w:lang w:val="uk-UA"/>
        </w:rPr>
      </w:pPr>
    </w:p>
    <w:p w:rsidR="003B05B6" w:rsidRPr="004C6D3F" w:rsidRDefault="003B05B6" w:rsidP="003B05B6">
      <w:pPr>
        <w:jc w:val="center"/>
        <w:rPr>
          <w:b/>
          <w:sz w:val="28"/>
          <w:szCs w:val="28"/>
          <w:lang w:val="uk-UA"/>
        </w:rPr>
      </w:pPr>
      <w:r w:rsidRPr="004C6D3F">
        <w:rPr>
          <w:b/>
          <w:sz w:val="28"/>
          <w:szCs w:val="28"/>
          <w:lang w:val="uk-UA"/>
        </w:rPr>
        <w:t>ОНИЩЕНКО  ОЛЕНА  ВОЛОДИМИРІВНА</w:t>
      </w:r>
    </w:p>
    <w:p w:rsidR="003B05B6" w:rsidRPr="004C6D3F" w:rsidRDefault="003B05B6" w:rsidP="003B05B6">
      <w:pPr>
        <w:jc w:val="center"/>
        <w:rPr>
          <w:b/>
          <w:sz w:val="28"/>
          <w:szCs w:val="28"/>
          <w:lang w:val="uk-UA"/>
        </w:rPr>
      </w:pPr>
    </w:p>
    <w:p w:rsidR="003B05B6" w:rsidRPr="004C6D3F" w:rsidRDefault="003B05B6" w:rsidP="003B05B6">
      <w:pPr>
        <w:jc w:val="center"/>
        <w:rPr>
          <w:b/>
          <w:sz w:val="28"/>
          <w:szCs w:val="28"/>
          <w:lang w:val="uk-UA"/>
        </w:rPr>
      </w:pPr>
    </w:p>
    <w:p w:rsidR="003B05B6" w:rsidRPr="004C6D3F" w:rsidRDefault="003B05B6" w:rsidP="003B05B6">
      <w:pPr>
        <w:jc w:val="center"/>
        <w:rPr>
          <w:b/>
          <w:sz w:val="28"/>
          <w:szCs w:val="28"/>
          <w:lang w:val="uk-UA"/>
        </w:rPr>
      </w:pPr>
    </w:p>
    <w:p w:rsidR="003B05B6" w:rsidRPr="004C6D3F" w:rsidRDefault="003B05B6" w:rsidP="003B05B6">
      <w:pPr>
        <w:jc w:val="center"/>
        <w:rPr>
          <w:b/>
          <w:sz w:val="28"/>
          <w:szCs w:val="28"/>
          <w:lang w:val="uk-UA"/>
        </w:rPr>
      </w:pPr>
    </w:p>
    <w:p w:rsidR="003B05B6" w:rsidRPr="004C6D3F" w:rsidRDefault="003B05B6" w:rsidP="003B05B6">
      <w:pPr>
        <w:jc w:val="right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УДК: 616.12-008.46-036.12:615.22</w:t>
      </w:r>
    </w:p>
    <w:p w:rsidR="003B05B6" w:rsidRPr="004C6D3F" w:rsidRDefault="003B05B6" w:rsidP="003B05B6">
      <w:pPr>
        <w:jc w:val="center"/>
        <w:rPr>
          <w:sz w:val="28"/>
          <w:szCs w:val="28"/>
          <w:lang w:val="uk-UA"/>
        </w:rPr>
      </w:pPr>
    </w:p>
    <w:p w:rsidR="003B05B6" w:rsidRPr="004C6D3F" w:rsidRDefault="003B05B6" w:rsidP="003B05B6">
      <w:pPr>
        <w:jc w:val="center"/>
        <w:rPr>
          <w:sz w:val="28"/>
          <w:szCs w:val="28"/>
          <w:lang w:val="uk-UA"/>
        </w:rPr>
      </w:pPr>
    </w:p>
    <w:p w:rsidR="003B05B6" w:rsidRPr="004C6D3F" w:rsidRDefault="003B05B6" w:rsidP="003B05B6">
      <w:pPr>
        <w:jc w:val="center"/>
        <w:rPr>
          <w:sz w:val="28"/>
          <w:szCs w:val="28"/>
          <w:lang w:val="uk-UA"/>
        </w:rPr>
      </w:pPr>
    </w:p>
    <w:p w:rsidR="003B05B6" w:rsidRPr="004C6D3F" w:rsidRDefault="003B05B6" w:rsidP="003B05B6">
      <w:pPr>
        <w:jc w:val="center"/>
        <w:rPr>
          <w:sz w:val="28"/>
          <w:szCs w:val="28"/>
          <w:lang w:val="uk-UA"/>
        </w:rPr>
      </w:pPr>
    </w:p>
    <w:p w:rsidR="003B05B6" w:rsidRPr="004C6D3F" w:rsidRDefault="003B05B6" w:rsidP="003B05B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C6D3F">
        <w:rPr>
          <w:b/>
          <w:sz w:val="28"/>
          <w:szCs w:val="28"/>
          <w:lang w:val="uk-UA"/>
        </w:rPr>
        <w:t>РЕМОДЕЛЮВАННЯ І ДИНАМІКА СИСТОЛІЧНОЇ ФУНКЦІЇ ЛІВИХ КАМЕР СЕРЦЯ ТА КЛІНІКО-ФУНКЦІОНАЛЬНОГО СТАНУ ХВОРИХ З КАРДІОМЕГАЛІЄЮ І ХРОНІ</w:t>
      </w:r>
      <w:r w:rsidRPr="004C6D3F">
        <w:rPr>
          <w:b/>
          <w:sz w:val="28"/>
          <w:szCs w:val="28"/>
          <w:lang w:val="uk-UA"/>
        </w:rPr>
        <w:t>Ч</w:t>
      </w:r>
      <w:r w:rsidRPr="004C6D3F">
        <w:rPr>
          <w:b/>
          <w:sz w:val="28"/>
          <w:szCs w:val="28"/>
          <w:lang w:val="uk-UA"/>
        </w:rPr>
        <w:t>НОЮ СЕРЦЕВОЮ НЕДОСТАТНІСТЮ РІЗНОГО ГЕНЕЗУ НА ФОНІ ДОВГОТР</w:t>
      </w:r>
      <w:r w:rsidRPr="004C6D3F">
        <w:rPr>
          <w:b/>
          <w:sz w:val="28"/>
          <w:szCs w:val="28"/>
          <w:lang w:val="uk-UA"/>
        </w:rPr>
        <w:t>И</w:t>
      </w:r>
      <w:r w:rsidRPr="004C6D3F">
        <w:rPr>
          <w:b/>
          <w:sz w:val="28"/>
          <w:szCs w:val="28"/>
          <w:lang w:val="uk-UA"/>
        </w:rPr>
        <w:t>ВАЛОЇ СИНДРОМАЛЬНОЇ ФАРМАКОТЕРАПІЇ</w:t>
      </w:r>
    </w:p>
    <w:p w:rsidR="003B05B6" w:rsidRPr="004C6D3F" w:rsidRDefault="003B05B6" w:rsidP="003B05B6">
      <w:pPr>
        <w:jc w:val="center"/>
        <w:rPr>
          <w:b/>
          <w:sz w:val="28"/>
          <w:szCs w:val="28"/>
          <w:lang w:val="uk-UA"/>
        </w:rPr>
      </w:pPr>
    </w:p>
    <w:p w:rsidR="003B05B6" w:rsidRPr="004C6D3F" w:rsidRDefault="003B05B6" w:rsidP="003B05B6">
      <w:pPr>
        <w:jc w:val="center"/>
        <w:rPr>
          <w:sz w:val="28"/>
          <w:szCs w:val="28"/>
          <w:lang w:val="uk-UA"/>
        </w:rPr>
      </w:pPr>
    </w:p>
    <w:p w:rsidR="003B05B6" w:rsidRPr="004C6D3F" w:rsidRDefault="003B05B6" w:rsidP="003B05B6">
      <w:pPr>
        <w:jc w:val="center"/>
        <w:rPr>
          <w:sz w:val="28"/>
          <w:szCs w:val="28"/>
          <w:lang w:val="uk-UA"/>
        </w:rPr>
      </w:pPr>
    </w:p>
    <w:p w:rsidR="003B05B6" w:rsidRPr="004C6D3F" w:rsidRDefault="003B05B6" w:rsidP="003B05B6">
      <w:pPr>
        <w:jc w:val="center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lastRenderedPageBreak/>
        <w:t>14.01.11 - Кардіологія</w:t>
      </w:r>
    </w:p>
    <w:p w:rsidR="003B05B6" w:rsidRPr="004C6D3F" w:rsidRDefault="003B05B6" w:rsidP="003B05B6">
      <w:pPr>
        <w:jc w:val="center"/>
        <w:rPr>
          <w:sz w:val="28"/>
          <w:szCs w:val="28"/>
          <w:lang w:val="uk-UA"/>
        </w:rPr>
      </w:pPr>
    </w:p>
    <w:p w:rsidR="003B05B6" w:rsidRPr="004C6D3F" w:rsidRDefault="003B05B6" w:rsidP="003B05B6">
      <w:pPr>
        <w:jc w:val="center"/>
        <w:rPr>
          <w:sz w:val="28"/>
          <w:szCs w:val="28"/>
          <w:lang w:val="uk-UA"/>
        </w:rPr>
      </w:pPr>
    </w:p>
    <w:p w:rsidR="003B05B6" w:rsidRPr="004C6D3F" w:rsidRDefault="003B05B6" w:rsidP="003B05B6">
      <w:pPr>
        <w:jc w:val="center"/>
        <w:rPr>
          <w:sz w:val="28"/>
          <w:szCs w:val="28"/>
          <w:lang w:val="uk-UA"/>
        </w:rPr>
      </w:pPr>
    </w:p>
    <w:p w:rsidR="003B05B6" w:rsidRPr="004C6D3F" w:rsidRDefault="003B05B6" w:rsidP="003B05B6">
      <w:pPr>
        <w:jc w:val="center"/>
        <w:rPr>
          <w:sz w:val="28"/>
          <w:szCs w:val="28"/>
          <w:lang w:val="uk-UA"/>
        </w:rPr>
      </w:pPr>
    </w:p>
    <w:p w:rsidR="003B05B6" w:rsidRPr="004C6D3F" w:rsidRDefault="003B05B6" w:rsidP="003B05B6">
      <w:pPr>
        <w:jc w:val="center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Автореферат дисертації на здобуття наукового ступеня</w:t>
      </w:r>
    </w:p>
    <w:p w:rsidR="003B05B6" w:rsidRPr="004C6D3F" w:rsidRDefault="003B05B6" w:rsidP="003B05B6">
      <w:pPr>
        <w:jc w:val="center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кандидата медичних наук</w:t>
      </w:r>
    </w:p>
    <w:p w:rsidR="003B05B6" w:rsidRPr="004C6D3F" w:rsidRDefault="003B05B6" w:rsidP="003B05B6">
      <w:pPr>
        <w:jc w:val="center"/>
        <w:rPr>
          <w:sz w:val="28"/>
          <w:szCs w:val="28"/>
          <w:lang w:val="uk-UA"/>
        </w:rPr>
      </w:pPr>
    </w:p>
    <w:p w:rsidR="003B05B6" w:rsidRPr="004C6D3F" w:rsidRDefault="003B05B6" w:rsidP="003B05B6">
      <w:pPr>
        <w:jc w:val="center"/>
        <w:rPr>
          <w:sz w:val="28"/>
          <w:szCs w:val="28"/>
          <w:lang w:val="uk-UA"/>
        </w:rPr>
      </w:pPr>
    </w:p>
    <w:p w:rsidR="003B05B6" w:rsidRPr="004C6D3F" w:rsidRDefault="003B05B6" w:rsidP="003B05B6">
      <w:pPr>
        <w:jc w:val="center"/>
        <w:rPr>
          <w:sz w:val="28"/>
          <w:szCs w:val="28"/>
          <w:lang w:val="uk-UA"/>
        </w:rPr>
      </w:pPr>
    </w:p>
    <w:p w:rsidR="003B05B6" w:rsidRPr="004C6D3F" w:rsidRDefault="003B05B6" w:rsidP="003B05B6">
      <w:pPr>
        <w:jc w:val="center"/>
        <w:rPr>
          <w:sz w:val="28"/>
          <w:szCs w:val="28"/>
          <w:lang w:val="uk-UA"/>
        </w:rPr>
      </w:pPr>
    </w:p>
    <w:p w:rsidR="003B05B6" w:rsidRPr="004C6D3F" w:rsidRDefault="003B05B6" w:rsidP="003B05B6">
      <w:pPr>
        <w:jc w:val="center"/>
        <w:rPr>
          <w:sz w:val="28"/>
          <w:szCs w:val="28"/>
          <w:lang w:val="uk-UA"/>
        </w:rPr>
      </w:pPr>
    </w:p>
    <w:p w:rsidR="003B05B6" w:rsidRPr="004C6D3F" w:rsidRDefault="003B05B6" w:rsidP="003B05B6">
      <w:pPr>
        <w:jc w:val="center"/>
        <w:rPr>
          <w:sz w:val="28"/>
          <w:szCs w:val="28"/>
          <w:lang w:val="uk-UA"/>
        </w:rPr>
      </w:pPr>
    </w:p>
    <w:p w:rsidR="003B05B6" w:rsidRPr="004C6D3F" w:rsidRDefault="003B05B6" w:rsidP="003B05B6">
      <w:pPr>
        <w:jc w:val="center"/>
        <w:rPr>
          <w:sz w:val="28"/>
          <w:szCs w:val="28"/>
          <w:lang w:val="uk-UA"/>
        </w:rPr>
      </w:pPr>
    </w:p>
    <w:p w:rsidR="003B05B6" w:rsidRPr="004C6D3F" w:rsidRDefault="003B05B6" w:rsidP="003B05B6">
      <w:pPr>
        <w:jc w:val="center"/>
        <w:rPr>
          <w:sz w:val="28"/>
          <w:szCs w:val="28"/>
          <w:lang w:val="uk-UA"/>
        </w:rPr>
      </w:pPr>
    </w:p>
    <w:p w:rsidR="003B05B6" w:rsidRPr="004C6D3F" w:rsidRDefault="003B05B6" w:rsidP="003B05B6">
      <w:pPr>
        <w:jc w:val="center"/>
        <w:rPr>
          <w:b/>
          <w:sz w:val="28"/>
          <w:szCs w:val="28"/>
          <w:lang w:val="uk-UA"/>
        </w:rPr>
      </w:pPr>
      <w:r w:rsidRPr="004C6D3F">
        <w:rPr>
          <w:b/>
          <w:sz w:val="28"/>
          <w:szCs w:val="28"/>
          <w:lang w:val="uk-UA"/>
        </w:rPr>
        <w:t>Київ - 200</w:t>
      </w:r>
      <w:r w:rsidRPr="004C6D3F">
        <w:rPr>
          <w:b/>
          <w:sz w:val="28"/>
          <w:szCs w:val="28"/>
        </w:rPr>
        <w:t>9</w:t>
      </w:r>
      <w:r w:rsidRPr="004C6D3F">
        <w:rPr>
          <w:b/>
          <w:sz w:val="28"/>
          <w:szCs w:val="28"/>
          <w:lang w:val="uk-UA"/>
        </w:rPr>
        <w:t xml:space="preserve"> </w:t>
      </w:r>
    </w:p>
    <w:p w:rsidR="003B05B6" w:rsidRPr="004C6D3F" w:rsidRDefault="003B05B6" w:rsidP="003B05B6">
      <w:pPr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Дисертацією є рукопис</w:t>
      </w:r>
    </w:p>
    <w:p w:rsidR="003B05B6" w:rsidRPr="004C6D3F" w:rsidRDefault="003B05B6" w:rsidP="003B05B6">
      <w:pPr>
        <w:spacing w:line="24" w:lineRule="atLeast"/>
        <w:rPr>
          <w:sz w:val="28"/>
          <w:szCs w:val="28"/>
          <w:lang w:val="uk-UA"/>
        </w:rPr>
      </w:pPr>
    </w:p>
    <w:p w:rsidR="003B05B6" w:rsidRPr="004C6D3F" w:rsidRDefault="003B05B6" w:rsidP="003B05B6">
      <w:pPr>
        <w:spacing w:line="24" w:lineRule="atLeast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Робота виконана в Національному науковому центрі «Інститут кардіології імені академіка М.Д.Стражеска» АМН України, м.</w:t>
      </w:r>
      <w:r w:rsidRPr="004C6D3F">
        <w:rPr>
          <w:sz w:val="28"/>
          <w:szCs w:val="28"/>
        </w:rPr>
        <w:t xml:space="preserve"> </w:t>
      </w:r>
      <w:r w:rsidRPr="004C6D3F">
        <w:rPr>
          <w:sz w:val="28"/>
          <w:szCs w:val="28"/>
          <w:lang w:val="uk-UA"/>
        </w:rPr>
        <w:t>Київ</w:t>
      </w:r>
    </w:p>
    <w:p w:rsidR="003B05B6" w:rsidRPr="004C6D3F" w:rsidRDefault="003B05B6" w:rsidP="003B05B6">
      <w:pPr>
        <w:spacing w:line="24" w:lineRule="atLeast"/>
        <w:rPr>
          <w:sz w:val="28"/>
          <w:szCs w:val="28"/>
          <w:lang w:val="uk-UA"/>
        </w:rPr>
      </w:pPr>
    </w:p>
    <w:p w:rsidR="003B05B6" w:rsidRPr="004C6D3F" w:rsidRDefault="003B05B6" w:rsidP="003B05B6">
      <w:pPr>
        <w:spacing w:line="24" w:lineRule="atLeast"/>
        <w:rPr>
          <w:b/>
          <w:sz w:val="28"/>
          <w:szCs w:val="28"/>
          <w:lang w:val="uk-UA"/>
        </w:rPr>
      </w:pPr>
      <w:r w:rsidRPr="004C6D3F">
        <w:rPr>
          <w:b/>
          <w:sz w:val="28"/>
          <w:szCs w:val="28"/>
          <w:lang w:val="uk-UA"/>
        </w:rPr>
        <w:t>Науковий керівник:</w:t>
      </w:r>
    </w:p>
    <w:p w:rsidR="003B05B6" w:rsidRPr="004C6D3F" w:rsidRDefault="003B05B6" w:rsidP="003B05B6">
      <w:pPr>
        <w:spacing w:line="24" w:lineRule="atLeast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доктор медичних наук</w:t>
      </w:r>
    </w:p>
    <w:p w:rsidR="003B05B6" w:rsidRPr="004C6D3F" w:rsidRDefault="003B05B6" w:rsidP="003B05B6">
      <w:pPr>
        <w:spacing w:line="24" w:lineRule="atLeast"/>
        <w:rPr>
          <w:b/>
          <w:sz w:val="28"/>
          <w:szCs w:val="28"/>
          <w:lang w:val="uk-UA"/>
        </w:rPr>
      </w:pPr>
      <w:r w:rsidRPr="004C6D3F">
        <w:rPr>
          <w:b/>
          <w:sz w:val="28"/>
          <w:szCs w:val="28"/>
          <w:lang w:val="uk-UA"/>
        </w:rPr>
        <w:t xml:space="preserve">Рябенко Дмитро Васильович, </w:t>
      </w:r>
    </w:p>
    <w:p w:rsidR="003B05B6" w:rsidRPr="004C6D3F" w:rsidRDefault="003B05B6" w:rsidP="003B05B6">
      <w:pPr>
        <w:spacing w:line="24" w:lineRule="atLeast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Національний науковий центр</w:t>
      </w:r>
    </w:p>
    <w:p w:rsidR="003B05B6" w:rsidRPr="004C6D3F" w:rsidRDefault="003B05B6" w:rsidP="003B05B6">
      <w:pPr>
        <w:spacing w:line="24" w:lineRule="atLeast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«Інститут кардіології імені академіка М.Д.Стражеска» АМН України, </w:t>
      </w:r>
    </w:p>
    <w:p w:rsidR="003B05B6" w:rsidRPr="004C6D3F" w:rsidRDefault="003B05B6" w:rsidP="003B05B6">
      <w:pPr>
        <w:spacing w:line="24" w:lineRule="atLeast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провідний науковий співробітник відділу </w:t>
      </w:r>
    </w:p>
    <w:p w:rsidR="003B05B6" w:rsidRPr="004C6D3F" w:rsidRDefault="003B05B6" w:rsidP="003B05B6">
      <w:pPr>
        <w:spacing w:line="24" w:lineRule="atLeast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некоронарогенних захворювань серця та клінічної ревматології, м. Київ</w:t>
      </w:r>
    </w:p>
    <w:p w:rsidR="003B05B6" w:rsidRPr="004C6D3F" w:rsidRDefault="003B05B6" w:rsidP="003B05B6">
      <w:pPr>
        <w:spacing w:line="24" w:lineRule="atLeast"/>
        <w:rPr>
          <w:sz w:val="28"/>
          <w:szCs w:val="28"/>
          <w:lang w:val="uk-UA"/>
        </w:rPr>
      </w:pPr>
    </w:p>
    <w:p w:rsidR="003B05B6" w:rsidRPr="004C6D3F" w:rsidRDefault="003B05B6" w:rsidP="003B05B6">
      <w:pPr>
        <w:spacing w:line="24" w:lineRule="atLeast"/>
        <w:rPr>
          <w:b/>
          <w:sz w:val="28"/>
          <w:szCs w:val="28"/>
          <w:lang w:val="uk-UA"/>
        </w:rPr>
      </w:pPr>
      <w:r w:rsidRPr="004C6D3F">
        <w:rPr>
          <w:b/>
          <w:sz w:val="28"/>
          <w:szCs w:val="28"/>
          <w:lang w:val="uk-UA"/>
        </w:rPr>
        <w:t>Офіційні опоненти:</w:t>
      </w:r>
    </w:p>
    <w:p w:rsidR="003B05B6" w:rsidRPr="004C6D3F" w:rsidRDefault="003B05B6" w:rsidP="003B05B6">
      <w:pPr>
        <w:spacing w:line="24" w:lineRule="atLeast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Доктор медичних наук, професор</w:t>
      </w:r>
    </w:p>
    <w:p w:rsidR="003B05B6" w:rsidRPr="004C6D3F" w:rsidRDefault="003B05B6" w:rsidP="003B05B6">
      <w:pPr>
        <w:spacing w:line="24" w:lineRule="atLeast"/>
        <w:rPr>
          <w:b/>
          <w:sz w:val="28"/>
          <w:szCs w:val="28"/>
          <w:lang w:val="uk-UA"/>
        </w:rPr>
      </w:pPr>
      <w:r w:rsidRPr="004C6D3F">
        <w:rPr>
          <w:b/>
          <w:sz w:val="28"/>
          <w:szCs w:val="28"/>
          <w:lang w:val="uk-UA"/>
        </w:rPr>
        <w:t xml:space="preserve">Воронков Леонід Георгійович, </w:t>
      </w:r>
    </w:p>
    <w:p w:rsidR="003B05B6" w:rsidRPr="004C6D3F" w:rsidRDefault="003B05B6" w:rsidP="003B05B6">
      <w:pPr>
        <w:spacing w:line="24" w:lineRule="atLeast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завідувач відділом серцевої недостатності </w:t>
      </w:r>
    </w:p>
    <w:p w:rsidR="003B05B6" w:rsidRPr="004C6D3F" w:rsidRDefault="003B05B6" w:rsidP="003B05B6">
      <w:pPr>
        <w:spacing w:line="24" w:lineRule="atLeast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Національного наукового центру</w:t>
      </w:r>
    </w:p>
    <w:p w:rsidR="003B05B6" w:rsidRPr="004C6D3F" w:rsidRDefault="003B05B6" w:rsidP="003B05B6">
      <w:pPr>
        <w:spacing w:line="24" w:lineRule="atLeast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«Інститут кардіології імені академіка М.Д.Стражеска» АМН України, </w:t>
      </w:r>
      <w:r w:rsidRPr="004C6D3F">
        <w:rPr>
          <w:sz w:val="28"/>
          <w:szCs w:val="28"/>
        </w:rPr>
        <w:t xml:space="preserve">м. </w:t>
      </w:r>
      <w:r w:rsidRPr="004C6D3F">
        <w:rPr>
          <w:sz w:val="28"/>
          <w:szCs w:val="28"/>
          <w:lang w:val="uk-UA"/>
        </w:rPr>
        <w:t>Київ</w:t>
      </w:r>
    </w:p>
    <w:p w:rsidR="003B05B6" w:rsidRPr="004C6D3F" w:rsidRDefault="003B05B6" w:rsidP="003B05B6">
      <w:pPr>
        <w:spacing w:line="24" w:lineRule="atLeast"/>
        <w:rPr>
          <w:sz w:val="28"/>
          <w:szCs w:val="28"/>
          <w:lang w:val="uk-UA"/>
        </w:rPr>
      </w:pPr>
    </w:p>
    <w:p w:rsidR="003B05B6" w:rsidRPr="004C6D3F" w:rsidRDefault="003B05B6" w:rsidP="003B05B6">
      <w:pPr>
        <w:spacing w:line="24" w:lineRule="atLeast"/>
        <w:rPr>
          <w:sz w:val="28"/>
          <w:szCs w:val="28"/>
          <w:lang w:val="uk-UA"/>
        </w:rPr>
      </w:pPr>
    </w:p>
    <w:p w:rsidR="003B05B6" w:rsidRPr="004C6D3F" w:rsidRDefault="003B05B6" w:rsidP="003B05B6">
      <w:pPr>
        <w:spacing w:line="24" w:lineRule="atLeast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Доктор медичних наук, доцент</w:t>
      </w:r>
    </w:p>
    <w:p w:rsidR="003B05B6" w:rsidRPr="004C6D3F" w:rsidRDefault="003B05B6" w:rsidP="003B05B6">
      <w:pPr>
        <w:spacing w:line="24" w:lineRule="atLeast"/>
        <w:rPr>
          <w:b/>
          <w:sz w:val="28"/>
          <w:szCs w:val="28"/>
          <w:lang w:val="uk-UA"/>
        </w:rPr>
      </w:pPr>
      <w:r w:rsidRPr="004C6D3F">
        <w:rPr>
          <w:b/>
          <w:sz w:val="28"/>
          <w:szCs w:val="28"/>
          <w:lang w:val="uk-UA"/>
        </w:rPr>
        <w:t xml:space="preserve">Приходько Вікторія Юріївна, </w:t>
      </w:r>
    </w:p>
    <w:p w:rsidR="003B05B6" w:rsidRPr="004C6D3F" w:rsidRDefault="003B05B6" w:rsidP="003B05B6">
      <w:pPr>
        <w:spacing w:line="24" w:lineRule="atLeast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професор кафедри терапії і геріатрії </w:t>
      </w:r>
    </w:p>
    <w:p w:rsidR="003B05B6" w:rsidRPr="004C6D3F" w:rsidRDefault="003B05B6" w:rsidP="003B05B6">
      <w:pPr>
        <w:spacing w:line="24" w:lineRule="atLeast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Національної медичної академії післядипломної освіти</w:t>
      </w:r>
    </w:p>
    <w:p w:rsidR="003B05B6" w:rsidRPr="004C6D3F" w:rsidRDefault="003B05B6" w:rsidP="003B05B6">
      <w:pPr>
        <w:spacing w:line="24" w:lineRule="atLeast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імені П.Л.</w:t>
      </w:r>
      <w:r>
        <w:rPr>
          <w:sz w:val="28"/>
          <w:szCs w:val="28"/>
          <w:lang w:val="uk-UA"/>
        </w:rPr>
        <w:t xml:space="preserve"> </w:t>
      </w:r>
      <w:r w:rsidRPr="004C6D3F">
        <w:rPr>
          <w:sz w:val="28"/>
          <w:szCs w:val="28"/>
          <w:lang w:val="uk-UA"/>
        </w:rPr>
        <w:t>Шупика МОЗ України, м. Київ</w:t>
      </w:r>
    </w:p>
    <w:p w:rsidR="003B05B6" w:rsidRPr="004C6D3F" w:rsidRDefault="003B05B6" w:rsidP="003B05B6">
      <w:pPr>
        <w:spacing w:line="24" w:lineRule="atLeast"/>
        <w:rPr>
          <w:sz w:val="28"/>
          <w:szCs w:val="28"/>
          <w:lang w:val="uk-UA"/>
        </w:rPr>
      </w:pPr>
    </w:p>
    <w:p w:rsidR="003B05B6" w:rsidRPr="004C6D3F" w:rsidRDefault="003B05B6" w:rsidP="003B05B6">
      <w:pPr>
        <w:spacing w:line="24" w:lineRule="atLeast"/>
        <w:rPr>
          <w:sz w:val="28"/>
          <w:szCs w:val="28"/>
          <w:lang w:val="uk-UA"/>
        </w:rPr>
      </w:pPr>
    </w:p>
    <w:p w:rsidR="003B05B6" w:rsidRPr="004C6D3F" w:rsidRDefault="003B05B6" w:rsidP="003B05B6">
      <w:pPr>
        <w:spacing w:line="24" w:lineRule="atLeast"/>
        <w:rPr>
          <w:sz w:val="28"/>
          <w:szCs w:val="28"/>
          <w:lang w:val="uk-UA"/>
        </w:rPr>
      </w:pPr>
    </w:p>
    <w:p w:rsidR="003B05B6" w:rsidRPr="004C6D3F" w:rsidRDefault="003B05B6" w:rsidP="003B05B6">
      <w:pPr>
        <w:spacing w:line="24" w:lineRule="atLeast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Захист відбудеться «____» __________________ 2009 р. о ___ годині на засіданні </w:t>
      </w:r>
    </w:p>
    <w:p w:rsidR="003B05B6" w:rsidRPr="004C6D3F" w:rsidRDefault="003B05B6" w:rsidP="003B05B6">
      <w:pPr>
        <w:spacing w:line="24" w:lineRule="atLeast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спеціалізов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>ної вченої ради Д.26.616.01 при Національному науковому центрі</w:t>
      </w:r>
    </w:p>
    <w:p w:rsidR="003B05B6" w:rsidRPr="004C6D3F" w:rsidRDefault="003B05B6" w:rsidP="003B05B6">
      <w:pPr>
        <w:spacing w:line="24" w:lineRule="atLeast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«Інститут кардіології імені академіка М.Д.Стражеска» АМН України за адресою: </w:t>
      </w:r>
    </w:p>
    <w:p w:rsidR="003B05B6" w:rsidRPr="004C6D3F" w:rsidRDefault="003B05B6" w:rsidP="003B05B6">
      <w:pPr>
        <w:spacing w:line="24" w:lineRule="atLeast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03680 МСП, м.</w:t>
      </w:r>
      <w:r w:rsidRPr="004C6D3F">
        <w:rPr>
          <w:sz w:val="28"/>
          <w:szCs w:val="28"/>
        </w:rPr>
        <w:t xml:space="preserve"> </w:t>
      </w:r>
      <w:r w:rsidRPr="004C6D3F">
        <w:rPr>
          <w:sz w:val="28"/>
          <w:szCs w:val="28"/>
          <w:lang w:val="uk-UA"/>
        </w:rPr>
        <w:t>Київ, вул. Народного ополчення, 5.</w:t>
      </w:r>
    </w:p>
    <w:p w:rsidR="003B05B6" w:rsidRPr="004C6D3F" w:rsidRDefault="003B05B6" w:rsidP="003B05B6">
      <w:pPr>
        <w:spacing w:line="24" w:lineRule="atLeast"/>
        <w:rPr>
          <w:sz w:val="28"/>
          <w:szCs w:val="28"/>
          <w:lang w:val="uk-UA"/>
        </w:rPr>
      </w:pPr>
    </w:p>
    <w:p w:rsidR="003B05B6" w:rsidRPr="004C6D3F" w:rsidRDefault="003B05B6" w:rsidP="003B05B6">
      <w:pPr>
        <w:spacing w:line="24" w:lineRule="atLeast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З дисертацією можна ознайомитись у бібліотеці Національного наукового центру</w:t>
      </w:r>
    </w:p>
    <w:p w:rsidR="003B05B6" w:rsidRPr="004C6D3F" w:rsidRDefault="003B05B6" w:rsidP="003B05B6">
      <w:pPr>
        <w:spacing w:line="24" w:lineRule="atLeast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«Інститут кардіології імені академіка М.Д.Стражеска» АМН України (03680 МСП, м. Київ, вул. Народного ополчення, 5).</w:t>
      </w:r>
    </w:p>
    <w:p w:rsidR="003B05B6" w:rsidRPr="004C6D3F" w:rsidRDefault="003B05B6" w:rsidP="003B05B6">
      <w:pPr>
        <w:spacing w:line="24" w:lineRule="atLeast"/>
        <w:rPr>
          <w:sz w:val="28"/>
          <w:szCs w:val="28"/>
          <w:lang w:val="uk-UA"/>
        </w:rPr>
      </w:pPr>
    </w:p>
    <w:p w:rsidR="003B05B6" w:rsidRPr="004C6D3F" w:rsidRDefault="003B05B6" w:rsidP="003B05B6">
      <w:pPr>
        <w:spacing w:line="24" w:lineRule="atLeast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Автореферат розісланий «___» ________________ 2009 р.</w:t>
      </w:r>
    </w:p>
    <w:p w:rsidR="003B05B6" w:rsidRPr="004C6D3F" w:rsidRDefault="003B05B6" w:rsidP="003B05B6">
      <w:pPr>
        <w:spacing w:line="24" w:lineRule="atLeast"/>
        <w:rPr>
          <w:sz w:val="28"/>
          <w:szCs w:val="28"/>
          <w:lang w:val="uk-UA"/>
        </w:rPr>
      </w:pPr>
    </w:p>
    <w:p w:rsidR="003B05B6" w:rsidRPr="004C6D3F" w:rsidRDefault="003B05B6" w:rsidP="003B05B6">
      <w:pPr>
        <w:spacing w:line="24" w:lineRule="atLeast"/>
        <w:rPr>
          <w:b/>
          <w:sz w:val="28"/>
          <w:szCs w:val="28"/>
          <w:lang w:val="uk-UA"/>
        </w:rPr>
      </w:pPr>
    </w:p>
    <w:p w:rsidR="003B05B6" w:rsidRPr="004C6D3F" w:rsidRDefault="003B05B6" w:rsidP="003B05B6">
      <w:pPr>
        <w:spacing w:line="24" w:lineRule="atLeast"/>
        <w:rPr>
          <w:b/>
          <w:sz w:val="28"/>
          <w:szCs w:val="28"/>
          <w:lang w:val="uk-UA"/>
        </w:rPr>
      </w:pPr>
    </w:p>
    <w:p w:rsidR="003B05B6" w:rsidRPr="004C6D3F" w:rsidRDefault="003B05B6" w:rsidP="003B05B6">
      <w:pPr>
        <w:spacing w:line="24" w:lineRule="atLeast"/>
        <w:rPr>
          <w:b/>
          <w:sz w:val="28"/>
          <w:szCs w:val="28"/>
          <w:lang w:val="uk-UA"/>
        </w:rPr>
      </w:pPr>
      <w:r w:rsidRPr="004C6D3F">
        <w:rPr>
          <w:b/>
          <w:sz w:val="28"/>
          <w:szCs w:val="28"/>
          <w:lang w:val="uk-UA"/>
        </w:rPr>
        <w:t>Вчений секретар</w:t>
      </w:r>
    </w:p>
    <w:p w:rsidR="003B05B6" w:rsidRPr="004C6D3F" w:rsidRDefault="003B05B6" w:rsidP="003B05B6">
      <w:pPr>
        <w:spacing w:line="24" w:lineRule="atLeast"/>
        <w:rPr>
          <w:b/>
          <w:sz w:val="28"/>
          <w:szCs w:val="28"/>
          <w:lang w:val="uk-UA"/>
        </w:rPr>
      </w:pPr>
      <w:r w:rsidRPr="004C6D3F">
        <w:rPr>
          <w:b/>
          <w:sz w:val="28"/>
          <w:szCs w:val="28"/>
          <w:lang w:val="uk-UA"/>
        </w:rPr>
        <w:t>спеціалізованої вченої ради                                                                     С.І.Деяк</w:t>
      </w:r>
    </w:p>
    <w:p w:rsidR="003B05B6" w:rsidRPr="004C6D3F" w:rsidRDefault="003B05B6" w:rsidP="003B05B6">
      <w:pPr>
        <w:spacing w:line="24" w:lineRule="atLeast"/>
        <w:rPr>
          <w:sz w:val="28"/>
          <w:szCs w:val="28"/>
          <w:lang w:val="uk-UA"/>
        </w:rPr>
      </w:pPr>
    </w:p>
    <w:p w:rsidR="003B05B6" w:rsidRPr="004C6D3F" w:rsidRDefault="003B05B6" w:rsidP="003B05B6">
      <w:pPr>
        <w:jc w:val="center"/>
        <w:rPr>
          <w:b/>
          <w:sz w:val="28"/>
          <w:szCs w:val="28"/>
          <w:lang w:val="uk-UA"/>
        </w:rPr>
      </w:pPr>
      <w:r w:rsidRPr="004C6D3F">
        <w:rPr>
          <w:b/>
          <w:sz w:val="28"/>
          <w:szCs w:val="28"/>
          <w:lang w:val="uk-UA"/>
        </w:rPr>
        <w:t>ЗАГАЛЬНА ХАРАКТЕРИСТИКА РОБОТИ</w:t>
      </w:r>
    </w:p>
    <w:p w:rsidR="003B05B6" w:rsidRPr="004C6D3F" w:rsidRDefault="003B05B6" w:rsidP="003B05B6">
      <w:pPr>
        <w:ind w:firstLine="540"/>
        <w:jc w:val="both"/>
        <w:rPr>
          <w:b/>
          <w:sz w:val="28"/>
          <w:szCs w:val="28"/>
          <w:lang w:val="uk-UA"/>
        </w:rPr>
      </w:pPr>
    </w:p>
    <w:p w:rsidR="003B05B6" w:rsidRPr="004C6D3F" w:rsidRDefault="003B05B6" w:rsidP="003B05B6">
      <w:pPr>
        <w:ind w:firstLine="540"/>
        <w:jc w:val="both"/>
        <w:rPr>
          <w:sz w:val="28"/>
          <w:szCs w:val="28"/>
          <w:lang w:val="uk-UA"/>
        </w:rPr>
      </w:pPr>
      <w:r w:rsidRPr="004C6D3F">
        <w:rPr>
          <w:b/>
          <w:sz w:val="28"/>
          <w:szCs w:val="28"/>
          <w:lang w:val="uk-UA"/>
        </w:rPr>
        <w:t>Актуальність теми.</w:t>
      </w:r>
      <w:r w:rsidRPr="004C6D3F">
        <w:rPr>
          <w:sz w:val="28"/>
          <w:szCs w:val="28"/>
          <w:lang w:val="uk-UA"/>
        </w:rPr>
        <w:t xml:space="preserve"> Хронічна серцева недостатність (ХСН) залишається одною з акту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>льних проблем сучасної кардіології (</w:t>
      </w:r>
      <w:hyperlink r:id="rId8" w:history="1">
        <w:r w:rsidRPr="004C6D3F">
          <w:rPr>
            <w:sz w:val="28"/>
            <w:szCs w:val="28"/>
            <w:lang w:val="en-GB"/>
          </w:rPr>
          <w:t>Cleland</w:t>
        </w:r>
        <w:r w:rsidRPr="004C6D3F">
          <w:rPr>
            <w:sz w:val="28"/>
            <w:szCs w:val="28"/>
            <w:lang w:val="uk-UA"/>
          </w:rPr>
          <w:t xml:space="preserve"> </w:t>
        </w:r>
        <w:r w:rsidRPr="004C6D3F">
          <w:rPr>
            <w:sz w:val="28"/>
            <w:szCs w:val="28"/>
            <w:lang w:val="en-GB"/>
          </w:rPr>
          <w:t>J</w:t>
        </w:r>
        <w:r w:rsidRPr="004C6D3F">
          <w:rPr>
            <w:sz w:val="28"/>
            <w:szCs w:val="28"/>
            <w:lang w:val="uk-UA"/>
          </w:rPr>
          <w:t>.</w:t>
        </w:r>
        <w:r w:rsidRPr="004C6D3F">
          <w:rPr>
            <w:sz w:val="28"/>
            <w:szCs w:val="28"/>
            <w:lang w:val="en-GB"/>
          </w:rPr>
          <w:t>G</w:t>
        </w:r>
      </w:hyperlink>
      <w:r w:rsidRPr="004C6D3F">
        <w:rPr>
          <w:sz w:val="28"/>
          <w:szCs w:val="28"/>
          <w:lang w:val="uk-UA"/>
        </w:rPr>
        <w:t>., 2001; Воронков Л.Г., 2001).</w:t>
      </w:r>
      <w:r w:rsidRPr="00B346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4C6D3F">
        <w:rPr>
          <w:sz w:val="28"/>
          <w:szCs w:val="28"/>
          <w:lang w:val="uk-UA"/>
        </w:rPr>
        <w:t xml:space="preserve">а межі ХХ та ХХІ століть </w:t>
      </w:r>
      <w:r>
        <w:rPr>
          <w:sz w:val="28"/>
          <w:szCs w:val="28"/>
          <w:lang w:val="uk-UA"/>
        </w:rPr>
        <w:t>п</w:t>
      </w:r>
      <w:r w:rsidRPr="004C6D3F">
        <w:rPr>
          <w:sz w:val="28"/>
          <w:szCs w:val="28"/>
          <w:lang w:val="uk-UA"/>
        </w:rPr>
        <w:t>оширеність ХСН серед дорослого населення планети складала приблизно 1-2%</w:t>
      </w:r>
      <w:r w:rsidRPr="00B34634">
        <w:rPr>
          <w:sz w:val="28"/>
          <w:szCs w:val="28"/>
          <w:lang w:val="uk-UA"/>
        </w:rPr>
        <w:t xml:space="preserve"> (</w:t>
      </w:r>
      <w:r w:rsidRPr="004C6D3F">
        <w:rPr>
          <w:sz w:val="28"/>
          <w:szCs w:val="28"/>
          <w:lang w:val="uk-UA"/>
        </w:rPr>
        <w:t>серед осіб похилого віку 10%</w:t>
      </w:r>
      <w:r w:rsidRPr="00B34634">
        <w:rPr>
          <w:sz w:val="28"/>
          <w:szCs w:val="28"/>
          <w:lang w:val="uk-UA"/>
        </w:rPr>
        <w:t>)</w:t>
      </w:r>
      <w:r w:rsidRPr="004C6D3F">
        <w:rPr>
          <w:sz w:val="28"/>
          <w:szCs w:val="28"/>
          <w:lang w:val="uk-UA"/>
        </w:rPr>
        <w:t xml:space="preserve"> (Tendera M., 2005)</w:t>
      </w:r>
      <w:r>
        <w:rPr>
          <w:sz w:val="28"/>
          <w:szCs w:val="28"/>
          <w:lang w:val="uk-UA"/>
        </w:rPr>
        <w:t xml:space="preserve"> і</w:t>
      </w:r>
      <w:r w:rsidRPr="004C6D3F">
        <w:rPr>
          <w:sz w:val="28"/>
          <w:szCs w:val="28"/>
          <w:lang w:val="uk-UA"/>
        </w:rPr>
        <w:t xml:space="preserve"> на лікування </w:t>
      </w:r>
      <w:r>
        <w:rPr>
          <w:sz w:val="28"/>
          <w:szCs w:val="28"/>
          <w:lang w:val="uk-UA"/>
        </w:rPr>
        <w:t xml:space="preserve">таких </w:t>
      </w:r>
      <w:r w:rsidRPr="004C6D3F">
        <w:rPr>
          <w:sz w:val="28"/>
          <w:szCs w:val="28"/>
          <w:lang w:val="uk-UA"/>
        </w:rPr>
        <w:t>хворих витрача</w:t>
      </w:r>
      <w:r>
        <w:rPr>
          <w:sz w:val="28"/>
          <w:szCs w:val="28"/>
          <w:lang w:val="uk-UA"/>
        </w:rPr>
        <w:t>лось</w:t>
      </w:r>
      <w:r w:rsidRPr="004C6D3F">
        <w:rPr>
          <w:sz w:val="28"/>
          <w:szCs w:val="28"/>
          <w:lang w:val="uk-UA"/>
        </w:rPr>
        <w:t xml:space="preserve"> 2-3% від загальних витрат на охорону здоров'я (Беленков Ю.Н., 2002). </w:t>
      </w:r>
    </w:p>
    <w:p w:rsidR="003B05B6" w:rsidRPr="004C6D3F" w:rsidRDefault="003B05B6" w:rsidP="003B05B6">
      <w:pPr>
        <w:ind w:firstLine="540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За останні три десятиліття ХХ століття було досягнуто значних успіхів у розумінні</w:t>
      </w:r>
      <w:r w:rsidRPr="004C6D3F">
        <w:rPr>
          <w:rFonts w:cs="MinionPro-Regular"/>
          <w:color w:val="000000"/>
          <w:sz w:val="28"/>
          <w:szCs w:val="28"/>
          <w:lang w:val="uk-UA"/>
        </w:rPr>
        <w:t xml:space="preserve"> патофіз</w:t>
      </w:r>
      <w:r w:rsidRPr="004C6D3F">
        <w:rPr>
          <w:rFonts w:cs="MinionPro-Regular"/>
          <w:color w:val="000000"/>
          <w:sz w:val="28"/>
          <w:szCs w:val="28"/>
          <w:lang w:val="uk-UA"/>
        </w:rPr>
        <w:t>і</w:t>
      </w:r>
      <w:r w:rsidRPr="004C6D3F">
        <w:rPr>
          <w:rFonts w:cs="MinionPro-Regular"/>
          <w:color w:val="000000"/>
          <w:sz w:val="28"/>
          <w:szCs w:val="28"/>
          <w:lang w:val="uk-UA"/>
        </w:rPr>
        <w:t>ологічних механізмів ХСН</w:t>
      </w:r>
      <w:r>
        <w:rPr>
          <w:rFonts w:cs="MinionPro-Regular"/>
          <w:color w:val="000000"/>
          <w:sz w:val="28"/>
          <w:szCs w:val="28"/>
          <w:lang w:val="uk-UA"/>
        </w:rPr>
        <w:t xml:space="preserve">, що зумовило </w:t>
      </w:r>
      <w:r w:rsidRPr="004C6D3F">
        <w:rPr>
          <w:sz w:val="28"/>
          <w:szCs w:val="28"/>
          <w:lang w:val="uk-UA"/>
        </w:rPr>
        <w:t>розроб</w:t>
      </w:r>
      <w:r>
        <w:rPr>
          <w:sz w:val="28"/>
          <w:szCs w:val="28"/>
          <w:lang w:val="uk-UA"/>
        </w:rPr>
        <w:t>ку</w:t>
      </w:r>
      <w:r w:rsidRPr="004C6D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сучасних рекомендацій з</w:t>
      </w:r>
      <w:r w:rsidRPr="004C6D3F">
        <w:rPr>
          <w:sz w:val="28"/>
          <w:szCs w:val="28"/>
          <w:lang w:val="uk-UA"/>
        </w:rPr>
        <w:t xml:space="preserve"> лікування пацієнтів з ХСН (ACC/AHA Guideline, 2005; Swedberg K., 2005; Воронков Л.Г., 2006, Мареев В.Ю., 2006</w:t>
      </w:r>
      <w:r w:rsidRPr="00550EAA">
        <w:rPr>
          <w:sz w:val="28"/>
          <w:szCs w:val="28"/>
          <w:lang w:val="uk-UA"/>
        </w:rPr>
        <w:t xml:space="preserve">, </w:t>
      </w:r>
      <w:r w:rsidRPr="00F75AF4">
        <w:rPr>
          <w:sz w:val="28"/>
          <w:szCs w:val="28"/>
          <w:lang w:val="en-US"/>
        </w:rPr>
        <w:t>Vaganian</w:t>
      </w:r>
      <w:r w:rsidRPr="00550EAA">
        <w:rPr>
          <w:sz w:val="28"/>
          <w:szCs w:val="28"/>
          <w:lang w:val="uk-UA"/>
        </w:rPr>
        <w:t xml:space="preserve"> </w:t>
      </w:r>
      <w:r w:rsidRPr="00F75AF4">
        <w:rPr>
          <w:sz w:val="28"/>
          <w:szCs w:val="28"/>
          <w:lang w:val="en-US"/>
        </w:rPr>
        <w:t>A</w:t>
      </w:r>
      <w:r w:rsidRPr="00550EAA">
        <w:rPr>
          <w:sz w:val="28"/>
          <w:szCs w:val="28"/>
          <w:lang w:val="uk-UA"/>
        </w:rPr>
        <w:t>., 2008</w:t>
      </w:r>
      <w:r w:rsidRPr="00350699">
        <w:rPr>
          <w:sz w:val="28"/>
          <w:szCs w:val="28"/>
          <w:lang w:val="uk-UA"/>
        </w:rPr>
        <w:t>). Для лікування</w:t>
      </w:r>
      <w:r w:rsidRPr="004C6D3F">
        <w:rPr>
          <w:sz w:val="28"/>
          <w:szCs w:val="28"/>
          <w:lang w:val="uk-UA"/>
        </w:rPr>
        <w:t xml:space="preserve"> ХСН рекомендовані препарати, </w:t>
      </w:r>
      <w:r>
        <w:rPr>
          <w:sz w:val="28"/>
          <w:szCs w:val="28"/>
          <w:lang w:val="uk-UA"/>
        </w:rPr>
        <w:t xml:space="preserve">що блокують активність нейрогуморальних систем,  </w:t>
      </w:r>
      <w:r w:rsidRPr="004C6D3F">
        <w:rPr>
          <w:sz w:val="28"/>
          <w:szCs w:val="28"/>
          <w:lang w:val="uk-UA"/>
        </w:rPr>
        <w:t xml:space="preserve">ефективність </w:t>
      </w:r>
      <w:r>
        <w:rPr>
          <w:sz w:val="28"/>
          <w:szCs w:val="28"/>
          <w:lang w:val="uk-UA"/>
        </w:rPr>
        <w:t>та</w:t>
      </w:r>
      <w:r w:rsidRPr="004C6D3F">
        <w:rPr>
          <w:sz w:val="28"/>
          <w:szCs w:val="28"/>
          <w:lang w:val="uk-UA"/>
        </w:rPr>
        <w:t xml:space="preserve"> безпека </w:t>
      </w:r>
      <w:r>
        <w:rPr>
          <w:sz w:val="28"/>
          <w:szCs w:val="28"/>
          <w:lang w:val="uk-UA"/>
        </w:rPr>
        <w:t>яких не викликає сумнівів з позиції доказової медицини</w:t>
      </w:r>
      <w:r w:rsidRPr="004C6D3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При цьому однією з н</w:t>
      </w:r>
      <w:r w:rsidRPr="004C6D3F">
        <w:rPr>
          <w:sz w:val="28"/>
          <w:szCs w:val="28"/>
          <w:lang w:val="uk-UA"/>
        </w:rPr>
        <w:t>айбільш оптимальни</w:t>
      </w:r>
      <w:r>
        <w:rPr>
          <w:sz w:val="28"/>
          <w:szCs w:val="28"/>
          <w:lang w:val="uk-UA"/>
        </w:rPr>
        <w:t xml:space="preserve">х комбінацій залишається </w:t>
      </w:r>
      <w:r w:rsidRPr="004C6D3F">
        <w:rPr>
          <w:sz w:val="28"/>
          <w:szCs w:val="28"/>
          <w:lang w:val="uk-UA"/>
        </w:rPr>
        <w:t xml:space="preserve">призначення </w:t>
      </w:r>
      <w:r>
        <w:rPr>
          <w:sz w:val="28"/>
          <w:szCs w:val="28"/>
          <w:lang w:val="uk-UA"/>
        </w:rPr>
        <w:t>інгібіторів ангіотензинперетворюючого ферменту (іАПФ) та бета-адреноблокаторів (БАБ)</w:t>
      </w:r>
      <w:r w:rsidRPr="004C6D3F">
        <w:rPr>
          <w:sz w:val="28"/>
          <w:szCs w:val="28"/>
          <w:lang w:val="uk-UA"/>
        </w:rPr>
        <w:t>. Поз</w:t>
      </w:r>
      <w:r w:rsidRPr="004C6D3F">
        <w:rPr>
          <w:sz w:val="28"/>
          <w:szCs w:val="28"/>
          <w:lang w:val="uk-UA"/>
        </w:rPr>
        <w:t>и</w:t>
      </w:r>
      <w:r w:rsidRPr="004C6D3F">
        <w:rPr>
          <w:sz w:val="28"/>
          <w:szCs w:val="28"/>
          <w:lang w:val="uk-UA"/>
        </w:rPr>
        <w:t xml:space="preserve">тивний вплив цих препаратів на клінічний перебіг </w:t>
      </w:r>
      <w:r>
        <w:rPr>
          <w:sz w:val="28"/>
          <w:szCs w:val="28"/>
          <w:lang w:val="uk-UA"/>
        </w:rPr>
        <w:t>ХСН</w:t>
      </w:r>
      <w:r w:rsidRPr="004C6D3F">
        <w:rPr>
          <w:sz w:val="28"/>
          <w:szCs w:val="28"/>
          <w:lang w:val="uk-UA"/>
        </w:rPr>
        <w:t xml:space="preserve">, прогноз </w:t>
      </w:r>
      <w:r>
        <w:rPr>
          <w:sz w:val="28"/>
          <w:szCs w:val="28"/>
          <w:lang w:val="uk-UA"/>
        </w:rPr>
        <w:t xml:space="preserve">та якість життя </w:t>
      </w:r>
      <w:r w:rsidRPr="004C6D3F">
        <w:rPr>
          <w:sz w:val="28"/>
          <w:szCs w:val="28"/>
          <w:lang w:val="uk-UA"/>
        </w:rPr>
        <w:t xml:space="preserve">пацієнтів, </w:t>
      </w:r>
      <w:r>
        <w:rPr>
          <w:sz w:val="28"/>
          <w:szCs w:val="28"/>
          <w:lang w:val="uk-UA"/>
        </w:rPr>
        <w:t xml:space="preserve">на кількість госпіталізацій, </w:t>
      </w:r>
      <w:r w:rsidRPr="004C6D3F">
        <w:rPr>
          <w:sz w:val="28"/>
          <w:szCs w:val="28"/>
          <w:lang w:val="uk-UA"/>
        </w:rPr>
        <w:t>на процеси ремоделювання л</w:t>
      </w:r>
      <w:r w:rsidRPr="004C6D3F">
        <w:rPr>
          <w:sz w:val="28"/>
          <w:szCs w:val="28"/>
          <w:lang w:val="uk-UA"/>
        </w:rPr>
        <w:t>і</w:t>
      </w:r>
      <w:r w:rsidRPr="004C6D3F">
        <w:rPr>
          <w:sz w:val="28"/>
          <w:szCs w:val="28"/>
          <w:lang w:val="uk-UA"/>
        </w:rPr>
        <w:t xml:space="preserve">вого шлуночка (ЛШ) </w:t>
      </w:r>
      <w:r>
        <w:rPr>
          <w:sz w:val="28"/>
          <w:szCs w:val="28"/>
          <w:lang w:val="uk-UA"/>
        </w:rPr>
        <w:t xml:space="preserve">був </w:t>
      </w:r>
      <w:r w:rsidRPr="004C6D3F">
        <w:rPr>
          <w:sz w:val="28"/>
          <w:szCs w:val="28"/>
          <w:lang w:val="uk-UA"/>
        </w:rPr>
        <w:t>доказан</w:t>
      </w:r>
      <w:r>
        <w:rPr>
          <w:sz w:val="28"/>
          <w:szCs w:val="28"/>
          <w:lang w:val="uk-UA"/>
        </w:rPr>
        <w:t>ий</w:t>
      </w:r>
      <w:r w:rsidRPr="004C6D3F">
        <w:rPr>
          <w:sz w:val="28"/>
          <w:szCs w:val="28"/>
          <w:lang w:val="uk-UA"/>
        </w:rPr>
        <w:t xml:space="preserve"> у великій кількості багатоцен</w:t>
      </w:r>
      <w:r w:rsidRPr="004C6D3F">
        <w:rPr>
          <w:sz w:val="28"/>
          <w:szCs w:val="28"/>
          <w:lang w:val="uk-UA"/>
        </w:rPr>
        <w:t>т</w:t>
      </w:r>
      <w:r w:rsidRPr="004C6D3F">
        <w:rPr>
          <w:sz w:val="28"/>
          <w:szCs w:val="28"/>
          <w:lang w:val="uk-UA"/>
        </w:rPr>
        <w:t xml:space="preserve">рових плацебо-контрольованих досліджень. </w:t>
      </w:r>
    </w:p>
    <w:p w:rsidR="003B05B6" w:rsidRPr="004C6D3F" w:rsidRDefault="003B05B6" w:rsidP="003B05B6">
      <w:pPr>
        <w:ind w:firstLine="709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Проте, </w:t>
      </w:r>
      <w:r>
        <w:rPr>
          <w:sz w:val="28"/>
          <w:szCs w:val="28"/>
          <w:lang w:val="uk-UA"/>
        </w:rPr>
        <w:t xml:space="preserve">і </w:t>
      </w:r>
      <w:r w:rsidRPr="004C6D3F">
        <w:rPr>
          <w:sz w:val="28"/>
          <w:szCs w:val="28"/>
          <w:lang w:val="uk-UA"/>
        </w:rPr>
        <w:t>дотепер існують певні проблеми із лікува</w:t>
      </w:r>
      <w:r w:rsidRPr="004C6D3F">
        <w:rPr>
          <w:sz w:val="28"/>
          <w:szCs w:val="28"/>
          <w:lang w:val="uk-UA"/>
        </w:rPr>
        <w:t>н</w:t>
      </w:r>
      <w:r w:rsidRPr="004C6D3F">
        <w:rPr>
          <w:sz w:val="28"/>
          <w:szCs w:val="28"/>
          <w:lang w:val="uk-UA"/>
        </w:rPr>
        <w:t>ням хворих з систолічною ХСН. Незважаючи на сучасне лікування, прогноз таких пацієнтів все ще лишається несприятливим</w:t>
      </w:r>
      <w:r>
        <w:rPr>
          <w:sz w:val="28"/>
          <w:szCs w:val="28"/>
          <w:lang w:val="uk-UA"/>
        </w:rPr>
        <w:t xml:space="preserve">: </w:t>
      </w:r>
      <w:r w:rsidRPr="004C6D3F">
        <w:rPr>
          <w:sz w:val="28"/>
          <w:szCs w:val="28"/>
          <w:lang w:val="uk-UA"/>
        </w:rPr>
        <w:t>п’ятирічна смертність при ХСН наприкінці ХХ століття становила 45-59% залежно від статі пацієнтів (</w:t>
      </w:r>
      <w:r w:rsidRPr="004C6D3F">
        <w:rPr>
          <w:sz w:val="28"/>
          <w:szCs w:val="28"/>
          <w:lang w:val="en-GB"/>
        </w:rPr>
        <w:t>Levy</w:t>
      </w:r>
      <w:r w:rsidRPr="004C6D3F">
        <w:rPr>
          <w:sz w:val="28"/>
          <w:szCs w:val="28"/>
          <w:lang w:val="uk-UA"/>
        </w:rPr>
        <w:t xml:space="preserve"> </w:t>
      </w:r>
      <w:r w:rsidRPr="004C6D3F">
        <w:rPr>
          <w:sz w:val="28"/>
          <w:szCs w:val="28"/>
          <w:lang w:val="en-GB"/>
        </w:rPr>
        <w:t>D</w:t>
      </w:r>
      <w:r w:rsidRPr="004C6D3F">
        <w:rPr>
          <w:sz w:val="28"/>
          <w:szCs w:val="28"/>
          <w:lang w:val="uk-UA"/>
        </w:rPr>
        <w:t xml:space="preserve">., 2002; </w:t>
      </w:r>
      <w:r w:rsidRPr="004C6D3F">
        <w:rPr>
          <w:sz w:val="28"/>
          <w:szCs w:val="28"/>
          <w:lang w:val="en-GB"/>
        </w:rPr>
        <w:t>Mosterd</w:t>
      </w:r>
      <w:r w:rsidRPr="004C6D3F">
        <w:rPr>
          <w:sz w:val="28"/>
          <w:szCs w:val="28"/>
          <w:lang w:val="uk-UA"/>
        </w:rPr>
        <w:t xml:space="preserve"> </w:t>
      </w:r>
      <w:r w:rsidRPr="004C6D3F">
        <w:rPr>
          <w:sz w:val="28"/>
          <w:szCs w:val="28"/>
          <w:lang w:val="en-GB"/>
        </w:rPr>
        <w:t>A</w:t>
      </w:r>
      <w:r w:rsidRPr="004C6D3F">
        <w:rPr>
          <w:sz w:val="28"/>
          <w:szCs w:val="28"/>
          <w:lang w:val="uk-UA"/>
        </w:rPr>
        <w:t xml:space="preserve">., 2007; Remme W.J., 2007). </w:t>
      </w:r>
      <w:r>
        <w:rPr>
          <w:sz w:val="28"/>
          <w:szCs w:val="28"/>
          <w:lang w:val="uk-UA"/>
        </w:rPr>
        <w:t>В</w:t>
      </w:r>
      <w:r w:rsidRPr="004C6D3F">
        <w:rPr>
          <w:sz w:val="28"/>
          <w:szCs w:val="28"/>
          <w:lang w:val="uk-UA"/>
        </w:rPr>
        <w:t xml:space="preserve"> усьому світі </w:t>
      </w:r>
      <w:r>
        <w:rPr>
          <w:sz w:val="28"/>
          <w:szCs w:val="28"/>
          <w:lang w:val="uk-UA"/>
        </w:rPr>
        <w:t xml:space="preserve">продовжує </w:t>
      </w:r>
      <w:r w:rsidRPr="004C6D3F">
        <w:rPr>
          <w:sz w:val="28"/>
          <w:szCs w:val="28"/>
          <w:lang w:val="uk-UA"/>
        </w:rPr>
        <w:t>збільшу</w:t>
      </w:r>
      <w:r>
        <w:rPr>
          <w:sz w:val="28"/>
          <w:szCs w:val="28"/>
          <w:lang w:val="uk-UA"/>
        </w:rPr>
        <w:t xml:space="preserve">ватись </w:t>
      </w:r>
      <w:r w:rsidRPr="004C6D3F">
        <w:rPr>
          <w:sz w:val="28"/>
          <w:szCs w:val="28"/>
          <w:lang w:val="uk-UA"/>
        </w:rPr>
        <w:t>кількість госпіталізацій внаслідок загострення ХСН: протягом перших трьох місяців після виписки із стаціонару повторно госпіталізується 37% хворих з ХСН (Гуревич М.А., 2008). Ці невтішні дані обумовлені</w:t>
      </w:r>
      <w:r>
        <w:rPr>
          <w:sz w:val="28"/>
          <w:szCs w:val="28"/>
          <w:lang w:val="uk-UA"/>
        </w:rPr>
        <w:t xml:space="preserve"> цілим рядом причин. По-перше, </w:t>
      </w:r>
      <w:r w:rsidRPr="004C6D3F">
        <w:rPr>
          <w:sz w:val="28"/>
          <w:szCs w:val="28"/>
          <w:lang w:val="uk-UA"/>
        </w:rPr>
        <w:t xml:space="preserve">в </w:t>
      </w:r>
      <w:r w:rsidRPr="004C6D3F">
        <w:rPr>
          <w:sz w:val="28"/>
          <w:szCs w:val="28"/>
          <w:lang w:val="uk-UA"/>
        </w:rPr>
        <w:lastRenderedPageBreak/>
        <w:t>клінічній практиці іАПФ та БАБ призначаються не всім паціє</w:t>
      </w:r>
      <w:r w:rsidRPr="004C6D3F">
        <w:rPr>
          <w:sz w:val="28"/>
          <w:szCs w:val="28"/>
          <w:lang w:val="uk-UA"/>
        </w:rPr>
        <w:t>н</w:t>
      </w:r>
      <w:r w:rsidRPr="004C6D3F">
        <w:rPr>
          <w:sz w:val="28"/>
          <w:szCs w:val="28"/>
          <w:lang w:val="uk-UA"/>
        </w:rPr>
        <w:t>там</w:t>
      </w:r>
      <w:r>
        <w:rPr>
          <w:sz w:val="28"/>
          <w:szCs w:val="28"/>
          <w:lang w:val="uk-UA"/>
        </w:rPr>
        <w:t>. По-друге</w:t>
      </w:r>
      <w:r w:rsidRPr="004C6D3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ці препарати якщо і </w:t>
      </w:r>
      <w:r w:rsidRPr="004C6D3F">
        <w:rPr>
          <w:sz w:val="28"/>
          <w:szCs w:val="28"/>
          <w:lang w:val="uk-UA"/>
        </w:rPr>
        <w:t>застосовуються</w:t>
      </w:r>
      <w:r>
        <w:rPr>
          <w:sz w:val="28"/>
          <w:szCs w:val="28"/>
          <w:lang w:val="uk-UA"/>
        </w:rPr>
        <w:t>, то у багатьох випадках</w:t>
      </w:r>
      <w:r w:rsidRPr="004C6D3F">
        <w:rPr>
          <w:sz w:val="28"/>
          <w:szCs w:val="28"/>
          <w:lang w:val="uk-UA"/>
        </w:rPr>
        <w:t xml:space="preserve"> в неадекватних дозах – менших за ті, що рекомендовані за даними баг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 xml:space="preserve">тоцентрових досліджень (Беленков Ю.Н., 2001, 2002; </w:t>
      </w:r>
      <w:hyperlink r:id="rId9" w:history="1">
        <w:r w:rsidRPr="004C6D3F">
          <w:rPr>
            <w:sz w:val="28"/>
            <w:szCs w:val="28"/>
            <w:lang w:val="uk-UA"/>
          </w:rPr>
          <w:t>Cleland J.G</w:t>
        </w:r>
      </w:hyperlink>
      <w:r w:rsidRPr="004C6D3F">
        <w:rPr>
          <w:sz w:val="28"/>
          <w:szCs w:val="28"/>
          <w:lang w:val="uk-UA"/>
        </w:rPr>
        <w:t xml:space="preserve">., 2002; Агеев Ф.Т., 2004). </w:t>
      </w:r>
      <w:r w:rsidRPr="00350699">
        <w:rPr>
          <w:sz w:val="28"/>
          <w:szCs w:val="28"/>
          <w:lang w:val="uk-UA"/>
        </w:rPr>
        <w:t>По-третє</w:t>
      </w:r>
      <w:r>
        <w:rPr>
          <w:sz w:val="28"/>
          <w:szCs w:val="28"/>
          <w:lang w:val="uk-UA"/>
        </w:rPr>
        <w:t xml:space="preserve">, </w:t>
      </w:r>
      <w:r w:rsidRPr="004C6D3F">
        <w:rPr>
          <w:sz w:val="28"/>
          <w:szCs w:val="28"/>
          <w:lang w:val="uk-UA"/>
        </w:rPr>
        <w:t>залишаються недостатньо вивченими алгоритми індивідуальної терапії у певних груп хворих з різною етіологією ХСН.</w:t>
      </w:r>
      <w:r>
        <w:rPr>
          <w:sz w:val="28"/>
          <w:szCs w:val="28"/>
          <w:lang w:val="uk-UA"/>
        </w:rPr>
        <w:t xml:space="preserve"> </w:t>
      </w:r>
      <w:r w:rsidRPr="004C6D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4C6D3F">
        <w:rPr>
          <w:sz w:val="28"/>
          <w:szCs w:val="28"/>
          <w:lang w:val="uk-UA"/>
        </w:rPr>
        <w:t>о цього часу підходи до лікування хворих з систолічною ХСН все ще залишаються достатньо універсал</w:t>
      </w:r>
      <w:r w:rsidRPr="004C6D3F">
        <w:rPr>
          <w:sz w:val="28"/>
          <w:szCs w:val="28"/>
          <w:lang w:val="uk-UA"/>
        </w:rPr>
        <w:t>ь</w:t>
      </w:r>
      <w:r w:rsidRPr="004C6D3F">
        <w:rPr>
          <w:sz w:val="28"/>
          <w:szCs w:val="28"/>
          <w:lang w:val="uk-UA"/>
        </w:rPr>
        <w:t>ними</w:t>
      </w:r>
      <w:r>
        <w:rPr>
          <w:sz w:val="28"/>
          <w:szCs w:val="28"/>
          <w:lang w:val="uk-UA"/>
        </w:rPr>
        <w:t xml:space="preserve">. Вважається, що </w:t>
      </w:r>
      <w:r w:rsidRPr="004C6D3F">
        <w:rPr>
          <w:sz w:val="28"/>
          <w:szCs w:val="28"/>
          <w:lang w:val="uk-UA"/>
        </w:rPr>
        <w:t>в ході прогресування ХСН значення етіологічних осо</w:t>
      </w:r>
      <w:r w:rsidRPr="004C6D3F">
        <w:rPr>
          <w:sz w:val="28"/>
          <w:szCs w:val="28"/>
          <w:lang w:val="uk-UA"/>
        </w:rPr>
        <w:t>б</w:t>
      </w:r>
      <w:r w:rsidRPr="004C6D3F">
        <w:rPr>
          <w:sz w:val="28"/>
          <w:szCs w:val="28"/>
          <w:lang w:val="uk-UA"/>
        </w:rPr>
        <w:t>ливостей поступово втрачає пріоритет і на перший план виходять загальні механізми серцевої н</w:t>
      </w:r>
      <w:r w:rsidRPr="004C6D3F">
        <w:rPr>
          <w:sz w:val="28"/>
          <w:szCs w:val="28"/>
          <w:lang w:val="uk-UA"/>
        </w:rPr>
        <w:t>е</w:t>
      </w:r>
      <w:r w:rsidRPr="004C6D3F">
        <w:rPr>
          <w:sz w:val="28"/>
          <w:szCs w:val="28"/>
          <w:lang w:val="uk-UA"/>
        </w:rPr>
        <w:t>достатності. </w:t>
      </w:r>
      <w:r>
        <w:rPr>
          <w:sz w:val="28"/>
          <w:szCs w:val="28"/>
          <w:lang w:val="uk-UA"/>
        </w:rPr>
        <w:t>Однак існують докази того</w:t>
      </w:r>
      <w:r w:rsidRPr="004C6D3F">
        <w:rPr>
          <w:sz w:val="28"/>
          <w:szCs w:val="28"/>
          <w:lang w:val="uk-UA"/>
        </w:rPr>
        <w:t xml:space="preserve">, що ефекти синдромального лікування можуть відрізнятися в залежності від етіології ХСН (Doughty R.N., 2000; Беленков Ю.Н., 2001; </w:t>
      </w:r>
      <w:hyperlink r:id="rId10" w:history="1">
        <w:r w:rsidRPr="004C6D3F">
          <w:rPr>
            <w:sz w:val="28"/>
            <w:szCs w:val="28"/>
            <w:lang w:val="uk-UA"/>
          </w:rPr>
          <w:t>Dargie H.J</w:t>
        </w:r>
      </w:hyperlink>
      <w:r w:rsidRPr="004C6D3F">
        <w:rPr>
          <w:sz w:val="28"/>
          <w:szCs w:val="28"/>
          <w:lang w:val="uk-UA"/>
        </w:rPr>
        <w:t xml:space="preserve">., 2001; </w:t>
      </w:r>
      <w:hyperlink r:id="rId11" w:history="1">
        <w:r w:rsidRPr="004C6D3F">
          <w:rPr>
            <w:sz w:val="28"/>
            <w:szCs w:val="28"/>
            <w:lang w:val="uk-UA"/>
          </w:rPr>
          <w:t>Colucci WS</w:t>
        </w:r>
      </w:hyperlink>
      <w:r w:rsidRPr="004C6D3F">
        <w:rPr>
          <w:sz w:val="28"/>
          <w:szCs w:val="28"/>
          <w:lang w:val="uk-UA"/>
        </w:rPr>
        <w:t xml:space="preserve">., 2004; Paraskevaidis I., 2007). </w:t>
      </w:r>
    </w:p>
    <w:p w:rsidR="003B05B6" w:rsidRPr="004C6D3F" w:rsidRDefault="003B05B6" w:rsidP="003B05B6">
      <w:pPr>
        <w:ind w:firstLine="540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В зв’язку з цим, удосконалення лікування хворих з ХСН різного ґенезу є одним з пріорите</w:t>
      </w:r>
      <w:r w:rsidRPr="004C6D3F">
        <w:rPr>
          <w:sz w:val="28"/>
          <w:szCs w:val="28"/>
          <w:lang w:val="uk-UA"/>
        </w:rPr>
        <w:t>т</w:t>
      </w:r>
      <w:r w:rsidRPr="004C6D3F">
        <w:rPr>
          <w:sz w:val="28"/>
          <w:szCs w:val="28"/>
          <w:lang w:val="uk-UA"/>
        </w:rPr>
        <w:t>них завдань сучасної кардіології. Уточнення методології терапії ХСН може призвести до покр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>щення лікування таких хворих, що, в свою чергу, може позитивно вплинути на прогноз та перебіг ХСН.</w:t>
      </w:r>
    </w:p>
    <w:p w:rsidR="003B05B6" w:rsidRPr="004C6D3F" w:rsidRDefault="003B05B6" w:rsidP="003B05B6">
      <w:pPr>
        <w:spacing w:line="252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b/>
          <w:sz w:val="28"/>
          <w:szCs w:val="28"/>
          <w:lang w:val="uk-UA"/>
        </w:rPr>
        <w:t>Зв'язок роботи з науковими програмами, планами, темами</w:t>
      </w:r>
      <w:r w:rsidRPr="004C6D3F">
        <w:rPr>
          <w:sz w:val="28"/>
          <w:szCs w:val="28"/>
          <w:lang w:val="uk-UA"/>
        </w:rPr>
        <w:t>. Дисертаційна робота викон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>на в ННЦ «Інститут кардіології ім. академіка М.Д.Стражеска» АМН України згідно плану наук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>во-дослідної роботи відділу некоронарогенних хвороб серця та клінічної ревматології і є частиною загальної теми відділу «Вивчити взаємозв’язок між порушеннями імунного стану, о</w:t>
      </w:r>
      <w:r w:rsidRPr="004C6D3F">
        <w:rPr>
          <w:sz w:val="28"/>
          <w:szCs w:val="28"/>
          <w:lang w:val="uk-UA"/>
        </w:rPr>
        <w:t>к</w:t>
      </w:r>
      <w:r w:rsidRPr="004C6D3F">
        <w:rPr>
          <w:sz w:val="28"/>
          <w:szCs w:val="28"/>
          <w:lang w:val="uk-UA"/>
        </w:rPr>
        <w:t>сидативним стресом та структурно-метаболічними порушеннями в серцевому м’язі при дилатаційній кардіом</w:t>
      </w:r>
      <w:r w:rsidRPr="004C6D3F">
        <w:rPr>
          <w:sz w:val="28"/>
          <w:szCs w:val="28"/>
          <w:lang w:val="uk-UA"/>
        </w:rPr>
        <w:t>і</w:t>
      </w:r>
      <w:r w:rsidRPr="004C6D3F">
        <w:rPr>
          <w:sz w:val="28"/>
          <w:szCs w:val="28"/>
          <w:lang w:val="uk-UA"/>
        </w:rPr>
        <w:t>опатії та визначити патогенетичні передумови їх корекції» з 2007 по 2009 рр. (№ДР 0107</w:t>
      </w:r>
      <w:r w:rsidRPr="004C6D3F">
        <w:rPr>
          <w:sz w:val="28"/>
          <w:szCs w:val="28"/>
          <w:lang w:val="en-US"/>
        </w:rPr>
        <w:t>U</w:t>
      </w:r>
      <w:r w:rsidRPr="004C6D3F">
        <w:rPr>
          <w:sz w:val="28"/>
          <w:szCs w:val="28"/>
          <w:lang w:val="uk-UA"/>
        </w:rPr>
        <w:t>001433). Автор є співвиконавцем теми.</w:t>
      </w:r>
    </w:p>
    <w:p w:rsidR="003B05B6" w:rsidRPr="004C6D3F" w:rsidRDefault="003B05B6" w:rsidP="003B05B6">
      <w:pPr>
        <w:widowControl w:val="0"/>
        <w:spacing w:line="252" w:lineRule="auto"/>
        <w:ind w:firstLine="539"/>
        <w:jc w:val="both"/>
        <w:rPr>
          <w:color w:val="FF0000"/>
          <w:sz w:val="28"/>
          <w:szCs w:val="28"/>
          <w:lang w:val="uk-UA"/>
        </w:rPr>
      </w:pPr>
      <w:r w:rsidRPr="004C6D3F">
        <w:rPr>
          <w:b/>
          <w:sz w:val="28"/>
          <w:szCs w:val="28"/>
          <w:lang w:val="uk-UA"/>
        </w:rPr>
        <w:t>Мета і задачі дослідження</w:t>
      </w:r>
      <w:r w:rsidRPr="004C6D3F">
        <w:rPr>
          <w:sz w:val="28"/>
          <w:szCs w:val="28"/>
          <w:lang w:val="uk-UA"/>
        </w:rPr>
        <w:t>. Удосконалити лікування пацієнтів з кардіомегалією та ХСН рі</w:t>
      </w:r>
      <w:r w:rsidRPr="004C6D3F">
        <w:rPr>
          <w:sz w:val="28"/>
          <w:szCs w:val="28"/>
          <w:lang w:val="uk-UA"/>
        </w:rPr>
        <w:t>з</w:t>
      </w:r>
      <w:r w:rsidRPr="004C6D3F">
        <w:rPr>
          <w:sz w:val="28"/>
          <w:szCs w:val="28"/>
          <w:lang w:val="uk-UA"/>
        </w:rPr>
        <w:t>ного ґенезу на підставі вивчення особливостей ремоделювання та змін систолічної функції лівих камер серця, і клініко-функціонального стану хворих на фоні довготривалого синдромального л</w:t>
      </w:r>
      <w:r w:rsidRPr="004C6D3F">
        <w:rPr>
          <w:sz w:val="28"/>
          <w:szCs w:val="28"/>
          <w:lang w:val="uk-UA"/>
        </w:rPr>
        <w:t>і</w:t>
      </w:r>
      <w:r w:rsidRPr="004C6D3F">
        <w:rPr>
          <w:sz w:val="28"/>
          <w:szCs w:val="28"/>
          <w:lang w:val="uk-UA"/>
        </w:rPr>
        <w:t>кування із застосуванням високих терапевтичних доз карведилолу.</w:t>
      </w:r>
      <w:r w:rsidRPr="004C6D3F">
        <w:rPr>
          <w:color w:val="FF0000"/>
          <w:sz w:val="28"/>
          <w:szCs w:val="28"/>
          <w:lang w:val="uk-UA"/>
        </w:rPr>
        <w:t xml:space="preserve"> </w:t>
      </w:r>
    </w:p>
    <w:p w:rsidR="003B05B6" w:rsidRPr="004C6D3F" w:rsidRDefault="003B05B6" w:rsidP="003B05B6">
      <w:pPr>
        <w:spacing w:line="252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b/>
          <w:sz w:val="28"/>
          <w:szCs w:val="28"/>
          <w:lang w:val="uk-UA"/>
        </w:rPr>
        <w:t>Задачі</w:t>
      </w:r>
      <w:r w:rsidRPr="004C6D3F">
        <w:rPr>
          <w:sz w:val="28"/>
          <w:szCs w:val="28"/>
          <w:lang w:val="uk-UA"/>
        </w:rPr>
        <w:t>:</w:t>
      </w:r>
    </w:p>
    <w:p w:rsidR="003B05B6" w:rsidRPr="004C6D3F" w:rsidRDefault="003B05B6" w:rsidP="0033412B">
      <w:pPr>
        <w:numPr>
          <w:ilvl w:val="0"/>
          <w:numId w:val="11"/>
        </w:numPr>
        <w:tabs>
          <w:tab w:val="num" w:pos="900"/>
        </w:tabs>
        <w:spacing w:after="0" w:line="252" w:lineRule="auto"/>
        <w:ind w:left="0" w:firstLine="540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Вивчити можливість досягнення та переносність високих терапевтичних доз карвед</w:t>
      </w:r>
      <w:r w:rsidRPr="004C6D3F">
        <w:rPr>
          <w:sz w:val="28"/>
          <w:szCs w:val="28"/>
          <w:lang w:val="uk-UA"/>
        </w:rPr>
        <w:t>и</w:t>
      </w:r>
      <w:r w:rsidRPr="004C6D3F">
        <w:rPr>
          <w:sz w:val="28"/>
          <w:szCs w:val="28"/>
          <w:lang w:val="uk-UA"/>
        </w:rPr>
        <w:t>лолу (100 мг/добу) та оптимальної дози еналаприлу (20 мг/добу) пацієнтами з кардіомегалією та ХСН різного ґенезу.</w:t>
      </w:r>
    </w:p>
    <w:p w:rsidR="003B05B6" w:rsidRPr="004C6D3F" w:rsidRDefault="003B05B6" w:rsidP="0033412B">
      <w:pPr>
        <w:numPr>
          <w:ilvl w:val="0"/>
          <w:numId w:val="11"/>
        </w:numPr>
        <w:tabs>
          <w:tab w:val="num" w:pos="900"/>
        </w:tabs>
        <w:spacing w:after="0" w:line="252" w:lineRule="auto"/>
        <w:ind w:left="0" w:firstLine="540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lastRenderedPageBreak/>
        <w:t>Дослідити виживання та функцію ризику смерті у хворих з кардіомегалією та ХСН, що отримували довготривале синдромальне лікування із застосуванням високих терапевтичних доз карведилолу.</w:t>
      </w:r>
    </w:p>
    <w:p w:rsidR="003B05B6" w:rsidRPr="004C6D3F" w:rsidRDefault="003B05B6" w:rsidP="0033412B">
      <w:pPr>
        <w:widowControl w:val="0"/>
        <w:numPr>
          <w:ilvl w:val="0"/>
          <w:numId w:val="11"/>
        </w:numPr>
        <w:tabs>
          <w:tab w:val="num" w:pos="900"/>
        </w:tabs>
        <w:spacing w:after="0" w:line="252" w:lineRule="auto"/>
        <w:ind w:left="0" w:firstLine="539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Проаналізувати динаміку клініко-функціонального стану пацієнтів з ХСН в залежності від її ґенезу на фоні довготривалого синдромального лікування із застосуванням високих терапе</w:t>
      </w:r>
      <w:r w:rsidRPr="004C6D3F">
        <w:rPr>
          <w:sz w:val="28"/>
          <w:szCs w:val="28"/>
          <w:lang w:val="uk-UA"/>
        </w:rPr>
        <w:t>в</w:t>
      </w:r>
      <w:r w:rsidRPr="004C6D3F">
        <w:rPr>
          <w:sz w:val="28"/>
          <w:szCs w:val="28"/>
          <w:lang w:val="uk-UA"/>
        </w:rPr>
        <w:t>тичних доз карведилолу.</w:t>
      </w:r>
    </w:p>
    <w:p w:rsidR="003B05B6" w:rsidRPr="004C6D3F" w:rsidRDefault="003B05B6" w:rsidP="0033412B">
      <w:pPr>
        <w:numPr>
          <w:ilvl w:val="0"/>
          <w:numId w:val="11"/>
        </w:numPr>
        <w:tabs>
          <w:tab w:val="clear" w:pos="1080"/>
          <w:tab w:val="num" w:pos="900"/>
        </w:tabs>
        <w:spacing w:after="0" w:line="252" w:lineRule="auto"/>
        <w:ind w:left="0" w:firstLine="540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 Вивчити особливості процесів ремоделювання та динаміки систолічної функції лівих к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>мер серця у хворих з кардіомегалією та ХСН різного ґенезу під впливом довготривалої синдром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>льної терапії із застосуванням високих терапевтичних доз карведилолу.</w:t>
      </w:r>
    </w:p>
    <w:p w:rsidR="003B05B6" w:rsidRPr="004C6D3F" w:rsidRDefault="003B05B6" w:rsidP="003B05B6">
      <w:pPr>
        <w:spacing w:line="252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b/>
          <w:i/>
          <w:sz w:val="28"/>
          <w:szCs w:val="28"/>
          <w:lang w:val="uk-UA"/>
        </w:rPr>
        <w:t>Об’єкт дослідження:</w:t>
      </w:r>
      <w:r w:rsidRPr="004C6D3F">
        <w:rPr>
          <w:sz w:val="28"/>
          <w:szCs w:val="28"/>
          <w:lang w:val="uk-UA"/>
        </w:rPr>
        <w:t xml:space="preserve"> хронічна систолічна серцева недостатність коронарогенного та нек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 xml:space="preserve">ронарогенного ґенезу. </w:t>
      </w:r>
    </w:p>
    <w:p w:rsidR="003B05B6" w:rsidRPr="004C6D3F" w:rsidRDefault="003B05B6" w:rsidP="003B05B6">
      <w:pPr>
        <w:spacing w:line="252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b/>
          <w:i/>
          <w:sz w:val="28"/>
          <w:szCs w:val="28"/>
          <w:lang w:val="uk-UA"/>
        </w:rPr>
        <w:t>Предмет дослідження:</w:t>
      </w:r>
      <w:r w:rsidRPr="004C6D3F">
        <w:rPr>
          <w:sz w:val="28"/>
          <w:szCs w:val="28"/>
          <w:lang w:val="uk-UA"/>
        </w:rPr>
        <w:t xml:space="preserve"> виживання та функція ризику смерті (ФРС) хворих, функціонал</w:t>
      </w:r>
      <w:r w:rsidRPr="004C6D3F">
        <w:rPr>
          <w:sz w:val="28"/>
          <w:szCs w:val="28"/>
          <w:lang w:val="uk-UA"/>
        </w:rPr>
        <w:t>ь</w:t>
      </w:r>
      <w:r w:rsidRPr="004C6D3F">
        <w:rPr>
          <w:sz w:val="28"/>
          <w:szCs w:val="28"/>
          <w:lang w:val="uk-UA"/>
        </w:rPr>
        <w:t>ний клас (ФК) пацієнтів, рівень систолічного (САТ) та діастолічного (ДАТ) артеріального тиску (АТ), частота серцевих скорочень (ЧСС), тижнева доза фуросеміду, об’ємні, лінійні та індексовані ех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>кардіографічні (ЕхоКГ) показники, що характеризують порожнини та систолічну фун</w:t>
      </w:r>
      <w:r w:rsidRPr="004C6D3F">
        <w:rPr>
          <w:sz w:val="28"/>
          <w:szCs w:val="28"/>
          <w:lang w:val="uk-UA"/>
        </w:rPr>
        <w:t>к</w:t>
      </w:r>
      <w:r w:rsidRPr="004C6D3F">
        <w:rPr>
          <w:sz w:val="28"/>
          <w:szCs w:val="28"/>
          <w:lang w:val="uk-UA"/>
        </w:rPr>
        <w:t>цію лівих камер серця. Динаміка показників під впливом довготривалого синдромального лікування із з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>стосуванням високих терапевтичних доз карведилолу та оптимальної дози еналапр</w:t>
      </w:r>
      <w:r w:rsidRPr="004C6D3F">
        <w:rPr>
          <w:sz w:val="28"/>
          <w:szCs w:val="28"/>
          <w:lang w:val="uk-UA"/>
        </w:rPr>
        <w:t>и</w:t>
      </w:r>
      <w:r w:rsidRPr="004C6D3F">
        <w:rPr>
          <w:sz w:val="28"/>
          <w:szCs w:val="28"/>
          <w:lang w:val="uk-UA"/>
        </w:rPr>
        <w:t xml:space="preserve">лу. </w:t>
      </w:r>
    </w:p>
    <w:p w:rsidR="003B05B6" w:rsidRPr="004C6D3F" w:rsidRDefault="003B05B6" w:rsidP="003B05B6">
      <w:pPr>
        <w:spacing w:line="252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i/>
          <w:sz w:val="28"/>
          <w:szCs w:val="28"/>
          <w:lang w:val="uk-UA"/>
        </w:rPr>
        <w:t>Методи дослідження</w:t>
      </w:r>
      <w:r w:rsidRPr="004C6D3F">
        <w:rPr>
          <w:sz w:val="28"/>
          <w:szCs w:val="28"/>
          <w:lang w:val="uk-UA"/>
        </w:rPr>
        <w:t>: загальне клінічне обстеження, електрокардіографія (ЕКГ), одно- та двомірна ехокардіографія (ЕхоКГ), лабораторні дослідження, статистична обробка результатів за допомогою пакету комп’ютерних програм Statistica 6.0 («StatSoft», США).</w:t>
      </w:r>
    </w:p>
    <w:p w:rsidR="003B05B6" w:rsidRPr="004C6D3F" w:rsidRDefault="003B05B6" w:rsidP="003B05B6">
      <w:pPr>
        <w:spacing w:line="252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b/>
          <w:sz w:val="28"/>
          <w:szCs w:val="28"/>
          <w:lang w:val="uk-UA"/>
        </w:rPr>
        <w:t xml:space="preserve">Наукова новизна отриманих результатів. </w:t>
      </w:r>
      <w:r w:rsidRPr="004C6D3F">
        <w:rPr>
          <w:sz w:val="28"/>
          <w:szCs w:val="28"/>
          <w:lang w:val="uk-UA"/>
        </w:rPr>
        <w:t>Вперше обґрунтована можливість і безпечність довготривалого застосування високих терапевтичних доз карведилолу (100 мг/добу) разом з опт</w:t>
      </w:r>
      <w:r w:rsidRPr="004C6D3F">
        <w:rPr>
          <w:sz w:val="28"/>
          <w:szCs w:val="28"/>
          <w:lang w:val="uk-UA"/>
        </w:rPr>
        <w:t>и</w:t>
      </w:r>
      <w:r w:rsidRPr="004C6D3F">
        <w:rPr>
          <w:sz w:val="28"/>
          <w:szCs w:val="28"/>
          <w:lang w:val="uk-UA"/>
        </w:rPr>
        <w:t>мальною дозою еналаприлу (20 мг/добу) у хворих з кардіомегалією та ХСН різного ґенезу. Пок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>зано, що довготривале лікування високими терапевтичними дозами карведилолу не викликає пог</w:t>
      </w:r>
      <w:r w:rsidRPr="004C6D3F">
        <w:rPr>
          <w:sz w:val="28"/>
          <w:szCs w:val="28"/>
          <w:lang w:val="uk-UA"/>
        </w:rPr>
        <w:t>і</w:t>
      </w:r>
      <w:r w:rsidRPr="004C6D3F">
        <w:rPr>
          <w:sz w:val="28"/>
          <w:szCs w:val="28"/>
          <w:lang w:val="uk-UA"/>
        </w:rPr>
        <w:t>ршення прогнозу у таких пацієнтів.</w:t>
      </w:r>
    </w:p>
    <w:p w:rsidR="003B05B6" w:rsidRPr="004C6D3F" w:rsidRDefault="003B05B6" w:rsidP="003B05B6">
      <w:pPr>
        <w:spacing w:line="252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Встановлено, що застосована схема лікування призводить до стійкого покращення ФК паці</w:t>
      </w:r>
      <w:r w:rsidRPr="004C6D3F">
        <w:rPr>
          <w:sz w:val="28"/>
          <w:szCs w:val="28"/>
          <w:lang w:val="uk-UA"/>
        </w:rPr>
        <w:t>є</w:t>
      </w:r>
      <w:r w:rsidRPr="004C6D3F">
        <w:rPr>
          <w:sz w:val="28"/>
          <w:szCs w:val="28"/>
          <w:lang w:val="uk-UA"/>
        </w:rPr>
        <w:t>нтів з кардіомегалією та ХСН незалежно від їх ґенезу.</w:t>
      </w:r>
    </w:p>
    <w:p w:rsidR="003B05B6" w:rsidRPr="004C6D3F" w:rsidRDefault="003B05B6" w:rsidP="003B05B6">
      <w:pPr>
        <w:spacing w:line="252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Вперше на основі детального вивчення та комплексного аналізу визначені особливості рем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>делювання та змін систолічної функції лівих камер серця і клініко-функціональних параме</w:t>
      </w:r>
      <w:r w:rsidRPr="004C6D3F">
        <w:rPr>
          <w:sz w:val="28"/>
          <w:szCs w:val="28"/>
          <w:lang w:val="uk-UA"/>
        </w:rPr>
        <w:t>т</w:t>
      </w:r>
      <w:r w:rsidRPr="004C6D3F">
        <w:rPr>
          <w:sz w:val="28"/>
          <w:szCs w:val="28"/>
          <w:lang w:val="uk-UA"/>
        </w:rPr>
        <w:t>рів хворих з кардіомегалією та ХСН різного ґенезу на фоні довготривалого синдромального л</w:t>
      </w:r>
      <w:r w:rsidRPr="004C6D3F">
        <w:rPr>
          <w:sz w:val="28"/>
          <w:szCs w:val="28"/>
          <w:lang w:val="uk-UA"/>
        </w:rPr>
        <w:t>і</w:t>
      </w:r>
      <w:r w:rsidRPr="004C6D3F">
        <w:rPr>
          <w:sz w:val="28"/>
          <w:szCs w:val="28"/>
          <w:lang w:val="uk-UA"/>
        </w:rPr>
        <w:t>кування із застосуванням високих терапевтичних доз карведилолу.</w:t>
      </w:r>
    </w:p>
    <w:p w:rsidR="003B05B6" w:rsidRPr="004C6D3F" w:rsidRDefault="003B05B6" w:rsidP="003B05B6">
      <w:pPr>
        <w:spacing w:line="252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lastRenderedPageBreak/>
        <w:t>Показано, що на фоні застосованої схеми синдромального лікування лише у хворих з кліні</w:t>
      </w:r>
      <w:r w:rsidRPr="004C6D3F">
        <w:rPr>
          <w:sz w:val="28"/>
          <w:szCs w:val="28"/>
          <w:lang w:val="uk-UA"/>
        </w:rPr>
        <w:t>ч</w:t>
      </w:r>
      <w:r w:rsidRPr="004C6D3F">
        <w:rPr>
          <w:sz w:val="28"/>
          <w:szCs w:val="28"/>
          <w:lang w:val="uk-UA"/>
        </w:rPr>
        <w:t>ним діагнозом «хронічний дифузний міокардит» на відміну від пацієнтів з ДКМП та ХСН, що в</w:t>
      </w:r>
      <w:r w:rsidRPr="004C6D3F">
        <w:rPr>
          <w:sz w:val="28"/>
          <w:szCs w:val="28"/>
          <w:lang w:val="uk-UA"/>
        </w:rPr>
        <w:t>и</w:t>
      </w:r>
      <w:r w:rsidRPr="004C6D3F">
        <w:rPr>
          <w:sz w:val="28"/>
          <w:szCs w:val="28"/>
          <w:lang w:val="uk-UA"/>
        </w:rPr>
        <w:t>никла внаслідок перенесеного інфаркту міокарду з наявністю патологічного зубця Q або з багат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 xml:space="preserve">судинним ураженням коронарних артерій за даними  КВГ та МСКТ, відбувається значне зворотне ремоделювання порожнин лівих камер серця та збільшення скоротливої спроможності їх міокарду. </w:t>
      </w:r>
    </w:p>
    <w:p w:rsidR="003B05B6" w:rsidRPr="004C6D3F" w:rsidRDefault="003B05B6" w:rsidP="003B05B6">
      <w:pPr>
        <w:spacing w:line="252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Доведено, що у частини хворих з кардіомегалією та клінічним діагнозом «хронічний дифу</w:t>
      </w:r>
      <w:r w:rsidRPr="004C6D3F">
        <w:rPr>
          <w:sz w:val="28"/>
          <w:szCs w:val="28"/>
          <w:lang w:val="uk-UA"/>
        </w:rPr>
        <w:t>з</w:t>
      </w:r>
      <w:r w:rsidRPr="004C6D3F">
        <w:rPr>
          <w:sz w:val="28"/>
          <w:szCs w:val="28"/>
          <w:lang w:val="uk-UA"/>
        </w:rPr>
        <w:t>ний міокардит» довготривале синдромальне лікування із застосуванням високих терапевт</w:t>
      </w:r>
      <w:r w:rsidRPr="004C6D3F">
        <w:rPr>
          <w:sz w:val="28"/>
          <w:szCs w:val="28"/>
          <w:lang w:val="uk-UA"/>
        </w:rPr>
        <w:t>и</w:t>
      </w:r>
      <w:r w:rsidRPr="004C6D3F">
        <w:rPr>
          <w:sz w:val="28"/>
          <w:szCs w:val="28"/>
          <w:lang w:val="uk-UA"/>
        </w:rPr>
        <w:t>чних доз карведилолу та оптимальної дози еналаприлу призводить до нормалізації порожнин лівих к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>мер серця та їх систолічної функції.</w:t>
      </w:r>
    </w:p>
    <w:p w:rsidR="003B05B6" w:rsidRPr="004C6D3F" w:rsidRDefault="003B05B6" w:rsidP="003B05B6">
      <w:pPr>
        <w:spacing w:line="252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b/>
          <w:sz w:val="28"/>
          <w:szCs w:val="28"/>
          <w:lang w:val="uk-UA"/>
        </w:rPr>
        <w:t>Практичне значення отриманих результатів</w:t>
      </w:r>
      <w:r w:rsidRPr="004C6D3F">
        <w:rPr>
          <w:sz w:val="28"/>
          <w:szCs w:val="28"/>
          <w:lang w:val="uk-UA"/>
        </w:rPr>
        <w:t>. В ході дослідження отримані дані, що дозв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>лять оптимізувати підходи до лікування ХСН, що буде сприяти покращенню перебігу захвор</w:t>
      </w:r>
      <w:r w:rsidRPr="004C6D3F">
        <w:rPr>
          <w:sz w:val="28"/>
          <w:szCs w:val="28"/>
          <w:lang w:val="uk-UA"/>
        </w:rPr>
        <w:t>ю</w:t>
      </w:r>
      <w:r w:rsidRPr="004C6D3F">
        <w:rPr>
          <w:sz w:val="28"/>
          <w:szCs w:val="28"/>
          <w:lang w:val="uk-UA"/>
        </w:rPr>
        <w:t xml:space="preserve">вання та індивідуального прогнозу хворих з кардіомегалією та ХСН. </w:t>
      </w:r>
    </w:p>
    <w:p w:rsidR="003B05B6" w:rsidRPr="004C6D3F" w:rsidRDefault="003B05B6" w:rsidP="003B05B6">
      <w:pPr>
        <w:widowControl w:val="0"/>
        <w:spacing w:line="252" w:lineRule="auto"/>
        <w:ind w:firstLine="539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Результати проведеного дослідження дозволили уточнити схему титрування доз препаратів, яка дозволяє безпечно досягати високих терапевтичних доз карведилолу та оптимальної дози ен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>лаприлу.</w:t>
      </w:r>
    </w:p>
    <w:p w:rsidR="003B05B6" w:rsidRPr="004C6D3F" w:rsidRDefault="003B05B6" w:rsidP="003B05B6">
      <w:pPr>
        <w:spacing w:line="252" w:lineRule="auto"/>
        <w:ind w:firstLine="540"/>
        <w:jc w:val="both"/>
        <w:rPr>
          <w:b/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Науково обґрунтована та доведена доцільність використання довготривалої синдромальної терапії із застосуванням високих терапевтичних доз карведилолу у хворих з клінічним діагн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>зом «хронічний дифузний міокардит», що призводить до стійкого покращення ФК таких паці</w:t>
      </w:r>
      <w:r w:rsidRPr="004C6D3F">
        <w:rPr>
          <w:sz w:val="28"/>
          <w:szCs w:val="28"/>
          <w:lang w:val="uk-UA"/>
        </w:rPr>
        <w:t>є</w:t>
      </w:r>
      <w:r w:rsidRPr="004C6D3F">
        <w:rPr>
          <w:sz w:val="28"/>
          <w:szCs w:val="28"/>
          <w:lang w:val="uk-UA"/>
        </w:rPr>
        <w:t>нтів, значного зворотного ремоделювання порожнин лівих камер серця (у частини хворих до нормалізації) та збільшення їх скор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>тливої спроможності.</w:t>
      </w:r>
      <w:r w:rsidRPr="004C6D3F">
        <w:rPr>
          <w:color w:val="FF0000"/>
          <w:sz w:val="28"/>
          <w:szCs w:val="28"/>
          <w:lang w:val="uk-UA"/>
        </w:rPr>
        <w:t xml:space="preserve"> </w:t>
      </w:r>
    </w:p>
    <w:p w:rsidR="003B05B6" w:rsidRPr="004C6D3F" w:rsidRDefault="003B05B6" w:rsidP="003B05B6">
      <w:pPr>
        <w:widowControl w:val="0"/>
        <w:spacing w:line="252" w:lineRule="auto"/>
        <w:ind w:firstLine="539"/>
        <w:jc w:val="both"/>
        <w:rPr>
          <w:sz w:val="28"/>
          <w:szCs w:val="28"/>
          <w:lang w:val="uk-UA"/>
        </w:rPr>
      </w:pPr>
      <w:r w:rsidRPr="004C6D3F">
        <w:rPr>
          <w:b/>
          <w:sz w:val="28"/>
          <w:szCs w:val="28"/>
          <w:lang w:val="uk-UA"/>
        </w:rPr>
        <w:t xml:space="preserve">Впровадження результатів дослідження в практику. </w:t>
      </w:r>
      <w:r w:rsidRPr="004C6D3F">
        <w:rPr>
          <w:sz w:val="28"/>
          <w:szCs w:val="28"/>
          <w:lang w:val="uk-UA"/>
        </w:rPr>
        <w:t>Результати дослідження впров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>джені в практику роботи консультативної поліклініки та відділення некоронарогенних хвороб серця та клінічної ревматології ННЦ «Інститут кардіології ім. академіка М.Д. Стражеска» АМН України</w:t>
      </w:r>
      <w:r w:rsidRPr="004C6D3F">
        <w:rPr>
          <w:b/>
          <w:sz w:val="28"/>
          <w:szCs w:val="28"/>
          <w:lang w:val="uk-UA"/>
        </w:rPr>
        <w:t xml:space="preserve">, </w:t>
      </w:r>
      <w:r w:rsidRPr="004C6D3F">
        <w:rPr>
          <w:sz w:val="28"/>
          <w:szCs w:val="28"/>
          <w:lang w:val="uk-UA"/>
        </w:rPr>
        <w:t>відділення невідкладної кардіології та тромболізису Інституту невідкладної та відно</w:t>
      </w:r>
      <w:r w:rsidRPr="004C6D3F">
        <w:rPr>
          <w:sz w:val="28"/>
          <w:szCs w:val="28"/>
          <w:lang w:val="uk-UA"/>
        </w:rPr>
        <w:t>в</w:t>
      </w:r>
      <w:r w:rsidRPr="004C6D3F">
        <w:rPr>
          <w:sz w:val="28"/>
          <w:szCs w:val="28"/>
          <w:lang w:val="uk-UA"/>
        </w:rPr>
        <w:t>лювальної хірургії ім. В.К. Гусака АМН України, що підтверджено актами впровадження.</w:t>
      </w:r>
    </w:p>
    <w:p w:rsidR="003B05B6" w:rsidRPr="004C6D3F" w:rsidRDefault="003B05B6" w:rsidP="003B05B6">
      <w:pPr>
        <w:spacing w:line="252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b/>
          <w:sz w:val="28"/>
          <w:szCs w:val="28"/>
          <w:lang w:val="uk-UA"/>
        </w:rPr>
        <w:t>Особистий внесок здобувача</w:t>
      </w:r>
      <w:r w:rsidRPr="004C6D3F">
        <w:rPr>
          <w:sz w:val="28"/>
          <w:szCs w:val="28"/>
          <w:lang w:val="uk-UA"/>
        </w:rPr>
        <w:t>. Дисертаційна робота виконана особисто автором на базі ННЦ «Інститут кардіології ім. академіка М.Д.Стражеска» АМН України. Самостійно виконувався пат</w:t>
      </w:r>
      <w:r w:rsidRPr="004C6D3F">
        <w:rPr>
          <w:sz w:val="28"/>
          <w:szCs w:val="28"/>
          <w:lang w:val="uk-UA"/>
        </w:rPr>
        <w:t>е</w:t>
      </w:r>
      <w:r w:rsidRPr="004C6D3F">
        <w:rPr>
          <w:sz w:val="28"/>
          <w:szCs w:val="28"/>
          <w:lang w:val="uk-UA"/>
        </w:rPr>
        <w:t>нтно-інформаційний пошук, опрацювання методик дослідження, підбір тематичних хворих, їх кл</w:t>
      </w:r>
      <w:r w:rsidRPr="004C6D3F">
        <w:rPr>
          <w:sz w:val="28"/>
          <w:szCs w:val="28"/>
          <w:lang w:val="uk-UA"/>
        </w:rPr>
        <w:t>і</w:t>
      </w:r>
      <w:r w:rsidRPr="004C6D3F">
        <w:rPr>
          <w:sz w:val="28"/>
          <w:szCs w:val="28"/>
          <w:lang w:val="uk-UA"/>
        </w:rPr>
        <w:t xml:space="preserve">нічне обстеження та лікування. Дисертантом здійснювалось проспективне </w:t>
      </w:r>
      <w:r w:rsidRPr="004C6D3F">
        <w:rPr>
          <w:sz w:val="28"/>
          <w:szCs w:val="28"/>
          <w:lang w:val="uk-UA"/>
        </w:rPr>
        <w:lastRenderedPageBreak/>
        <w:t>спост</w:t>
      </w:r>
      <w:r w:rsidRPr="004C6D3F">
        <w:rPr>
          <w:sz w:val="28"/>
          <w:szCs w:val="28"/>
          <w:lang w:val="uk-UA"/>
        </w:rPr>
        <w:t>е</w:t>
      </w:r>
      <w:r w:rsidRPr="004C6D3F">
        <w:rPr>
          <w:sz w:val="28"/>
          <w:szCs w:val="28"/>
          <w:lang w:val="uk-UA"/>
        </w:rPr>
        <w:t>реження хворих, а саме обстеження та лікування на етапах дослідження, контроль їх безпечно</w:t>
      </w:r>
      <w:r w:rsidRPr="004C6D3F">
        <w:rPr>
          <w:sz w:val="28"/>
          <w:szCs w:val="28"/>
          <w:lang w:val="uk-UA"/>
        </w:rPr>
        <w:t>с</w:t>
      </w:r>
      <w:r w:rsidRPr="004C6D3F">
        <w:rPr>
          <w:sz w:val="28"/>
          <w:szCs w:val="28"/>
          <w:lang w:val="uk-UA"/>
        </w:rPr>
        <w:t>ті та ефективності. Створення бази даних на персональному комп’ютері, статистичну обробку, аналіз та узагальнення отриманих результатів автор проводив самостійно. Мета, завдання д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>слідження, висновки та практичні рекомендації сформульовані дисертантом самостійно. Особ</w:t>
      </w:r>
      <w:r w:rsidRPr="004C6D3F">
        <w:rPr>
          <w:sz w:val="28"/>
          <w:szCs w:val="28"/>
          <w:lang w:val="uk-UA"/>
        </w:rPr>
        <w:t>и</w:t>
      </w:r>
      <w:r w:rsidRPr="004C6D3F">
        <w:rPr>
          <w:sz w:val="28"/>
          <w:szCs w:val="28"/>
          <w:lang w:val="uk-UA"/>
        </w:rPr>
        <w:t>сто написані всі розділи дисертаційної роботи та оформлені рисунки і таблиці, написані та пі</w:t>
      </w:r>
      <w:r w:rsidRPr="004C6D3F">
        <w:rPr>
          <w:sz w:val="28"/>
          <w:szCs w:val="28"/>
          <w:lang w:val="uk-UA"/>
        </w:rPr>
        <w:t>д</w:t>
      </w:r>
      <w:r w:rsidRPr="004C6D3F">
        <w:rPr>
          <w:sz w:val="28"/>
          <w:szCs w:val="28"/>
          <w:lang w:val="uk-UA"/>
        </w:rPr>
        <w:t>готовлені статті до друку. Автор брав активну участь у представленні результатів роботи в матеріалах конференцій та доп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>відях. Дисертантом не використані ідеї або розроблення, що належать співавторам публікацій. Д</w:t>
      </w:r>
      <w:r w:rsidRPr="004C6D3F">
        <w:rPr>
          <w:sz w:val="28"/>
          <w:szCs w:val="28"/>
          <w:lang w:val="uk-UA"/>
        </w:rPr>
        <w:t>и</w:t>
      </w:r>
      <w:r w:rsidRPr="004C6D3F">
        <w:rPr>
          <w:sz w:val="28"/>
          <w:szCs w:val="28"/>
          <w:lang w:val="uk-UA"/>
        </w:rPr>
        <w:t>сертаційна робота є самостійним науковим дослідженням авт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>ра.</w:t>
      </w:r>
    </w:p>
    <w:p w:rsidR="003B05B6" w:rsidRPr="004C6D3F" w:rsidRDefault="003B05B6" w:rsidP="003B05B6">
      <w:pPr>
        <w:spacing w:line="252" w:lineRule="auto"/>
        <w:ind w:firstLine="540"/>
        <w:jc w:val="both"/>
        <w:rPr>
          <w:color w:val="FF0000"/>
          <w:sz w:val="28"/>
          <w:szCs w:val="28"/>
          <w:lang w:val="uk-UA"/>
        </w:rPr>
      </w:pPr>
      <w:r w:rsidRPr="004C6D3F">
        <w:rPr>
          <w:b/>
          <w:sz w:val="28"/>
          <w:szCs w:val="28"/>
          <w:lang w:val="uk-UA"/>
        </w:rPr>
        <w:t>Апробація результатів дисертації</w:t>
      </w:r>
      <w:r w:rsidRPr="004C6D3F">
        <w:rPr>
          <w:sz w:val="28"/>
          <w:szCs w:val="28"/>
          <w:lang w:val="uk-UA"/>
        </w:rPr>
        <w:t>. Матеріали дисертаційної роботи представлені у вигляді доп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>відей та друкованих робіт на Російському національному конгресі кардіологів (Москва, 2008), Другій Всеросійській науково-практичній конференції з міжнародною участю «Некор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>нарогенные заболевания сердца: диагностика, лечение, профилактика» (Санкт-Петербург, 2008), IX Націон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>льному конгресі кардіологів України (Київ, 2008), Міжнародному науковому симпозіумі «Со</w:t>
      </w:r>
      <w:r w:rsidRPr="004C6D3F">
        <w:rPr>
          <w:sz w:val="28"/>
          <w:szCs w:val="28"/>
          <w:lang w:val="uk-UA"/>
        </w:rPr>
        <w:t>в</w:t>
      </w:r>
      <w:r w:rsidRPr="004C6D3F">
        <w:rPr>
          <w:sz w:val="28"/>
          <w:szCs w:val="28"/>
          <w:lang w:val="uk-UA"/>
        </w:rPr>
        <w:t>ременные профилактические и реабилитационные технологии в кардиологии» (Бориспіль, 2008), на наукових підсумковий сесіях ННЦ «Інститут кардіології імені академіка М.Д. Стражеска», пр</w:t>
      </w:r>
      <w:r w:rsidRPr="004C6D3F">
        <w:rPr>
          <w:sz w:val="28"/>
          <w:szCs w:val="28"/>
          <w:lang w:val="uk-UA"/>
        </w:rPr>
        <w:t>и</w:t>
      </w:r>
      <w:r w:rsidRPr="004C6D3F">
        <w:rPr>
          <w:sz w:val="28"/>
          <w:szCs w:val="28"/>
          <w:lang w:val="uk-UA"/>
        </w:rPr>
        <w:t>свячених пам’яті М.Д. Стражеска (Київ, 2008; 2009). Основні положення роботи заслухані на ро</w:t>
      </w:r>
      <w:r w:rsidRPr="004C6D3F">
        <w:rPr>
          <w:sz w:val="28"/>
          <w:szCs w:val="28"/>
          <w:lang w:val="uk-UA"/>
        </w:rPr>
        <w:t>з</w:t>
      </w:r>
      <w:r w:rsidRPr="004C6D3F">
        <w:rPr>
          <w:sz w:val="28"/>
          <w:szCs w:val="28"/>
          <w:lang w:val="uk-UA"/>
        </w:rPr>
        <w:t xml:space="preserve">ширеному засіданні апробаційної ради ННЦ «Інститут кардіології ім. академіка М.Д.Стражеска» АМН України </w:t>
      </w:r>
      <w:r w:rsidRPr="00550EAA">
        <w:rPr>
          <w:sz w:val="28"/>
          <w:szCs w:val="28"/>
          <w:lang w:val="uk-UA"/>
        </w:rPr>
        <w:t xml:space="preserve">5 </w:t>
      </w:r>
      <w:r w:rsidRPr="00350699">
        <w:rPr>
          <w:sz w:val="28"/>
          <w:szCs w:val="28"/>
          <w:lang w:val="uk-UA"/>
        </w:rPr>
        <w:t>листопада</w:t>
      </w:r>
      <w:r w:rsidRPr="00550EAA">
        <w:rPr>
          <w:sz w:val="28"/>
          <w:szCs w:val="28"/>
          <w:lang w:val="uk-UA"/>
        </w:rPr>
        <w:t xml:space="preserve"> 2008</w:t>
      </w:r>
      <w:r w:rsidRPr="004C6D3F">
        <w:rPr>
          <w:sz w:val="28"/>
          <w:szCs w:val="28"/>
          <w:lang w:val="uk-UA"/>
        </w:rPr>
        <w:t xml:space="preserve"> р.</w:t>
      </w:r>
    </w:p>
    <w:p w:rsidR="003B05B6" w:rsidRPr="004C6D3F" w:rsidRDefault="003B05B6" w:rsidP="003B05B6">
      <w:pPr>
        <w:spacing w:line="252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b/>
          <w:sz w:val="28"/>
          <w:szCs w:val="28"/>
          <w:lang w:val="uk-UA"/>
        </w:rPr>
        <w:t>Публікації</w:t>
      </w:r>
      <w:r w:rsidRPr="004C6D3F">
        <w:rPr>
          <w:sz w:val="28"/>
          <w:szCs w:val="28"/>
          <w:lang w:val="uk-UA"/>
        </w:rPr>
        <w:t>.  За матеріалами дисертації опубліковано 11 наукових праць (6 статей у журн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 xml:space="preserve">лах, що рекомендовані ВАК України, та </w:t>
      </w:r>
      <w:r w:rsidRPr="004C6D3F">
        <w:rPr>
          <w:sz w:val="28"/>
          <w:szCs w:val="28"/>
        </w:rPr>
        <w:t>5</w:t>
      </w:r>
      <w:r w:rsidRPr="004C6D3F">
        <w:rPr>
          <w:sz w:val="28"/>
          <w:szCs w:val="28"/>
          <w:lang w:val="uk-UA"/>
        </w:rPr>
        <w:t xml:space="preserve"> тез доповідей, 2 з них в міжнародних збірниках). </w:t>
      </w:r>
    </w:p>
    <w:p w:rsidR="003B05B6" w:rsidRPr="004C6D3F" w:rsidRDefault="003B05B6" w:rsidP="003B05B6">
      <w:pPr>
        <w:spacing w:line="252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b/>
          <w:sz w:val="28"/>
          <w:szCs w:val="28"/>
          <w:lang w:val="uk-UA"/>
        </w:rPr>
        <w:t>Структура та обсяг дисертації.</w:t>
      </w:r>
      <w:r w:rsidRPr="004C6D3F">
        <w:rPr>
          <w:sz w:val="28"/>
          <w:szCs w:val="28"/>
          <w:lang w:val="uk-UA"/>
        </w:rPr>
        <w:t xml:space="preserve"> Матеріали дисертації викладені на 21</w:t>
      </w:r>
      <w:r w:rsidRPr="004C6D3F">
        <w:rPr>
          <w:sz w:val="28"/>
          <w:szCs w:val="28"/>
        </w:rPr>
        <w:t>5</w:t>
      </w:r>
      <w:r w:rsidRPr="004C6D3F">
        <w:rPr>
          <w:sz w:val="28"/>
          <w:szCs w:val="28"/>
          <w:lang w:val="uk-UA"/>
        </w:rPr>
        <w:t xml:space="preserve"> сторінках друкован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>го тексту. Дисертація ілюстрована 45 таблицями та 35 рисунками в тексті, та 4 таблицями в дода</w:t>
      </w:r>
      <w:r w:rsidRPr="004C6D3F">
        <w:rPr>
          <w:sz w:val="28"/>
          <w:szCs w:val="28"/>
          <w:lang w:val="uk-UA"/>
        </w:rPr>
        <w:t>т</w:t>
      </w:r>
      <w:r w:rsidRPr="004C6D3F">
        <w:rPr>
          <w:sz w:val="28"/>
          <w:szCs w:val="28"/>
          <w:lang w:val="uk-UA"/>
        </w:rPr>
        <w:t>ку, складається зі вступу, огляду літератури, опису клінічної характеристики хворих та методик дослідження, розділу результатів власних досліджень, аналізу і узагальненню результатів досл</w:t>
      </w:r>
      <w:r w:rsidRPr="004C6D3F">
        <w:rPr>
          <w:sz w:val="28"/>
          <w:szCs w:val="28"/>
          <w:lang w:val="uk-UA"/>
        </w:rPr>
        <w:t>і</w:t>
      </w:r>
      <w:r w:rsidRPr="004C6D3F">
        <w:rPr>
          <w:sz w:val="28"/>
          <w:szCs w:val="28"/>
          <w:lang w:val="uk-UA"/>
        </w:rPr>
        <w:t>дження, висновків, практичних рекомендацій, додатку і списку використаних джерел, що містить 224 літературних найменувань, з яких 42 – кирилицею, 182 – латиницею.</w:t>
      </w:r>
    </w:p>
    <w:p w:rsidR="003B05B6" w:rsidRPr="004C6D3F" w:rsidRDefault="003B05B6" w:rsidP="003B05B6">
      <w:pPr>
        <w:ind w:firstLine="540"/>
        <w:jc w:val="both"/>
        <w:rPr>
          <w:sz w:val="28"/>
          <w:szCs w:val="28"/>
          <w:lang w:val="uk-UA"/>
        </w:rPr>
      </w:pPr>
    </w:p>
    <w:p w:rsidR="003B05B6" w:rsidRPr="004C6D3F" w:rsidRDefault="003B05B6" w:rsidP="003B05B6">
      <w:pPr>
        <w:spacing w:line="22" w:lineRule="atLeast"/>
        <w:jc w:val="center"/>
        <w:rPr>
          <w:b/>
          <w:sz w:val="28"/>
          <w:szCs w:val="28"/>
          <w:lang w:val="uk-UA"/>
        </w:rPr>
      </w:pPr>
      <w:r w:rsidRPr="004C6D3F">
        <w:rPr>
          <w:b/>
          <w:sz w:val="28"/>
          <w:szCs w:val="28"/>
          <w:lang w:val="uk-UA"/>
        </w:rPr>
        <w:t>ОСНОВНИЙ ЗМІСТ</w:t>
      </w:r>
    </w:p>
    <w:p w:rsidR="003B05B6" w:rsidRPr="004C6D3F" w:rsidRDefault="003B05B6" w:rsidP="003B05B6">
      <w:pPr>
        <w:widowControl w:val="0"/>
        <w:spacing w:line="252" w:lineRule="auto"/>
        <w:ind w:firstLine="357"/>
        <w:jc w:val="both"/>
        <w:rPr>
          <w:sz w:val="28"/>
          <w:szCs w:val="28"/>
          <w:lang w:val="uk-UA" w:eastAsia="uk-UA"/>
        </w:rPr>
      </w:pPr>
      <w:r w:rsidRPr="004C6D3F">
        <w:rPr>
          <w:b/>
          <w:sz w:val="28"/>
          <w:szCs w:val="28"/>
          <w:lang w:val="uk-UA"/>
        </w:rPr>
        <w:lastRenderedPageBreak/>
        <w:t>Клінічна характеристика хворих та методологія дослідження</w:t>
      </w:r>
      <w:r w:rsidRPr="004C6D3F">
        <w:rPr>
          <w:sz w:val="28"/>
          <w:szCs w:val="28"/>
          <w:lang w:val="uk-UA"/>
        </w:rPr>
        <w:t>. Робота базується на резул</w:t>
      </w:r>
      <w:r w:rsidRPr="004C6D3F">
        <w:rPr>
          <w:sz w:val="28"/>
          <w:szCs w:val="28"/>
          <w:lang w:val="uk-UA"/>
        </w:rPr>
        <w:t>ь</w:t>
      </w:r>
      <w:r w:rsidRPr="004C6D3F">
        <w:rPr>
          <w:sz w:val="28"/>
          <w:szCs w:val="28"/>
          <w:lang w:val="uk-UA"/>
        </w:rPr>
        <w:t>татах обстеження 105 пацієнтів з кардіомегалією та систолічною ХСН ІІ А-Б стадії, які проходили лікування у відділенні некоронарогенних захворювань серця та клінічної ревматології Націонал</w:t>
      </w:r>
      <w:r w:rsidRPr="004C6D3F">
        <w:rPr>
          <w:sz w:val="28"/>
          <w:szCs w:val="28"/>
          <w:lang w:val="uk-UA"/>
        </w:rPr>
        <w:t>ь</w:t>
      </w:r>
      <w:r w:rsidRPr="004C6D3F">
        <w:rPr>
          <w:sz w:val="28"/>
          <w:szCs w:val="28"/>
          <w:lang w:val="uk-UA"/>
        </w:rPr>
        <w:t>ного наукового центру «Інститут кардіології імені академіка М.Д. Стражеска» АМН України у 2004-2008 рр.</w:t>
      </w:r>
      <w:r>
        <w:rPr>
          <w:sz w:val="28"/>
          <w:szCs w:val="28"/>
          <w:lang w:val="uk-UA"/>
        </w:rPr>
        <w:t xml:space="preserve"> </w:t>
      </w:r>
      <w:r w:rsidRPr="004C6D3F">
        <w:rPr>
          <w:iCs/>
          <w:sz w:val="28"/>
          <w:szCs w:val="28"/>
          <w:lang w:val="uk-UA"/>
        </w:rPr>
        <w:t xml:space="preserve">Критеріями включення у дослідження були: </w:t>
      </w:r>
      <w:r w:rsidRPr="004C6D3F">
        <w:rPr>
          <w:sz w:val="28"/>
          <w:szCs w:val="28"/>
          <w:lang w:val="uk-UA" w:eastAsia="uk-UA"/>
        </w:rPr>
        <w:t>наявність кардіомегалії (іКДО ЛШ</w:t>
      </w:r>
      <w:r w:rsidRPr="00EA3A6C">
        <w:rPr>
          <w:sz w:val="28"/>
          <w:szCs w:val="28"/>
          <w:lang w:val="uk-UA" w:eastAsia="uk-UA"/>
        </w:rPr>
        <w:t>&gt;</w:t>
      </w:r>
      <w:r w:rsidRPr="004C6D3F">
        <w:rPr>
          <w:sz w:val="28"/>
          <w:szCs w:val="28"/>
          <w:lang w:val="uk-UA" w:eastAsia="uk-UA"/>
        </w:rPr>
        <w:t>76</w:t>
      </w:r>
      <w:r w:rsidRPr="004C6D3F">
        <w:rPr>
          <w:sz w:val="28"/>
          <w:szCs w:val="28"/>
          <w:lang w:val="uk-UA"/>
        </w:rPr>
        <w:t xml:space="preserve"> мл/м</w:t>
      </w:r>
      <w:r w:rsidRPr="004C6D3F">
        <w:rPr>
          <w:sz w:val="28"/>
          <w:szCs w:val="28"/>
          <w:vertAlign w:val="superscript"/>
          <w:lang w:val="uk-UA"/>
        </w:rPr>
        <w:t>2</w:t>
      </w:r>
      <w:r w:rsidRPr="004C6D3F"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 w:eastAsia="uk-UA"/>
        </w:rPr>
        <w:t xml:space="preserve"> та ХСН</w:t>
      </w:r>
      <w:r w:rsidRPr="004C6D3F">
        <w:rPr>
          <w:sz w:val="28"/>
          <w:szCs w:val="28"/>
          <w:lang w:val="uk-UA" w:eastAsia="uk-UA"/>
        </w:rPr>
        <w:t>, що були діагностовані не менше ніж за 4 місяці до початку</w:t>
      </w:r>
      <w:r w:rsidRPr="004C6D3F">
        <w:rPr>
          <w:vanish/>
          <w:sz w:val="28"/>
          <w:szCs w:val="28"/>
          <w:lang w:val="uk-UA" w:eastAsia="uk-UA"/>
        </w:rPr>
        <w:t>|розпочала,зачала|</w:t>
      </w:r>
      <w:r w:rsidRPr="004C6D3F">
        <w:rPr>
          <w:sz w:val="28"/>
          <w:szCs w:val="28"/>
          <w:lang w:val="uk-UA" w:eastAsia="uk-UA"/>
        </w:rPr>
        <w:t xml:space="preserve"> дослідження; вел</w:t>
      </w:r>
      <w:r w:rsidRPr="004C6D3F">
        <w:rPr>
          <w:sz w:val="28"/>
          <w:szCs w:val="28"/>
          <w:lang w:val="uk-UA" w:eastAsia="uk-UA"/>
        </w:rPr>
        <w:t>и</w:t>
      </w:r>
      <w:r w:rsidRPr="004C6D3F">
        <w:rPr>
          <w:sz w:val="28"/>
          <w:szCs w:val="28"/>
          <w:lang w:val="uk-UA" w:eastAsia="uk-UA"/>
        </w:rPr>
        <w:t>чина фракції викиду (ФВ) ЛШ</w:t>
      </w:r>
      <w:r w:rsidRPr="004C6D3F">
        <w:rPr>
          <w:vanish/>
          <w:sz w:val="28"/>
          <w:szCs w:val="28"/>
          <w:lang w:val="uk-UA" w:eastAsia="uk-UA"/>
        </w:rPr>
        <w:t>|</w:t>
      </w:r>
      <w:r w:rsidRPr="004C6D3F">
        <w:rPr>
          <w:sz w:val="28"/>
          <w:szCs w:val="28"/>
          <w:lang w:val="uk-UA" w:eastAsia="uk-UA"/>
        </w:rPr>
        <w:t xml:space="preserve"> ≤ 45%</w:t>
      </w:r>
      <w:r>
        <w:rPr>
          <w:sz w:val="28"/>
          <w:szCs w:val="28"/>
          <w:lang w:val="uk-UA" w:eastAsia="uk-UA"/>
        </w:rPr>
        <w:t>,</w:t>
      </w:r>
      <w:r w:rsidRPr="004C6D3F">
        <w:rPr>
          <w:sz w:val="28"/>
          <w:szCs w:val="28"/>
          <w:lang w:val="uk-UA" w:eastAsia="uk-UA"/>
        </w:rPr>
        <w:t xml:space="preserve"> </w:t>
      </w:r>
      <w:r w:rsidRPr="004C6D3F">
        <w:rPr>
          <w:sz w:val="28"/>
          <w:szCs w:val="28"/>
          <w:lang w:val="uk-UA"/>
        </w:rPr>
        <w:t xml:space="preserve">II-III </w:t>
      </w:r>
      <w:r w:rsidRPr="004C6D3F">
        <w:rPr>
          <w:sz w:val="28"/>
          <w:szCs w:val="28"/>
          <w:lang w:val="uk-UA" w:eastAsia="uk-UA"/>
        </w:rPr>
        <w:t>ФК за NYHA.</w:t>
      </w:r>
    </w:p>
    <w:p w:rsidR="003B05B6" w:rsidRPr="004C6D3F" w:rsidRDefault="003B05B6" w:rsidP="003B05B6">
      <w:pPr>
        <w:spacing w:line="252" w:lineRule="auto"/>
        <w:ind w:firstLine="360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У дослідження не включали пацієнтів з рестриктивними ураженнями серця, набутими та вр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>дженими вадами серця, в тому числі з відносною мітральною регургітацією, що перевищ</w:t>
      </w:r>
      <w:r w:rsidRPr="004C6D3F">
        <w:rPr>
          <w:sz w:val="28"/>
          <w:szCs w:val="28"/>
          <w:lang w:val="uk-UA"/>
        </w:rPr>
        <w:t>у</w:t>
      </w:r>
      <w:r w:rsidRPr="004C6D3F">
        <w:rPr>
          <w:sz w:val="28"/>
          <w:szCs w:val="28"/>
          <w:lang w:val="uk-UA"/>
        </w:rPr>
        <w:t>вала ІІ стадію, ендокринними захворюваннями, в тому числі  з цукровим діабетом та декомпе</w:t>
      </w:r>
      <w:r w:rsidRPr="004C6D3F">
        <w:rPr>
          <w:sz w:val="28"/>
          <w:szCs w:val="28"/>
          <w:lang w:val="uk-UA"/>
        </w:rPr>
        <w:t>н</w:t>
      </w:r>
      <w:r w:rsidRPr="004C6D3F">
        <w:rPr>
          <w:sz w:val="28"/>
          <w:szCs w:val="28"/>
          <w:lang w:val="uk-UA"/>
        </w:rPr>
        <w:t>сованими порушеннями з боку щитовидної залози, з хронічними обструктивними захворюва</w:t>
      </w:r>
      <w:r w:rsidRPr="004C6D3F">
        <w:rPr>
          <w:sz w:val="28"/>
          <w:szCs w:val="28"/>
          <w:lang w:val="uk-UA"/>
        </w:rPr>
        <w:t>н</w:t>
      </w:r>
      <w:r w:rsidRPr="004C6D3F">
        <w:rPr>
          <w:sz w:val="28"/>
          <w:szCs w:val="28"/>
          <w:lang w:val="uk-UA"/>
        </w:rPr>
        <w:t>нями легень та наявністю легеневого серця, з синдромом слабкості синусового вузла, хворих з наявністю брад</w:t>
      </w:r>
      <w:r w:rsidRPr="004C6D3F">
        <w:rPr>
          <w:sz w:val="28"/>
          <w:szCs w:val="28"/>
          <w:lang w:val="uk-UA"/>
        </w:rPr>
        <w:t>и</w:t>
      </w:r>
      <w:r w:rsidRPr="004C6D3F">
        <w:rPr>
          <w:sz w:val="28"/>
          <w:szCs w:val="28"/>
          <w:lang w:val="uk-UA"/>
        </w:rPr>
        <w:t>кардії (ЧСС менше 60 за хвилину) та атріовентрикулярних (АВ) блокад ІІ-ІІІ ступенів, з неконтр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>льованою артеріальною гіпертензією (АГ) (САТ &gt;</w:t>
      </w:r>
      <w:smartTag w:uri="urn:schemas-microsoft-com:office:smarttags" w:element="metricconverter">
        <w:smartTagPr>
          <w:attr w:name="ProductID" w:val="180 мм"/>
        </w:smartTagPr>
        <w:r w:rsidRPr="004C6D3F">
          <w:rPr>
            <w:sz w:val="28"/>
            <w:szCs w:val="28"/>
            <w:lang w:val="uk-UA"/>
          </w:rPr>
          <w:t>180 мм</w:t>
        </w:r>
      </w:smartTag>
      <w:r w:rsidRPr="004C6D3F">
        <w:rPr>
          <w:sz w:val="28"/>
          <w:szCs w:val="28"/>
          <w:lang w:val="uk-UA"/>
        </w:rPr>
        <w:t xml:space="preserve"> рт.ст., ДАТ &gt; </w:t>
      </w:r>
      <w:smartTag w:uri="urn:schemas-microsoft-com:office:smarttags" w:element="metricconverter">
        <w:smartTagPr>
          <w:attr w:name="ProductID" w:val="110 мм"/>
        </w:smartTagPr>
        <w:r w:rsidRPr="004C6D3F">
          <w:rPr>
            <w:sz w:val="28"/>
            <w:szCs w:val="28"/>
            <w:lang w:val="uk-UA"/>
          </w:rPr>
          <w:t>110 мм</w:t>
        </w:r>
      </w:smartTag>
      <w:r w:rsidRPr="004C6D3F">
        <w:rPr>
          <w:sz w:val="28"/>
          <w:szCs w:val="28"/>
          <w:lang w:val="uk-UA"/>
        </w:rPr>
        <w:t xml:space="preserve"> рт. ст.) або гіпоте</w:t>
      </w:r>
      <w:r w:rsidRPr="004C6D3F">
        <w:rPr>
          <w:sz w:val="28"/>
          <w:szCs w:val="28"/>
          <w:lang w:val="uk-UA"/>
        </w:rPr>
        <w:t>н</w:t>
      </w:r>
      <w:r w:rsidRPr="004C6D3F">
        <w:rPr>
          <w:sz w:val="28"/>
          <w:szCs w:val="28"/>
          <w:lang w:val="uk-UA"/>
        </w:rPr>
        <w:t xml:space="preserve">зією </w:t>
      </w:r>
      <w:r w:rsidRPr="004C6D3F">
        <w:rPr>
          <w:iCs/>
          <w:sz w:val="28"/>
          <w:szCs w:val="28"/>
          <w:lang w:val="uk-UA"/>
        </w:rPr>
        <w:t xml:space="preserve">(САТ менше </w:t>
      </w:r>
      <w:smartTag w:uri="urn:schemas-microsoft-com:office:smarttags" w:element="metricconverter">
        <w:smartTagPr>
          <w:attr w:name="ProductID" w:val="85 мм"/>
        </w:smartTagPr>
        <w:r w:rsidRPr="004C6D3F">
          <w:rPr>
            <w:iCs/>
            <w:sz w:val="28"/>
            <w:szCs w:val="28"/>
            <w:lang w:val="uk-UA"/>
          </w:rPr>
          <w:t>85 мм</w:t>
        </w:r>
      </w:smartTag>
      <w:r w:rsidRPr="004C6D3F">
        <w:rPr>
          <w:iCs/>
          <w:sz w:val="28"/>
          <w:szCs w:val="28"/>
          <w:lang w:val="uk-UA"/>
        </w:rPr>
        <w:t xml:space="preserve"> рт.ст.), </w:t>
      </w:r>
      <w:r w:rsidRPr="004C6D3F">
        <w:rPr>
          <w:sz w:val="28"/>
          <w:szCs w:val="28"/>
          <w:lang w:val="uk-UA" w:eastAsia="uk-UA"/>
        </w:rPr>
        <w:t>важким облітеруючим ендартеріїтом нижніх кінцівок, гострим і</w:t>
      </w:r>
      <w:r w:rsidRPr="004C6D3F">
        <w:rPr>
          <w:sz w:val="28"/>
          <w:szCs w:val="28"/>
          <w:lang w:val="uk-UA" w:eastAsia="uk-UA"/>
        </w:rPr>
        <w:t>н</w:t>
      </w:r>
      <w:r w:rsidRPr="004C6D3F">
        <w:rPr>
          <w:sz w:val="28"/>
          <w:szCs w:val="28"/>
          <w:lang w:val="uk-UA" w:eastAsia="uk-UA"/>
        </w:rPr>
        <w:t>фарктом міокарду або нестабільною стенокардією, гострим поруше</w:t>
      </w:r>
      <w:r w:rsidRPr="004C6D3F">
        <w:rPr>
          <w:sz w:val="28"/>
          <w:szCs w:val="28"/>
          <w:lang w:val="uk-UA" w:eastAsia="uk-UA"/>
        </w:rPr>
        <w:t>н</w:t>
      </w:r>
      <w:r w:rsidRPr="004C6D3F">
        <w:rPr>
          <w:sz w:val="28"/>
          <w:szCs w:val="28"/>
          <w:lang w:val="uk-UA" w:eastAsia="uk-UA"/>
        </w:rPr>
        <w:t>ням мозкового кровообігу, що мало місце останні півроку, злоякісними новоутвореннями, алкогольною залежністю, жінок з в</w:t>
      </w:r>
      <w:r w:rsidRPr="004C6D3F">
        <w:rPr>
          <w:sz w:val="28"/>
          <w:szCs w:val="28"/>
          <w:lang w:val="uk-UA"/>
        </w:rPr>
        <w:t>аг</w:t>
      </w:r>
      <w:r w:rsidRPr="004C6D3F">
        <w:rPr>
          <w:sz w:val="28"/>
          <w:szCs w:val="28"/>
          <w:lang w:val="uk-UA"/>
        </w:rPr>
        <w:t>і</w:t>
      </w:r>
      <w:r w:rsidRPr="004C6D3F">
        <w:rPr>
          <w:sz w:val="28"/>
          <w:szCs w:val="28"/>
          <w:lang w:val="uk-UA"/>
        </w:rPr>
        <w:t>тністю або лактацією, позитивними маркерами гострого ур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>ження міокарду та активної вірусної інфекції у крові.</w:t>
      </w:r>
    </w:p>
    <w:p w:rsidR="003B05B6" w:rsidRPr="004C6D3F" w:rsidRDefault="003B05B6" w:rsidP="003B05B6">
      <w:pPr>
        <w:spacing w:line="252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Всього в дослідження було включено 105 пацієнтів віком від 19 до 70 (в середньому 46,61±1,28) років: 96 (91,4%) з них – чоловіки та 9 (8,6%) – жінки. Середні початкові значення склали: ФВ ЛШ - 34,47±0,46 %, ФК пацієнтів - 2,64±0,05 умов.од., тривалість проявів ХСН - 24,99±3,47 місяців</w:t>
      </w:r>
      <w:r w:rsidRPr="004C6D3F">
        <w:rPr>
          <w:iCs/>
          <w:sz w:val="28"/>
          <w:szCs w:val="28"/>
          <w:lang w:val="uk-UA"/>
        </w:rPr>
        <w:t xml:space="preserve">. </w:t>
      </w:r>
      <w:r w:rsidRPr="004C6D3F">
        <w:rPr>
          <w:sz w:val="28"/>
          <w:szCs w:val="28"/>
          <w:lang w:val="uk-UA"/>
        </w:rPr>
        <w:t>У 70 (66,7%) хворих було діагностовано ІІ А, а у 35 (33,3%) - ІІ Б стадію ХСН. Стадію ХСН та ФК визначали згідно Рекомендацій Української Асоціації кардіологів з діагност</w:t>
      </w:r>
      <w:r w:rsidRPr="004C6D3F">
        <w:rPr>
          <w:sz w:val="28"/>
          <w:szCs w:val="28"/>
          <w:lang w:val="uk-UA"/>
        </w:rPr>
        <w:t>и</w:t>
      </w:r>
      <w:r w:rsidRPr="004C6D3F">
        <w:rPr>
          <w:sz w:val="28"/>
          <w:szCs w:val="28"/>
          <w:lang w:val="uk-UA"/>
        </w:rPr>
        <w:t xml:space="preserve">ки, лікування та профілактики серцевої недостатності у дорослих (2006). </w:t>
      </w:r>
    </w:p>
    <w:p w:rsidR="003B05B6" w:rsidRPr="004C6D3F" w:rsidRDefault="003B05B6" w:rsidP="003B05B6">
      <w:pPr>
        <w:spacing w:line="252" w:lineRule="auto"/>
        <w:ind w:firstLine="540"/>
        <w:jc w:val="both"/>
        <w:rPr>
          <w:iCs/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Всі хворі були розподілені на групи залежно від етіології ХСН. Групу КОР склали 23 паціє</w:t>
      </w:r>
      <w:r w:rsidRPr="004C6D3F">
        <w:rPr>
          <w:sz w:val="28"/>
          <w:szCs w:val="28"/>
          <w:lang w:val="uk-UA"/>
        </w:rPr>
        <w:t>н</w:t>
      </w:r>
      <w:r w:rsidRPr="004C6D3F">
        <w:rPr>
          <w:sz w:val="28"/>
          <w:szCs w:val="28"/>
          <w:lang w:val="uk-UA"/>
        </w:rPr>
        <w:t>ти з кардіомегалією та ХСН коронарогенного ґенезу: 21 чоловік (91,3%) та 2 жінки (8,7%), сере</w:t>
      </w:r>
      <w:r w:rsidRPr="004C6D3F">
        <w:rPr>
          <w:sz w:val="28"/>
          <w:szCs w:val="28"/>
          <w:lang w:val="uk-UA"/>
        </w:rPr>
        <w:t>д</w:t>
      </w:r>
      <w:r w:rsidRPr="004C6D3F">
        <w:rPr>
          <w:sz w:val="28"/>
          <w:szCs w:val="28"/>
          <w:lang w:val="uk-UA"/>
        </w:rPr>
        <w:t xml:space="preserve">ній вік - 56,91±1,90 років, середній ФК - 2,57±0,11 умов.од.. 19 пацієнтів (82,6%) мали в анамнезі перенесений інфаркт міокарду з наявністю патологічного зубця Q, в 11 з них (47,8%) в анамнезі була присутня АГ, а ще 4 хворих мали багатосудинне ураження коронарних артерій за даними </w:t>
      </w:r>
      <w:r w:rsidRPr="004C6D3F">
        <w:rPr>
          <w:sz w:val="28"/>
          <w:szCs w:val="28"/>
          <w:lang w:val="uk-UA" w:eastAsia="uk-UA"/>
        </w:rPr>
        <w:t>к</w:t>
      </w:r>
      <w:r w:rsidRPr="004C6D3F">
        <w:rPr>
          <w:sz w:val="28"/>
          <w:szCs w:val="28"/>
          <w:lang w:val="uk-UA" w:eastAsia="uk-UA"/>
        </w:rPr>
        <w:t>о</w:t>
      </w:r>
      <w:r w:rsidRPr="004C6D3F">
        <w:rPr>
          <w:sz w:val="28"/>
          <w:szCs w:val="28"/>
          <w:lang w:val="uk-UA" w:eastAsia="uk-UA"/>
        </w:rPr>
        <w:t xml:space="preserve">ронаровентрикулографії (КВГ) і/або мультиспіральної </w:t>
      </w:r>
      <w:r w:rsidRPr="004C6D3F">
        <w:rPr>
          <w:sz w:val="28"/>
          <w:szCs w:val="28"/>
          <w:lang w:val="uk-UA" w:eastAsia="uk-UA"/>
        </w:rPr>
        <w:lastRenderedPageBreak/>
        <w:t>комп'ютерної томографії (МСКТ) з внутр</w:t>
      </w:r>
      <w:r w:rsidRPr="004C6D3F">
        <w:rPr>
          <w:sz w:val="28"/>
          <w:szCs w:val="28"/>
          <w:lang w:val="uk-UA" w:eastAsia="uk-UA"/>
        </w:rPr>
        <w:t>і</w:t>
      </w:r>
      <w:r w:rsidRPr="004C6D3F">
        <w:rPr>
          <w:sz w:val="28"/>
          <w:szCs w:val="28"/>
          <w:lang w:val="uk-UA" w:eastAsia="uk-UA"/>
        </w:rPr>
        <w:t>шньовенним контрастуванням коронарних с</w:t>
      </w:r>
      <w:r w:rsidRPr="004C6D3F">
        <w:rPr>
          <w:sz w:val="28"/>
          <w:szCs w:val="28"/>
          <w:lang w:val="uk-UA" w:eastAsia="uk-UA"/>
        </w:rPr>
        <w:t>у</w:t>
      </w:r>
      <w:r w:rsidRPr="004C6D3F">
        <w:rPr>
          <w:sz w:val="28"/>
          <w:szCs w:val="28"/>
          <w:lang w:val="uk-UA" w:eastAsia="uk-UA"/>
        </w:rPr>
        <w:t xml:space="preserve">дин. </w:t>
      </w:r>
      <w:r w:rsidRPr="004C6D3F">
        <w:rPr>
          <w:sz w:val="28"/>
          <w:szCs w:val="28"/>
          <w:lang w:val="uk-UA"/>
        </w:rPr>
        <w:t xml:space="preserve">10 пацієнтів (43,5%) мали ІІ ФК, а 13 (56,5 %) –  ІІІ ФК. </w:t>
      </w:r>
      <w:r w:rsidRPr="004C6D3F">
        <w:rPr>
          <w:sz w:val="28"/>
          <w:szCs w:val="28"/>
          <w:lang w:val="uk-UA" w:eastAsia="uk-UA"/>
        </w:rPr>
        <w:t xml:space="preserve">У 9 (39,1%) пацієнтів </w:t>
      </w:r>
      <w:r>
        <w:rPr>
          <w:sz w:val="28"/>
          <w:szCs w:val="28"/>
          <w:lang w:val="uk-UA" w:eastAsia="uk-UA"/>
        </w:rPr>
        <w:t xml:space="preserve">даної групи </w:t>
      </w:r>
      <w:r w:rsidRPr="004C6D3F">
        <w:rPr>
          <w:sz w:val="28"/>
          <w:szCs w:val="28"/>
          <w:lang w:val="uk-UA" w:eastAsia="uk-UA"/>
        </w:rPr>
        <w:t xml:space="preserve">було діагностовано </w:t>
      </w:r>
      <w:r>
        <w:rPr>
          <w:sz w:val="28"/>
          <w:szCs w:val="28"/>
          <w:lang w:val="uk-UA" w:eastAsia="uk-UA"/>
        </w:rPr>
        <w:t>фібриляцію передсердь (</w:t>
      </w:r>
      <w:r w:rsidRPr="004C6D3F">
        <w:rPr>
          <w:sz w:val="28"/>
          <w:szCs w:val="28"/>
          <w:lang w:val="uk-UA" w:eastAsia="uk-UA"/>
        </w:rPr>
        <w:t>ФП</w:t>
      </w:r>
      <w:r>
        <w:rPr>
          <w:sz w:val="28"/>
          <w:szCs w:val="28"/>
          <w:lang w:val="uk-UA" w:eastAsia="uk-UA"/>
        </w:rPr>
        <w:t>)</w:t>
      </w:r>
      <w:r w:rsidRPr="004C6D3F">
        <w:rPr>
          <w:sz w:val="28"/>
          <w:szCs w:val="28"/>
          <w:lang w:val="uk-UA" w:eastAsia="uk-UA"/>
        </w:rPr>
        <w:t>. Паціє</w:t>
      </w:r>
      <w:r w:rsidRPr="004C6D3F">
        <w:rPr>
          <w:sz w:val="28"/>
          <w:szCs w:val="28"/>
          <w:lang w:val="uk-UA" w:eastAsia="uk-UA"/>
        </w:rPr>
        <w:t>н</w:t>
      </w:r>
      <w:r w:rsidRPr="004C6D3F">
        <w:rPr>
          <w:sz w:val="28"/>
          <w:szCs w:val="28"/>
          <w:lang w:val="uk-UA" w:eastAsia="uk-UA"/>
        </w:rPr>
        <w:t xml:space="preserve">тів, яким в ході дослідження було проведене хірургічне лікування (в тому числі ендоваскулярне), із подальшого аналізу виключали. </w:t>
      </w:r>
    </w:p>
    <w:p w:rsidR="003B05B6" w:rsidRPr="004C6D3F" w:rsidRDefault="003B05B6" w:rsidP="003B05B6">
      <w:pPr>
        <w:spacing w:line="252" w:lineRule="auto"/>
        <w:ind w:firstLine="540"/>
        <w:jc w:val="both"/>
        <w:rPr>
          <w:sz w:val="28"/>
          <w:szCs w:val="28"/>
          <w:lang w:val="uk-UA" w:eastAsia="uk-UA"/>
        </w:rPr>
      </w:pPr>
      <w:r w:rsidRPr="004C6D3F">
        <w:rPr>
          <w:sz w:val="28"/>
          <w:szCs w:val="28"/>
          <w:lang w:val="uk-UA"/>
        </w:rPr>
        <w:t xml:space="preserve">Групу НЕКОР склали 82 пацієнти з кардіомегалією та ХСН </w:t>
      </w:r>
      <w:r w:rsidRPr="004C6D3F">
        <w:rPr>
          <w:sz w:val="28"/>
          <w:szCs w:val="28"/>
          <w:lang w:val="uk-UA" w:eastAsia="uk-UA"/>
        </w:rPr>
        <w:t>некоронарогенного</w:t>
      </w:r>
      <w:r w:rsidRPr="004C6D3F">
        <w:rPr>
          <w:sz w:val="28"/>
          <w:szCs w:val="28"/>
          <w:lang w:val="uk-UA"/>
        </w:rPr>
        <w:t xml:space="preserve"> ґенезу: 75 ч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 xml:space="preserve">ловіків (91,5%) та 7 жінок (8,5%), середній вік - 43,72±1,39 роки, середній ФК - 2,67±0,05 умов.од.. У 31 (37,8%) пацієнта на момент включення в дослідження було діагностовано ІІ ФК, у 51 (62,2 %) - ІІІ ФК. Пацієнти з </w:t>
      </w:r>
      <w:r w:rsidRPr="004C6D3F">
        <w:rPr>
          <w:i/>
          <w:sz w:val="28"/>
          <w:szCs w:val="28"/>
          <w:lang w:val="uk-UA"/>
        </w:rPr>
        <w:t>групи НЕКОР</w:t>
      </w:r>
      <w:r w:rsidRPr="004C6D3F">
        <w:rPr>
          <w:sz w:val="28"/>
          <w:szCs w:val="28"/>
          <w:lang w:val="uk-UA"/>
        </w:rPr>
        <w:t xml:space="preserve"> в свою чергу були розділені в залежності від діагнозу. 28 (34,1%) хворих на </w:t>
      </w:r>
      <w:r w:rsidRPr="004C6D3F">
        <w:rPr>
          <w:sz w:val="28"/>
          <w:szCs w:val="28"/>
          <w:lang w:val="uk-UA" w:eastAsia="uk-UA"/>
        </w:rPr>
        <w:t>дилатаційну кардіоміопатію (</w:t>
      </w:r>
      <w:r w:rsidRPr="004C6D3F">
        <w:rPr>
          <w:sz w:val="28"/>
          <w:szCs w:val="28"/>
          <w:lang w:val="uk-UA"/>
        </w:rPr>
        <w:t xml:space="preserve">ДКМП) (24 (85,7%) чоловіки, </w:t>
      </w:r>
      <w:r w:rsidRPr="004C6D3F">
        <w:rPr>
          <w:sz w:val="28"/>
          <w:szCs w:val="28"/>
          <w:lang w:val="uk-UA" w:eastAsia="uk-UA"/>
        </w:rPr>
        <w:t xml:space="preserve">4 (14,3%) - жінки) </w:t>
      </w:r>
      <w:r w:rsidRPr="004C6D3F">
        <w:rPr>
          <w:sz w:val="28"/>
          <w:szCs w:val="28"/>
          <w:lang w:val="uk-UA"/>
        </w:rPr>
        <w:t xml:space="preserve">склали </w:t>
      </w:r>
      <w:r w:rsidRPr="004C6D3F">
        <w:rPr>
          <w:i/>
          <w:sz w:val="28"/>
          <w:szCs w:val="28"/>
          <w:lang w:val="uk-UA"/>
        </w:rPr>
        <w:t>групу ДКМП</w:t>
      </w:r>
      <w:r w:rsidRPr="004C6D3F">
        <w:rPr>
          <w:sz w:val="28"/>
          <w:szCs w:val="28"/>
          <w:lang w:val="uk-UA"/>
        </w:rPr>
        <w:t xml:space="preserve">. Середній вік пацієнтів - 41,82±2,22 рік, середній ФК - 2,71±0,09 умов.од. У 8 (28,6%) пацієнтів було діагностовано ІІ ФК, у 20 (71,4%) - ІІІ ФК. </w:t>
      </w:r>
      <w:r w:rsidRPr="004C6D3F">
        <w:rPr>
          <w:sz w:val="28"/>
          <w:szCs w:val="28"/>
          <w:lang w:val="uk-UA" w:eastAsia="uk-UA"/>
        </w:rPr>
        <w:t>ФП в групі ДКМП мали 6 (21,4%) паці</w:t>
      </w:r>
      <w:r w:rsidRPr="004C6D3F">
        <w:rPr>
          <w:sz w:val="28"/>
          <w:szCs w:val="28"/>
          <w:lang w:val="uk-UA" w:eastAsia="uk-UA"/>
        </w:rPr>
        <w:t>є</w:t>
      </w:r>
      <w:r w:rsidRPr="004C6D3F">
        <w:rPr>
          <w:sz w:val="28"/>
          <w:szCs w:val="28"/>
          <w:lang w:val="uk-UA" w:eastAsia="uk-UA"/>
        </w:rPr>
        <w:t>нтів. Діагноз ДКМП встановлювали згідно рекомендацій ВООЗ, Європейського та Українського товариства кардіологів (2007).</w:t>
      </w:r>
    </w:p>
    <w:p w:rsidR="003B05B6" w:rsidRPr="004C6D3F" w:rsidRDefault="003B05B6" w:rsidP="003B05B6">
      <w:pPr>
        <w:spacing w:line="252" w:lineRule="auto"/>
        <w:ind w:firstLine="540"/>
        <w:jc w:val="both"/>
        <w:rPr>
          <w:sz w:val="28"/>
          <w:szCs w:val="28"/>
          <w:lang w:val="uk-UA" w:eastAsia="uk-UA"/>
        </w:rPr>
      </w:pPr>
      <w:r w:rsidRPr="004C6D3F">
        <w:rPr>
          <w:sz w:val="28"/>
          <w:szCs w:val="28"/>
          <w:lang w:val="uk-UA" w:eastAsia="uk-UA"/>
        </w:rPr>
        <w:t>54 пацієнти</w:t>
      </w:r>
      <w:r w:rsidRPr="004C6D3F">
        <w:rPr>
          <w:sz w:val="28"/>
          <w:szCs w:val="28"/>
          <w:lang w:val="uk-UA"/>
        </w:rPr>
        <w:t xml:space="preserve"> (51 (94,4%) чоловік і</w:t>
      </w:r>
      <w:r w:rsidRPr="004C6D3F">
        <w:rPr>
          <w:sz w:val="28"/>
          <w:szCs w:val="28"/>
          <w:lang w:val="uk-UA" w:eastAsia="uk-UA"/>
        </w:rPr>
        <w:t xml:space="preserve"> 3 (5,6%) жінки)</w:t>
      </w:r>
      <w:r w:rsidRPr="004C6D3F">
        <w:rPr>
          <w:sz w:val="28"/>
          <w:szCs w:val="28"/>
          <w:lang w:val="uk-UA"/>
        </w:rPr>
        <w:t xml:space="preserve"> з клінічним діагнозом «хронічний диф</w:t>
      </w:r>
      <w:r w:rsidRPr="004C6D3F">
        <w:rPr>
          <w:sz w:val="28"/>
          <w:szCs w:val="28"/>
          <w:lang w:val="uk-UA"/>
        </w:rPr>
        <w:t>у</w:t>
      </w:r>
      <w:r w:rsidRPr="004C6D3F">
        <w:rPr>
          <w:sz w:val="28"/>
          <w:szCs w:val="28"/>
          <w:lang w:val="uk-UA"/>
        </w:rPr>
        <w:t xml:space="preserve">зний міокардит» (ХМ) склали </w:t>
      </w:r>
      <w:r w:rsidRPr="004C6D3F">
        <w:rPr>
          <w:i/>
          <w:sz w:val="28"/>
          <w:szCs w:val="28"/>
          <w:lang w:val="uk-UA"/>
        </w:rPr>
        <w:t>групу ХМ.</w:t>
      </w:r>
      <w:r w:rsidRPr="004C6D3F">
        <w:rPr>
          <w:sz w:val="28"/>
          <w:szCs w:val="28"/>
          <w:lang w:val="uk-UA"/>
        </w:rPr>
        <w:t xml:space="preserve"> Середній вік пацієнтів - 44,70±1,69 роки, середній ФК - 2,65±0,07 умов.од</w:t>
      </w:r>
      <w:r w:rsidRPr="004C6D3F">
        <w:rPr>
          <w:sz w:val="28"/>
          <w:szCs w:val="28"/>
          <w:lang w:val="uk-UA" w:eastAsia="uk-UA"/>
        </w:rPr>
        <w:t>.</w:t>
      </w:r>
      <w:r w:rsidRPr="004C6D3F">
        <w:rPr>
          <w:sz w:val="28"/>
          <w:szCs w:val="28"/>
          <w:lang w:val="uk-UA"/>
        </w:rPr>
        <w:t xml:space="preserve">. У 19 (35,2%) пацієнтів був ІІ ФК, у 35 (64,8%) - ІІІ ФК. </w:t>
      </w:r>
      <w:r w:rsidRPr="004C6D3F">
        <w:rPr>
          <w:sz w:val="28"/>
          <w:szCs w:val="28"/>
          <w:lang w:val="uk-UA" w:eastAsia="uk-UA"/>
        </w:rPr>
        <w:t>ФП в групі ХМ мали 26 (48,2%) пацієнтів. Клінічний діагноз ХМ встано</w:t>
      </w:r>
      <w:r w:rsidRPr="004C6D3F">
        <w:rPr>
          <w:sz w:val="28"/>
          <w:szCs w:val="28"/>
          <w:lang w:val="uk-UA" w:eastAsia="uk-UA"/>
        </w:rPr>
        <w:t>в</w:t>
      </w:r>
      <w:r w:rsidRPr="004C6D3F">
        <w:rPr>
          <w:sz w:val="28"/>
          <w:szCs w:val="28"/>
          <w:lang w:val="uk-UA" w:eastAsia="uk-UA"/>
        </w:rPr>
        <w:t>лювали на підставі прис</w:t>
      </w:r>
      <w:r>
        <w:rPr>
          <w:sz w:val="28"/>
          <w:szCs w:val="28"/>
          <w:lang w:val="uk-UA" w:eastAsia="uk-UA"/>
        </w:rPr>
        <w:t xml:space="preserve">утності в анамнезі у хворих </w:t>
      </w:r>
      <w:r w:rsidRPr="00BB3CAD">
        <w:rPr>
          <w:sz w:val="28"/>
          <w:szCs w:val="28"/>
          <w:lang w:val="uk-UA" w:eastAsia="uk-UA"/>
        </w:rPr>
        <w:t>фізікальних</w:t>
      </w:r>
      <w:r w:rsidRPr="004C6D3F">
        <w:rPr>
          <w:sz w:val="28"/>
          <w:szCs w:val="28"/>
          <w:lang w:val="uk-UA" w:eastAsia="uk-UA"/>
        </w:rPr>
        <w:t>, інструментальних та лабор</w:t>
      </w:r>
      <w:r w:rsidRPr="004C6D3F">
        <w:rPr>
          <w:sz w:val="28"/>
          <w:szCs w:val="28"/>
          <w:lang w:val="uk-UA" w:eastAsia="uk-UA"/>
        </w:rPr>
        <w:t>а</w:t>
      </w:r>
      <w:r w:rsidRPr="004C6D3F">
        <w:rPr>
          <w:sz w:val="28"/>
          <w:szCs w:val="28"/>
          <w:lang w:val="uk-UA" w:eastAsia="uk-UA"/>
        </w:rPr>
        <w:t>торних ознак ураження міокарда (кардіомегалії, ХСН тощо), що були  пов’язані з перенесеною інфекцією згідно рекомендацій асоціації кардіологів України з класифікацій, стандартів діагн</w:t>
      </w:r>
      <w:r w:rsidRPr="004C6D3F">
        <w:rPr>
          <w:sz w:val="28"/>
          <w:szCs w:val="28"/>
          <w:lang w:val="uk-UA" w:eastAsia="uk-UA"/>
        </w:rPr>
        <w:t>о</w:t>
      </w:r>
      <w:r w:rsidRPr="004C6D3F">
        <w:rPr>
          <w:sz w:val="28"/>
          <w:szCs w:val="28"/>
          <w:lang w:val="uk-UA" w:eastAsia="uk-UA"/>
        </w:rPr>
        <w:t>стики та лікування серцево-судинних захворювань (2007). В нашому дослідженні діагнози ДКМП та ХМ обов’язково уточнювалис</w:t>
      </w:r>
      <w:r>
        <w:rPr>
          <w:sz w:val="28"/>
          <w:szCs w:val="28"/>
          <w:lang w:val="uk-UA" w:eastAsia="uk-UA"/>
        </w:rPr>
        <w:t>ь</w:t>
      </w:r>
      <w:r w:rsidRPr="004C6D3F">
        <w:rPr>
          <w:sz w:val="28"/>
          <w:szCs w:val="28"/>
          <w:lang w:val="uk-UA" w:eastAsia="uk-UA"/>
        </w:rPr>
        <w:t xml:space="preserve"> ретроспективно за результатами проведеного лікування. Враховували індивідуал</w:t>
      </w:r>
      <w:r w:rsidRPr="004C6D3F">
        <w:rPr>
          <w:sz w:val="28"/>
          <w:szCs w:val="28"/>
          <w:lang w:val="uk-UA" w:eastAsia="uk-UA"/>
        </w:rPr>
        <w:t>ь</w:t>
      </w:r>
      <w:r w:rsidRPr="004C6D3F">
        <w:rPr>
          <w:sz w:val="28"/>
          <w:szCs w:val="28"/>
          <w:lang w:val="uk-UA" w:eastAsia="uk-UA"/>
        </w:rPr>
        <w:t>ну динаміку абсолютних та індексованих показників, що характеризують порожнину ЛШ, та д</w:t>
      </w:r>
      <w:r w:rsidRPr="004C6D3F">
        <w:rPr>
          <w:sz w:val="28"/>
          <w:szCs w:val="28"/>
          <w:lang w:val="uk-UA" w:eastAsia="uk-UA"/>
        </w:rPr>
        <w:t>и</w:t>
      </w:r>
      <w:r w:rsidRPr="004C6D3F">
        <w:rPr>
          <w:sz w:val="28"/>
          <w:szCs w:val="28"/>
          <w:lang w:val="uk-UA" w:eastAsia="uk-UA"/>
        </w:rPr>
        <w:t>наміку його ФВ. Беручи до уваги той факт, що при ДКМП ко</w:t>
      </w:r>
      <w:r w:rsidRPr="004C6D3F">
        <w:rPr>
          <w:sz w:val="28"/>
          <w:szCs w:val="28"/>
          <w:lang w:val="uk-UA" w:eastAsia="uk-UA"/>
        </w:rPr>
        <w:t>н</w:t>
      </w:r>
      <w:r w:rsidRPr="004C6D3F">
        <w:rPr>
          <w:sz w:val="28"/>
          <w:szCs w:val="28"/>
          <w:lang w:val="uk-UA" w:eastAsia="uk-UA"/>
        </w:rPr>
        <w:t>сервативна терапія не призводить до</w:t>
      </w:r>
      <w:r w:rsidRPr="004C6D3F">
        <w:rPr>
          <w:sz w:val="28"/>
          <w:szCs w:val="28"/>
          <w:lang w:val="uk-UA"/>
        </w:rPr>
        <w:t xml:space="preserve"> нормалізації порожнини ЛШ та його ФВ, ми ретроспективно уточнили діагнози </w:t>
      </w:r>
      <w:r w:rsidRPr="004C6D3F">
        <w:rPr>
          <w:sz w:val="28"/>
          <w:szCs w:val="28"/>
          <w:lang w:val="uk-UA" w:eastAsia="uk-UA"/>
        </w:rPr>
        <w:t>у</w:t>
      </w:r>
      <w:r w:rsidRPr="004C6D3F">
        <w:rPr>
          <w:sz w:val="28"/>
          <w:szCs w:val="28"/>
          <w:lang w:val="uk-UA"/>
        </w:rPr>
        <w:t xml:space="preserve"> 15 (18,3%) хв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>рих з групи НЕКОР. У 7 з них діагноз ДКМП було з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 xml:space="preserve">мінено на ХМ. </w:t>
      </w:r>
      <w:r w:rsidRPr="004C6D3F">
        <w:rPr>
          <w:sz w:val="28"/>
          <w:szCs w:val="28"/>
          <w:lang w:val="uk-UA" w:eastAsia="uk-UA"/>
        </w:rPr>
        <w:t>Контрольну групу (група ЗД) склали 18 практично здорових осіб віком від 40 до 51 (в сере</w:t>
      </w:r>
      <w:r w:rsidRPr="004C6D3F">
        <w:rPr>
          <w:sz w:val="28"/>
          <w:szCs w:val="28"/>
          <w:lang w:val="uk-UA" w:eastAsia="uk-UA"/>
        </w:rPr>
        <w:t>д</w:t>
      </w:r>
      <w:r w:rsidRPr="004C6D3F">
        <w:rPr>
          <w:sz w:val="28"/>
          <w:szCs w:val="28"/>
          <w:lang w:val="uk-UA" w:eastAsia="uk-UA"/>
        </w:rPr>
        <w:t>ньому 44,78±0,91) років.</w:t>
      </w:r>
    </w:p>
    <w:p w:rsidR="003B05B6" w:rsidRPr="004C6D3F" w:rsidRDefault="003B05B6" w:rsidP="003B05B6">
      <w:pPr>
        <w:widowControl w:val="0"/>
        <w:spacing w:line="252" w:lineRule="auto"/>
        <w:ind w:firstLine="539"/>
        <w:jc w:val="both"/>
        <w:rPr>
          <w:sz w:val="28"/>
          <w:szCs w:val="28"/>
          <w:lang w:val="uk-UA" w:eastAsia="uk-UA"/>
        </w:rPr>
      </w:pPr>
      <w:r w:rsidRPr="004C6D3F">
        <w:rPr>
          <w:sz w:val="28"/>
          <w:szCs w:val="28"/>
          <w:lang w:val="uk-UA" w:eastAsia="uk-UA"/>
        </w:rPr>
        <w:t>Дослідження складалося з декількох етапів:</w:t>
      </w:r>
      <w:r>
        <w:rPr>
          <w:sz w:val="28"/>
          <w:szCs w:val="28"/>
          <w:lang w:val="uk-UA" w:eastAsia="uk-UA"/>
        </w:rPr>
        <w:t xml:space="preserve"> </w:t>
      </w:r>
      <w:r w:rsidRPr="004C6580">
        <w:rPr>
          <w:i/>
          <w:sz w:val="28"/>
          <w:szCs w:val="28"/>
          <w:lang w:val="uk-UA" w:eastAsia="uk-UA"/>
        </w:rPr>
        <w:t>скринінг</w:t>
      </w:r>
      <w:r w:rsidRPr="004C6D3F">
        <w:rPr>
          <w:sz w:val="28"/>
          <w:szCs w:val="28"/>
          <w:lang w:val="uk-UA" w:eastAsia="uk-UA"/>
        </w:rPr>
        <w:t xml:space="preserve"> – відбір хворих, які відповідають критеріям включення в дослідження. На етапі скринінгу хворим оцін</w:t>
      </w:r>
      <w:r w:rsidRPr="004C6D3F">
        <w:rPr>
          <w:sz w:val="28"/>
          <w:szCs w:val="28"/>
          <w:lang w:val="uk-UA" w:eastAsia="uk-UA"/>
        </w:rPr>
        <w:t>ю</w:t>
      </w:r>
      <w:r w:rsidRPr="004C6D3F">
        <w:rPr>
          <w:sz w:val="28"/>
          <w:szCs w:val="28"/>
          <w:lang w:val="uk-UA" w:eastAsia="uk-UA"/>
        </w:rPr>
        <w:t>вали активність кардіоспецифічних ферментів (КФК-МВ, ЛДГ), рівень тропоніну Т або І, проводили вірус</w:t>
      </w:r>
      <w:r w:rsidRPr="004C6D3F">
        <w:rPr>
          <w:sz w:val="28"/>
          <w:szCs w:val="28"/>
          <w:lang w:val="uk-UA" w:eastAsia="uk-UA"/>
        </w:rPr>
        <w:t>о</w:t>
      </w:r>
      <w:r w:rsidRPr="004C6D3F">
        <w:rPr>
          <w:sz w:val="28"/>
          <w:szCs w:val="28"/>
          <w:lang w:val="uk-UA" w:eastAsia="uk-UA"/>
        </w:rPr>
        <w:t>логічн</w:t>
      </w:r>
      <w:r>
        <w:rPr>
          <w:sz w:val="28"/>
          <w:szCs w:val="28"/>
          <w:lang w:val="uk-UA" w:eastAsia="uk-UA"/>
        </w:rPr>
        <w:t>і</w:t>
      </w:r>
      <w:r w:rsidRPr="004C6D3F">
        <w:rPr>
          <w:sz w:val="28"/>
          <w:szCs w:val="28"/>
          <w:lang w:val="uk-UA" w:eastAsia="uk-UA"/>
        </w:rPr>
        <w:t xml:space="preserve"> дослідження </w:t>
      </w:r>
      <w:r>
        <w:rPr>
          <w:sz w:val="28"/>
          <w:szCs w:val="28"/>
          <w:lang w:val="uk-UA" w:eastAsia="uk-UA"/>
        </w:rPr>
        <w:t xml:space="preserve">(досліджували </w:t>
      </w:r>
      <w:r w:rsidRPr="004C6D3F">
        <w:rPr>
          <w:sz w:val="28"/>
          <w:szCs w:val="28"/>
          <w:lang w:val="uk-UA" w:eastAsia="uk-UA"/>
        </w:rPr>
        <w:t>рівн</w:t>
      </w:r>
      <w:r>
        <w:rPr>
          <w:sz w:val="28"/>
          <w:szCs w:val="28"/>
          <w:lang w:val="uk-UA" w:eastAsia="uk-UA"/>
        </w:rPr>
        <w:t>і</w:t>
      </w:r>
      <w:r w:rsidRPr="004C6D3F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специфічних </w:t>
      </w:r>
      <w:r w:rsidRPr="004C6D3F">
        <w:rPr>
          <w:sz w:val="28"/>
          <w:szCs w:val="28"/>
          <w:lang w:val="uk-UA" w:eastAsia="uk-UA"/>
        </w:rPr>
        <w:t>імуноглобулінів класів G та M та полімеразн</w:t>
      </w:r>
      <w:r>
        <w:rPr>
          <w:sz w:val="28"/>
          <w:szCs w:val="28"/>
          <w:lang w:val="uk-UA" w:eastAsia="uk-UA"/>
        </w:rPr>
        <w:t>у</w:t>
      </w:r>
      <w:r w:rsidRPr="004C6D3F">
        <w:rPr>
          <w:sz w:val="28"/>
          <w:szCs w:val="28"/>
          <w:lang w:val="uk-UA" w:eastAsia="uk-UA"/>
        </w:rPr>
        <w:t xml:space="preserve"> ланцюгов</w:t>
      </w:r>
      <w:r>
        <w:rPr>
          <w:sz w:val="28"/>
          <w:szCs w:val="28"/>
          <w:lang w:val="uk-UA" w:eastAsia="uk-UA"/>
        </w:rPr>
        <w:t>у</w:t>
      </w:r>
      <w:r w:rsidRPr="004C6D3F">
        <w:rPr>
          <w:sz w:val="28"/>
          <w:szCs w:val="28"/>
          <w:lang w:val="uk-UA" w:eastAsia="uk-UA"/>
        </w:rPr>
        <w:t xml:space="preserve"> реакці</w:t>
      </w:r>
      <w:r>
        <w:rPr>
          <w:sz w:val="28"/>
          <w:szCs w:val="28"/>
          <w:lang w:val="uk-UA" w:eastAsia="uk-UA"/>
        </w:rPr>
        <w:t>ю</w:t>
      </w:r>
      <w:r w:rsidRPr="00424F6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в </w:t>
      </w:r>
      <w:r w:rsidRPr="004C6D3F">
        <w:rPr>
          <w:sz w:val="28"/>
          <w:szCs w:val="28"/>
          <w:lang w:val="uk-UA" w:eastAsia="uk-UA"/>
        </w:rPr>
        <w:t>крові</w:t>
      </w:r>
      <w:r>
        <w:rPr>
          <w:sz w:val="28"/>
          <w:szCs w:val="28"/>
          <w:lang w:val="uk-UA" w:eastAsia="uk-UA"/>
        </w:rPr>
        <w:t xml:space="preserve">).  </w:t>
      </w:r>
      <w:r w:rsidRPr="004C6D3F">
        <w:rPr>
          <w:sz w:val="28"/>
          <w:szCs w:val="28"/>
          <w:lang w:val="uk-UA" w:eastAsia="uk-UA"/>
        </w:rPr>
        <w:t>36 хвори</w:t>
      </w:r>
      <w:r>
        <w:rPr>
          <w:sz w:val="28"/>
          <w:szCs w:val="28"/>
          <w:lang w:val="uk-UA" w:eastAsia="uk-UA"/>
        </w:rPr>
        <w:t>м</w:t>
      </w:r>
      <w:r w:rsidRPr="004C6D3F">
        <w:rPr>
          <w:sz w:val="28"/>
          <w:szCs w:val="28"/>
          <w:lang w:val="uk-UA" w:eastAsia="uk-UA"/>
        </w:rPr>
        <w:t xml:space="preserve"> (34,3%) з ФП</w:t>
      </w:r>
      <w:r>
        <w:rPr>
          <w:sz w:val="28"/>
          <w:szCs w:val="28"/>
          <w:lang w:val="uk-UA" w:eastAsia="uk-UA"/>
        </w:rPr>
        <w:t xml:space="preserve"> було проведено обстеження структури та </w:t>
      </w:r>
      <w:r w:rsidRPr="004C6D3F">
        <w:rPr>
          <w:sz w:val="28"/>
          <w:szCs w:val="28"/>
          <w:lang w:val="uk-UA" w:eastAsia="uk-UA"/>
        </w:rPr>
        <w:lastRenderedPageBreak/>
        <w:t>функції</w:t>
      </w:r>
      <w:r>
        <w:rPr>
          <w:sz w:val="28"/>
          <w:szCs w:val="28"/>
          <w:lang w:val="uk-UA" w:eastAsia="uk-UA"/>
        </w:rPr>
        <w:t xml:space="preserve"> </w:t>
      </w:r>
      <w:r w:rsidRPr="004C6D3F">
        <w:rPr>
          <w:sz w:val="28"/>
          <w:szCs w:val="28"/>
          <w:lang w:val="uk-UA" w:eastAsia="uk-UA"/>
        </w:rPr>
        <w:t>щитовидної залози</w:t>
      </w:r>
      <w:r>
        <w:rPr>
          <w:sz w:val="28"/>
          <w:szCs w:val="28"/>
          <w:lang w:val="uk-UA" w:eastAsia="uk-UA"/>
        </w:rPr>
        <w:t xml:space="preserve">, а </w:t>
      </w:r>
      <w:r w:rsidRPr="004C6D3F">
        <w:rPr>
          <w:sz w:val="28"/>
          <w:szCs w:val="28"/>
          <w:lang w:val="uk-UA" w:eastAsia="uk-UA"/>
        </w:rPr>
        <w:t>35 хворим (33,3%) було проведено селективну багатопроекційну КВГ за м</w:t>
      </w:r>
      <w:r w:rsidRPr="004C6D3F">
        <w:rPr>
          <w:sz w:val="28"/>
          <w:szCs w:val="28"/>
          <w:lang w:val="uk-UA" w:eastAsia="uk-UA"/>
        </w:rPr>
        <w:t>е</w:t>
      </w:r>
      <w:r w:rsidRPr="004C6D3F">
        <w:rPr>
          <w:sz w:val="28"/>
          <w:szCs w:val="28"/>
          <w:lang w:val="uk-UA" w:eastAsia="uk-UA"/>
        </w:rPr>
        <w:t>тодом M.Judkins (1967) і/або МСКТ з внутрішньовенним контрастуванням коронарних с</w:t>
      </w:r>
      <w:r w:rsidRPr="004C6D3F">
        <w:rPr>
          <w:sz w:val="28"/>
          <w:szCs w:val="28"/>
          <w:lang w:val="uk-UA" w:eastAsia="uk-UA"/>
        </w:rPr>
        <w:t>у</w:t>
      </w:r>
      <w:r w:rsidRPr="004C6D3F">
        <w:rPr>
          <w:sz w:val="28"/>
          <w:szCs w:val="28"/>
          <w:lang w:val="uk-UA" w:eastAsia="uk-UA"/>
        </w:rPr>
        <w:t xml:space="preserve">дин. </w:t>
      </w:r>
    </w:p>
    <w:p w:rsidR="003B05B6" w:rsidRPr="004C6D3F" w:rsidRDefault="003B05B6" w:rsidP="003B05B6">
      <w:pPr>
        <w:widowControl w:val="0"/>
        <w:spacing w:line="252" w:lineRule="auto"/>
        <w:ind w:firstLine="539"/>
        <w:jc w:val="both"/>
        <w:rPr>
          <w:sz w:val="28"/>
          <w:szCs w:val="28"/>
          <w:lang w:val="uk-UA" w:eastAsia="uk-UA"/>
        </w:rPr>
      </w:pPr>
      <w:r w:rsidRPr="004C6D3F">
        <w:rPr>
          <w:sz w:val="28"/>
          <w:szCs w:val="28"/>
          <w:lang w:val="uk-UA" w:eastAsia="uk-UA"/>
        </w:rPr>
        <w:t xml:space="preserve">Пацієнтам, </w:t>
      </w:r>
      <w:r>
        <w:rPr>
          <w:sz w:val="28"/>
          <w:szCs w:val="28"/>
          <w:lang w:val="uk-UA" w:eastAsia="uk-UA"/>
        </w:rPr>
        <w:t xml:space="preserve">перед </w:t>
      </w:r>
      <w:r w:rsidRPr="004C6D3F">
        <w:rPr>
          <w:sz w:val="28"/>
          <w:szCs w:val="28"/>
          <w:lang w:val="uk-UA" w:eastAsia="uk-UA"/>
        </w:rPr>
        <w:t>включ</w:t>
      </w:r>
      <w:r>
        <w:rPr>
          <w:sz w:val="28"/>
          <w:szCs w:val="28"/>
          <w:lang w:val="uk-UA" w:eastAsia="uk-UA"/>
        </w:rPr>
        <w:t xml:space="preserve">енням </w:t>
      </w:r>
      <w:r w:rsidRPr="004C6D3F">
        <w:rPr>
          <w:sz w:val="28"/>
          <w:szCs w:val="28"/>
          <w:lang w:val="uk-UA" w:eastAsia="uk-UA"/>
        </w:rPr>
        <w:t>в дослідження, проводили стабілізаці</w:t>
      </w:r>
      <w:r>
        <w:rPr>
          <w:sz w:val="28"/>
          <w:szCs w:val="28"/>
          <w:lang w:val="uk-UA" w:eastAsia="uk-UA"/>
        </w:rPr>
        <w:t>ю</w:t>
      </w:r>
      <w:r w:rsidRPr="004C6D3F">
        <w:rPr>
          <w:sz w:val="28"/>
          <w:szCs w:val="28"/>
          <w:lang w:val="uk-UA" w:eastAsia="uk-UA"/>
        </w:rPr>
        <w:t xml:space="preserve"> клінічного стану іАПФ, діуретиками, дігоксином (у частини хворих аміодароном), підбирали </w:t>
      </w:r>
      <w:r>
        <w:rPr>
          <w:sz w:val="28"/>
          <w:szCs w:val="28"/>
          <w:lang w:val="uk-UA" w:eastAsia="uk-UA"/>
        </w:rPr>
        <w:t xml:space="preserve">підтримуючу </w:t>
      </w:r>
      <w:r w:rsidRPr="004C6D3F">
        <w:rPr>
          <w:sz w:val="28"/>
          <w:szCs w:val="28"/>
          <w:lang w:val="uk-UA" w:eastAsia="uk-UA"/>
        </w:rPr>
        <w:t>дозу варфарину. Перед поча</w:t>
      </w:r>
      <w:r w:rsidRPr="004C6D3F">
        <w:rPr>
          <w:sz w:val="28"/>
          <w:szCs w:val="28"/>
          <w:lang w:val="uk-UA" w:eastAsia="uk-UA"/>
        </w:rPr>
        <w:t>т</w:t>
      </w:r>
      <w:r w:rsidRPr="004C6D3F">
        <w:rPr>
          <w:sz w:val="28"/>
          <w:szCs w:val="28"/>
          <w:lang w:val="uk-UA" w:eastAsia="uk-UA"/>
        </w:rPr>
        <w:t xml:space="preserve">ком І етапу всім хворим призначався еналаприл в добовій дозі 5-10 мг. </w:t>
      </w:r>
    </w:p>
    <w:p w:rsidR="003B05B6" w:rsidRPr="004C6D3F" w:rsidRDefault="003B05B6" w:rsidP="003B05B6">
      <w:pPr>
        <w:spacing w:line="252" w:lineRule="auto"/>
        <w:ind w:firstLine="540"/>
        <w:jc w:val="both"/>
        <w:rPr>
          <w:sz w:val="28"/>
          <w:szCs w:val="28"/>
          <w:lang w:val="uk-UA" w:eastAsia="uk-UA"/>
        </w:rPr>
      </w:pPr>
      <w:r w:rsidRPr="004C6D3F">
        <w:rPr>
          <w:sz w:val="28"/>
          <w:szCs w:val="28"/>
          <w:lang w:val="uk-UA" w:eastAsia="uk-UA"/>
        </w:rPr>
        <w:t>І етап – первинне обстеження хворих та попередній розп</w:t>
      </w:r>
      <w:r w:rsidRPr="004C6D3F">
        <w:rPr>
          <w:sz w:val="28"/>
          <w:szCs w:val="28"/>
          <w:lang w:val="uk-UA" w:eastAsia="uk-UA"/>
        </w:rPr>
        <w:t>о</w:t>
      </w:r>
      <w:r w:rsidRPr="004C6D3F">
        <w:rPr>
          <w:sz w:val="28"/>
          <w:szCs w:val="28"/>
          <w:lang w:val="uk-UA" w:eastAsia="uk-UA"/>
        </w:rPr>
        <w:t>діл пацієнтів на групи в залежності від діагнозу. До терапії іАПФ та діуретиком всім пац</w:t>
      </w:r>
      <w:r w:rsidRPr="004C6D3F">
        <w:rPr>
          <w:sz w:val="28"/>
          <w:szCs w:val="28"/>
          <w:lang w:val="uk-UA" w:eastAsia="uk-UA"/>
        </w:rPr>
        <w:t>і</w:t>
      </w:r>
      <w:r w:rsidRPr="004C6D3F">
        <w:rPr>
          <w:sz w:val="28"/>
          <w:szCs w:val="28"/>
          <w:lang w:val="uk-UA" w:eastAsia="uk-UA"/>
        </w:rPr>
        <w:t xml:space="preserve">єнтам призначали неселективний БАБ карведилол. Початкова доза препарату становила 3,125 або 6,25 мг х 2 р./день. Подальше титрування доз </w:t>
      </w:r>
      <w:r>
        <w:rPr>
          <w:sz w:val="28"/>
          <w:szCs w:val="28"/>
          <w:lang w:val="uk-UA" w:eastAsia="uk-UA"/>
        </w:rPr>
        <w:t xml:space="preserve">препаратів </w:t>
      </w:r>
      <w:r w:rsidRPr="004C6D3F">
        <w:rPr>
          <w:sz w:val="28"/>
          <w:szCs w:val="28"/>
          <w:lang w:val="uk-UA" w:eastAsia="uk-UA"/>
        </w:rPr>
        <w:t>проводили за індивідуально під</w:t>
      </w:r>
      <w:r w:rsidRPr="004C6D3F">
        <w:rPr>
          <w:sz w:val="28"/>
          <w:szCs w:val="28"/>
          <w:lang w:val="uk-UA" w:eastAsia="uk-UA"/>
        </w:rPr>
        <w:t>і</w:t>
      </w:r>
      <w:r w:rsidRPr="004C6D3F">
        <w:rPr>
          <w:sz w:val="28"/>
          <w:szCs w:val="28"/>
          <w:lang w:val="uk-UA" w:eastAsia="uk-UA"/>
        </w:rPr>
        <w:t>браною схемою під контролем загального стану, рівня АТ та ЧСС, лабораторних та інструме</w:t>
      </w:r>
      <w:r w:rsidRPr="004C6D3F">
        <w:rPr>
          <w:sz w:val="28"/>
          <w:szCs w:val="28"/>
          <w:lang w:val="uk-UA" w:eastAsia="uk-UA"/>
        </w:rPr>
        <w:t>н</w:t>
      </w:r>
      <w:r w:rsidRPr="004C6D3F">
        <w:rPr>
          <w:sz w:val="28"/>
          <w:szCs w:val="28"/>
          <w:lang w:val="uk-UA" w:eastAsia="uk-UA"/>
        </w:rPr>
        <w:t>тальних показників. Швидкість збільшення дози карведилолу становила 6,25 (а в деяких випа</w:t>
      </w:r>
      <w:r w:rsidRPr="004C6D3F">
        <w:rPr>
          <w:sz w:val="28"/>
          <w:szCs w:val="28"/>
          <w:lang w:val="uk-UA" w:eastAsia="uk-UA"/>
        </w:rPr>
        <w:t>д</w:t>
      </w:r>
      <w:r w:rsidRPr="004C6D3F">
        <w:rPr>
          <w:sz w:val="28"/>
          <w:szCs w:val="28"/>
          <w:lang w:val="uk-UA" w:eastAsia="uk-UA"/>
        </w:rPr>
        <w:t xml:space="preserve">ках 3,125мг) на тиждень, а еналаприлу - 2,5 мг на тиждень. Титрування </w:t>
      </w:r>
      <w:r>
        <w:rPr>
          <w:sz w:val="28"/>
          <w:szCs w:val="28"/>
          <w:lang w:val="uk-UA" w:eastAsia="uk-UA"/>
        </w:rPr>
        <w:t xml:space="preserve">препаратів </w:t>
      </w:r>
      <w:r w:rsidRPr="004C6D3F">
        <w:rPr>
          <w:sz w:val="28"/>
          <w:szCs w:val="28"/>
          <w:lang w:val="uk-UA" w:eastAsia="uk-UA"/>
        </w:rPr>
        <w:t>проводили до цільових або максимально перен</w:t>
      </w:r>
      <w:r w:rsidRPr="004C6D3F">
        <w:rPr>
          <w:sz w:val="28"/>
          <w:szCs w:val="28"/>
          <w:lang w:val="uk-UA" w:eastAsia="uk-UA"/>
        </w:rPr>
        <w:t>о</w:t>
      </w:r>
      <w:r w:rsidRPr="004C6D3F">
        <w:rPr>
          <w:sz w:val="28"/>
          <w:szCs w:val="28"/>
          <w:lang w:val="uk-UA" w:eastAsia="uk-UA"/>
        </w:rPr>
        <w:t>сних доз. На всіх етапах дослідження пріоритет у титруванні доз був наданий карведилолу.</w:t>
      </w:r>
    </w:p>
    <w:p w:rsidR="003B05B6" w:rsidRPr="004C6D3F" w:rsidRDefault="003B05B6" w:rsidP="003B05B6">
      <w:pPr>
        <w:widowControl w:val="0"/>
        <w:spacing w:line="252" w:lineRule="auto"/>
        <w:ind w:firstLine="539"/>
        <w:jc w:val="both"/>
        <w:rPr>
          <w:sz w:val="28"/>
          <w:szCs w:val="28"/>
          <w:lang w:val="uk-UA" w:eastAsia="uk-UA"/>
        </w:rPr>
      </w:pPr>
      <w:r w:rsidRPr="004C6D3F">
        <w:rPr>
          <w:sz w:val="28"/>
          <w:szCs w:val="28"/>
          <w:lang w:val="uk-UA" w:eastAsia="uk-UA"/>
        </w:rPr>
        <w:t>ІІ етап – повторне обстеження хворих при досягненні добової дози карведилолу 50 мг та п</w:t>
      </w:r>
      <w:r w:rsidRPr="004C6D3F">
        <w:rPr>
          <w:sz w:val="28"/>
          <w:szCs w:val="28"/>
          <w:lang w:val="uk-UA" w:eastAsia="uk-UA"/>
        </w:rPr>
        <w:t>о</w:t>
      </w:r>
      <w:r w:rsidRPr="004C6D3F">
        <w:rPr>
          <w:sz w:val="28"/>
          <w:szCs w:val="28"/>
          <w:lang w:val="uk-UA" w:eastAsia="uk-UA"/>
        </w:rPr>
        <w:t>дальше титрування доз препаратів.</w:t>
      </w:r>
    </w:p>
    <w:p w:rsidR="003B05B6" w:rsidRPr="004C6D3F" w:rsidRDefault="003B05B6" w:rsidP="003B05B6">
      <w:pPr>
        <w:spacing w:line="252" w:lineRule="auto"/>
        <w:ind w:firstLine="540"/>
        <w:jc w:val="both"/>
        <w:rPr>
          <w:sz w:val="28"/>
          <w:szCs w:val="28"/>
          <w:lang w:val="uk-UA" w:eastAsia="uk-UA"/>
        </w:rPr>
      </w:pPr>
      <w:r w:rsidRPr="004C6D3F">
        <w:rPr>
          <w:sz w:val="28"/>
          <w:szCs w:val="28"/>
          <w:lang w:val="uk-UA" w:eastAsia="uk-UA"/>
        </w:rPr>
        <w:t>ІІІ етап – повторне обстеження хворих при досягненні добової дози карведилолу 100 мг (або максимально переносної).</w:t>
      </w:r>
    </w:p>
    <w:p w:rsidR="003B05B6" w:rsidRPr="004C6D3F" w:rsidRDefault="003B05B6" w:rsidP="003B05B6">
      <w:pPr>
        <w:spacing w:line="252" w:lineRule="auto"/>
        <w:ind w:firstLine="540"/>
        <w:jc w:val="both"/>
        <w:rPr>
          <w:sz w:val="28"/>
          <w:szCs w:val="28"/>
          <w:lang w:val="uk-UA" w:eastAsia="uk-UA"/>
        </w:rPr>
      </w:pPr>
      <w:r w:rsidRPr="004C6D3F">
        <w:rPr>
          <w:sz w:val="28"/>
          <w:szCs w:val="28"/>
          <w:lang w:val="uk-UA" w:eastAsia="uk-UA"/>
        </w:rPr>
        <w:t xml:space="preserve">IV етап – обстеження хворих не раніше ніж 5 </w:t>
      </w:r>
      <w:r w:rsidRPr="00BB3CAD">
        <w:rPr>
          <w:sz w:val="28"/>
          <w:szCs w:val="28"/>
          <w:lang w:val="uk-UA" w:eastAsia="uk-UA"/>
        </w:rPr>
        <w:t>місяців</w:t>
      </w:r>
      <w:r w:rsidRPr="004C6D3F">
        <w:rPr>
          <w:sz w:val="28"/>
          <w:szCs w:val="28"/>
          <w:lang w:val="uk-UA" w:eastAsia="uk-UA"/>
        </w:rPr>
        <w:t xml:space="preserve"> після досягнення попереднього етапу.</w:t>
      </w:r>
    </w:p>
    <w:p w:rsidR="003B05B6" w:rsidRPr="004C6D3F" w:rsidRDefault="003B05B6" w:rsidP="003B05B6">
      <w:pPr>
        <w:autoSpaceDE w:val="0"/>
        <w:autoSpaceDN w:val="0"/>
        <w:adjustRightInd w:val="0"/>
        <w:spacing w:line="252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Вибір </w:t>
      </w:r>
      <w:r>
        <w:rPr>
          <w:sz w:val="28"/>
          <w:szCs w:val="28"/>
          <w:lang w:val="uk-UA"/>
        </w:rPr>
        <w:t xml:space="preserve">цільових доз </w:t>
      </w:r>
      <w:r w:rsidRPr="004C6D3F">
        <w:rPr>
          <w:sz w:val="28"/>
          <w:szCs w:val="28"/>
          <w:lang w:val="uk-UA"/>
        </w:rPr>
        <w:t xml:space="preserve">був зумовлений тим, що згідно Рекомендацій Європейської </w:t>
      </w:r>
      <w:r>
        <w:rPr>
          <w:sz w:val="28"/>
          <w:szCs w:val="28"/>
          <w:lang w:val="uk-UA"/>
        </w:rPr>
        <w:t>(</w:t>
      </w:r>
      <w:r w:rsidRPr="004C6D3F">
        <w:rPr>
          <w:sz w:val="28"/>
          <w:szCs w:val="28"/>
          <w:lang w:val="uk-UA"/>
        </w:rPr>
        <w:t>Swedberg K., 2005</w:t>
      </w:r>
      <w:r>
        <w:rPr>
          <w:sz w:val="28"/>
          <w:szCs w:val="28"/>
          <w:lang w:val="uk-UA"/>
        </w:rPr>
        <w:t xml:space="preserve">), </w:t>
      </w:r>
      <w:r w:rsidRPr="004C6D3F">
        <w:rPr>
          <w:sz w:val="28"/>
          <w:szCs w:val="28"/>
          <w:lang w:val="uk-UA"/>
        </w:rPr>
        <w:t>Украї</w:t>
      </w:r>
      <w:r w:rsidRPr="004C6D3F">
        <w:rPr>
          <w:sz w:val="28"/>
          <w:szCs w:val="28"/>
          <w:lang w:val="uk-UA"/>
        </w:rPr>
        <w:t>н</w:t>
      </w:r>
      <w:r w:rsidRPr="004C6D3F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(</w:t>
      </w:r>
      <w:r w:rsidRPr="004C6D3F">
        <w:rPr>
          <w:sz w:val="28"/>
          <w:szCs w:val="28"/>
          <w:lang w:val="uk-UA"/>
        </w:rPr>
        <w:t xml:space="preserve">Воронков Л.Г., </w:t>
      </w:r>
      <w:r>
        <w:rPr>
          <w:sz w:val="28"/>
          <w:szCs w:val="28"/>
          <w:lang w:val="uk-UA"/>
        </w:rPr>
        <w:t>2006) та Російської (</w:t>
      </w:r>
      <w:r w:rsidRPr="004C6D3F">
        <w:rPr>
          <w:sz w:val="28"/>
          <w:szCs w:val="28"/>
          <w:lang w:val="uk-UA"/>
        </w:rPr>
        <w:t>Мареев В.Ю., 2006</w:t>
      </w:r>
      <w:r>
        <w:rPr>
          <w:sz w:val="28"/>
          <w:szCs w:val="28"/>
          <w:lang w:val="uk-UA"/>
        </w:rPr>
        <w:t>) а</w:t>
      </w:r>
      <w:r w:rsidRPr="004C6D3F">
        <w:rPr>
          <w:sz w:val="28"/>
          <w:szCs w:val="28"/>
          <w:lang w:val="uk-UA"/>
        </w:rPr>
        <w:t>соціаці</w:t>
      </w:r>
      <w:r>
        <w:rPr>
          <w:sz w:val="28"/>
          <w:szCs w:val="28"/>
          <w:lang w:val="uk-UA"/>
        </w:rPr>
        <w:t>й</w:t>
      </w:r>
      <w:r w:rsidRPr="004C6D3F">
        <w:rPr>
          <w:sz w:val="28"/>
          <w:szCs w:val="28"/>
          <w:lang w:val="uk-UA"/>
        </w:rPr>
        <w:t xml:space="preserve"> кардіологів для лікування дорослих хворих з ХСН рек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 xml:space="preserve">мендована </w:t>
      </w:r>
      <w:r>
        <w:rPr>
          <w:sz w:val="28"/>
          <w:szCs w:val="28"/>
          <w:lang w:val="uk-UA"/>
        </w:rPr>
        <w:t xml:space="preserve">добова </w:t>
      </w:r>
      <w:r w:rsidRPr="004C6D3F">
        <w:rPr>
          <w:sz w:val="28"/>
          <w:szCs w:val="28"/>
          <w:lang w:val="uk-UA"/>
        </w:rPr>
        <w:t xml:space="preserve">доза карведилолу </w:t>
      </w:r>
      <w:r>
        <w:rPr>
          <w:sz w:val="28"/>
          <w:szCs w:val="28"/>
          <w:lang w:val="uk-UA"/>
        </w:rPr>
        <w:t xml:space="preserve">становить </w:t>
      </w:r>
      <w:r w:rsidRPr="004C6D3F">
        <w:rPr>
          <w:sz w:val="28"/>
          <w:szCs w:val="28"/>
          <w:lang w:val="uk-UA"/>
        </w:rPr>
        <w:t>50 мг. В той же час, в Рекомендаціях Америка</w:t>
      </w:r>
      <w:r w:rsidRPr="004C6D3F">
        <w:rPr>
          <w:sz w:val="28"/>
          <w:szCs w:val="28"/>
          <w:lang w:val="uk-UA"/>
        </w:rPr>
        <w:t>н</w:t>
      </w:r>
      <w:r w:rsidRPr="004C6D3F">
        <w:rPr>
          <w:sz w:val="28"/>
          <w:szCs w:val="28"/>
          <w:lang w:val="uk-UA"/>
        </w:rPr>
        <w:t>ської</w:t>
      </w:r>
      <w:r w:rsidRPr="00550EAA">
        <w:rPr>
          <w:sz w:val="28"/>
          <w:szCs w:val="28"/>
          <w:lang w:val="uk-UA"/>
        </w:rPr>
        <w:t xml:space="preserve"> </w:t>
      </w:r>
      <w:r w:rsidRPr="004C6D3F">
        <w:rPr>
          <w:sz w:val="28"/>
          <w:szCs w:val="28"/>
          <w:lang w:val="uk-UA"/>
        </w:rPr>
        <w:t>Асоціації</w:t>
      </w:r>
      <w:r w:rsidRPr="00550EAA">
        <w:rPr>
          <w:sz w:val="28"/>
          <w:szCs w:val="28"/>
          <w:lang w:val="uk-UA"/>
        </w:rPr>
        <w:t xml:space="preserve"> </w:t>
      </w:r>
      <w:r w:rsidRPr="004C6D3F">
        <w:rPr>
          <w:sz w:val="28"/>
          <w:szCs w:val="28"/>
          <w:lang w:val="uk-UA"/>
        </w:rPr>
        <w:t>серця (ACC/AHA Guideline, 2005), а з 2008 року і в рекомендаціях Європейської Асоціації кардіол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 xml:space="preserve">гів </w:t>
      </w:r>
      <w:r>
        <w:rPr>
          <w:sz w:val="28"/>
          <w:szCs w:val="28"/>
          <w:lang w:val="uk-UA"/>
        </w:rPr>
        <w:t>(</w:t>
      </w:r>
      <w:r w:rsidRPr="00F75AF4">
        <w:rPr>
          <w:sz w:val="28"/>
          <w:szCs w:val="28"/>
          <w:lang w:val="en-US"/>
        </w:rPr>
        <w:t>Vaganian</w:t>
      </w:r>
      <w:r w:rsidRPr="00550EAA">
        <w:rPr>
          <w:sz w:val="28"/>
          <w:szCs w:val="28"/>
          <w:lang w:val="uk-UA"/>
        </w:rPr>
        <w:t xml:space="preserve"> </w:t>
      </w:r>
      <w:r w:rsidRPr="00F75AF4">
        <w:rPr>
          <w:sz w:val="28"/>
          <w:szCs w:val="28"/>
          <w:lang w:val="en-US"/>
        </w:rPr>
        <w:t>A</w:t>
      </w:r>
      <w:r w:rsidRPr="00550EAA">
        <w:rPr>
          <w:sz w:val="28"/>
          <w:szCs w:val="28"/>
          <w:lang w:val="uk-UA"/>
        </w:rPr>
        <w:t>., 2008</w:t>
      </w:r>
      <w:r>
        <w:rPr>
          <w:sz w:val="28"/>
          <w:szCs w:val="28"/>
          <w:lang w:val="uk-UA"/>
        </w:rPr>
        <w:t>), зазначено</w:t>
      </w:r>
      <w:r w:rsidRPr="004C6D3F">
        <w:rPr>
          <w:sz w:val="28"/>
          <w:szCs w:val="28"/>
          <w:lang w:val="uk-UA"/>
        </w:rPr>
        <w:t xml:space="preserve">, що при лікуванні ХСН добова доза карведилолу може </w:t>
      </w:r>
      <w:r>
        <w:rPr>
          <w:sz w:val="28"/>
          <w:szCs w:val="28"/>
          <w:lang w:val="uk-UA"/>
        </w:rPr>
        <w:t>дорівнювати</w:t>
      </w:r>
      <w:r w:rsidRPr="004C6D3F">
        <w:rPr>
          <w:sz w:val="28"/>
          <w:szCs w:val="28"/>
          <w:lang w:val="uk-UA"/>
        </w:rPr>
        <w:t xml:space="preserve"> 100 мг.</w:t>
      </w:r>
    </w:p>
    <w:p w:rsidR="003B05B6" w:rsidRPr="004C6D3F" w:rsidRDefault="003B05B6" w:rsidP="003B05B6">
      <w:pPr>
        <w:spacing w:line="252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На всіх етапах дослідження пацієнтам проводили оцінку клінічного стану, визначали ФК зг</w:t>
      </w:r>
      <w:r w:rsidRPr="004C6D3F">
        <w:rPr>
          <w:sz w:val="28"/>
          <w:szCs w:val="28"/>
          <w:lang w:val="uk-UA"/>
        </w:rPr>
        <w:t>і</w:t>
      </w:r>
      <w:r w:rsidRPr="004C6D3F">
        <w:rPr>
          <w:sz w:val="28"/>
          <w:szCs w:val="28"/>
          <w:lang w:val="uk-UA"/>
        </w:rPr>
        <w:t>дно класифікації NYHA, вимірювали масу тіла та зріст, рівень САТ, ДАТ та ЧСС, визначали ти</w:t>
      </w:r>
      <w:r w:rsidRPr="004C6D3F">
        <w:rPr>
          <w:sz w:val="28"/>
          <w:szCs w:val="28"/>
          <w:lang w:val="uk-UA"/>
        </w:rPr>
        <w:t>ж</w:t>
      </w:r>
      <w:r w:rsidRPr="004C6D3F">
        <w:rPr>
          <w:sz w:val="28"/>
          <w:szCs w:val="28"/>
          <w:lang w:val="uk-UA"/>
        </w:rPr>
        <w:t>неву дозу фуросеміду, проводили лабораторні аналізи крові, реєстрацію ЕКГ</w:t>
      </w:r>
      <w:r>
        <w:rPr>
          <w:sz w:val="28"/>
          <w:szCs w:val="28"/>
          <w:lang w:val="uk-UA"/>
        </w:rPr>
        <w:t>. К</w:t>
      </w:r>
      <w:r w:rsidRPr="004C6D3F">
        <w:rPr>
          <w:sz w:val="28"/>
          <w:szCs w:val="28"/>
          <w:lang w:val="uk-UA"/>
        </w:rPr>
        <w:t>омплексну тран</w:t>
      </w:r>
      <w:r w:rsidRPr="004C6D3F">
        <w:rPr>
          <w:sz w:val="28"/>
          <w:szCs w:val="28"/>
          <w:lang w:val="uk-UA"/>
        </w:rPr>
        <w:t>с</w:t>
      </w:r>
      <w:r w:rsidRPr="004C6D3F">
        <w:rPr>
          <w:sz w:val="28"/>
          <w:szCs w:val="28"/>
          <w:lang w:val="uk-UA"/>
        </w:rPr>
        <w:t>торакальну ЕхоКГ</w:t>
      </w:r>
      <w:r>
        <w:rPr>
          <w:sz w:val="28"/>
          <w:szCs w:val="28"/>
          <w:lang w:val="uk-UA"/>
        </w:rPr>
        <w:t xml:space="preserve"> </w:t>
      </w:r>
      <w:r w:rsidRPr="004C6D3F">
        <w:rPr>
          <w:sz w:val="28"/>
          <w:szCs w:val="28"/>
          <w:lang w:val="uk-UA"/>
        </w:rPr>
        <w:t>проводили на апараті ”SONOLINE  Omnia Ultrasound Imaging System“ ("Siemens", Німеччина) фазованим датчиком  Р4-2 із змінною частотою</w:t>
      </w:r>
      <w:r>
        <w:rPr>
          <w:sz w:val="28"/>
          <w:szCs w:val="28"/>
          <w:lang w:val="uk-UA"/>
        </w:rPr>
        <w:t xml:space="preserve"> </w:t>
      </w:r>
      <w:r w:rsidRPr="004C6D3F">
        <w:rPr>
          <w:sz w:val="28"/>
          <w:szCs w:val="28"/>
          <w:lang w:val="uk-UA"/>
        </w:rPr>
        <w:t>в одномірному (М)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і</w:t>
      </w:r>
      <w:r w:rsidRPr="004C6D3F">
        <w:rPr>
          <w:sz w:val="28"/>
          <w:szCs w:val="28"/>
          <w:lang w:val="uk-UA"/>
        </w:rPr>
        <w:t xml:space="preserve"> двомірному (2D) режимах, </w:t>
      </w:r>
      <w:r>
        <w:rPr>
          <w:sz w:val="28"/>
          <w:szCs w:val="28"/>
          <w:lang w:val="uk-UA"/>
        </w:rPr>
        <w:t xml:space="preserve">та </w:t>
      </w:r>
      <w:r w:rsidRPr="004C6D3F">
        <w:rPr>
          <w:sz w:val="28"/>
          <w:szCs w:val="28"/>
          <w:lang w:val="uk-UA"/>
        </w:rPr>
        <w:t>в режимі постійнохв</w:t>
      </w:r>
      <w:r w:rsidRPr="004C6D3F">
        <w:rPr>
          <w:sz w:val="28"/>
          <w:szCs w:val="28"/>
          <w:lang w:val="uk-UA"/>
        </w:rPr>
        <w:t>и</w:t>
      </w:r>
      <w:r w:rsidRPr="004C6D3F">
        <w:rPr>
          <w:sz w:val="28"/>
          <w:szCs w:val="28"/>
          <w:lang w:val="uk-UA"/>
        </w:rPr>
        <w:t xml:space="preserve">льової і імпульснохвильової допплерографії. </w:t>
      </w:r>
      <w:r>
        <w:rPr>
          <w:sz w:val="28"/>
          <w:szCs w:val="28"/>
          <w:lang w:val="uk-UA"/>
        </w:rPr>
        <w:t xml:space="preserve">Для визначення </w:t>
      </w:r>
      <w:r w:rsidRPr="004C6D3F">
        <w:rPr>
          <w:sz w:val="28"/>
          <w:szCs w:val="28"/>
          <w:lang w:val="uk-UA"/>
        </w:rPr>
        <w:t>кінцево-систолічн</w:t>
      </w:r>
      <w:r>
        <w:rPr>
          <w:sz w:val="28"/>
          <w:szCs w:val="28"/>
          <w:lang w:val="uk-UA"/>
        </w:rPr>
        <w:t>ого</w:t>
      </w:r>
      <w:r w:rsidRPr="004C6D3F">
        <w:rPr>
          <w:sz w:val="28"/>
          <w:szCs w:val="28"/>
          <w:lang w:val="uk-UA"/>
        </w:rPr>
        <w:t xml:space="preserve"> (КСО) та кінцево-діастолічн</w:t>
      </w:r>
      <w:r>
        <w:rPr>
          <w:sz w:val="28"/>
          <w:szCs w:val="28"/>
          <w:lang w:val="uk-UA"/>
        </w:rPr>
        <w:t>ого</w:t>
      </w:r>
      <w:r w:rsidRPr="004C6D3F">
        <w:rPr>
          <w:sz w:val="28"/>
          <w:szCs w:val="28"/>
          <w:lang w:val="uk-UA"/>
        </w:rPr>
        <w:t xml:space="preserve"> об’єм</w:t>
      </w:r>
      <w:r>
        <w:rPr>
          <w:sz w:val="28"/>
          <w:szCs w:val="28"/>
          <w:lang w:val="uk-UA"/>
        </w:rPr>
        <w:t>ів</w:t>
      </w:r>
      <w:r w:rsidRPr="004C6D3F">
        <w:rPr>
          <w:sz w:val="28"/>
          <w:szCs w:val="28"/>
          <w:lang w:val="uk-UA"/>
        </w:rPr>
        <w:t xml:space="preserve"> (КДО) ЛШ та ЛП, та їх ФВ</w:t>
      </w:r>
      <w:r>
        <w:rPr>
          <w:sz w:val="28"/>
          <w:szCs w:val="28"/>
          <w:lang w:val="uk-UA"/>
        </w:rPr>
        <w:t xml:space="preserve"> в</w:t>
      </w:r>
      <w:r w:rsidRPr="004C6D3F">
        <w:rPr>
          <w:sz w:val="28"/>
          <w:szCs w:val="28"/>
          <w:lang w:val="uk-UA"/>
        </w:rPr>
        <w:t>икористову</w:t>
      </w:r>
      <w:r>
        <w:rPr>
          <w:sz w:val="28"/>
          <w:szCs w:val="28"/>
          <w:lang w:val="uk-UA"/>
        </w:rPr>
        <w:t>вали</w:t>
      </w:r>
      <w:r w:rsidRPr="004C6D3F">
        <w:rPr>
          <w:sz w:val="28"/>
          <w:szCs w:val="28"/>
          <w:lang w:val="uk-UA"/>
        </w:rPr>
        <w:t xml:space="preserve"> метод суми дисків Сімпсона</w:t>
      </w:r>
      <w:r>
        <w:rPr>
          <w:sz w:val="28"/>
          <w:szCs w:val="28"/>
          <w:lang w:val="uk-UA"/>
        </w:rPr>
        <w:t>.</w:t>
      </w:r>
      <w:r w:rsidRPr="004C6D3F">
        <w:rPr>
          <w:sz w:val="28"/>
          <w:szCs w:val="28"/>
          <w:lang w:val="uk-UA"/>
        </w:rPr>
        <w:t xml:space="preserve"> Обчислювали інде</w:t>
      </w:r>
      <w:r w:rsidRPr="004C6D3F">
        <w:rPr>
          <w:sz w:val="28"/>
          <w:szCs w:val="28"/>
          <w:lang w:val="uk-UA"/>
        </w:rPr>
        <w:t>к</w:t>
      </w:r>
      <w:r w:rsidRPr="004C6D3F">
        <w:rPr>
          <w:sz w:val="28"/>
          <w:szCs w:val="28"/>
          <w:lang w:val="uk-UA"/>
        </w:rPr>
        <w:t>совані показники об’ємів лівих камер серця як відношення їх абсолютних значень до площі поверхні тіла. В чот</w:t>
      </w:r>
      <w:r w:rsidRPr="004C6D3F">
        <w:rPr>
          <w:sz w:val="28"/>
          <w:szCs w:val="28"/>
          <w:lang w:val="uk-UA"/>
        </w:rPr>
        <w:t>и</w:t>
      </w:r>
      <w:r w:rsidRPr="004C6D3F">
        <w:rPr>
          <w:sz w:val="28"/>
          <w:szCs w:val="28"/>
          <w:lang w:val="uk-UA"/>
        </w:rPr>
        <w:t>рьохкамерній проекції серця проводили ручне окреслення кінцево-діастолічного і кінцево-систолічного контурів ЛП та ЛШ, приймаючи апаратно обчислені дані відповідно за площу в діа</w:t>
      </w:r>
      <w:r w:rsidRPr="004C6D3F">
        <w:rPr>
          <w:sz w:val="28"/>
          <w:szCs w:val="28"/>
          <w:lang w:val="uk-UA"/>
        </w:rPr>
        <w:t>с</w:t>
      </w:r>
      <w:r w:rsidRPr="004C6D3F">
        <w:rPr>
          <w:sz w:val="28"/>
          <w:szCs w:val="28"/>
          <w:lang w:val="uk-UA"/>
        </w:rPr>
        <w:t>толу (Sд) і систолу (Sс). В період систоли (с) і діастоли (д) в 2D-режимі вимірювали подовжні розміри ЛШ і ЛП відповідно їх довгим осям (L) і поперечні ро</w:t>
      </w:r>
      <w:r w:rsidRPr="004C6D3F">
        <w:rPr>
          <w:sz w:val="28"/>
          <w:szCs w:val="28"/>
          <w:lang w:val="uk-UA"/>
        </w:rPr>
        <w:t>з</w:t>
      </w:r>
      <w:r w:rsidRPr="004C6D3F">
        <w:rPr>
          <w:sz w:val="28"/>
          <w:szCs w:val="28"/>
          <w:lang w:val="uk-UA"/>
        </w:rPr>
        <w:t>міри відповідно їх коротким осям (Н). Ступінь змін значень показників ЛШ та ЛП визначали, виходячи з нормативів для дорослих пацієнтів, що наведені в рекомендаціях з кількісного визначення  порожнин серця (Lang R.M.,</w:t>
      </w:r>
      <w:r>
        <w:rPr>
          <w:sz w:val="28"/>
          <w:szCs w:val="28"/>
          <w:lang w:val="uk-UA"/>
        </w:rPr>
        <w:t xml:space="preserve"> </w:t>
      </w:r>
      <w:r w:rsidRPr="004C6D3F">
        <w:rPr>
          <w:sz w:val="28"/>
          <w:szCs w:val="28"/>
          <w:lang w:val="uk-UA"/>
        </w:rPr>
        <w:t>2006; Рыбакова М.К.,</w:t>
      </w:r>
      <w:r>
        <w:rPr>
          <w:sz w:val="28"/>
          <w:szCs w:val="28"/>
          <w:lang w:val="uk-UA"/>
        </w:rPr>
        <w:t xml:space="preserve"> </w:t>
      </w:r>
      <w:r w:rsidRPr="004C6D3F">
        <w:rPr>
          <w:sz w:val="28"/>
          <w:szCs w:val="28"/>
          <w:lang w:val="uk-UA"/>
        </w:rPr>
        <w:t>2008).</w:t>
      </w:r>
    </w:p>
    <w:p w:rsidR="003B05B6" w:rsidRPr="004C6D3F" w:rsidRDefault="003B05B6" w:rsidP="003B05B6">
      <w:pPr>
        <w:widowControl w:val="0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Вивчення виживання та ФРС пацієнтів проводили за результатами проспекти</w:t>
      </w:r>
      <w:r w:rsidRPr="004C6D3F">
        <w:rPr>
          <w:sz w:val="28"/>
          <w:szCs w:val="28"/>
          <w:lang w:val="uk-UA"/>
        </w:rPr>
        <w:t>в</w:t>
      </w:r>
      <w:r w:rsidRPr="004C6D3F">
        <w:rPr>
          <w:sz w:val="28"/>
          <w:szCs w:val="28"/>
          <w:lang w:val="uk-UA"/>
        </w:rPr>
        <w:t>ного спостереження хворих</w:t>
      </w:r>
      <w:r>
        <w:rPr>
          <w:sz w:val="28"/>
          <w:szCs w:val="28"/>
          <w:lang w:val="uk-UA"/>
        </w:rPr>
        <w:t xml:space="preserve">, які </w:t>
      </w:r>
      <w:r w:rsidRPr="004C6D3F">
        <w:rPr>
          <w:sz w:val="28"/>
          <w:szCs w:val="28"/>
          <w:lang w:val="uk-UA"/>
        </w:rPr>
        <w:t>постійно приймали лікування іАПФ та БАБ.</w:t>
      </w:r>
      <w:r>
        <w:rPr>
          <w:sz w:val="28"/>
          <w:szCs w:val="28"/>
          <w:lang w:val="uk-UA"/>
        </w:rPr>
        <w:t xml:space="preserve"> </w:t>
      </w:r>
      <w:r w:rsidRPr="004C6D3F">
        <w:rPr>
          <w:sz w:val="28"/>
          <w:szCs w:val="28"/>
          <w:lang w:val="uk-UA"/>
        </w:rPr>
        <w:t>Базу даних було створено на ПК в системі Microsoft Access. Статистичну обробку результатів проводили за допомогою пакету комп’ютерних програм Sta</w:t>
      </w:r>
      <w:r w:rsidRPr="004C6D3F">
        <w:rPr>
          <w:sz w:val="28"/>
          <w:szCs w:val="28"/>
          <w:lang w:val="en-US"/>
        </w:rPr>
        <w:t>ti</w:t>
      </w:r>
      <w:r w:rsidRPr="004C6D3F">
        <w:rPr>
          <w:sz w:val="28"/>
          <w:szCs w:val="28"/>
          <w:lang w:val="en-US"/>
        </w:rPr>
        <w:t>s</w:t>
      </w:r>
      <w:r w:rsidRPr="004C6D3F">
        <w:rPr>
          <w:sz w:val="28"/>
          <w:szCs w:val="28"/>
          <w:lang w:val="en-US"/>
        </w:rPr>
        <w:t>tica</w:t>
      </w:r>
      <w:r w:rsidRPr="004C6D3F">
        <w:rPr>
          <w:sz w:val="28"/>
          <w:szCs w:val="28"/>
          <w:lang w:val="uk-UA"/>
        </w:rPr>
        <w:t xml:space="preserve"> 6.0 («</w:t>
      </w:r>
      <w:r w:rsidRPr="004C6D3F">
        <w:rPr>
          <w:sz w:val="28"/>
          <w:szCs w:val="28"/>
          <w:lang w:val="en-US"/>
        </w:rPr>
        <w:t>StatSoft</w:t>
      </w:r>
      <w:r w:rsidRPr="004C6D3F">
        <w:rPr>
          <w:sz w:val="28"/>
          <w:szCs w:val="28"/>
          <w:lang w:val="uk-UA"/>
        </w:rPr>
        <w:t>», США). Для визначення виду розподілу даних використовували тести Ш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>піро-Уїлкса і Колмогорова-Смирнова. Для опису вибіркового нормального розподілу кільк</w:t>
      </w:r>
      <w:r w:rsidRPr="004C6D3F">
        <w:rPr>
          <w:sz w:val="28"/>
          <w:szCs w:val="28"/>
          <w:lang w:val="uk-UA"/>
        </w:rPr>
        <w:t>і</w:t>
      </w:r>
      <w:r w:rsidRPr="004C6D3F">
        <w:rPr>
          <w:sz w:val="28"/>
          <w:szCs w:val="28"/>
          <w:lang w:val="uk-UA"/>
        </w:rPr>
        <w:t>сних ознак використовували середнє значення ознаки (М), стандартну похибку М (</w:t>
      </w:r>
      <w:r w:rsidRPr="004C6D3F">
        <w:rPr>
          <w:sz w:val="28"/>
          <w:szCs w:val="28"/>
          <w:lang w:val="en-US"/>
        </w:rPr>
        <w:t>m</w:t>
      </w:r>
      <w:r w:rsidRPr="004C6D3F">
        <w:rPr>
          <w:sz w:val="28"/>
          <w:szCs w:val="28"/>
          <w:lang w:val="uk-UA"/>
        </w:rPr>
        <w:t>), коефіцієнт д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>стовірності (р). Відмінності вважали достовірними при р&lt;0,05. Кореляційний аналіз залежно від нормальності розподілу проводили за допомогою методів Пірсона або Спірмена</w:t>
      </w:r>
      <w:r>
        <w:rPr>
          <w:sz w:val="28"/>
          <w:szCs w:val="28"/>
          <w:lang w:val="uk-UA"/>
        </w:rPr>
        <w:t>, а д</w:t>
      </w:r>
      <w:r w:rsidRPr="004C6D3F">
        <w:rPr>
          <w:sz w:val="28"/>
          <w:szCs w:val="28"/>
          <w:lang w:val="uk-UA"/>
        </w:rPr>
        <w:t>ля оцінки зв’язку показників застосовували множинний регресійний аналіз. Для оцінки часу виживання в</w:t>
      </w:r>
      <w:r w:rsidRPr="004C6D3F">
        <w:rPr>
          <w:sz w:val="28"/>
          <w:szCs w:val="28"/>
          <w:lang w:val="uk-UA"/>
        </w:rPr>
        <w:t>и</w:t>
      </w:r>
      <w:r w:rsidRPr="004C6D3F">
        <w:rPr>
          <w:sz w:val="28"/>
          <w:szCs w:val="28"/>
          <w:lang w:val="uk-UA"/>
        </w:rPr>
        <w:t>користовували метод Каплан-Мейєра (Kaplan-Meier)</w:t>
      </w:r>
      <w:r>
        <w:rPr>
          <w:sz w:val="28"/>
          <w:szCs w:val="28"/>
          <w:lang w:val="uk-UA"/>
        </w:rPr>
        <w:t>.</w:t>
      </w:r>
      <w:r w:rsidRPr="004C6D3F">
        <w:rPr>
          <w:sz w:val="28"/>
          <w:szCs w:val="28"/>
          <w:lang w:val="uk-UA"/>
        </w:rPr>
        <w:t xml:space="preserve"> </w:t>
      </w:r>
    </w:p>
    <w:p w:rsidR="003B05B6" w:rsidRPr="004C6D3F" w:rsidRDefault="003B05B6" w:rsidP="003B05B6">
      <w:pPr>
        <w:widowControl w:val="0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4C6D3F">
        <w:rPr>
          <w:b/>
          <w:sz w:val="28"/>
          <w:szCs w:val="28"/>
          <w:lang w:val="uk-UA"/>
        </w:rPr>
        <w:t>Результати дослідження</w:t>
      </w:r>
      <w:r>
        <w:rPr>
          <w:b/>
          <w:sz w:val="28"/>
          <w:szCs w:val="28"/>
          <w:lang w:val="uk-UA"/>
        </w:rPr>
        <w:t xml:space="preserve"> та їх обговорення</w:t>
      </w:r>
      <w:r w:rsidRPr="004C6D3F">
        <w:rPr>
          <w:b/>
          <w:sz w:val="28"/>
          <w:szCs w:val="28"/>
          <w:lang w:val="uk-UA"/>
        </w:rPr>
        <w:t xml:space="preserve">.   </w:t>
      </w:r>
      <w:r w:rsidRPr="004C6D3F">
        <w:rPr>
          <w:sz w:val="28"/>
          <w:szCs w:val="28"/>
          <w:lang w:val="uk-UA"/>
        </w:rPr>
        <w:t>Виявлено, що добов</w:t>
      </w:r>
      <w:r>
        <w:rPr>
          <w:sz w:val="28"/>
          <w:szCs w:val="28"/>
          <w:lang w:val="uk-UA"/>
        </w:rPr>
        <w:t xml:space="preserve">у </w:t>
      </w:r>
      <w:r w:rsidRPr="004C6D3F">
        <w:rPr>
          <w:sz w:val="28"/>
          <w:szCs w:val="28"/>
          <w:lang w:val="uk-UA"/>
        </w:rPr>
        <w:t>доз</w:t>
      </w:r>
      <w:r>
        <w:rPr>
          <w:sz w:val="28"/>
          <w:szCs w:val="28"/>
          <w:lang w:val="uk-UA"/>
        </w:rPr>
        <w:t>у</w:t>
      </w:r>
      <w:r w:rsidRPr="004C6D3F">
        <w:rPr>
          <w:sz w:val="28"/>
          <w:szCs w:val="28"/>
          <w:lang w:val="uk-UA"/>
        </w:rPr>
        <w:t xml:space="preserve"> карвед</w:t>
      </w:r>
      <w:r w:rsidRPr="004C6D3F">
        <w:rPr>
          <w:sz w:val="28"/>
          <w:szCs w:val="28"/>
          <w:lang w:val="uk-UA"/>
        </w:rPr>
        <w:t>и</w:t>
      </w:r>
      <w:r w:rsidRPr="004C6D3F">
        <w:rPr>
          <w:sz w:val="28"/>
          <w:szCs w:val="28"/>
          <w:lang w:val="uk-UA"/>
        </w:rPr>
        <w:t>лола 50 мг вдалося досягти у 92,5% хворих (</w:t>
      </w:r>
      <w:r>
        <w:rPr>
          <w:sz w:val="28"/>
          <w:szCs w:val="28"/>
          <w:lang w:val="uk-UA"/>
        </w:rPr>
        <w:t>середня доза</w:t>
      </w:r>
      <w:r w:rsidRPr="004C6D3F">
        <w:rPr>
          <w:sz w:val="28"/>
          <w:szCs w:val="28"/>
          <w:lang w:val="uk-UA"/>
        </w:rPr>
        <w:t xml:space="preserve"> 51,14±1,07 мг</w:t>
      </w:r>
      <w:r>
        <w:rPr>
          <w:sz w:val="28"/>
          <w:szCs w:val="28"/>
          <w:lang w:val="uk-UA"/>
        </w:rPr>
        <w:t>/добу</w:t>
      </w:r>
      <w:r w:rsidRPr="004C6D3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а </w:t>
      </w:r>
      <w:r w:rsidRPr="004C6D3F">
        <w:rPr>
          <w:sz w:val="28"/>
          <w:szCs w:val="28"/>
          <w:lang w:val="uk-UA"/>
        </w:rPr>
        <w:t>високої терап</w:t>
      </w:r>
      <w:r w:rsidRPr="004C6D3F">
        <w:rPr>
          <w:sz w:val="28"/>
          <w:szCs w:val="28"/>
          <w:lang w:val="uk-UA"/>
        </w:rPr>
        <w:t>е</w:t>
      </w:r>
      <w:r w:rsidRPr="004C6D3F">
        <w:rPr>
          <w:sz w:val="28"/>
          <w:szCs w:val="28"/>
          <w:lang w:val="uk-UA"/>
        </w:rPr>
        <w:t xml:space="preserve">втичної дози карведилолу 100 мг/добу </w:t>
      </w:r>
      <w:r>
        <w:rPr>
          <w:sz w:val="28"/>
          <w:szCs w:val="28"/>
          <w:lang w:val="uk-UA"/>
        </w:rPr>
        <w:t xml:space="preserve">- </w:t>
      </w:r>
      <w:r w:rsidRPr="004C6D3F">
        <w:rPr>
          <w:sz w:val="28"/>
          <w:szCs w:val="28"/>
          <w:lang w:val="uk-UA"/>
        </w:rPr>
        <w:t>у 76,7% хворих із загальної групи ХСН (</w:t>
      </w:r>
      <w:r>
        <w:rPr>
          <w:sz w:val="28"/>
          <w:szCs w:val="28"/>
          <w:lang w:val="uk-UA"/>
        </w:rPr>
        <w:t xml:space="preserve">середня доза </w:t>
      </w:r>
      <w:r w:rsidRPr="004C6D3F">
        <w:rPr>
          <w:sz w:val="28"/>
          <w:szCs w:val="28"/>
          <w:lang w:val="uk-UA"/>
        </w:rPr>
        <w:t>92,57±2,45 мг</w:t>
      </w:r>
      <w:r>
        <w:rPr>
          <w:sz w:val="28"/>
          <w:szCs w:val="28"/>
          <w:lang w:val="uk-UA"/>
        </w:rPr>
        <w:t>/добу</w:t>
      </w:r>
      <w:r w:rsidRPr="004C6D3F">
        <w:rPr>
          <w:sz w:val="28"/>
          <w:szCs w:val="28"/>
          <w:lang w:val="uk-UA"/>
        </w:rPr>
        <w:t xml:space="preserve">). </w:t>
      </w:r>
      <w:r>
        <w:rPr>
          <w:sz w:val="28"/>
          <w:szCs w:val="28"/>
          <w:lang w:val="uk-UA"/>
        </w:rPr>
        <w:t>Наприкінці дослідження добову д</w:t>
      </w:r>
      <w:r w:rsidRPr="004C6D3F">
        <w:rPr>
          <w:sz w:val="28"/>
          <w:szCs w:val="28"/>
          <w:lang w:val="uk-UA"/>
        </w:rPr>
        <w:t xml:space="preserve">озу препарату </w:t>
      </w:r>
      <w:r>
        <w:rPr>
          <w:sz w:val="28"/>
          <w:szCs w:val="28"/>
          <w:lang w:val="uk-UA"/>
        </w:rPr>
        <w:t xml:space="preserve">100 мг продовжували </w:t>
      </w:r>
      <w:r w:rsidRPr="004C6D3F">
        <w:rPr>
          <w:sz w:val="28"/>
          <w:szCs w:val="28"/>
          <w:lang w:val="uk-UA"/>
        </w:rPr>
        <w:t>прийма</w:t>
      </w:r>
      <w:r>
        <w:rPr>
          <w:sz w:val="28"/>
          <w:szCs w:val="28"/>
          <w:lang w:val="uk-UA"/>
        </w:rPr>
        <w:t>ти</w:t>
      </w:r>
      <w:r w:rsidRPr="004C6D3F">
        <w:rPr>
          <w:sz w:val="28"/>
          <w:szCs w:val="28"/>
          <w:lang w:val="uk-UA"/>
        </w:rPr>
        <w:t xml:space="preserve"> 74,4% хворих (</w:t>
      </w:r>
      <w:r>
        <w:rPr>
          <w:sz w:val="28"/>
          <w:szCs w:val="28"/>
          <w:lang w:val="uk-UA"/>
        </w:rPr>
        <w:t xml:space="preserve">середня доза </w:t>
      </w:r>
      <w:r w:rsidRPr="004C6D3F">
        <w:rPr>
          <w:sz w:val="28"/>
          <w:szCs w:val="28"/>
          <w:lang w:val="uk-UA"/>
        </w:rPr>
        <w:t>92,32±3,18 мг</w:t>
      </w:r>
      <w:r>
        <w:rPr>
          <w:sz w:val="28"/>
          <w:szCs w:val="28"/>
          <w:lang w:val="uk-UA"/>
        </w:rPr>
        <w:t xml:space="preserve">/добу). </w:t>
      </w:r>
      <w:r w:rsidRPr="004C6D3F">
        <w:rPr>
          <w:sz w:val="28"/>
          <w:szCs w:val="28"/>
          <w:lang w:val="uk-UA"/>
        </w:rPr>
        <w:t>Було виявлено</w:t>
      </w:r>
      <w:r>
        <w:rPr>
          <w:sz w:val="28"/>
          <w:szCs w:val="28"/>
          <w:lang w:val="uk-UA"/>
        </w:rPr>
        <w:t xml:space="preserve">, що найчастіше </w:t>
      </w:r>
      <w:r w:rsidRPr="004C6D3F">
        <w:rPr>
          <w:sz w:val="28"/>
          <w:szCs w:val="28"/>
          <w:lang w:val="uk-UA"/>
        </w:rPr>
        <w:t xml:space="preserve">спробам підвищення доз </w:t>
      </w:r>
      <w:r>
        <w:rPr>
          <w:sz w:val="28"/>
          <w:szCs w:val="28"/>
          <w:lang w:val="uk-UA"/>
        </w:rPr>
        <w:t xml:space="preserve">карведилолу </w:t>
      </w:r>
      <w:r w:rsidRPr="00BB3CAD">
        <w:rPr>
          <w:sz w:val="28"/>
          <w:szCs w:val="28"/>
          <w:lang w:val="uk-UA"/>
        </w:rPr>
        <w:t>перешкоджало</w:t>
      </w:r>
      <w:r w:rsidRPr="004C6D3F">
        <w:rPr>
          <w:sz w:val="28"/>
          <w:szCs w:val="28"/>
          <w:lang w:val="uk-UA"/>
        </w:rPr>
        <w:t xml:space="preserve"> погіршення клінічного стану хворих, зниження артеріального тиску, ти</w:t>
      </w:r>
      <w:r w:rsidRPr="004C6D3F">
        <w:rPr>
          <w:sz w:val="28"/>
          <w:szCs w:val="28"/>
          <w:lang w:val="uk-UA"/>
        </w:rPr>
        <w:t>м</w:t>
      </w:r>
      <w:r w:rsidRPr="004C6D3F">
        <w:rPr>
          <w:sz w:val="28"/>
          <w:szCs w:val="28"/>
          <w:lang w:val="uk-UA"/>
        </w:rPr>
        <w:t>часова брадикардія.</w:t>
      </w:r>
      <w:r w:rsidRPr="004C6D3F">
        <w:rPr>
          <w:sz w:val="28"/>
          <w:szCs w:val="28"/>
          <w:lang w:val="uk-UA" w:eastAsia="uk-UA"/>
        </w:rPr>
        <w:t xml:space="preserve"> Частина хворих (13%) не змогла досягти цільових доз внаслідок інших (на</w:t>
      </w:r>
      <w:r w:rsidRPr="004C6D3F">
        <w:rPr>
          <w:sz w:val="28"/>
          <w:szCs w:val="28"/>
          <w:lang w:val="uk-UA" w:eastAsia="uk-UA"/>
        </w:rPr>
        <w:t>й</w:t>
      </w:r>
      <w:r w:rsidRPr="004C6D3F">
        <w:rPr>
          <w:sz w:val="28"/>
          <w:szCs w:val="28"/>
          <w:lang w:val="uk-UA" w:eastAsia="uk-UA"/>
        </w:rPr>
        <w:t xml:space="preserve">частіше фінансових) причин. </w:t>
      </w:r>
      <w:r w:rsidRPr="004C6D3F">
        <w:rPr>
          <w:sz w:val="28"/>
          <w:szCs w:val="28"/>
          <w:lang w:val="uk-UA"/>
        </w:rPr>
        <w:t>Водночас цільових рекомендованих доз еналаприлу (20 мг/добу) вдалося досягти у 75,8% хворих із загальної групи ХСН. Середні дози еналаприлу в цій групі на ІІ, ІІІ та IV етапах дорі</w:t>
      </w:r>
      <w:r w:rsidRPr="004C6D3F">
        <w:rPr>
          <w:sz w:val="28"/>
          <w:szCs w:val="28"/>
          <w:lang w:val="uk-UA"/>
        </w:rPr>
        <w:t>в</w:t>
      </w:r>
      <w:r w:rsidRPr="004C6D3F">
        <w:rPr>
          <w:sz w:val="28"/>
          <w:szCs w:val="28"/>
          <w:lang w:val="uk-UA"/>
        </w:rPr>
        <w:t xml:space="preserve">нювали 14,31±0,75 мг/добу, </w:t>
      </w:r>
      <w:r w:rsidRPr="004C6D3F">
        <w:rPr>
          <w:sz w:val="28"/>
          <w:szCs w:val="28"/>
          <w:lang w:val="uk-UA"/>
        </w:rPr>
        <w:lastRenderedPageBreak/>
        <w:t>15,77±0,67 мг/добу та 18,28±0,58 мг/добу відповідно.</w:t>
      </w:r>
    </w:p>
    <w:p w:rsidR="003B05B6" w:rsidRPr="004C6D3F" w:rsidRDefault="003B05B6" w:rsidP="003B05B6">
      <w:pPr>
        <w:widowControl w:val="0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  <w:lang w:val="uk-UA" w:eastAsia="uk-UA"/>
        </w:rPr>
      </w:pPr>
      <w:r w:rsidRPr="004C6D3F">
        <w:rPr>
          <w:sz w:val="28"/>
          <w:szCs w:val="28"/>
          <w:lang w:val="uk-UA" w:eastAsia="uk-UA"/>
        </w:rPr>
        <w:t>Обчислення показали, що тривалість періоду титрування карведилолу</w:t>
      </w:r>
      <w:r w:rsidRPr="004C6D3F">
        <w:rPr>
          <w:vanish/>
          <w:sz w:val="28"/>
          <w:szCs w:val="28"/>
          <w:lang w:val="uk-UA" w:eastAsia="uk-UA"/>
        </w:rPr>
        <w:t>|</w:t>
      </w:r>
      <w:r w:rsidRPr="004C6D3F">
        <w:rPr>
          <w:sz w:val="28"/>
          <w:szCs w:val="28"/>
          <w:lang w:val="uk-UA" w:eastAsia="uk-UA"/>
        </w:rPr>
        <w:t xml:space="preserve"> до добової дози 50 мг (</w:t>
      </w:r>
      <w:r w:rsidRPr="004C6D3F">
        <w:rPr>
          <w:sz w:val="28"/>
          <w:szCs w:val="28"/>
          <w:lang w:val="uk-UA"/>
        </w:rPr>
        <w:t xml:space="preserve">II </w:t>
      </w:r>
      <w:r w:rsidRPr="004C6D3F">
        <w:rPr>
          <w:sz w:val="28"/>
          <w:szCs w:val="28"/>
          <w:lang w:val="uk-UA" w:eastAsia="uk-UA"/>
        </w:rPr>
        <w:t>етап) склала в середньому 6,48±0,63 міс</w:t>
      </w:r>
      <w:r>
        <w:rPr>
          <w:sz w:val="28"/>
          <w:szCs w:val="28"/>
          <w:lang w:val="uk-UA" w:eastAsia="uk-UA"/>
        </w:rPr>
        <w:t>.</w:t>
      </w:r>
      <w:r w:rsidRPr="004C6D3F">
        <w:rPr>
          <w:sz w:val="28"/>
          <w:szCs w:val="28"/>
          <w:lang w:val="uk-UA" w:eastAsia="uk-UA"/>
        </w:rPr>
        <w:t>, до дози 100 мг</w:t>
      </w:r>
      <w:r>
        <w:rPr>
          <w:sz w:val="28"/>
          <w:szCs w:val="28"/>
          <w:lang w:val="uk-UA" w:eastAsia="uk-UA"/>
        </w:rPr>
        <w:t>/добу</w:t>
      </w:r>
      <w:r w:rsidRPr="004C6D3F">
        <w:rPr>
          <w:sz w:val="28"/>
          <w:szCs w:val="28"/>
          <w:lang w:val="uk-UA" w:eastAsia="uk-UA"/>
        </w:rPr>
        <w:t xml:space="preserve"> (</w:t>
      </w:r>
      <w:r w:rsidRPr="004C6D3F">
        <w:rPr>
          <w:sz w:val="28"/>
          <w:szCs w:val="28"/>
          <w:lang w:val="uk-UA"/>
        </w:rPr>
        <w:t xml:space="preserve">III </w:t>
      </w:r>
      <w:r w:rsidRPr="004C6D3F">
        <w:rPr>
          <w:sz w:val="28"/>
          <w:szCs w:val="28"/>
          <w:lang w:val="uk-UA" w:eastAsia="uk-UA"/>
        </w:rPr>
        <w:t>етап) - 12,08±0,99 міс</w:t>
      </w:r>
      <w:r>
        <w:rPr>
          <w:sz w:val="28"/>
          <w:szCs w:val="28"/>
          <w:lang w:val="uk-UA" w:eastAsia="uk-UA"/>
        </w:rPr>
        <w:t>., а т</w:t>
      </w:r>
      <w:r w:rsidRPr="004C6D3F">
        <w:rPr>
          <w:sz w:val="28"/>
          <w:szCs w:val="28"/>
          <w:lang w:val="uk-UA" w:eastAsia="uk-UA"/>
        </w:rPr>
        <w:t xml:space="preserve">ривалість лікування між ІІІ та </w:t>
      </w:r>
      <w:r w:rsidRPr="004C6D3F">
        <w:rPr>
          <w:sz w:val="28"/>
          <w:szCs w:val="28"/>
          <w:lang w:val="uk-UA"/>
        </w:rPr>
        <w:t xml:space="preserve">IV </w:t>
      </w:r>
      <w:r w:rsidRPr="004C6D3F">
        <w:rPr>
          <w:sz w:val="28"/>
          <w:szCs w:val="28"/>
          <w:lang w:val="uk-UA" w:eastAsia="uk-UA"/>
        </w:rPr>
        <w:t xml:space="preserve">етапами </w:t>
      </w:r>
      <w:r>
        <w:rPr>
          <w:sz w:val="28"/>
          <w:szCs w:val="28"/>
          <w:lang w:val="uk-UA" w:eastAsia="uk-UA"/>
        </w:rPr>
        <w:t xml:space="preserve">- </w:t>
      </w:r>
      <w:r w:rsidRPr="004C6D3F">
        <w:rPr>
          <w:sz w:val="28"/>
          <w:szCs w:val="28"/>
          <w:lang w:val="uk-UA" w:eastAsia="uk-UA"/>
        </w:rPr>
        <w:t>в середньому 9,22±1,13 міс. Загальний термін терапії в середньому дорівнював 19,51±1,60 міс.</w:t>
      </w:r>
    </w:p>
    <w:p w:rsidR="003B05B6" w:rsidRDefault="003B05B6" w:rsidP="003B05B6">
      <w:pPr>
        <w:widowControl w:val="0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  <w:lang w:val="uk-UA" w:eastAsia="uk-UA"/>
        </w:rPr>
      </w:pPr>
      <w:r w:rsidRPr="004C6D3F">
        <w:rPr>
          <w:sz w:val="28"/>
          <w:szCs w:val="28"/>
          <w:lang w:val="uk-UA" w:eastAsia="uk-UA"/>
        </w:rPr>
        <w:t xml:space="preserve">Висока терапевтична доза карведилолу 100 мг/добу та добова доза еналаприлу 20 мг добре переносились пацієнтами. </w:t>
      </w:r>
      <w:r>
        <w:rPr>
          <w:sz w:val="28"/>
          <w:szCs w:val="28"/>
          <w:lang w:val="uk-UA" w:eastAsia="uk-UA"/>
        </w:rPr>
        <w:t>М</w:t>
      </w:r>
      <w:r w:rsidRPr="004C6D3F">
        <w:rPr>
          <w:sz w:val="28"/>
          <w:szCs w:val="28"/>
          <w:lang w:val="uk-UA"/>
        </w:rPr>
        <w:t>и не виявили будь-яких серй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>зних алергічних проявів чи побічних ефектів з боку серцево-судинної (брадикардія, гіпотензія, о</w:t>
      </w:r>
      <w:r w:rsidRPr="004C6D3F">
        <w:rPr>
          <w:sz w:val="28"/>
          <w:szCs w:val="28"/>
          <w:lang w:val="uk-UA"/>
        </w:rPr>
        <w:t>р</w:t>
      </w:r>
      <w:r w:rsidRPr="004C6D3F">
        <w:rPr>
          <w:sz w:val="28"/>
          <w:szCs w:val="28"/>
          <w:lang w:val="uk-UA"/>
        </w:rPr>
        <w:t>тостатичні реакції, синкопе, блокади),  бронхолегеневої, центральної нервової, травної та інших систем. В ході спостереження лише у трьох пацієнтів було зменшено добову дозу карв</w:t>
      </w:r>
      <w:r w:rsidRPr="004C6D3F">
        <w:rPr>
          <w:sz w:val="28"/>
          <w:szCs w:val="28"/>
          <w:lang w:val="uk-UA"/>
        </w:rPr>
        <w:t>е</w:t>
      </w:r>
      <w:r w:rsidRPr="004C6D3F">
        <w:rPr>
          <w:sz w:val="28"/>
          <w:szCs w:val="28"/>
          <w:lang w:val="uk-UA"/>
        </w:rPr>
        <w:t>дилолу</w:t>
      </w:r>
      <w:r>
        <w:rPr>
          <w:sz w:val="28"/>
          <w:szCs w:val="28"/>
          <w:lang w:val="uk-UA"/>
        </w:rPr>
        <w:t>, при цьому у</w:t>
      </w:r>
      <w:r w:rsidRPr="004C6D3F">
        <w:rPr>
          <w:sz w:val="28"/>
          <w:szCs w:val="28"/>
          <w:lang w:val="uk-UA"/>
        </w:rPr>
        <w:t xml:space="preserve"> </w:t>
      </w:r>
      <w:r w:rsidRPr="00BB3CAD">
        <w:rPr>
          <w:sz w:val="28"/>
          <w:szCs w:val="28"/>
          <w:lang w:val="uk-UA"/>
        </w:rPr>
        <w:t>двох з них</w:t>
      </w:r>
      <w:r w:rsidRPr="004C6D3F">
        <w:rPr>
          <w:sz w:val="28"/>
          <w:szCs w:val="28"/>
          <w:lang w:val="uk-UA"/>
        </w:rPr>
        <w:t xml:space="preserve"> (обидва з ДКМП) внаслідок втручання місцевих лікарів.</w:t>
      </w:r>
      <w:r w:rsidRPr="004C6D3F">
        <w:rPr>
          <w:sz w:val="28"/>
          <w:szCs w:val="28"/>
          <w:lang w:val="uk-UA" w:eastAsia="uk-UA"/>
        </w:rPr>
        <w:t xml:space="preserve"> </w:t>
      </w:r>
    </w:p>
    <w:p w:rsidR="003B05B6" w:rsidRDefault="003B05B6" w:rsidP="003B05B6">
      <w:pPr>
        <w:widowControl w:val="0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  <w:lang w:val="uk-UA" w:eastAsia="uk-UA"/>
        </w:rPr>
      </w:pPr>
      <w:r w:rsidRPr="004C6D3F">
        <w:rPr>
          <w:sz w:val="28"/>
          <w:szCs w:val="28"/>
          <w:lang w:val="uk-UA" w:eastAsia="uk-UA"/>
        </w:rPr>
        <w:t xml:space="preserve">Обчислення показали, що в загальній групі ХСН застосоване довготривале лікування </w:t>
      </w:r>
      <w:r>
        <w:rPr>
          <w:sz w:val="28"/>
          <w:szCs w:val="28"/>
          <w:lang w:val="uk-UA" w:eastAsia="uk-UA"/>
        </w:rPr>
        <w:t xml:space="preserve">призводить до зниження ЧСС, дози фуросеміду та покращенню ФК пацієнтів. Застосована терапія </w:t>
      </w:r>
      <w:r w:rsidRPr="004C6D3F">
        <w:rPr>
          <w:sz w:val="28"/>
          <w:szCs w:val="28"/>
          <w:lang w:val="uk-UA" w:eastAsia="uk-UA"/>
        </w:rPr>
        <w:t>не пр</w:t>
      </w:r>
      <w:r w:rsidRPr="004C6D3F">
        <w:rPr>
          <w:sz w:val="28"/>
          <w:szCs w:val="28"/>
          <w:lang w:val="uk-UA" w:eastAsia="uk-UA"/>
        </w:rPr>
        <w:t>и</w:t>
      </w:r>
      <w:r w:rsidRPr="004C6D3F">
        <w:rPr>
          <w:sz w:val="28"/>
          <w:szCs w:val="28"/>
          <w:lang w:val="uk-UA" w:eastAsia="uk-UA"/>
        </w:rPr>
        <w:t>зводи</w:t>
      </w:r>
      <w:r>
        <w:rPr>
          <w:sz w:val="28"/>
          <w:szCs w:val="28"/>
          <w:lang w:val="uk-UA" w:eastAsia="uk-UA"/>
        </w:rPr>
        <w:t xml:space="preserve">ла </w:t>
      </w:r>
      <w:r w:rsidRPr="004C6D3F">
        <w:rPr>
          <w:sz w:val="28"/>
          <w:szCs w:val="28"/>
          <w:lang w:val="uk-UA" w:eastAsia="uk-UA"/>
        </w:rPr>
        <w:t>до зниження рівня АТ. Навпаки, було виявлено підвищення рівня</w:t>
      </w:r>
      <w:r>
        <w:rPr>
          <w:sz w:val="28"/>
          <w:szCs w:val="28"/>
          <w:lang w:val="uk-UA" w:eastAsia="uk-UA"/>
        </w:rPr>
        <w:t xml:space="preserve"> САТ та ДАТ наприкінці дослідження (табл.1).</w:t>
      </w:r>
    </w:p>
    <w:p w:rsidR="003B05B6" w:rsidRPr="004C6D3F" w:rsidRDefault="003B05B6" w:rsidP="003B05B6">
      <w:pPr>
        <w:widowControl w:val="0"/>
        <w:autoSpaceDE w:val="0"/>
        <w:autoSpaceDN w:val="0"/>
        <w:adjustRightInd w:val="0"/>
        <w:spacing w:line="264" w:lineRule="auto"/>
        <w:ind w:firstLine="567"/>
        <w:jc w:val="right"/>
        <w:rPr>
          <w:sz w:val="28"/>
          <w:szCs w:val="28"/>
          <w:lang w:val="uk-UA" w:eastAsia="uk-UA"/>
        </w:rPr>
      </w:pPr>
      <w:r w:rsidRPr="004C6D3F">
        <w:rPr>
          <w:sz w:val="28"/>
          <w:szCs w:val="28"/>
          <w:lang w:val="uk-UA" w:eastAsia="uk-UA"/>
        </w:rPr>
        <w:t xml:space="preserve">Таблиця </w:t>
      </w:r>
      <w:r>
        <w:rPr>
          <w:sz w:val="28"/>
          <w:szCs w:val="28"/>
          <w:lang w:val="uk-UA" w:eastAsia="uk-UA"/>
        </w:rPr>
        <w:t>1</w:t>
      </w:r>
    </w:p>
    <w:p w:rsidR="003B05B6" w:rsidRPr="001559CC" w:rsidRDefault="003B05B6" w:rsidP="003B05B6">
      <w:pPr>
        <w:widowControl w:val="0"/>
        <w:autoSpaceDE w:val="0"/>
        <w:autoSpaceDN w:val="0"/>
        <w:adjustRightInd w:val="0"/>
        <w:spacing w:line="264" w:lineRule="auto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Значення к</w:t>
      </w:r>
      <w:r w:rsidRPr="001559CC">
        <w:rPr>
          <w:sz w:val="28"/>
          <w:szCs w:val="28"/>
          <w:lang w:val="uk-UA" w:eastAsia="uk-UA"/>
        </w:rPr>
        <w:t>лініко-функціональн</w:t>
      </w:r>
      <w:r>
        <w:rPr>
          <w:sz w:val="28"/>
          <w:szCs w:val="28"/>
          <w:lang w:val="uk-UA" w:eastAsia="uk-UA"/>
        </w:rPr>
        <w:t>их</w:t>
      </w:r>
      <w:r w:rsidRPr="001559CC">
        <w:rPr>
          <w:sz w:val="28"/>
          <w:szCs w:val="28"/>
          <w:lang w:val="uk-UA" w:eastAsia="uk-UA"/>
        </w:rPr>
        <w:t xml:space="preserve"> показник</w:t>
      </w:r>
      <w:r>
        <w:rPr>
          <w:sz w:val="28"/>
          <w:szCs w:val="28"/>
          <w:lang w:val="uk-UA" w:eastAsia="uk-UA"/>
        </w:rPr>
        <w:t>ів</w:t>
      </w:r>
      <w:r w:rsidRPr="001559CC">
        <w:rPr>
          <w:sz w:val="28"/>
          <w:szCs w:val="28"/>
          <w:lang w:val="uk-UA" w:eastAsia="uk-UA"/>
        </w:rPr>
        <w:t xml:space="preserve"> у </w:t>
      </w:r>
      <w:r>
        <w:rPr>
          <w:sz w:val="28"/>
          <w:szCs w:val="28"/>
          <w:lang w:val="uk-UA" w:eastAsia="uk-UA"/>
        </w:rPr>
        <w:t>хворих загальної групи ХСН на етапах лікування</w:t>
      </w:r>
    </w:p>
    <w:tbl>
      <w:tblPr>
        <w:tblStyle w:val="ae"/>
        <w:tblW w:w="0" w:type="auto"/>
        <w:tblInd w:w="468" w:type="dxa"/>
        <w:tblLook w:val="01E0" w:firstRow="1" w:lastRow="1" w:firstColumn="1" w:lastColumn="1" w:noHBand="0" w:noVBand="0"/>
      </w:tblPr>
      <w:tblGrid>
        <w:gridCol w:w="914"/>
        <w:gridCol w:w="1725"/>
        <w:gridCol w:w="1589"/>
        <w:gridCol w:w="1725"/>
        <w:gridCol w:w="1725"/>
        <w:gridCol w:w="1199"/>
      </w:tblGrid>
      <w:tr w:rsidR="003B05B6" w:rsidTr="0077257F">
        <w:tc>
          <w:tcPr>
            <w:tcW w:w="1188" w:type="dxa"/>
            <w:vAlign w:val="center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Етапи</w:t>
            </w:r>
          </w:p>
        </w:tc>
        <w:tc>
          <w:tcPr>
            <w:tcW w:w="1770" w:type="dxa"/>
          </w:tcPr>
          <w:p w:rsidR="003B05B6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САТ,</w:t>
            </w:r>
          </w:p>
          <w:p w:rsidR="003B05B6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4C6D3F">
              <w:rPr>
                <w:sz w:val="28"/>
                <w:szCs w:val="28"/>
                <w:lang w:val="uk-UA"/>
              </w:rPr>
              <w:t>мм рт.ст.</w:t>
            </w:r>
          </w:p>
        </w:tc>
        <w:tc>
          <w:tcPr>
            <w:tcW w:w="1733" w:type="dxa"/>
          </w:tcPr>
          <w:p w:rsidR="003B05B6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8B59A3">
              <w:rPr>
                <w:sz w:val="28"/>
                <w:szCs w:val="28"/>
              </w:rPr>
              <w:t>ДА</w:t>
            </w:r>
            <w:r w:rsidRPr="008B59A3">
              <w:rPr>
                <w:sz w:val="28"/>
                <w:szCs w:val="28"/>
                <w:lang w:val="uk-UA"/>
              </w:rPr>
              <w:t>Т,</w:t>
            </w:r>
            <w:r w:rsidRPr="008B59A3">
              <w:rPr>
                <w:vanish/>
                <w:color w:val="FF0000"/>
                <w:sz w:val="28"/>
                <w:szCs w:val="28"/>
              </w:rPr>
              <w:t>|</w:t>
            </w:r>
          </w:p>
          <w:p w:rsidR="003B05B6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8B59A3">
              <w:rPr>
                <w:sz w:val="28"/>
                <w:szCs w:val="28"/>
                <w:lang w:val="uk-UA"/>
              </w:rPr>
              <w:t>мм рт.ст.</w:t>
            </w:r>
          </w:p>
        </w:tc>
        <w:tc>
          <w:tcPr>
            <w:tcW w:w="1770" w:type="dxa"/>
          </w:tcPr>
          <w:p w:rsidR="003B05B6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8B59A3">
              <w:rPr>
                <w:sz w:val="28"/>
                <w:szCs w:val="28"/>
                <w:lang w:val="uk-UA"/>
              </w:rPr>
              <w:t>ЧСС,</w:t>
            </w:r>
            <w:r w:rsidRPr="008B59A3">
              <w:rPr>
                <w:vanish/>
                <w:color w:val="FF0000"/>
                <w:sz w:val="28"/>
                <w:szCs w:val="28"/>
                <w:lang w:val="uk-UA"/>
              </w:rPr>
              <w:t>|</w:t>
            </w:r>
          </w:p>
          <w:p w:rsidR="003B05B6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8B59A3">
              <w:rPr>
                <w:sz w:val="28"/>
                <w:szCs w:val="28"/>
                <w:lang w:val="uk-UA"/>
              </w:rPr>
              <w:t>уд./хв.</w:t>
            </w:r>
          </w:p>
        </w:tc>
        <w:tc>
          <w:tcPr>
            <w:tcW w:w="1770" w:type="dxa"/>
          </w:tcPr>
          <w:p w:rsidR="003B05B6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7"/>
                <w:szCs w:val="27"/>
                <w:lang w:val="uk-UA"/>
              </w:rPr>
              <w:t>Доза фуросеміду, мг/тиж</w:t>
            </w:r>
          </w:p>
        </w:tc>
        <w:tc>
          <w:tcPr>
            <w:tcW w:w="1675" w:type="dxa"/>
          </w:tcPr>
          <w:p w:rsidR="003B05B6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8B59A3">
              <w:rPr>
                <w:sz w:val="28"/>
                <w:szCs w:val="28"/>
                <w:lang w:val="uk-UA"/>
              </w:rPr>
              <w:t>ФК, умов.од.</w:t>
            </w:r>
          </w:p>
        </w:tc>
      </w:tr>
      <w:tr w:rsidR="003B05B6" w:rsidTr="0077257F">
        <w:tc>
          <w:tcPr>
            <w:tcW w:w="1188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770" w:type="dxa"/>
          </w:tcPr>
          <w:p w:rsidR="003B05B6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4C6D3F">
              <w:rPr>
                <w:sz w:val="28"/>
                <w:szCs w:val="28"/>
                <w:lang w:val="uk-UA" w:eastAsia="uk-UA"/>
              </w:rPr>
              <w:t>114,57±1,57</w:t>
            </w:r>
          </w:p>
        </w:tc>
        <w:tc>
          <w:tcPr>
            <w:tcW w:w="1733" w:type="dxa"/>
          </w:tcPr>
          <w:p w:rsidR="003B05B6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8B59A3">
              <w:rPr>
                <w:sz w:val="28"/>
                <w:szCs w:val="28"/>
                <w:lang w:val="uk-UA"/>
              </w:rPr>
              <w:t>7</w:t>
            </w:r>
            <w:r w:rsidRPr="008B59A3">
              <w:rPr>
                <w:sz w:val="28"/>
                <w:szCs w:val="28"/>
                <w:lang w:val="en-US"/>
              </w:rPr>
              <w:t>6</w:t>
            </w:r>
            <w:r w:rsidRPr="008B59A3">
              <w:rPr>
                <w:sz w:val="28"/>
                <w:szCs w:val="28"/>
                <w:lang w:val="uk-UA"/>
              </w:rPr>
              <w:t>,</w:t>
            </w:r>
            <w:r w:rsidRPr="008B59A3">
              <w:rPr>
                <w:sz w:val="28"/>
                <w:szCs w:val="28"/>
                <w:lang w:val="en-US"/>
              </w:rPr>
              <w:t>14</w:t>
            </w:r>
            <w:r w:rsidRPr="008B59A3">
              <w:rPr>
                <w:sz w:val="28"/>
                <w:szCs w:val="28"/>
                <w:lang w:val="uk-UA"/>
              </w:rPr>
              <w:t>±1,</w:t>
            </w:r>
            <w:r w:rsidRPr="008B59A3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770" w:type="dxa"/>
          </w:tcPr>
          <w:p w:rsidR="003B05B6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8B59A3">
              <w:rPr>
                <w:sz w:val="28"/>
                <w:szCs w:val="28"/>
                <w:lang w:val="uk-UA"/>
              </w:rPr>
              <w:t>153,75±12,18</w:t>
            </w:r>
          </w:p>
        </w:tc>
        <w:tc>
          <w:tcPr>
            <w:tcW w:w="1770" w:type="dxa"/>
          </w:tcPr>
          <w:p w:rsidR="003B05B6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8B59A3">
              <w:rPr>
                <w:sz w:val="28"/>
                <w:szCs w:val="28"/>
                <w:lang w:val="uk-UA"/>
              </w:rPr>
              <w:t>153,75±12,18</w:t>
            </w:r>
          </w:p>
        </w:tc>
        <w:tc>
          <w:tcPr>
            <w:tcW w:w="1675" w:type="dxa"/>
          </w:tcPr>
          <w:p w:rsidR="003B05B6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8B59A3">
              <w:rPr>
                <w:sz w:val="28"/>
                <w:szCs w:val="28"/>
                <w:lang w:val="uk-UA"/>
              </w:rPr>
              <w:t>2</w:t>
            </w:r>
            <w:r w:rsidRPr="008B59A3">
              <w:rPr>
                <w:sz w:val="28"/>
                <w:szCs w:val="28"/>
              </w:rPr>
              <w:t>,</w:t>
            </w:r>
            <w:r w:rsidRPr="008B59A3">
              <w:rPr>
                <w:sz w:val="28"/>
                <w:szCs w:val="28"/>
                <w:lang w:val="uk-UA"/>
              </w:rPr>
              <w:t>64</w:t>
            </w:r>
            <w:r w:rsidRPr="008B59A3">
              <w:rPr>
                <w:sz w:val="28"/>
                <w:szCs w:val="28"/>
              </w:rPr>
              <w:t xml:space="preserve"> </w:t>
            </w:r>
            <w:r w:rsidRPr="008B59A3">
              <w:rPr>
                <w:sz w:val="28"/>
                <w:szCs w:val="28"/>
                <w:lang w:val="uk-UA"/>
              </w:rPr>
              <w:t xml:space="preserve">± </w:t>
            </w:r>
            <w:r w:rsidRPr="008B59A3">
              <w:rPr>
                <w:rFonts w:cs="Symbol"/>
                <w:sz w:val="28"/>
                <w:szCs w:val="28"/>
                <w:lang w:val="en-US"/>
              </w:rPr>
              <w:t>0</w:t>
            </w:r>
            <w:r w:rsidRPr="008B59A3">
              <w:rPr>
                <w:rFonts w:cs="Symbol"/>
                <w:sz w:val="28"/>
                <w:szCs w:val="28"/>
              </w:rPr>
              <w:t>,</w:t>
            </w:r>
            <w:r w:rsidRPr="008B59A3">
              <w:rPr>
                <w:rFonts w:cs="Symbol"/>
                <w:sz w:val="28"/>
                <w:szCs w:val="28"/>
                <w:lang w:val="uk-UA"/>
              </w:rPr>
              <w:t>05</w:t>
            </w:r>
          </w:p>
        </w:tc>
      </w:tr>
      <w:tr w:rsidR="003B05B6" w:rsidTr="0077257F">
        <w:tc>
          <w:tcPr>
            <w:tcW w:w="1188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770" w:type="dxa"/>
          </w:tcPr>
          <w:p w:rsidR="003B05B6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8B59A3">
              <w:rPr>
                <w:sz w:val="28"/>
                <w:szCs w:val="28"/>
                <w:lang w:val="uk-UA"/>
              </w:rPr>
              <w:t>11</w:t>
            </w:r>
            <w:r w:rsidRPr="008B59A3">
              <w:rPr>
                <w:sz w:val="28"/>
                <w:szCs w:val="28"/>
                <w:lang w:val="en-US"/>
              </w:rPr>
              <w:t>8</w:t>
            </w:r>
            <w:r w:rsidRPr="008B59A3">
              <w:rPr>
                <w:sz w:val="28"/>
                <w:szCs w:val="28"/>
                <w:lang w:val="uk-UA"/>
              </w:rPr>
              <w:t>,</w:t>
            </w:r>
            <w:r w:rsidRPr="008B59A3">
              <w:rPr>
                <w:sz w:val="28"/>
                <w:szCs w:val="28"/>
                <w:lang w:val="en-US"/>
              </w:rPr>
              <w:t>42</w:t>
            </w:r>
            <w:r w:rsidRPr="008B59A3">
              <w:rPr>
                <w:sz w:val="28"/>
                <w:szCs w:val="28"/>
                <w:lang w:val="uk-UA"/>
              </w:rPr>
              <w:t>±2,</w:t>
            </w:r>
            <w:r w:rsidRPr="008B59A3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733" w:type="dxa"/>
          </w:tcPr>
          <w:p w:rsidR="003B05B6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8B59A3">
              <w:rPr>
                <w:sz w:val="28"/>
                <w:szCs w:val="28"/>
                <w:lang w:val="uk-UA"/>
              </w:rPr>
              <w:t>77,</w:t>
            </w:r>
            <w:r w:rsidRPr="008B59A3">
              <w:rPr>
                <w:sz w:val="28"/>
                <w:szCs w:val="28"/>
                <w:lang w:val="en-US"/>
              </w:rPr>
              <w:t>80</w:t>
            </w:r>
            <w:r w:rsidRPr="008B59A3">
              <w:rPr>
                <w:sz w:val="28"/>
                <w:szCs w:val="28"/>
                <w:lang w:val="uk-UA"/>
              </w:rPr>
              <w:t>±1,</w:t>
            </w:r>
            <w:r w:rsidRPr="008B59A3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1770" w:type="dxa"/>
          </w:tcPr>
          <w:p w:rsidR="003B05B6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8B59A3">
              <w:rPr>
                <w:sz w:val="28"/>
                <w:szCs w:val="28"/>
                <w:lang w:val="uk-UA"/>
              </w:rPr>
              <w:t>133,42±18,52</w:t>
            </w:r>
          </w:p>
        </w:tc>
        <w:tc>
          <w:tcPr>
            <w:tcW w:w="1770" w:type="dxa"/>
          </w:tcPr>
          <w:p w:rsidR="003B05B6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8B59A3">
              <w:rPr>
                <w:sz w:val="28"/>
                <w:szCs w:val="28"/>
                <w:lang w:val="uk-UA"/>
              </w:rPr>
              <w:t>133,42±18,52</w:t>
            </w:r>
          </w:p>
        </w:tc>
        <w:tc>
          <w:tcPr>
            <w:tcW w:w="1675" w:type="dxa"/>
          </w:tcPr>
          <w:p w:rsidR="003B05B6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8B59A3">
              <w:rPr>
                <w:sz w:val="28"/>
                <w:szCs w:val="28"/>
                <w:lang w:val="uk-UA"/>
              </w:rPr>
              <w:t>1</w:t>
            </w:r>
            <w:r w:rsidRPr="008B59A3">
              <w:rPr>
                <w:sz w:val="28"/>
                <w:szCs w:val="28"/>
              </w:rPr>
              <w:t>,</w:t>
            </w:r>
            <w:r w:rsidRPr="008B59A3">
              <w:rPr>
                <w:sz w:val="28"/>
                <w:szCs w:val="28"/>
                <w:lang w:val="uk-UA"/>
              </w:rPr>
              <w:t>60</w:t>
            </w:r>
            <w:r w:rsidRPr="008B59A3">
              <w:rPr>
                <w:sz w:val="28"/>
                <w:szCs w:val="28"/>
              </w:rPr>
              <w:t xml:space="preserve"> </w:t>
            </w:r>
            <w:r w:rsidRPr="008B59A3">
              <w:rPr>
                <w:sz w:val="28"/>
                <w:szCs w:val="28"/>
                <w:lang w:val="uk-UA"/>
              </w:rPr>
              <w:t xml:space="preserve">± </w:t>
            </w:r>
            <w:r w:rsidRPr="008B59A3">
              <w:rPr>
                <w:rFonts w:cs="Symbol"/>
                <w:sz w:val="28"/>
                <w:szCs w:val="28"/>
                <w:lang w:val="en-US"/>
              </w:rPr>
              <w:t>0</w:t>
            </w:r>
            <w:r w:rsidRPr="008B59A3">
              <w:rPr>
                <w:rFonts w:cs="Symbol"/>
                <w:sz w:val="28"/>
                <w:szCs w:val="28"/>
              </w:rPr>
              <w:t>,</w:t>
            </w:r>
            <w:r w:rsidRPr="008B59A3">
              <w:rPr>
                <w:rFonts w:cs="Symbol"/>
                <w:sz w:val="28"/>
                <w:szCs w:val="28"/>
                <w:lang w:val="uk-UA"/>
              </w:rPr>
              <w:t>08</w:t>
            </w:r>
            <w:r>
              <w:rPr>
                <w:rFonts w:cs="Symbol"/>
                <w:sz w:val="28"/>
                <w:szCs w:val="28"/>
                <w:lang w:val="uk-UA"/>
              </w:rPr>
              <w:t>*</w:t>
            </w:r>
          </w:p>
        </w:tc>
      </w:tr>
      <w:tr w:rsidR="003B05B6" w:rsidTr="0077257F">
        <w:tc>
          <w:tcPr>
            <w:tcW w:w="1188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770" w:type="dxa"/>
          </w:tcPr>
          <w:p w:rsidR="003B05B6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8B59A3">
              <w:rPr>
                <w:sz w:val="28"/>
                <w:szCs w:val="28"/>
                <w:lang w:val="uk-UA"/>
              </w:rPr>
              <w:t>11</w:t>
            </w:r>
            <w:r w:rsidRPr="008B59A3">
              <w:rPr>
                <w:sz w:val="28"/>
                <w:szCs w:val="28"/>
                <w:lang w:val="en-US"/>
              </w:rPr>
              <w:t>7</w:t>
            </w:r>
            <w:r w:rsidRPr="008B59A3">
              <w:rPr>
                <w:sz w:val="28"/>
                <w:szCs w:val="28"/>
                <w:lang w:val="uk-UA"/>
              </w:rPr>
              <w:t>,3</w:t>
            </w:r>
            <w:r w:rsidRPr="008B59A3">
              <w:rPr>
                <w:sz w:val="28"/>
                <w:szCs w:val="28"/>
                <w:lang w:val="en-US"/>
              </w:rPr>
              <w:t>8</w:t>
            </w:r>
            <w:r w:rsidRPr="008B59A3">
              <w:rPr>
                <w:sz w:val="28"/>
                <w:szCs w:val="28"/>
                <w:lang w:val="uk-UA"/>
              </w:rPr>
              <w:t>±</w:t>
            </w:r>
            <w:r w:rsidRPr="008B59A3">
              <w:rPr>
                <w:sz w:val="28"/>
                <w:szCs w:val="28"/>
                <w:lang w:val="en-US"/>
              </w:rPr>
              <w:t>1</w:t>
            </w:r>
            <w:r w:rsidRPr="008B59A3">
              <w:rPr>
                <w:sz w:val="28"/>
                <w:szCs w:val="28"/>
                <w:lang w:val="uk-UA"/>
              </w:rPr>
              <w:t>,</w:t>
            </w:r>
            <w:r w:rsidRPr="008B59A3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733" w:type="dxa"/>
          </w:tcPr>
          <w:p w:rsidR="003B05B6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8B59A3">
              <w:rPr>
                <w:sz w:val="28"/>
                <w:szCs w:val="28"/>
                <w:lang w:val="uk-UA"/>
              </w:rPr>
              <w:t>74,</w:t>
            </w:r>
            <w:r w:rsidRPr="008B59A3">
              <w:rPr>
                <w:sz w:val="28"/>
                <w:szCs w:val="28"/>
                <w:lang w:val="en-US"/>
              </w:rPr>
              <w:t>48</w:t>
            </w:r>
            <w:r w:rsidRPr="008B59A3">
              <w:rPr>
                <w:sz w:val="28"/>
                <w:szCs w:val="28"/>
                <w:lang w:val="uk-UA"/>
              </w:rPr>
              <w:t>±1,</w:t>
            </w:r>
            <w:r w:rsidRPr="008B59A3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770" w:type="dxa"/>
          </w:tcPr>
          <w:p w:rsidR="003B05B6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8B59A3">
              <w:rPr>
                <w:sz w:val="28"/>
                <w:szCs w:val="28"/>
                <w:lang w:val="uk-UA"/>
              </w:rPr>
              <w:t>127,37±29,63</w:t>
            </w:r>
          </w:p>
        </w:tc>
        <w:tc>
          <w:tcPr>
            <w:tcW w:w="1770" w:type="dxa"/>
          </w:tcPr>
          <w:p w:rsidR="003B05B6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8B59A3">
              <w:rPr>
                <w:sz w:val="28"/>
                <w:szCs w:val="28"/>
                <w:lang w:val="uk-UA"/>
              </w:rPr>
              <w:t>127,37±29,63</w:t>
            </w:r>
          </w:p>
        </w:tc>
        <w:tc>
          <w:tcPr>
            <w:tcW w:w="1675" w:type="dxa"/>
          </w:tcPr>
          <w:p w:rsidR="003B05B6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8B59A3">
              <w:rPr>
                <w:sz w:val="28"/>
                <w:szCs w:val="28"/>
                <w:lang w:val="uk-UA"/>
              </w:rPr>
              <w:t>1</w:t>
            </w:r>
            <w:r w:rsidRPr="008B59A3">
              <w:rPr>
                <w:sz w:val="28"/>
                <w:szCs w:val="28"/>
              </w:rPr>
              <w:t>,</w:t>
            </w:r>
            <w:r w:rsidRPr="008B59A3">
              <w:rPr>
                <w:sz w:val="28"/>
                <w:szCs w:val="28"/>
                <w:lang w:val="uk-UA"/>
              </w:rPr>
              <w:t>22</w:t>
            </w:r>
            <w:r w:rsidRPr="008B59A3">
              <w:rPr>
                <w:sz w:val="28"/>
                <w:szCs w:val="28"/>
              </w:rPr>
              <w:t xml:space="preserve"> </w:t>
            </w:r>
            <w:r w:rsidRPr="008B59A3">
              <w:rPr>
                <w:sz w:val="28"/>
                <w:szCs w:val="28"/>
                <w:lang w:val="uk-UA"/>
              </w:rPr>
              <w:t xml:space="preserve">± </w:t>
            </w:r>
            <w:r w:rsidRPr="008B59A3">
              <w:rPr>
                <w:rFonts w:cs="Symbol"/>
                <w:sz w:val="28"/>
                <w:szCs w:val="28"/>
                <w:lang w:val="en-US"/>
              </w:rPr>
              <w:t>0</w:t>
            </w:r>
            <w:r w:rsidRPr="008B59A3">
              <w:rPr>
                <w:rFonts w:cs="Symbol"/>
                <w:sz w:val="28"/>
                <w:szCs w:val="28"/>
              </w:rPr>
              <w:t>,</w:t>
            </w:r>
            <w:r w:rsidRPr="008B59A3">
              <w:rPr>
                <w:rFonts w:cs="Symbol"/>
                <w:sz w:val="28"/>
                <w:szCs w:val="28"/>
                <w:lang w:val="uk-UA"/>
              </w:rPr>
              <w:t>06</w:t>
            </w:r>
            <w:r>
              <w:rPr>
                <w:rFonts w:cs="Symbol"/>
                <w:sz w:val="28"/>
                <w:szCs w:val="28"/>
                <w:lang w:val="uk-UA"/>
              </w:rPr>
              <w:t>*</w:t>
            </w:r>
          </w:p>
        </w:tc>
      </w:tr>
      <w:tr w:rsidR="003B05B6" w:rsidTr="0077257F">
        <w:tc>
          <w:tcPr>
            <w:tcW w:w="1188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770" w:type="dxa"/>
          </w:tcPr>
          <w:p w:rsidR="003B05B6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8B59A3">
              <w:rPr>
                <w:sz w:val="28"/>
                <w:szCs w:val="28"/>
                <w:lang w:val="uk-UA"/>
              </w:rPr>
              <w:t>120,</w:t>
            </w:r>
            <w:r w:rsidRPr="008B59A3">
              <w:rPr>
                <w:sz w:val="28"/>
                <w:szCs w:val="28"/>
                <w:lang w:val="en-US"/>
              </w:rPr>
              <w:t>41</w:t>
            </w:r>
            <w:r w:rsidRPr="008B59A3">
              <w:rPr>
                <w:sz w:val="28"/>
                <w:szCs w:val="28"/>
                <w:lang w:val="uk-UA"/>
              </w:rPr>
              <w:t>±2,7</w:t>
            </w:r>
            <w:r w:rsidRPr="008B59A3">
              <w:rPr>
                <w:sz w:val="28"/>
                <w:szCs w:val="28"/>
                <w:lang w:val="en-US"/>
              </w:rPr>
              <w:t>1</w:t>
            </w:r>
            <w:r w:rsidRPr="008B59A3">
              <w:rPr>
                <w:sz w:val="28"/>
                <w:szCs w:val="28"/>
              </w:rPr>
              <w:t>*</w:t>
            </w:r>
          </w:p>
        </w:tc>
        <w:tc>
          <w:tcPr>
            <w:tcW w:w="1733" w:type="dxa"/>
          </w:tcPr>
          <w:p w:rsidR="003B05B6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8B59A3">
              <w:rPr>
                <w:sz w:val="28"/>
                <w:szCs w:val="28"/>
                <w:lang w:val="en-US"/>
              </w:rPr>
              <w:t>79</w:t>
            </w:r>
            <w:r w:rsidRPr="008B59A3">
              <w:rPr>
                <w:sz w:val="28"/>
                <w:szCs w:val="28"/>
                <w:lang w:val="uk-UA"/>
              </w:rPr>
              <w:t>,</w:t>
            </w:r>
            <w:r w:rsidRPr="008B59A3">
              <w:rPr>
                <w:sz w:val="28"/>
                <w:szCs w:val="28"/>
                <w:lang w:val="en-US"/>
              </w:rPr>
              <w:t>97</w:t>
            </w:r>
            <w:r w:rsidRPr="008B59A3">
              <w:rPr>
                <w:sz w:val="28"/>
                <w:szCs w:val="28"/>
                <w:lang w:val="uk-UA"/>
              </w:rPr>
              <w:t>±1,9</w:t>
            </w:r>
            <w:r w:rsidRPr="008B59A3">
              <w:rPr>
                <w:sz w:val="28"/>
                <w:szCs w:val="28"/>
                <w:lang w:val="en-US"/>
              </w:rPr>
              <w:t>3</w:t>
            </w:r>
            <w:r w:rsidRPr="008B59A3">
              <w:rPr>
                <w:sz w:val="28"/>
                <w:szCs w:val="28"/>
              </w:rPr>
              <w:t>*</w:t>
            </w:r>
          </w:p>
        </w:tc>
        <w:tc>
          <w:tcPr>
            <w:tcW w:w="1770" w:type="dxa"/>
          </w:tcPr>
          <w:p w:rsidR="003B05B6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8B59A3">
              <w:rPr>
                <w:sz w:val="28"/>
                <w:szCs w:val="28"/>
                <w:lang w:val="uk-UA"/>
              </w:rPr>
              <w:t>69,29±14,00*</w:t>
            </w:r>
          </w:p>
        </w:tc>
        <w:tc>
          <w:tcPr>
            <w:tcW w:w="1770" w:type="dxa"/>
          </w:tcPr>
          <w:p w:rsidR="003B05B6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8B59A3">
              <w:rPr>
                <w:sz w:val="28"/>
                <w:szCs w:val="28"/>
                <w:lang w:val="uk-UA"/>
              </w:rPr>
              <w:t>69,29±14,00*</w:t>
            </w:r>
          </w:p>
        </w:tc>
        <w:tc>
          <w:tcPr>
            <w:tcW w:w="1675" w:type="dxa"/>
          </w:tcPr>
          <w:p w:rsidR="003B05B6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8B59A3">
              <w:rPr>
                <w:sz w:val="28"/>
                <w:szCs w:val="28"/>
                <w:lang w:val="uk-UA"/>
              </w:rPr>
              <w:t>1</w:t>
            </w:r>
            <w:r w:rsidRPr="008B59A3">
              <w:rPr>
                <w:sz w:val="28"/>
                <w:szCs w:val="28"/>
              </w:rPr>
              <w:t>,</w:t>
            </w:r>
            <w:r w:rsidRPr="008B59A3">
              <w:rPr>
                <w:sz w:val="28"/>
                <w:szCs w:val="28"/>
                <w:lang w:val="uk-UA"/>
              </w:rPr>
              <w:t>16</w:t>
            </w:r>
            <w:r w:rsidRPr="008B59A3">
              <w:rPr>
                <w:sz w:val="28"/>
                <w:szCs w:val="28"/>
              </w:rPr>
              <w:t xml:space="preserve"> </w:t>
            </w:r>
            <w:r w:rsidRPr="008B59A3">
              <w:rPr>
                <w:sz w:val="28"/>
                <w:szCs w:val="28"/>
                <w:lang w:val="uk-UA"/>
              </w:rPr>
              <w:t xml:space="preserve">± </w:t>
            </w:r>
            <w:r w:rsidRPr="008B59A3">
              <w:rPr>
                <w:rFonts w:cs="Symbol"/>
                <w:sz w:val="28"/>
                <w:szCs w:val="28"/>
                <w:lang w:val="en-US"/>
              </w:rPr>
              <w:t>0</w:t>
            </w:r>
            <w:r w:rsidRPr="008B59A3">
              <w:rPr>
                <w:rFonts w:cs="Symbol"/>
                <w:sz w:val="28"/>
                <w:szCs w:val="28"/>
              </w:rPr>
              <w:t>,</w:t>
            </w:r>
            <w:r w:rsidRPr="008B59A3">
              <w:rPr>
                <w:rFonts w:cs="Symbol"/>
                <w:sz w:val="28"/>
                <w:szCs w:val="28"/>
                <w:lang w:val="uk-UA"/>
              </w:rPr>
              <w:t>07</w:t>
            </w:r>
            <w:r>
              <w:rPr>
                <w:rFonts w:cs="Symbol"/>
                <w:sz w:val="28"/>
                <w:szCs w:val="28"/>
                <w:lang w:val="uk-UA"/>
              </w:rPr>
              <w:t>*</w:t>
            </w:r>
          </w:p>
        </w:tc>
      </w:tr>
    </w:tbl>
    <w:p w:rsidR="003B05B6" w:rsidRDefault="003B05B6" w:rsidP="003B05B6">
      <w:pPr>
        <w:rPr>
          <w:sz w:val="28"/>
          <w:szCs w:val="28"/>
          <w:lang w:val="uk-UA"/>
        </w:rPr>
      </w:pPr>
      <w:r w:rsidRPr="00ED2887">
        <w:rPr>
          <w:sz w:val="28"/>
          <w:szCs w:val="28"/>
          <w:lang w:val="uk-UA"/>
        </w:rPr>
        <w:t>Прим</w:t>
      </w:r>
      <w:r>
        <w:rPr>
          <w:sz w:val="28"/>
          <w:szCs w:val="28"/>
          <w:lang w:val="uk-UA"/>
        </w:rPr>
        <w:t>ітка.</w:t>
      </w:r>
      <w:r w:rsidRPr="00ED2887">
        <w:rPr>
          <w:sz w:val="28"/>
          <w:szCs w:val="28"/>
          <w:lang w:val="uk-UA"/>
        </w:rPr>
        <w:t xml:space="preserve"> * - достов</w:t>
      </w:r>
      <w:r>
        <w:rPr>
          <w:sz w:val="28"/>
          <w:szCs w:val="28"/>
          <w:lang w:val="uk-UA"/>
        </w:rPr>
        <w:t>і</w:t>
      </w:r>
      <w:r w:rsidRPr="00ED2887">
        <w:rPr>
          <w:sz w:val="28"/>
          <w:szCs w:val="28"/>
          <w:lang w:val="uk-UA"/>
        </w:rPr>
        <w:t>рн</w:t>
      </w:r>
      <w:r>
        <w:rPr>
          <w:sz w:val="28"/>
          <w:szCs w:val="28"/>
          <w:lang w:val="uk-UA"/>
        </w:rPr>
        <w:t>і</w:t>
      </w:r>
      <w:r w:rsidRPr="00ED28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відмінності</w:t>
      </w:r>
      <w:r w:rsidRPr="00ED28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порівняно з</w:t>
      </w:r>
      <w:r w:rsidRPr="00ED2887">
        <w:rPr>
          <w:sz w:val="28"/>
          <w:szCs w:val="28"/>
          <w:lang w:val="uk-UA"/>
        </w:rPr>
        <w:t xml:space="preserve"> </w:t>
      </w:r>
      <w:r w:rsidRPr="006E632C">
        <w:rPr>
          <w:sz w:val="28"/>
          <w:szCs w:val="28"/>
        </w:rPr>
        <w:t>I</w:t>
      </w:r>
      <w:r w:rsidRPr="00ED28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</w:t>
      </w:r>
      <w:r w:rsidRPr="00ED2887">
        <w:rPr>
          <w:sz w:val="28"/>
          <w:szCs w:val="28"/>
          <w:lang w:val="uk-UA"/>
        </w:rPr>
        <w:t>тапом (</w:t>
      </w:r>
      <w:r w:rsidRPr="006E632C">
        <w:rPr>
          <w:sz w:val="28"/>
          <w:szCs w:val="28"/>
        </w:rPr>
        <w:t>p</w:t>
      </w:r>
      <w:r w:rsidRPr="00ED2887">
        <w:rPr>
          <w:sz w:val="28"/>
          <w:szCs w:val="28"/>
          <w:lang w:val="uk-UA"/>
        </w:rPr>
        <w:t>&lt;0,05).</w:t>
      </w:r>
    </w:p>
    <w:p w:rsidR="003B05B6" w:rsidRDefault="003B05B6" w:rsidP="003B05B6">
      <w:pPr>
        <w:widowControl w:val="0"/>
        <w:spacing w:line="252" w:lineRule="auto"/>
        <w:ind w:firstLine="539"/>
        <w:jc w:val="both"/>
        <w:rPr>
          <w:sz w:val="28"/>
          <w:szCs w:val="28"/>
          <w:lang w:val="uk-UA"/>
        </w:rPr>
      </w:pPr>
    </w:p>
    <w:p w:rsidR="003B05B6" w:rsidRPr="004C6D3F" w:rsidRDefault="003B05B6" w:rsidP="003B05B6">
      <w:pPr>
        <w:widowControl w:val="0"/>
        <w:spacing w:line="252" w:lineRule="auto"/>
        <w:ind w:firstLine="539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Аналіз індивідуальних даних показав, що на І етапі ІІІ ФК було діагностовано у 60,95%, на ІІ етапі - лише у 7,8% (р=0,00001), а починаючи з ІІІ етапу - в жодного з обстежених пацієнтів. Крім того на І етапі стан жодного з </w:t>
      </w:r>
      <w:r w:rsidRPr="004C6D3F">
        <w:rPr>
          <w:sz w:val="28"/>
          <w:szCs w:val="28"/>
          <w:lang w:val="uk-UA"/>
        </w:rPr>
        <w:lastRenderedPageBreak/>
        <w:t xml:space="preserve">пацієнтів не відповідав І ФК, втім внаслідок проведеного лікування на ІІ етапі частка хворих з І ФК становила 45,3%, на ІІІ етапі збільшилась до 76,9% (р=0,0007), а на </w:t>
      </w:r>
      <w:r w:rsidRPr="004C6D3F">
        <w:rPr>
          <w:sz w:val="28"/>
          <w:szCs w:val="28"/>
          <w:lang w:val="en-US"/>
        </w:rPr>
        <w:t>IV</w:t>
      </w:r>
      <w:r w:rsidRPr="004C6D3F">
        <w:rPr>
          <w:sz w:val="28"/>
          <w:szCs w:val="28"/>
          <w:lang w:val="uk-UA"/>
        </w:rPr>
        <w:t xml:space="preserve"> етапі дорівнювала 81,3% (р=0,0011).</w:t>
      </w:r>
    </w:p>
    <w:p w:rsidR="003B05B6" w:rsidRPr="004C6D3F" w:rsidRDefault="003B05B6" w:rsidP="003B05B6">
      <w:pPr>
        <w:widowControl w:val="0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Одне з </w:t>
      </w:r>
      <w:r w:rsidRPr="00BB3CAD">
        <w:rPr>
          <w:sz w:val="28"/>
          <w:szCs w:val="28"/>
          <w:lang w:val="uk-UA"/>
        </w:rPr>
        <w:t>важливих</w:t>
      </w:r>
      <w:r w:rsidRPr="004C6D3F">
        <w:rPr>
          <w:sz w:val="28"/>
          <w:szCs w:val="28"/>
          <w:lang w:val="uk-UA"/>
        </w:rPr>
        <w:t xml:space="preserve"> питань будь-якого лікування ХСН - його вплив на прогноз хворих. Ми провели аналіз 5-річного виживання хворих із загальної групи ХСН. За час д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>слідження вмерло 9 пацієнтів (8,6%) (2 хворих з групи КОР, 4 - з групи ХМ, 3 - з групи ДКМП), всі протягом першого року спостереження. Результати аналізу за методом Каплан-Мейєра пок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>зали, що 5-річне виживання хворих із загальної групи ХСН склало 88%. Ці результати співпадають з даними інших авторів, які вивчали прогноз хворих з ХСН (Whorlow S.L., 2000; Р</w:t>
      </w:r>
      <w:r w:rsidRPr="004C6D3F">
        <w:rPr>
          <w:sz w:val="28"/>
          <w:szCs w:val="28"/>
          <w:lang w:val="uk-UA"/>
        </w:rPr>
        <w:t>я</w:t>
      </w:r>
      <w:r w:rsidRPr="004C6D3F">
        <w:rPr>
          <w:sz w:val="28"/>
          <w:szCs w:val="28"/>
          <w:lang w:val="uk-UA"/>
        </w:rPr>
        <w:t>бенко Д.В., 2000, 2001; Mosterd A., 2001; Levy D., 2002; Воронков Л.Г., 2003), що дає підстави вважати, що запропонована нами схема лікування не впливає негативно на прогноз таких хворих.</w:t>
      </w:r>
    </w:p>
    <w:p w:rsidR="003B05B6" w:rsidRPr="004C6D3F" w:rsidRDefault="003B05B6" w:rsidP="003B05B6">
      <w:pPr>
        <w:widowControl w:val="0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Ми провели порівняльний аналіз початкових значень клінічних та об’ємно-функціональних параметрів лівих відділів серця у хворих з ХСН в залежності від ґенезу ХСН. Результати аналізу показали, що пацієнти в </w:t>
      </w:r>
      <w:r>
        <w:rPr>
          <w:sz w:val="28"/>
          <w:szCs w:val="28"/>
          <w:lang w:val="uk-UA"/>
        </w:rPr>
        <w:t xml:space="preserve">виділених </w:t>
      </w:r>
      <w:r w:rsidRPr="004C6D3F">
        <w:rPr>
          <w:sz w:val="28"/>
          <w:szCs w:val="28"/>
          <w:lang w:val="uk-UA"/>
        </w:rPr>
        <w:t xml:space="preserve">групах КОР та НЕКОР не відрізнялись за значеннями </w:t>
      </w:r>
      <w:r>
        <w:rPr>
          <w:sz w:val="28"/>
          <w:szCs w:val="28"/>
          <w:lang w:val="uk-UA"/>
        </w:rPr>
        <w:t>більшості показників (</w:t>
      </w:r>
      <w:r w:rsidRPr="004C6D3F">
        <w:rPr>
          <w:sz w:val="28"/>
          <w:szCs w:val="28"/>
          <w:lang w:val="uk-UA"/>
        </w:rPr>
        <w:t>ФК, рів</w:t>
      </w:r>
      <w:r>
        <w:rPr>
          <w:sz w:val="28"/>
          <w:szCs w:val="28"/>
          <w:lang w:val="uk-UA"/>
        </w:rPr>
        <w:t>е</w:t>
      </w:r>
      <w:r w:rsidRPr="004C6D3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ь</w:t>
      </w:r>
      <w:r w:rsidRPr="004C6D3F">
        <w:rPr>
          <w:sz w:val="28"/>
          <w:szCs w:val="28"/>
          <w:lang w:val="uk-UA"/>
        </w:rPr>
        <w:t xml:space="preserve"> ДАТ, ЧСС, доз</w:t>
      </w:r>
      <w:r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 xml:space="preserve"> фуросеміду, індексован</w:t>
      </w:r>
      <w:r>
        <w:rPr>
          <w:sz w:val="28"/>
          <w:szCs w:val="28"/>
          <w:lang w:val="uk-UA"/>
        </w:rPr>
        <w:t>і</w:t>
      </w:r>
      <w:r w:rsidRPr="004C6D3F">
        <w:rPr>
          <w:sz w:val="28"/>
          <w:szCs w:val="28"/>
          <w:lang w:val="uk-UA"/>
        </w:rPr>
        <w:t xml:space="preserve"> значен</w:t>
      </w:r>
      <w:r>
        <w:rPr>
          <w:sz w:val="28"/>
          <w:szCs w:val="28"/>
          <w:lang w:val="uk-UA"/>
        </w:rPr>
        <w:t>ня</w:t>
      </w:r>
      <w:r w:rsidRPr="004C6D3F">
        <w:rPr>
          <w:sz w:val="28"/>
          <w:szCs w:val="28"/>
          <w:lang w:val="uk-UA"/>
        </w:rPr>
        <w:t xml:space="preserve"> КДО та КСО ЛП</w:t>
      </w:r>
      <w:r>
        <w:rPr>
          <w:sz w:val="28"/>
          <w:szCs w:val="28"/>
          <w:lang w:val="uk-UA"/>
        </w:rPr>
        <w:t xml:space="preserve"> та ЛШ), за</w:t>
      </w:r>
      <w:r w:rsidRPr="004C6D3F">
        <w:rPr>
          <w:sz w:val="28"/>
          <w:szCs w:val="28"/>
          <w:lang w:val="uk-UA"/>
        </w:rPr>
        <w:t xml:space="preserve"> розподілом хворих з різними стадіями ХСН та за її тривалістю. Обчислення показали, що у 100% хворих з обох груп спостерігався важкий ступінь зб</w:t>
      </w:r>
      <w:r w:rsidRPr="004C6D3F">
        <w:rPr>
          <w:sz w:val="28"/>
          <w:szCs w:val="28"/>
          <w:lang w:val="uk-UA"/>
        </w:rPr>
        <w:t>і</w:t>
      </w:r>
      <w:r w:rsidRPr="004C6D3F">
        <w:rPr>
          <w:sz w:val="28"/>
          <w:szCs w:val="28"/>
          <w:lang w:val="uk-UA"/>
        </w:rPr>
        <w:t>льшення іКДО ЛШ (≥97 мл/м</w:t>
      </w:r>
      <w:r w:rsidRPr="004C6D3F">
        <w:rPr>
          <w:sz w:val="28"/>
          <w:szCs w:val="28"/>
          <w:vertAlign w:val="superscript"/>
          <w:lang w:val="uk-UA"/>
        </w:rPr>
        <w:t>2</w:t>
      </w:r>
      <w:r w:rsidRPr="004C6D3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а </w:t>
      </w:r>
      <w:r w:rsidRPr="004C6D3F">
        <w:rPr>
          <w:sz w:val="28"/>
          <w:szCs w:val="28"/>
          <w:lang w:val="uk-UA"/>
        </w:rPr>
        <w:t xml:space="preserve">83% </w:t>
      </w:r>
      <w:r>
        <w:rPr>
          <w:sz w:val="28"/>
          <w:szCs w:val="28"/>
          <w:lang w:val="uk-UA"/>
        </w:rPr>
        <w:t xml:space="preserve">хворих - </w:t>
      </w:r>
      <w:r w:rsidRPr="004C6D3F">
        <w:rPr>
          <w:sz w:val="28"/>
          <w:szCs w:val="28"/>
          <w:lang w:val="uk-UA"/>
        </w:rPr>
        <w:t>важкий ступінь зниження ФВ ЛШ (&lt;30%)</w:t>
      </w:r>
      <w:r>
        <w:rPr>
          <w:sz w:val="28"/>
          <w:szCs w:val="28"/>
          <w:lang w:val="uk-UA"/>
        </w:rPr>
        <w:t>. С</w:t>
      </w:r>
      <w:r w:rsidRPr="004C6D3F">
        <w:rPr>
          <w:sz w:val="28"/>
          <w:szCs w:val="28"/>
          <w:lang w:val="uk-UA"/>
        </w:rPr>
        <w:t xml:space="preserve">ередні значення іКДО ЛШ в групі НЕКОР </w:t>
      </w:r>
      <w:r>
        <w:rPr>
          <w:sz w:val="28"/>
          <w:szCs w:val="28"/>
          <w:lang w:val="uk-UA"/>
        </w:rPr>
        <w:t xml:space="preserve">та КОР </w:t>
      </w:r>
      <w:r w:rsidRPr="004C6D3F">
        <w:rPr>
          <w:sz w:val="28"/>
          <w:szCs w:val="28"/>
          <w:lang w:val="uk-UA"/>
        </w:rPr>
        <w:t>становили 125,95±4,28 мл/м</w:t>
      </w:r>
      <w:r w:rsidRPr="004C6D3F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4C6D3F">
        <w:rPr>
          <w:sz w:val="28"/>
          <w:szCs w:val="28"/>
          <w:lang w:val="uk-UA"/>
        </w:rPr>
        <w:t>119,41±4,20 мл/м</w:t>
      </w:r>
      <w:r w:rsidRPr="004C6D3F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., а ФВ ЛШ - </w:t>
      </w:r>
      <w:r w:rsidRPr="004C6D3F">
        <w:rPr>
          <w:sz w:val="28"/>
          <w:szCs w:val="28"/>
          <w:lang w:val="uk-UA"/>
        </w:rPr>
        <w:t>34,25±0,53%</w:t>
      </w:r>
      <w:r>
        <w:rPr>
          <w:sz w:val="28"/>
          <w:szCs w:val="28"/>
          <w:lang w:val="uk-UA"/>
        </w:rPr>
        <w:t xml:space="preserve"> та </w:t>
      </w:r>
      <w:r w:rsidRPr="004C6D3F">
        <w:rPr>
          <w:sz w:val="28"/>
          <w:szCs w:val="28"/>
          <w:lang w:val="uk-UA"/>
        </w:rPr>
        <w:t>34,73±0,99%</w:t>
      </w:r>
      <w:r>
        <w:rPr>
          <w:sz w:val="28"/>
          <w:szCs w:val="28"/>
          <w:lang w:val="uk-UA"/>
        </w:rPr>
        <w:t xml:space="preserve"> відповідно</w:t>
      </w:r>
      <w:r w:rsidRPr="004C6D3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Однак, </w:t>
      </w:r>
      <w:r w:rsidRPr="004C6D3F">
        <w:rPr>
          <w:sz w:val="28"/>
          <w:szCs w:val="28"/>
          <w:lang w:val="uk-UA"/>
        </w:rPr>
        <w:t>було виявлено, що хворі з групи НЕКОР були молодшими (середній вік 43,72±1,39 років) ніж пацієнти з групи КОР (середній вік 56,91±1,90 років) і мали нижчий поча</w:t>
      </w:r>
      <w:r w:rsidRPr="004C6D3F">
        <w:rPr>
          <w:sz w:val="28"/>
          <w:szCs w:val="28"/>
          <w:lang w:val="uk-UA"/>
        </w:rPr>
        <w:t>т</w:t>
      </w:r>
      <w:r w:rsidRPr="004C6D3F">
        <w:rPr>
          <w:sz w:val="28"/>
          <w:szCs w:val="28"/>
          <w:lang w:val="uk-UA"/>
        </w:rPr>
        <w:t>ковий рівень САТ (112,10±</w:t>
      </w:r>
      <w:smartTag w:uri="urn:schemas-microsoft-com:office:smarttags" w:element="metricconverter">
        <w:smartTagPr>
          <w:attr w:name="ProductID" w:val="1,69 мм"/>
        </w:smartTagPr>
        <w:r w:rsidRPr="004C6D3F">
          <w:rPr>
            <w:sz w:val="28"/>
            <w:szCs w:val="28"/>
            <w:lang w:val="uk-UA"/>
          </w:rPr>
          <w:t>1,69 мм</w:t>
        </w:r>
      </w:smartTag>
      <w:r w:rsidRPr="004C6D3F">
        <w:rPr>
          <w:sz w:val="28"/>
          <w:szCs w:val="28"/>
          <w:lang w:val="uk-UA"/>
        </w:rPr>
        <w:t xml:space="preserve"> рт.ст. проти 122,92±</w:t>
      </w:r>
      <w:smartTag w:uri="urn:schemas-microsoft-com:office:smarttags" w:element="metricconverter">
        <w:smartTagPr>
          <w:attr w:name="ProductID" w:val="3,40 мм"/>
        </w:smartTagPr>
        <w:r w:rsidRPr="004C6D3F">
          <w:rPr>
            <w:sz w:val="28"/>
            <w:szCs w:val="28"/>
            <w:lang w:val="uk-UA"/>
          </w:rPr>
          <w:t>3,40 мм</w:t>
        </w:r>
      </w:smartTag>
      <w:r w:rsidRPr="004C6D3F">
        <w:rPr>
          <w:sz w:val="28"/>
          <w:szCs w:val="28"/>
          <w:lang w:val="uk-UA"/>
        </w:rPr>
        <w:t xml:space="preserve"> рт.ст. в групі КОР). </w:t>
      </w:r>
    </w:p>
    <w:p w:rsidR="003B05B6" w:rsidRPr="004C6D3F" w:rsidRDefault="003B05B6" w:rsidP="003B05B6">
      <w:pPr>
        <w:widowControl w:val="0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Результати аналізу показали, що середні дози карведилолу та еналаприлу і співвідношення пацієнтів в групах КОР та НЕКОР, яким вдалося досягти цільових доз препаратів достовірно не відрізнялися на жодному з етапів дослідження (табл.</w:t>
      </w:r>
      <w:r>
        <w:rPr>
          <w:sz w:val="28"/>
          <w:szCs w:val="28"/>
          <w:lang w:val="uk-UA"/>
        </w:rPr>
        <w:t>2</w:t>
      </w:r>
      <w:r w:rsidRPr="004C6D3F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</w:t>
      </w:r>
    </w:p>
    <w:p w:rsidR="003B05B6" w:rsidRDefault="003B05B6" w:rsidP="003B05B6">
      <w:pPr>
        <w:widowControl w:val="0"/>
        <w:autoSpaceDE w:val="0"/>
        <w:autoSpaceDN w:val="0"/>
        <w:adjustRightInd w:val="0"/>
        <w:spacing w:line="264" w:lineRule="auto"/>
        <w:ind w:firstLine="567"/>
        <w:jc w:val="right"/>
        <w:rPr>
          <w:sz w:val="28"/>
          <w:szCs w:val="28"/>
          <w:lang w:val="uk-UA"/>
        </w:rPr>
      </w:pPr>
    </w:p>
    <w:p w:rsidR="003B05B6" w:rsidRPr="004C6D3F" w:rsidRDefault="003B05B6" w:rsidP="003B05B6">
      <w:pPr>
        <w:widowControl w:val="0"/>
        <w:autoSpaceDE w:val="0"/>
        <w:autoSpaceDN w:val="0"/>
        <w:adjustRightInd w:val="0"/>
        <w:spacing w:line="264" w:lineRule="auto"/>
        <w:ind w:firstLine="567"/>
        <w:jc w:val="right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Таблиця </w:t>
      </w:r>
      <w:r>
        <w:rPr>
          <w:sz w:val="28"/>
          <w:szCs w:val="28"/>
          <w:lang w:val="uk-UA"/>
        </w:rPr>
        <w:t>2</w:t>
      </w:r>
    </w:p>
    <w:p w:rsidR="003B05B6" w:rsidRPr="004C6D3F" w:rsidRDefault="003B05B6" w:rsidP="003B05B6">
      <w:pPr>
        <w:spacing w:line="264" w:lineRule="auto"/>
        <w:jc w:val="center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Середні дози карведилолу та еналаприлу</w:t>
      </w:r>
      <w:r>
        <w:rPr>
          <w:sz w:val="28"/>
          <w:szCs w:val="28"/>
          <w:lang w:val="uk-UA"/>
        </w:rPr>
        <w:t>,</w:t>
      </w:r>
      <w:r w:rsidRPr="004C6D3F">
        <w:rPr>
          <w:sz w:val="28"/>
          <w:szCs w:val="28"/>
          <w:lang w:val="uk-UA"/>
        </w:rPr>
        <w:t xml:space="preserve"> та співвідношення хворих в групах КОР та Н</w:t>
      </w:r>
      <w:r w:rsidRPr="004C6D3F">
        <w:rPr>
          <w:sz w:val="28"/>
          <w:szCs w:val="28"/>
          <w:lang w:val="uk-UA"/>
        </w:rPr>
        <w:t>Е</w:t>
      </w:r>
      <w:r w:rsidRPr="004C6D3F">
        <w:rPr>
          <w:sz w:val="28"/>
          <w:szCs w:val="28"/>
          <w:lang w:val="uk-UA"/>
        </w:rPr>
        <w:t>КОР, які досягли цільових доз препаратів на етапах дослідження.</w:t>
      </w:r>
    </w:p>
    <w:tbl>
      <w:tblPr>
        <w:tblStyle w:val="ae"/>
        <w:tblW w:w="10368" w:type="dxa"/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1800"/>
        <w:gridCol w:w="1620"/>
        <w:gridCol w:w="2520"/>
        <w:gridCol w:w="2160"/>
      </w:tblGrid>
      <w:tr w:rsidR="003B05B6" w:rsidRPr="004C6D3F" w:rsidTr="0077257F">
        <w:tc>
          <w:tcPr>
            <w:tcW w:w="1188" w:type="dxa"/>
            <w:vMerge w:val="restart"/>
            <w:vAlign w:val="center"/>
          </w:tcPr>
          <w:p w:rsidR="003B05B6" w:rsidRPr="00C562E6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uk-UA"/>
              </w:rPr>
            </w:pPr>
            <w:r w:rsidRPr="00C562E6">
              <w:rPr>
                <w:sz w:val="27"/>
                <w:szCs w:val="27"/>
                <w:lang w:val="uk-UA"/>
              </w:rPr>
              <w:t>Групи</w:t>
            </w:r>
          </w:p>
        </w:tc>
        <w:tc>
          <w:tcPr>
            <w:tcW w:w="1080" w:type="dxa"/>
            <w:vMerge w:val="restart"/>
            <w:vAlign w:val="center"/>
          </w:tcPr>
          <w:p w:rsidR="003B05B6" w:rsidRPr="00C562E6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uk-UA"/>
              </w:rPr>
            </w:pPr>
            <w:r w:rsidRPr="00C562E6">
              <w:rPr>
                <w:sz w:val="27"/>
                <w:szCs w:val="27"/>
                <w:lang w:val="uk-UA"/>
              </w:rPr>
              <w:t>Етапи</w:t>
            </w:r>
          </w:p>
        </w:tc>
        <w:tc>
          <w:tcPr>
            <w:tcW w:w="8100" w:type="dxa"/>
            <w:gridSpan w:val="4"/>
          </w:tcPr>
          <w:p w:rsidR="003B05B6" w:rsidRPr="00C562E6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uk-UA"/>
              </w:rPr>
            </w:pPr>
            <w:r w:rsidRPr="00C562E6">
              <w:rPr>
                <w:sz w:val="27"/>
                <w:szCs w:val="27"/>
                <w:lang w:val="uk-UA"/>
              </w:rPr>
              <w:t>Показники</w:t>
            </w:r>
          </w:p>
        </w:tc>
      </w:tr>
      <w:tr w:rsidR="003B05B6" w:rsidRPr="004C6D3F" w:rsidTr="0077257F">
        <w:tc>
          <w:tcPr>
            <w:tcW w:w="1188" w:type="dxa"/>
            <w:vMerge/>
          </w:tcPr>
          <w:p w:rsidR="003B05B6" w:rsidRPr="00C562E6" w:rsidRDefault="003B05B6" w:rsidP="007725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1080" w:type="dxa"/>
            <w:vMerge/>
          </w:tcPr>
          <w:p w:rsidR="003B05B6" w:rsidRPr="00C562E6" w:rsidRDefault="003B05B6" w:rsidP="007725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1800" w:type="dxa"/>
          </w:tcPr>
          <w:p w:rsidR="003B05B6" w:rsidRPr="00C562E6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562E6">
              <w:rPr>
                <w:sz w:val="28"/>
                <w:szCs w:val="28"/>
                <w:lang w:val="uk-UA"/>
              </w:rPr>
              <w:t xml:space="preserve">Доза </w:t>
            </w:r>
            <w:r w:rsidRPr="00C562E6">
              <w:rPr>
                <w:sz w:val="28"/>
                <w:szCs w:val="28"/>
                <w:lang w:val="uk-UA"/>
              </w:rPr>
              <w:lastRenderedPageBreak/>
              <w:t>карв</w:t>
            </w:r>
            <w:r w:rsidRPr="00C562E6">
              <w:rPr>
                <w:sz w:val="28"/>
                <w:szCs w:val="28"/>
                <w:lang w:val="uk-UA"/>
              </w:rPr>
              <w:t>е</w:t>
            </w:r>
            <w:r w:rsidRPr="00C562E6">
              <w:rPr>
                <w:sz w:val="28"/>
                <w:szCs w:val="28"/>
                <w:lang w:val="uk-UA"/>
              </w:rPr>
              <w:t>дилолу мг/добу</w:t>
            </w:r>
          </w:p>
        </w:tc>
        <w:tc>
          <w:tcPr>
            <w:tcW w:w="1620" w:type="dxa"/>
          </w:tcPr>
          <w:p w:rsidR="003B05B6" w:rsidRPr="00C562E6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562E6">
              <w:rPr>
                <w:sz w:val="28"/>
                <w:szCs w:val="28"/>
                <w:lang w:val="uk-UA"/>
              </w:rPr>
              <w:lastRenderedPageBreak/>
              <w:t xml:space="preserve">Доза </w:t>
            </w:r>
            <w:r w:rsidRPr="00C562E6">
              <w:rPr>
                <w:sz w:val="28"/>
                <w:szCs w:val="28"/>
                <w:lang w:val="uk-UA"/>
              </w:rPr>
              <w:lastRenderedPageBreak/>
              <w:t>енала</w:t>
            </w:r>
            <w:r w:rsidRPr="00C562E6">
              <w:rPr>
                <w:sz w:val="28"/>
                <w:szCs w:val="28"/>
                <w:lang w:val="uk-UA"/>
              </w:rPr>
              <w:t>п</w:t>
            </w:r>
            <w:r w:rsidRPr="00C562E6">
              <w:rPr>
                <w:sz w:val="28"/>
                <w:szCs w:val="28"/>
                <w:lang w:val="uk-UA"/>
              </w:rPr>
              <w:t>рилу мг/добу</w:t>
            </w:r>
          </w:p>
        </w:tc>
        <w:tc>
          <w:tcPr>
            <w:tcW w:w="2520" w:type="dxa"/>
          </w:tcPr>
          <w:p w:rsidR="003B05B6" w:rsidRPr="00C562E6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562E6">
              <w:rPr>
                <w:sz w:val="28"/>
                <w:szCs w:val="28"/>
                <w:lang w:val="uk-UA"/>
              </w:rPr>
              <w:lastRenderedPageBreak/>
              <w:t xml:space="preserve">Частка хворих, що </w:t>
            </w:r>
            <w:r w:rsidRPr="00C562E6">
              <w:rPr>
                <w:sz w:val="28"/>
                <w:szCs w:val="28"/>
                <w:lang w:val="uk-UA"/>
              </w:rPr>
              <w:lastRenderedPageBreak/>
              <w:t>досягли цільової дози карведилолу, %</w:t>
            </w:r>
          </w:p>
        </w:tc>
        <w:tc>
          <w:tcPr>
            <w:tcW w:w="2160" w:type="dxa"/>
          </w:tcPr>
          <w:p w:rsidR="003B05B6" w:rsidRPr="00C562E6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562E6">
              <w:rPr>
                <w:sz w:val="28"/>
                <w:szCs w:val="28"/>
                <w:lang w:val="uk-UA"/>
              </w:rPr>
              <w:lastRenderedPageBreak/>
              <w:t xml:space="preserve">Частка хворих, </w:t>
            </w:r>
            <w:r w:rsidRPr="00C562E6">
              <w:rPr>
                <w:sz w:val="28"/>
                <w:szCs w:val="28"/>
                <w:lang w:val="uk-UA"/>
              </w:rPr>
              <w:lastRenderedPageBreak/>
              <w:t>що досягли цільової дози еналаприлу, %</w:t>
            </w:r>
          </w:p>
        </w:tc>
      </w:tr>
      <w:tr w:rsidR="003B05B6" w:rsidRPr="004C6D3F" w:rsidTr="0077257F">
        <w:tc>
          <w:tcPr>
            <w:tcW w:w="1188" w:type="dxa"/>
            <w:vMerge w:val="restart"/>
            <w:vAlign w:val="center"/>
          </w:tcPr>
          <w:p w:rsidR="003B05B6" w:rsidRPr="004C6D3F" w:rsidRDefault="003B05B6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lastRenderedPageBreak/>
              <w:t>НЕКОР (n=82)</w:t>
            </w:r>
          </w:p>
        </w:tc>
        <w:tc>
          <w:tcPr>
            <w:tcW w:w="108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80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51,26±1,19</w:t>
            </w:r>
          </w:p>
        </w:tc>
        <w:tc>
          <w:tcPr>
            <w:tcW w:w="1620" w:type="dxa"/>
          </w:tcPr>
          <w:p w:rsidR="003B05B6" w:rsidRPr="004C6D3F" w:rsidRDefault="003B05B6" w:rsidP="0077257F">
            <w:pPr>
              <w:jc w:val="center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en-US"/>
              </w:rPr>
              <w:t>13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82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sz w:val="28"/>
                <w:szCs w:val="28"/>
                <w:lang w:val="en-US"/>
              </w:rPr>
              <w:t>0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252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91,67</w:t>
            </w:r>
          </w:p>
        </w:tc>
        <w:tc>
          <w:tcPr>
            <w:tcW w:w="216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31,48</w:t>
            </w:r>
          </w:p>
        </w:tc>
      </w:tr>
      <w:tr w:rsidR="003B05B6" w:rsidRPr="004C6D3F" w:rsidTr="0077257F">
        <w:tc>
          <w:tcPr>
            <w:tcW w:w="1188" w:type="dxa"/>
            <w:vMerge/>
            <w:vAlign w:val="center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80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92,33±2,62</w:t>
            </w:r>
          </w:p>
        </w:tc>
        <w:tc>
          <w:tcPr>
            <w:tcW w:w="1620" w:type="dxa"/>
          </w:tcPr>
          <w:p w:rsidR="003B05B6" w:rsidRPr="004C6D3F" w:rsidRDefault="003B05B6" w:rsidP="0077257F">
            <w:pPr>
              <w:jc w:val="center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en-US"/>
              </w:rPr>
              <w:t>15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41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sz w:val="28"/>
                <w:szCs w:val="28"/>
                <w:lang w:val="en-US"/>
              </w:rPr>
              <w:t>0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252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77,50</w:t>
            </w:r>
          </w:p>
        </w:tc>
        <w:tc>
          <w:tcPr>
            <w:tcW w:w="216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46,51</w:t>
            </w:r>
          </w:p>
        </w:tc>
      </w:tr>
      <w:tr w:rsidR="003B05B6" w:rsidRPr="004C6D3F" w:rsidTr="0077257F">
        <w:tc>
          <w:tcPr>
            <w:tcW w:w="1188" w:type="dxa"/>
            <w:vMerge/>
            <w:vAlign w:val="center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80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91,47±3,30</w:t>
            </w:r>
          </w:p>
        </w:tc>
        <w:tc>
          <w:tcPr>
            <w:tcW w:w="1620" w:type="dxa"/>
          </w:tcPr>
          <w:p w:rsidR="003B05B6" w:rsidRPr="004C6D3F" w:rsidRDefault="003B05B6" w:rsidP="0077257F">
            <w:pPr>
              <w:jc w:val="center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en-US"/>
              </w:rPr>
              <w:t>18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23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sz w:val="28"/>
                <w:szCs w:val="28"/>
                <w:lang w:val="en-US"/>
              </w:rPr>
              <w:t>0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252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73,08</w:t>
            </w:r>
          </w:p>
        </w:tc>
        <w:tc>
          <w:tcPr>
            <w:tcW w:w="216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74,19</w:t>
            </w:r>
          </w:p>
        </w:tc>
      </w:tr>
      <w:tr w:rsidR="003B05B6" w:rsidRPr="004C6D3F" w:rsidTr="0077257F">
        <w:tc>
          <w:tcPr>
            <w:tcW w:w="1188" w:type="dxa"/>
            <w:vMerge w:val="restart"/>
            <w:vAlign w:val="center"/>
          </w:tcPr>
          <w:p w:rsidR="003B05B6" w:rsidRPr="004C6D3F" w:rsidRDefault="003B05B6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КОР (n=23)</w:t>
            </w:r>
          </w:p>
        </w:tc>
        <w:tc>
          <w:tcPr>
            <w:tcW w:w="108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80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50,00±0,00</w:t>
            </w:r>
          </w:p>
        </w:tc>
        <w:tc>
          <w:tcPr>
            <w:tcW w:w="1620" w:type="dxa"/>
          </w:tcPr>
          <w:p w:rsidR="003B05B6" w:rsidRPr="004C6D3F" w:rsidRDefault="003B05B6" w:rsidP="0077257F">
            <w:pPr>
              <w:jc w:val="center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en-US"/>
              </w:rPr>
              <w:t>17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86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sz w:val="28"/>
                <w:szCs w:val="28"/>
                <w:lang w:val="en-US"/>
              </w:rPr>
              <w:t>4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252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100,00</w:t>
            </w:r>
          </w:p>
        </w:tc>
        <w:tc>
          <w:tcPr>
            <w:tcW w:w="216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50,00</w:t>
            </w:r>
          </w:p>
        </w:tc>
      </w:tr>
      <w:tr w:rsidR="003B05B6" w:rsidRPr="004C6D3F" w:rsidTr="0077257F">
        <w:tc>
          <w:tcPr>
            <w:tcW w:w="1188" w:type="dxa"/>
            <w:vMerge/>
            <w:vAlign w:val="center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80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95,83±4,17</w:t>
            </w:r>
          </w:p>
        </w:tc>
        <w:tc>
          <w:tcPr>
            <w:tcW w:w="1620" w:type="dxa"/>
          </w:tcPr>
          <w:p w:rsidR="003B05B6" w:rsidRPr="004C6D3F" w:rsidRDefault="003B05B6" w:rsidP="0077257F">
            <w:pPr>
              <w:jc w:val="center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en-US"/>
              </w:rPr>
              <w:t>20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15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sz w:val="28"/>
                <w:szCs w:val="28"/>
                <w:lang w:val="en-US"/>
              </w:rPr>
              <w:t>0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252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66,67</w:t>
            </w:r>
          </w:p>
        </w:tc>
        <w:tc>
          <w:tcPr>
            <w:tcW w:w="216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100,00</w:t>
            </w:r>
          </w:p>
        </w:tc>
      </w:tr>
      <w:tr w:rsidR="003B05B6" w:rsidRPr="004C6D3F" w:rsidTr="0077257F">
        <w:tc>
          <w:tcPr>
            <w:tcW w:w="1188" w:type="dxa"/>
            <w:vMerge/>
            <w:vAlign w:val="center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80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93,75±6,25</w:t>
            </w:r>
          </w:p>
        </w:tc>
        <w:tc>
          <w:tcPr>
            <w:tcW w:w="1620" w:type="dxa"/>
          </w:tcPr>
          <w:p w:rsidR="003B05B6" w:rsidRPr="004C6D3F" w:rsidRDefault="003B05B6" w:rsidP="0077257F">
            <w:pPr>
              <w:jc w:val="center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en-US"/>
              </w:rPr>
              <w:t>20</w:t>
            </w:r>
            <w:r w:rsidRPr="004C6D3F">
              <w:rPr>
                <w:sz w:val="28"/>
                <w:szCs w:val="28"/>
                <w:lang w:val="uk-UA"/>
              </w:rPr>
              <w:t>,00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sz w:val="28"/>
                <w:szCs w:val="28"/>
                <w:lang w:val="en-US"/>
              </w:rPr>
              <w:t>0</w:t>
            </w:r>
            <w:r w:rsidRPr="004C6D3F"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252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75,00</w:t>
            </w:r>
          </w:p>
        </w:tc>
        <w:tc>
          <w:tcPr>
            <w:tcW w:w="216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100,00</w:t>
            </w:r>
          </w:p>
        </w:tc>
      </w:tr>
    </w:tbl>
    <w:p w:rsidR="003B05B6" w:rsidRPr="00C562E6" w:rsidRDefault="003B05B6" w:rsidP="003B05B6">
      <w:pPr>
        <w:widowControl w:val="0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C562E6">
        <w:rPr>
          <w:sz w:val="28"/>
          <w:szCs w:val="28"/>
          <w:lang w:val="uk-UA"/>
        </w:rPr>
        <w:t xml:space="preserve">орівняльний аналіз показав, що під впливом </w:t>
      </w:r>
      <w:r>
        <w:rPr>
          <w:sz w:val="28"/>
          <w:szCs w:val="28"/>
          <w:lang w:val="uk-UA"/>
        </w:rPr>
        <w:t xml:space="preserve">застосованої </w:t>
      </w:r>
      <w:r w:rsidRPr="00C562E6">
        <w:rPr>
          <w:sz w:val="28"/>
          <w:szCs w:val="28"/>
          <w:lang w:val="uk-UA"/>
        </w:rPr>
        <w:t xml:space="preserve">синдромальної терапії в обох групах КОР і НЕКОР відбувалось значне покращення ФК пацієнтів, зниження потреби в діуретиках та </w:t>
      </w:r>
      <w:r w:rsidRPr="00BB3CAD">
        <w:rPr>
          <w:sz w:val="28"/>
          <w:szCs w:val="28"/>
          <w:lang w:val="uk-UA"/>
        </w:rPr>
        <w:t>уповільнення</w:t>
      </w:r>
      <w:r>
        <w:rPr>
          <w:sz w:val="28"/>
          <w:szCs w:val="28"/>
          <w:lang w:val="uk-UA"/>
        </w:rPr>
        <w:t xml:space="preserve"> </w:t>
      </w:r>
      <w:r w:rsidRPr="00C562E6">
        <w:rPr>
          <w:sz w:val="28"/>
          <w:szCs w:val="28"/>
          <w:lang w:val="uk-UA"/>
        </w:rPr>
        <w:t xml:space="preserve">ЧСС. </w:t>
      </w:r>
      <w:r>
        <w:rPr>
          <w:sz w:val="28"/>
          <w:szCs w:val="28"/>
          <w:lang w:val="uk-UA"/>
        </w:rPr>
        <w:t xml:space="preserve">В жодній з груп не спостерігалося зниження рівня АТ. </w:t>
      </w:r>
      <w:r w:rsidRPr="00BB3CAD">
        <w:rPr>
          <w:sz w:val="28"/>
          <w:szCs w:val="28"/>
          <w:lang w:val="uk-UA"/>
        </w:rPr>
        <w:t>Більше</w:t>
      </w:r>
      <w:r>
        <w:rPr>
          <w:sz w:val="28"/>
          <w:szCs w:val="28"/>
          <w:lang w:val="uk-UA"/>
        </w:rPr>
        <w:t xml:space="preserve"> того, </w:t>
      </w:r>
      <w:r w:rsidRPr="00C562E6">
        <w:rPr>
          <w:sz w:val="28"/>
          <w:szCs w:val="28"/>
          <w:lang w:val="uk-UA"/>
        </w:rPr>
        <w:t>у хворих групи НЕКОР застосована тер</w:t>
      </w:r>
      <w:r w:rsidRPr="00C562E6">
        <w:rPr>
          <w:sz w:val="28"/>
          <w:szCs w:val="28"/>
          <w:lang w:val="uk-UA"/>
        </w:rPr>
        <w:t>а</w:t>
      </w:r>
      <w:r w:rsidRPr="00C562E6">
        <w:rPr>
          <w:sz w:val="28"/>
          <w:szCs w:val="28"/>
          <w:lang w:val="uk-UA"/>
        </w:rPr>
        <w:t>пія призводила до достовірного підвищення рівня САТ на IV етапі</w:t>
      </w:r>
      <w:r>
        <w:rPr>
          <w:sz w:val="28"/>
          <w:szCs w:val="28"/>
          <w:lang w:val="uk-UA"/>
        </w:rPr>
        <w:t xml:space="preserve"> </w:t>
      </w:r>
      <w:r w:rsidRPr="00C562E6">
        <w:rPr>
          <w:sz w:val="28"/>
          <w:szCs w:val="28"/>
          <w:lang w:val="uk-UA"/>
        </w:rPr>
        <w:t>(табл.</w:t>
      </w:r>
      <w:r>
        <w:rPr>
          <w:sz w:val="28"/>
          <w:szCs w:val="28"/>
          <w:lang w:val="uk-UA"/>
        </w:rPr>
        <w:t>3</w:t>
      </w:r>
      <w:r w:rsidRPr="00C562E6">
        <w:rPr>
          <w:sz w:val="28"/>
          <w:szCs w:val="28"/>
          <w:lang w:val="uk-UA"/>
        </w:rPr>
        <w:t>).</w:t>
      </w:r>
    </w:p>
    <w:p w:rsidR="003B05B6" w:rsidRPr="004C6D3F" w:rsidRDefault="003B05B6" w:rsidP="003B05B6">
      <w:pPr>
        <w:widowControl w:val="0"/>
        <w:autoSpaceDE w:val="0"/>
        <w:autoSpaceDN w:val="0"/>
        <w:adjustRightInd w:val="0"/>
        <w:spacing w:line="264" w:lineRule="auto"/>
        <w:ind w:firstLine="567"/>
        <w:jc w:val="right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Таблиця </w:t>
      </w:r>
      <w:r>
        <w:rPr>
          <w:sz w:val="28"/>
          <w:szCs w:val="28"/>
          <w:lang w:val="uk-UA"/>
        </w:rPr>
        <w:t>3</w:t>
      </w:r>
    </w:p>
    <w:p w:rsidR="003B05B6" w:rsidRPr="004C6D3F" w:rsidRDefault="003B05B6" w:rsidP="003B05B6">
      <w:pPr>
        <w:spacing w:line="264" w:lineRule="auto"/>
        <w:jc w:val="center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Динаміка клінічних показників в групах КОР та НЕКОР на етапах дослідження.</w:t>
      </w:r>
    </w:p>
    <w:tbl>
      <w:tblPr>
        <w:tblStyle w:val="ae"/>
        <w:tblW w:w="0" w:type="auto"/>
        <w:tblInd w:w="468" w:type="dxa"/>
        <w:tblLook w:val="01E0" w:firstRow="1" w:lastRow="1" w:firstColumn="1" w:lastColumn="1" w:noHBand="0" w:noVBand="0"/>
      </w:tblPr>
      <w:tblGrid>
        <w:gridCol w:w="1143"/>
        <w:gridCol w:w="957"/>
        <w:gridCol w:w="1510"/>
        <w:gridCol w:w="1858"/>
        <w:gridCol w:w="1639"/>
        <w:gridCol w:w="1770"/>
      </w:tblGrid>
      <w:tr w:rsidR="003B05B6" w:rsidRPr="004C6D3F" w:rsidTr="0077257F">
        <w:tc>
          <w:tcPr>
            <w:tcW w:w="1188" w:type="dxa"/>
            <w:vMerge w:val="restart"/>
            <w:vAlign w:val="center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1080" w:type="dxa"/>
            <w:vMerge w:val="restart"/>
            <w:vAlign w:val="center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Етапи</w:t>
            </w:r>
          </w:p>
        </w:tc>
        <w:tc>
          <w:tcPr>
            <w:tcW w:w="7420" w:type="dxa"/>
            <w:gridSpan w:val="4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Показники</w:t>
            </w:r>
          </w:p>
        </w:tc>
      </w:tr>
      <w:tr w:rsidR="003B05B6" w:rsidRPr="004C6D3F" w:rsidTr="0077257F">
        <w:tc>
          <w:tcPr>
            <w:tcW w:w="1188" w:type="dxa"/>
            <w:vMerge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ФК, умов.од.</w:t>
            </w:r>
          </w:p>
        </w:tc>
        <w:tc>
          <w:tcPr>
            <w:tcW w:w="2340" w:type="dxa"/>
          </w:tcPr>
          <w:p w:rsidR="003B05B6" w:rsidRPr="004C6D3F" w:rsidRDefault="003B05B6" w:rsidP="0077257F">
            <w:pPr>
              <w:widowControl w:val="0"/>
              <w:tabs>
                <w:tab w:val="left" w:pos="23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 xml:space="preserve">Доза </w:t>
            </w:r>
            <w:r>
              <w:rPr>
                <w:sz w:val="28"/>
                <w:szCs w:val="28"/>
                <w:lang w:val="uk-UA"/>
              </w:rPr>
              <w:t>фуросеміду</w:t>
            </w:r>
            <w:r w:rsidRPr="004C6D3F">
              <w:rPr>
                <w:sz w:val="28"/>
                <w:szCs w:val="28"/>
                <w:lang w:val="uk-UA"/>
              </w:rPr>
              <w:t>, мг/тиж</w:t>
            </w:r>
          </w:p>
        </w:tc>
        <w:tc>
          <w:tcPr>
            <w:tcW w:w="169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ЧСС,  уд./хв.</w:t>
            </w:r>
          </w:p>
        </w:tc>
        <w:tc>
          <w:tcPr>
            <w:tcW w:w="1770" w:type="dxa"/>
          </w:tcPr>
          <w:p w:rsidR="003B05B6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САТ,</w:t>
            </w:r>
          </w:p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мм рт.ст.</w:t>
            </w:r>
          </w:p>
        </w:tc>
      </w:tr>
      <w:tr w:rsidR="003B05B6" w:rsidRPr="004C6D3F" w:rsidTr="0077257F">
        <w:tc>
          <w:tcPr>
            <w:tcW w:w="1188" w:type="dxa"/>
            <w:vMerge w:val="restart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НЕКОР (n=82)</w:t>
            </w:r>
          </w:p>
        </w:tc>
        <w:tc>
          <w:tcPr>
            <w:tcW w:w="108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62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2,67±0,05</w:t>
            </w:r>
          </w:p>
        </w:tc>
        <w:tc>
          <w:tcPr>
            <w:tcW w:w="2340" w:type="dxa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uk-UA"/>
              </w:rPr>
              <w:t>158</w:t>
            </w:r>
            <w:r w:rsidRPr="004C6D3F">
              <w:rPr>
                <w:sz w:val="28"/>
                <w:szCs w:val="28"/>
              </w:rPr>
              <w:t>,</w:t>
            </w:r>
            <w:r w:rsidRPr="004C6D3F">
              <w:rPr>
                <w:sz w:val="28"/>
                <w:szCs w:val="28"/>
                <w:lang w:val="uk-UA"/>
              </w:rPr>
              <w:t>06±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1</w:t>
            </w:r>
            <w:r w:rsidRPr="004C6D3F">
              <w:rPr>
                <w:rFonts w:cs="Symbol"/>
                <w:sz w:val="28"/>
                <w:szCs w:val="28"/>
              </w:rPr>
              <w:t>,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64</w:t>
            </w:r>
          </w:p>
        </w:tc>
        <w:tc>
          <w:tcPr>
            <w:tcW w:w="1690" w:type="dxa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80,29±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1,64</w:t>
            </w:r>
          </w:p>
        </w:tc>
        <w:tc>
          <w:tcPr>
            <w:tcW w:w="1770" w:type="dxa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112,10±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1,69</w:t>
            </w:r>
          </w:p>
        </w:tc>
      </w:tr>
      <w:tr w:rsidR="003B05B6" w:rsidRPr="004C6D3F" w:rsidTr="0077257F">
        <w:tc>
          <w:tcPr>
            <w:tcW w:w="1188" w:type="dxa"/>
            <w:vMerge/>
            <w:vAlign w:val="center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1,61±0,08*</w:t>
            </w:r>
          </w:p>
        </w:tc>
        <w:tc>
          <w:tcPr>
            <w:tcW w:w="2340" w:type="dxa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uk-UA"/>
              </w:rPr>
              <w:t>131</w:t>
            </w:r>
            <w:r w:rsidRPr="004C6D3F">
              <w:rPr>
                <w:sz w:val="28"/>
                <w:szCs w:val="28"/>
              </w:rPr>
              <w:t>,</w:t>
            </w:r>
            <w:r w:rsidRPr="004C6D3F">
              <w:rPr>
                <w:sz w:val="28"/>
                <w:szCs w:val="28"/>
                <w:lang w:val="uk-UA"/>
              </w:rPr>
              <w:t>14±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19</w:t>
            </w:r>
            <w:r w:rsidRPr="004C6D3F">
              <w:rPr>
                <w:rFonts w:cs="Symbol"/>
                <w:sz w:val="28"/>
                <w:szCs w:val="28"/>
              </w:rPr>
              <w:t>,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60</w:t>
            </w:r>
          </w:p>
        </w:tc>
        <w:tc>
          <w:tcPr>
            <w:tcW w:w="1690" w:type="dxa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71,09±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1,84*</w:t>
            </w:r>
          </w:p>
        </w:tc>
        <w:tc>
          <w:tcPr>
            <w:tcW w:w="1770" w:type="dxa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116,86±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2,53</w:t>
            </w:r>
          </w:p>
        </w:tc>
      </w:tr>
      <w:tr w:rsidR="003B05B6" w:rsidRPr="004C6D3F" w:rsidTr="0077257F">
        <w:tc>
          <w:tcPr>
            <w:tcW w:w="1188" w:type="dxa"/>
            <w:vMerge/>
            <w:vAlign w:val="center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62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1,21±0,06*</w:t>
            </w:r>
          </w:p>
        </w:tc>
        <w:tc>
          <w:tcPr>
            <w:tcW w:w="2340" w:type="dxa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uk-UA"/>
              </w:rPr>
              <w:t>111</w:t>
            </w:r>
            <w:r w:rsidRPr="004C6D3F">
              <w:rPr>
                <w:sz w:val="28"/>
                <w:szCs w:val="28"/>
              </w:rPr>
              <w:t>,</w:t>
            </w:r>
            <w:r w:rsidRPr="004C6D3F">
              <w:rPr>
                <w:sz w:val="28"/>
                <w:szCs w:val="28"/>
                <w:lang w:val="uk-UA"/>
              </w:rPr>
              <w:t>76±</w:t>
            </w:r>
            <w:r w:rsidRPr="004C6D3F">
              <w:rPr>
                <w:rFonts w:cs="Symbol"/>
                <w:sz w:val="28"/>
                <w:szCs w:val="28"/>
              </w:rPr>
              <w:t xml:space="preserve"> 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0</w:t>
            </w:r>
            <w:r w:rsidRPr="004C6D3F">
              <w:rPr>
                <w:rFonts w:cs="Symbol"/>
                <w:sz w:val="28"/>
                <w:szCs w:val="28"/>
              </w:rPr>
              <w:t>,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92</w:t>
            </w:r>
          </w:p>
        </w:tc>
        <w:tc>
          <w:tcPr>
            <w:tcW w:w="1690" w:type="dxa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70,06±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1,67*</w:t>
            </w:r>
          </w:p>
        </w:tc>
        <w:tc>
          <w:tcPr>
            <w:tcW w:w="1770" w:type="dxa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116,36±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2,00</w:t>
            </w:r>
          </w:p>
        </w:tc>
      </w:tr>
      <w:tr w:rsidR="003B05B6" w:rsidRPr="004C6D3F" w:rsidTr="0077257F">
        <w:tc>
          <w:tcPr>
            <w:tcW w:w="1188" w:type="dxa"/>
            <w:vMerge/>
            <w:vAlign w:val="center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62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1,16±0,07*</w:t>
            </w:r>
          </w:p>
        </w:tc>
        <w:tc>
          <w:tcPr>
            <w:tcW w:w="2340" w:type="dxa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uk-UA"/>
              </w:rPr>
              <w:t>71</w:t>
            </w:r>
            <w:r w:rsidRPr="004C6D3F">
              <w:rPr>
                <w:sz w:val="28"/>
                <w:szCs w:val="28"/>
              </w:rPr>
              <w:t>,</w:t>
            </w:r>
            <w:r w:rsidRPr="004C6D3F">
              <w:rPr>
                <w:sz w:val="28"/>
                <w:szCs w:val="28"/>
                <w:lang w:val="uk-UA"/>
              </w:rPr>
              <w:t>54±</w:t>
            </w:r>
            <w:r w:rsidRPr="004C6D3F">
              <w:rPr>
                <w:rFonts w:cs="Symbol"/>
                <w:sz w:val="28"/>
                <w:szCs w:val="28"/>
              </w:rPr>
              <w:t xml:space="preserve"> 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4</w:t>
            </w:r>
            <w:r w:rsidRPr="004C6D3F">
              <w:rPr>
                <w:rFonts w:cs="Symbol"/>
                <w:sz w:val="28"/>
                <w:szCs w:val="28"/>
              </w:rPr>
              <w:t>,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93*</w:t>
            </w:r>
          </w:p>
        </w:tc>
        <w:tc>
          <w:tcPr>
            <w:tcW w:w="1690" w:type="dxa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uk-UA"/>
              </w:rPr>
              <w:t>67</w:t>
            </w:r>
            <w:r w:rsidRPr="004C6D3F">
              <w:rPr>
                <w:sz w:val="28"/>
                <w:szCs w:val="28"/>
              </w:rPr>
              <w:t>,</w:t>
            </w:r>
            <w:r w:rsidRPr="004C6D3F">
              <w:rPr>
                <w:sz w:val="28"/>
                <w:szCs w:val="28"/>
                <w:lang w:val="uk-UA"/>
              </w:rPr>
              <w:t>90±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2</w:t>
            </w:r>
            <w:r w:rsidRPr="004C6D3F">
              <w:rPr>
                <w:rFonts w:cs="Symbol"/>
                <w:sz w:val="28"/>
                <w:szCs w:val="28"/>
              </w:rPr>
              <w:t>,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07*</w:t>
            </w:r>
          </w:p>
        </w:tc>
        <w:tc>
          <w:tcPr>
            <w:tcW w:w="1770" w:type="dxa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uk-UA"/>
              </w:rPr>
              <w:t>120</w:t>
            </w:r>
            <w:r w:rsidRPr="004C6D3F">
              <w:rPr>
                <w:sz w:val="28"/>
                <w:szCs w:val="28"/>
              </w:rPr>
              <w:t>,</w:t>
            </w:r>
            <w:r w:rsidRPr="004C6D3F">
              <w:rPr>
                <w:sz w:val="28"/>
                <w:szCs w:val="28"/>
                <w:lang w:val="uk-UA"/>
              </w:rPr>
              <w:t>58±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2</w:t>
            </w:r>
            <w:r w:rsidRPr="004C6D3F">
              <w:rPr>
                <w:rFonts w:cs="Symbol"/>
                <w:sz w:val="28"/>
                <w:szCs w:val="28"/>
              </w:rPr>
              <w:t>,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79*</w:t>
            </w:r>
          </w:p>
        </w:tc>
      </w:tr>
      <w:tr w:rsidR="003B05B6" w:rsidRPr="004C6D3F" w:rsidTr="0077257F">
        <w:tc>
          <w:tcPr>
            <w:tcW w:w="1188" w:type="dxa"/>
            <w:vMerge w:val="restart"/>
            <w:vAlign w:val="center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КОР (n=23)</w:t>
            </w:r>
          </w:p>
        </w:tc>
        <w:tc>
          <w:tcPr>
            <w:tcW w:w="108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62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2,57±0,11</w:t>
            </w:r>
          </w:p>
        </w:tc>
        <w:tc>
          <w:tcPr>
            <w:tcW w:w="2340" w:type="dxa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uk-UA"/>
              </w:rPr>
              <w:t>138</w:t>
            </w:r>
            <w:r w:rsidRPr="004C6D3F">
              <w:rPr>
                <w:sz w:val="28"/>
                <w:szCs w:val="28"/>
              </w:rPr>
              <w:t>,</w:t>
            </w:r>
            <w:r w:rsidRPr="004C6D3F">
              <w:rPr>
                <w:sz w:val="28"/>
                <w:szCs w:val="28"/>
                <w:lang w:val="uk-UA"/>
              </w:rPr>
              <w:t>89±</w:t>
            </w:r>
            <w:r w:rsidRPr="004C6D3F">
              <w:rPr>
                <w:rFonts w:cs="Symbol"/>
                <w:sz w:val="28"/>
                <w:szCs w:val="28"/>
              </w:rPr>
              <w:t xml:space="preserve"> 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7</w:t>
            </w:r>
            <w:r w:rsidRPr="004C6D3F">
              <w:rPr>
                <w:rFonts w:cs="Symbol"/>
                <w:sz w:val="28"/>
                <w:szCs w:val="28"/>
              </w:rPr>
              <w:t>,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43</w:t>
            </w:r>
          </w:p>
        </w:tc>
        <w:tc>
          <w:tcPr>
            <w:tcW w:w="1690" w:type="dxa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75,00±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3,51</w:t>
            </w:r>
          </w:p>
        </w:tc>
        <w:tc>
          <w:tcPr>
            <w:tcW w:w="1770" w:type="dxa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122,92±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3,40</w:t>
            </w:r>
          </w:p>
        </w:tc>
      </w:tr>
      <w:tr w:rsidR="003B05B6" w:rsidRPr="004C6D3F" w:rsidTr="0077257F">
        <w:tc>
          <w:tcPr>
            <w:tcW w:w="1188" w:type="dxa"/>
            <w:vMerge/>
            <w:vAlign w:val="center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1,75±0,25*</w:t>
            </w:r>
          </w:p>
        </w:tc>
        <w:tc>
          <w:tcPr>
            <w:tcW w:w="2340" w:type="dxa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uk-UA"/>
              </w:rPr>
              <w:t>160</w:t>
            </w:r>
            <w:r w:rsidRPr="004C6D3F">
              <w:rPr>
                <w:sz w:val="28"/>
                <w:szCs w:val="28"/>
              </w:rPr>
              <w:t>,</w:t>
            </w:r>
            <w:r w:rsidRPr="004C6D3F">
              <w:rPr>
                <w:sz w:val="28"/>
                <w:szCs w:val="28"/>
                <w:lang w:val="uk-UA"/>
              </w:rPr>
              <w:t>00±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61</w:t>
            </w:r>
            <w:r w:rsidRPr="004C6D3F">
              <w:rPr>
                <w:rFonts w:cs="Symbol"/>
                <w:sz w:val="28"/>
                <w:szCs w:val="28"/>
              </w:rPr>
              <w:t>,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10</w:t>
            </w:r>
          </w:p>
        </w:tc>
        <w:tc>
          <w:tcPr>
            <w:tcW w:w="1690" w:type="dxa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66,25±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3,94</w:t>
            </w:r>
          </w:p>
        </w:tc>
        <w:tc>
          <w:tcPr>
            <w:tcW w:w="1770" w:type="dxa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129,38±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6,71</w:t>
            </w:r>
          </w:p>
        </w:tc>
      </w:tr>
      <w:tr w:rsidR="003B05B6" w:rsidRPr="004C6D3F" w:rsidTr="0077257F">
        <w:tc>
          <w:tcPr>
            <w:tcW w:w="1188" w:type="dxa"/>
            <w:vMerge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62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1,40±0,24*</w:t>
            </w:r>
          </w:p>
        </w:tc>
        <w:tc>
          <w:tcPr>
            <w:tcW w:w="2340" w:type="dxa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uk-UA"/>
              </w:rPr>
              <w:t>260</w:t>
            </w:r>
            <w:r w:rsidRPr="004C6D3F">
              <w:rPr>
                <w:sz w:val="28"/>
                <w:szCs w:val="28"/>
              </w:rPr>
              <w:t>,</w:t>
            </w:r>
            <w:r w:rsidRPr="004C6D3F">
              <w:rPr>
                <w:sz w:val="28"/>
                <w:szCs w:val="28"/>
                <w:lang w:val="uk-UA"/>
              </w:rPr>
              <w:t xml:space="preserve">00± 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0</w:t>
            </w:r>
            <w:r w:rsidRPr="004C6D3F">
              <w:rPr>
                <w:rFonts w:cs="Symbol"/>
                <w:sz w:val="28"/>
                <w:szCs w:val="28"/>
              </w:rPr>
              <w:t>,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00</w:t>
            </w:r>
          </w:p>
        </w:tc>
        <w:tc>
          <w:tcPr>
            <w:tcW w:w="1690" w:type="dxa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72,40±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7,35</w:t>
            </w:r>
          </w:p>
        </w:tc>
        <w:tc>
          <w:tcPr>
            <w:tcW w:w="1770" w:type="dxa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127,00±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9,95</w:t>
            </w:r>
          </w:p>
        </w:tc>
      </w:tr>
      <w:tr w:rsidR="003B05B6" w:rsidRPr="004C6D3F" w:rsidTr="0077257F">
        <w:tc>
          <w:tcPr>
            <w:tcW w:w="1188" w:type="dxa"/>
            <w:vMerge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62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2,00±0,00*</w:t>
            </w:r>
          </w:p>
        </w:tc>
        <w:tc>
          <w:tcPr>
            <w:tcW w:w="2340" w:type="dxa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uk-UA"/>
              </w:rPr>
              <w:t>80</w:t>
            </w:r>
            <w:r w:rsidRPr="004C6D3F">
              <w:rPr>
                <w:sz w:val="28"/>
                <w:szCs w:val="28"/>
              </w:rPr>
              <w:t>,</w:t>
            </w:r>
            <w:r w:rsidRPr="004C6D3F">
              <w:rPr>
                <w:sz w:val="28"/>
                <w:szCs w:val="28"/>
                <w:lang w:val="uk-UA"/>
              </w:rPr>
              <w:t>45±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20</w:t>
            </w:r>
            <w:r w:rsidRPr="004C6D3F">
              <w:rPr>
                <w:rFonts w:cs="Symbol"/>
                <w:sz w:val="28"/>
                <w:szCs w:val="28"/>
              </w:rPr>
              <w:t>,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21*</w:t>
            </w:r>
          </w:p>
        </w:tc>
        <w:tc>
          <w:tcPr>
            <w:tcW w:w="1690" w:type="dxa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uk-UA"/>
              </w:rPr>
              <w:t>82</w:t>
            </w:r>
            <w:r w:rsidRPr="004C6D3F">
              <w:rPr>
                <w:sz w:val="28"/>
                <w:szCs w:val="28"/>
              </w:rPr>
              <w:t>,</w:t>
            </w:r>
            <w:r w:rsidRPr="004C6D3F">
              <w:rPr>
                <w:sz w:val="28"/>
                <w:szCs w:val="28"/>
                <w:lang w:val="uk-UA"/>
              </w:rPr>
              <w:t>01±</w:t>
            </w:r>
            <w:r w:rsidRPr="004C6D3F">
              <w:rPr>
                <w:rFonts w:cs="Symbol"/>
                <w:sz w:val="28"/>
                <w:szCs w:val="28"/>
                <w:lang w:val="en-US"/>
              </w:rPr>
              <w:t>54</w:t>
            </w:r>
            <w:r w:rsidRPr="004C6D3F">
              <w:rPr>
                <w:rFonts w:cs="Symbol"/>
                <w:sz w:val="28"/>
                <w:szCs w:val="28"/>
              </w:rPr>
              <w:t>,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95</w:t>
            </w:r>
          </w:p>
        </w:tc>
        <w:tc>
          <w:tcPr>
            <w:tcW w:w="1770" w:type="dxa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uk-UA"/>
              </w:rPr>
              <w:t>115</w:t>
            </w:r>
            <w:r w:rsidRPr="004C6D3F">
              <w:rPr>
                <w:sz w:val="28"/>
                <w:szCs w:val="28"/>
              </w:rPr>
              <w:t>,</w:t>
            </w:r>
            <w:r w:rsidRPr="004C6D3F">
              <w:rPr>
                <w:sz w:val="28"/>
                <w:szCs w:val="28"/>
                <w:lang w:val="uk-UA"/>
              </w:rPr>
              <w:t>00±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1</w:t>
            </w:r>
            <w:r w:rsidRPr="004C6D3F">
              <w:rPr>
                <w:rFonts w:cs="Symbol"/>
                <w:sz w:val="28"/>
                <w:szCs w:val="28"/>
              </w:rPr>
              <w:t>,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05</w:t>
            </w:r>
          </w:p>
        </w:tc>
      </w:tr>
    </w:tbl>
    <w:p w:rsidR="003B05B6" w:rsidRPr="004C6D3F" w:rsidRDefault="003B05B6" w:rsidP="003B05B6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Примітка. * - достовірність у порівнянні з І етапом (p&lt;0,05).</w:t>
      </w:r>
    </w:p>
    <w:p w:rsidR="003B05B6" w:rsidRPr="004C6D3F" w:rsidRDefault="003B05B6" w:rsidP="003B05B6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  <w:lang w:val="uk-UA"/>
        </w:rPr>
      </w:pPr>
    </w:p>
    <w:p w:rsidR="003B05B6" w:rsidRDefault="003B05B6" w:rsidP="003B05B6">
      <w:pPr>
        <w:widowControl w:val="0"/>
        <w:spacing w:line="253" w:lineRule="auto"/>
        <w:ind w:firstLine="539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Результати проведеного дослідження виявили, що застосована терапія </w:t>
      </w:r>
      <w:r w:rsidRPr="00BB3CAD">
        <w:rPr>
          <w:sz w:val="28"/>
          <w:szCs w:val="28"/>
          <w:lang w:val="uk-UA"/>
        </w:rPr>
        <w:t>різним</w:t>
      </w:r>
      <w:r>
        <w:rPr>
          <w:sz w:val="28"/>
          <w:szCs w:val="28"/>
          <w:lang w:val="uk-UA"/>
        </w:rPr>
        <w:t xml:space="preserve"> </w:t>
      </w:r>
      <w:r w:rsidRPr="00BB3CAD">
        <w:rPr>
          <w:sz w:val="28"/>
          <w:szCs w:val="28"/>
          <w:lang w:val="uk-UA"/>
        </w:rPr>
        <w:t>чином</w:t>
      </w:r>
      <w:r>
        <w:rPr>
          <w:sz w:val="28"/>
          <w:szCs w:val="28"/>
          <w:lang w:val="uk-UA"/>
        </w:rPr>
        <w:t xml:space="preserve"> впливає на процеси</w:t>
      </w:r>
      <w:r w:rsidRPr="004C6D3F">
        <w:rPr>
          <w:sz w:val="28"/>
          <w:szCs w:val="28"/>
          <w:lang w:val="uk-UA"/>
        </w:rPr>
        <w:t xml:space="preserve"> ремоделювання ЛП </w:t>
      </w:r>
      <w:r>
        <w:rPr>
          <w:sz w:val="28"/>
          <w:szCs w:val="28"/>
          <w:lang w:val="uk-UA"/>
        </w:rPr>
        <w:t>в досліджуваних групах.</w:t>
      </w:r>
      <w:r w:rsidRPr="004C6D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4C6D3F">
        <w:rPr>
          <w:sz w:val="28"/>
          <w:szCs w:val="28"/>
          <w:lang w:val="uk-UA"/>
        </w:rPr>
        <w:t xml:space="preserve"> групі КОР не </w:t>
      </w:r>
      <w:r>
        <w:rPr>
          <w:sz w:val="28"/>
          <w:szCs w:val="28"/>
          <w:lang w:val="uk-UA"/>
        </w:rPr>
        <w:t xml:space="preserve">було </w:t>
      </w:r>
      <w:r w:rsidRPr="004C6D3F">
        <w:rPr>
          <w:sz w:val="28"/>
          <w:szCs w:val="28"/>
          <w:lang w:val="uk-UA"/>
        </w:rPr>
        <w:t>вияв</w:t>
      </w:r>
      <w:r>
        <w:rPr>
          <w:sz w:val="28"/>
          <w:szCs w:val="28"/>
          <w:lang w:val="uk-UA"/>
        </w:rPr>
        <w:t xml:space="preserve">лено </w:t>
      </w:r>
      <w:r w:rsidRPr="004C6D3F">
        <w:rPr>
          <w:sz w:val="28"/>
          <w:szCs w:val="28"/>
          <w:lang w:val="uk-UA"/>
        </w:rPr>
        <w:t>сприятливих змін. В даній групі всі досліджувані показники</w:t>
      </w:r>
      <w:r>
        <w:rPr>
          <w:sz w:val="28"/>
          <w:szCs w:val="28"/>
          <w:lang w:val="uk-UA"/>
        </w:rPr>
        <w:t>, що характеризують ЛП,</w:t>
      </w:r>
      <w:r w:rsidRPr="004C6D3F">
        <w:rPr>
          <w:sz w:val="28"/>
          <w:szCs w:val="28"/>
          <w:lang w:val="uk-UA"/>
        </w:rPr>
        <w:t xml:space="preserve"> не змінювались під впливом лікування і на всіх етапах досл</w:t>
      </w:r>
      <w:r w:rsidRPr="004C6D3F">
        <w:rPr>
          <w:sz w:val="28"/>
          <w:szCs w:val="28"/>
          <w:lang w:val="uk-UA"/>
        </w:rPr>
        <w:t>і</w:t>
      </w:r>
      <w:r w:rsidRPr="004C6D3F">
        <w:rPr>
          <w:sz w:val="28"/>
          <w:szCs w:val="28"/>
          <w:lang w:val="uk-UA"/>
        </w:rPr>
        <w:t>дження були достовірно вищими ніж в груп</w:t>
      </w:r>
      <w:r>
        <w:rPr>
          <w:sz w:val="28"/>
          <w:szCs w:val="28"/>
          <w:lang w:val="uk-UA"/>
        </w:rPr>
        <w:t>ах</w:t>
      </w:r>
      <w:r w:rsidRPr="004C6D3F">
        <w:rPr>
          <w:sz w:val="28"/>
          <w:szCs w:val="28"/>
          <w:lang w:val="uk-UA"/>
        </w:rPr>
        <w:t xml:space="preserve"> НЕКОР та ЗД. </w:t>
      </w:r>
    </w:p>
    <w:p w:rsidR="003B05B6" w:rsidRPr="004C6D3F" w:rsidRDefault="003B05B6" w:rsidP="003B05B6">
      <w:pPr>
        <w:widowControl w:val="0"/>
        <w:spacing w:line="252" w:lineRule="auto"/>
        <w:ind w:firstLine="539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В групі </w:t>
      </w:r>
      <w:r w:rsidRPr="00BB3CAD">
        <w:rPr>
          <w:sz w:val="28"/>
          <w:szCs w:val="28"/>
          <w:lang w:val="uk-UA"/>
        </w:rPr>
        <w:t>НЕКОР</w:t>
      </w:r>
      <w:r>
        <w:rPr>
          <w:sz w:val="28"/>
          <w:szCs w:val="28"/>
          <w:lang w:val="uk-UA"/>
        </w:rPr>
        <w:t xml:space="preserve"> </w:t>
      </w:r>
      <w:r w:rsidRPr="004C6D3F">
        <w:rPr>
          <w:sz w:val="28"/>
          <w:szCs w:val="28"/>
          <w:lang w:val="uk-UA"/>
        </w:rPr>
        <w:t>спостерігалось дост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>вірне зменшення значень iКДО ЛП</w:t>
      </w:r>
      <w:r>
        <w:rPr>
          <w:sz w:val="28"/>
          <w:szCs w:val="28"/>
          <w:lang w:val="uk-UA"/>
        </w:rPr>
        <w:t xml:space="preserve"> з</w:t>
      </w:r>
      <w:r w:rsidRPr="004C6D3F">
        <w:rPr>
          <w:sz w:val="28"/>
          <w:szCs w:val="28"/>
          <w:lang w:val="uk-UA"/>
        </w:rPr>
        <w:t xml:space="preserve"> 54,26±2,46мл/м</w:t>
      </w:r>
      <w:r w:rsidRPr="004C6D3F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vertAlign w:val="superscript"/>
          <w:lang w:val="uk-UA"/>
        </w:rPr>
        <w:t xml:space="preserve"> </w:t>
      </w:r>
      <w:r w:rsidRPr="004C6D3F">
        <w:rPr>
          <w:sz w:val="28"/>
          <w:szCs w:val="28"/>
          <w:lang w:val="uk-UA"/>
        </w:rPr>
        <w:t>на поча</w:t>
      </w:r>
      <w:r w:rsidRPr="004C6D3F">
        <w:rPr>
          <w:sz w:val="28"/>
          <w:szCs w:val="28"/>
          <w:lang w:val="uk-UA"/>
        </w:rPr>
        <w:t>т</w:t>
      </w:r>
      <w:r w:rsidRPr="004C6D3F">
        <w:rPr>
          <w:sz w:val="28"/>
          <w:szCs w:val="28"/>
          <w:lang w:val="uk-UA"/>
        </w:rPr>
        <w:t xml:space="preserve">ку дослідження </w:t>
      </w:r>
      <w:r>
        <w:rPr>
          <w:sz w:val="28"/>
          <w:szCs w:val="28"/>
          <w:lang w:val="uk-UA"/>
        </w:rPr>
        <w:t xml:space="preserve">до </w:t>
      </w:r>
      <w:r w:rsidRPr="004C6D3F">
        <w:rPr>
          <w:sz w:val="28"/>
          <w:szCs w:val="28"/>
          <w:lang w:val="uk-UA"/>
        </w:rPr>
        <w:t>41,42±3,14мл/м</w:t>
      </w:r>
      <w:r w:rsidRPr="004C6D3F">
        <w:rPr>
          <w:sz w:val="28"/>
          <w:szCs w:val="28"/>
          <w:vertAlign w:val="superscript"/>
          <w:lang w:val="uk-UA"/>
        </w:rPr>
        <w:t>2</w:t>
      </w:r>
      <w:r w:rsidRPr="006F6159">
        <w:rPr>
          <w:sz w:val="28"/>
          <w:szCs w:val="28"/>
          <w:lang w:val="uk-UA"/>
        </w:rPr>
        <w:t xml:space="preserve"> </w:t>
      </w:r>
      <w:r w:rsidRPr="004C6D3F">
        <w:rPr>
          <w:sz w:val="28"/>
          <w:szCs w:val="28"/>
          <w:lang w:val="uk-UA"/>
        </w:rPr>
        <w:t>на ІІІ етапі</w:t>
      </w:r>
      <w:r>
        <w:rPr>
          <w:sz w:val="28"/>
          <w:szCs w:val="28"/>
          <w:lang w:val="uk-UA"/>
        </w:rPr>
        <w:t xml:space="preserve"> та </w:t>
      </w:r>
      <w:r w:rsidRPr="004C6D3F">
        <w:rPr>
          <w:sz w:val="28"/>
          <w:szCs w:val="28"/>
          <w:lang w:val="uk-UA"/>
        </w:rPr>
        <w:lastRenderedPageBreak/>
        <w:t>39,12±3,02мл/м</w:t>
      </w:r>
      <w:r w:rsidRPr="004C6D3F">
        <w:rPr>
          <w:sz w:val="28"/>
          <w:szCs w:val="28"/>
          <w:vertAlign w:val="superscript"/>
          <w:lang w:val="uk-UA"/>
        </w:rPr>
        <w:t>2</w:t>
      </w:r>
      <w:r w:rsidRPr="004C6D3F">
        <w:rPr>
          <w:sz w:val="28"/>
          <w:szCs w:val="28"/>
          <w:lang w:val="uk-UA"/>
        </w:rPr>
        <w:t xml:space="preserve"> на IV етапі</w:t>
      </w:r>
      <w:r>
        <w:rPr>
          <w:sz w:val="28"/>
          <w:szCs w:val="28"/>
          <w:lang w:val="uk-UA"/>
        </w:rPr>
        <w:t xml:space="preserve">. </w:t>
      </w:r>
      <w:r w:rsidRPr="004C6D3F">
        <w:rPr>
          <w:sz w:val="28"/>
          <w:szCs w:val="28"/>
          <w:lang w:val="uk-UA"/>
        </w:rPr>
        <w:t xml:space="preserve">На початку дослідження в </w:t>
      </w:r>
      <w:r w:rsidRPr="00BB3CAD">
        <w:rPr>
          <w:sz w:val="28"/>
          <w:szCs w:val="28"/>
          <w:lang w:val="uk-UA"/>
        </w:rPr>
        <w:t>цій</w:t>
      </w:r>
      <w:r>
        <w:rPr>
          <w:sz w:val="28"/>
          <w:szCs w:val="28"/>
          <w:lang w:val="uk-UA"/>
        </w:rPr>
        <w:t xml:space="preserve"> </w:t>
      </w:r>
      <w:r w:rsidRPr="004C6D3F">
        <w:rPr>
          <w:sz w:val="28"/>
          <w:szCs w:val="28"/>
          <w:lang w:val="uk-UA"/>
        </w:rPr>
        <w:t>групі важкий (≥40 мл/м</w:t>
      </w:r>
      <w:r w:rsidRPr="004C6D3F">
        <w:rPr>
          <w:sz w:val="28"/>
          <w:szCs w:val="28"/>
          <w:vertAlign w:val="superscript"/>
          <w:lang w:val="uk-UA"/>
        </w:rPr>
        <w:t>2</w:t>
      </w:r>
      <w:r w:rsidRPr="004C6D3F">
        <w:rPr>
          <w:sz w:val="28"/>
          <w:szCs w:val="28"/>
          <w:lang w:val="uk-UA"/>
        </w:rPr>
        <w:t>) та середній (34-39 мл/м</w:t>
      </w:r>
      <w:r w:rsidRPr="004C6D3F">
        <w:rPr>
          <w:sz w:val="28"/>
          <w:szCs w:val="28"/>
          <w:vertAlign w:val="superscript"/>
          <w:lang w:val="uk-UA"/>
        </w:rPr>
        <w:t>2</w:t>
      </w:r>
      <w:r w:rsidRPr="004C6D3F">
        <w:rPr>
          <w:sz w:val="28"/>
          <w:szCs w:val="28"/>
          <w:lang w:val="uk-UA"/>
        </w:rPr>
        <w:t>) ступені збільшення і</w:t>
      </w:r>
      <w:r w:rsidRPr="004C6D3F">
        <w:rPr>
          <w:sz w:val="28"/>
          <w:szCs w:val="28"/>
          <w:lang w:val="uk-UA"/>
        </w:rPr>
        <w:t>К</w:t>
      </w:r>
      <w:r w:rsidRPr="004C6D3F">
        <w:rPr>
          <w:sz w:val="28"/>
          <w:szCs w:val="28"/>
          <w:lang w:val="uk-UA"/>
        </w:rPr>
        <w:t>ДО ЛП було виявлено у 89,4%, а нормальні значення даного показника – лише у 7,6% хворих. Втім, вже на III ет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>пі дослідження частка хворих з важким ступенем збільшення іКДО ЛП станов</w:t>
      </w:r>
      <w:r w:rsidRPr="004C6D3F">
        <w:rPr>
          <w:sz w:val="28"/>
          <w:szCs w:val="28"/>
          <w:lang w:val="uk-UA"/>
        </w:rPr>
        <w:t>и</w:t>
      </w:r>
      <w:r w:rsidRPr="004C6D3F">
        <w:rPr>
          <w:sz w:val="28"/>
          <w:szCs w:val="28"/>
          <w:lang w:val="uk-UA"/>
        </w:rPr>
        <w:t>ла лише 41,7% (р=0,00001), а нормальні значення і</w:t>
      </w:r>
      <w:r w:rsidRPr="004C6D3F">
        <w:rPr>
          <w:sz w:val="28"/>
          <w:szCs w:val="28"/>
          <w:lang w:val="uk-UA"/>
        </w:rPr>
        <w:t>К</w:t>
      </w:r>
      <w:r w:rsidRPr="004C6D3F">
        <w:rPr>
          <w:sz w:val="28"/>
          <w:szCs w:val="28"/>
          <w:lang w:val="uk-UA"/>
        </w:rPr>
        <w:t>ДО ЛП було виявлено у 35,7% хворих.</w:t>
      </w:r>
    </w:p>
    <w:p w:rsidR="003B05B6" w:rsidRPr="004C6D3F" w:rsidRDefault="003B05B6" w:rsidP="003B05B6">
      <w:pPr>
        <w:widowControl w:val="0"/>
        <w:spacing w:line="253" w:lineRule="auto"/>
        <w:ind w:firstLine="539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Крім того під впливом терапії в групі НЕКОР значення Sд ЛП зменшилися з 30,32±0,91см</w:t>
      </w:r>
      <w:r w:rsidRPr="004C6D3F">
        <w:rPr>
          <w:sz w:val="28"/>
          <w:szCs w:val="28"/>
          <w:vertAlign w:val="superscript"/>
          <w:lang w:val="uk-UA"/>
        </w:rPr>
        <w:t xml:space="preserve">2 </w:t>
      </w:r>
      <w:r w:rsidRPr="004C6D3F">
        <w:rPr>
          <w:sz w:val="28"/>
          <w:szCs w:val="28"/>
          <w:lang w:val="uk-UA"/>
        </w:rPr>
        <w:t>на початку дослідження до 25,09±1,37см</w:t>
      </w:r>
      <w:r w:rsidRPr="004C6D3F">
        <w:rPr>
          <w:sz w:val="28"/>
          <w:szCs w:val="28"/>
          <w:vertAlign w:val="superscript"/>
          <w:lang w:val="uk-UA"/>
        </w:rPr>
        <w:t>2</w:t>
      </w:r>
      <w:r w:rsidRPr="004C6D3F">
        <w:rPr>
          <w:sz w:val="28"/>
          <w:szCs w:val="28"/>
          <w:lang w:val="uk-UA"/>
        </w:rPr>
        <w:t xml:space="preserve"> на IV етапі. На III етапі також спостерігалась виражена тенденція до збільшення ФВ ЛП (р=0,057), яка набула достовірності на IV етапі дослідження. На початку дослідження середні значення ФВ ЛП в групі НЕКОР дорівнювали 34,84±1,78%, а на ІІІ та IV етапах - 40,57±2,35% та 42,63±2,26% відповідно.</w:t>
      </w:r>
    </w:p>
    <w:p w:rsidR="003B05B6" w:rsidRPr="004C6D3F" w:rsidRDefault="003B05B6" w:rsidP="003B05B6">
      <w:pPr>
        <w:widowControl w:val="0"/>
        <w:spacing w:line="253" w:lineRule="auto"/>
        <w:ind w:firstLine="539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Аналіз результатів ЕхоКГ дослідження ЛШ в 2D-режимі показав, що проведене лікування призводить до більш сприятливих змін саме в групі НЕКОР</w:t>
      </w:r>
      <w:r w:rsidRPr="00BB3CAD">
        <w:rPr>
          <w:sz w:val="28"/>
          <w:szCs w:val="28"/>
          <w:lang w:val="uk-UA"/>
        </w:rPr>
        <w:t>: було</w:t>
      </w:r>
      <w:r w:rsidRPr="004C6D3F">
        <w:rPr>
          <w:sz w:val="28"/>
          <w:szCs w:val="28"/>
          <w:lang w:val="uk-UA"/>
        </w:rPr>
        <w:t xml:space="preserve"> виявлено достов</w:t>
      </w:r>
      <w:r w:rsidRPr="004C6D3F">
        <w:rPr>
          <w:sz w:val="28"/>
          <w:szCs w:val="28"/>
          <w:lang w:val="uk-UA"/>
        </w:rPr>
        <w:t>і</w:t>
      </w:r>
      <w:r w:rsidRPr="004C6D3F">
        <w:rPr>
          <w:sz w:val="28"/>
          <w:szCs w:val="28"/>
          <w:lang w:val="uk-UA"/>
        </w:rPr>
        <w:t>рне зменшення об’ємів ЛШ та значне підвищення його ФВ (табл.</w:t>
      </w:r>
      <w:r>
        <w:rPr>
          <w:sz w:val="28"/>
          <w:szCs w:val="28"/>
          <w:lang w:val="uk-UA"/>
        </w:rPr>
        <w:t>4</w:t>
      </w:r>
      <w:r w:rsidRPr="004C6D3F">
        <w:rPr>
          <w:sz w:val="28"/>
          <w:szCs w:val="28"/>
          <w:lang w:val="uk-UA"/>
        </w:rPr>
        <w:t>).</w:t>
      </w:r>
    </w:p>
    <w:p w:rsidR="003B05B6" w:rsidRPr="004C6D3F" w:rsidRDefault="003B05B6" w:rsidP="003B05B6">
      <w:pPr>
        <w:widowControl w:val="0"/>
        <w:autoSpaceDE w:val="0"/>
        <w:autoSpaceDN w:val="0"/>
        <w:adjustRightInd w:val="0"/>
        <w:spacing w:line="264" w:lineRule="auto"/>
        <w:ind w:firstLine="567"/>
        <w:jc w:val="right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Таблиця </w:t>
      </w:r>
      <w:r>
        <w:rPr>
          <w:sz w:val="28"/>
          <w:szCs w:val="28"/>
          <w:lang w:val="uk-UA"/>
        </w:rPr>
        <w:t>4</w:t>
      </w:r>
    </w:p>
    <w:p w:rsidR="003B05B6" w:rsidRPr="004C6D3F" w:rsidRDefault="003B05B6" w:rsidP="003B05B6">
      <w:pPr>
        <w:spacing w:line="264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Середні </w:t>
      </w:r>
      <w:r w:rsidRPr="004C6D3F">
        <w:rPr>
          <w:sz w:val="28"/>
          <w:szCs w:val="28"/>
          <w:lang w:val="uk-UA"/>
        </w:rPr>
        <w:t>значен</w:t>
      </w:r>
      <w:r>
        <w:rPr>
          <w:sz w:val="28"/>
          <w:szCs w:val="28"/>
          <w:lang w:val="uk-UA"/>
        </w:rPr>
        <w:t>ня</w:t>
      </w:r>
      <w:r w:rsidRPr="004C6D3F">
        <w:rPr>
          <w:sz w:val="28"/>
          <w:szCs w:val="28"/>
          <w:lang w:val="uk-UA"/>
        </w:rPr>
        <w:t xml:space="preserve"> індексованих показників </w:t>
      </w:r>
      <w:r>
        <w:rPr>
          <w:sz w:val="28"/>
          <w:szCs w:val="28"/>
          <w:lang w:val="uk-UA"/>
        </w:rPr>
        <w:t xml:space="preserve">об’ємів та ФВ </w:t>
      </w:r>
      <w:r w:rsidRPr="004C6D3F">
        <w:rPr>
          <w:sz w:val="28"/>
          <w:szCs w:val="28"/>
          <w:lang w:val="uk-UA"/>
        </w:rPr>
        <w:t>ЛШ в кон</w:t>
      </w:r>
      <w:r w:rsidRPr="004C6D3F">
        <w:rPr>
          <w:sz w:val="28"/>
          <w:szCs w:val="28"/>
          <w:lang w:val="uk-UA"/>
        </w:rPr>
        <w:t>т</w:t>
      </w:r>
      <w:r w:rsidRPr="004C6D3F">
        <w:rPr>
          <w:sz w:val="28"/>
          <w:szCs w:val="28"/>
          <w:lang w:val="uk-UA"/>
        </w:rPr>
        <w:t xml:space="preserve">рольній групі ЗД </w:t>
      </w:r>
      <w:r>
        <w:rPr>
          <w:sz w:val="28"/>
          <w:szCs w:val="28"/>
          <w:lang w:val="uk-UA"/>
        </w:rPr>
        <w:t xml:space="preserve">та </w:t>
      </w:r>
      <w:r w:rsidRPr="004C6D3F">
        <w:rPr>
          <w:sz w:val="28"/>
          <w:szCs w:val="28"/>
          <w:lang w:val="uk-UA"/>
        </w:rPr>
        <w:t xml:space="preserve">у хворих в групах КОР </w:t>
      </w:r>
      <w:r>
        <w:rPr>
          <w:sz w:val="28"/>
          <w:szCs w:val="28"/>
          <w:lang w:val="uk-UA"/>
        </w:rPr>
        <w:t>і</w:t>
      </w:r>
      <w:r w:rsidRPr="004C6D3F">
        <w:rPr>
          <w:sz w:val="28"/>
          <w:szCs w:val="28"/>
          <w:lang w:val="uk-UA"/>
        </w:rPr>
        <w:t xml:space="preserve"> НЕКОР</w:t>
      </w:r>
      <w:r>
        <w:rPr>
          <w:sz w:val="28"/>
          <w:szCs w:val="28"/>
          <w:lang w:val="uk-UA"/>
        </w:rPr>
        <w:t xml:space="preserve"> на етапах дослідження</w:t>
      </w:r>
    </w:p>
    <w:tbl>
      <w:tblPr>
        <w:tblStyle w:val="ae"/>
        <w:tblW w:w="8640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2340"/>
        <w:gridCol w:w="1980"/>
        <w:gridCol w:w="1980"/>
      </w:tblGrid>
      <w:tr w:rsidR="003B05B6" w:rsidRPr="004C6D3F" w:rsidTr="0077257F">
        <w:tc>
          <w:tcPr>
            <w:tcW w:w="1260" w:type="dxa"/>
            <w:vMerge w:val="restart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1080" w:type="dxa"/>
            <w:vMerge w:val="restart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Етапи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Показники</w:t>
            </w:r>
          </w:p>
        </w:tc>
      </w:tr>
      <w:tr w:rsidR="003B05B6" w:rsidRPr="004C6D3F" w:rsidTr="0077257F">
        <w:tc>
          <w:tcPr>
            <w:tcW w:w="1260" w:type="dxa"/>
            <w:vMerge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іКДО, мл/м</w:t>
            </w:r>
            <w:r w:rsidRPr="004C6D3F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іКСО, мл/м</w:t>
            </w:r>
            <w:r w:rsidRPr="004C6D3F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ФВ, %</w:t>
            </w:r>
          </w:p>
        </w:tc>
      </w:tr>
      <w:tr w:rsidR="003B05B6" w:rsidRPr="004C6D3F" w:rsidTr="0077257F">
        <w:tc>
          <w:tcPr>
            <w:tcW w:w="1260" w:type="dxa"/>
            <w:vMerge w:val="restart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НЕКОР (n=82)</w:t>
            </w:r>
          </w:p>
        </w:tc>
        <w:tc>
          <w:tcPr>
            <w:tcW w:w="108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34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uk-UA"/>
              </w:rPr>
              <w:t>12</w:t>
            </w:r>
            <w:r w:rsidRPr="004C6D3F">
              <w:rPr>
                <w:sz w:val="28"/>
                <w:szCs w:val="28"/>
                <w:lang w:val="en-US"/>
              </w:rPr>
              <w:t>5</w:t>
            </w:r>
            <w:r w:rsidRPr="004C6D3F">
              <w:rPr>
                <w:sz w:val="28"/>
                <w:szCs w:val="28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9</w:t>
            </w:r>
            <w:r w:rsidRPr="004C6D3F">
              <w:rPr>
                <w:sz w:val="28"/>
                <w:szCs w:val="28"/>
                <w:lang w:val="uk-UA"/>
              </w:rPr>
              <w:t>5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4</w:t>
            </w:r>
            <w:r w:rsidRPr="004C6D3F">
              <w:rPr>
                <w:rFonts w:cs="Symbol"/>
                <w:sz w:val="28"/>
                <w:szCs w:val="28"/>
              </w:rPr>
              <w:t>,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28 *</w:t>
            </w:r>
          </w:p>
        </w:tc>
        <w:tc>
          <w:tcPr>
            <w:tcW w:w="198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uk-UA"/>
              </w:rPr>
              <w:t>83</w:t>
            </w:r>
            <w:r w:rsidRPr="004C6D3F">
              <w:rPr>
                <w:sz w:val="28"/>
                <w:szCs w:val="28"/>
              </w:rPr>
              <w:t>,</w:t>
            </w:r>
            <w:r w:rsidRPr="004C6D3F">
              <w:rPr>
                <w:sz w:val="28"/>
                <w:szCs w:val="28"/>
                <w:lang w:val="uk-UA"/>
              </w:rPr>
              <w:t>04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3</w:t>
            </w:r>
            <w:r w:rsidRPr="004C6D3F">
              <w:rPr>
                <w:rFonts w:cs="Symbol"/>
                <w:sz w:val="28"/>
                <w:szCs w:val="28"/>
              </w:rPr>
              <w:t>,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07 *</w:t>
            </w:r>
          </w:p>
        </w:tc>
        <w:tc>
          <w:tcPr>
            <w:tcW w:w="198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</w:rPr>
              <w:t>34,25</w:t>
            </w:r>
            <w:r w:rsidRPr="004C6D3F">
              <w:rPr>
                <w:sz w:val="28"/>
                <w:szCs w:val="28"/>
                <w:lang w:val="uk-UA"/>
              </w:rPr>
              <w:t>±</w:t>
            </w:r>
            <w:r w:rsidRPr="004C6D3F">
              <w:rPr>
                <w:rFonts w:cs="Symbol"/>
                <w:sz w:val="28"/>
                <w:szCs w:val="28"/>
              </w:rPr>
              <w:t>0,53*</w:t>
            </w:r>
          </w:p>
        </w:tc>
      </w:tr>
      <w:tr w:rsidR="003B05B6" w:rsidRPr="004C6D3F" w:rsidTr="0077257F">
        <w:tc>
          <w:tcPr>
            <w:tcW w:w="1260" w:type="dxa"/>
            <w:vMerge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II</w:t>
            </w:r>
          </w:p>
        </w:tc>
        <w:tc>
          <w:tcPr>
            <w:tcW w:w="234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en-US"/>
              </w:rPr>
              <w:t>1</w:t>
            </w:r>
            <w:r w:rsidRPr="004C6D3F">
              <w:rPr>
                <w:sz w:val="28"/>
                <w:szCs w:val="28"/>
              </w:rPr>
              <w:t>12,97±</w:t>
            </w:r>
            <w:r w:rsidRPr="004C6D3F">
              <w:rPr>
                <w:rFonts w:cs="Symbol"/>
                <w:sz w:val="28"/>
                <w:szCs w:val="28"/>
              </w:rPr>
              <w:t>4,31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*</w:t>
            </w:r>
            <w:r w:rsidRPr="004C6D3F">
              <w:rPr>
                <w:rFonts w:ascii="Symbol" w:hAnsi="Symbol" w:cs="Symbol"/>
                <w:sz w:val="28"/>
                <w:szCs w:val="28"/>
                <w:vertAlign w:val="superscript"/>
                <w:lang w:val="uk-UA"/>
              </w:rPr>
              <w:t></w:t>
            </w:r>
          </w:p>
        </w:tc>
        <w:tc>
          <w:tcPr>
            <w:tcW w:w="198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</w:rPr>
              <w:t>63,75±</w:t>
            </w:r>
            <w:r w:rsidRPr="004C6D3F">
              <w:rPr>
                <w:rFonts w:cs="Symbol"/>
                <w:sz w:val="28"/>
                <w:szCs w:val="28"/>
              </w:rPr>
              <w:t>3,92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*</w:t>
            </w:r>
          </w:p>
        </w:tc>
        <w:tc>
          <w:tcPr>
            <w:tcW w:w="198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4</w:t>
            </w:r>
            <w:r w:rsidRPr="004C6D3F">
              <w:rPr>
                <w:sz w:val="28"/>
                <w:szCs w:val="28"/>
              </w:rPr>
              <w:t>3,85±1,67</w:t>
            </w:r>
            <w:r w:rsidRPr="004C6D3F">
              <w:rPr>
                <w:rFonts w:cs="Symbol"/>
                <w:sz w:val="28"/>
                <w:szCs w:val="28"/>
              </w:rPr>
              <w:t>*</w:t>
            </w:r>
            <w:r w:rsidRPr="004C6D3F">
              <w:rPr>
                <w:rFonts w:ascii="Symbol" w:hAnsi="Symbol" w:cs="Symbol"/>
                <w:sz w:val="28"/>
                <w:szCs w:val="28"/>
                <w:vertAlign w:val="superscript"/>
              </w:rPr>
              <w:t></w:t>
            </w:r>
          </w:p>
        </w:tc>
      </w:tr>
      <w:tr w:rsidR="003B05B6" w:rsidRPr="004C6D3F" w:rsidTr="0077257F">
        <w:tc>
          <w:tcPr>
            <w:tcW w:w="1260" w:type="dxa"/>
            <w:vMerge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III</w:t>
            </w:r>
          </w:p>
        </w:tc>
        <w:tc>
          <w:tcPr>
            <w:tcW w:w="234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en-US"/>
              </w:rPr>
              <w:t>10</w:t>
            </w:r>
            <w:r w:rsidRPr="004C6D3F">
              <w:rPr>
                <w:sz w:val="28"/>
                <w:szCs w:val="28"/>
              </w:rPr>
              <w:t>5,61±</w:t>
            </w:r>
            <w:r w:rsidRPr="004C6D3F">
              <w:rPr>
                <w:rFonts w:cs="Symbol"/>
                <w:sz w:val="28"/>
                <w:szCs w:val="28"/>
              </w:rPr>
              <w:t>6,04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*</w:t>
            </w:r>
            <w:r w:rsidRPr="004C6D3F">
              <w:rPr>
                <w:rFonts w:ascii="Symbol" w:hAnsi="Symbol" w:cs="Symbol"/>
                <w:sz w:val="28"/>
                <w:szCs w:val="28"/>
                <w:vertAlign w:val="superscript"/>
                <w:lang w:val="uk-UA"/>
              </w:rPr>
              <w:t></w:t>
            </w:r>
          </w:p>
        </w:tc>
        <w:tc>
          <w:tcPr>
            <w:tcW w:w="198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en-US"/>
              </w:rPr>
              <w:t>5</w:t>
            </w:r>
            <w:r w:rsidRPr="004C6D3F">
              <w:rPr>
                <w:sz w:val="28"/>
                <w:szCs w:val="28"/>
              </w:rPr>
              <w:t>4,35±</w:t>
            </w:r>
            <w:r w:rsidRPr="004C6D3F">
              <w:rPr>
                <w:rFonts w:cs="Symbol"/>
                <w:sz w:val="28"/>
                <w:szCs w:val="28"/>
              </w:rPr>
              <w:t>4,22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*</w:t>
            </w:r>
            <w:r w:rsidRPr="004C6D3F">
              <w:rPr>
                <w:rFonts w:ascii="Symbol" w:hAnsi="Symbol" w:cs="Symbol"/>
                <w:sz w:val="28"/>
                <w:szCs w:val="28"/>
                <w:vertAlign w:val="superscript"/>
                <w:lang w:val="uk-UA"/>
              </w:rPr>
              <w:t></w:t>
            </w:r>
          </w:p>
        </w:tc>
        <w:tc>
          <w:tcPr>
            <w:tcW w:w="198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5</w:t>
            </w:r>
            <w:r w:rsidRPr="004C6D3F">
              <w:rPr>
                <w:sz w:val="28"/>
                <w:szCs w:val="28"/>
              </w:rPr>
              <w:t>0,13</w:t>
            </w:r>
            <w:r w:rsidRPr="004C6D3F">
              <w:rPr>
                <w:sz w:val="28"/>
                <w:szCs w:val="28"/>
                <w:lang w:val="uk-UA"/>
              </w:rPr>
              <w:t>±</w:t>
            </w:r>
            <w:r w:rsidRPr="004C6D3F">
              <w:rPr>
                <w:rFonts w:cs="Symbol"/>
                <w:sz w:val="28"/>
                <w:szCs w:val="28"/>
              </w:rPr>
              <w:t>1,86*</w:t>
            </w:r>
            <w:r w:rsidRPr="004C6D3F">
              <w:rPr>
                <w:rFonts w:ascii="Symbol" w:hAnsi="Symbol" w:cs="Symbol"/>
                <w:sz w:val="28"/>
                <w:szCs w:val="28"/>
                <w:vertAlign w:val="superscript"/>
              </w:rPr>
              <w:t></w:t>
            </w:r>
          </w:p>
        </w:tc>
      </w:tr>
      <w:tr w:rsidR="003B05B6" w:rsidRPr="004C6D3F" w:rsidTr="0077257F">
        <w:tc>
          <w:tcPr>
            <w:tcW w:w="1260" w:type="dxa"/>
            <w:vMerge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IV</w:t>
            </w:r>
          </w:p>
        </w:tc>
        <w:tc>
          <w:tcPr>
            <w:tcW w:w="234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en-US"/>
              </w:rPr>
              <w:t>1</w:t>
            </w:r>
            <w:r w:rsidRPr="004C6D3F">
              <w:rPr>
                <w:sz w:val="28"/>
                <w:szCs w:val="28"/>
              </w:rPr>
              <w:t>00,37±</w:t>
            </w:r>
            <w:r w:rsidRPr="004C6D3F">
              <w:rPr>
                <w:rFonts w:cs="Symbol"/>
                <w:sz w:val="28"/>
                <w:szCs w:val="28"/>
              </w:rPr>
              <w:t>6,25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*</w:t>
            </w:r>
            <w:r w:rsidRPr="004C6D3F">
              <w:rPr>
                <w:rFonts w:ascii="Symbol" w:hAnsi="Symbol" w:cs="Symbol"/>
                <w:sz w:val="28"/>
                <w:szCs w:val="28"/>
                <w:vertAlign w:val="superscript"/>
                <w:lang w:val="uk-UA"/>
              </w:rPr>
              <w:t></w:t>
            </w:r>
          </w:p>
        </w:tc>
        <w:tc>
          <w:tcPr>
            <w:tcW w:w="198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</w:rPr>
              <w:t>52,38±</w:t>
            </w:r>
            <w:r w:rsidRPr="004C6D3F">
              <w:rPr>
                <w:rFonts w:cs="Symbol"/>
                <w:sz w:val="28"/>
                <w:szCs w:val="28"/>
              </w:rPr>
              <w:t>5,61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*</w:t>
            </w:r>
            <w:r w:rsidRPr="004C6D3F">
              <w:rPr>
                <w:rFonts w:ascii="Symbol" w:hAnsi="Symbol" w:cs="Symbol"/>
                <w:sz w:val="28"/>
                <w:szCs w:val="28"/>
                <w:vertAlign w:val="superscript"/>
                <w:lang w:val="uk-UA"/>
              </w:rPr>
              <w:t></w:t>
            </w:r>
          </w:p>
        </w:tc>
        <w:tc>
          <w:tcPr>
            <w:tcW w:w="198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</w:rPr>
              <w:t>50,44</w:t>
            </w:r>
            <w:r w:rsidRPr="004C6D3F">
              <w:rPr>
                <w:sz w:val="28"/>
                <w:szCs w:val="28"/>
                <w:lang w:val="uk-UA"/>
              </w:rPr>
              <w:t>±</w:t>
            </w:r>
            <w:r w:rsidRPr="004C6D3F">
              <w:rPr>
                <w:rFonts w:cs="Symbol"/>
                <w:sz w:val="28"/>
                <w:szCs w:val="28"/>
              </w:rPr>
              <w:t>2,04*</w:t>
            </w:r>
            <w:r w:rsidRPr="004C6D3F">
              <w:rPr>
                <w:rFonts w:ascii="Symbol" w:hAnsi="Symbol" w:cs="Symbol"/>
                <w:sz w:val="28"/>
                <w:szCs w:val="28"/>
                <w:vertAlign w:val="superscript"/>
              </w:rPr>
              <w:t></w:t>
            </w:r>
          </w:p>
        </w:tc>
      </w:tr>
      <w:tr w:rsidR="003B05B6" w:rsidRPr="004C6D3F" w:rsidTr="0077257F">
        <w:tc>
          <w:tcPr>
            <w:tcW w:w="1260" w:type="dxa"/>
            <w:vMerge w:val="restart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КОР (n=23)</w:t>
            </w:r>
          </w:p>
        </w:tc>
        <w:tc>
          <w:tcPr>
            <w:tcW w:w="108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34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uk-UA"/>
              </w:rPr>
              <w:t>119</w:t>
            </w:r>
            <w:r w:rsidRPr="004C6D3F">
              <w:rPr>
                <w:sz w:val="28"/>
                <w:szCs w:val="28"/>
              </w:rPr>
              <w:t>,</w:t>
            </w:r>
            <w:r w:rsidRPr="004C6D3F">
              <w:rPr>
                <w:sz w:val="28"/>
                <w:szCs w:val="28"/>
                <w:lang w:val="uk-UA"/>
              </w:rPr>
              <w:t>41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4</w:t>
            </w:r>
            <w:r w:rsidRPr="004C6D3F">
              <w:rPr>
                <w:rFonts w:cs="Symbol"/>
                <w:sz w:val="28"/>
                <w:szCs w:val="28"/>
              </w:rPr>
              <w:t>,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20 *</w:t>
            </w:r>
          </w:p>
        </w:tc>
        <w:tc>
          <w:tcPr>
            <w:tcW w:w="198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uk-UA"/>
              </w:rPr>
              <w:t>77</w:t>
            </w:r>
            <w:r w:rsidRPr="004C6D3F">
              <w:rPr>
                <w:sz w:val="28"/>
                <w:szCs w:val="28"/>
              </w:rPr>
              <w:t>,</w:t>
            </w:r>
            <w:r w:rsidRPr="004C6D3F">
              <w:rPr>
                <w:sz w:val="28"/>
                <w:szCs w:val="28"/>
                <w:lang w:val="uk-UA"/>
              </w:rPr>
              <w:t>79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3</w:t>
            </w:r>
            <w:r w:rsidRPr="004C6D3F">
              <w:rPr>
                <w:rFonts w:cs="Symbol"/>
                <w:sz w:val="28"/>
                <w:szCs w:val="28"/>
              </w:rPr>
              <w:t>,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12 *</w:t>
            </w:r>
          </w:p>
        </w:tc>
        <w:tc>
          <w:tcPr>
            <w:tcW w:w="198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</w:rPr>
              <w:t>34,73</w:t>
            </w:r>
            <w:r w:rsidRPr="004C6D3F">
              <w:rPr>
                <w:sz w:val="28"/>
                <w:szCs w:val="28"/>
                <w:lang w:val="uk-UA"/>
              </w:rPr>
              <w:t>±</w:t>
            </w:r>
            <w:r w:rsidRPr="004C6D3F">
              <w:rPr>
                <w:rFonts w:cs="Symbol"/>
                <w:sz w:val="28"/>
                <w:szCs w:val="28"/>
              </w:rPr>
              <w:t>0,99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*</w:t>
            </w:r>
          </w:p>
        </w:tc>
      </w:tr>
      <w:tr w:rsidR="003B05B6" w:rsidRPr="004C6D3F" w:rsidTr="0077257F">
        <w:tc>
          <w:tcPr>
            <w:tcW w:w="1260" w:type="dxa"/>
            <w:vMerge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II</w:t>
            </w:r>
          </w:p>
        </w:tc>
        <w:tc>
          <w:tcPr>
            <w:tcW w:w="234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en-US"/>
              </w:rPr>
              <w:t>1</w:t>
            </w:r>
            <w:r w:rsidRPr="004C6D3F">
              <w:rPr>
                <w:sz w:val="28"/>
                <w:szCs w:val="28"/>
              </w:rPr>
              <w:t>07,40±</w:t>
            </w:r>
            <w:r w:rsidRPr="004C6D3F">
              <w:rPr>
                <w:rFonts w:cs="Symbol"/>
                <w:sz w:val="28"/>
                <w:szCs w:val="28"/>
              </w:rPr>
              <w:t>9,06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*</w:t>
            </w:r>
          </w:p>
        </w:tc>
        <w:tc>
          <w:tcPr>
            <w:tcW w:w="198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</w:rPr>
              <w:t>59,92±</w:t>
            </w:r>
            <w:r w:rsidRPr="004C6D3F">
              <w:rPr>
                <w:rFonts w:cs="Symbol"/>
                <w:sz w:val="28"/>
                <w:szCs w:val="28"/>
              </w:rPr>
              <w:t>8,93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*</w:t>
            </w:r>
            <w:r w:rsidRPr="004C6D3F">
              <w:rPr>
                <w:rFonts w:ascii="Symbol" w:hAnsi="Symbol" w:cs="Symbol"/>
                <w:sz w:val="28"/>
                <w:szCs w:val="28"/>
                <w:vertAlign w:val="superscript"/>
                <w:lang w:val="uk-UA"/>
              </w:rPr>
              <w:t></w:t>
            </w:r>
          </w:p>
        </w:tc>
        <w:tc>
          <w:tcPr>
            <w:tcW w:w="198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4</w:t>
            </w:r>
            <w:r w:rsidRPr="004C6D3F">
              <w:rPr>
                <w:sz w:val="28"/>
                <w:szCs w:val="28"/>
              </w:rPr>
              <w:t>5,85</w:t>
            </w:r>
            <w:r w:rsidRPr="004C6D3F">
              <w:rPr>
                <w:sz w:val="28"/>
                <w:szCs w:val="28"/>
                <w:lang w:val="uk-UA"/>
              </w:rPr>
              <w:t>±</w:t>
            </w:r>
            <w:r w:rsidRPr="004C6D3F">
              <w:rPr>
                <w:rFonts w:cs="Symbol"/>
                <w:sz w:val="28"/>
                <w:szCs w:val="28"/>
              </w:rPr>
              <w:t>4,04*</w:t>
            </w:r>
            <w:r w:rsidRPr="004C6D3F">
              <w:rPr>
                <w:rFonts w:ascii="Symbol" w:hAnsi="Symbol" w:cs="Symbol"/>
                <w:sz w:val="28"/>
                <w:szCs w:val="28"/>
                <w:vertAlign w:val="superscript"/>
              </w:rPr>
              <w:t></w:t>
            </w:r>
          </w:p>
        </w:tc>
      </w:tr>
      <w:tr w:rsidR="003B05B6" w:rsidRPr="004C6D3F" w:rsidTr="0077257F">
        <w:tc>
          <w:tcPr>
            <w:tcW w:w="1260" w:type="dxa"/>
            <w:vMerge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III</w:t>
            </w:r>
          </w:p>
        </w:tc>
        <w:tc>
          <w:tcPr>
            <w:tcW w:w="234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en-US"/>
              </w:rPr>
              <w:t>10</w:t>
            </w:r>
            <w:r w:rsidRPr="004C6D3F">
              <w:rPr>
                <w:sz w:val="28"/>
                <w:szCs w:val="28"/>
              </w:rPr>
              <w:t>4,20±</w:t>
            </w:r>
            <w:r w:rsidRPr="004C6D3F">
              <w:rPr>
                <w:rFonts w:cs="Symbol"/>
                <w:sz w:val="28"/>
                <w:szCs w:val="28"/>
              </w:rPr>
              <w:t>16,94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*</w:t>
            </w:r>
          </w:p>
        </w:tc>
        <w:tc>
          <w:tcPr>
            <w:tcW w:w="198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en-US"/>
              </w:rPr>
              <w:t>5</w:t>
            </w:r>
            <w:r w:rsidRPr="004C6D3F">
              <w:rPr>
                <w:sz w:val="28"/>
                <w:szCs w:val="28"/>
              </w:rPr>
              <w:t>1,34±</w:t>
            </w:r>
            <w:r w:rsidRPr="004C6D3F">
              <w:rPr>
                <w:rFonts w:cs="Symbol"/>
                <w:sz w:val="28"/>
                <w:szCs w:val="28"/>
              </w:rPr>
              <w:t>13,93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*</w:t>
            </w:r>
            <w:r w:rsidRPr="004C6D3F">
              <w:rPr>
                <w:rFonts w:ascii="Symbol" w:hAnsi="Symbol" w:cs="Symbol"/>
                <w:sz w:val="28"/>
                <w:szCs w:val="28"/>
                <w:vertAlign w:val="superscript"/>
                <w:lang w:val="uk-UA"/>
              </w:rPr>
              <w:t></w:t>
            </w:r>
          </w:p>
        </w:tc>
        <w:tc>
          <w:tcPr>
            <w:tcW w:w="198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5</w:t>
            </w:r>
            <w:r w:rsidRPr="004C6D3F">
              <w:rPr>
                <w:sz w:val="28"/>
                <w:szCs w:val="28"/>
              </w:rPr>
              <w:t>2,85</w:t>
            </w:r>
            <w:r w:rsidRPr="004C6D3F">
              <w:rPr>
                <w:sz w:val="28"/>
                <w:szCs w:val="28"/>
                <w:lang w:val="uk-UA"/>
              </w:rPr>
              <w:t>±</w:t>
            </w:r>
            <w:r w:rsidRPr="004C6D3F">
              <w:rPr>
                <w:rFonts w:cs="Symbol"/>
                <w:sz w:val="28"/>
                <w:szCs w:val="28"/>
              </w:rPr>
              <w:t>4,50*</w:t>
            </w:r>
            <w:r w:rsidRPr="004C6D3F">
              <w:rPr>
                <w:rFonts w:ascii="Symbol" w:hAnsi="Symbol" w:cs="Symbol"/>
                <w:sz w:val="28"/>
                <w:szCs w:val="28"/>
                <w:vertAlign w:val="superscript"/>
              </w:rPr>
              <w:t></w:t>
            </w:r>
          </w:p>
        </w:tc>
      </w:tr>
      <w:tr w:rsidR="003B05B6" w:rsidRPr="004C6D3F" w:rsidTr="0077257F">
        <w:tc>
          <w:tcPr>
            <w:tcW w:w="1260" w:type="dxa"/>
            <w:vMerge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IV</w:t>
            </w:r>
          </w:p>
        </w:tc>
        <w:tc>
          <w:tcPr>
            <w:tcW w:w="234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en-US"/>
              </w:rPr>
              <w:t>1</w:t>
            </w:r>
            <w:r w:rsidRPr="004C6D3F">
              <w:rPr>
                <w:sz w:val="28"/>
                <w:szCs w:val="28"/>
              </w:rPr>
              <w:t>36,59±</w:t>
            </w:r>
            <w:r w:rsidRPr="004C6D3F">
              <w:rPr>
                <w:rFonts w:cs="Symbol"/>
                <w:sz w:val="28"/>
                <w:szCs w:val="28"/>
              </w:rPr>
              <w:t>17,13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*</w:t>
            </w:r>
            <w:r w:rsidRPr="004C6D3F">
              <w:rPr>
                <w:rFonts w:ascii="Symbol" w:hAnsi="Symbol" w:cs="Symbol"/>
                <w:sz w:val="28"/>
                <w:szCs w:val="28"/>
                <w:vertAlign w:val="superscript"/>
              </w:rPr>
              <w:t></w:t>
            </w:r>
          </w:p>
        </w:tc>
        <w:tc>
          <w:tcPr>
            <w:tcW w:w="198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</w:rPr>
              <w:t>82,56±</w:t>
            </w:r>
            <w:r w:rsidRPr="004C6D3F">
              <w:rPr>
                <w:rFonts w:cs="Symbol"/>
                <w:sz w:val="28"/>
                <w:szCs w:val="28"/>
              </w:rPr>
              <w:t>16,42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*</w:t>
            </w:r>
            <w:r w:rsidRPr="004C6D3F">
              <w:rPr>
                <w:rFonts w:ascii="Symbol" w:hAnsi="Symbol" w:cs="Symbol"/>
                <w:sz w:val="28"/>
                <w:szCs w:val="28"/>
                <w:vertAlign w:val="superscript"/>
              </w:rPr>
              <w:t></w:t>
            </w:r>
          </w:p>
        </w:tc>
        <w:tc>
          <w:tcPr>
            <w:tcW w:w="198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</w:rPr>
              <w:t>40,13</w:t>
            </w:r>
            <w:r w:rsidRPr="004C6D3F">
              <w:rPr>
                <w:sz w:val="28"/>
                <w:szCs w:val="28"/>
                <w:lang w:val="uk-UA"/>
              </w:rPr>
              <w:t>±</w:t>
            </w:r>
            <w:r w:rsidRPr="004C6D3F">
              <w:rPr>
                <w:rFonts w:cs="Symbol"/>
                <w:sz w:val="28"/>
                <w:szCs w:val="28"/>
              </w:rPr>
              <w:t>4,51*</w:t>
            </w:r>
          </w:p>
        </w:tc>
      </w:tr>
      <w:tr w:rsidR="003B05B6" w:rsidRPr="004C6D3F" w:rsidTr="0077257F">
        <w:tc>
          <w:tcPr>
            <w:tcW w:w="2340" w:type="dxa"/>
            <w:gridSpan w:val="2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ЗД (n=18)</w:t>
            </w:r>
          </w:p>
        </w:tc>
        <w:tc>
          <w:tcPr>
            <w:tcW w:w="234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uk-UA"/>
              </w:rPr>
              <w:t>66</w:t>
            </w:r>
            <w:r w:rsidRPr="004C6D3F">
              <w:rPr>
                <w:sz w:val="28"/>
                <w:szCs w:val="28"/>
              </w:rPr>
              <w:t>,</w:t>
            </w:r>
            <w:r w:rsidRPr="004C6D3F">
              <w:rPr>
                <w:sz w:val="28"/>
                <w:szCs w:val="28"/>
                <w:lang w:val="uk-UA"/>
              </w:rPr>
              <w:t>75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1</w:t>
            </w:r>
            <w:r w:rsidRPr="004C6D3F">
              <w:rPr>
                <w:rFonts w:cs="Symbol"/>
                <w:sz w:val="28"/>
                <w:szCs w:val="28"/>
              </w:rPr>
              <w:t>,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54</w:t>
            </w:r>
          </w:p>
        </w:tc>
        <w:tc>
          <w:tcPr>
            <w:tcW w:w="198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uk-UA"/>
              </w:rPr>
              <w:t>23</w:t>
            </w:r>
            <w:r w:rsidRPr="004C6D3F">
              <w:rPr>
                <w:sz w:val="28"/>
                <w:szCs w:val="28"/>
              </w:rPr>
              <w:t>,</w:t>
            </w:r>
            <w:r w:rsidRPr="004C6D3F">
              <w:rPr>
                <w:sz w:val="28"/>
                <w:szCs w:val="28"/>
                <w:lang w:val="uk-UA"/>
              </w:rPr>
              <w:t>82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1</w:t>
            </w:r>
            <w:r w:rsidRPr="004C6D3F">
              <w:rPr>
                <w:rFonts w:cs="Symbol"/>
                <w:sz w:val="28"/>
                <w:szCs w:val="28"/>
              </w:rPr>
              <w:t>,</w:t>
            </w:r>
            <w:r w:rsidRPr="004C6D3F">
              <w:rPr>
                <w:rFonts w:cs="Symbol"/>
                <w:sz w:val="28"/>
                <w:szCs w:val="28"/>
                <w:lang w:val="uk-UA"/>
              </w:rPr>
              <w:t>28</w:t>
            </w:r>
          </w:p>
        </w:tc>
        <w:tc>
          <w:tcPr>
            <w:tcW w:w="1980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6</w:t>
            </w:r>
            <w:r w:rsidRPr="004C6D3F">
              <w:rPr>
                <w:sz w:val="28"/>
                <w:szCs w:val="28"/>
              </w:rPr>
              <w:t>4,54</w:t>
            </w:r>
            <w:r w:rsidRPr="004C6D3F">
              <w:rPr>
                <w:sz w:val="28"/>
                <w:szCs w:val="28"/>
                <w:lang w:val="uk-UA"/>
              </w:rPr>
              <w:t>±</w:t>
            </w:r>
            <w:r w:rsidRPr="004C6D3F">
              <w:rPr>
                <w:rFonts w:cs="Symbol"/>
                <w:sz w:val="28"/>
                <w:szCs w:val="28"/>
                <w:lang w:val="en-US"/>
              </w:rPr>
              <w:t>1,</w:t>
            </w:r>
            <w:r w:rsidRPr="004C6D3F">
              <w:rPr>
                <w:rFonts w:cs="Symbol"/>
                <w:sz w:val="28"/>
                <w:szCs w:val="28"/>
              </w:rPr>
              <w:t>29</w:t>
            </w:r>
          </w:p>
        </w:tc>
      </w:tr>
    </w:tbl>
    <w:p w:rsidR="003B05B6" w:rsidRPr="004C6D3F" w:rsidRDefault="003B05B6" w:rsidP="003B05B6">
      <w:pPr>
        <w:rPr>
          <w:sz w:val="28"/>
          <w:szCs w:val="28"/>
          <w:lang w:val="uk-UA"/>
        </w:rPr>
      </w:pPr>
      <w:r w:rsidRPr="004C6D3F">
        <w:rPr>
          <w:sz w:val="28"/>
          <w:szCs w:val="28"/>
        </w:rPr>
        <w:t>Прим</w:t>
      </w:r>
      <w:r w:rsidRPr="004C6D3F">
        <w:rPr>
          <w:sz w:val="28"/>
          <w:szCs w:val="28"/>
          <w:lang w:val="uk-UA"/>
        </w:rPr>
        <w:t>і</w:t>
      </w:r>
      <w:r w:rsidRPr="004C6D3F">
        <w:rPr>
          <w:sz w:val="28"/>
          <w:szCs w:val="28"/>
        </w:rPr>
        <w:t>тки:</w:t>
      </w:r>
    </w:p>
    <w:p w:rsidR="003B05B6" w:rsidRPr="004C6D3F" w:rsidRDefault="003B05B6" w:rsidP="0033412B">
      <w:pPr>
        <w:numPr>
          <w:ilvl w:val="0"/>
          <w:numId w:val="14"/>
        </w:numPr>
        <w:spacing w:after="0" w:line="240" w:lineRule="auto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* - достовірність у порівнянні з контрольною групою ЗД (p&lt;0,001);</w:t>
      </w:r>
    </w:p>
    <w:p w:rsidR="003B05B6" w:rsidRPr="004C6D3F" w:rsidRDefault="003B05B6" w:rsidP="0033412B">
      <w:pPr>
        <w:numPr>
          <w:ilvl w:val="0"/>
          <w:numId w:val="14"/>
        </w:numPr>
        <w:spacing w:after="0" w:line="240" w:lineRule="auto"/>
        <w:rPr>
          <w:sz w:val="28"/>
          <w:szCs w:val="28"/>
          <w:lang w:val="uk-UA"/>
        </w:rPr>
      </w:pPr>
      <w:r w:rsidRPr="004C6D3F">
        <w:rPr>
          <w:rFonts w:ascii="Symbol" w:hAnsi="Symbol" w:cs="Symbol"/>
          <w:sz w:val="28"/>
          <w:szCs w:val="28"/>
          <w:lang w:val="uk-UA"/>
        </w:rPr>
        <w:t></w:t>
      </w:r>
      <w:r w:rsidRPr="004C6D3F">
        <w:rPr>
          <w:rFonts w:cs="Symbol"/>
          <w:sz w:val="28"/>
          <w:szCs w:val="28"/>
        </w:rPr>
        <w:t xml:space="preserve">- </w:t>
      </w:r>
      <w:r w:rsidRPr="004C6D3F">
        <w:rPr>
          <w:sz w:val="28"/>
          <w:szCs w:val="28"/>
          <w:lang w:val="uk-UA"/>
        </w:rPr>
        <w:t>достовірність у порівнянні з групою НЕКОР (p&lt;0,05);</w:t>
      </w:r>
    </w:p>
    <w:p w:rsidR="003B05B6" w:rsidRPr="004C6D3F" w:rsidRDefault="003B05B6" w:rsidP="0033412B">
      <w:pPr>
        <w:numPr>
          <w:ilvl w:val="0"/>
          <w:numId w:val="14"/>
        </w:numPr>
        <w:spacing w:after="0" w:line="240" w:lineRule="auto"/>
        <w:rPr>
          <w:sz w:val="28"/>
          <w:szCs w:val="28"/>
          <w:lang w:val="uk-UA"/>
        </w:rPr>
      </w:pPr>
      <w:r w:rsidRPr="004C6D3F">
        <w:rPr>
          <w:rFonts w:ascii="Symbol" w:hAnsi="Symbol" w:cs="Symbol"/>
          <w:sz w:val="28"/>
          <w:szCs w:val="28"/>
          <w:lang w:val="uk-UA"/>
        </w:rPr>
        <w:t></w:t>
      </w:r>
      <w:r w:rsidRPr="004C6D3F">
        <w:rPr>
          <w:sz w:val="28"/>
          <w:szCs w:val="28"/>
          <w:lang w:val="uk-UA"/>
        </w:rPr>
        <w:t>-  достовірність у порівнянні з аналогічними показниками на І етапі (p&lt;0,01).</w:t>
      </w:r>
    </w:p>
    <w:p w:rsidR="003B05B6" w:rsidRPr="004C6D3F" w:rsidRDefault="003B05B6" w:rsidP="003B05B6">
      <w:pPr>
        <w:spacing w:line="264" w:lineRule="auto"/>
        <w:ind w:firstLine="539"/>
        <w:jc w:val="both"/>
        <w:rPr>
          <w:sz w:val="28"/>
          <w:szCs w:val="28"/>
          <w:lang w:val="uk-UA"/>
        </w:rPr>
      </w:pPr>
    </w:p>
    <w:p w:rsidR="003B05B6" w:rsidRPr="004C6D3F" w:rsidRDefault="003B05B6" w:rsidP="003B05B6">
      <w:pPr>
        <w:spacing w:line="253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lastRenderedPageBreak/>
        <w:t>Виходячи з того, що в нашому дослідженні група НЕКОР не є однорідною, ми провели пор</w:t>
      </w:r>
      <w:r w:rsidRPr="004C6D3F">
        <w:rPr>
          <w:sz w:val="28"/>
          <w:szCs w:val="28"/>
          <w:lang w:val="uk-UA"/>
        </w:rPr>
        <w:t>і</w:t>
      </w:r>
      <w:r w:rsidRPr="004C6D3F">
        <w:rPr>
          <w:sz w:val="28"/>
          <w:szCs w:val="28"/>
          <w:lang w:val="uk-UA"/>
        </w:rPr>
        <w:t>вняльне дослідження ефектів за</w:t>
      </w:r>
      <w:r>
        <w:rPr>
          <w:sz w:val="28"/>
          <w:szCs w:val="28"/>
          <w:lang w:val="uk-UA"/>
        </w:rPr>
        <w:t>стосованої схеми лікування у</w:t>
      </w:r>
      <w:r w:rsidRPr="004C6D3F">
        <w:rPr>
          <w:sz w:val="28"/>
          <w:szCs w:val="28"/>
          <w:lang w:val="uk-UA"/>
        </w:rPr>
        <w:t>середині цієї групи. Аналіз провод</w:t>
      </w:r>
      <w:r w:rsidRPr="004C6D3F">
        <w:rPr>
          <w:sz w:val="28"/>
          <w:szCs w:val="28"/>
          <w:lang w:val="uk-UA"/>
        </w:rPr>
        <w:t>и</w:t>
      </w:r>
      <w:r w:rsidRPr="004C6D3F">
        <w:rPr>
          <w:sz w:val="28"/>
          <w:szCs w:val="28"/>
          <w:lang w:val="uk-UA"/>
        </w:rPr>
        <w:t>ли у хворих в групах ХМ та ДКМП. Перед проведенням розрахунків групи хворих були рандомізовані за значеннями іКДО ЛШ, площі ЛШ в діастолу (Sд) і ФВ ЛШ, що розраховувались з використанням методу дисків Сімпс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>на. Середні показники іКДО ЛШ в групі ДКМП становили 124,97±3,41мл/м</w:t>
      </w:r>
      <w:r w:rsidRPr="004C6D3F">
        <w:rPr>
          <w:sz w:val="28"/>
          <w:szCs w:val="28"/>
          <w:vertAlign w:val="superscript"/>
          <w:lang w:val="uk-UA"/>
        </w:rPr>
        <w:t>2</w:t>
      </w:r>
      <w:r w:rsidRPr="004C6D3F">
        <w:rPr>
          <w:sz w:val="28"/>
          <w:szCs w:val="28"/>
          <w:lang w:val="uk-UA"/>
        </w:rPr>
        <w:t>, а в групі ХМ - 119</w:t>
      </w:r>
      <w:r w:rsidRPr="004C6D3F">
        <w:rPr>
          <w:sz w:val="28"/>
          <w:szCs w:val="28"/>
        </w:rPr>
        <w:t>,</w:t>
      </w:r>
      <w:r w:rsidRPr="004C6D3F">
        <w:rPr>
          <w:sz w:val="28"/>
          <w:szCs w:val="28"/>
          <w:lang w:val="uk-UA"/>
        </w:rPr>
        <w:t>41</w:t>
      </w:r>
      <w:r w:rsidRPr="004C6D3F">
        <w:rPr>
          <w:sz w:val="28"/>
          <w:szCs w:val="28"/>
        </w:rPr>
        <w:t>±</w:t>
      </w:r>
      <w:r w:rsidRPr="004C6D3F">
        <w:rPr>
          <w:sz w:val="28"/>
          <w:szCs w:val="28"/>
          <w:lang w:val="uk-UA"/>
        </w:rPr>
        <w:t>4</w:t>
      </w:r>
      <w:r w:rsidRPr="004C6D3F">
        <w:rPr>
          <w:rFonts w:cs="Symbol"/>
          <w:sz w:val="28"/>
          <w:szCs w:val="28"/>
        </w:rPr>
        <w:t>,</w:t>
      </w:r>
      <w:r w:rsidRPr="004C6D3F">
        <w:rPr>
          <w:rFonts w:cs="Symbol"/>
          <w:sz w:val="28"/>
          <w:szCs w:val="28"/>
          <w:lang w:val="uk-UA"/>
        </w:rPr>
        <w:t>20</w:t>
      </w:r>
      <w:r w:rsidRPr="004C6D3F">
        <w:rPr>
          <w:sz w:val="28"/>
          <w:szCs w:val="28"/>
          <w:lang w:val="uk-UA"/>
        </w:rPr>
        <w:t>мл/м</w:t>
      </w:r>
      <w:r w:rsidRPr="004C6D3F">
        <w:rPr>
          <w:sz w:val="28"/>
          <w:szCs w:val="28"/>
          <w:vertAlign w:val="superscript"/>
          <w:lang w:val="uk-UA"/>
        </w:rPr>
        <w:t>2</w:t>
      </w:r>
      <w:r w:rsidRPr="004C6D3F">
        <w:rPr>
          <w:rFonts w:cs="Symbol"/>
          <w:sz w:val="28"/>
          <w:szCs w:val="28"/>
          <w:lang w:val="uk-UA"/>
        </w:rPr>
        <w:t xml:space="preserve"> (р=</w:t>
      </w:r>
      <w:r w:rsidRPr="004C6D3F">
        <w:rPr>
          <w:sz w:val="28"/>
          <w:szCs w:val="28"/>
          <w:lang w:val="uk-UA"/>
        </w:rPr>
        <w:t>0,07). Середні початкові значення Sд ЛШ в групі ДКМП становили 54,99±1,88см</w:t>
      </w:r>
      <w:r w:rsidRPr="004C6D3F">
        <w:rPr>
          <w:sz w:val="28"/>
          <w:szCs w:val="28"/>
          <w:vertAlign w:val="superscript"/>
          <w:lang w:val="uk-UA"/>
        </w:rPr>
        <w:t>2</w:t>
      </w:r>
      <w:r w:rsidRPr="004C6D3F">
        <w:rPr>
          <w:sz w:val="28"/>
          <w:szCs w:val="28"/>
          <w:lang w:val="uk-UA"/>
        </w:rPr>
        <w:t>, а в групі ХМ - 52,61±1,02см</w:t>
      </w:r>
      <w:r w:rsidRPr="004C6D3F">
        <w:rPr>
          <w:sz w:val="28"/>
          <w:szCs w:val="28"/>
          <w:vertAlign w:val="superscript"/>
          <w:lang w:val="uk-UA"/>
        </w:rPr>
        <w:t>2</w:t>
      </w:r>
      <w:r w:rsidRPr="004C6D3F">
        <w:rPr>
          <w:sz w:val="28"/>
          <w:szCs w:val="28"/>
          <w:lang w:val="uk-UA"/>
        </w:rPr>
        <w:t>. Середні значення ФВ ЛШ в групі ДКМП дорі</w:t>
      </w:r>
      <w:r w:rsidRPr="004C6D3F">
        <w:rPr>
          <w:sz w:val="28"/>
          <w:szCs w:val="28"/>
          <w:lang w:val="uk-UA"/>
        </w:rPr>
        <w:t>в</w:t>
      </w:r>
      <w:r w:rsidRPr="004C6D3F">
        <w:rPr>
          <w:sz w:val="28"/>
          <w:szCs w:val="28"/>
          <w:lang w:val="uk-UA"/>
        </w:rPr>
        <w:t>нювали 33,06</w:t>
      </w:r>
      <w:r w:rsidRPr="004C6D3F">
        <w:rPr>
          <w:sz w:val="28"/>
          <w:szCs w:val="28"/>
        </w:rPr>
        <w:t>±</w:t>
      </w:r>
      <w:r w:rsidRPr="004C6D3F">
        <w:rPr>
          <w:rFonts w:cs="Symbol"/>
          <w:sz w:val="28"/>
          <w:szCs w:val="28"/>
          <w:lang w:val="uk-UA"/>
        </w:rPr>
        <w:t>1,09%, а в групі ХМ -</w:t>
      </w:r>
      <w:r w:rsidRPr="004C6D3F">
        <w:rPr>
          <w:sz w:val="28"/>
          <w:szCs w:val="28"/>
          <w:lang w:val="uk-UA"/>
        </w:rPr>
        <w:t>34,55</w:t>
      </w:r>
      <w:r w:rsidRPr="004C6D3F">
        <w:rPr>
          <w:rFonts w:ascii="Symbol" w:hAnsi="Symbol" w:cs="Symbol"/>
          <w:sz w:val="28"/>
          <w:szCs w:val="28"/>
        </w:rPr>
        <w:t></w:t>
      </w:r>
      <w:r w:rsidRPr="004C6D3F">
        <w:rPr>
          <w:rFonts w:cs="Symbol"/>
          <w:sz w:val="28"/>
          <w:szCs w:val="28"/>
          <w:lang w:val="uk-UA"/>
        </w:rPr>
        <w:t xml:space="preserve">0,66%. </w:t>
      </w:r>
      <w:r w:rsidRPr="004C6D3F">
        <w:rPr>
          <w:sz w:val="28"/>
          <w:szCs w:val="28"/>
          <w:lang w:val="uk-UA"/>
        </w:rPr>
        <w:t>В обох групах у всіх пацієнтів визначався важкий (≥97 мл/м</w:t>
      </w:r>
      <w:r w:rsidRPr="004C6D3F">
        <w:rPr>
          <w:sz w:val="28"/>
          <w:szCs w:val="28"/>
          <w:vertAlign w:val="superscript"/>
          <w:lang w:val="uk-UA"/>
        </w:rPr>
        <w:t>2</w:t>
      </w:r>
      <w:r w:rsidRPr="004C6D3F">
        <w:rPr>
          <w:sz w:val="28"/>
          <w:szCs w:val="28"/>
          <w:lang w:val="uk-UA"/>
        </w:rPr>
        <w:t>) ст</w:t>
      </w:r>
      <w:r w:rsidRPr="004C6D3F">
        <w:rPr>
          <w:sz w:val="28"/>
          <w:szCs w:val="28"/>
          <w:lang w:val="uk-UA"/>
        </w:rPr>
        <w:t>у</w:t>
      </w:r>
      <w:r w:rsidRPr="004C6D3F">
        <w:rPr>
          <w:sz w:val="28"/>
          <w:szCs w:val="28"/>
          <w:lang w:val="uk-UA"/>
        </w:rPr>
        <w:t>пінь збільшення значень іКДО ЛШ і важкий (ФВ&lt;30%) та середній (ФВ=30-44%) ступені зниже</w:t>
      </w:r>
      <w:r w:rsidRPr="004C6D3F">
        <w:rPr>
          <w:sz w:val="28"/>
          <w:szCs w:val="28"/>
          <w:lang w:val="uk-UA"/>
        </w:rPr>
        <w:t>н</w:t>
      </w:r>
      <w:r w:rsidRPr="004C6D3F">
        <w:rPr>
          <w:sz w:val="28"/>
          <w:szCs w:val="28"/>
          <w:lang w:val="uk-UA"/>
        </w:rPr>
        <w:t>ня ФВ ЛШ. У більшості хворих як з групи ДКМП (77,3%), так і з групи ХМ (87%) в</w:t>
      </w:r>
      <w:r w:rsidRPr="004C6D3F">
        <w:rPr>
          <w:sz w:val="28"/>
          <w:szCs w:val="28"/>
          <w:lang w:val="uk-UA"/>
        </w:rPr>
        <w:t>и</w:t>
      </w:r>
      <w:r w:rsidRPr="004C6D3F">
        <w:rPr>
          <w:sz w:val="28"/>
          <w:szCs w:val="28"/>
          <w:lang w:val="uk-UA"/>
        </w:rPr>
        <w:t xml:space="preserve">значалось зниження ФВ ЛШ середньої важкості (р=0,297). </w:t>
      </w:r>
    </w:p>
    <w:p w:rsidR="003B05B6" w:rsidRPr="004C6D3F" w:rsidRDefault="003B05B6" w:rsidP="003B05B6">
      <w:pPr>
        <w:spacing w:line="252" w:lineRule="auto"/>
        <w:ind w:firstLine="539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Початкові характеристики хворих (співвідношення хворих за статтю, стадією ХСН та </w:t>
      </w:r>
      <w:r w:rsidRPr="00BB3CAD">
        <w:rPr>
          <w:sz w:val="28"/>
          <w:szCs w:val="28"/>
          <w:lang w:val="uk-UA"/>
        </w:rPr>
        <w:t>ФК</w:t>
      </w:r>
      <w:r w:rsidRPr="004C6D3F">
        <w:rPr>
          <w:sz w:val="28"/>
          <w:szCs w:val="28"/>
          <w:lang w:val="uk-UA"/>
        </w:rPr>
        <w:t>) в обох групах достовірно не відрізнялись. Не було виявлено достовірних розбіжностей у віці паціє</w:t>
      </w:r>
      <w:r w:rsidRPr="004C6D3F">
        <w:rPr>
          <w:sz w:val="28"/>
          <w:szCs w:val="28"/>
          <w:lang w:val="uk-UA"/>
        </w:rPr>
        <w:t>н</w:t>
      </w:r>
      <w:r w:rsidRPr="004C6D3F">
        <w:rPr>
          <w:sz w:val="28"/>
          <w:szCs w:val="28"/>
          <w:lang w:val="uk-UA"/>
        </w:rPr>
        <w:t>тів, рівнях САТ і ДАТ, ЧСС і тижневій дозі фуросеміду. Достовірно ві</w:t>
      </w:r>
      <w:r w:rsidRPr="004C6D3F">
        <w:rPr>
          <w:sz w:val="28"/>
          <w:szCs w:val="28"/>
          <w:lang w:val="uk-UA"/>
        </w:rPr>
        <w:t>д</w:t>
      </w:r>
      <w:r w:rsidRPr="004C6D3F">
        <w:rPr>
          <w:sz w:val="28"/>
          <w:szCs w:val="28"/>
          <w:lang w:val="uk-UA"/>
        </w:rPr>
        <w:t>різнялась лише тривалість ХСН: симптоми у хворих з групи ДКМП спостерігалися в середнь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>му 42,27±6,23 міс., що в 3,4 рази перевищувало тривалість симптомів у пацієнтів з групи ХМ (12,45±4,46 міс.) (р=0,001).</w:t>
      </w:r>
    </w:p>
    <w:p w:rsidR="003B05B6" w:rsidRPr="004C6D3F" w:rsidRDefault="003B05B6" w:rsidP="003B05B6">
      <w:pPr>
        <w:spacing w:line="252" w:lineRule="auto"/>
        <w:ind w:firstLine="539"/>
        <w:jc w:val="both"/>
        <w:rPr>
          <w:sz w:val="28"/>
          <w:szCs w:val="28"/>
          <w:lang w:val="uk-UA"/>
        </w:rPr>
      </w:pPr>
      <w:r w:rsidRPr="002D18DB">
        <w:rPr>
          <w:sz w:val="28"/>
          <w:szCs w:val="28"/>
          <w:lang w:val="uk-UA"/>
        </w:rPr>
        <w:t xml:space="preserve">Аналіз отриманих даних показав, що </w:t>
      </w:r>
      <w:r>
        <w:rPr>
          <w:sz w:val="28"/>
          <w:szCs w:val="28"/>
          <w:lang w:val="uk-UA"/>
        </w:rPr>
        <w:t>в</w:t>
      </w:r>
      <w:r w:rsidRPr="004C6D3F">
        <w:rPr>
          <w:sz w:val="28"/>
          <w:szCs w:val="28"/>
          <w:lang w:val="uk-UA"/>
        </w:rPr>
        <w:t xml:space="preserve"> обох групах практично вдалося досягти цільових для нашого дослідження доз препаратів (табл.</w:t>
      </w:r>
      <w:r>
        <w:rPr>
          <w:sz w:val="28"/>
          <w:szCs w:val="28"/>
          <w:lang w:val="uk-UA"/>
        </w:rPr>
        <w:t>5</w:t>
      </w:r>
      <w:r w:rsidRPr="004C6D3F">
        <w:rPr>
          <w:sz w:val="28"/>
          <w:szCs w:val="28"/>
          <w:lang w:val="uk-UA"/>
        </w:rPr>
        <w:t xml:space="preserve">). </w:t>
      </w:r>
    </w:p>
    <w:p w:rsidR="003B05B6" w:rsidRPr="004C6D3F" w:rsidRDefault="003B05B6" w:rsidP="003B05B6">
      <w:pPr>
        <w:widowControl w:val="0"/>
        <w:autoSpaceDE w:val="0"/>
        <w:autoSpaceDN w:val="0"/>
        <w:adjustRightInd w:val="0"/>
        <w:spacing w:line="264" w:lineRule="auto"/>
        <w:ind w:firstLine="567"/>
        <w:jc w:val="right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Таблиця </w:t>
      </w:r>
      <w:r>
        <w:rPr>
          <w:sz w:val="28"/>
          <w:szCs w:val="28"/>
          <w:lang w:val="uk-UA"/>
        </w:rPr>
        <w:t>5</w:t>
      </w:r>
    </w:p>
    <w:p w:rsidR="003B05B6" w:rsidRPr="004C6D3F" w:rsidRDefault="003B05B6" w:rsidP="003B05B6">
      <w:pPr>
        <w:spacing w:line="264" w:lineRule="auto"/>
        <w:jc w:val="center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Середні дози карведилолу</w:t>
      </w:r>
      <w:r w:rsidRPr="002D18DB">
        <w:rPr>
          <w:sz w:val="28"/>
          <w:szCs w:val="28"/>
          <w:lang w:val="uk-UA"/>
        </w:rPr>
        <w:t>,</w:t>
      </w:r>
      <w:r w:rsidRPr="004C6D3F">
        <w:rPr>
          <w:sz w:val="28"/>
          <w:szCs w:val="28"/>
          <w:lang w:val="uk-UA"/>
        </w:rPr>
        <w:t xml:space="preserve"> еналаприлу та співвідношення хворих в групах ХМ та ДКМП, які досягли цільових доз препаратів на етапах дослідження.</w:t>
      </w:r>
    </w:p>
    <w:tbl>
      <w:tblPr>
        <w:tblStyle w:val="ae"/>
        <w:tblW w:w="10368" w:type="dxa"/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1620"/>
        <w:gridCol w:w="1620"/>
        <w:gridCol w:w="2520"/>
        <w:gridCol w:w="2340"/>
      </w:tblGrid>
      <w:tr w:rsidR="003B05B6" w:rsidRPr="004C6D3F" w:rsidTr="0077257F">
        <w:tc>
          <w:tcPr>
            <w:tcW w:w="1188" w:type="dxa"/>
            <w:vMerge w:val="restart"/>
            <w:vAlign w:val="center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1080" w:type="dxa"/>
            <w:vMerge w:val="restart"/>
            <w:vAlign w:val="center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Етапи</w:t>
            </w:r>
          </w:p>
        </w:tc>
        <w:tc>
          <w:tcPr>
            <w:tcW w:w="8100" w:type="dxa"/>
            <w:gridSpan w:val="4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Показники</w:t>
            </w:r>
          </w:p>
        </w:tc>
      </w:tr>
      <w:tr w:rsidR="003B05B6" w:rsidRPr="004C6D3F" w:rsidTr="0077257F">
        <w:tc>
          <w:tcPr>
            <w:tcW w:w="1188" w:type="dxa"/>
            <w:vMerge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3B05B6" w:rsidRPr="00594238" w:rsidRDefault="003B05B6" w:rsidP="007725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uk-UA"/>
              </w:rPr>
              <w:t>Доза карв</w:t>
            </w:r>
            <w:r w:rsidRPr="00594238">
              <w:rPr>
                <w:sz w:val="28"/>
                <w:szCs w:val="28"/>
                <w:lang w:val="uk-UA"/>
              </w:rPr>
              <w:t>е</w:t>
            </w:r>
            <w:r w:rsidRPr="00594238">
              <w:rPr>
                <w:sz w:val="28"/>
                <w:szCs w:val="28"/>
                <w:lang w:val="uk-UA"/>
              </w:rPr>
              <w:t>дилолу, мг/добу</w:t>
            </w:r>
          </w:p>
        </w:tc>
        <w:tc>
          <w:tcPr>
            <w:tcW w:w="162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Доза енала</w:t>
            </w:r>
            <w:r w:rsidRPr="004C6D3F">
              <w:rPr>
                <w:sz w:val="28"/>
                <w:szCs w:val="28"/>
                <w:lang w:val="uk-UA"/>
              </w:rPr>
              <w:t>п</w:t>
            </w:r>
            <w:r w:rsidRPr="004C6D3F">
              <w:rPr>
                <w:sz w:val="28"/>
                <w:szCs w:val="28"/>
                <w:lang w:val="uk-UA"/>
              </w:rPr>
              <w:t>рилу, мг/добу</w:t>
            </w:r>
          </w:p>
        </w:tc>
        <w:tc>
          <w:tcPr>
            <w:tcW w:w="252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Частка хворих, що досягли цільової дози карведилолу, %</w:t>
            </w:r>
          </w:p>
        </w:tc>
        <w:tc>
          <w:tcPr>
            <w:tcW w:w="234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Частка хворих, що досягли цільової дози еналаприлу, %</w:t>
            </w:r>
          </w:p>
        </w:tc>
      </w:tr>
      <w:tr w:rsidR="003B05B6" w:rsidRPr="004C6D3F" w:rsidTr="0077257F">
        <w:tc>
          <w:tcPr>
            <w:tcW w:w="1188" w:type="dxa"/>
            <w:vMerge w:val="restart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uk-UA"/>
              </w:rPr>
              <w:t>ХМ (n=54)</w:t>
            </w:r>
          </w:p>
        </w:tc>
        <w:tc>
          <w:tcPr>
            <w:tcW w:w="108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0" w:type="dxa"/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uk-UA"/>
              </w:rPr>
              <w:t>51,90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sz w:val="28"/>
                <w:szCs w:val="28"/>
                <w:lang w:val="uk-UA"/>
              </w:rPr>
              <w:t>1,58</w:t>
            </w:r>
          </w:p>
        </w:tc>
        <w:tc>
          <w:tcPr>
            <w:tcW w:w="1620" w:type="dxa"/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en-US"/>
              </w:rPr>
              <w:t>1</w:t>
            </w:r>
            <w:r w:rsidRPr="004C6D3F">
              <w:rPr>
                <w:sz w:val="28"/>
                <w:szCs w:val="28"/>
              </w:rPr>
              <w:t>3</w:t>
            </w:r>
            <w:r w:rsidRPr="004C6D3F">
              <w:rPr>
                <w:sz w:val="28"/>
                <w:szCs w:val="28"/>
                <w:lang w:val="uk-UA"/>
              </w:rPr>
              <w:t>,29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sz w:val="28"/>
                <w:szCs w:val="28"/>
                <w:lang w:val="uk-UA"/>
              </w:rPr>
              <w:t>0,79</w:t>
            </w:r>
          </w:p>
        </w:tc>
        <w:tc>
          <w:tcPr>
            <w:tcW w:w="252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9</w:t>
            </w:r>
            <w:r w:rsidRPr="004C6D3F">
              <w:rPr>
                <w:sz w:val="28"/>
                <w:szCs w:val="28"/>
                <w:lang w:val="en-US"/>
              </w:rPr>
              <w:t>2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86</w:t>
            </w:r>
          </w:p>
        </w:tc>
        <w:tc>
          <w:tcPr>
            <w:tcW w:w="234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en-US"/>
              </w:rPr>
              <w:t>25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70</w:t>
            </w:r>
          </w:p>
        </w:tc>
      </w:tr>
      <w:tr w:rsidR="003B05B6" w:rsidRPr="004C6D3F" w:rsidTr="0077257F">
        <w:tc>
          <w:tcPr>
            <w:tcW w:w="1188" w:type="dxa"/>
            <w:vMerge/>
            <w:vAlign w:val="center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620" w:type="dxa"/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en-US"/>
              </w:rPr>
              <w:t>9</w:t>
            </w:r>
            <w:r w:rsidRPr="004C6D3F">
              <w:rPr>
                <w:sz w:val="28"/>
                <w:szCs w:val="28"/>
              </w:rPr>
              <w:t>1</w:t>
            </w:r>
            <w:r w:rsidRPr="004C6D3F">
              <w:rPr>
                <w:sz w:val="28"/>
                <w:szCs w:val="28"/>
                <w:lang w:val="uk-UA"/>
              </w:rPr>
              <w:t>,32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sz w:val="28"/>
                <w:szCs w:val="28"/>
                <w:lang w:val="uk-UA"/>
              </w:rPr>
              <w:t>3,63</w:t>
            </w:r>
          </w:p>
        </w:tc>
        <w:tc>
          <w:tcPr>
            <w:tcW w:w="1620" w:type="dxa"/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</w:rPr>
              <w:t>15</w:t>
            </w:r>
            <w:r w:rsidRPr="004C6D3F">
              <w:rPr>
                <w:sz w:val="28"/>
                <w:szCs w:val="28"/>
                <w:lang w:val="uk-UA"/>
              </w:rPr>
              <w:t>,24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sz w:val="28"/>
                <w:szCs w:val="28"/>
                <w:lang w:val="en-US"/>
              </w:rPr>
              <w:t>0</w:t>
            </w:r>
            <w:r w:rsidRPr="004C6D3F">
              <w:rPr>
                <w:sz w:val="28"/>
                <w:szCs w:val="28"/>
                <w:lang w:val="uk-UA"/>
              </w:rPr>
              <w:t>,8</w:t>
            </w:r>
            <w:r w:rsidRPr="004C6D3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52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77,</w:t>
            </w:r>
            <w:r w:rsidRPr="004C6D3F"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234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4</w:t>
            </w:r>
            <w:r w:rsidRPr="004C6D3F">
              <w:rPr>
                <w:sz w:val="28"/>
                <w:szCs w:val="28"/>
                <w:lang w:val="en-US"/>
              </w:rPr>
              <w:t>5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20</w:t>
            </w:r>
          </w:p>
        </w:tc>
      </w:tr>
      <w:tr w:rsidR="003B05B6" w:rsidRPr="004C6D3F" w:rsidTr="0077257F">
        <w:tc>
          <w:tcPr>
            <w:tcW w:w="1188" w:type="dxa"/>
            <w:vMerge/>
            <w:vAlign w:val="center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620" w:type="dxa"/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</w:rPr>
              <w:t>93</w:t>
            </w:r>
            <w:r w:rsidRPr="004C6D3F">
              <w:rPr>
                <w:sz w:val="28"/>
                <w:szCs w:val="28"/>
                <w:lang w:val="uk-UA"/>
              </w:rPr>
              <w:t>,57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sz w:val="28"/>
                <w:szCs w:val="28"/>
                <w:lang w:val="uk-UA"/>
              </w:rPr>
              <w:t>2,60</w:t>
            </w:r>
          </w:p>
        </w:tc>
        <w:tc>
          <w:tcPr>
            <w:tcW w:w="1620" w:type="dxa"/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</w:rPr>
              <w:t>18</w:t>
            </w:r>
            <w:r w:rsidRPr="004C6D3F">
              <w:rPr>
                <w:sz w:val="28"/>
                <w:szCs w:val="28"/>
                <w:lang w:val="uk-UA"/>
              </w:rPr>
              <w:t>,41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sz w:val="28"/>
                <w:szCs w:val="28"/>
                <w:lang w:val="en-US"/>
              </w:rPr>
              <w:t>0</w:t>
            </w:r>
            <w:r w:rsidRPr="004C6D3F">
              <w:rPr>
                <w:sz w:val="28"/>
                <w:szCs w:val="28"/>
                <w:lang w:val="uk-UA"/>
              </w:rPr>
              <w:t>,69</w:t>
            </w:r>
          </w:p>
        </w:tc>
        <w:tc>
          <w:tcPr>
            <w:tcW w:w="252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7</w:t>
            </w:r>
            <w:r w:rsidRPr="004C6D3F">
              <w:rPr>
                <w:sz w:val="28"/>
                <w:szCs w:val="28"/>
                <w:lang w:val="en-US"/>
              </w:rPr>
              <w:t>0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234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7</w:t>
            </w:r>
            <w:r w:rsidRPr="004C6D3F">
              <w:rPr>
                <w:sz w:val="28"/>
                <w:szCs w:val="28"/>
                <w:lang w:val="en-US"/>
              </w:rPr>
              <w:t>7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30</w:t>
            </w:r>
          </w:p>
        </w:tc>
      </w:tr>
      <w:tr w:rsidR="003B05B6" w:rsidRPr="004C6D3F" w:rsidTr="0077257F">
        <w:tc>
          <w:tcPr>
            <w:tcW w:w="1188" w:type="dxa"/>
            <w:vMerge w:val="restart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ДКМП</w:t>
            </w:r>
            <w:r w:rsidRPr="004C6D3F">
              <w:rPr>
                <w:sz w:val="28"/>
                <w:szCs w:val="28"/>
                <w:lang w:val="en-US"/>
              </w:rPr>
              <w:t xml:space="preserve"> </w:t>
            </w:r>
            <w:r w:rsidRPr="004C6D3F">
              <w:rPr>
                <w:sz w:val="28"/>
                <w:szCs w:val="28"/>
                <w:lang w:val="uk-UA"/>
              </w:rPr>
              <w:t>(n=</w:t>
            </w:r>
            <w:r w:rsidRPr="004C6D3F">
              <w:rPr>
                <w:sz w:val="28"/>
                <w:szCs w:val="28"/>
                <w:lang w:val="en-US"/>
              </w:rPr>
              <w:t>28</w:t>
            </w:r>
            <w:r w:rsidRPr="004C6D3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08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0" w:type="dxa"/>
          </w:tcPr>
          <w:p w:rsidR="003B05B6" w:rsidRPr="004C6D3F" w:rsidRDefault="003B05B6" w:rsidP="0077257F">
            <w:pPr>
              <w:autoSpaceDE w:val="0"/>
              <w:autoSpaceDN w:val="0"/>
              <w:adjustRightInd w:val="0"/>
              <w:spacing w:line="264" w:lineRule="auto"/>
              <w:rPr>
                <w:rFonts w:ascii="MS Shell Dlg" w:hAnsi="MS Shell Dlg" w:cs="MS Shell Dlg"/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uk-UA"/>
              </w:rPr>
              <w:t>50,35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sz w:val="28"/>
                <w:szCs w:val="28"/>
                <w:lang w:val="uk-UA"/>
              </w:rPr>
              <w:t>1,92</w:t>
            </w:r>
          </w:p>
        </w:tc>
        <w:tc>
          <w:tcPr>
            <w:tcW w:w="1620" w:type="dxa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>31</w:t>
            </w:r>
            <w:r w:rsidRPr="004C6D3F"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  <w:lang w:val="en-US"/>
              </w:rPr>
              <w:t>1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52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en-US"/>
              </w:rPr>
              <w:t>94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234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en-US"/>
              </w:rPr>
              <w:t>38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8</w:t>
            </w:r>
            <w:r w:rsidRPr="004C6D3F">
              <w:rPr>
                <w:sz w:val="28"/>
                <w:szCs w:val="28"/>
                <w:lang w:val="uk-UA"/>
              </w:rPr>
              <w:t>0</w:t>
            </w:r>
          </w:p>
        </w:tc>
      </w:tr>
      <w:tr w:rsidR="003B05B6" w:rsidRPr="004C6D3F" w:rsidTr="0077257F">
        <w:tc>
          <w:tcPr>
            <w:tcW w:w="1188" w:type="dxa"/>
            <w:vMerge/>
            <w:vAlign w:val="center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620" w:type="dxa"/>
          </w:tcPr>
          <w:p w:rsidR="003B05B6" w:rsidRPr="004C6D3F" w:rsidRDefault="003B05B6" w:rsidP="0077257F">
            <w:pPr>
              <w:autoSpaceDE w:val="0"/>
              <w:autoSpaceDN w:val="0"/>
              <w:adjustRightInd w:val="0"/>
              <w:spacing w:line="264" w:lineRule="auto"/>
              <w:rPr>
                <w:rFonts w:ascii="MS Shell Dlg" w:hAnsi="MS Shell Dlg" w:cs="MS Shell Dlg"/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en-US"/>
              </w:rPr>
              <w:t>9</w:t>
            </w:r>
            <w:r w:rsidRPr="004C6D3F">
              <w:rPr>
                <w:sz w:val="28"/>
                <w:szCs w:val="28"/>
              </w:rPr>
              <w:t>0</w:t>
            </w:r>
            <w:r w:rsidRPr="004C6D3F">
              <w:rPr>
                <w:sz w:val="28"/>
                <w:szCs w:val="28"/>
                <w:lang w:val="uk-UA"/>
              </w:rPr>
              <w:t>,36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sz w:val="28"/>
                <w:szCs w:val="28"/>
                <w:lang w:val="uk-UA"/>
              </w:rPr>
              <w:t>5,55</w:t>
            </w:r>
          </w:p>
        </w:tc>
        <w:tc>
          <w:tcPr>
            <w:tcW w:w="1620" w:type="dxa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>31</w:t>
            </w:r>
            <w:r w:rsidRPr="004C6D3F"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  <w:lang w:val="en-US"/>
              </w:rPr>
              <w:t>1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252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en-US"/>
              </w:rPr>
              <w:t>78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234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en-US"/>
              </w:rPr>
              <w:t>35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7</w:t>
            </w:r>
            <w:r w:rsidRPr="004C6D3F">
              <w:rPr>
                <w:sz w:val="28"/>
                <w:szCs w:val="28"/>
                <w:lang w:val="uk-UA"/>
              </w:rPr>
              <w:t>0</w:t>
            </w:r>
          </w:p>
        </w:tc>
      </w:tr>
      <w:tr w:rsidR="003B05B6" w:rsidRPr="004C6D3F" w:rsidTr="0077257F">
        <w:tc>
          <w:tcPr>
            <w:tcW w:w="1188" w:type="dxa"/>
            <w:vMerge/>
            <w:vAlign w:val="center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620" w:type="dxa"/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</w:rPr>
              <w:t>85</w:t>
            </w:r>
            <w:r w:rsidRPr="004C6D3F">
              <w:rPr>
                <w:sz w:val="28"/>
                <w:szCs w:val="28"/>
                <w:lang w:val="uk-UA"/>
              </w:rPr>
              <w:t>,94</w:t>
            </w:r>
            <w:r w:rsidRPr="004C6D3F">
              <w:rPr>
                <w:rFonts w:ascii="Symbol" w:hAnsi="Symbol"/>
                <w:sz w:val="28"/>
                <w:szCs w:val="28"/>
                <w:lang w:val="uk-UA" w:eastAsia="uk-UA"/>
              </w:rPr>
              <w:t></w:t>
            </w:r>
            <w:r w:rsidRPr="004C6D3F">
              <w:rPr>
                <w:sz w:val="28"/>
                <w:szCs w:val="28"/>
                <w:lang w:val="uk-UA"/>
              </w:rPr>
              <w:t>9,28</w:t>
            </w:r>
          </w:p>
        </w:tc>
        <w:tc>
          <w:tcPr>
            <w:tcW w:w="1620" w:type="dxa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  <w:r w:rsidRPr="004C6D3F">
              <w:rPr>
                <w:sz w:val="28"/>
                <w:szCs w:val="28"/>
                <w:lang w:val="uk-UA"/>
              </w:rPr>
              <w:t>0</w:t>
            </w:r>
            <w:r w:rsidRPr="004C6D3F"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  <w:lang w:val="en-US"/>
              </w:rPr>
              <w:t>1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252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75,00</w:t>
            </w:r>
          </w:p>
        </w:tc>
        <w:tc>
          <w:tcPr>
            <w:tcW w:w="2340" w:type="dxa"/>
          </w:tcPr>
          <w:p w:rsidR="003B05B6" w:rsidRPr="004C6D3F" w:rsidRDefault="003B05B6" w:rsidP="007725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en-US"/>
              </w:rPr>
              <w:t>62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5</w:t>
            </w:r>
            <w:r w:rsidRPr="004C6D3F"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3B05B6" w:rsidRPr="004C6D3F" w:rsidRDefault="003B05B6" w:rsidP="003B05B6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  <w:lang w:val="uk-UA"/>
        </w:rPr>
      </w:pPr>
    </w:p>
    <w:p w:rsidR="003B05B6" w:rsidRPr="004C6D3F" w:rsidRDefault="003B05B6" w:rsidP="003B05B6">
      <w:pPr>
        <w:spacing w:line="252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lastRenderedPageBreak/>
        <w:t>Було виявлено, що для досягнення цільових доз карведилолу в обох групах хворих були п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>трібні однакові проміжки часу. Для досягнення добової дози карведилолу 50 мг хворим з групи ДКМП було потрібно 6,90±1,18 міс., а в групі ХМ - 5,45±0,80 міс. (р=0,311). Для того, щоб досягти дози карведилолу 100 мг/добу, хворим з групи ДКМП знадобилося 12,63±2,51 міс., а пацієнтам з групи ХМ - 10,74±1,04 міс. (р=0,432). Тривалість періоду лікування після ІІІ етапу також достові</w:t>
      </w:r>
      <w:r w:rsidRPr="004C6D3F">
        <w:rPr>
          <w:sz w:val="28"/>
          <w:szCs w:val="28"/>
          <w:lang w:val="uk-UA"/>
        </w:rPr>
        <w:t>р</w:t>
      </w:r>
      <w:r w:rsidRPr="004C6D3F">
        <w:rPr>
          <w:sz w:val="28"/>
          <w:szCs w:val="28"/>
          <w:lang w:val="uk-UA"/>
        </w:rPr>
        <w:t xml:space="preserve">но не відрізнялась в обох групах хворих і становила  в групі ДКМП 7,10±1,70 міс., а в групі ХМ - 8,84±1,25 міс. (р=0,527). Загальний термін лікування хворих в обох групах становив майже півтора роки. </w:t>
      </w:r>
    </w:p>
    <w:p w:rsidR="003B05B6" w:rsidRPr="004C6D3F" w:rsidRDefault="003B05B6" w:rsidP="003B05B6">
      <w:pPr>
        <w:widowControl w:val="0"/>
        <w:spacing w:line="252" w:lineRule="auto"/>
        <w:ind w:firstLine="539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Аналіз отриманих результатів показав, що в обох групах застосована схема лікування пр</w:t>
      </w:r>
      <w:r w:rsidRPr="004C6D3F">
        <w:rPr>
          <w:sz w:val="28"/>
          <w:szCs w:val="28"/>
          <w:lang w:val="uk-UA"/>
        </w:rPr>
        <w:t>и</w:t>
      </w:r>
      <w:r w:rsidRPr="004C6D3F">
        <w:rPr>
          <w:sz w:val="28"/>
          <w:szCs w:val="28"/>
          <w:lang w:val="uk-UA"/>
        </w:rPr>
        <w:t>зводила до поступового достовірного зменшення ЧСС. Так в групах ДКМП і ХМ початкові сере</w:t>
      </w:r>
      <w:r w:rsidRPr="004C6D3F">
        <w:rPr>
          <w:sz w:val="28"/>
          <w:szCs w:val="28"/>
          <w:lang w:val="uk-UA"/>
        </w:rPr>
        <w:t>д</w:t>
      </w:r>
      <w:r w:rsidRPr="004C6D3F">
        <w:rPr>
          <w:sz w:val="28"/>
          <w:szCs w:val="28"/>
          <w:lang w:val="uk-UA"/>
        </w:rPr>
        <w:t>ні значення ЧСС становили 82,96±3,16 та 79,38±1,97 уд./хв., на ІІ етапі -  74,72±3,10 та  68,95±7,35 уд./хв., на ІІІ етапі - 72,50 ± 2,53 та 69,15 ± 2,13 уд./хв., а на IV етапі - 64,25±3,13 та 69,36±2,66 уд./хв. відповідно. Також наприкінці дослідження в обох групах спостерігалос</w:t>
      </w:r>
      <w:r>
        <w:rPr>
          <w:sz w:val="28"/>
          <w:szCs w:val="28"/>
          <w:lang w:val="uk-UA"/>
        </w:rPr>
        <w:t>ь</w:t>
      </w:r>
      <w:r w:rsidRPr="004C6D3F">
        <w:rPr>
          <w:sz w:val="28"/>
          <w:szCs w:val="28"/>
          <w:lang w:val="uk-UA"/>
        </w:rPr>
        <w:t xml:space="preserve"> достовірне зн</w:t>
      </w:r>
      <w:r w:rsidRPr="004C6D3F">
        <w:rPr>
          <w:sz w:val="28"/>
          <w:szCs w:val="28"/>
          <w:lang w:val="uk-UA"/>
        </w:rPr>
        <w:t>и</w:t>
      </w:r>
      <w:r w:rsidRPr="004C6D3F">
        <w:rPr>
          <w:sz w:val="28"/>
          <w:szCs w:val="28"/>
          <w:lang w:val="uk-UA"/>
        </w:rPr>
        <w:t>ження тижневої дози фуросеміду із 170,00±25,64 до 70,00±20,82 мг в групі ДКМП та з 150,27±18,80 до 56,00±19,39 мг/тиж в групі ХМ. Застосована терапія майже не впливала на рівень САТ та ДАТ. Тільки в групі ХМ наприкінці дослідження було виявлено д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>стовірне підвищення рівня САТ зі 112,31±2,08 до 122,18±</w:t>
      </w:r>
      <w:smartTag w:uri="urn:schemas-microsoft-com:office:smarttags" w:element="metricconverter">
        <w:smartTagPr>
          <w:attr w:name="ProductID" w:val="2,40 мм"/>
        </w:smartTagPr>
        <w:r w:rsidRPr="004C6D3F">
          <w:rPr>
            <w:sz w:val="28"/>
            <w:szCs w:val="28"/>
            <w:lang w:val="uk-UA"/>
          </w:rPr>
          <w:t>2,40 мм</w:t>
        </w:r>
      </w:smartTag>
      <w:r w:rsidRPr="004C6D3F">
        <w:rPr>
          <w:sz w:val="28"/>
          <w:szCs w:val="28"/>
          <w:lang w:val="uk-UA"/>
        </w:rPr>
        <w:t xml:space="preserve"> рт.ст.</w:t>
      </w:r>
    </w:p>
    <w:p w:rsidR="003B05B6" w:rsidRPr="004C6D3F" w:rsidRDefault="003B05B6" w:rsidP="003B05B6">
      <w:pPr>
        <w:widowControl w:val="0"/>
        <w:spacing w:line="252" w:lineRule="auto"/>
        <w:ind w:firstLine="539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Було виявлено, що під впливом застосованої терапії в обох групах вже на </w:t>
      </w:r>
      <w:r w:rsidRPr="004C6D3F">
        <w:rPr>
          <w:sz w:val="28"/>
          <w:szCs w:val="28"/>
          <w:lang w:val="en-US"/>
        </w:rPr>
        <w:t>II</w:t>
      </w:r>
      <w:r w:rsidRPr="004C6D3F">
        <w:rPr>
          <w:sz w:val="28"/>
          <w:szCs w:val="28"/>
          <w:lang w:val="uk-UA"/>
        </w:rPr>
        <w:t xml:space="preserve"> етапі значно покращується ФК хворих. Поліпшення ФК пацієнтів тривало до кінця дослідження. Проте, на IV етапі ФК хворих з групи ХМ був достовірно (р=0,018) кр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>щим, ніж у пацієнтів з групи ДКМП (табл.</w:t>
      </w:r>
      <w:r>
        <w:rPr>
          <w:sz w:val="28"/>
          <w:szCs w:val="28"/>
          <w:lang w:val="uk-UA"/>
        </w:rPr>
        <w:t>6</w:t>
      </w:r>
      <w:r w:rsidRPr="004C6D3F">
        <w:rPr>
          <w:sz w:val="28"/>
          <w:szCs w:val="28"/>
          <w:lang w:val="uk-UA"/>
        </w:rPr>
        <w:t>).</w:t>
      </w:r>
      <w:r w:rsidRPr="00594238">
        <w:rPr>
          <w:sz w:val="28"/>
          <w:szCs w:val="28"/>
          <w:lang w:val="uk-UA"/>
        </w:rPr>
        <w:t xml:space="preserve"> </w:t>
      </w:r>
      <w:r w:rsidRPr="004C6D3F">
        <w:rPr>
          <w:sz w:val="28"/>
          <w:szCs w:val="28"/>
          <w:lang w:val="uk-UA"/>
        </w:rPr>
        <w:t>Аналіз співвідношення хворих з різними ФК в досліджуваних групах також підтвердив більш виражений ефект лікування в групі ХМ. Так в групі ДКМП I ФК на III етапі було діагн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>стовано у 75%, а на IV – у 62,5% хворих. В групі ХМ на III етапі I ФК відповідав стан 82,4%, а на IV етапі – 95,5% хворих.</w:t>
      </w:r>
    </w:p>
    <w:p w:rsidR="003B05B6" w:rsidRDefault="003B05B6" w:rsidP="003B05B6">
      <w:pPr>
        <w:spacing w:line="264" w:lineRule="auto"/>
        <w:ind w:firstLine="540"/>
        <w:jc w:val="right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Таблиця </w:t>
      </w:r>
      <w:r>
        <w:rPr>
          <w:sz w:val="28"/>
          <w:szCs w:val="28"/>
          <w:lang w:val="uk-UA"/>
        </w:rPr>
        <w:t>6</w:t>
      </w:r>
    </w:p>
    <w:p w:rsidR="003B05B6" w:rsidRPr="004C6D3F" w:rsidRDefault="003B05B6" w:rsidP="003B05B6">
      <w:pPr>
        <w:spacing w:line="264" w:lineRule="auto"/>
        <w:jc w:val="center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Динаміка </w:t>
      </w:r>
      <w:r>
        <w:rPr>
          <w:sz w:val="28"/>
          <w:szCs w:val="28"/>
          <w:lang w:val="uk-UA"/>
        </w:rPr>
        <w:t>ФК</w:t>
      </w:r>
      <w:r w:rsidRPr="004C6D3F">
        <w:rPr>
          <w:sz w:val="28"/>
          <w:szCs w:val="28"/>
          <w:lang w:val="uk-UA"/>
        </w:rPr>
        <w:t xml:space="preserve"> та ЕхоКГ показників в групах ДКМП та ХМ на етапах лікування.</w:t>
      </w:r>
    </w:p>
    <w:tbl>
      <w:tblPr>
        <w:tblStyle w:val="ae"/>
        <w:tblW w:w="9360" w:type="dxa"/>
        <w:jc w:val="center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1800"/>
        <w:gridCol w:w="1980"/>
        <w:gridCol w:w="1800"/>
        <w:gridCol w:w="1800"/>
      </w:tblGrid>
      <w:tr w:rsidR="003B05B6" w:rsidRPr="00594238" w:rsidTr="0077257F">
        <w:trPr>
          <w:jc w:val="center"/>
        </w:trPr>
        <w:tc>
          <w:tcPr>
            <w:tcW w:w="1080" w:type="dxa"/>
            <w:vMerge w:val="restart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900" w:type="dxa"/>
            <w:vMerge w:val="restart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uk-UA"/>
              </w:rPr>
              <w:t>Етапи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uk-UA"/>
              </w:rPr>
              <w:t>Показники</w:t>
            </w:r>
          </w:p>
        </w:tc>
      </w:tr>
      <w:tr w:rsidR="003B05B6" w:rsidRPr="00594238" w:rsidTr="0077257F">
        <w:trPr>
          <w:jc w:val="center"/>
        </w:trPr>
        <w:tc>
          <w:tcPr>
            <w:tcW w:w="1080" w:type="dxa"/>
            <w:vMerge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uk-UA"/>
              </w:rPr>
              <w:t>ФК, умов.од.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uk-UA"/>
              </w:rPr>
              <w:t>іКДО, мл/м</w:t>
            </w:r>
            <w:r w:rsidRPr="00594238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uk-UA"/>
              </w:rPr>
              <w:t>іКСО, мл/м</w:t>
            </w:r>
            <w:r w:rsidRPr="00594238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uk-UA"/>
              </w:rPr>
              <w:t>ФВ, %</w:t>
            </w:r>
          </w:p>
        </w:tc>
      </w:tr>
      <w:tr w:rsidR="003B05B6" w:rsidRPr="00594238" w:rsidTr="0077257F">
        <w:trPr>
          <w:jc w:val="center"/>
        </w:trPr>
        <w:tc>
          <w:tcPr>
            <w:tcW w:w="1080" w:type="dxa"/>
            <w:vMerge w:val="restart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uk-UA"/>
              </w:rPr>
              <w:t xml:space="preserve">ДКМП </w:t>
            </w:r>
            <w:r w:rsidRPr="00594238">
              <w:rPr>
                <w:sz w:val="28"/>
                <w:szCs w:val="28"/>
                <w:lang w:val="en-US"/>
              </w:rPr>
              <w:t>(n=</w:t>
            </w:r>
            <w:r w:rsidRPr="00594238">
              <w:rPr>
                <w:sz w:val="28"/>
                <w:szCs w:val="28"/>
              </w:rPr>
              <w:t>2</w:t>
            </w:r>
            <w:r w:rsidRPr="00594238">
              <w:rPr>
                <w:sz w:val="28"/>
                <w:szCs w:val="28"/>
                <w:lang w:val="uk-UA"/>
              </w:rPr>
              <w:t>8</w:t>
            </w:r>
            <w:r w:rsidRPr="00594238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9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8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94238">
              <w:rPr>
                <w:sz w:val="28"/>
                <w:szCs w:val="28"/>
                <w:lang w:val="uk-UA"/>
              </w:rPr>
              <w:t>2</w:t>
            </w:r>
            <w:r w:rsidRPr="00594238">
              <w:rPr>
                <w:sz w:val="28"/>
                <w:szCs w:val="28"/>
              </w:rPr>
              <w:t>,7</w:t>
            </w:r>
            <w:r w:rsidRPr="00594238">
              <w:rPr>
                <w:sz w:val="28"/>
                <w:szCs w:val="28"/>
                <w:lang w:val="uk-UA"/>
              </w:rPr>
              <w:t>1</w:t>
            </w:r>
            <w:r w:rsidRPr="00594238">
              <w:rPr>
                <w:sz w:val="28"/>
                <w:szCs w:val="28"/>
              </w:rPr>
              <w:t>±</w:t>
            </w:r>
            <w:r w:rsidRPr="00594238">
              <w:rPr>
                <w:rFonts w:cs="Symbol"/>
                <w:sz w:val="28"/>
                <w:szCs w:val="28"/>
                <w:lang w:val="en-US"/>
              </w:rPr>
              <w:t>0</w:t>
            </w:r>
            <w:r w:rsidRPr="00594238">
              <w:rPr>
                <w:rFonts w:cs="Symbol"/>
                <w:sz w:val="28"/>
                <w:szCs w:val="28"/>
              </w:rPr>
              <w:t>,</w:t>
            </w:r>
            <w:r w:rsidRPr="00594238">
              <w:rPr>
                <w:rFonts w:cs="Symbol"/>
                <w:sz w:val="28"/>
                <w:szCs w:val="28"/>
                <w:lang w:val="uk-UA"/>
              </w:rPr>
              <w:t>09</w:t>
            </w:r>
          </w:p>
        </w:tc>
        <w:tc>
          <w:tcPr>
            <w:tcW w:w="198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594238">
              <w:rPr>
                <w:sz w:val="28"/>
                <w:szCs w:val="28"/>
                <w:lang w:val="uk-UA"/>
              </w:rPr>
              <w:t>12</w:t>
            </w:r>
            <w:r w:rsidRPr="00594238">
              <w:rPr>
                <w:sz w:val="28"/>
                <w:szCs w:val="28"/>
                <w:lang w:val="en-US"/>
              </w:rPr>
              <w:t>4</w:t>
            </w:r>
            <w:r w:rsidRPr="00594238">
              <w:rPr>
                <w:sz w:val="28"/>
                <w:szCs w:val="28"/>
              </w:rPr>
              <w:t>,</w:t>
            </w:r>
            <w:r w:rsidRPr="00594238">
              <w:rPr>
                <w:sz w:val="28"/>
                <w:szCs w:val="28"/>
                <w:lang w:val="en-US"/>
              </w:rPr>
              <w:t>97</w:t>
            </w:r>
            <w:r w:rsidRPr="00594238">
              <w:rPr>
                <w:sz w:val="28"/>
                <w:szCs w:val="28"/>
              </w:rPr>
              <w:t>±</w:t>
            </w:r>
            <w:r w:rsidRPr="00594238">
              <w:rPr>
                <w:sz w:val="28"/>
                <w:szCs w:val="28"/>
                <w:lang w:val="en-US"/>
              </w:rPr>
              <w:t>3</w:t>
            </w:r>
            <w:r w:rsidRPr="00594238">
              <w:rPr>
                <w:rFonts w:cs="Symbol"/>
                <w:sz w:val="28"/>
                <w:szCs w:val="28"/>
              </w:rPr>
              <w:t>,</w:t>
            </w:r>
            <w:r w:rsidRPr="00594238">
              <w:rPr>
                <w:rFonts w:cs="Symbol"/>
                <w:sz w:val="28"/>
                <w:szCs w:val="28"/>
                <w:lang w:val="en-US"/>
              </w:rPr>
              <w:t>41</w:t>
            </w:r>
          </w:p>
        </w:tc>
        <w:tc>
          <w:tcPr>
            <w:tcW w:w="18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594238">
              <w:rPr>
                <w:sz w:val="28"/>
                <w:szCs w:val="28"/>
                <w:lang w:val="uk-UA"/>
              </w:rPr>
              <w:t>83</w:t>
            </w:r>
            <w:r w:rsidRPr="00594238">
              <w:rPr>
                <w:sz w:val="28"/>
                <w:szCs w:val="28"/>
              </w:rPr>
              <w:t>,</w:t>
            </w:r>
            <w:r w:rsidRPr="00594238">
              <w:rPr>
                <w:sz w:val="28"/>
                <w:szCs w:val="28"/>
                <w:lang w:val="en-US"/>
              </w:rPr>
              <w:t>48</w:t>
            </w:r>
            <w:r w:rsidRPr="00594238">
              <w:rPr>
                <w:sz w:val="28"/>
                <w:szCs w:val="28"/>
              </w:rPr>
              <w:t>±</w:t>
            </w:r>
            <w:r w:rsidRPr="00594238">
              <w:rPr>
                <w:sz w:val="28"/>
                <w:szCs w:val="28"/>
                <w:lang w:val="en-US"/>
              </w:rPr>
              <w:t>2</w:t>
            </w:r>
            <w:r w:rsidRPr="00594238">
              <w:rPr>
                <w:rFonts w:cs="Symbol"/>
                <w:sz w:val="28"/>
                <w:szCs w:val="28"/>
              </w:rPr>
              <w:t>,</w:t>
            </w:r>
            <w:r w:rsidRPr="00594238">
              <w:rPr>
                <w:rFonts w:cs="Symbol"/>
                <w:sz w:val="28"/>
                <w:szCs w:val="28"/>
                <w:lang w:val="en-US"/>
              </w:rPr>
              <w:t>28</w:t>
            </w:r>
          </w:p>
        </w:tc>
        <w:tc>
          <w:tcPr>
            <w:tcW w:w="18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594238">
              <w:rPr>
                <w:sz w:val="28"/>
                <w:szCs w:val="28"/>
              </w:rPr>
              <w:t>3</w:t>
            </w:r>
            <w:r w:rsidRPr="00594238">
              <w:rPr>
                <w:sz w:val="28"/>
                <w:szCs w:val="28"/>
                <w:lang w:val="uk-UA"/>
              </w:rPr>
              <w:t>3</w:t>
            </w:r>
            <w:r w:rsidRPr="00594238">
              <w:rPr>
                <w:sz w:val="28"/>
                <w:szCs w:val="28"/>
              </w:rPr>
              <w:t>,</w:t>
            </w:r>
            <w:r w:rsidRPr="00594238">
              <w:rPr>
                <w:sz w:val="28"/>
                <w:szCs w:val="28"/>
                <w:lang w:val="uk-UA"/>
              </w:rPr>
              <w:t>06</w:t>
            </w:r>
            <w:r w:rsidRPr="00594238">
              <w:rPr>
                <w:sz w:val="28"/>
                <w:szCs w:val="28"/>
              </w:rPr>
              <w:t>±</w:t>
            </w:r>
            <w:r w:rsidRPr="00594238">
              <w:rPr>
                <w:rFonts w:cs="Symbol"/>
                <w:sz w:val="28"/>
                <w:szCs w:val="28"/>
                <w:lang w:val="uk-UA"/>
              </w:rPr>
              <w:t>1</w:t>
            </w:r>
            <w:r w:rsidRPr="00594238">
              <w:rPr>
                <w:rFonts w:cs="Symbol"/>
                <w:sz w:val="28"/>
                <w:szCs w:val="28"/>
              </w:rPr>
              <w:t>,</w:t>
            </w:r>
            <w:r w:rsidRPr="00594238">
              <w:rPr>
                <w:rFonts w:cs="Symbol"/>
                <w:sz w:val="28"/>
                <w:szCs w:val="28"/>
                <w:lang w:val="uk-UA"/>
              </w:rPr>
              <w:t>09</w:t>
            </w:r>
          </w:p>
        </w:tc>
      </w:tr>
      <w:tr w:rsidR="003B05B6" w:rsidRPr="00594238" w:rsidTr="0077257F">
        <w:trPr>
          <w:jc w:val="center"/>
        </w:trPr>
        <w:tc>
          <w:tcPr>
            <w:tcW w:w="1080" w:type="dxa"/>
            <w:vMerge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uk-UA"/>
              </w:rPr>
              <w:t>II</w:t>
            </w:r>
          </w:p>
        </w:tc>
        <w:tc>
          <w:tcPr>
            <w:tcW w:w="18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uk-UA"/>
              </w:rPr>
              <w:t>1</w:t>
            </w:r>
            <w:r w:rsidRPr="00594238">
              <w:rPr>
                <w:sz w:val="28"/>
                <w:szCs w:val="28"/>
              </w:rPr>
              <w:t>,</w:t>
            </w:r>
            <w:r w:rsidRPr="00594238">
              <w:rPr>
                <w:sz w:val="28"/>
                <w:szCs w:val="28"/>
                <w:lang w:val="uk-UA"/>
              </w:rPr>
              <w:t>67</w:t>
            </w:r>
            <w:r w:rsidRPr="00594238">
              <w:rPr>
                <w:sz w:val="28"/>
                <w:szCs w:val="28"/>
              </w:rPr>
              <w:t>±</w:t>
            </w:r>
            <w:r w:rsidRPr="00594238">
              <w:rPr>
                <w:rFonts w:cs="Symbol"/>
                <w:sz w:val="28"/>
                <w:szCs w:val="28"/>
                <w:lang w:val="en-US"/>
              </w:rPr>
              <w:t>0</w:t>
            </w:r>
            <w:r w:rsidRPr="00594238">
              <w:rPr>
                <w:rFonts w:cs="Symbol"/>
                <w:sz w:val="28"/>
                <w:szCs w:val="28"/>
              </w:rPr>
              <w:t>,16</w:t>
            </w:r>
            <w:r w:rsidRPr="00594238">
              <w:rPr>
                <w:rFonts w:ascii="Symbol" w:hAnsi="Symbol" w:cs="Symbol"/>
                <w:sz w:val="28"/>
                <w:szCs w:val="28"/>
                <w:vertAlign w:val="superscript"/>
                <w:lang w:val="uk-UA"/>
              </w:rPr>
              <w:t></w:t>
            </w:r>
          </w:p>
        </w:tc>
        <w:tc>
          <w:tcPr>
            <w:tcW w:w="198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en-US"/>
              </w:rPr>
              <w:t>125</w:t>
            </w:r>
            <w:r w:rsidRPr="00594238">
              <w:rPr>
                <w:sz w:val="28"/>
                <w:szCs w:val="28"/>
              </w:rPr>
              <w:t>,</w:t>
            </w:r>
            <w:r w:rsidRPr="00594238">
              <w:rPr>
                <w:sz w:val="28"/>
                <w:szCs w:val="28"/>
                <w:lang w:val="en-US"/>
              </w:rPr>
              <w:t>79</w:t>
            </w:r>
            <w:r w:rsidRPr="00594238">
              <w:rPr>
                <w:sz w:val="28"/>
                <w:szCs w:val="28"/>
              </w:rPr>
              <w:t>±</w:t>
            </w:r>
            <w:r w:rsidRPr="00594238">
              <w:rPr>
                <w:sz w:val="28"/>
                <w:szCs w:val="28"/>
                <w:lang w:val="en-US"/>
              </w:rPr>
              <w:t>6</w:t>
            </w:r>
            <w:r w:rsidRPr="00594238">
              <w:rPr>
                <w:rFonts w:cs="Symbol"/>
                <w:sz w:val="28"/>
                <w:szCs w:val="28"/>
              </w:rPr>
              <w:t>,</w:t>
            </w:r>
            <w:r w:rsidRPr="00594238">
              <w:rPr>
                <w:rFonts w:cs="Symbol"/>
                <w:sz w:val="28"/>
                <w:szCs w:val="28"/>
                <w:lang w:val="en-US"/>
              </w:rPr>
              <w:t>23</w:t>
            </w:r>
          </w:p>
        </w:tc>
        <w:tc>
          <w:tcPr>
            <w:tcW w:w="18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en-US"/>
              </w:rPr>
              <w:t>78</w:t>
            </w:r>
            <w:r w:rsidRPr="00594238">
              <w:rPr>
                <w:sz w:val="28"/>
                <w:szCs w:val="28"/>
              </w:rPr>
              <w:t>,</w:t>
            </w:r>
            <w:r w:rsidRPr="00594238">
              <w:rPr>
                <w:sz w:val="28"/>
                <w:szCs w:val="28"/>
                <w:lang w:val="en-US"/>
              </w:rPr>
              <w:t>35</w:t>
            </w:r>
            <w:r w:rsidRPr="00594238">
              <w:rPr>
                <w:sz w:val="28"/>
                <w:szCs w:val="28"/>
              </w:rPr>
              <w:t>±</w:t>
            </w:r>
            <w:r w:rsidRPr="00594238">
              <w:rPr>
                <w:sz w:val="28"/>
                <w:szCs w:val="28"/>
                <w:lang w:val="en-US"/>
              </w:rPr>
              <w:t>5</w:t>
            </w:r>
            <w:r w:rsidRPr="00594238">
              <w:rPr>
                <w:rFonts w:cs="Symbol"/>
                <w:sz w:val="28"/>
                <w:szCs w:val="28"/>
              </w:rPr>
              <w:t>,</w:t>
            </w:r>
            <w:r w:rsidRPr="00594238">
              <w:rPr>
                <w:rFonts w:cs="Symbol"/>
                <w:sz w:val="28"/>
                <w:szCs w:val="28"/>
                <w:lang w:val="en-US"/>
              </w:rPr>
              <w:t>20</w:t>
            </w:r>
          </w:p>
        </w:tc>
        <w:tc>
          <w:tcPr>
            <w:tcW w:w="18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594238">
              <w:rPr>
                <w:sz w:val="28"/>
                <w:szCs w:val="28"/>
                <w:lang w:val="uk-UA"/>
              </w:rPr>
              <w:t>37</w:t>
            </w:r>
            <w:r w:rsidRPr="00594238">
              <w:rPr>
                <w:sz w:val="28"/>
                <w:szCs w:val="28"/>
              </w:rPr>
              <w:t>,</w:t>
            </w:r>
            <w:r w:rsidRPr="00594238">
              <w:rPr>
                <w:sz w:val="28"/>
                <w:szCs w:val="28"/>
                <w:lang w:val="uk-UA"/>
              </w:rPr>
              <w:t>94</w:t>
            </w:r>
            <w:r w:rsidRPr="00594238">
              <w:rPr>
                <w:sz w:val="28"/>
                <w:szCs w:val="28"/>
              </w:rPr>
              <w:t>±</w:t>
            </w:r>
            <w:r w:rsidRPr="00594238">
              <w:rPr>
                <w:rFonts w:cs="Symbol"/>
                <w:sz w:val="28"/>
                <w:szCs w:val="28"/>
                <w:lang w:val="uk-UA"/>
              </w:rPr>
              <w:t>2</w:t>
            </w:r>
            <w:r w:rsidRPr="00594238">
              <w:rPr>
                <w:rFonts w:cs="Symbol"/>
                <w:sz w:val="28"/>
                <w:szCs w:val="28"/>
              </w:rPr>
              <w:t>,</w:t>
            </w:r>
            <w:r w:rsidRPr="00594238">
              <w:rPr>
                <w:rFonts w:cs="Symbol"/>
                <w:sz w:val="28"/>
                <w:szCs w:val="28"/>
                <w:lang w:val="uk-UA"/>
              </w:rPr>
              <w:t>25</w:t>
            </w:r>
            <w:r w:rsidRPr="00594238">
              <w:rPr>
                <w:rFonts w:ascii="Symbol" w:hAnsi="Symbol" w:cs="Symbol"/>
                <w:sz w:val="28"/>
                <w:szCs w:val="28"/>
                <w:vertAlign w:val="superscript"/>
              </w:rPr>
              <w:t></w:t>
            </w:r>
          </w:p>
        </w:tc>
      </w:tr>
      <w:tr w:rsidR="003B05B6" w:rsidRPr="00594238" w:rsidTr="0077257F">
        <w:trPr>
          <w:jc w:val="center"/>
        </w:trPr>
        <w:tc>
          <w:tcPr>
            <w:tcW w:w="1080" w:type="dxa"/>
            <w:vMerge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uk-UA"/>
              </w:rPr>
              <w:t>III</w:t>
            </w:r>
          </w:p>
        </w:tc>
        <w:tc>
          <w:tcPr>
            <w:tcW w:w="18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uk-UA"/>
              </w:rPr>
              <w:t>1</w:t>
            </w:r>
            <w:r w:rsidRPr="00594238">
              <w:rPr>
                <w:sz w:val="28"/>
                <w:szCs w:val="28"/>
              </w:rPr>
              <w:t>,</w:t>
            </w:r>
            <w:r w:rsidRPr="00594238">
              <w:rPr>
                <w:sz w:val="28"/>
                <w:szCs w:val="28"/>
                <w:lang w:val="uk-UA"/>
              </w:rPr>
              <w:t>25</w:t>
            </w:r>
            <w:r w:rsidRPr="00594238">
              <w:rPr>
                <w:sz w:val="28"/>
                <w:szCs w:val="28"/>
              </w:rPr>
              <w:t>±</w:t>
            </w:r>
            <w:r w:rsidRPr="00594238">
              <w:rPr>
                <w:rFonts w:cs="Symbol"/>
                <w:sz w:val="28"/>
                <w:szCs w:val="28"/>
                <w:lang w:val="en-US"/>
              </w:rPr>
              <w:t>0</w:t>
            </w:r>
            <w:r w:rsidRPr="00594238">
              <w:rPr>
                <w:rFonts w:cs="Symbol"/>
                <w:sz w:val="28"/>
                <w:szCs w:val="28"/>
              </w:rPr>
              <w:t>,13</w:t>
            </w:r>
            <w:r w:rsidRPr="00594238">
              <w:rPr>
                <w:rFonts w:ascii="Symbol" w:hAnsi="Symbol" w:cs="Symbol"/>
                <w:sz w:val="28"/>
                <w:szCs w:val="28"/>
                <w:vertAlign w:val="superscript"/>
                <w:lang w:val="uk-UA"/>
              </w:rPr>
              <w:t></w:t>
            </w:r>
          </w:p>
        </w:tc>
        <w:tc>
          <w:tcPr>
            <w:tcW w:w="198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en-US"/>
              </w:rPr>
              <w:t>126</w:t>
            </w:r>
            <w:r w:rsidRPr="00594238">
              <w:rPr>
                <w:sz w:val="28"/>
                <w:szCs w:val="28"/>
              </w:rPr>
              <w:t>,</w:t>
            </w:r>
            <w:r w:rsidRPr="00594238">
              <w:rPr>
                <w:sz w:val="28"/>
                <w:szCs w:val="28"/>
                <w:lang w:val="en-US"/>
              </w:rPr>
              <w:t>52</w:t>
            </w:r>
            <w:r w:rsidRPr="00594238">
              <w:rPr>
                <w:sz w:val="28"/>
                <w:szCs w:val="28"/>
              </w:rPr>
              <w:t>±</w:t>
            </w:r>
            <w:r w:rsidRPr="00594238">
              <w:rPr>
                <w:sz w:val="28"/>
                <w:szCs w:val="28"/>
                <w:lang w:val="en-US"/>
              </w:rPr>
              <w:t>7</w:t>
            </w:r>
            <w:r w:rsidRPr="00594238">
              <w:rPr>
                <w:rFonts w:cs="Symbol"/>
                <w:sz w:val="28"/>
                <w:szCs w:val="28"/>
              </w:rPr>
              <w:t>,</w:t>
            </w:r>
            <w:r w:rsidRPr="00594238">
              <w:rPr>
                <w:rFonts w:cs="Symbol"/>
                <w:sz w:val="28"/>
                <w:szCs w:val="28"/>
                <w:lang w:val="en-US"/>
              </w:rPr>
              <w:t>43</w:t>
            </w:r>
          </w:p>
        </w:tc>
        <w:tc>
          <w:tcPr>
            <w:tcW w:w="18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en-US"/>
              </w:rPr>
              <w:t>75</w:t>
            </w:r>
            <w:r w:rsidRPr="00594238">
              <w:rPr>
                <w:sz w:val="28"/>
                <w:szCs w:val="28"/>
              </w:rPr>
              <w:t>,</w:t>
            </w:r>
            <w:r w:rsidRPr="00594238">
              <w:rPr>
                <w:sz w:val="28"/>
                <w:szCs w:val="28"/>
                <w:lang w:val="en-US"/>
              </w:rPr>
              <w:t>31</w:t>
            </w:r>
            <w:r w:rsidRPr="00594238">
              <w:rPr>
                <w:sz w:val="28"/>
                <w:szCs w:val="28"/>
              </w:rPr>
              <w:t>±</w:t>
            </w:r>
            <w:r w:rsidRPr="00594238">
              <w:rPr>
                <w:sz w:val="28"/>
                <w:szCs w:val="28"/>
                <w:lang w:val="en-US"/>
              </w:rPr>
              <w:t>5</w:t>
            </w:r>
            <w:r w:rsidRPr="00594238">
              <w:rPr>
                <w:rFonts w:cs="Symbol"/>
                <w:sz w:val="28"/>
                <w:szCs w:val="28"/>
              </w:rPr>
              <w:t>,</w:t>
            </w:r>
            <w:r w:rsidRPr="00594238">
              <w:rPr>
                <w:rFonts w:cs="Symbol"/>
                <w:sz w:val="28"/>
                <w:szCs w:val="28"/>
                <w:lang w:val="en-US"/>
              </w:rPr>
              <w:t>94</w:t>
            </w:r>
          </w:p>
        </w:tc>
        <w:tc>
          <w:tcPr>
            <w:tcW w:w="18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594238">
              <w:rPr>
                <w:sz w:val="28"/>
                <w:szCs w:val="28"/>
                <w:lang w:val="uk-UA"/>
              </w:rPr>
              <w:t>4</w:t>
            </w:r>
            <w:r w:rsidRPr="00594238">
              <w:rPr>
                <w:sz w:val="28"/>
                <w:szCs w:val="28"/>
              </w:rPr>
              <w:t>0,</w:t>
            </w:r>
            <w:r w:rsidRPr="00594238">
              <w:rPr>
                <w:sz w:val="28"/>
                <w:szCs w:val="28"/>
                <w:lang w:val="uk-UA"/>
              </w:rPr>
              <w:t>79</w:t>
            </w:r>
            <w:r w:rsidRPr="00594238">
              <w:rPr>
                <w:sz w:val="28"/>
                <w:szCs w:val="28"/>
              </w:rPr>
              <w:t>±</w:t>
            </w:r>
            <w:r w:rsidRPr="00594238">
              <w:rPr>
                <w:rFonts w:cs="Symbol"/>
                <w:sz w:val="28"/>
                <w:szCs w:val="28"/>
                <w:lang w:val="uk-UA"/>
              </w:rPr>
              <w:t>2</w:t>
            </w:r>
            <w:r w:rsidRPr="00594238">
              <w:rPr>
                <w:rFonts w:cs="Symbol"/>
                <w:sz w:val="28"/>
                <w:szCs w:val="28"/>
              </w:rPr>
              <w:t>,</w:t>
            </w:r>
            <w:r w:rsidRPr="00594238">
              <w:rPr>
                <w:rFonts w:cs="Symbol"/>
                <w:sz w:val="28"/>
                <w:szCs w:val="28"/>
                <w:lang w:val="uk-UA"/>
              </w:rPr>
              <w:t>33</w:t>
            </w:r>
            <w:r w:rsidRPr="00594238">
              <w:rPr>
                <w:rFonts w:ascii="Symbol" w:hAnsi="Symbol" w:cs="Symbol"/>
                <w:sz w:val="28"/>
                <w:szCs w:val="28"/>
                <w:vertAlign w:val="superscript"/>
              </w:rPr>
              <w:t></w:t>
            </w:r>
          </w:p>
        </w:tc>
      </w:tr>
      <w:tr w:rsidR="003B05B6" w:rsidRPr="00594238" w:rsidTr="0077257F">
        <w:trPr>
          <w:jc w:val="center"/>
        </w:trPr>
        <w:tc>
          <w:tcPr>
            <w:tcW w:w="1080" w:type="dxa"/>
            <w:vMerge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uk-UA"/>
              </w:rPr>
              <w:t>IV</w:t>
            </w:r>
          </w:p>
        </w:tc>
        <w:tc>
          <w:tcPr>
            <w:tcW w:w="18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uk-UA"/>
              </w:rPr>
              <w:t>1</w:t>
            </w:r>
            <w:r w:rsidRPr="00594238">
              <w:rPr>
                <w:sz w:val="28"/>
                <w:szCs w:val="28"/>
              </w:rPr>
              <w:t>,</w:t>
            </w:r>
            <w:r w:rsidRPr="00594238">
              <w:rPr>
                <w:sz w:val="28"/>
                <w:szCs w:val="28"/>
                <w:lang w:val="en-US"/>
              </w:rPr>
              <w:t>38</w:t>
            </w:r>
            <w:r w:rsidRPr="00594238">
              <w:rPr>
                <w:sz w:val="28"/>
                <w:szCs w:val="28"/>
              </w:rPr>
              <w:t>±</w:t>
            </w:r>
            <w:r w:rsidRPr="00594238">
              <w:rPr>
                <w:rFonts w:cs="Symbol"/>
                <w:sz w:val="28"/>
                <w:szCs w:val="28"/>
                <w:lang w:val="en-US"/>
              </w:rPr>
              <w:t>0</w:t>
            </w:r>
            <w:r w:rsidRPr="00594238">
              <w:rPr>
                <w:rFonts w:cs="Symbol"/>
                <w:sz w:val="28"/>
                <w:szCs w:val="28"/>
              </w:rPr>
              <w:t>,1</w:t>
            </w:r>
            <w:r w:rsidRPr="00594238">
              <w:rPr>
                <w:rFonts w:cs="Symbol"/>
                <w:sz w:val="28"/>
                <w:szCs w:val="28"/>
                <w:lang w:val="en-US"/>
              </w:rPr>
              <w:t>8</w:t>
            </w:r>
            <w:r w:rsidRPr="00594238">
              <w:rPr>
                <w:rFonts w:ascii="Symbol" w:hAnsi="Symbol" w:cs="Symbol"/>
                <w:sz w:val="28"/>
                <w:szCs w:val="28"/>
                <w:vertAlign w:val="superscript"/>
                <w:lang w:val="uk-UA"/>
              </w:rPr>
              <w:t></w:t>
            </w:r>
          </w:p>
        </w:tc>
        <w:tc>
          <w:tcPr>
            <w:tcW w:w="198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en-US"/>
              </w:rPr>
              <w:t>133</w:t>
            </w:r>
            <w:r w:rsidRPr="00594238">
              <w:rPr>
                <w:sz w:val="28"/>
                <w:szCs w:val="28"/>
              </w:rPr>
              <w:t>,</w:t>
            </w:r>
            <w:r w:rsidRPr="00594238">
              <w:rPr>
                <w:sz w:val="28"/>
                <w:szCs w:val="28"/>
                <w:lang w:val="en-US"/>
              </w:rPr>
              <w:t>34</w:t>
            </w:r>
            <w:r w:rsidRPr="00594238">
              <w:rPr>
                <w:sz w:val="28"/>
                <w:szCs w:val="28"/>
              </w:rPr>
              <w:t>±</w:t>
            </w:r>
            <w:r w:rsidRPr="00594238">
              <w:rPr>
                <w:sz w:val="28"/>
                <w:szCs w:val="28"/>
                <w:lang w:val="en-US"/>
              </w:rPr>
              <w:t>13</w:t>
            </w:r>
            <w:r w:rsidRPr="00594238">
              <w:rPr>
                <w:rFonts w:cs="Symbol"/>
                <w:sz w:val="28"/>
                <w:szCs w:val="28"/>
              </w:rPr>
              <w:t>,</w:t>
            </w:r>
            <w:r w:rsidRPr="00594238">
              <w:rPr>
                <w:rFonts w:cs="Symbol"/>
                <w:sz w:val="28"/>
                <w:szCs w:val="28"/>
                <w:lang w:val="en-US"/>
              </w:rPr>
              <w:t>80</w:t>
            </w:r>
          </w:p>
        </w:tc>
        <w:tc>
          <w:tcPr>
            <w:tcW w:w="18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en-US"/>
              </w:rPr>
              <w:t>83</w:t>
            </w:r>
            <w:r w:rsidRPr="00594238">
              <w:rPr>
                <w:sz w:val="28"/>
                <w:szCs w:val="28"/>
              </w:rPr>
              <w:t>,</w:t>
            </w:r>
            <w:r w:rsidRPr="00594238">
              <w:rPr>
                <w:sz w:val="28"/>
                <w:szCs w:val="28"/>
                <w:lang w:val="en-US"/>
              </w:rPr>
              <w:t>84</w:t>
            </w:r>
            <w:r w:rsidRPr="00594238">
              <w:rPr>
                <w:sz w:val="28"/>
                <w:szCs w:val="28"/>
              </w:rPr>
              <w:t>±</w:t>
            </w:r>
            <w:r w:rsidRPr="00594238">
              <w:rPr>
                <w:sz w:val="28"/>
                <w:szCs w:val="28"/>
                <w:lang w:val="en-US"/>
              </w:rPr>
              <w:t>11</w:t>
            </w:r>
            <w:r w:rsidRPr="00594238">
              <w:rPr>
                <w:rFonts w:cs="Symbol"/>
                <w:sz w:val="28"/>
                <w:szCs w:val="28"/>
              </w:rPr>
              <w:t>,</w:t>
            </w:r>
            <w:r w:rsidRPr="00594238">
              <w:rPr>
                <w:rFonts w:cs="Symbol"/>
                <w:sz w:val="28"/>
                <w:szCs w:val="28"/>
                <w:lang w:val="en-US"/>
              </w:rPr>
              <w:t>89</w:t>
            </w:r>
          </w:p>
        </w:tc>
        <w:tc>
          <w:tcPr>
            <w:tcW w:w="18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594238">
              <w:rPr>
                <w:sz w:val="28"/>
                <w:szCs w:val="28"/>
                <w:lang w:val="uk-UA"/>
              </w:rPr>
              <w:t>38</w:t>
            </w:r>
            <w:r w:rsidRPr="00594238">
              <w:rPr>
                <w:sz w:val="28"/>
                <w:szCs w:val="28"/>
              </w:rPr>
              <w:t>,</w:t>
            </w:r>
            <w:r w:rsidRPr="00594238">
              <w:rPr>
                <w:sz w:val="28"/>
                <w:szCs w:val="28"/>
                <w:lang w:val="uk-UA"/>
              </w:rPr>
              <w:t>52</w:t>
            </w:r>
            <w:r w:rsidRPr="00594238">
              <w:rPr>
                <w:sz w:val="28"/>
                <w:szCs w:val="28"/>
              </w:rPr>
              <w:t>±</w:t>
            </w:r>
            <w:r w:rsidRPr="00594238">
              <w:rPr>
                <w:rFonts w:cs="Symbol"/>
                <w:sz w:val="28"/>
                <w:szCs w:val="28"/>
              </w:rPr>
              <w:t>2,</w:t>
            </w:r>
            <w:r w:rsidRPr="00594238">
              <w:rPr>
                <w:rFonts w:cs="Symbol"/>
                <w:sz w:val="28"/>
                <w:szCs w:val="28"/>
                <w:lang w:val="uk-UA"/>
              </w:rPr>
              <w:t>58</w:t>
            </w:r>
            <w:r w:rsidRPr="00594238">
              <w:rPr>
                <w:rFonts w:ascii="Symbol" w:hAnsi="Symbol" w:cs="Symbol"/>
                <w:sz w:val="28"/>
                <w:szCs w:val="28"/>
                <w:vertAlign w:val="superscript"/>
              </w:rPr>
              <w:t></w:t>
            </w:r>
          </w:p>
        </w:tc>
      </w:tr>
      <w:tr w:rsidR="003B05B6" w:rsidRPr="00594238" w:rsidTr="0077257F">
        <w:trPr>
          <w:jc w:val="center"/>
        </w:trPr>
        <w:tc>
          <w:tcPr>
            <w:tcW w:w="1080" w:type="dxa"/>
            <w:vMerge w:val="restart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uk-UA"/>
              </w:rPr>
              <w:t xml:space="preserve">ХМ </w:t>
            </w:r>
            <w:r w:rsidRPr="00594238">
              <w:rPr>
                <w:sz w:val="28"/>
                <w:szCs w:val="28"/>
                <w:lang w:val="en-US"/>
              </w:rPr>
              <w:t>(n=</w:t>
            </w:r>
            <w:r w:rsidRPr="00594238">
              <w:rPr>
                <w:sz w:val="28"/>
                <w:szCs w:val="28"/>
                <w:lang w:val="uk-UA"/>
              </w:rPr>
              <w:t>54</w:t>
            </w:r>
            <w:r w:rsidRPr="00594238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9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8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94238">
              <w:rPr>
                <w:sz w:val="28"/>
                <w:szCs w:val="28"/>
                <w:lang w:val="uk-UA"/>
              </w:rPr>
              <w:t>2</w:t>
            </w:r>
            <w:r w:rsidRPr="00594238">
              <w:rPr>
                <w:sz w:val="28"/>
                <w:szCs w:val="28"/>
              </w:rPr>
              <w:t>,65±</w:t>
            </w:r>
            <w:r w:rsidRPr="00594238">
              <w:rPr>
                <w:rFonts w:cs="Symbol"/>
                <w:sz w:val="28"/>
                <w:szCs w:val="28"/>
                <w:lang w:val="en-US"/>
              </w:rPr>
              <w:t>0</w:t>
            </w:r>
            <w:r w:rsidRPr="00594238">
              <w:rPr>
                <w:rFonts w:cs="Symbol"/>
                <w:sz w:val="28"/>
                <w:szCs w:val="28"/>
              </w:rPr>
              <w:t>,07</w:t>
            </w:r>
          </w:p>
        </w:tc>
        <w:tc>
          <w:tcPr>
            <w:tcW w:w="198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594238">
              <w:rPr>
                <w:sz w:val="28"/>
                <w:szCs w:val="28"/>
                <w:lang w:val="uk-UA"/>
              </w:rPr>
              <w:t>11</w:t>
            </w:r>
            <w:r w:rsidRPr="00594238">
              <w:rPr>
                <w:sz w:val="28"/>
                <w:szCs w:val="28"/>
                <w:lang w:val="en-US"/>
              </w:rPr>
              <w:t>9</w:t>
            </w:r>
            <w:r w:rsidRPr="00594238">
              <w:rPr>
                <w:sz w:val="28"/>
                <w:szCs w:val="28"/>
              </w:rPr>
              <w:t>,</w:t>
            </w:r>
            <w:r w:rsidRPr="00594238">
              <w:rPr>
                <w:sz w:val="28"/>
                <w:szCs w:val="28"/>
                <w:lang w:val="uk-UA"/>
              </w:rPr>
              <w:t>4</w:t>
            </w:r>
            <w:r w:rsidRPr="00594238">
              <w:rPr>
                <w:sz w:val="28"/>
                <w:szCs w:val="28"/>
                <w:lang w:val="en-US"/>
              </w:rPr>
              <w:t>1</w:t>
            </w:r>
            <w:r w:rsidRPr="00594238">
              <w:rPr>
                <w:sz w:val="28"/>
                <w:szCs w:val="28"/>
              </w:rPr>
              <w:t>±</w:t>
            </w:r>
            <w:r w:rsidRPr="00594238">
              <w:rPr>
                <w:sz w:val="28"/>
                <w:szCs w:val="28"/>
                <w:lang w:val="en-US"/>
              </w:rPr>
              <w:t>4</w:t>
            </w:r>
            <w:r w:rsidRPr="00594238">
              <w:rPr>
                <w:rFonts w:cs="Symbol"/>
                <w:sz w:val="28"/>
                <w:szCs w:val="28"/>
              </w:rPr>
              <w:t>,</w:t>
            </w:r>
            <w:r w:rsidRPr="00594238">
              <w:rPr>
                <w:rFonts w:cs="Symbol"/>
                <w:sz w:val="28"/>
                <w:szCs w:val="28"/>
                <w:lang w:val="en-US"/>
              </w:rPr>
              <w:t>20</w:t>
            </w:r>
          </w:p>
        </w:tc>
        <w:tc>
          <w:tcPr>
            <w:tcW w:w="18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594238">
              <w:rPr>
                <w:sz w:val="28"/>
                <w:szCs w:val="28"/>
                <w:lang w:val="uk-UA"/>
              </w:rPr>
              <w:t>7</w:t>
            </w:r>
            <w:r w:rsidRPr="00594238">
              <w:rPr>
                <w:sz w:val="28"/>
                <w:szCs w:val="28"/>
                <w:lang w:val="en-US"/>
              </w:rPr>
              <w:t>6</w:t>
            </w:r>
            <w:r w:rsidRPr="00594238">
              <w:rPr>
                <w:sz w:val="28"/>
                <w:szCs w:val="28"/>
              </w:rPr>
              <w:t>,</w:t>
            </w:r>
            <w:r w:rsidRPr="00594238">
              <w:rPr>
                <w:sz w:val="28"/>
                <w:szCs w:val="28"/>
                <w:lang w:val="en-US"/>
              </w:rPr>
              <w:t>52</w:t>
            </w:r>
            <w:r w:rsidRPr="00594238">
              <w:rPr>
                <w:sz w:val="28"/>
                <w:szCs w:val="28"/>
              </w:rPr>
              <w:t>±</w:t>
            </w:r>
            <w:r w:rsidRPr="00594238">
              <w:rPr>
                <w:sz w:val="28"/>
                <w:szCs w:val="28"/>
                <w:lang w:val="en-US"/>
              </w:rPr>
              <w:t>1</w:t>
            </w:r>
            <w:r w:rsidRPr="00594238">
              <w:rPr>
                <w:rFonts w:cs="Symbol"/>
                <w:sz w:val="28"/>
                <w:szCs w:val="28"/>
              </w:rPr>
              <w:t>,</w:t>
            </w:r>
            <w:r w:rsidRPr="00594238">
              <w:rPr>
                <w:rFonts w:cs="Symbol"/>
                <w:sz w:val="28"/>
                <w:szCs w:val="28"/>
                <w:lang w:val="en-US"/>
              </w:rPr>
              <w:t>98</w:t>
            </w:r>
            <w:r w:rsidRPr="00594238">
              <w:rPr>
                <w:rFonts w:ascii="Symbol" w:hAnsi="Symbol" w:cs="Symbol"/>
                <w:sz w:val="28"/>
                <w:szCs w:val="28"/>
                <w:vertAlign w:val="superscript"/>
              </w:rPr>
              <w:t></w:t>
            </w:r>
          </w:p>
        </w:tc>
        <w:tc>
          <w:tcPr>
            <w:tcW w:w="18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</w:rPr>
              <w:t>34,</w:t>
            </w:r>
            <w:r w:rsidRPr="00594238">
              <w:rPr>
                <w:sz w:val="28"/>
                <w:szCs w:val="28"/>
                <w:lang w:val="uk-UA"/>
              </w:rPr>
              <w:t>55</w:t>
            </w:r>
            <w:r w:rsidRPr="00594238">
              <w:rPr>
                <w:sz w:val="28"/>
                <w:szCs w:val="28"/>
              </w:rPr>
              <w:t>±</w:t>
            </w:r>
            <w:r w:rsidRPr="00594238">
              <w:rPr>
                <w:rFonts w:cs="Symbol"/>
                <w:sz w:val="28"/>
                <w:szCs w:val="28"/>
              </w:rPr>
              <w:t>0,</w:t>
            </w:r>
            <w:r w:rsidRPr="00594238">
              <w:rPr>
                <w:rFonts w:cs="Symbol"/>
                <w:sz w:val="28"/>
                <w:szCs w:val="28"/>
                <w:lang w:val="uk-UA"/>
              </w:rPr>
              <w:t>66</w:t>
            </w:r>
          </w:p>
        </w:tc>
      </w:tr>
      <w:tr w:rsidR="003B05B6" w:rsidRPr="00594238" w:rsidTr="0077257F">
        <w:trPr>
          <w:jc w:val="center"/>
        </w:trPr>
        <w:tc>
          <w:tcPr>
            <w:tcW w:w="1080" w:type="dxa"/>
            <w:vMerge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uk-UA"/>
              </w:rPr>
              <w:t>II</w:t>
            </w:r>
          </w:p>
        </w:tc>
        <w:tc>
          <w:tcPr>
            <w:tcW w:w="18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uk-UA"/>
              </w:rPr>
              <w:t>1</w:t>
            </w:r>
            <w:r w:rsidRPr="00594238">
              <w:rPr>
                <w:sz w:val="28"/>
                <w:szCs w:val="28"/>
              </w:rPr>
              <w:t>,54±</w:t>
            </w:r>
            <w:r w:rsidRPr="00594238">
              <w:rPr>
                <w:rFonts w:cs="Symbol"/>
                <w:sz w:val="28"/>
                <w:szCs w:val="28"/>
                <w:lang w:val="en-US"/>
              </w:rPr>
              <w:t>0</w:t>
            </w:r>
            <w:r w:rsidRPr="00594238">
              <w:rPr>
                <w:rFonts w:cs="Symbol"/>
                <w:sz w:val="28"/>
                <w:szCs w:val="28"/>
              </w:rPr>
              <w:t>,09</w:t>
            </w:r>
            <w:r w:rsidRPr="00594238">
              <w:rPr>
                <w:rFonts w:ascii="Symbol" w:hAnsi="Symbol" w:cs="Symbol"/>
                <w:sz w:val="28"/>
                <w:szCs w:val="28"/>
                <w:vertAlign w:val="superscript"/>
                <w:lang w:val="uk-UA"/>
              </w:rPr>
              <w:t></w:t>
            </w:r>
          </w:p>
        </w:tc>
        <w:tc>
          <w:tcPr>
            <w:tcW w:w="198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en-US"/>
              </w:rPr>
              <w:t>1</w:t>
            </w:r>
            <w:r w:rsidRPr="00594238">
              <w:rPr>
                <w:sz w:val="28"/>
                <w:szCs w:val="28"/>
              </w:rPr>
              <w:t>0</w:t>
            </w:r>
            <w:r w:rsidRPr="00594238">
              <w:rPr>
                <w:sz w:val="28"/>
                <w:szCs w:val="28"/>
                <w:lang w:val="en-US"/>
              </w:rPr>
              <w:t>4</w:t>
            </w:r>
            <w:r w:rsidRPr="00594238">
              <w:rPr>
                <w:sz w:val="28"/>
                <w:szCs w:val="28"/>
              </w:rPr>
              <w:t>,</w:t>
            </w:r>
            <w:r w:rsidRPr="00594238">
              <w:rPr>
                <w:sz w:val="28"/>
                <w:szCs w:val="28"/>
                <w:lang w:val="en-US"/>
              </w:rPr>
              <w:t>54</w:t>
            </w:r>
            <w:r w:rsidRPr="00594238">
              <w:rPr>
                <w:sz w:val="28"/>
                <w:szCs w:val="28"/>
              </w:rPr>
              <w:t>±</w:t>
            </w:r>
            <w:r w:rsidRPr="00594238">
              <w:rPr>
                <w:sz w:val="28"/>
                <w:szCs w:val="28"/>
                <w:lang w:val="en-US"/>
              </w:rPr>
              <w:t>4</w:t>
            </w:r>
            <w:r w:rsidRPr="00594238">
              <w:rPr>
                <w:rFonts w:cs="Symbol"/>
                <w:sz w:val="28"/>
                <w:szCs w:val="28"/>
              </w:rPr>
              <w:t>,</w:t>
            </w:r>
            <w:r w:rsidRPr="00594238">
              <w:rPr>
                <w:rFonts w:cs="Symbol"/>
                <w:sz w:val="28"/>
                <w:szCs w:val="28"/>
                <w:lang w:val="en-US"/>
              </w:rPr>
              <w:t>53</w:t>
            </w:r>
            <w:r w:rsidRPr="00594238">
              <w:rPr>
                <w:rFonts w:ascii="Symbol" w:hAnsi="Symbol" w:cs="Symbol"/>
                <w:sz w:val="28"/>
                <w:szCs w:val="28"/>
                <w:vertAlign w:val="superscript"/>
              </w:rPr>
              <w:t></w:t>
            </w:r>
            <w:r w:rsidRPr="00594238">
              <w:rPr>
                <w:rFonts w:ascii="Symbol" w:hAnsi="Symbol" w:cs="Symbol"/>
                <w:sz w:val="28"/>
                <w:szCs w:val="28"/>
                <w:vertAlign w:val="superscript"/>
                <w:lang w:val="uk-UA"/>
              </w:rPr>
              <w:t></w:t>
            </w:r>
          </w:p>
        </w:tc>
        <w:tc>
          <w:tcPr>
            <w:tcW w:w="18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</w:rPr>
              <w:t>5</w:t>
            </w:r>
            <w:r w:rsidRPr="00594238">
              <w:rPr>
                <w:sz w:val="28"/>
                <w:szCs w:val="28"/>
                <w:lang w:val="en-US"/>
              </w:rPr>
              <w:t>3</w:t>
            </w:r>
            <w:r w:rsidRPr="00594238">
              <w:rPr>
                <w:sz w:val="28"/>
                <w:szCs w:val="28"/>
              </w:rPr>
              <w:t>,</w:t>
            </w:r>
            <w:r w:rsidRPr="00594238">
              <w:rPr>
                <w:sz w:val="28"/>
                <w:szCs w:val="28"/>
                <w:lang w:val="en-US"/>
              </w:rPr>
              <w:t>01</w:t>
            </w:r>
            <w:r w:rsidRPr="00594238">
              <w:rPr>
                <w:sz w:val="28"/>
                <w:szCs w:val="28"/>
              </w:rPr>
              <w:t>±</w:t>
            </w:r>
            <w:r w:rsidRPr="00594238">
              <w:rPr>
                <w:sz w:val="28"/>
                <w:szCs w:val="28"/>
                <w:lang w:val="en-US"/>
              </w:rPr>
              <w:t>3</w:t>
            </w:r>
            <w:r w:rsidRPr="00594238">
              <w:rPr>
                <w:rFonts w:cs="Symbol"/>
                <w:sz w:val="28"/>
                <w:szCs w:val="28"/>
              </w:rPr>
              <w:t>,</w:t>
            </w:r>
            <w:r w:rsidRPr="00594238">
              <w:rPr>
                <w:rFonts w:cs="Symbol"/>
                <w:sz w:val="28"/>
                <w:szCs w:val="28"/>
                <w:lang w:val="en-US"/>
              </w:rPr>
              <w:t>67</w:t>
            </w:r>
            <w:r w:rsidRPr="00594238">
              <w:rPr>
                <w:rFonts w:ascii="Symbol" w:hAnsi="Symbol" w:cs="Symbol"/>
                <w:sz w:val="28"/>
                <w:szCs w:val="28"/>
                <w:vertAlign w:val="superscript"/>
              </w:rPr>
              <w:t></w:t>
            </w:r>
            <w:r w:rsidRPr="00594238">
              <w:rPr>
                <w:rFonts w:ascii="Symbol" w:hAnsi="Symbol" w:cs="Symbol"/>
                <w:sz w:val="28"/>
                <w:szCs w:val="28"/>
                <w:vertAlign w:val="superscript"/>
                <w:lang w:val="uk-UA"/>
              </w:rPr>
              <w:t></w:t>
            </w:r>
          </w:p>
        </w:tc>
        <w:tc>
          <w:tcPr>
            <w:tcW w:w="18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594238">
              <w:rPr>
                <w:sz w:val="28"/>
                <w:szCs w:val="28"/>
                <w:lang w:val="en-US"/>
              </w:rPr>
              <w:t>4</w:t>
            </w:r>
            <w:r w:rsidRPr="00594238">
              <w:rPr>
                <w:sz w:val="28"/>
                <w:szCs w:val="28"/>
                <w:lang w:val="uk-UA"/>
              </w:rPr>
              <w:t>7</w:t>
            </w:r>
            <w:r w:rsidRPr="00594238">
              <w:rPr>
                <w:sz w:val="28"/>
                <w:szCs w:val="28"/>
              </w:rPr>
              <w:t>,</w:t>
            </w:r>
            <w:r w:rsidRPr="00594238">
              <w:rPr>
                <w:sz w:val="28"/>
                <w:szCs w:val="28"/>
                <w:lang w:val="uk-UA"/>
              </w:rPr>
              <w:t>64</w:t>
            </w:r>
            <w:r w:rsidRPr="00594238">
              <w:rPr>
                <w:sz w:val="28"/>
                <w:szCs w:val="28"/>
              </w:rPr>
              <w:t>±</w:t>
            </w:r>
            <w:r w:rsidRPr="00594238">
              <w:rPr>
                <w:rFonts w:cs="Symbol"/>
                <w:sz w:val="28"/>
                <w:szCs w:val="28"/>
                <w:lang w:val="uk-UA"/>
              </w:rPr>
              <w:t>2</w:t>
            </w:r>
            <w:r w:rsidRPr="00594238">
              <w:rPr>
                <w:rFonts w:cs="Symbol"/>
                <w:sz w:val="28"/>
                <w:szCs w:val="28"/>
              </w:rPr>
              <w:t>,</w:t>
            </w:r>
            <w:r w:rsidRPr="00594238">
              <w:rPr>
                <w:rFonts w:cs="Symbol"/>
                <w:sz w:val="28"/>
                <w:szCs w:val="28"/>
                <w:lang w:val="uk-UA"/>
              </w:rPr>
              <w:t>01</w:t>
            </w:r>
            <w:r w:rsidRPr="00594238">
              <w:rPr>
                <w:rFonts w:ascii="Symbol" w:hAnsi="Symbol" w:cs="Symbol"/>
                <w:sz w:val="28"/>
                <w:szCs w:val="28"/>
                <w:vertAlign w:val="superscript"/>
              </w:rPr>
              <w:t></w:t>
            </w:r>
            <w:r w:rsidRPr="00594238">
              <w:rPr>
                <w:rFonts w:ascii="Symbol" w:hAnsi="Symbol" w:cs="Symbol"/>
                <w:sz w:val="28"/>
                <w:szCs w:val="28"/>
                <w:vertAlign w:val="superscript"/>
              </w:rPr>
              <w:t></w:t>
            </w:r>
          </w:p>
        </w:tc>
      </w:tr>
      <w:tr w:rsidR="003B05B6" w:rsidRPr="00594238" w:rsidTr="0077257F">
        <w:trPr>
          <w:jc w:val="center"/>
        </w:trPr>
        <w:tc>
          <w:tcPr>
            <w:tcW w:w="1080" w:type="dxa"/>
            <w:vMerge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uk-UA"/>
              </w:rPr>
              <w:t>III</w:t>
            </w:r>
          </w:p>
        </w:tc>
        <w:tc>
          <w:tcPr>
            <w:tcW w:w="18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94238">
              <w:rPr>
                <w:sz w:val="28"/>
                <w:szCs w:val="28"/>
                <w:lang w:val="uk-UA"/>
              </w:rPr>
              <w:t>1</w:t>
            </w:r>
            <w:r w:rsidRPr="00594238">
              <w:rPr>
                <w:sz w:val="28"/>
                <w:szCs w:val="28"/>
              </w:rPr>
              <w:t>,</w:t>
            </w:r>
            <w:r w:rsidRPr="00594238">
              <w:rPr>
                <w:sz w:val="28"/>
                <w:szCs w:val="28"/>
                <w:lang w:val="uk-UA"/>
              </w:rPr>
              <w:t>18</w:t>
            </w:r>
            <w:r w:rsidRPr="00594238">
              <w:rPr>
                <w:sz w:val="28"/>
                <w:szCs w:val="28"/>
              </w:rPr>
              <w:t>±</w:t>
            </w:r>
            <w:r w:rsidRPr="00594238">
              <w:rPr>
                <w:rFonts w:cs="Symbol"/>
                <w:sz w:val="28"/>
                <w:szCs w:val="28"/>
                <w:lang w:val="en-US"/>
              </w:rPr>
              <w:t>0</w:t>
            </w:r>
            <w:r w:rsidRPr="00594238">
              <w:rPr>
                <w:rFonts w:cs="Symbol"/>
                <w:sz w:val="28"/>
                <w:szCs w:val="28"/>
              </w:rPr>
              <w:t>,</w:t>
            </w:r>
            <w:r w:rsidRPr="00594238">
              <w:rPr>
                <w:rFonts w:cs="Symbol"/>
                <w:sz w:val="28"/>
                <w:szCs w:val="28"/>
                <w:lang w:val="uk-UA"/>
              </w:rPr>
              <w:t>07</w:t>
            </w:r>
            <w:r w:rsidRPr="00594238">
              <w:rPr>
                <w:rFonts w:ascii="Symbol" w:hAnsi="Symbol" w:cs="Symbol"/>
                <w:sz w:val="28"/>
                <w:szCs w:val="28"/>
                <w:vertAlign w:val="superscript"/>
                <w:lang w:val="uk-UA"/>
              </w:rPr>
              <w:t></w:t>
            </w:r>
          </w:p>
        </w:tc>
        <w:tc>
          <w:tcPr>
            <w:tcW w:w="198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en-US"/>
              </w:rPr>
              <w:t>90</w:t>
            </w:r>
            <w:r w:rsidRPr="00594238">
              <w:rPr>
                <w:sz w:val="28"/>
                <w:szCs w:val="28"/>
              </w:rPr>
              <w:t>,2</w:t>
            </w:r>
            <w:r w:rsidRPr="00594238">
              <w:rPr>
                <w:sz w:val="28"/>
                <w:szCs w:val="28"/>
                <w:lang w:val="en-US"/>
              </w:rPr>
              <w:t>2</w:t>
            </w:r>
            <w:r w:rsidRPr="00594238">
              <w:rPr>
                <w:sz w:val="28"/>
                <w:szCs w:val="28"/>
              </w:rPr>
              <w:t>±</w:t>
            </w:r>
            <w:r w:rsidRPr="00594238">
              <w:rPr>
                <w:sz w:val="28"/>
                <w:szCs w:val="28"/>
                <w:lang w:val="en-US"/>
              </w:rPr>
              <w:t>5</w:t>
            </w:r>
            <w:r w:rsidRPr="00594238">
              <w:rPr>
                <w:rFonts w:cs="Symbol"/>
                <w:sz w:val="28"/>
                <w:szCs w:val="28"/>
              </w:rPr>
              <w:t>,</w:t>
            </w:r>
            <w:r w:rsidRPr="00594238">
              <w:rPr>
                <w:rFonts w:cs="Symbol"/>
                <w:sz w:val="28"/>
                <w:szCs w:val="28"/>
                <w:lang w:val="en-US"/>
              </w:rPr>
              <w:t>11</w:t>
            </w:r>
            <w:r w:rsidRPr="00594238">
              <w:rPr>
                <w:rFonts w:ascii="Symbol" w:hAnsi="Symbol" w:cs="Symbol"/>
                <w:sz w:val="28"/>
                <w:szCs w:val="28"/>
                <w:vertAlign w:val="superscript"/>
              </w:rPr>
              <w:t></w:t>
            </w:r>
            <w:r w:rsidRPr="00594238">
              <w:rPr>
                <w:rFonts w:ascii="Symbol" w:hAnsi="Symbol" w:cs="Symbol"/>
                <w:sz w:val="28"/>
                <w:szCs w:val="28"/>
                <w:vertAlign w:val="superscript"/>
                <w:lang w:val="uk-UA"/>
              </w:rPr>
              <w:t></w:t>
            </w:r>
          </w:p>
        </w:tc>
        <w:tc>
          <w:tcPr>
            <w:tcW w:w="18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en-US"/>
              </w:rPr>
              <w:t>4</w:t>
            </w:r>
            <w:r w:rsidRPr="00594238">
              <w:rPr>
                <w:sz w:val="28"/>
                <w:szCs w:val="28"/>
              </w:rPr>
              <w:t>1,</w:t>
            </w:r>
            <w:r w:rsidRPr="00594238">
              <w:rPr>
                <w:sz w:val="28"/>
                <w:szCs w:val="28"/>
                <w:lang w:val="en-US"/>
              </w:rPr>
              <w:t>43</w:t>
            </w:r>
            <w:r w:rsidRPr="00594238">
              <w:rPr>
                <w:sz w:val="28"/>
                <w:szCs w:val="28"/>
              </w:rPr>
              <w:t>±</w:t>
            </w:r>
            <w:r w:rsidRPr="00594238">
              <w:rPr>
                <w:rFonts w:cs="Symbol"/>
                <w:sz w:val="28"/>
                <w:szCs w:val="28"/>
              </w:rPr>
              <w:t>3,</w:t>
            </w:r>
            <w:r w:rsidRPr="00594238">
              <w:rPr>
                <w:rFonts w:cs="Symbol"/>
                <w:sz w:val="28"/>
                <w:szCs w:val="28"/>
                <w:lang w:val="en-US"/>
              </w:rPr>
              <w:t>55</w:t>
            </w:r>
            <w:r w:rsidRPr="00594238">
              <w:rPr>
                <w:rFonts w:ascii="Symbol" w:hAnsi="Symbol" w:cs="Symbol"/>
                <w:sz w:val="28"/>
                <w:szCs w:val="28"/>
                <w:vertAlign w:val="superscript"/>
              </w:rPr>
              <w:t></w:t>
            </w:r>
            <w:r w:rsidRPr="00594238">
              <w:rPr>
                <w:rFonts w:ascii="Symbol" w:hAnsi="Symbol" w:cs="Symbol"/>
                <w:sz w:val="28"/>
                <w:szCs w:val="28"/>
                <w:vertAlign w:val="superscript"/>
                <w:lang w:val="uk-UA"/>
              </w:rPr>
              <w:t></w:t>
            </w:r>
          </w:p>
        </w:tc>
        <w:tc>
          <w:tcPr>
            <w:tcW w:w="18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594238">
              <w:rPr>
                <w:sz w:val="28"/>
                <w:szCs w:val="28"/>
                <w:lang w:val="en-US"/>
              </w:rPr>
              <w:t>5</w:t>
            </w:r>
            <w:r w:rsidRPr="00594238">
              <w:rPr>
                <w:sz w:val="28"/>
                <w:szCs w:val="28"/>
                <w:lang w:val="uk-UA"/>
              </w:rPr>
              <w:t>5</w:t>
            </w:r>
            <w:r w:rsidRPr="00594238">
              <w:rPr>
                <w:sz w:val="28"/>
                <w:szCs w:val="28"/>
              </w:rPr>
              <w:t>,13±</w:t>
            </w:r>
            <w:r w:rsidRPr="00594238">
              <w:rPr>
                <w:rFonts w:cs="Symbol"/>
                <w:sz w:val="28"/>
                <w:szCs w:val="28"/>
                <w:lang w:val="uk-UA"/>
              </w:rPr>
              <w:t>1</w:t>
            </w:r>
            <w:r w:rsidRPr="00594238">
              <w:rPr>
                <w:rFonts w:cs="Symbol"/>
                <w:sz w:val="28"/>
                <w:szCs w:val="28"/>
              </w:rPr>
              <w:t>,96</w:t>
            </w:r>
            <w:r w:rsidRPr="00594238">
              <w:rPr>
                <w:rFonts w:ascii="Symbol" w:hAnsi="Symbol" w:cs="Symbol"/>
                <w:sz w:val="28"/>
                <w:szCs w:val="28"/>
                <w:vertAlign w:val="superscript"/>
              </w:rPr>
              <w:t></w:t>
            </w:r>
            <w:r w:rsidRPr="00594238">
              <w:rPr>
                <w:rFonts w:ascii="Symbol" w:hAnsi="Symbol" w:cs="Symbol"/>
                <w:sz w:val="28"/>
                <w:szCs w:val="28"/>
                <w:vertAlign w:val="superscript"/>
              </w:rPr>
              <w:t></w:t>
            </w:r>
          </w:p>
        </w:tc>
      </w:tr>
      <w:tr w:rsidR="003B05B6" w:rsidRPr="00594238" w:rsidTr="0077257F">
        <w:trPr>
          <w:jc w:val="center"/>
        </w:trPr>
        <w:tc>
          <w:tcPr>
            <w:tcW w:w="1080" w:type="dxa"/>
            <w:vMerge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uk-UA"/>
              </w:rPr>
              <w:t>IV</w:t>
            </w:r>
          </w:p>
        </w:tc>
        <w:tc>
          <w:tcPr>
            <w:tcW w:w="18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uk-UA"/>
              </w:rPr>
              <w:t>1</w:t>
            </w:r>
            <w:r w:rsidRPr="00594238">
              <w:rPr>
                <w:sz w:val="28"/>
                <w:szCs w:val="28"/>
              </w:rPr>
              <w:t>,</w:t>
            </w:r>
            <w:r w:rsidRPr="00594238">
              <w:rPr>
                <w:sz w:val="28"/>
                <w:szCs w:val="28"/>
                <w:lang w:val="en-US"/>
              </w:rPr>
              <w:t>05</w:t>
            </w:r>
            <w:r w:rsidRPr="00594238">
              <w:rPr>
                <w:sz w:val="28"/>
                <w:szCs w:val="28"/>
              </w:rPr>
              <w:t>±</w:t>
            </w:r>
            <w:r w:rsidRPr="00594238">
              <w:rPr>
                <w:rFonts w:cs="Symbol"/>
                <w:sz w:val="28"/>
                <w:szCs w:val="28"/>
                <w:lang w:val="en-US"/>
              </w:rPr>
              <w:t>0</w:t>
            </w:r>
            <w:r w:rsidRPr="00594238">
              <w:rPr>
                <w:rFonts w:cs="Symbol"/>
                <w:sz w:val="28"/>
                <w:szCs w:val="28"/>
              </w:rPr>
              <w:t>,</w:t>
            </w:r>
            <w:r w:rsidRPr="00594238">
              <w:rPr>
                <w:rFonts w:cs="Symbol"/>
                <w:sz w:val="28"/>
                <w:szCs w:val="28"/>
                <w:lang w:val="uk-UA"/>
              </w:rPr>
              <w:t>0</w:t>
            </w:r>
            <w:r w:rsidRPr="00594238">
              <w:rPr>
                <w:rFonts w:cs="Symbol"/>
                <w:sz w:val="28"/>
                <w:szCs w:val="28"/>
                <w:lang w:val="en-US"/>
              </w:rPr>
              <w:t>5</w:t>
            </w:r>
            <w:r w:rsidRPr="00594238">
              <w:rPr>
                <w:rFonts w:ascii="Symbol" w:hAnsi="Symbol" w:cs="Symbol"/>
                <w:sz w:val="28"/>
                <w:szCs w:val="28"/>
                <w:vertAlign w:val="superscript"/>
                <w:lang w:val="uk-UA"/>
              </w:rPr>
              <w:t></w:t>
            </w:r>
            <w:r w:rsidRPr="00594238">
              <w:rPr>
                <w:rFonts w:ascii="Symbol" w:hAnsi="Symbol" w:cs="Symbol"/>
                <w:sz w:val="28"/>
                <w:szCs w:val="28"/>
                <w:vertAlign w:val="superscript"/>
              </w:rPr>
              <w:t></w:t>
            </w:r>
          </w:p>
        </w:tc>
        <w:tc>
          <w:tcPr>
            <w:tcW w:w="198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en-US"/>
              </w:rPr>
              <w:t>84</w:t>
            </w:r>
            <w:r w:rsidRPr="00594238">
              <w:rPr>
                <w:sz w:val="28"/>
                <w:szCs w:val="28"/>
              </w:rPr>
              <w:t>,</w:t>
            </w:r>
            <w:r w:rsidRPr="00594238">
              <w:rPr>
                <w:sz w:val="28"/>
                <w:szCs w:val="28"/>
                <w:lang w:val="en-US"/>
              </w:rPr>
              <w:t>92</w:t>
            </w:r>
            <w:r w:rsidRPr="00594238">
              <w:rPr>
                <w:sz w:val="28"/>
                <w:szCs w:val="28"/>
              </w:rPr>
              <w:t>±</w:t>
            </w:r>
            <w:r w:rsidRPr="00594238">
              <w:rPr>
                <w:sz w:val="28"/>
                <w:szCs w:val="28"/>
                <w:lang w:val="en-US"/>
              </w:rPr>
              <w:t>3</w:t>
            </w:r>
            <w:r w:rsidRPr="00594238">
              <w:rPr>
                <w:rFonts w:cs="Symbol"/>
                <w:sz w:val="28"/>
                <w:szCs w:val="28"/>
              </w:rPr>
              <w:t>,</w:t>
            </w:r>
            <w:r w:rsidRPr="00594238">
              <w:rPr>
                <w:rFonts w:cs="Symbol"/>
                <w:sz w:val="28"/>
                <w:szCs w:val="28"/>
                <w:lang w:val="en-US"/>
              </w:rPr>
              <w:t>19</w:t>
            </w:r>
            <w:r w:rsidRPr="00594238">
              <w:rPr>
                <w:rFonts w:ascii="Symbol" w:hAnsi="Symbol" w:cs="Symbol"/>
                <w:sz w:val="28"/>
                <w:szCs w:val="28"/>
                <w:vertAlign w:val="superscript"/>
              </w:rPr>
              <w:t></w:t>
            </w:r>
            <w:r w:rsidRPr="00594238">
              <w:rPr>
                <w:rFonts w:ascii="Symbol" w:hAnsi="Symbol" w:cs="Symbol"/>
                <w:sz w:val="28"/>
                <w:szCs w:val="28"/>
                <w:vertAlign w:val="superscript"/>
                <w:lang w:val="uk-UA"/>
              </w:rPr>
              <w:t></w:t>
            </w:r>
          </w:p>
        </w:tc>
        <w:tc>
          <w:tcPr>
            <w:tcW w:w="18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94238">
              <w:rPr>
                <w:sz w:val="28"/>
                <w:szCs w:val="28"/>
                <w:lang w:val="en-US"/>
              </w:rPr>
              <w:t>37</w:t>
            </w:r>
            <w:r w:rsidRPr="00594238">
              <w:rPr>
                <w:sz w:val="28"/>
                <w:szCs w:val="28"/>
              </w:rPr>
              <w:t>,</w:t>
            </w:r>
            <w:r w:rsidRPr="00594238">
              <w:rPr>
                <w:sz w:val="28"/>
                <w:szCs w:val="28"/>
                <w:lang w:val="en-US"/>
              </w:rPr>
              <w:t>90</w:t>
            </w:r>
            <w:r w:rsidRPr="00594238">
              <w:rPr>
                <w:sz w:val="28"/>
                <w:szCs w:val="28"/>
              </w:rPr>
              <w:t>±</w:t>
            </w:r>
            <w:r w:rsidRPr="00594238">
              <w:rPr>
                <w:sz w:val="28"/>
                <w:szCs w:val="28"/>
                <w:lang w:val="en-US"/>
              </w:rPr>
              <w:t>2</w:t>
            </w:r>
            <w:r w:rsidRPr="00594238">
              <w:rPr>
                <w:rFonts w:cs="Symbol"/>
                <w:sz w:val="28"/>
                <w:szCs w:val="28"/>
              </w:rPr>
              <w:t>,</w:t>
            </w:r>
            <w:r w:rsidRPr="00594238">
              <w:rPr>
                <w:rFonts w:cs="Symbol"/>
                <w:sz w:val="28"/>
                <w:szCs w:val="28"/>
                <w:lang w:val="en-US"/>
              </w:rPr>
              <w:t>31</w:t>
            </w:r>
            <w:r w:rsidRPr="00594238">
              <w:rPr>
                <w:rFonts w:ascii="Symbol" w:hAnsi="Symbol" w:cs="Symbol"/>
                <w:sz w:val="28"/>
                <w:szCs w:val="28"/>
                <w:vertAlign w:val="superscript"/>
              </w:rPr>
              <w:t></w:t>
            </w:r>
            <w:r w:rsidRPr="00594238">
              <w:rPr>
                <w:rFonts w:ascii="Symbol" w:hAnsi="Symbol" w:cs="Symbol"/>
                <w:sz w:val="28"/>
                <w:szCs w:val="28"/>
                <w:vertAlign w:val="superscript"/>
                <w:lang w:val="uk-UA"/>
              </w:rPr>
              <w:t></w:t>
            </w:r>
          </w:p>
        </w:tc>
        <w:tc>
          <w:tcPr>
            <w:tcW w:w="1800" w:type="dxa"/>
            <w:vAlign w:val="center"/>
          </w:tcPr>
          <w:p w:rsidR="003B05B6" w:rsidRPr="00594238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594238">
              <w:rPr>
                <w:sz w:val="28"/>
                <w:szCs w:val="28"/>
                <w:lang w:val="en-US"/>
              </w:rPr>
              <w:t>5</w:t>
            </w:r>
            <w:r w:rsidRPr="00594238">
              <w:rPr>
                <w:sz w:val="28"/>
                <w:szCs w:val="28"/>
                <w:lang w:val="uk-UA"/>
              </w:rPr>
              <w:t>5</w:t>
            </w:r>
            <w:r w:rsidRPr="00594238">
              <w:rPr>
                <w:sz w:val="28"/>
                <w:szCs w:val="28"/>
              </w:rPr>
              <w:t>,</w:t>
            </w:r>
            <w:r w:rsidRPr="00594238">
              <w:rPr>
                <w:sz w:val="28"/>
                <w:szCs w:val="28"/>
                <w:lang w:val="uk-UA"/>
              </w:rPr>
              <w:t>35</w:t>
            </w:r>
            <w:r w:rsidRPr="00594238">
              <w:rPr>
                <w:sz w:val="28"/>
                <w:szCs w:val="28"/>
              </w:rPr>
              <w:t>±</w:t>
            </w:r>
            <w:r w:rsidRPr="00594238">
              <w:rPr>
                <w:rFonts w:cs="Symbol"/>
                <w:sz w:val="28"/>
                <w:szCs w:val="28"/>
                <w:lang w:val="uk-UA"/>
              </w:rPr>
              <w:t>1</w:t>
            </w:r>
            <w:r w:rsidRPr="00594238">
              <w:rPr>
                <w:rFonts w:cs="Symbol"/>
                <w:sz w:val="28"/>
                <w:szCs w:val="28"/>
              </w:rPr>
              <w:t>,</w:t>
            </w:r>
            <w:r w:rsidRPr="00594238">
              <w:rPr>
                <w:rFonts w:cs="Symbol"/>
                <w:sz w:val="28"/>
                <w:szCs w:val="28"/>
                <w:lang w:val="uk-UA"/>
              </w:rPr>
              <w:t>65</w:t>
            </w:r>
            <w:r w:rsidRPr="00594238">
              <w:rPr>
                <w:rFonts w:ascii="Symbol" w:hAnsi="Symbol" w:cs="Symbol"/>
                <w:sz w:val="28"/>
                <w:szCs w:val="28"/>
                <w:vertAlign w:val="superscript"/>
              </w:rPr>
              <w:t></w:t>
            </w:r>
            <w:r w:rsidRPr="00594238">
              <w:rPr>
                <w:rFonts w:ascii="Symbol" w:hAnsi="Symbol" w:cs="Symbol"/>
                <w:sz w:val="28"/>
                <w:szCs w:val="28"/>
                <w:vertAlign w:val="superscript"/>
              </w:rPr>
              <w:t></w:t>
            </w:r>
          </w:p>
        </w:tc>
      </w:tr>
    </w:tbl>
    <w:p w:rsidR="003B05B6" w:rsidRPr="004C6D3F" w:rsidRDefault="003B05B6" w:rsidP="003B05B6">
      <w:pPr>
        <w:rPr>
          <w:sz w:val="28"/>
          <w:szCs w:val="28"/>
          <w:lang w:val="uk-UA"/>
        </w:rPr>
      </w:pPr>
      <w:r w:rsidRPr="004C6D3F">
        <w:rPr>
          <w:sz w:val="28"/>
          <w:szCs w:val="28"/>
        </w:rPr>
        <w:t>Прим</w:t>
      </w:r>
      <w:r w:rsidRPr="004C6D3F">
        <w:rPr>
          <w:sz w:val="28"/>
          <w:szCs w:val="28"/>
          <w:lang w:val="uk-UA"/>
        </w:rPr>
        <w:t>і</w:t>
      </w:r>
      <w:r w:rsidRPr="004C6D3F">
        <w:rPr>
          <w:sz w:val="28"/>
          <w:szCs w:val="28"/>
        </w:rPr>
        <w:t>тки:</w:t>
      </w:r>
    </w:p>
    <w:p w:rsidR="003B05B6" w:rsidRPr="004C6D3F" w:rsidRDefault="003B05B6" w:rsidP="0033412B">
      <w:pPr>
        <w:numPr>
          <w:ilvl w:val="0"/>
          <w:numId w:val="15"/>
        </w:numPr>
        <w:spacing w:after="0" w:line="240" w:lineRule="auto"/>
        <w:rPr>
          <w:sz w:val="28"/>
          <w:szCs w:val="28"/>
          <w:lang w:val="uk-UA"/>
        </w:rPr>
      </w:pPr>
      <w:r w:rsidRPr="004C6D3F">
        <w:rPr>
          <w:rFonts w:ascii="Symbol" w:hAnsi="Symbol" w:cs="Symbol"/>
          <w:sz w:val="28"/>
          <w:szCs w:val="28"/>
        </w:rPr>
        <w:t></w:t>
      </w:r>
      <w:r w:rsidRPr="004C6D3F">
        <w:rPr>
          <w:rFonts w:cs="Symbol"/>
          <w:sz w:val="28"/>
          <w:szCs w:val="28"/>
          <w:vertAlign w:val="superscript"/>
        </w:rPr>
        <w:t xml:space="preserve"> </w:t>
      </w:r>
      <w:r w:rsidRPr="004C6D3F">
        <w:rPr>
          <w:rFonts w:cs="Symbol"/>
          <w:sz w:val="28"/>
          <w:szCs w:val="28"/>
        </w:rPr>
        <w:t xml:space="preserve">- </w:t>
      </w:r>
      <w:r w:rsidRPr="004C6D3F">
        <w:rPr>
          <w:sz w:val="28"/>
          <w:szCs w:val="28"/>
          <w:lang w:val="uk-UA"/>
        </w:rPr>
        <w:t>достовірність у порівнянні з групою ДКМП (p&lt;0,05);</w:t>
      </w:r>
    </w:p>
    <w:p w:rsidR="003B05B6" w:rsidRPr="004C6D3F" w:rsidRDefault="003B05B6" w:rsidP="0033412B">
      <w:pPr>
        <w:numPr>
          <w:ilvl w:val="0"/>
          <w:numId w:val="15"/>
        </w:numPr>
        <w:spacing w:after="0" w:line="240" w:lineRule="auto"/>
        <w:rPr>
          <w:sz w:val="28"/>
          <w:szCs w:val="28"/>
          <w:lang w:val="uk-UA"/>
        </w:rPr>
      </w:pPr>
      <w:r w:rsidRPr="004C6D3F">
        <w:rPr>
          <w:rFonts w:ascii="Symbol" w:hAnsi="Symbol" w:cs="Symbol"/>
          <w:sz w:val="28"/>
          <w:szCs w:val="28"/>
        </w:rPr>
        <w:t></w:t>
      </w:r>
      <w:r w:rsidRPr="004C6D3F">
        <w:rPr>
          <w:sz w:val="28"/>
          <w:szCs w:val="28"/>
          <w:lang w:val="uk-UA"/>
        </w:rPr>
        <w:t>-  достовірність у порівнянні з аналогічними показниками на І етапі (p&lt;0,05).</w:t>
      </w:r>
    </w:p>
    <w:p w:rsidR="003B05B6" w:rsidRPr="004C6D3F" w:rsidRDefault="003B05B6" w:rsidP="003B05B6">
      <w:pPr>
        <w:spacing w:line="264" w:lineRule="auto"/>
        <w:ind w:firstLine="540"/>
        <w:jc w:val="both"/>
        <w:rPr>
          <w:sz w:val="28"/>
          <w:szCs w:val="28"/>
          <w:lang w:val="uk-UA"/>
        </w:rPr>
      </w:pPr>
    </w:p>
    <w:p w:rsidR="003B05B6" w:rsidRPr="004C6D3F" w:rsidRDefault="003B05B6" w:rsidP="003B05B6">
      <w:pPr>
        <w:spacing w:line="252" w:lineRule="auto"/>
        <w:ind w:firstLine="539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Ми проаналізували динаміку об’ємно-функціональних показників ЛШ, отриманих за доп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>могою методу дисків Сімпсона (табл.</w:t>
      </w:r>
      <w:r>
        <w:rPr>
          <w:sz w:val="28"/>
          <w:szCs w:val="28"/>
          <w:lang w:val="uk-UA"/>
        </w:rPr>
        <w:t>6</w:t>
      </w:r>
      <w:r w:rsidRPr="004C6D3F">
        <w:rPr>
          <w:sz w:val="28"/>
          <w:szCs w:val="28"/>
          <w:lang w:val="uk-UA"/>
        </w:rPr>
        <w:t>). В групі ДКМП ми не виявили значного зворотного рем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 xml:space="preserve">делювання порожнини ЛШ. В цій групі спостерігалось лише </w:t>
      </w:r>
      <w:r>
        <w:rPr>
          <w:sz w:val="28"/>
          <w:szCs w:val="28"/>
          <w:lang w:val="uk-UA"/>
        </w:rPr>
        <w:t xml:space="preserve">достовірне </w:t>
      </w:r>
      <w:r w:rsidRPr="004C6D3F">
        <w:rPr>
          <w:sz w:val="28"/>
          <w:szCs w:val="28"/>
          <w:lang w:val="uk-UA"/>
        </w:rPr>
        <w:t>підвищення ФВ ЛШ</w:t>
      </w:r>
      <w:r>
        <w:rPr>
          <w:sz w:val="28"/>
          <w:szCs w:val="28"/>
          <w:lang w:val="uk-UA"/>
        </w:rPr>
        <w:t xml:space="preserve"> в</w:t>
      </w:r>
      <w:r w:rsidRPr="004C6D3F">
        <w:rPr>
          <w:sz w:val="28"/>
          <w:szCs w:val="28"/>
          <w:lang w:val="uk-UA"/>
        </w:rPr>
        <w:t xml:space="preserve">же з  ІІ етапу. </w:t>
      </w:r>
    </w:p>
    <w:p w:rsidR="003B05B6" w:rsidRPr="004C6D3F" w:rsidRDefault="003B05B6" w:rsidP="003B05B6">
      <w:pPr>
        <w:widowControl w:val="0"/>
        <w:spacing w:line="252" w:lineRule="auto"/>
        <w:ind w:firstLine="539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В групі ХМ сприятлива динаміка була більш вираженою. В цій групі </w:t>
      </w:r>
      <w:r>
        <w:rPr>
          <w:sz w:val="28"/>
          <w:szCs w:val="28"/>
          <w:lang w:val="uk-UA"/>
        </w:rPr>
        <w:t>п</w:t>
      </w:r>
      <w:r w:rsidRPr="004C6D3F">
        <w:rPr>
          <w:sz w:val="28"/>
          <w:szCs w:val="28"/>
          <w:lang w:val="uk-UA"/>
        </w:rPr>
        <w:t>очинаючи вже з II-го етапу спостерігалось достов</w:t>
      </w:r>
      <w:r w:rsidRPr="004C6D3F">
        <w:rPr>
          <w:sz w:val="28"/>
          <w:szCs w:val="28"/>
          <w:lang w:val="uk-UA"/>
        </w:rPr>
        <w:t>і</w:t>
      </w:r>
      <w:r w:rsidRPr="004C6D3F">
        <w:rPr>
          <w:sz w:val="28"/>
          <w:szCs w:val="28"/>
          <w:lang w:val="uk-UA"/>
        </w:rPr>
        <w:t>рне зменшення значень іКДО та іКСО ЛШ, що супроводжувалось достовірним підвищенням його ФВ</w:t>
      </w:r>
      <w:r>
        <w:rPr>
          <w:sz w:val="28"/>
          <w:szCs w:val="28"/>
          <w:lang w:val="uk-UA"/>
        </w:rPr>
        <w:t xml:space="preserve"> </w:t>
      </w:r>
      <w:r w:rsidRPr="004C6D3F">
        <w:rPr>
          <w:sz w:val="28"/>
          <w:szCs w:val="28"/>
          <w:lang w:val="uk-UA"/>
        </w:rPr>
        <w:t>(табл.</w:t>
      </w:r>
      <w:r>
        <w:rPr>
          <w:sz w:val="28"/>
          <w:szCs w:val="28"/>
          <w:lang w:val="uk-UA"/>
        </w:rPr>
        <w:t>6</w:t>
      </w:r>
      <w:r w:rsidRPr="004C6D3F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</w:t>
      </w:r>
      <w:r w:rsidRPr="004C6D3F">
        <w:rPr>
          <w:sz w:val="28"/>
          <w:szCs w:val="28"/>
          <w:lang w:val="uk-UA"/>
        </w:rPr>
        <w:t xml:space="preserve">Значення всіх вище перерахованих показників в групі ХМ вже з ІІ-го етапу достовірно відрізнялись від аналогічних значень в групі ДКМП. </w:t>
      </w:r>
    </w:p>
    <w:p w:rsidR="003B05B6" w:rsidRPr="004C6D3F" w:rsidRDefault="003B05B6" w:rsidP="003B05B6">
      <w:pPr>
        <w:widowControl w:val="0"/>
        <w:spacing w:line="252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Аналіз отриманих результатів показав відмінності співвідношення хворих з різними ступ</w:t>
      </w:r>
      <w:r w:rsidRPr="004C6D3F">
        <w:rPr>
          <w:sz w:val="28"/>
          <w:szCs w:val="28"/>
          <w:lang w:val="uk-UA"/>
        </w:rPr>
        <w:t>е</w:t>
      </w:r>
      <w:r w:rsidRPr="004C6D3F">
        <w:rPr>
          <w:sz w:val="28"/>
          <w:szCs w:val="28"/>
          <w:lang w:val="uk-UA"/>
        </w:rPr>
        <w:t>нями порушень іКДО ЛШ в групах хворих на етапах дослідження. Так в групі ДКМП співвідношення хворих з різними ступенями порушення значень іКДО ЛШ практично не змінюв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>лось на етапах лікування: впродовж всього дослідження у переважної більшості хв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>рих з ДКМП зберігався важкий ступінь  його збільшення (≥97 мл/м</w:t>
      </w:r>
      <w:r w:rsidRPr="004C6D3F">
        <w:rPr>
          <w:sz w:val="28"/>
          <w:szCs w:val="28"/>
          <w:vertAlign w:val="superscript"/>
          <w:lang w:val="uk-UA"/>
        </w:rPr>
        <w:t>2</w:t>
      </w:r>
      <w:r w:rsidRPr="004C6D3F">
        <w:rPr>
          <w:sz w:val="28"/>
          <w:szCs w:val="28"/>
          <w:lang w:val="uk-UA"/>
        </w:rPr>
        <w:t>), в той час як у частини хв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>рих з групи ХМ вже з II етапу було виявлено нормалізацію значень іКДО ЛШ (35-75 мл/м</w:t>
      </w:r>
      <w:r w:rsidRPr="004C6D3F">
        <w:rPr>
          <w:sz w:val="28"/>
          <w:szCs w:val="28"/>
          <w:vertAlign w:val="superscript"/>
          <w:lang w:val="uk-UA"/>
        </w:rPr>
        <w:t>2</w:t>
      </w:r>
      <w:r w:rsidRPr="004C6D3F">
        <w:rPr>
          <w:sz w:val="28"/>
          <w:szCs w:val="28"/>
          <w:lang w:val="uk-UA"/>
        </w:rPr>
        <w:t>) і над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>лі частка таких хворих збільшувалась (рис.</w:t>
      </w:r>
      <w:r>
        <w:rPr>
          <w:sz w:val="28"/>
          <w:szCs w:val="28"/>
          <w:lang w:val="uk-UA"/>
        </w:rPr>
        <w:t>1</w:t>
      </w:r>
      <w:r w:rsidRPr="004C6D3F">
        <w:rPr>
          <w:sz w:val="28"/>
          <w:szCs w:val="28"/>
          <w:lang w:val="uk-UA"/>
        </w:rPr>
        <w:t xml:space="preserve">).  </w:t>
      </w:r>
    </w:p>
    <w:p w:rsidR="003B05B6" w:rsidRPr="004C6D3F" w:rsidRDefault="003B05B6" w:rsidP="003B05B6">
      <w:pPr>
        <w:widowControl w:val="0"/>
        <w:spacing w:line="252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 Аналогічні зміни було виявлено з боку значень ФВ ЛШ. Лише у незначної частини паціє</w:t>
      </w:r>
      <w:r w:rsidRPr="004C6D3F">
        <w:rPr>
          <w:sz w:val="28"/>
          <w:szCs w:val="28"/>
          <w:lang w:val="uk-UA"/>
        </w:rPr>
        <w:t>н</w:t>
      </w:r>
      <w:r w:rsidRPr="004C6D3F">
        <w:rPr>
          <w:sz w:val="28"/>
          <w:szCs w:val="28"/>
          <w:lang w:val="uk-UA"/>
        </w:rPr>
        <w:t>тів з ДКМП значення ФВ ЛШ на етапах лікування відповідали помірному ступеню порушень (ФВ=45-54%). В той же час в групі ХМ, починаючи з ІІІ етапу у більшої половини хворих спостеріг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>лась нормалізація ФВ ЛШ (рис.</w:t>
      </w:r>
      <w:r>
        <w:rPr>
          <w:sz w:val="28"/>
          <w:szCs w:val="28"/>
          <w:lang w:val="uk-UA"/>
        </w:rPr>
        <w:t>2</w:t>
      </w:r>
      <w:r w:rsidRPr="004C6D3F">
        <w:rPr>
          <w:sz w:val="28"/>
          <w:szCs w:val="28"/>
          <w:lang w:val="uk-UA"/>
        </w:rPr>
        <w:t>).</w:t>
      </w:r>
    </w:p>
    <w:p w:rsidR="003B05B6" w:rsidRDefault="003B05B6" w:rsidP="003B05B6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Ми провели аналіз динаміки деяких ЕхоКГ показників під впливом терапії. Обчислювали ступінь їх змін (</w:t>
      </w:r>
      <w:r w:rsidRPr="004C6D3F">
        <w:rPr>
          <w:rFonts w:ascii="Symbol" w:hAnsi="Symbol"/>
          <w:sz w:val="28"/>
          <w:szCs w:val="28"/>
          <w:lang w:val="uk-UA"/>
        </w:rPr>
        <w:t></w:t>
      </w:r>
      <w:r w:rsidRPr="004C6D3F">
        <w:rPr>
          <w:sz w:val="28"/>
          <w:szCs w:val="28"/>
          <w:lang w:val="uk-UA"/>
        </w:rPr>
        <w:t>%) порівняно з початковими даними. Результати аналізу значень дельт (</w:t>
      </w:r>
      <w:r w:rsidRPr="004C6D3F">
        <w:rPr>
          <w:rFonts w:ascii="Symbol" w:hAnsi="Symbol"/>
          <w:bCs/>
          <w:sz w:val="28"/>
          <w:szCs w:val="28"/>
        </w:rPr>
        <w:t></w:t>
      </w:r>
      <w:r w:rsidRPr="004C6D3F">
        <w:rPr>
          <w:bCs/>
          <w:sz w:val="28"/>
          <w:szCs w:val="28"/>
          <w:lang w:val="uk-UA"/>
        </w:rPr>
        <w:t>%)</w:t>
      </w:r>
      <w:r w:rsidRPr="004C6D3F">
        <w:rPr>
          <w:sz w:val="28"/>
          <w:szCs w:val="28"/>
          <w:lang w:val="uk-UA"/>
        </w:rPr>
        <w:t xml:space="preserve"> знов підтвердили, що сприятливі зміни відбуваються саме в групі ХМ (табл.</w:t>
      </w:r>
      <w:r>
        <w:rPr>
          <w:sz w:val="28"/>
          <w:szCs w:val="28"/>
          <w:lang w:val="uk-UA"/>
        </w:rPr>
        <w:t>7)</w:t>
      </w:r>
      <w:r w:rsidRPr="004C6D3F">
        <w:rPr>
          <w:sz w:val="28"/>
          <w:szCs w:val="28"/>
          <w:lang w:val="uk-UA"/>
        </w:rPr>
        <w:t xml:space="preserve">. Значення </w:t>
      </w:r>
      <w:r w:rsidRPr="004C6D3F">
        <w:rPr>
          <w:rFonts w:ascii="Symbol" w:hAnsi="Symbol"/>
          <w:bCs/>
          <w:sz w:val="28"/>
          <w:szCs w:val="28"/>
        </w:rPr>
        <w:t></w:t>
      </w:r>
      <w:r w:rsidRPr="004C6D3F">
        <w:rPr>
          <w:bCs/>
          <w:sz w:val="28"/>
          <w:szCs w:val="28"/>
          <w:lang w:val="uk-UA"/>
        </w:rPr>
        <w:t>%</w:t>
      </w:r>
      <w:r w:rsidRPr="004C6D3F">
        <w:rPr>
          <w:sz w:val="28"/>
          <w:szCs w:val="28"/>
          <w:lang w:val="uk-UA"/>
        </w:rPr>
        <w:t xml:space="preserve"> іКДО ЛШ, іКСО ЛШ та </w:t>
      </w:r>
      <w:r w:rsidRPr="004C6D3F">
        <w:rPr>
          <w:bCs/>
          <w:sz w:val="28"/>
          <w:szCs w:val="28"/>
          <w:lang w:val="uk-UA"/>
        </w:rPr>
        <w:t>ФВ ЛШ</w:t>
      </w:r>
      <w:r w:rsidRPr="004C6D3F">
        <w:rPr>
          <w:sz w:val="28"/>
          <w:szCs w:val="28"/>
          <w:lang w:val="uk-UA"/>
        </w:rPr>
        <w:t xml:space="preserve"> в групі ХМ на різних етапах в декілька (від 2 до 6) разів  перевищували подібні значення в групі ДКМП. </w:t>
      </w:r>
    </w:p>
    <w:p w:rsidR="003B05B6" w:rsidRPr="004C6D3F" w:rsidRDefault="003B05B6" w:rsidP="003B05B6">
      <w:pPr>
        <w:widowControl w:val="0"/>
        <w:spacing w:line="252" w:lineRule="auto"/>
        <w:ind w:firstLine="540"/>
        <w:jc w:val="both"/>
        <w:rPr>
          <w:sz w:val="28"/>
          <w:szCs w:val="28"/>
          <w:lang w:val="uk-UA"/>
        </w:rPr>
      </w:pPr>
    </w:p>
    <w:p w:rsidR="003B05B6" w:rsidRPr="004C6D3F" w:rsidRDefault="003B05B6" w:rsidP="003B05B6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444240"/>
            <wp:effectExtent l="0" t="0" r="0" b="0"/>
            <wp:docPr id="48" name="Диаграмма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B05B6" w:rsidRPr="004C6D3F" w:rsidRDefault="003B05B6" w:rsidP="003B05B6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Рис. </w:t>
      </w:r>
      <w:r>
        <w:rPr>
          <w:sz w:val="28"/>
          <w:szCs w:val="28"/>
          <w:lang w:val="uk-UA"/>
        </w:rPr>
        <w:t>1</w:t>
      </w:r>
      <w:r w:rsidRPr="004C6D3F">
        <w:rPr>
          <w:sz w:val="28"/>
          <w:szCs w:val="28"/>
          <w:lang w:val="uk-UA"/>
        </w:rPr>
        <w:t>. Співвідношення хворих з різними ступенями збільшення значень іКДО ЛШ в гр</w:t>
      </w:r>
      <w:r w:rsidRPr="004C6D3F">
        <w:rPr>
          <w:sz w:val="28"/>
          <w:szCs w:val="28"/>
          <w:lang w:val="uk-UA"/>
        </w:rPr>
        <w:t>у</w:t>
      </w:r>
      <w:r w:rsidRPr="004C6D3F">
        <w:rPr>
          <w:sz w:val="28"/>
          <w:szCs w:val="28"/>
          <w:lang w:val="uk-UA"/>
        </w:rPr>
        <w:t>пах ДКМП та ХМ на етапах дослідження.</w:t>
      </w:r>
    </w:p>
    <w:p w:rsidR="003B05B6" w:rsidRPr="004C6D3F" w:rsidRDefault="003B05B6" w:rsidP="003B05B6">
      <w:pPr>
        <w:spacing w:line="264" w:lineRule="auto"/>
        <w:ind w:firstLine="540"/>
        <w:jc w:val="both"/>
        <w:rPr>
          <w:sz w:val="28"/>
          <w:szCs w:val="28"/>
          <w:lang w:val="uk-UA"/>
        </w:rPr>
      </w:pPr>
    </w:p>
    <w:p w:rsidR="003B05B6" w:rsidRPr="004C6D3F" w:rsidRDefault="003B05B6" w:rsidP="003B05B6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noProof/>
          <w:sz w:val="28"/>
          <w:szCs w:val="28"/>
          <w:lang w:eastAsia="ru-RU"/>
        </w:rPr>
        <w:drawing>
          <wp:inline distT="0" distB="0" distL="0" distR="0">
            <wp:extent cx="5547360" cy="3535680"/>
            <wp:effectExtent l="0" t="0" r="0" b="0"/>
            <wp:docPr id="47" name="Диаграмма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B05B6" w:rsidRPr="004C6D3F" w:rsidRDefault="003B05B6" w:rsidP="003B05B6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Рис. </w:t>
      </w:r>
      <w:r>
        <w:rPr>
          <w:sz w:val="28"/>
          <w:szCs w:val="28"/>
          <w:lang w:val="uk-UA"/>
        </w:rPr>
        <w:t>2</w:t>
      </w:r>
      <w:r w:rsidRPr="004C6D3F">
        <w:rPr>
          <w:sz w:val="28"/>
          <w:szCs w:val="28"/>
          <w:lang w:val="uk-UA"/>
        </w:rPr>
        <w:t>. Співвідношення хворих з різними ступенями порушень значень ФВ ЛШ в групах ДКМП та ХМ на етапах дослідження.</w:t>
      </w:r>
    </w:p>
    <w:p w:rsidR="003B05B6" w:rsidRDefault="003B05B6" w:rsidP="003B05B6">
      <w:pPr>
        <w:spacing w:line="264" w:lineRule="auto"/>
        <w:ind w:firstLine="540"/>
        <w:jc w:val="right"/>
        <w:rPr>
          <w:sz w:val="28"/>
          <w:szCs w:val="28"/>
          <w:lang w:val="uk-UA"/>
        </w:rPr>
      </w:pPr>
    </w:p>
    <w:p w:rsidR="003B05B6" w:rsidRPr="004C6D3F" w:rsidRDefault="003B05B6" w:rsidP="003B05B6">
      <w:pPr>
        <w:spacing w:line="264" w:lineRule="auto"/>
        <w:ind w:firstLine="540"/>
        <w:jc w:val="right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Таблиця </w:t>
      </w:r>
      <w:r>
        <w:rPr>
          <w:sz w:val="28"/>
          <w:szCs w:val="28"/>
          <w:lang w:val="uk-UA"/>
        </w:rPr>
        <w:t>7</w:t>
      </w:r>
    </w:p>
    <w:p w:rsidR="003B05B6" w:rsidRPr="004C6D3F" w:rsidRDefault="003B05B6" w:rsidP="003B05B6">
      <w:pPr>
        <w:spacing w:line="264" w:lineRule="auto"/>
        <w:jc w:val="center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Різниця значень (</w:t>
      </w:r>
      <w:r w:rsidRPr="004C6D3F">
        <w:rPr>
          <w:rFonts w:ascii="Symbol" w:hAnsi="Symbol"/>
          <w:bCs/>
          <w:color w:val="000000"/>
          <w:sz w:val="28"/>
          <w:szCs w:val="28"/>
          <w:lang w:val="en-US"/>
        </w:rPr>
        <w:t></w:t>
      </w:r>
      <w:r w:rsidRPr="004C6D3F">
        <w:rPr>
          <w:bCs/>
          <w:color w:val="000000"/>
          <w:sz w:val="28"/>
          <w:szCs w:val="28"/>
          <w:lang w:val="uk-UA"/>
        </w:rPr>
        <w:t>%</w:t>
      </w:r>
      <w:r w:rsidRPr="004C6D3F">
        <w:rPr>
          <w:sz w:val="28"/>
          <w:szCs w:val="28"/>
          <w:lang w:val="uk-UA"/>
        </w:rPr>
        <w:t>) ЕхоКГ показників ЛШ в гр</w:t>
      </w:r>
      <w:r w:rsidRPr="004C6D3F">
        <w:rPr>
          <w:sz w:val="28"/>
          <w:szCs w:val="28"/>
          <w:lang w:val="uk-UA"/>
        </w:rPr>
        <w:t>у</w:t>
      </w:r>
      <w:r w:rsidRPr="004C6D3F">
        <w:rPr>
          <w:sz w:val="28"/>
          <w:szCs w:val="28"/>
          <w:lang w:val="uk-UA"/>
        </w:rPr>
        <w:t>пах ДКМП та ХМ на різних етапах дослідження</w:t>
      </w:r>
    </w:p>
    <w:tbl>
      <w:tblPr>
        <w:tblStyle w:val="ae"/>
        <w:tblW w:w="0" w:type="auto"/>
        <w:jc w:val="center"/>
        <w:tblLook w:val="01E0" w:firstRow="1" w:lastRow="1" w:firstColumn="1" w:lastColumn="1" w:noHBand="0" w:noVBand="0"/>
      </w:tblPr>
      <w:tblGrid>
        <w:gridCol w:w="2070"/>
        <w:gridCol w:w="1092"/>
        <w:gridCol w:w="1896"/>
        <w:gridCol w:w="1767"/>
        <w:gridCol w:w="1854"/>
      </w:tblGrid>
      <w:tr w:rsidR="003B05B6" w:rsidRPr="004C6D3F" w:rsidTr="0077257F">
        <w:trPr>
          <w:trHeight w:val="549"/>
          <w:jc w:val="center"/>
        </w:trPr>
        <w:tc>
          <w:tcPr>
            <w:tcW w:w="2070" w:type="dxa"/>
            <w:vMerge w:val="restart"/>
            <w:vAlign w:val="center"/>
          </w:tcPr>
          <w:p w:rsidR="003B05B6" w:rsidRPr="0050516C" w:rsidRDefault="003B05B6" w:rsidP="0077257F">
            <w:pPr>
              <w:spacing w:line="264" w:lineRule="auto"/>
              <w:ind w:left="29"/>
              <w:jc w:val="center"/>
              <w:rPr>
                <w:sz w:val="28"/>
                <w:szCs w:val="28"/>
                <w:lang w:val="uk-UA"/>
              </w:rPr>
            </w:pPr>
            <w:r w:rsidRPr="0050516C">
              <w:rPr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092" w:type="dxa"/>
            <w:vMerge w:val="restart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Етапи</w:t>
            </w:r>
          </w:p>
        </w:tc>
        <w:tc>
          <w:tcPr>
            <w:tcW w:w="3663" w:type="dxa"/>
            <w:gridSpan w:val="2"/>
            <w:vAlign w:val="center"/>
          </w:tcPr>
          <w:p w:rsidR="003B05B6" w:rsidRPr="0050516C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50516C">
              <w:rPr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1854" w:type="dxa"/>
            <w:vMerge w:val="restart"/>
          </w:tcPr>
          <w:p w:rsidR="003B05B6" w:rsidRPr="004C6D3F" w:rsidRDefault="003B05B6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р</w:t>
            </w:r>
          </w:p>
          <w:p w:rsidR="003B05B6" w:rsidRPr="004C6D3F" w:rsidRDefault="003B05B6" w:rsidP="0077257F">
            <w:pPr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uk-UA"/>
              </w:rPr>
              <w:t>(різниця між гр</w:t>
            </w:r>
            <w:r w:rsidRPr="004C6D3F">
              <w:rPr>
                <w:sz w:val="28"/>
                <w:szCs w:val="28"/>
                <w:lang w:val="uk-UA"/>
              </w:rPr>
              <w:t>у</w:t>
            </w:r>
            <w:r w:rsidRPr="004C6D3F">
              <w:rPr>
                <w:sz w:val="28"/>
                <w:szCs w:val="28"/>
                <w:lang w:val="uk-UA"/>
              </w:rPr>
              <w:t>пами)</w:t>
            </w:r>
          </w:p>
        </w:tc>
      </w:tr>
      <w:tr w:rsidR="003B05B6" w:rsidRPr="004C6D3F" w:rsidTr="0077257F">
        <w:trPr>
          <w:trHeight w:val="599"/>
          <w:jc w:val="center"/>
        </w:trPr>
        <w:tc>
          <w:tcPr>
            <w:tcW w:w="2070" w:type="dxa"/>
            <w:vMerge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92" w:type="dxa"/>
            <w:vMerge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96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uk-UA"/>
              </w:rPr>
              <w:t>ДКМП (</w:t>
            </w:r>
            <w:r w:rsidRPr="004C6D3F">
              <w:rPr>
                <w:sz w:val="28"/>
                <w:szCs w:val="28"/>
                <w:lang w:val="en-US"/>
              </w:rPr>
              <w:t>n=28)</w:t>
            </w:r>
          </w:p>
        </w:tc>
        <w:tc>
          <w:tcPr>
            <w:tcW w:w="1767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uk-UA"/>
              </w:rPr>
              <w:t xml:space="preserve">ХМ </w:t>
            </w:r>
            <w:r w:rsidRPr="004C6D3F">
              <w:rPr>
                <w:sz w:val="28"/>
                <w:szCs w:val="28"/>
                <w:lang w:val="en-US"/>
              </w:rPr>
              <w:t>(n=54)</w:t>
            </w:r>
          </w:p>
        </w:tc>
        <w:tc>
          <w:tcPr>
            <w:tcW w:w="1854" w:type="dxa"/>
            <w:vMerge/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  <w:lang w:val="en-US"/>
              </w:rPr>
            </w:pPr>
          </w:p>
        </w:tc>
      </w:tr>
      <w:tr w:rsidR="003B05B6" w:rsidRPr="004C6D3F" w:rsidTr="0077257F">
        <w:trPr>
          <w:jc w:val="center"/>
        </w:trPr>
        <w:tc>
          <w:tcPr>
            <w:tcW w:w="2070" w:type="dxa"/>
            <w:vMerge w:val="restart"/>
            <w:vAlign w:val="center"/>
          </w:tcPr>
          <w:p w:rsidR="003B05B6" w:rsidRPr="004C6D3F" w:rsidRDefault="003B05B6" w:rsidP="0077257F">
            <w:pPr>
              <w:spacing w:line="264" w:lineRule="auto"/>
              <w:rPr>
                <w:bCs/>
                <w:sz w:val="28"/>
                <w:szCs w:val="28"/>
              </w:rPr>
            </w:pPr>
            <w:r w:rsidRPr="004C6D3F">
              <w:rPr>
                <w:rFonts w:ascii="Symbol" w:hAnsi="Symbol"/>
                <w:bCs/>
                <w:color w:val="000000"/>
                <w:sz w:val="28"/>
                <w:szCs w:val="28"/>
                <w:lang w:val="en-US"/>
              </w:rPr>
              <w:t></w:t>
            </w:r>
            <w:r w:rsidRPr="004C6D3F">
              <w:rPr>
                <w:bCs/>
                <w:color w:val="000000"/>
                <w:sz w:val="28"/>
                <w:szCs w:val="28"/>
                <w:lang w:val="uk-UA"/>
              </w:rPr>
              <w:t xml:space="preserve"> іКДО</w:t>
            </w:r>
            <w:r w:rsidRPr="004C6D3F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4C6D3F">
              <w:rPr>
                <w:sz w:val="28"/>
                <w:szCs w:val="28"/>
                <w:lang w:val="uk-UA"/>
              </w:rPr>
              <w:t>ЛШ</w:t>
            </w:r>
            <w:r w:rsidRPr="004C6D3F">
              <w:rPr>
                <w:bCs/>
                <w:color w:val="000000"/>
                <w:sz w:val="28"/>
                <w:szCs w:val="28"/>
                <w:lang w:val="uk-UA"/>
              </w:rPr>
              <w:t>, %</w:t>
            </w:r>
          </w:p>
        </w:tc>
        <w:tc>
          <w:tcPr>
            <w:tcW w:w="1092" w:type="dxa"/>
          </w:tcPr>
          <w:p w:rsidR="003B05B6" w:rsidRPr="004C6D3F" w:rsidRDefault="003B05B6" w:rsidP="0077257F">
            <w:pPr>
              <w:spacing w:line="264" w:lineRule="auto"/>
              <w:rPr>
                <w:rFonts w:ascii="Symbol" w:hAnsi="Symbol"/>
                <w:bCs/>
                <w:color w:val="000000"/>
                <w:sz w:val="28"/>
                <w:szCs w:val="28"/>
                <w:lang w:val="en-US"/>
              </w:rPr>
            </w:pPr>
            <w:r w:rsidRPr="004C6D3F">
              <w:rPr>
                <w:bCs/>
                <w:color w:val="000000"/>
                <w:sz w:val="28"/>
                <w:szCs w:val="28"/>
                <w:lang w:val="en-US"/>
              </w:rPr>
              <w:t>I-II</w:t>
            </w:r>
          </w:p>
        </w:tc>
        <w:tc>
          <w:tcPr>
            <w:tcW w:w="1896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3,60 ± 5,67</w:t>
            </w:r>
          </w:p>
        </w:tc>
        <w:tc>
          <w:tcPr>
            <w:tcW w:w="1767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-9,53 ± 3,23</w:t>
            </w:r>
          </w:p>
        </w:tc>
        <w:tc>
          <w:tcPr>
            <w:tcW w:w="1854" w:type="dxa"/>
            <w:vAlign w:val="center"/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0,040</w:t>
            </w:r>
          </w:p>
        </w:tc>
      </w:tr>
      <w:tr w:rsidR="003B05B6" w:rsidRPr="004C6D3F" w:rsidTr="0077257F">
        <w:trPr>
          <w:jc w:val="center"/>
        </w:trPr>
        <w:tc>
          <w:tcPr>
            <w:tcW w:w="2070" w:type="dxa"/>
            <w:vMerge/>
            <w:vAlign w:val="center"/>
          </w:tcPr>
          <w:p w:rsidR="003B05B6" w:rsidRPr="004C6D3F" w:rsidRDefault="003B05B6" w:rsidP="0077257F">
            <w:pPr>
              <w:spacing w:line="264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3B05B6" w:rsidRPr="004C6D3F" w:rsidRDefault="003B05B6" w:rsidP="0077257F">
            <w:pPr>
              <w:spacing w:line="264" w:lineRule="auto"/>
              <w:rPr>
                <w:rFonts w:ascii="Symbol" w:hAnsi="Symbol"/>
                <w:bCs/>
                <w:color w:val="000000"/>
                <w:sz w:val="28"/>
                <w:szCs w:val="28"/>
                <w:lang w:val="en-US"/>
              </w:rPr>
            </w:pPr>
            <w:r w:rsidRPr="004C6D3F"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4C6D3F">
              <w:rPr>
                <w:bCs/>
                <w:color w:val="000000"/>
                <w:sz w:val="28"/>
                <w:szCs w:val="28"/>
                <w:lang w:val="uk-UA"/>
              </w:rPr>
              <w:t>-ІІІ</w:t>
            </w:r>
          </w:p>
        </w:tc>
        <w:tc>
          <w:tcPr>
            <w:tcW w:w="1896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2,98 ± 2,56</w:t>
            </w:r>
          </w:p>
        </w:tc>
        <w:tc>
          <w:tcPr>
            <w:tcW w:w="1767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-20,68 ± 2,78</w:t>
            </w:r>
          </w:p>
        </w:tc>
        <w:tc>
          <w:tcPr>
            <w:tcW w:w="1854" w:type="dxa"/>
            <w:vAlign w:val="center"/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0,000003</w:t>
            </w:r>
          </w:p>
        </w:tc>
      </w:tr>
      <w:tr w:rsidR="003B05B6" w:rsidRPr="004C6D3F" w:rsidTr="0077257F">
        <w:trPr>
          <w:jc w:val="center"/>
        </w:trPr>
        <w:tc>
          <w:tcPr>
            <w:tcW w:w="2070" w:type="dxa"/>
            <w:vMerge/>
            <w:vAlign w:val="center"/>
          </w:tcPr>
          <w:p w:rsidR="003B05B6" w:rsidRPr="004C6D3F" w:rsidRDefault="003B05B6" w:rsidP="0077257F">
            <w:pPr>
              <w:spacing w:line="264" w:lineRule="auto"/>
              <w:rPr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:rsidR="003B05B6" w:rsidRPr="004C6D3F" w:rsidRDefault="003B05B6" w:rsidP="0077257F">
            <w:pPr>
              <w:spacing w:line="264" w:lineRule="auto"/>
              <w:rPr>
                <w:rFonts w:ascii="Symbol" w:hAnsi="Symbol"/>
                <w:bCs/>
                <w:color w:val="000000"/>
                <w:sz w:val="28"/>
                <w:szCs w:val="28"/>
                <w:lang w:val="en-US"/>
              </w:rPr>
            </w:pPr>
            <w:r w:rsidRPr="004C6D3F">
              <w:rPr>
                <w:bCs/>
                <w:color w:val="000000"/>
                <w:sz w:val="28"/>
                <w:szCs w:val="28"/>
                <w:lang w:val="en-US"/>
              </w:rPr>
              <w:t>I-IV</w:t>
            </w:r>
          </w:p>
        </w:tc>
        <w:tc>
          <w:tcPr>
            <w:tcW w:w="1896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9,29 ± 7,32</w:t>
            </w:r>
          </w:p>
        </w:tc>
        <w:tc>
          <w:tcPr>
            <w:tcW w:w="1767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-20,26 ± 4,59</w:t>
            </w:r>
          </w:p>
        </w:tc>
        <w:tc>
          <w:tcPr>
            <w:tcW w:w="1854" w:type="dxa"/>
            <w:vAlign w:val="center"/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0,002</w:t>
            </w:r>
          </w:p>
        </w:tc>
      </w:tr>
      <w:tr w:rsidR="003B05B6" w:rsidRPr="004C6D3F" w:rsidTr="0077257F">
        <w:trPr>
          <w:jc w:val="center"/>
        </w:trPr>
        <w:tc>
          <w:tcPr>
            <w:tcW w:w="2070" w:type="dxa"/>
            <w:vMerge w:val="restart"/>
            <w:vAlign w:val="center"/>
          </w:tcPr>
          <w:p w:rsidR="003B05B6" w:rsidRPr="004C6D3F" w:rsidRDefault="003B05B6" w:rsidP="0077257F">
            <w:pPr>
              <w:spacing w:line="264" w:lineRule="auto"/>
              <w:rPr>
                <w:bCs/>
                <w:sz w:val="28"/>
                <w:szCs w:val="28"/>
              </w:rPr>
            </w:pPr>
            <w:r w:rsidRPr="004C6D3F">
              <w:rPr>
                <w:rFonts w:ascii="Symbol" w:hAnsi="Symbol"/>
                <w:bCs/>
                <w:color w:val="000000"/>
                <w:sz w:val="28"/>
                <w:szCs w:val="28"/>
                <w:lang w:val="en-US"/>
              </w:rPr>
              <w:t></w:t>
            </w:r>
            <w:r w:rsidRPr="004C6D3F">
              <w:rPr>
                <w:bCs/>
                <w:color w:val="000000"/>
                <w:sz w:val="28"/>
                <w:szCs w:val="28"/>
                <w:lang w:val="uk-UA"/>
              </w:rPr>
              <w:t xml:space="preserve"> іКСО</w:t>
            </w:r>
            <w:r w:rsidRPr="004C6D3F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4C6D3F">
              <w:rPr>
                <w:sz w:val="28"/>
                <w:szCs w:val="28"/>
                <w:lang w:val="uk-UA"/>
              </w:rPr>
              <w:t>ЛШ</w:t>
            </w:r>
            <w:r w:rsidRPr="004C6D3F">
              <w:rPr>
                <w:bCs/>
                <w:color w:val="000000"/>
                <w:sz w:val="28"/>
                <w:szCs w:val="28"/>
                <w:lang w:val="uk-UA"/>
              </w:rPr>
              <w:t>, %</w:t>
            </w:r>
          </w:p>
        </w:tc>
        <w:tc>
          <w:tcPr>
            <w:tcW w:w="1092" w:type="dxa"/>
          </w:tcPr>
          <w:p w:rsidR="003B05B6" w:rsidRPr="004C6D3F" w:rsidRDefault="003B05B6" w:rsidP="0077257F">
            <w:pPr>
              <w:spacing w:line="264" w:lineRule="auto"/>
              <w:rPr>
                <w:rFonts w:ascii="Symbol" w:hAnsi="Symbol"/>
                <w:bCs/>
                <w:color w:val="000000"/>
                <w:sz w:val="28"/>
                <w:szCs w:val="28"/>
                <w:lang w:val="en-US"/>
              </w:rPr>
            </w:pPr>
            <w:r w:rsidRPr="004C6D3F">
              <w:rPr>
                <w:bCs/>
                <w:color w:val="000000"/>
                <w:sz w:val="28"/>
                <w:szCs w:val="28"/>
                <w:lang w:val="en-US"/>
              </w:rPr>
              <w:t>I-II</w:t>
            </w:r>
          </w:p>
        </w:tc>
        <w:tc>
          <w:tcPr>
            <w:tcW w:w="1896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-4,86 ± 5,10</w:t>
            </w:r>
          </w:p>
        </w:tc>
        <w:tc>
          <w:tcPr>
            <w:tcW w:w="1767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-29,41 ± 4,51</w:t>
            </w:r>
          </w:p>
        </w:tc>
        <w:tc>
          <w:tcPr>
            <w:tcW w:w="1854" w:type="dxa"/>
            <w:vAlign w:val="center"/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0,001</w:t>
            </w:r>
          </w:p>
        </w:tc>
      </w:tr>
      <w:tr w:rsidR="003B05B6" w:rsidRPr="004C6D3F" w:rsidTr="0077257F">
        <w:trPr>
          <w:jc w:val="center"/>
        </w:trPr>
        <w:tc>
          <w:tcPr>
            <w:tcW w:w="2070" w:type="dxa"/>
            <w:vMerge/>
            <w:vAlign w:val="center"/>
          </w:tcPr>
          <w:p w:rsidR="003B05B6" w:rsidRPr="004C6D3F" w:rsidRDefault="003B05B6" w:rsidP="0077257F">
            <w:pPr>
              <w:spacing w:line="264" w:lineRule="auto"/>
              <w:rPr>
                <w:rFonts w:ascii="Symbol" w:hAnsi="Symbol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92" w:type="dxa"/>
          </w:tcPr>
          <w:p w:rsidR="003B05B6" w:rsidRPr="004C6D3F" w:rsidRDefault="003B05B6" w:rsidP="0077257F">
            <w:pPr>
              <w:spacing w:line="264" w:lineRule="auto"/>
              <w:rPr>
                <w:rFonts w:ascii="Symbol" w:hAnsi="Symbol"/>
                <w:bCs/>
                <w:color w:val="000000"/>
                <w:sz w:val="28"/>
                <w:szCs w:val="28"/>
                <w:lang w:val="en-US"/>
              </w:rPr>
            </w:pPr>
            <w:r w:rsidRPr="004C6D3F"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4C6D3F">
              <w:rPr>
                <w:bCs/>
                <w:color w:val="000000"/>
                <w:sz w:val="28"/>
                <w:szCs w:val="28"/>
                <w:lang w:val="uk-UA"/>
              </w:rPr>
              <w:t>-ІІІ</w:t>
            </w:r>
          </w:p>
        </w:tc>
        <w:tc>
          <w:tcPr>
            <w:tcW w:w="1896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-8,33 ± 4,12</w:t>
            </w:r>
          </w:p>
        </w:tc>
        <w:tc>
          <w:tcPr>
            <w:tcW w:w="1767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-44,09 ± 3,36</w:t>
            </w:r>
          </w:p>
        </w:tc>
        <w:tc>
          <w:tcPr>
            <w:tcW w:w="1854" w:type="dxa"/>
            <w:vAlign w:val="center"/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uk-UA"/>
              </w:rPr>
              <w:t>0,000001</w:t>
            </w:r>
          </w:p>
        </w:tc>
      </w:tr>
      <w:tr w:rsidR="003B05B6" w:rsidRPr="004C6D3F" w:rsidTr="0077257F">
        <w:trPr>
          <w:jc w:val="center"/>
        </w:trPr>
        <w:tc>
          <w:tcPr>
            <w:tcW w:w="2070" w:type="dxa"/>
            <w:vMerge/>
            <w:vAlign w:val="center"/>
          </w:tcPr>
          <w:p w:rsidR="003B05B6" w:rsidRPr="004C6D3F" w:rsidRDefault="003B05B6" w:rsidP="0077257F">
            <w:pPr>
              <w:spacing w:line="264" w:lineRule="auto"/>
              <w:rPr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:rsidR="003B05B6" w:rsidRPr="004C6D3F" w:rsidRDefault="003B05B6" w:rsidP="0077257F">
            <w:pPr>
              <w:spacing w:line="264" w:lineRule="auto"/>
              <w:rPr>
                <w:rFonts w:ascii="Symbol" w:hAnsi="Symbol"/>
                <w:bCs/>
                <w:color w:val="000000"/>
                <w:sz w:val="28"/>
                <w:szCs w:val="28"/>
                <w:lang w:val="en-US"/>
              </w:rPr>
            </w:pPr>
            <w:r w:rsidRPr="004C6D3F">
              <w:rPr>
                <w:bCs/>
                <w:color w:val="000000"/>
                <w:sz w:val="28"/>
                <w:szCs w:val="28"/>
                <w:lang w:val="en-US"/>
              </w:rPr>
              <w:t>I-IV</w:t>
            </w:r>
          </w:p>
        </w:tc>
        <w:tc>
          <w:tcPr>
            <w:tcW w:w="1896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12,03 ±</w:t>
            </w:r>
            <w:r w:rsidRPr="004C6D3F">
              <w:rPr>
                <w:sz w:val="28"/>
                <w:szCs w:val="28"/>
                <w:lang w:val="en-US"/>
              </w:rPr>
              <w:t xml:space="preserve"> </w:t>
            </w:r>
            <w:r w:rsidRPr="004C6D3F">
              <w:rPr>
                <w:sz w:val="28"/>
                <w:szCs w:val="28"/>
                <w:lang w:val="uk-UA"/>
              </w:rPr>
              <w:t xml:space="preserve">4,53 </w:t>
            </w:r>
          </w:p>
        </w:tc>
        <w:tc>
          <w:tcPr>
            <w:tcW w:w="1767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-42,65 ± 5,02</w:t>
            </w:r>
          </w:p>
        </w:tc>
        <w:tc>
          <w:tcPr>
            <w:tcW w:w="1854" w:type="dxa"/>
            <w:vAlign w:val="center"/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0,0006</w:t>
            </w:r>
          </w:p>
        </w:tc>
      </w:tr>
      <w:tr w:rsidR="003B05B6" w:rsidRPr="004C6D3F" w:rsidTr="0077257F">
        <w:trPr>
          <w:jc w:val="center"/>
        </w:trPr>
        <w:tc>
          <w:tcPr>
            <w:tcW w:w="2070" w:type="dxa"/>
            <w:vMerge w:val="restart"/>
            <w:vAlign w:val="center"/>
          </w:tcPr>
          <w:p w:rsidR="003B05B6" w:rsidRPr="004C6D3F" w:rsidRDefault="003B05B6" w:rsidP="0077257F">
            <w:pPr>
              <w:spacing w:line="264" w:lineRule="auto"/>
              <w:rPr>
                <w:bCs/>
                <w:sz w:val="28"/>
                <w:szCs w:val="28"/>
              </w:rPr>
            </w:pPr>
            <w:r w:rsidRPr="004C6D3F">
              <w:rPr>
                <w:rFonts w:ascii="Symbol" w:hAnsi="Symbol"/>
                <w:bCs/>
                <w:color w:val="000000"/>
                <w:sz w:val="28"/>
                <w:szCs w:val="28"/>
                <w:lang w:val="en-US"/>
              </w:rPr>
              <w:t></w:t>
            </w:r>
            <w:r w:rsidRPr="004C6D3F">
              <w:rPr>
                <w:bCs/>
                <w:color w:val="000000"/>
                <w:sz w:val="28"/>
                <w:szCs w:val="28"/>
                <w:lang w:val="uk-UA"/>
              </w:rPr>
              <w:t xml:space="preserve"> ФВ</w:t>
            </w:r>
            <w:r w:rsidRPr="004C6D3F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4C6D3F">
              <w:rPr>
                <w:sz w:val="28"/>
                <w:szCs w:val="28"/>
                <w:lang w:val="uk-UA"/>
              </w:rPr>
              <w:t>ЛШ</w:t>
            </w:r>
            <w:r w:rsidRPr="004C6D3F">
              <w:rPr>
                <w:bCs/>
                <w:color w:val="000000"/>
                <w:sz w:val="28"/>
                <w:szCs w:val="28"/>
                <w:lang w:val="uk-UA"/>
              </w:rPr>
              <w:t>, %</w:t>
            </w:r>
          </w:p>
        </w:tc>
        <w:tc>
          <w:tcPr>
            <w:tcW w:w="1092" w:type="dxa"/>
          </w:tcPr>
          <w:p w:rsidR="003B05B6" w:rsidRPr="004C6D3F" w:rsidRDefault="003B05B6" w:rsidP="0077257F">
            <w:pPr>
              <w:spacing w:line="264" w:lineRule="auto"/>
              <w:rPr>
                <w:rFonts w:ascii="Symbol" w:hAnsi="Symbol"/>
                <w:bCs/>
                <w:color w:val="000000"/>
                <w:sz w:val="28"/>
                <w:szCs w:val="28"/>
                <w:lang w:val="en-US"/>
              </w:rPr>
            </w:pPr>
            <w:r w:rsidRPr="004C6D3F">
              <w:rPr>
                <w:bCs/>
                <w:color w:val="000000"/>
                <w:sz w:val="28"/>
                <w:szCs w:val="28"/>
                <w:lang w:val="en-US"/>
              </w:rPr>
              <w:t>I-II</w:t>
            </w:r>
          </w:p>
        </w:tc>
        <w:tc>
          <w:tcPr>
            <w:tcW w:w="1896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2,72 ± 3,08</w:t>
            </w:r>
          </w:p>
        </w:tc>
        <w:tc>
          <w:tcPr>
            <w:tcW w:w="1767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12,89 ± 2,10</w:t>
            </w:r>
          </w:p>
        </w:tc>
        <w:tc>
          <w:tcPr>
            <w:tcW w:w="1854" w:type="dxa"/>
            <w:vAlign w:val="center"/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0,008</w:t>
            </w:r>
          </w:p>
        </w:tc>
      </w:tr>
      <w:tr w:rsidR="003B05B6" w:rsidRPr="004C6D3F" w:rsidTr="0077257F">
        <w:trPr>
          <w:jc w:val="center"/>
        </w:trPr>
        <w:tc>
          <w:tcPr>
            <w:tcW w:w="2070" w:type="dxa"/>
            <w:vMerge/>
            <w:vAlign w:val="center"/>
          </w:tcPr>
          <w:p w:rsidR="003B05B6" w:rsidRPr="004C6D3F" w:rsidRDefault="003B05B6" w:rsidP="0077257F">
            <w:pPr>
              <w:spacing w:line="264" w:lineRule="auto"/>
              <w:rPr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:rsidR="003B05B6" w:rsidRPr="004C6D3F" w:rsidRDefault="003B05B6" w:rsidP="0077257F">
            <w:pPr>
              <w:spacing w:line="264" w:lineRule="auto"/>
              <w:rPr>
                <w:rFonts w:ascii="Symbol" w:hAnsi="Symbol"/>
                <w:bCs/>
                <w:color w:val="000000"/>
                <w:sz w:val="28"/>
                <w:szCs w:val="28"/>
                <w:lang w:val="en-US"/>
              </w:rPr>
            </w:pPr>
            <w:r w:rsidRPr="004C6D3F"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4C6D3F">
              <w:rPr>
                <w:bCs/>
                <w:color w:val="000000"/>
                <w:sz w:val="28"/>
                <w:szCs w:val="28"/>
                <w:lang w:val="uk-UA"/>
              </w:rPr>
              <w:t>-ІІІ</w:t>
            </w:r>
          </w:p>
        </w:tc>
        <w:tc>
          <w:tcPr>
            <w:tcW w:w="1896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7,50 ± 1,79</w:t>
            </w:r>
          </w:p>
        </w:tc>
        <w:tc>
          <w:tcPr>
            <w:tcW w:w="1767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20,26 ± 1,95</w:t>
            </w:r>
          </w:p>
        </w:tc>
        <w:tc>
          <w:tcPr>
            <w:tcW w:w="1854" w:type="dxa"/>
            <w:vAlign w:val="center"/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0,0002</w:t>
            </w:r>
          </w:p>
        </w:tc>
      </w:tr>
      <w:tr w:rsidR="003B05B6" w:rsidRPr="004C6D3F" w:rsidTr="0077257F">
        <w:trPr>
          <w:jc w:val="center"/>
        </w:trPr>
        <w:tc>
          <w:tcPr>
            <w:tcW w:w="2070" w:type="dxa"/>
            <w:vMerge/>
            <w:vAlign w:val="center"/>
          </w:tcPr>
          <w:p w:rsidR="003B05B6" w:rsidRPr="004C6D3F" w:rsidRDefault="003B05B6" w:rsidP="0077257F">
            <w:pPr>
              <w:spacing w:line="264" w:lineRule="auto"/>
              <w:rPr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:rsidR="003B05B6" w:rsidRPr="004C6D3F" w:rsidRDefault="003B05B6" w:rsidP="0077257F">
            <w:pPr>
              <w:spacing w:line="264" w:lineRule="auto"/>
              <w:rPr>
                <w:rFonts w:ascii="Symbol" w:hAnsi="Symbol"/>
                <w:bCs/>
                <w:color w:val="000000"/>
                <w:sz w:val="28"/>
                <w:szCs w:val="28"/>
                <w:lang w:val="en-US"/>
              </w:rPr>
            </w:pPr>
            <w:r w:rsidRPr="004C6D3F">
              <w:rPr>
                <w:bCs/>
                <w:color w:val="000000"/>
                <w:sz w:val="28"/>
                <w:szCs w:val="28"/>
                <w:lang w:val="en-US"/>
              </w:rPr>
              <w:t>I-IV</w:t>
            </w:r>
          </w:p>
        </w:tc>
        <w:tc>
          <w:tcPr>
            <w:tcW w:w="1896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5,16 ± 3,16</w:t>
            </w:r>
          </w:p>
        </w:tc>
        <w:tc>
          <w:tcPr>
            <w:tcW w:w="1767" w:type="dxa"/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21,49 ± 1,75</w:t>
            </w:r>
          </w:p>
        </w:tc>
        <w:tc>
          <w:tcPr>
            <w:tcW w:w="1854" w:type="dxa"/>
            <w:vAlign w:val="center"/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0,00005</w:t>
            </w:r>
          </w:p>
        </w:tc>
      </w:tr>
    </w:tbl>
    <w:p w:rsidR="003B05B6" w:rsidRPr="004C6D3F" w:rsidRDefault="003B05B6" w:rsidP="003B05B6">
      <w:pPr>
        <w:spacing w:line="264" w:lineRule="auto"/>
        <w:ind w:firstLine="540"/>
        <w:jc w:val="both"/>
        <w:rPr>
          <w:sz w:val="28"/>
          <w:szCs w:val="28"/>
          <w:lang w:val="uk-UA"/>
        </w:rPr>
      </w:pPr>
    </w:p>
    <w:p w:rsidR="003B05B6" w:rsidRPr="004C6D3F" w:rsidRDefault="003B05B6" w:rsidP="003B05B6">
      <w:pPr>
        <w:spacing w:line="252" w:lineRule="auto"/>
        <w:ind w:firstLine="539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Нами було проведено порівняльне вивчення параметрів, що характеризують функцію ЛП. Виявлено, що під впливом лікування із застосуванням високих терапевтичних доз карведилолу та оптимальної дози еналаприлу в групі ДКМП показники ЛП змінюються значно менше, ніж в групі ХМ. </w:t>
      </w:r>
    </w:p>
    <w:p w:rsidR="003B05B6" w:rsidRDefault="003B05B6" w:rsidP="003B05B6">
      <w:pPr>
        <w:widowControl w:val="0"/>
        <w:spacing w:line="252" w:lineRule="auto"/>
        <w:ind w:firstLine="539"/>
        <w:jc w:val="both"/>
        <w:rPr>
          <w:sz w:val="28"/>
          <w:szCs w:val="28"/>
          <w:lang w:val="uk-UA" w:eastAsia="uk-UA"/>
        </w:rPr>
      </w:pPr>
      <w:r w:rsidRPr="00550EAA">
        <w:rPr>
          <w:sz w:val="28"/>
          <w:szCs w:val="28"/>
          <w:lang w:val="uk-UA"/>
        </w:rPr>
        <w:t xml:space="preserve">Так в групі ДКМП відбувалось достовірне підвищення ФВ ЛП з </w:t>
      </w:r>
      <w:r w:rsidRPr="00550EAA">
        <w:rPr>
          <w:sz w:val="28"/>
          <w:szCs w:val="28"/>
        </w:rPr>
        <w:t>32,03±2,61</w:t>
      </w:r>
      <w:r w:rsidRPr="00550EAA">
        <w:rPr>
          <w:sz w:val="28"/>
          <w:szCs w:val="28"/>
          <w:lang w:val="uk-UA"/>
        </w:rPr>
        <w:t xml:space="preserve">% до </w:t>
      </w:r>
      <w:r w:rsidRPr="00550EAA">
        <w:rPr>
          <w:sz w:val="28"/>
          <w:szCs w:val="28"/>
        </w:rPr>
        <w:t>41,07±3,58</w:t>
      </w:r>
      <w:r w:rsidRPr="00550EAA">
        <w:rPr>
          <w:sz w:val="28"/>
          <w:szCs w:val="28"/>
          <w:lang w:val="uk-UA"/>
        </w:rPr>
        <w:t xml:space="preserve">% на III етапі і до </w:t>
      </w:r>
      <w:r w:rsidRPr="00550EAA">
        <w:rPr>
          <w:sz w:val="28"/>
          <w:szCs w:val="28"/>
        </w:rPr>
        <w:t>41,70±4,10</w:t>
      </w:r>
      <w:r w:rsidRPr="00550EAA">
        <w:rPr>
          <w:sz w:val="28"/>
          <w:szCs w:val="28"/>
          <w:lang w:val="uk-UA"/>
        </w:rPr>
        <w:t>% на IV етапі дослідження. В той же час ми не спостер</w:t>
      </w:r>
      <w:r w:rsidRPr="00550EAA">
        <w:rPr>
          <w:sz w:val="28"/>
          <w:szCs w:val="28"/>
          <w:lang w:val="uk-UA"/>
        </w:rPr>
        <w:t>і</w:t>
      </w:r>
      <w:r w:rsidRPr="00550EAA">
        <w:rPr>
          <w:sz w:val="28"/>
          <w:szCs w:val="28"/>
          <w:lang w:val="uk-UA"/>
        </w:rPr>
        <w:t xml:space="preserve">гали достовірних змін середніх значень об’ємів, площ та індексованих значень КДО і КСО ЛП в даній групі. Однак, обчислення щодо ступеня збільшення індексованого показника КДО ЛП показали дещо іншу тенденцію. На початку дослідження в групі ДКМП </w:t>
      </w:r>
      <w:r w:rsidRPr="00550EAA">
        <w:rPr>
          <w:sz w:val="28"/>
          <w:szCs w:val="28"/>
          <w:lang w:val="uk-UA" w:eastAsia="uk-UA"/>
        </w:rPr>
        <w:t>важкий ступінь (</w:t>
      </w:r>
      <w:r w:rsidRPr="00550EAA">
        <w:rPr>
          <w:sz w:val="28"/>
          <w:szCs w:val="28"/>
          <w:lang w:eastAsia="uk-UA"/>
        </w:rPr>
        <w:t xml:space="preserve">&gt;40 </w:t>
      </w:r>
      <w:r w:rsidRPr="00550EAA">
        <w:rPr>
          <w:sz w:val="28"/>
          <w:szCs w:val="28"/>
          <w:lang w:val="uk-UA"/>
        </w:rPr>
        <w:t>мл/м</w:t>
      </w:r>
      <w:r w:rsidRPr="00550EAA">
        <w:rPr>
          <w:sz w:val="28"/>
          <w:szCs w:val="28"/>
          <w:vertAlign w:val="superscript"/>
          <w:lang w:val="uk-UA"/>
        </w:rPr>
        <w:t>2</w:t>
      </w:r>
      <w:r w:rsidRPr="00550EAA">
        <w:rPr>
          <w:sz w:val="28"/>
          <w:szCs w:val="28"/>
          <w:lang w:eastAsia="uk-UA"/>
        </w:rPr>
        <w:t xml:space="preserve">) </w:t>
      </w:r>
      <w:r w:rsidRPr="00550EAA">
        <w:rPr>
          <w:sz w:val="28"/>
          <w:szCs w:val="28"/>
          <w:lang w:val="uk-UA" w:eastAsia="uk-UA"/>
        </w:rPr>
        <w:t>збільшення зн</w:t>
      </w:r>
      <w:r w:rsidRPr="00550EAA">
        <w:rPr>
          <w:sz w:val="28"/>
          <w:szCs w:val="28"/>
          <w:lang w:val="uk-UA" w:eastAsia="uk-UA"/>
        </w:rPr>
        <w:t>а</w:t>
      </w:r>
      <w:r w:rsidRPr="00550EAA">
        <w:rPr>
          <w:sz w:val="28"/>
          <w:szCs w:val="28"/>
          <w:lang w:val="uk-UA" w:eastAsia="uk-UA"/>
        </w:rPr>
        <w:t>чень іКДО ЛП спостерігався у переважної більшості хворих (91,7%). На ІІ етапі частка таких хв</w:t>
      </w:r>
      <w:r w:rsidRPr="00550EAA">
        <w:rPr>
          <w:sz w:val="28"/>
          <w:szCs w:val="28"/>
          <w:lang w:val="uk-UA" w:eastAsia="uk-UA"/>
        </w:rPr>
        <w:t>о</w:t>
      </w:r>
      <w:r w:rsidRPr="00550EAA">
        <w:rPr>
          <w:sz w:val="28"/>
          <w:szCs w:val="28"/>
          <w:lang w:val="uk-UA" w:eastAsia="uk-UA"/>
        </w:rPr>
        <w:t>рих становила 73,7%. При</w:t>
      </w:r>
      <w:r w:rsidRPr="004C6D3F">
        <w:rPr>
          <w:sz w:val="28"/>
          <w:szCs w:val="28"/>
          <w:lang w:val="uk-UA" w:eastAsia="uk-UA"/>
        </w:rPr>
        <w:t xml:space="preserve"> цьому на II етапі в групі ДКМП у 5,3% пацієнтів було виявлено помі</w:t>
      </w:r>
      <w:r w:rsidRPr="004C6D3F">
        <w:rPr>
          <w:sz w:val="28"/>
          <w:szCs w:val="28"/>
          <w:lang w:val="uk-UA" w:eastAsia="uk-UA"/>
        </w:rPr>
        <w:t>р</w:t>
      </w:r>
      <w:r w:rsidRPr="004C6D3F">
        <w:rPr>
          <w:sz w:val="28"/>
          <w:szCs w:val="28"/>
          <w:lang w:val="uk-UA" w:eastAsia="uk-UA"/>
        </w:rPr>
        <w:t xml:space="preserve">ний ступінь (29-33 </w:t>
      </w:r>
      <w:r w:rsidRPr="004C6D3F">
        <w:rPr>
          <w:sz w:val="28"/>
          <w:szCs w:val="28"/>
          <w:lang w:val="uk-UA"/>
        </w:rPr>
        <w:t>мл/м</w:t>
      </w:r>
      <w:r w:rsidRPr="004C6D3F">
        <w:rPr>
          <w:sz w:val="28"/>
          <w:szCs w:val="28"/>
          <w:vertAlign w:val="superscript"/>
          <w:lang w:val="uk-UA"/>
        </w:rPr>
        <w:t>2</w:t>
      </w:r>
      <w:r w:rsidRPr="004C6D3F">
        <w:rPr>
          <w:sz w:val="28"/>
          <w:szCs w:val="28"/>
          <w:lang w:val="uk-UA" w:eastAsia="uk-UA"/>
        </w:rPr>
        <w:t>) збільшення іКДО ЛП. На ІІІ етапі частка пацієнтів з п</w:t>
      </w:r>
      <w:r w:rsidRPr="004C6D3F">
        <w:rPr>
          <w:sz w:val="28"/>
          <w:szCs w:val="28"/>
          <w:lang w:val="uk-UA" w:eastAsia="uk-UA"/>
        </w:rPr>
        <w:t>о</w:t>
      </w:r>
      <w:r w:rsidRPr="004C6D3F">
        <w:rPr>
          <w:sz w:val="28"/>
          <w:szCs w:val="28"/>
          <w:lang w:val="uk-UA" w:eastAsia="uk-UA"/>
        </w:rPr>
        <w:t>мірним ступенем збільшення іКДО ЛП становила вже 23,1%. Більше того, на ІІІ етапі у 7,7% хворих визначались нормальні значення іКДО ЛП. Проте, ці сприятливі зміни не збереглися до кінця дослідження. На IV етапі помірне збільшення іКДО ЛП було зафіксовано у 12,5%, а нормальних значень даного показника не було виявлено в жодного хворого групи ДКМП</w:t>
      </w:r>
      <w:r>
        <w:rPr>
          <w:sz w:val="28"/>
          <w:szCs w:val="28"/>
          <w:lang w:val="uk-UA" w:eastAsia="uk-UA"/>
        </w:rPr>
        <w:t>.</w:t>
      </w:r>
    </w:p>
    <w:p w:rsidR="003B05B6" w:rsidRPr="004C6D3F" w:rsidRDefault="003B05B6" w:rsidP="003B05B6">
      <w:pPr>
        <w:spacing w:line="252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Аналогічна тенденція була отримана при обчисленні </w:t>
      </w:r>
      <w:r w:rsidRPr="004C6D3F">
        <w:rPr>
          <w:sz w:val="28"/>
          <w:szCs w:val="28"/>
          <w:lang w:val="uk-UA"/>
        </w:rPr>
        <w:t>співвідношення хворих</w:t>
      </w:r>
      <w:r>
        <w:rPr>
          <w:sz w:val="28"/>
          <w:szCs w:val="28"/>
          <w:lang w:val="uk-UA"/>
        </w:rPr>
        <w:t xml:space="preserve"> на ДКМП</w:t>
      </w:r>
      <w:r w:rsidRPr="004C6D3F">
        <w:rPr>
          <w:sz w:val="28"/>
          <w:szCs w:val="28"/>
          <w:lang w:val="uk-UA"/>
        </w:rPr>
        <w:t xml:space="preserve"> з різними ступ</w:t>
      </w:r>
      <w:r w:rsidRPr="004C6D3F">
        <w:rPr>
          <w:sz w:val="28"/>
          <w:szCs w:val="28"/>
          <w:lang w:val="uk-UA"/>
        </w:rPr>
        <w:t>е</w:t>
      </w:r>
      <w:r w:rsidRPr="004C6D3F">
        <w:rPr>
          <w:sz w:val="28"/>
          <w:szCs w:val="28"/>
          <w:lang w:val="uk-UA"/>
        </w:rPr>
        <w:t xml:space="preserve">нями збільшення площі ЛП в діастолу на </w:t>
      </w:r>
      <w:r>
        <w:rPr>
          <w:sz w:val="28"/>
          <w:szCs w:val="28"/>
          <w:lang w:val="uk-UA"/>
        </w:rPr>
        <w:t xml:space="preserve">етапах </w:t>
      </w:r>
      <w:r w:rsidRPr="004C6D3F">
        <w:rPr>
          <w:sz w:val="28"/>
          <w:szCs w:val="28"/>
          <w:lang w:val="uk-UA"/>
        </w:rPr>
        <w:t>дослідження. В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>жкий (≥40 см</w:t>
      </w:r>
      <w:r w:rsidRPr="004C6D3F">
        <w:rPr>
          <w:sz w:val="28"/>
          <w:szCs w:val="28"/>
          <w:vertAlign w:val="superscript"/>
          <w:lang w:val="uk-UA"/>
        </w:rPr>
        <w:t>2</w:t>
      </w:r>
      <w:r w:rsidRPr="004C6D3F">
        <w:rPr>
          <w:sz w:val="28"/>
          <w:szCs w:val="28"/>
          <w:lang w:val="uk-UA"/>
        </w:rPr>
        <w:t>) та середній (30-40 см</w:t>
      </w:r>
      <w:r w:rsidRPr="004C6D3F">
        <w:rPr>
          <w:sz w:val="28"/>
          <w:szCs w:val="28"/>
          <w:vertAlign w:val="superscript"/>
          <w:lang w:val="uk-UA"/>
        </w:rPr>
        <w:t>2</w:t>
      </w:r>
      <w:r w:rsidRPr="004C6D3F">
        <w:rPr>
          <w:sz w:val="28"/>
          <w:szCs w:val="28"/>
          <w:lang w:val="uk-UA"/>
        </w:rPr>
        <w:t xml:space="preserve">) ступені збільшення Sд ЛП на І етапі були виявлені у 65,4%, на ІІ – у 52,6%, а на ІІІ - у 53,8% хворих даної групи. </w:t>
      </w:r>
      <w:r>
        <w:rPr>
          <w:sz w:val="28"/>
          <w:szCs w:val="28"/>
          <w:lang w:val="uk-UA"/>
        </w:rPr>
        <w:t>П</w:t>
      </w:r>
      <w:r w:rsidRPr="004C6D3F">
        <w:rPr>
          <w:sz w:val="28"/>
          <w:szCs w:val="28"/>
          <w:lang w:val="uk-UA"/>
        </w:rPr>
        <w:t>озитивна динаміка спостерігалась лише наприкінці дослідження</w:t>
      </w:r>
      <w:r>
        <w:rPr>
          <w:sz w:val="28"/>
          <w:szCs w:val="28"/>
          <w:lang w:val="uk-UA"/>
        </w:rPr>
        <w:t>:</w:t>
      </w:r>
      <w:r w:rsidRPr="004C6D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4C6D3F">
        <w:rPr>
          <w:sz w:val="28"/>
          <w:szCs w:val="28"/>
          <w:lang w:val="uk-UA"/>
        </w:rPr>
        <w:t xml:space="preserve">а </w:t>
      </w:r>
      <w:r w:rsidRPr="004C6D3F">
        <w:rPr>
          <w:sz w:val="28"/>
          <w:szCs w:val="28"/>
          <w:lang w:val="uk-UA" w:eastAsia="uk-UA"/>
        </w:rPr>
        <w:t xml:space="preserve">IV етапі важкий та середній </w:t>
      </w:r>
      <w:r w:rsidRPr="004C6D3F">
        <w:rPr>
          <w:sz w:val="28"/>
          <w:szCs w:val="28"/>
          <w:lang w:val="uk-UA"/>
        </w:rPr>
        <w:t xml:space="preserve">ступені </w:t>
      </w:r>
      <w:r w:rsidRPr="004C6D3F">
        <w:rPr>
          <w:sz w:val="28"/>
          <w:szCs w:val="28"/>
          <w:lang w:val="uk-UA" w:eastAsia="uk-UA"/>
        </w:rPr>
        <w:t xml:space="preserve">збільшення </w:t>
      </w:r>
      <w:r w:rsidRPr="004C6D3F">
        <w:rPr>
          <w:sz w:val="28"/>
          <w:szCs w:val="28"/>
          <w:lang w:val="uk-UA"/>
        </w:rPr>
        <w:t>Sд ЛП визнач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>лись вже у 37,5% хворих даної групи.</w:t>
      </w:r>
    </w:p>
    <w:p w:rsidR="003B05B6" w:rsidRPr="004C6D3F" w:rsidRDefault="003B05B6" w:rsidP="003B05B6">
      <w:pPr>
        <w:widowControl w:val="0"/>
        <w:spacing w:line="254" w:lineRule="auto"/>
        <w:ind w:firstLine="539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В той же час в гр</w:t>
      </w:r>
      <w:r w:rsidRPr="004C6D3F">
        <w:rPr>
          <w:sz w:val="28"/>
          <w:szCs w:val="28"/>
          <w:lang w:val="uk-UA"/>
        </w:rPr>
        <w:t>у</w:t>
      </w:r>
      <w:r w:rsidRPr="004C6D3F">
        <w:rPr>
          <w:sz w:val="28"/>
          <w:szCs w:val="28"/>
          <w:lang w:val="uk-UA"/>
        </w:rPr>
        <w:t xml:space="preserve">пі ХМ </w:t>
      </w:r>
      <w:r>
        <w:rPr>
          <w:sz w:val="28"/>
          <w:szCs w:val="28"/>
          <w:lang w:val="uk-UA"/>
        </w:rPr>
        <w:t xml:space="preserve">під впливом лікування </w:t>
      </w:r>
      <w:r w:rsidRPr="004C6D3F">
        <w:rPr>
          <w:sz w:val="28"/>
          <w:szCs w:val="28"/>
          <w:lang w:val="uk-UA"/>
        </w:rPr>
        <w:t>спостерігалось достовірне зменшення iКДО ЛП з 51,81±3,43 мл/м</w:t>
      </w:r>
      <w:r w:rsidRPr="004C6D3F">
        <w:rPr>
          <w:sz w:val="28"/>
          <w:szCs w:val="28"/>
          <w:vertAlign w:val="superscript"/>
          <w:lang w:val="uk-UA"/>
        </w:rPr>
        <w:t>2</w:t>
      </w:r>
      <w:r w:rsidRPr="004C6D3F">
        <w:rPr>
          <w:sz w:val="28"/>
          <w:szCs w:val="28"/>
          <w:lang w:val="uk-UA"/>
        </w:rPr>
        <w:t xml:space="preserve"> до 34,72±2,62мл/м</w:t>
      </w:r>
      <w:r w:rsidRPr="004C6D3F">
        <w:rPr>
          <w:sz w:val="28"/>
          <w:szCs w:val="28"/>
          <w:vertAlign w:val="superscript"/>
          <w:lang w:val="uk-UA"/>
        </w:rPr>
        <w:t>2</w:t>
      </w:r>
      <w:r w:rsidRPr="004C6D3F">
        <w:rPr>
          <w:sz w:val="28"/>
          <w:szCs w:val="28"/>
          <w:lang w:val="uk-UA"/>
        </w:rPr>
        <w:t xml:space="preserve"> та 34,73±3,03 мл/м</w:t>
      </w:r>
      <w:r w:rsidRPr="004C6D3F">
        <w:rPr>
          <w:sz w:val="28"/>
          <w:szCs w:val="28"/>
          <w:vertAlign w:val="superscript"/>
          <w:lang w:val="uk-UA"/>
        </w:rPr>
        <w:t>2</w:t>
      </w:r>
      <w:r w:rsidRPr="004C6D3F">
        <w:rPr>
          <w:sz w:val="28"/>
          <w:szCs w:val="28"/>
          <w:lang w:val="uk-UA"/>
        </w:rPr>
        <w:t xml:space="preserve"> на ІІІ і IV етапах. При цьому було т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 xml:space="preserve">кож виявлено виражену тенденцію (р=0,057) до зменшення iКСО ЛП на II і III етапах, яка набула достовірності на IV етапі дослідження. </w:t>
      </w:r>
      <w:r>
        <w:rPr>
          <w:sz w:val="28"/>
          <w:szCs w:val="28"/>
          <w:lang w:val="uk-UA"/>
        </w:rPr>
        <w:t>З</w:t>
      </w:r>
      <w:r w:rsidRPr="004C6D3F">
        <w:rPr>
          <w:sz w:val="28"/>
          <w:szCs w:val="28"/>
          <w:lang w:val="uk-UA"/>
        </w:rPr>
        <w:t xml:space="preserve">начення іКСО ЛП на початку дослідження становили </w:t>
      </w:r>
      <w:r w:rsidRPr="004C6D3F">
        <w:rPr>
          <w:sz w:val="28"/>
          <w:szCs w:val="28"/>
        </w:rPr>
        <w:t>33,38±2,53</w:t>
      </w:r>
      <w:r w:rsidRPr="004C6D3F">
        <w:rPr>
          <w:sz w:val="28"/>
          <w:szCs w:val="28"/>
          <w:lang w:val="uk-UA"/>
        </w:rPr>
        <w:t xml:space="preserve"> мл/м</w:t>
      </w:r>
      <w:r w:rsidRPr="004C6D3F">
        <w:rPr>
          <w:sz w:val="28"/>
          <w:szCs w:val="28"/>
          <w:vertAlign w:val="superscript"/>
          <w:lang w:val="uk-UA"/>
        </w:rPr>
        <w:t>2</w:t>
      </w:r>
      <w:r w:rsidRPr="004C6D3F">
        <w:rPr>
          <w:sz w:val="28"/>
          <w:szCs w:val="28"/>
          <w:lang w:val="uk-UA"/>
        </w:rPr>
        <w:t xml:space="preserve">, а після його закінчення -  </w:t>
      </w:r>
      <w:r w:rsidRPr="004C6D3F">
        <w:rPr>
          <w:sz w:val="28"/>
          <w:szCs w:val="28"/>
        </w:rPr>
        <w:t>20,15±2,34</w:t>
      </w:r>
      <w:r w:rsidRPr="004C6D3F">
        <w:rPr>
          <w:sz w:val="28"/>
          <w:szCs w:val="28"/>
          <w:lang w:val="uk-UA"/>
        </w:rPr>
        <w:t xml:space="preserve"> мл/м</w:t>
      </w:r>
      <w:r w:rsidRPr="004C6D3F">
        <w:rPr>
          <w:sz w:val="28"/>
          <w:szCs w:val="28"/>
          <w:vertAlign w:val="superscript"/>
          <w:lang w:val="uk-UA"/>
        </w:rPr>
        <w:t>2</w:t>
      </w:r>
      <w:r w:rsidRPr="004C6D3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C6D3F">
        <w:rPr>
          <w:sz w:val="28"/>
          <w:szCs w:val="28"/>
          <w:lang w:val="uk-UA"/>
        </w:rPr>
        <w:t xml:space="preserve">В цій групі також було виявлено достовірне зменшення Sд ЛП на II – IV етапах та Sс ЛП – на III і IV етапах. На початку дослідження значення Sд ЛП та Sс ЛП становили </w:t>
      </w:r>
      <w:r w:rsidRPr="004C6D3F">
        <w:rPr>
          <w:sz w:val="28"/>
          <w:szCs w:val="28"/>
        </w:rPr>
        <w:t>29,15±1,17</w:t>
      </w:r>
      <w:r w:rsidRPr="004C6D3F">
        <w:rPr>
          <w:sz w:val="28"/>
          <w:szCs w:val="28"/>
          <w:lang w:val="uk-UA"/>
        </w:rPr>
        <w:t xml:space="preserve"> см</w:t>
      </w:r>
      <w:r w:rsidRPr="004C6D3F">
        <w:rPr>
          <w:sz w:val="28"/>
          <w:szCs w:val="28"/>
          <w:vertAlign w:val="superscript"/>
          <w:lang w:val="uk-UA"/>
        </w:rPr>
        <w:t>2</w:t>
      </w:r>
      <w:r w:rsidRPr="004C6D3F">
        <w:rPr>
          <w:sz w:val="28"/>
          <w:szCs w:val="28"/>
          <w:lang w:val="uk-UA"/>
        </w:rPr>
        <w:t xml:space="preserve"> та </w:t>
      </w:r>
      <w:r w:rsidRPr="004C6D3F">
        <w:rPr>
          <w:sz w:val="28"/>
          <w:szCs w:val="28"/>
        </w:rPr>
        <w:t>21,98±1,07</w:t>
      </w:r>
      <w:r w:rsidRPr="004C6D3F">
        <w:rPr>
          <w:sz w:val="28"/>
          <w:szCs w:val="28"/>
          <w:lang w:val="uk-UA"/>
        </w:rPr>
        <w:t xml:space="preserve"> см</w:t>
      </w:r>
      <w:r w:rsidRPr="004C6D3F">
        <w:rPr>
          <w:sz w:val="28"/>
          <w:szCs w:val="28"/>
          <w:vertAlign w:val="superscript"/>
          <w:lang w:val="uk-UA"/>
        </w:rPr>
        <w:t>2</w:t>
      </w:r>
      <w:r w:rsidRPr="004C6D3F">
        <w:rPr>
          <w:sz w:val="28"/>
          <w:szCs w:val="28"/>
          <w:lang w:val="uk-UA"/>
        </w:rPr>
        <w:t xml:space="preserve">, на ІІІ етапі - </w:t>
      </w:r>
      <w:r w:rsidRPr="004C6D3F">
        <w:rPr>
          <w:sz w:val="28"/>
          <w:szCs w:val="28"/>
        </w:rPr>
        <w:t>23,58±1,30</w:t>
      </w:r>
      <w:r w:rsidRPr="004C6D3F">
        <w:rPr>
          <w:sz w:val="28"/>
          <w:szCs w:val="28"/>
          <w:lang w:val="uk-UA"/>
        </w:rPr>
        <w:t xml:space="preserve"> та 1</w:t>
      </w:r>
      <w:r w:rsidRPr="004C6D3F">
        <w:rPr>
          <w:sz w:val="28"/>
          <w:szCs w:val="28"/>
        </w:rPr>
        <w:t>6,73±1,32</w:t>
      </w:r>
      <w:r w:rsidRPr="004C6D3F">
        <w:rPr>
          <w:sz w:val="28"/>
          <w:szCs w:val="28"/>
          <w:lang w:val="uk-UA"/>
        </w:rPr>
        <w:t xml:space="preserve"> см</w:t>
      </w:r>
      <w:r w:rsidRPr="004C6D3F">
        <w:rPr>
          <w:sz w:val="28"/>
          <w:szCs w:val="28"/>
          <w:vertAlign w:val="superscript"/>
          <w:lang w:val="uk-UA"/>
        </w:rPr>
        <w:t>2</w:t>
      </w:r>
      <w:r w:rsidRPr="004C6D3F">
        <w:rPr>
          <w:sz w:val="28"/>
          <w:szCs w:val="28"/>
          <w:lang w:val="uk-UA"/>
        </w:rPr>
        <w:t xml:space="preserve">, а на IV етапі -  </w:t>
      </w:r>
      <w:r w:rsidRPr="004C6D3F">
        <w:rPr>
          <w:sz w:val="28"/>
          <w:szCs w:val="28"/>
        </w:rPr>
        <w:t>23,58±1,38</w:t>
      </w:r>
      <w:r w:rsidRPr="004C6D3F">
        <w:rPr>
          <w:sz w:val="28"/>
          <w:szCs w:val="28"/>
          <w:lang w:val="uk-UA"/>
        </w:rPr>
        <w:t xml:space="preserve"> та 1</w:t>
      </w:r>
      <w:r w:rsidRPr="004C6D3F">
        <w:rPr>
          <w:sz w:val="28"/>
          <w:szCs w:val="28"/>
        </w:rPr>
        <w:t>6,77±1,23</w:t>
      </w:r>
      <w:r w:rsidRPr="004C6D3F">
        <w:rPr>
          <w:sz w:val="28"/>
          <w:szCs w:val="28"/>
          <w:lang w:val="uk-UA"/>
        </w:rPr>
        <w:t xml:space="preserve"> см</w:t>
      </w:r>
      <w:r w:rsidRPr="004C6D3F">
        <w:rPr>
          <w:sz w:val="28"/>
          <w:szCs w:val="28"/>
          <w:vertAlign w:val="superscript"/>
          <w:lang w:val="uk-UA"/>
        </w:rPr>
        <w:t>2</w:t>
      </w:r>
      <w:r w:rsidRPr="004C6D3F">
        <w:rPr>
          <w:sz w:val="28"/>
          <w:szCs w:val="28"/>
          <w:lang w:val="uk-UA"/>
        </w:rPr>
        <w:t xml:space="preserve"> відповідно. </w:t>
      </w:r>
      <w:r>
        <w:rPr>
          <w:sz w:val="28"/>
          <w:szCs w:val="28"/>
          <w:lang w:val="uk-UA"/>
        </w:rPr>
        <w:t>У цих хворих</w:t>
      </w:r>
      <w:r w:rsidRPr="004C6D3F">
        <w:rPr>
          <w:sz w:val="28"/>
          <w:szCs w:val="28"/>
          <w:lang w:val="uk-UA"/>
        </w:rPr>
        <w:t xml:space="preserve"> також спостерігалась виражена тенденція (р=0,07) до зменшення іСФ ЛП в діа</w:t>
      </w:r>
      <w:r w:rsidRPr="004C6D3F">
        <w:rPr>
          <w:sz w:val="28"/>
          <w:szCs w:val="28"/>
          <w:lang w:val="uk-UA"/>
        </w:rPr>
        <w:t>с</w:t>
      </w:r>
      <w:r w:rsidRPr="004C6D3F">
        <w:rPr>
          <w:sz w:val="28"/>
          <w:szCs w:val="28"/>
          <w:lang w:val="uk-UA"/>
        </w:rPr>
        <w:t xml:space="preserve">толу з 0,72±0,02 умов.од. до 0,68±0,01 умов.од. і достовірне зменшення іСФ ЛП в систолу з 0,69±0,02 умов.од. до 0,61±0,02 умов.од. на IV етапі дослідження. </w:t>
      </w:r>
    </w:p>
    <w:p w:rsidR="003B05B6" w:rsidRDefault="003B05B6" w:rsidP="003B05B6">
      <w:pPr>
        <w:widowControl w:val="0"/>
        <w:spacing w:line="254" w:lineRule="auto"/>
        <w:ind w:firstLine="539"/>
        <w:jc w:val="both"/>
        <w:rPr>
          <w:sz w:val="28"/>
          <w:szCs w:val="28"/>
          <w:lang w:val="uk-UA" w:eastAsia="uk-UA"/>
        </w:rPr>
      </w:pPr>
      <w:r w:rsidRPr="004C6D3F">
        <w:rPr>
          <w:sz w:val="28"/>
          <w:szCs w:val="28"/>
          <w:lang w:val="uk-UA"/>
        </w:rPr>
        <w:t>В групі ХМ частка хворих з важким та середнім ступенями збільшення Sд ЛП на початку дослідження становила 37,5%, на ІІ етапі – 44,1%, а на ІІІ етапі –лише 13,1% і була значно нижчою, ніж на початку</w:t>
      </w:r>
      <w:r w:rsidRPr="004C6D3F">
        <w:rPr>
          <w:sz w:val="28"/>
          <w:szCs w:val="28"/>
          <w:lang w:val="uk-UA" w:eastAsia="uk-UA"/>
        </w:rPr>
        <w:t xml:space="preserve"> (р=0,035). При цьому, наприкінці дослідження в жодного хв</w:t>
      </w:r>
      <w:r w:rsidRPr="004C6D3F">
        <w:rPr>
          <w:sz w:val="28"/>
          <w:szCs w:val="28"/>
          <w:lang w:val="uk-UA" w:eastAsia="uk-UA"/>
        </w:rPr>
        <w:t>о</w:t>
      </w:r>
      <w:r w:rsidRPr="004C6D3F">
        <w:rPr>
          <w:sz w:val="28"/>
          <w:szCs w:val="28"/>
          <w:lang w:val="uk-UA" w:eastAsia="uk-UA"/>
        </w:rPr>
        <w:t xml:space="preserve">рого з групи ХМ не було виявлено важкого ступеню збільшення </w:t>
      </w:r>
      <w:r w:rsidRPr="004C6D3F">
        <w:rPr>
          <w:sz w:val="28"/>
          <w:szCs w:val="28"/>
          <w:lang w:val="uk-UA"/>
        </w:rPr>
        <w:t>Sд ЛП, а збільшення середнього ступеню в</w:t>
      </w:r>
      <w:r w:rsidRPr="004C6D3F">
        <w:rPr>
          <w:sz w:val="28"/>
          <w:szCs w:val="28"/>
          <w:lang w:val="uk-UA"/>
        </w:rPr>
        <w:t>и</w:t>
      </w:r>
      <w:r w:rsidRPr="004C6D3F">
        <w:rPr>
          <w:sz w:val="28"/>
          <w:szCs w:val="28"/>
          <w:lang w:val="uk-UA"/>
        </w:rPr>
        <w:t xml:space="preserve">значалось лише у 14,3% хворих. </w:t>
      </w:r>
      <w:r w:rsidRPr="004C6D3F">
        <w:rPr>
          <w:sz w:val="28"/>
          <w:szCs w:val="28"/>
          <w:lang w:val="uk-UA" w:eastAsia="uk-UA"/>
        </w:rPr>
        <w:t xml:space="preserve">На ІІ та ІІІ етапах нормальні значення </w:t>
      </w:r>
      <w:r w:rsidRPr="004C6D3F">
        <w:rPr>
          <w:sz w:val="28"/>
          <w:szCs w:val="28"/>
          <w:lang w:val="uk-UA"/>
        </w:rPr>
        <w:t>Sд ЛП б</w:t>
      </w:r>
      <w:r w:rsidRPr="004C6D3F">
        <w:rPr>
          <w:sz w:val="28"/>
          <w:szCs w:val="28"/>
          <w:lang w:val="uk-UA"/>
        </w:rPr>
        <w:t>у</w:t>
      </w:r>
      <w:r w:rsidRPr="004C6D3F">
        <w:rPr>
          <w:sz w:val="28"/>
          <w:szCs w:val="28"/>
          <w:lang w:val="uk-UA"/>
        </w:rPr>
        <w:t xml:space="preserve">ло виявлено у 11,8% та 26,1% хворих, а наприкінці дослідження - у 33,3% пацієнтів з групи ХМ. </w:t>
      </w:r>
      <w:r>
        <w:rPr>
          <w:sz w:val="28"/>
          <w:szCs w:val="28"/>
          <w:lang w:val="uk-UA"/>
        </w:rPr>
        <w:t xml:space="preserve">Крім того, в цій групі </w:t>
      </w:r>
      <w:r w:rsidRPr="004C6D3F">
        <w:rPr>
          <w:sz w:val="28"/>
          <w:szCs w:val="28"/>
          <w:lang w:val="uk-UA" w:eastAsia="uk-UA"/>
        </w:rPr>
        <w:t>частка хворих з нормальними значеннями іКДО ЛП вже на III-му етапі стан</w:t>
      </w:r>
      <w:r w:rsidRPr="004C6D3F">
        <w:rPr>
          <w:sz w:val="28"/>
          <w:szCs w:val="28"/>
          <w:lang w:val="uk-UA" w:eastAsia="uk-UA"/>
        </w:rPr>
        <w:t>о</w:t>
      </w:r>
      <w:r w:rsidRPr="004C6D3F">
        <w:rPr>
          <w:sz w:val="28"/>
          <w:szCs w:val="28"/>
          <w:lang w:val="uk-UA" w:eastAsia="uk-UA"/>
        </w:rPr>
        <w:t>вила 39,1% і була значно вищою, ніж на початку дослідження (11,9%) (р=0,014). На IV етапі таких хв</w:t>
      </w:r>
      <w:r w:rsidRPr="004C6D3F">
        <w:rPr>
          <w:sz w:val="28"/>
          <w:szCs w:val="28"/>
          <w:lang w:val="uk-UA" w:eastAsia="uk-UA"/>
        </w:rPr>
        <w:t>о</w:t>
      </w:r>
      <w:r w:rsidRPr="004C6D3F">
        <w:rPr>
          <w:sz w:val="28"/>
          <w:szCs w:val="28"/>
          <w:lang w:val="uk-UA" w:eastAsia="uk-UA"/>
        </w:rPr>
        <w:t>рих вже було 45% (p=0,005).</w:t>
      </w:r>
      <w:r>
        <w:rPr>
          <w:sz w:val="28"/>
          <w:szCs w:val="28"/>
          <w:lang w:val="uk-UA" w:eastAsia="uk-UA"/>
        </w:rPr>
        <w:t xml:space="preserve"> </w:t>
      </w:r>
    </w:p>
    <w:p w:rsidR="003B05B6" w:rsidRPr="004C6D3F" w:rsidRDefault="003B05B6" w:rsidP="003B05B6">
      <w:pPr>
        <w:widowControl w:val="0"/>
        <w:spacing w:line="254" w:lineRule="auto"/>
        <w:ind w:firstLine="539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Проте, необхідно відзначити, що сприятлива динаміка порожнин серця спостерігалась не у всіх хворих з групи ХМ. </w:t>
      </w:r>
      <w:r w:rsidRPr="004C6D3F">
        <w:rPr>
          <w:bCs/>
          <w:sz w:val="28"/>
          <w:szCs w:val="28"/>
          <w:lang w:val="uk-UA"/>
        </w:rPr>
        <w:t xml:space="preserve">Виходячи з цього ми провели порівняльний аналіз клінічних та ЕхоКГ показників у </w:t>
      </w:r>
      <w:r w:rsidRPr="004C6D3F">
        <w:rPr>
          <w:sz w:val="28"/>
          <w:szCs w:val="28"/>
          <w:lang w:val="uk-UA"/>
        </w:rPr>
        <w:t>хв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>рих в залежності від кінцевих значень іКДО ЛШ. В І підгрупу було включено хворих, у яких, незважа</w:t>
      </w:r>
      <w:r w:rsidRPr="004C6D3F">
        <w:rPr>
          <w:sz w:val="28"/>
          <w:szCs w:val="28"/>
          <w:lang w:val="uk-UA"/>
        </w:rPr>
        <w:t>ю</w:t>
      </w:r>
      <w:r w:rsidRPr="004C6D3F">
        <w:rPr>
          <w:sz w:val="28"/>
          <w:szCs w:val="28"/>
          <w:lang w:val="uk-UA"/>
        </w:rPr>
        <w:t>чи на проведене лікування, наприкінці дослідження значення іКДО ЛШ відповідали збільшенню важкого (</w:t>
      </w:r>
      <w:r w:rsidRPr="004C6D3F">
        <w:rPr>
          <w:rFonts w:ascii="Symbol" w:hAnsi="Symbol" w:cs="Symbol"/>
          <w:sz w:val="28"/>
          <w:szCs w:val="28"/>
          <w:lang w:val="uk-UA"/>
        </w:rPr>
        <w:t></w:t>
      </w:r>
      <w:r w:rsidRPr="004C6D3F">
        <w:rPr>
          <w:sz w:val="28"/>
          <w:szCs w:val="28"/>
          <w:lang w:val="uk-UA"/>
        </w:rPr>
        <w:t>97мл/м</w:t>
      </w:r>
      <w:r w:rsidRPr="004C6D3F">
        <w:rPr>
          <w:sz w:val="28"/>
          <w:szCs w:val="28"/>
          <w:vertAlign w:val="superscript"/>
          <w:lang w:val="uk-UA"/>
        </w:rPr>
        <w:t>2</w:t>
      </w:r>
      <w:r w:rsidRPr="004C6D3F">
        <w:rPr>
          <w:sz w:val="28"/>
          <w:szCs w:val="28"/>
          <w:lang w:val="uk-UA"/>
        </w:rPr>
        <w:t>) або середнього (87-96 мл/м</w:t>
      </w:r>
      <w:r w:rsidRPr="004C6D3F">
        <w:rPr>
          <w:sz w:val="28"/>
          <w:szCs w:val="28"/>
          <w:vertAlign w:val="superscript"/>
          <w:lang w:val="uk-UA"/>
        </w:rPr>
        <w:t>2</w:t>
      </w:r>
      <w:r w:rsidRPr="004C6D3F">
        <w:rPr>
          <w:sz w:val="28"/>
          <w:szCs w:val="28"/>
          <w:lang w:val="uk-UA"/>
        </w:rPr>
        <w:t>) ступеню важкості, - так звані «poor responders». В II підгрупу увійшли пацієнти, у котрих після проведеного лікування значення іКДО ЛШ відпов</w:t>
      </w:r>
      <w:r w:rsidRPr="004C6D3F">
        <w:rPr>
          <w:sz w:val="28"/>
          <w:szCs w:val="28"/>
          <w:lang w:val="uk-UA"/>
        </w:rPr>
        <w:t>і</w:t>
      </w:r>
      <w:r w:rsidRPr="004C6D3F">
        <w:rPr>
          <w:sz w:val="28"/>
          <w:szCs w:val="28"/>
          <w:lang w:val="uk-UA"/>
        </w:rPr>
        <w:t xml:space="preserve">дали нормі </w:t>
      </w:r>
      <w:r w:rsidRPr="004C6D3F">
        <w:rPr>
          <w:sz w:val="28"/>
          <w:szCs w:val="28"/>
          <w:lang w:val="uk-UA"/>
        </w:rPr>
        <w:lastRenderedPageBreak/>
        <w:t>(35-75 мл/м</w:t>
      </w:r>
      <w:r w:rsidRPr="004C6D3F">
        <w:rPr>
          <w:sz w:val="28"/>
          <w:szCs w:val="28"/>
          <w:vertAlign w:val="superscript"/>
          <w:lang w:val="uk-UA"/>
        </w:rPr>
        <w:t>2</w:t>
      </w:r>
      <w:r w:rsidRPr="004C6D3F">
        <w:rPr>
          <w:sz w:val="28"/>
          <w:szCs w:val="28"/>
          <w:lang w:val="uk-UA"/>
        </w:rPr>
        <w:t>) або лише помірному ступеню збільшення (76-86 мл/м</w:t>
      </w:r>
      <w:r w:rsidRPr="004C6D3F">
        <w:rPr>
          <w:sz w:val="28"/>
          <w:szCs w:val="28"/>
          <w:vertAlign w:val="superscript"/>
          <w:lang w:val="uk-UA"/>
        </w:rPr>
        <w:t>2</w:t>
      </w:r>
      <w:r w:rsidRPr="004C6D3F">
        <w:rPr>
          <w:sz w:val="28"/>
          <w:szCs w:val="28"/>
          <w:lang w:val="uk-UA"/>
        </w:rPr>
        <w:t>) - «</w:t>
      </w:r>
      <w:r w:rsidRPr="004C6D3F">
        <w:rPr>
          <w:sz w:val="28"/>
          <w:szCs w:val="28"/>
          <w:lang w:val="en-US"/>
        </w:rPr>
        <w:t>well</w:t>
      </w:r>
      <w:r w:rsidRPr="004C6D3F">
        <w:rPr>
          <w:sz w:val="28"/>
          <w:szCs w:val="28"/>
          <w:lang w:val="uk-UA"/>
        </w:rPr>
        <w:t xml:space="preserve"> </w:t>
      </w:r>
      <w:r w:rsidRPr="004C6D3F">
        <w:rPr>
          <w:sz w:val="28"/>
          <w:szCs w:val="28"/>
          <w:lang w:val="en-US"/>
        </w:rPr>
        <w:t>responders</w:t>
      </w:r>
      <w:r w:rsidRPr="004C6D3F">
        <w:rPr>
          <w:sz w:val="28"/>
          <w:szCs w:val="28"/>
          <w:lang w:val="uk-UA"/>
        </w:rPr>
        <w:t xml:space="preserve">». </w:t>
      </w:r>
    </w:p>
    <w:p w:rsidR="003B05B6" w:rsidRPr="004C6D3F" w:rsidRDefault="003B05B6" w:rsidP="003B05B6">
      <w:pPr>
        <w:autoSpaceDE w:val="0"/>
        <w:autoSpaceDN w:val="0"/>
        <w:adjustRightInd w:val="0"/>
        <w:spacing w:line="254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Аналіз проведених обчислень підтвердив відмінності процесів ремоделювання в виділених підгрупах. Достовірні розбіжності </w:t>
      </w:r>
      <w:r w:rsidRPr="004C6D3F">
        <w:rPr>
          <w:rFonts w:ascii="Symbol" w:hAnsi="Symbol"/>
          <w:bCs/>
          <w:sz w:val="28"/>
          <w:szCs w:val="28"/>
          <w:lang w:val="en-US"/>
        </w:rPr>
        <w:t></w:t>
      </w:r>
      <w:r w:rsidRPr="004C6D3F">
        <w:rPr>
          <w:bCs/>
          <w:sz w:val="28"/>
          <w:szCs w:val="28"/>
          <w:lang w:val="uk-UA"/>
        </w:rPr>
        <w:t>% були виявлені з боку значень іКДО та іКСО ЛШ між поча</w:t>
      </w:r>
      <w:r w:rsidRPr="004C6D3F">
        <w:rPr>
          <w:bCs/>
          <w:sz w:val="28"/>
          <w:szCs w:val="28"/>
          <w:lang w:val="uk-UA"/>
        </w:rPr>
        <w:t>т</w:t>
      </w:r>
      <w:r w:rsidRPr="004C6D3F">
        <w:rPr>
          <w:bCs/>
          <w:sz w:val="28"/>
          <w:szCs w:val="28"/>
          <w:lang w:val="uk-UA"/>
        </w:rPr>
        <w:t xml:space="preserve">ком дослідження та ІІІ і </w:t>
      </w:r>
      <w:r w:rsidRPr="004C6D3F">
        <w:rPr>
          <w:bCs/>
          <w:sz w:val="28"/>
          <w:szCs w:val="28"/>
          <w:lang w:val="en-US"/>
        </w:rPr>
        <w:t>IV</w:t>
      </w:r>
      <w:r w:rsidRPr="004C6D3F">
        <w:rPr>
          <w:bCs/>
          <w:sz w:val="28"/>
          <w:szCs w:val="28"/>
          <w:lang w:val="uk-UA"/>
        </w:rPr>
        <w:t xml:space="preserve"> етапами (табл.</w:t>
      </w:r>
      <w:r>
        <w:rPr>
          <w:bCs/>
          <w:sz w:val="28"/>
          <w:szCs w:val="28"/>
          <w:lang w:val="uk-UA"/>
        </w:rPr>
        <w:t>8</w:t>
      </w:r>
      <w:r w:rsidRPr="004C6D3F">
        <w:rPr>
          <w:bCs/>
          <w:sz w:val="28"/>
          <w:szCs w:val="28"/>
          <w:lang w:val="uk-UA"/>
        </w:rPr>
        <w:t>).</w:t>
      </w:r>
      <w:r w:rsidRPr="004C6D3F">
        <w:rPr>
          <w:sz w:val="28"/>
          <w:szCs w:val="28"/>
          <w:lang w:val="uk-UA"/>
        </w:rPr>
        <w:t xml:space="preserve"> </w:t>
      </w:r>
    </w:p>
    <w:p w:rsidR="003B05B6" w:rsidRPr="004C6D3F" w:rsidRDefault="003B05B6" w:rsidP="003B05B6">
      <w:pPr>
        <w:autoSpaceDE w:val="0"/>
        <w:autoSpaceDN w:val="0"/>
        <w:adjustRightInd w:val="0"/>
        <w:spacing w:line="254" w:lineRule="auto"/>
        <w:ind w:firstLine="539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Ми провели аналіз початкових даних в обох підгрупах хворих: у переважної більшості паці</w:t>
      </w:r>
      <w:r w:rsidRPr="004C6D3F">
        <w:rPr>
          <w:sz w:val="28"/>
          <w:szCs w:val="28"/>
          <w:lang w:val="uk-UA"/>
        </w:rPr>
        <w:t>є</w:t>
      </w:r>
      <w:r w:rsidRPr="004C6D3F">
        <w:rPr>
          <w:sz w:val="28"/>
          <w:szCs w:val="28"/>
          <w:lang w:val="uk-UA"/>
        </w:rPr>
        <w:t>нтів в обох підгрупах було діагностовано IIА стадію ХСН. В І підгрупі частка таких пацієнтів ст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>новила 77,8%, а в підгрупі ІІ - 80%. Співвідношення пацієнтів із II та III ФК в обох пі</w:t>
      </w:r>
      <w:r w:rsidRPr="004C6D3F">
        <w:rPr>
          <w:sz w:val="28"/>
          <w:szCs w:val="28"/>
          <w:lang w:val="uk-UA"/>
        </w:rPr>
        <w:t>д</w:t>
      </w:r>
      <w:r w:rsidRPr="004C6D3F">
        <w:rPr>
          <w:sz w:val="28"/>
          <w:szCs w:val="28"/>
          <w:lang w:val="uk-UA"/>
        </w:rPr>
        <w:t>групах на початку дослідження також достовірно не відрізнялося</w:t>
      </w:r>
      <w:r>
        <w:rPr>
          <w:sz w:val="28"/>
          <w:szCs w:val="28"/>
          <w:lang w:val="uk-UA"/>
        </w:rPr>
        <w:t>:</w:t>
      </w:r>
      <w:r w:rsidRPr="004C6D3F">
        <w:rPr>
          <w:sz w:val="28"/>
          <w:szCs w:val="28"/>
          <w:lang w:val="uk-UA"/>
        </w:rPr>
        <w:t xml:space="preserve"> ІІІ ФК було діагностовано у 44,4% хворих з І підгрупи та у 53,3% пацієнтів ІІ підгрупи. </w:t>
      </w:r>
    </w:p>
    <w:p w:rsidR="003B05B6" w:rsidRDefault="003B05B6" w:rsidP="003B05B6">
      <w:pPr>
        <w:widowControl w:val="0"/>
        <w:autoSpaceDE w:val="0"/>
        <w:autoSpaceDN w:val="0"/>
        <w:adjustRightInd w:val="0"/>
        <w:spacing w:line="254" w:lineRule="auto"/>
        <w:ind w:firstLine="539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Аналіз також показав, що вік, середній ФК, тижнева доза фуросеміду в обох підгрупах д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>стовірно не відрізнялися. Однак, було виявлено, що у хворих з І підгрупи початковий рівень САТ (106,79±</w:t>
      </w:r>
      <w:smartTag w:uri="urn:schemas-microsoft-com:office:smarttags" w:element="metricconverter">
        <w:smartTagPr>
          <w:attr w:name="ProductID" w:val="2,99 мм"/>
        </w:smartTagPr>
        <w:r w:rsidRPr="004C6D3F">
          <w:rPr>
            <w:rFonts w:cs="Symbol"/>
            <w:sz w:val="28"/>
            <w:szCs w:val="28"/>
            <w:lang w:val="uk-UA"/>
          </w:rPr>
          <w:t xml:space="preserve">2,99 </w:t>
        </w:r>
        <w:r w:rsidRPr="004C6D3F">
          <w:rPr>
            <w:sz w:val="28"/>
            <w:szCs w:val="28"/>
            <w:lang w:val="uk-UA"/>
          </w:rPr>
          <w:t>мм</w:t>
        </w:r>
      </w:smartTag>
      <w:r w:rsidRPr="004C6D3F">
        <w:rPr>
          <w:sz w:val="28"/>
          <w:szCs w:val="28"/>
          <w:lang w:val="uk-UA"/>
        </w:rPr>
        <w:t xml:space="preserve"> рт.ст) був достовірно нижчий ніж у пацієнтів з підгрупи ІІ (125,00±</w:t>
      </w:r>
      <w:smartTag w:uri="urn:schemas-microsoft-com:office:smarttags" w:element="metricconverter">
        <w:smartTagPr>
          <w:attr w:name="ProductID" w:val="5,40 мм"/>
        </w:smartTagPr>
        <w:r w:rsidRPr="004C6D3F">
          <w:rPr>
            <w:sz w:val="28"/>
            <w:szCs w:val="28"/>
            <w:lang w:val="uk-UA"/>
          </w:rPr>
          <w:t>5,40 мм</w:t>
        </w:r>
      </w:smartTag>
      <w:r w:rsidRPr="004C6D3F">
        <w:rPr>
          <w:sz w:val="28"/>
          <w:szCs w:val="28"/>
          <w:lang w:val="uk-UA"/>
        </w:rPr>
        <w:t xml:space="preserve"> рт.ст). </w:t>
      </w:r>
    </w:p>
    <w:p w:rsidR="003B05B6" w:rsidRDefault="003B05B6" w:rsidP="003B05B6">
      <w:pPr>
        <w:autoSpaceDE w:val="0"/>
        <w:autoSpaceDN w:val="0"/>
        <w:adjustRightInd w:val="0"/>
        <w:spacing w:line="264" w:lineRule="auto"/>
        <w:ind w:firstLine="540"/>
        <w:jc w:val="right"/>
        <w:rPr>
          <w:sz w:val="28"/>
          <w:szCs w:val="28"/>
          <w:lang w:val="uk-UA"/>
        </w:rPr>
      </w:pPr>
    </w:p>
    <w:p w:rsidR="003B05B6" w:rsidRPr="004C6D3F" w:rsidRDefault="003B05B6" w:rsidP="003B05B6">
      <w:pPr>
        <w:autoSpaceDE w:val="0"/>
        <w:autoSpaceDN w:val="0"/>
        <w:adjustRightInd w:val="0"/>
        <w:spacing w:line="264" w:lineRule="auto"/>
        <w:ind w:firstLine="540"/>
        <w:jc w:val="right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Таблиця </w:t>
      </w:r>
      <w:r>
        <w:rPr>
          <w:sz w:val="28"/>
          <w:szCs w:val="28"/>
          <w:lang w:val="uk-UA"/>
        </w:rPr>
        <w:t>8</w:t>
      </w:r>
    </w:p>
    <w:p w:rsidR="003B05B6" w:rsidRPr="004C6D3F" w:rsidRDefault="003B05B6" w:rsidP="003B05B6">
      <w:pPr>
        <w:spacing w:line="264" w:lineRule="auto"/>
        <w:jc w:val="center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Різниця значень (</w:t>
      </w:r>
      <w:r w:rsidRPr="004C6D3F">
        <w:rPr>
          <w:rFonts w:ascii="Symbol" w:hAnsi="Symbol"/>
          <w:bCs/>
          <w:color w:val="000000"/>
          <w:sz w:val="28"/>
          <w:szCs w:val="28"/>
          <w:lang w:val="en-US"/>
        </w:rPr>
        <w:t></w:t>
      </w:r>
      <w:r w:rsidRPr="004C6D3F">
        <w:rPr>
          <w:bCs/>
          <w:color w:val="000000"/>
          <w:sz w:val="28"/>
          <w:szCs w:val="28"/>
          <w:lang w:val="uk-UA"/>
        </w:rPr>
        <w:t>%</w:t>
      </w:r>
      <w:r w:rsidRPr="004C6D3F">
        <w:rPr>
          <w:sz w:val="28"/>
          <w:szCs w:val="28"/>
          <w:lang w:val="uk-UA"/>
        </w:rPr>
        <w:t>) ЕхоКГ показників ЛШ в підгр</w:t>
      </w:r>
      <w:r w:rsidRPr="004C6D3F">
        <w:rPr>
          <w:sz w:val="28"/>
          <w:szCs w:val="28"/>
          <w:lang w:val="uk-UA"/>
        </w:rPr>
        <w:t>у</w:t>
      </w:r>
      <w:r w:rsidRPr="004C6D3F">
        <w:rPr>
          <w:sz w:val="28"/>
          <w:szCs w:val="28"/>
          <w:lang w:val="uk-UA"/>
        </w:rPr>
        <w:t>пах І та ІІ на етапах дослідження</w:t>
      </w:r>
    </w:p>
    <w:tbl>
      <w:tblPr>
        <w:tblStyle w:val="ae"/>
        <w:tblW w:w="0" w:type="auto"/>
        <w:jc w:val="center"/>
        <w:tblLook w:val="01E0" w:firstRow="1" w:lastRow="1" w:firstColumn="1" w:lastColumn="1" w:noHBand="0" w:noVBand="0"/>
      </w:tblPr>
      <w:tblGrid>
        <w:gridCol w:w="2209"/>
        <w:gridCol w:w="1158"/>
        <w:gridCol w:w="1794"/>
        <w:gridCol w:w="1777"/>
        <w:gridCol w:w="2407"/>
      </w:tblGrid>
      <w:tr w:rsidR="003B05B6" w:rsidRPr="004C6D3F" w:rsidTr="0077257F">
        <w:trPr>
          <w:trHeight w:val="329"/>
          <w:jc w:val="center"/>
        </w:trPr>
        <w:tc>
          <w:tcPr>
            <w:tcW w:w="2332" w:type="dxa"/>
            <w:vMerge w:val="restart"/>
            <w:vAlign w:val="center"/>
          </w:tcPr>
          <w:p w:rsidR="003B05B6" w:rsidRPr="0050516C" w:rsidRDefault="003B05B6" w:rsidP="0077257F">
            <w:pPr>
              <w:spacing w:line="22" w:lineRule="atLeast"/>
              <w:jc w:val="center"/>
              <w:rPr>
                <w:sz w:val="28"/>
                <w:szCs w:val="28"/>
                <w:lang w:val="uk-UA"/>
              </w:rPr>
            </w:pPr>
            <w:r w:rsidRPr="0050516C">
              <w:rPr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198" w:type="dxa"/>
            <w:vMerge w:val="restart"/>
            <w:vAlign w:val="center"/>
          </w:tcPr>
          <w:p w:rsidR="003B05B6" w:rsidRPr="004C6D3F" w:rsidRDefault="003B05B6" w:rsidP="0077257F">
            <w:pPr>
              <w:spacing w:line="22" w:lineRule="atLeast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Етапи</w:t>
            </w:r>
          </w:p>
        </w:tc>
        <w:tc>
          <w:tcPr>
            <w:tcW w:w="3902" w:type="dxa"/>
            <w:gridSpan w:val="2"/>
            <w:vAlign w:val="center"/>
          </w:tcPr>
          <w:p w:rsidR="003B05B6" w:rsidRPr="0050516C" w:rsidRDefault="003B05B6" w:rsidP="0077257F">
            <w:pPr>
              <w:spacing w:line="22" w:lineRule="atLeast"/>
              <w:jc w:val="center"/>
              <w:rPr>
                <w:sz w:val="28"/>
                <w:szCs w:val="28"/>
                <w:lang w:val="uk-UA"/>
              </w:rPr>
            </w:pPr>
            <w:r w:rsidRPr="0050516C">
              <w:rPr>
                <w:sz w:val="28"/>
                <w:szCs w:val="28"/>
                <w:lang w:val="uk-UA"/>
              </w:rPr>
              <w:t>Підгрупи</w:t>
            </w:r>
          </w:p>
        </w:tc>
        <w:tc>
          <w:tcPr>
            <w:tcW w:w="2536" w:type="dxa"/>
            <w:vMerge w:val="restart"/>
          </w:tcPr>
          <w:p w:rsidR="003B05B6" w:rsidRPr="004C6D3F" w:rsidRDefault="003B05B6" w:rsidP="0077257F">
            <w:pPr>
              <w:spacing w:line="22" w:lineRule="atLeast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р</w:t>
            </w:r>
          </w:p>
          <w:p w:rsidR="003B05B6" w:rsidRPr="004C6D3F" w:rsidRDefault="003B05B6" w:rsidP="0077257F">
            <w:pPr>
              <w:spacing w:line="22" w:lineRule="atLeast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uk-UA"/>
              </w:rPr>
              <w:t>(різниця між підгр</w:t>
            </w:r>
            <w:r w:rsidRPr="004C6D3F">
              <w:rPr>
                <w:sz w:val="28"/>
                <w:szCs w:val="28"/>
                <w:lang w:val="uk-UA"/>
              </w:rPr>
              <w:t>у</w:t>
            </w:r>
            <w:r w:rsidRPr="004C6D3F">
              <w:rPr>
                <w:sz w:val="28"/>
                <w:szCs w:val="28"/>
                <w:lang w:val="uk-UA"/>
              </w:rPr>
              <w:t>пами)</w:t>
            </w:r>
          </w:p>
        </w:tc>
      </w:tr>
      <w:tr w:rsidR="003B05B6" w:rsidRPr="004C6D3F" w:rsidTr="0077257F">
        <w:trPr>
          <w:trHeight w:val="368"/>
          <w:jc w:val="center"/>
        </w:trPr>
        <w:tc>
          <w:tcPr>
            <w:tcW w:w="2332" w:type="dxa"/>
            <w:vMerge/>
            <w:vAlign w:val="center"/>
          </w:tcPr>
          <w:p w:rsidR="003B05B6" w:rsidRPr="004C6D3F" w:rsidRDefault="003B05B6" w:rsidP="0077257F">
            <w:pPr>
              <w:spacing w:line="22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98" w:type="dxa"/>
            <w:vMerge/>
          </w:tcPr>
          <w:p w:rsidR="003B05B6" w:rsidRPr="004C6D3F" w:rsidRDefault="003B05B6" w:rsidP="0077257F">
            <w:pPr>
              <w:spacing w:line="22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3B05B6" w:rsidRPr="004C6D3F" w:rsidRDefault="003B05B6" w:rsidP="0077257F">
            <w:pPr>
              <w:spacing w:line="22" w:lineRule="atLeast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941" w:type="dxa"/>
            <w:vAlign w:val="center"/>
          </w:tcPr>
          <w:p w:rsidR="003B05B6" w:rsidRPr="004C6D3F" w:rsidRDefault="003B05B6" w:rsidP="0077257F">
            <w:pPr>
              <w:spacing w:line="22" w:lineRule="atLeast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536" w:type="dxa"/>
            <w:vMerge/>
          </w:tcPr>
          <w:p w:rsidR="003B05B6" w:rsidRPr="004C6D3F" w:rsidRDefault="003B05B6" w:rsidP="0077257F">
            <w:pPr>
              <w:spacing w:line="22" w:lineRule="atLeast"/>
              <w:rPr>
                <w:sz w:val="28"/>
                <w:szCs w:val="28"/>
                <w:lang w:val="en-US"/>
              </w:rPr>
            </w:pPr>
          </w:p>
        </w:tc>
      </w:tr>
      <w:tr w:rsidR="003B05B6" w:rsidRPr="004C6D3F" w:rsidTr="0077257F">
        <w:trPr>
          <w:jc w:val="center"/>
        </w:trPr>
        <w:tc>
          <w:tcPr>
            <w:tcW w:w="2332" w:type="dxa"/>
            <w:vMerge w:val="restart"/>
            <w:vAlign w:val="center"/>
          </w:tcPr>
          <w:p w:rsidR="003B05B6" w:rsidRPr="004C6D3F" w:rsidRDefault="003B05B6" w:rsidP="0077257F">
            <w:pPr>
              <w:spacing w:line="22" w:lineRule="atLeast"/>
              <w:rPr>
                <w:bCs/>
                <w:sz w:val="28"/>
                <w:szCs w:val="28"/>
              </w:rPr>
            </w:pPr>
            <w:r w:rsidRPr="004C6D3F">
              <w:rPr>
                <w:rFonts w:ascii="Symbol" w:hAnsi="Symbol"/>
                <w:bCs/>
                <w:color w:val="000000"/>
                <w:sz w:val="28"/>
                <w:szCs w:val="28"/>
                <w:lang w:val="en-US"/>
              </w:rPr>
              <w:t></w:t>
            </w:r>
            <w:r w:rsidRPr="004C6D3F">
              <w:rPr>
                <w:bCs/>
                <w:color w:val="000000"/>
                <w:sz w:val="28"/>
                <w:szCs w:val="28"/>
                <w:lang w:val="uk-UA"/>
              </w:rPr>
              <w:t xml:space="preserve"> іКДО</w:t>
            </w:r>
            <w:r w:rsidRPr="004C6D3F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4C6D3F">
              <w:rPr>
                <w:sz w:val="28"/>
                <w:szCs w:val="28"/>
                <w:lang w:val="uk-UA"/>
              </w:rPr>
              <w:t>ЛШ</w:t>
            </w:r>
            <w:r w:rsidRPr="004C6D3F">
              <w:rPr>
                <w:bCs/>
                <w:color w:val="000000"/>
                <w:sz w:val="28"/>
                <w:szCs w:val="28"/>
                <w:lang w:val="uk-UA"/>
              </w:rPr>
              <w:t>, %</w:t>
            </w:r>
          </w:p>
        </w:tc>
        <w:tc>
          <w:tcPr>
            <w:tcW w:w="1198" w:type="dxa"/>
          </w:tcPr>
          <w:p w:rsidR="003B05B6" w:rsidRPr="004C6D3F" w:rsidRDefault="003B05B6" w:rsidP="0077257F">
            <w:pPr>
              <w:spacing w:line="22" w:lineRule="atLeast"/>
              <w:jc w:val="center"/>
              <w:rPr>
                <w:rFonts w:ascii="Symbol" w:hAnsi="Symbol"/>
                <w:bCs/>
                <w:color w:val="000000"/>
                <w:sz w:val="28"/>
                <w:szCs w:val="28"/>
                <w:lang w:val="en-US"/>
              </w:rPr>
            </w:pPr>
            <w:r w:rsidRPr="004C6D3F">
              <w:rPr>
                <w:bCs/>
                <w:color w:val="000000"/>
                <w:sz w:val="28"/>
                <w:szCs w:val="28"/>
                <w:lang w:val="en-US"/>
              </w:rPr>
              <w:t>I-II</w:t>
            </w:r>
          </w:p>
        </w:tc>
        <w:tc>
          <w:tcPr>
            <w:tcW w:w="1961" w:type="dxa"/>
            <w:vAlign w:val="center"/>
          </w:tcPr>
          <w:p w:rsidR="003B05B6" w:rsidRPr="004C6D3F" w:rsidRDefault="003B05B6" w:rsidP="0077257F">
            <w:pPr>
              <w:spacing w:line="22" w:lineRule="atLeast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-</w:t>
            </w:r>
            <w:r w:rsidRPr="004C6D3F">
              <w:rPr>
                <w:sz w:val="28"/>
                <w:szCs w:val="28"/>
                <w:lang w:val="en-US"/>
              </w:rPr>
              <w:t>8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19</w:t>
            </w:r>
            <w:r w:rsidRPr="004C6D3F">
              <w:rPr>
                <w:sz w:val="28"/>
                <w:szCs w:val="28"/>
                <w:lang w:val="uk-UA"/>
              </w:rPr>
              <w:t xml:space="preserve"> ± </w:t>
            </w:r>
            <w:r w:rsidRPr="004C6D3F">
              <w:rPr>
                <w:sz w:val="28"/>
                <w:szCs w:val="28"/>
                <w:lang w:val="en-US"/>
              </w:rPr>
              <w:t>6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81</w:t>
            </w:r>
          </w:p>
        </w:tc>
        <w:tc>
          <w:tcPr>
            <w:tcW w:w="1941" w:type="dxa"/>
            <w:vAlign w:val="center"/>
          </w:tcPr>
          <w:p w:rsidR="003B05B6" w:rsidRPr="004C6D3F" w:rsidRDefault="003B05B6" w:rsidP="0077257F">
            <w:pPr>
              <w:spacing w:line="22" w:lineRule="atLeast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-1</w:t>
            </w:r>
            <w:r w:rsidRPr="004C6D3F">
              <w:rPr>
                <w:sz w:val="28"/>
                <w:szCs w:val="28"/>
                <w:lang w:val="en-US"/>
              </w:rPr>
              <w:t>3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 xml:space="preserve">14 </w:t>
            </w:r>
            <w:r w:rsidRPr="004C6D3F">
              <w:rPr>
                <w:sz w:val="28"/>
                <w:szCs w:val="28"/>
                <w:lang w:val="uk-UA"/>
              </w:rPr>
              <w:t>± 4,</w:t>
            </w:r>
            <w:r w:rsidRPr="004C6D3F"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2536" w:type="dxa"/>
          </w:tcPr>
          <w:p w:rsidR="003B05B6" w:rsidRPr="004C6D3F" w:rsidRDefault="003B05B6" w:rsidP="0077257F">
            <w:pPr>
              <w:spacing w:line="22" w:lineRule="atLeast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0,542 (НД)</w:t>
            </w:r>
          </w:p>
        </w:tc>
      </w:tr>
      <w:tr w:rsidR="003B05B6" w:rsidRPr="004C6D3F" w:rsidTr="0077257F">
        <w:trPr>
          <w:jc w:val="center"/>
        </w:trPr>
        <w:tc>
          <w:tcPr>
            <w:tcW w:w="2332" w:type="dxa"/>
            <w:vMerge/>
            <w:vAlign w:val="center"/>
          </w:tcPr>
          <w:p w:rsidR="003B05B6" w:rsidRPr="004C6D3F" w:rsidRDefault="003B05B6" w:rsidP="0077257F">
            <w:pPr>
              <w:spacing w:line="22" w:lineRule="atLeast"/>
              <w:rPr>
                <w:rFonts w:ascii="Symbol" w:hAnsi="Symbol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8" w:type="dxa"/>
          </w:tcPr>
          <w:p w:rsidR="003B05B6" w:rsidRPr="004C6D3F" w:rsidRDefault="003B05B6" w:rsidP="0077257F">
            <w:pPr>
              <w:spacing w:line="22" w:lineRule="atLeast"/>
              <w:jc w:val="center"/>
              <w:rPr>
                <w:rFonts w:ascii="Symbol" w:hAnsi="Symbol"/>
                <w:bCs/>
                <w:color w:val="000000"/>
                <w:sz w:val="28"/>
                <w:szCs w:val="28"/>
                <w:lang w:val="en-US"/>
              </w:rPr>
            </w:pPr>
            <w:r w:rsidRPr="004C6D3F"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4C6D3F">
              <w:rPr>
                <w:bCs/>
                <w:color w:val="000000"/>
                <w:sz w:val="28"/>
                <w:szCs w:val="28"/>
                <w:lang w:val="uk-UA"/>
              </w:rPr>
              <w:t>-ІІІ</w:t>
            </w:r>
          </w:p>
        </w:tc>
        <w:tc>
          <w:tcPr>
            <w:tcW w:w="1961" w:type="dxa"/>
            <w:vAlign w:val="center"/>
          </w:tcPr>
          <w:p w:rsidR="003B05B6" w:rsidRPr="004C6D3F" w:rsidRDefault="003B05B6" w:rsidP="0077257F">
            <w:pPr>
              <w:spacing w:line="22" w:lineRule="atLeast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-</w:t>
            </w:r>
            <w:r w:rsidRPr="004C6D3F">
              <w:rPr>
                <w:sz w:val="28"/>
                <w:szCs w:val="28"/>
                <w:lang w:val="en-US"/>
              </w:rPr>
              <w:t>1</w:t>
            </w:r>
            <w:r w:rsidRPr="004C6D3F">
              <w:rPr>
                <w:sz w:val="28"/>
                <w:szCs w:val="28"/>
                <w:lang w:val="uk-UA"/>
              </w:rPr>
              <w:t>1,</w:t>
            </w:r>
            <w:r w:rsidRPr="004C6D3F">
              <w:rPr>
                <w:sz w:val="28"/>
                <w:szCs w:val="28"/>
                <w:lang w:val="en-US"/>
              </w:rPr>
              <w:t>22</w:t>
            </w:r>
            <w:r w:rsidRPr="004C6D3F">
              <w:rPr>
                <w:sz w:val="28"/>
                <w:szCs w:val="28"/>
                <w:lang w:val="uk-UA"/>
              </w:rPr>
              <w:t xml:space="preserve"> ± </w:t>
            </w:r>
            <w:r w:rsidRPr="004C6D3F">
              <w:rPr>
                <w:sz w:val="28"/>
                <w:szCs w:val="28"/>
                <w:lang w:val="en-US"/>
              </w:rPr>
              <w:t>4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941" w:type="dxa"/>
            <w:vAlign w:val="center"/>
          </w:tcPr>
          <w:p w:rsidR="003B05B6" w:rsidRPr="004C6D3F" w:rsidRDefault="003B05B6" w:rsidP="0077257F">
            <w:pPr>
              <w:spacing w:line="22" w:lineRule="atLeast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-2</w:t>
            </w:r>
            <w:r w:rsidRPr="004C6D3F">
              <w:rPr>
                <w:sz w:val="28"/>
                <w:szCs w:val="28"/>
                <w:lang w:val="en-US"/>
              </w:rPr>
              <w:t>6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99</w:t>
            </w:r>
            <w:r w:rsidRPr="004C6D3F">
              <w:rPr>
                <w:sz w:val="28"/>
                <w:szCs w:val="28"/>
                <w:lang w:val="uk-UA"/>
              </w:rPr>
              <w:t xml:space="preserve"> ± 1,</w:t>
            </w:r>
            <w:r w:rsidRPr="004C6D3F">
              <w:rPr>
                <w:sz w:val="28"/>
                <w:szCs w:val="28"/>
                <w:lang w:val="en-US"/>
              </w:rPr>
              <w:t>83</w:t>
            </w:r>
          </w:p>
        </w:tc>
        <w:tc>
          <w:tcPr>
            <w:tcW w:w="2536" w:type="dxa"/>
          </w:tcPr>
          <w:p w:rsidR="003B05B6" w:rsidRPr="004C6D3F" w:rsidRDefault="003B05B6" w:rsidP="0077257F">
            <w:pPr>
              <w:spacing w:line="22" w:lineRule="atLeast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0,001</w:t>
            </w:r>
          </w:p>
        </w:tc>
      </w:tr>
      <w:tr w:rsidR="003B05B6" w:rsidRPr="004C6D3F" w:rsidTr="0077257F">
        <w:trPr>
          <w:jc w:val="center"/>
        </w:trPr>
        <w:tc>
          <w:tcPr>
            <w:tcW w:w="2332" w:type="dxa"/>
            <w:vMerge/>
            <w:vAlign w:val="center"/>
          </w:tcPr>
          <w:p w:rsidR="003B05B6" w:rsidRPr="004C6D3F" w:rsidRDefault="003B05B6" w:rsidP="0077257F">
            <w:pPr>
              <w:spacing w:line="22" w:lineRule="atLeast"/>
              <w:rPr>
                <w:rFonts w:ascii="Symbol" w:hAnsi="Symbol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8" w:type="dxa"/>
          </w:tcPr>
          <w:p w:rsidR="003B05B6" w:rsidRPr="004C6D3F" w:rsidRDefault="003B05B6" w:rsidP="0077257F">
            <w:pPr>
              <w:spacing w:line="22" w:lineRule="atLeast"/>
              <w:jc w:val="center"/>
              <w:rPr>
                <w:rFonts w:ascii="Symbol" w:hAnsi="Symbol"/>
                <w:bCs/>
                <w:color w:val="000000"/>
                <w:sz w:val="28"/>
                <w:szCs w:val="28"/>
                <w:lang w:val="en-US"/>
              </w:rPr>
            </w:pPr>
            <w:r w:rsidRPr="004C6D3F">
              <w:rPr>
                <w:bCs/>
                <w:color w:val="000000"/>
                <w:sz w:val="28"/>
                <w:szCs w:val="28"/>
                <w:lang w:val="en-US"/>
              </w:rPr>
              <w:t>I-IV</w:t>
            </w:r>
          </w:p>
        </w:tc>
        <w:tc>
          <w:tcPr>
            <w:tcW w:w="1961" w:type="dxa"/>
            <w:vAlign w:val="center"/>
          </w:tcPr>
          <w:p w:rsidR="003B05B6" w:rsidRPr="004C6D3F" w:rsidRDefault="003B05B6" w:rsidP="0077257F">
            <w:pPr>
              <w:spacing w:line="22" w:lineRule="atLeast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en-US"/>
              </w:rPr>
              <w:t>-7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22</w:t>
            </w:r>
            <w:r w:rsidRPr="004C6D3F">
              <w:rPr>
                <w:sz w:val="28"/>
                <w:szCs w:val="28"/>
                <w:lang w:val="uk-UA"/>
              </w:rPr>
              <w:t xml:space="preserve"> ± </w:t>
            </w:r>
            <w:r w:rsidRPr="004C6D3F">
              <w:rPr>
                <w:sz w:val="28"/>
                <w:szCs w:val="28"/>
                <w:lang w:val="en-US"/>
              </w:rPr>
              <w:t>4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941" w:type="dxa"/>
            <w:vAlign w:val="center"/>
          </w:tcPr>
          <w:p w:rsidR="003B05B6" w:rsidRPr="004C6D3F" w:rsidRDefault="003B05B6" w:rsidP="0077257F">
            <w:pPr>
              <w:spacing w:line="22" w:lineRule="atLeast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-2</w:t>
            </w:r>
            <w:r w:rsidRPr="004C6D3F">
              <w:rPr>
                <w:sz w:val="28"/>
                <w:szCs w:val="28"/>
                <w:lang w:val="en-US"/>
              </w:rPr>
              <w:t>9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58</w:t>
            </w:r>
            <w:r w:rsidRPr="004C6D3F">
              <w:rPr>
                <w:sz w:val="28"/>
                <w:szCs w:val="28"/>
                <w:lang w:val="uk-UA"/>
              </w:rPr>
              <w:t xml:space="preserve"> ± 4,</w:t>
            </w:r>
            <w:r w:rsidRPr="004C6D3F"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2536" w:type="dxa"/>
          </w:tcPr>
          <w:p w:rsidR="003B05B6" w:rsidRPr="004C6D3F" w:rsidRDefault="003B05B6" w:rsidP="0077257F">
            <w:pPr>
              <w:spacing w:line="22" w:lineRule="atLeast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0,008</w:t>
            </w:r>
          </w:p>
        </w:tc>
      </w:tr>
      <w:tr w:rsidR="003B05B6" w:rsidRPr="004C6D3F" w:rsidTr="0077257F">
        <w:trPr>
          <w:jc w:val="center"/>
        </w:trPr>
        <w:tc>
          <w:tcPr>
            <w:tcW w:w="2332" w:type="dxa"/>
            <w:vMerge w:val="restart"/>
            <w:vAlign w:val="center"/>
          </w:tcPr>
          <w:p w:rsidR="003B05B6" w:rsidRPr="004C6D3F" w:rsidRDefault="003B05B6" w:rsidP="0077257F">
            <w:pPr>
              <w:spacing w:line="22" w:lineRule="atLeast"/>
              <w:rPr>
                <w:bCs/>
                <w:sz w:val="28"/>
                <w:szCs w:val="28"/>
              </w:rPr>
            </w:pPr>
            <w:r w:rsidRPr="004C6D3F">
              <w:rPr>
                <w:rFonts w:ascii="Symbol" w:hAnsi="Symbol"/>
                <w:bCs/>
                <w:color w:val="000000"/>
                <w:sz w:val="28"/>
                <w:szCs w:val="28"/>
                <w:lang w:val="en-US"/>
              </w:rPr>
              <w:t></w:t>
            </w:r>
            <w:r w:rsidRPr="004C6D3F">
              <w:rPr>
                <w:bCs/>
                <w:color w:val="000000"/>
                <w:sz w:val="28"/>
                <w:szCs w:val="28"/>
                <w:lang w:val="uk-UA"/>
              </w:rPr>
              <w:t xml:space="preserve"> іКСО</w:t>
            </w:r>
            <w:r w:rsidRPr="004C6D3F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4C6D3F">
              <w:rPr>
                <w:sz w:val="28"/>
                <w:szCs w:val="28"/>
                <w:lang w:val="uk-UA"/>
              </w:rPr>
              <w:t>ЛШ</w:t>
            </w:r>
            <w:r w:rsidRPr="004C6D3F">
              <w:rPr>
                <w:bCs/>
                <w:color w:val="000000"/>
                <w:sz w:val="28"/>
                <w:szCs w:val="28"/>
                <w:lang w:val="uk-UA"/>
              </w:rPr>
              <w:t>, %</w:t>
            </w:r>
          </w:p>
        </w:tc>
        <w:tc>
          <w:tcPr>
            <w:tcW w:w="1198" w:type="dxa"/>
          </w:tcPr>
          <w:p w:rsidR="003B05B6" w:rsidRPr="004C6D3F" w:rsidRDefault="003B05B6" w:rsidP="0077257F">
            <w:pPr>
              <w:spacing w:line="22" w:lineRule="atLeast"/>
              <w:jc w:val="center"/>
              <w:rPr>
                <w:rFonts w:ascii="Symbol" w:hAnsi="Symbol"/>
                <w:bCs/>
                <w:color w:val="000000"/>
                <w:sz w:val="28"/>
                <w:szCs w:val="28"/>
                <w:lang w:val="en-US"/>
              </w:rPr>
            </w:pPr>
            <w:r w:rsidRPr="004C6D3F">
              <w:rPr>
                <w:bCs/>
                <w:color w:val="000000"/>
                <w:sz w:val="28"/>
                <w:szCs w:val="28"/>
                <w:lang w:val="en-US"/>
              </w:rPr>
              <w:t>I-II</w:t>
            </w:r>
          </w:p>
        </w:tc>
        <w:tc>
          <w:tcPr>
            <w:tcW w:w="1961" w:type="dxa"/>
            <w:vAlign w:val="center"/>
          </w:tcPr>
          <w:p w:rsidR="003B05B6" w:rsidRPr="004C6D3F" w:rsidRDefault="003B05B6" w:rsidP="0077257F">
            <w:pPr>
              <w:spacing w:line="22" w:lineRule="atLeast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-</w:t>
            </w:r>
            <w:r w:rsidRPr="004C6D3F">
              <w:rPr>
                <w:sz w:val="28"/>
                <w:szCs w:val="28"/>
                <w:lang w:val="en-US"/>
              </w:rPr>
              <w:t>29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66</w:t>
            </w:r>
            <w:r w:rsidRPr="004C6D3F">
              <w:rPr>
                <w:sz w:val="28"/>
                <w:szCs w:val="28"/>
                <w:lang w:val="uk-UA"/>
              </w:rPr>
              <w:t xml:space="preserve"> ± </w:t>
            </w:r>
            <w:r w:rsidRPr="004C6D3F">
              <w:rPr>
                <w:sz w:val="28"/>
                <w:szCs w:val="28"/>
                <w:lang w:val="en-US"/>
              </w:rPr>
              <w:t>7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941" w:type="dxa"/>
            <w:vAlign w:val="center"/>
          </w:tcPr>
          <w:p w:rsidR="003B05B6" w:rsidRPr="004C6D3F" w:rsidRDefault="003B05B6" w:rsidP="0077257F">
            <w:pPr>
              <w:spacing w:line="22" w:lineRule="atLeast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-3</w:t>
            </w:r>
            <w:r w:rsidRPr="004C6D3F">
              <w:rPr>
                <w:sz w:val="28"/>
                <w:szCs w:val="28"/>
                <w:lang w:val="en-US"/>
              </w:rPr>
              <w:t>4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70</w:t>
            </w:r>
            <w:r w:rsidRPr="004C6D3F">
              <w:rPr>
                <w:sz w:val="28"/>
                <w:szCs w:val="28"/>
                <w:lang w:val="uk-UA"/>
              </w:rPr>
              <w:t xml:space="preserve"> ± 4,</w:t>
            </w:r>
            <w:r w:rsidRPr="004C6D3F"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2536" w:type="dxa"/>
          </w:tcPr>
          <w:p w:rsidR="003B05B6" w:rsidRPr="004C6D3F" w:rsidRDefault="003B05B6" w:rsidP="0077257F">
            <w:pPr>
              <w:spacing w:line="22" w:lineRule="atLeast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0,563(НД)</w:t>
            </w:r>
          </w:p>
        </w:tc>
      </w:tr>
      <w:tr w:rsidR="003B05B6" w:rsidRPr="004C6D3F" w:rsidTr="0077257F">
        <w:trPr>
          <w:jc w:val="center"/>
        </w:trPr>
        <w:tc>
          <w:tcPr>
            <w:tcW w:w="2332" w:type="dxa"/>
            <w:vMerge/>
            <w:vAlign w:val="center"/>
          </w:tcPr>
          <w:p w:rsidR="003B05B6" w:rsidRPr="004C6D3F" w:rsidRDefault="003B05B6" w:rsidP="0077257F">
            <w:pPr>
              <w:spacing w:line="22" w:lineRule="atLeast"/>
              <w:rPr>
                <w:rFonts w:ascii="Symbol" w:hAnsi="Symbol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8" w:type="dxa"/>
          </w:tcPr>
          <w:p w:rsidR="003B05B6" w:rsidRPr="004C6D3F" w:rsidRDefault="003B05B6" w:rsidP="0077257F">
            <w:pPr>
              <w:spacing w:line="22" w:lineRule="atLeast"/>
              <w:jc w:val="center"/>
              <w:rPr>
                <w:rFonts w:ascii="Symbol" w:hAnsi="Symbol"/>
                <w:bCs/>
                <w:color w:val="000000"/>
                <w:sz w:val="28"/>
                <w:szCs w:val="28"/>
                <w:lang w:val="en-US"/>
              </w:rPr>
            </w:pPr>
            <w:r w:rsidRPr="004C6D3F"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4C6D3F">
              <w:rPr>
                <w:bCs/>
                <w:color w:val="000000"/>
                <w:sz w:val="28"/>
                <w:szCs w:val="28"/>
                <w:lang w:val="uk-UA"/>
              </w:rPr>
              <w:t>-ІІІ</w:t>
            </w:r>
          </w:p>
        </w:tc>
        <w:tc>
          <w:tcPr>
            <w:tcW w:w="1961" w:type="dxa"/>
            <w:vAlign w:val="center"/>
          </w:tcPr>
          <w:p w:rsidR="003B05B6" w:rsidRPr="004C6D3F" w:rsidRDefault="003B05B6" w:rsidP="0077257F">
            <w:pPr>
              <w:spacing w:line="22" w:lineRule="atLeast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-</w:t>
            </w:r>
            <w:r w:rsidRPr="004C6D3F">
              <w:rPr>
                <w:sz w:val="28"/>
                <w:szCs w:val="28"/>
                <w:lang w:val="en-US"/>
              </w:rPr>
              <w:t>35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36</w:t>
            </w:r>
            <w:r w:rsidRPr="004C6D3F">
              <w:rPr>
                <w:sz w:val="28"/>
                <w:szCs w:val="28"/>
                <w:lang w:val="uk-UA"/>
              </w:rPr>
              <w:t xml:space="preserve"> ± </w:t>
            </w:r>
            <w:r w:rsidRPr="004C6D3F">
              <w:rPr>
                <w:sz w:val="28"/>
                <w:szCs w:val="28"/>
                <w:lang w:val="en-US"/>
              </w:rPr>
              <w:t>6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941" w:type="dxa"/>
            <w:vAlign w:val="center"/>
          </w:tcPr>
          <w:p w:rsidR="003B05B6" w:rsidRPr="004C6D3F" w:rsidRDefault="003B05B6" w:rsidP="0077257F">
            <w:pPr>
              <w:spacing w:line="22" w:lineRule="atLeast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-49,</w:t>
            </w:r>
            <w:r w:rsidRPr="004C6D3F">
              <w:rPr>
                <w:sz w:val="28"/>
                <w:szCs w:val="28"/>
                <w:lang w:val="en-US"/>
              </w:rPr>
              <w:t>91</w:t>
            </w:r>
            <w:r w:rsidRPr="004C6D3F">
              <w:rPr>
                <w:sz w:val="28"/>
                <w:szCs w:val="28"/>
                <w:lang w:val="uk-UA"/>
              </w:rPr>
              <w:t xml:space="preserve"> ± 2,</w:t>
            </w:r>
            <w:r w:rsidRPr="004C6D3F"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2536" w:type="dxa"/>
          </w:tcPr>
          <w:p w:rsidR="003B05B6" w:rsidRPr="004C6D3F" w:rsidRDefault="003B05B6" w:rsidP="0077257F">
            <w:pPr>
              <w:spacing w:line="22" w:lineRule="atLeast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0,027</w:t>
            </w:r>
          </w:p>
        </w:tc>
      </w:tr>
      <w:tr w:rsidR="003B05B6" w:rsidRPr="004C6D3F" w:rsidTr="0077257F">
        <w:trPr>
          <w:jc w:val="center"/>
        </w:trPr>
        <w:tc>
          <w:tcPr>
            <w:tcW w:w="2332" w:type="dxa"/>
            <w:vMerge/>
            <w:vAlign w:val="center"/>
          </w:tcPr>
          <w:p w:rsidR="003B05B6" w:rsidRPr="004C6D3F" w:rsidRDefault="003B05B6" w:rsidP="0077257F">
            <w:pPr>
              <w:spacing w:line="22" w:lineRule="atLeast"/>
              <w:rPr>
                <w:rFonts w:ascii="Symbol" w:hAnsi="Symbol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8" w:type="dxa"/>
          </w:tcPr>
          <w:p w:rsidR="003B05B6" w:rsidRPr="004C6D3F" w:rsidRDefault="003B05B6" w:rsidP="0077257F">
            <w:pPr>
              <w:spacing w:line="22" w:lineRule="atLeast"/>
              <w:jc w:val="center"/>
              <w:rPr>
                <w:rFonts w:ascii="Symbol" w:hAnsi="Symbol"/>
                <w:bCs/>
                <w:color w:val="000000"/>
                <w:sz w:val="28"/>
                <w:szCs w:val="28"/>
                <w:lang w:val="en-US"/>
              </w:rPr>
            </w:pPr>
            <w:r w:rsidRPr="004C6D3F">
              <w:rPr>
                <w:bCs/>
                <w:color w:val="000000"/>
                <w:sz w:val="28"/>
                <w:szCs w:val="28"/>
                <w:lang w:val="en-US"/>
              </w:rPr>
              <w:t>I-IV</w:t>
            </w:r>
          </w:p>
        </w:tc>
        <w:tc>
          <w:tcPr>
            <w:tcW w:w="1961" w:type="dxa"/>
            <w:vAlign w:val="center"/>
          </w:tcPr>
          <w:p w:rsidR="003B05B6" w:rsidRPr="004C6D3F" w:rsidRDefault="003B05B6" w:rsidP="0077257F">
            <w:pPr>
              <w:spacing w:line="22" w:lineRule="atLeast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-</w:t>
            </w:r>
            <w:r w:rsidRPr="004C6D3F">
              <w:rPr>
                <w:sz w:val="28"/>
                <w:szCs w:val="28"/>
                <w:lang w:val="en-US"/>
              </w:rPr>
              <w:t>28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54</w:t>
            </w:r>
            <w:r w:rsidRPr="004C6D3F">
              <w:rPr>
                <w:sz w:val="28"/>
                <w:szCs w:val="28"/>
                <w:lang w:val="uk-UA"/>
              </w:rPr>
              <w:t xml:space="preserve"> ± </w:t>
            </w:r>
            <w:r w:rsidRPr="004C6D3F">
              <w:rPr>
                <w:sz w:val="28"/>
                <w:szCs w:val="28"/>
                <w:lang w:val="en-US"/>
              </w:rPr>
              <w:t>5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941" w:type="dxa"/>
            <w:vAlign w:val="center"/>
          </w:tcPr>
          <w:p w:rsidR="003B05B6" w:rsidRPr="004C6D3F" w:rsidRDefault="003B05B6" w:rsidP="0077257F">
            <w:pPr>
              <w:spacing w:line="22" w:lineRule="atLeast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-5</w:t>
            </w:r>
            <w:r w:rsidRPr="004C6D3F">
              <w:rPr>
                <w:sz w:val="28"/>
                <w:szCs w:val="28"/>
                <w:lang w:val="en-US"/>
              </w:rPr>
              <w:t>2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72</w:t>
            </w:r>
            <w:r w:rsidRPr="004C6D3F">
              <w:rPr>
                <w:sz w:val="28"/>
                <w:szCs w:val="28"/>
                <w:lang w:val="uk-UA"/>
              </w:rPr>
              <w:t xml:space="preserve"> ± 4,</w:t>
            </w:r>
            <w:r w:rsidRPr="004C6D3F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2536" w:type="dxa"/>
          </w:tcPr>
          <w:p w:rsidR="003B05B6" w:rsidRPr="004C6D3F" w:rsidRDefault="003B05B6" w:rsidP="0077257F">
            <w:pPr>
              <w:spacing w:line="22" w:lineRule="atLeast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0,009</w:t>
            </w:r>
          </w:p>
        </w:tc>
      </w:tr>
      <w:tr w:rsidR="003B05B6" w:rsidRPr="004C6D3F" w:rsidTr="0077257F">
        <w:trPr>
          <w:jc w:val="center"/>
        </w:trPr>
        <w:tc>
          <w:tcPr>
            <w:tcW w:w="2332" w:type="dxa"/>
            <w:vMerge w:val="restart"/>
            <w:vAlign w:val="center"/>
          </w:tcPr>
          <w:p w:rsidR="003B05B6" w:rsidRPr="004C6D3F" w:rsidRDefault="003B05B6" w:rsidP="0077257F">
            <w:pPr>
              <w:spacing w:line="22" w:lineRule="atLeast"/>
              <w:rPr>
                <w:bCs/>
                <w:sz w:val="28"/>
                <w:szCs w:val="28"/>
              </w:rPr>
            </w:pPr>
            <w:r w:rsidRPr="004C6D3F">
              <w:rPr>
                <w:rFonts w:ascii="Symbol" w:hAnsi="Symbol"/>
                <w:bCs/>
                <w:color w:val="000000"/>
                <w:sz w:val="28"/>
                <w:szCs w:val="28"/>
                <w:lang w:val="en-US"/>
              </w:rPr>
              <w:t></w:t>
            </w:r>
            <w:r w:rsidRPr="004C6D3F">
              <w:rPr>
                <w:bCs/>
                <w:color w:val="000000"/>
                <w:sz w:val="28"/>
                <w:szCs w:val="28"/>
                <w:lang w:val="uk-UA"/>
              </w:rPr>
              <w:t xml:space="preserve"> ФВ</w:t>
            </w:r>
            <w:r w:rsidRPr="004C6D3F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4C6D3F">
              <w:rPr>
                <w:sz w:val="28"/>
                <w:szCs w:val="28"/>
                <w:lang w:val="uk-UA"/>
              </w:rPr>
              <w:t>ЛШ</w:t>
            </w:r>
            <w:r w:rsidRPr="004C6D3F">
              <w:rPr>
                <w:bCs/>
                <w:color w:val="000000"/>
                <w:sz w:val="28"/>
                <w:szCs w:val="28"/>
                <w:lang w:val="uk-UA"/>
              </w:rPr>
              <w:t>, %</w:t>
            </w:r>
          </w:p>
        </w:tc>
        <w:tc>
          <w:tcPr>
            <w:tcW w:w="1198" w:type="dxa"/>
          </w:tcPr>
          <w:p w:rsidR="003B05B6" w:rsidRPr="004C6D3F" w:rsidRDefault="003B05B6" w:rsidP="0077257F">
            <w:pPr>
              <w:spacing w:line="22" w:lineRule="atLeast"/>
              <w:jc w:val="center"/>
              <w:rPr>
                <w:rFonts w:ascii="Symbol" w:hAnsi="Symbol"/>
                <w:bCs/>
                <w:color w:val="000000"/>
                <w:sz w:val="28"/>
                <w:szCs w:val="28"/>
                <w:lang w:val="en-US"/>
              </w:rPr>
            </w:pPr>
            <w:r w:rsidRPr="004C6D3F">
              <w:rPr>
                <w:bCs/>
                <w:color w:val="000000"/>
                <w:sz w:val="28"/>
                <w:szCs w:val="28"/>
                <w:lang w:val="en-US"/>
              </w:rPr>
              <w:t>I-II</w:t>
            </w:r>
          </w:p>
        </w:tc>
        <w:tc>
          <w:tcPr>
            <w:tcW w:w="1961" w:type="dxa"/>
            <w:vAlign w:val="center"/>
          </w:tcPr>
          <w:p w:rsidR="003B05B6" w:rsidRPr="004C6D3F" w:rsidRDefault="003B05B6" w:rsidP="0077257F">
            <w:pPr>
              <w:spacing w:line="22" w:lineRule="atLeast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en-US"/>
              </w:rPr>
              <w:t>9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56</w:t>
            </w:r>
            <w:r w:rsidRPr="004C6D3F">
              <w:rPr>
                <w:sz w:val="28"/>
                <w:szCs w:val="28"/>
                <w:lang w:val="uk-UA"/>
              </w:rPr>
              <w:t xml:space="preserve"> ± </w:t>
            </w:r>
            <w:r w:rsidRPr="004C6D3F">
              <w:rPr>
                <w:sz w:val="28"/>
                <w:szCs w:val="28"/>
                <w:lang w:val="en-US"/>
              </w:rPr>
              <w:t>6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941" w:type="dxa"/>
            <w:vAlign w:val="center"/>
          </w:tcPr>
          <w:p w:rsidR="003B05B6" w:rsidRPr="004C6D3F" w:rsidRDefault="003B05B6" w:rsidP="0077257F">
            <w:pPr>
              <w:spacing w:line="22" w:lineRule="atLeast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1</w:t>
            </w:r>
            <w:r w:rsidRPr="004C6D3F">
              <w:rPr>
                <w:sz w:val="28"/>
                <w:szCs w:val="28"/>
                <w:lang w:val="en-US"/>
              </w:rPr>
              <w:t>4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94</w:t>
            </w:r>
            <w:r w:rsidRPr="004C6D3F">
              <w:rPr>
                <w:sz w:val="28"/>
                <w:szCs w:val="28"/>
                <w:lang w:val="uk-UA"/>
              </w:rPr>
              <w:t xml:space="preserve"> ± </w:t>
            </w:r>
            <w:r w:rsidRPr="004C6D3F">
              <w:rPr>
                <w:sz w:val="28"/>
                <w:szCs w:val="28"/>
                <w:lang w:val="en-US"/>
              </w:rPr>
              <w:t>2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2536" w:type="dxa"/>
          </w:tcPr>
          <w:p w:rsidR="003B05B6" w:rsidRPr="004C6D3F" w:rsidRDefault="003B05B6" w:rsidP="0077257F">
            <w:pPr>
              <w:spacing w:line="22" w:lineRule="atLeast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0,339 (НД)</w:t>
            </w:r>
          </w:p>
        </w:tc>
      </w:tr>
      <w:tr w:rsidR="003B05B6" w:rsidRPr="004C6D3F" w:rsidTr="0077257F">
        <w:trPr>
          <w:jc w:val="center"/>
        </w:trPr>
        <w:tc>
          <w:tcPr>
            <w:tcW w:w="2332" w:type="dxa"/>
            <w:vMerge/>
            <w:vAlign w:val="center"/>
          </w:tcPr>
          <w:p w:rsidR="003B05B6" w:rsidRPr="004C6D3F" w:rsidRDefault="003B05B6" w:rsidP="0077257F">
            <w:pPr>
              <w:spacing w:line="22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:rsidR="003B05B6" w:rsidRPr="004C6D3F" w:rsidRDefault="003B05B6" w:rsidP="0077257F">
            <w:pPr>
              <w:spacing w:line="22" w:lineRule="atLeast"/>
              <w:jc w:val="center"/>
              <w:rPr>
                <w:rFonts w:ascii="Symbol" w:hAnsi="Symbol"/>
                <w:bCs/>
                <w:color w:val="000000"/>
                <w:sz w:val="28"/>
                <w:szCs w:val="28"/>
                <w:lang w:val="en-US"/>
              </w:rPr>
            </w:pPr>
            <w:r w:rsidRPr="004C6D3F"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4C6D3F">
              <w:rPr>
                <w:bCs/>
                <w:color w:val="000000"/>
                <w:sz w:val="28"/>
                <w:szCs w:val="28"/>
                <w:lang w:val="uk-UA"/>
              </w:rPr>
              <w:t>-ІІІ</w:t>
            </w:r>
          </w:p>
        </w:tc>
        <w:tc>
          <w:tcPr>
            <w:tcW w:w="1961" w:type="dxa"/>
            <w:vAlign w:val="center"/>
          </w:tcPr>
          <w:p w:rsidR="003B05B6" w:rsidRPr="004C6D3F" w:rsidRDefault="003B05B6" w:rsidP="0077257F">
            <w:pPr>
              <w:spacing w:line="22" w:lineRule="atLeast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1</w:t>
            </w:r>
            <w:r w:rsidRPr="004C6D3F">
              <w:rPr>
                <w:sz w:val="28"/>
                <w:szCs w:val="28"/>
                <w:lang w:val="en-US"/>
              </w:rPr>
              <w:t>8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05</w:t>
            </w:r>
            <w:r w:rsidRPr="004C6D3F">
              <w:rPr>
                <w:sz w:val="28"/>
                <w:szCs w:val="28"/>
                <w:lang w:val="uk-UA"/>
              </w:rPr>
              <w:t xml:space="preserve"> ± </w:t>
            </w:r>
            <w:r w:rsidRPr="004C6D3F">
              <w:rPr>
                <w:sz w:val="28"/>
                <w:szCs w:val="28"/>
                <w:lang w:val="en-US"/>
              </w:rPr>
              <w:t>3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1941" w:type="dxa"/>
            <w:vAlign w:val="center"/>
          </w:tcPr>
          <w:p w:rsidR="003B05B6" w:rsidRPr="004C6D3F" w:rsidRDefault="003B05B6" w:rsidP="0077257F">
            <w:pPr>
              <w:spacing w:line="22" w:lineRule="atLeast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21,</w:t>
            </w:r>
            <w:r w:rsidRPr="004C6D3F">
              <w:rPr>
                <w:sz w:val="28"/>
                <w:szCs w:val="28"/>
                <w:lang w:val="en-US"/>
              </w:rPr>
              <w:t>52</w:t>
            </w:r>
            <w:r w:rsidRPr="004C6D3F">
              <w:rPr>
                <w:sz w:val="28"/>
                <w:szCs w:val="28"/>
                <w:lang w:val="uk-UA"/>
              </w:rPr>
              <w:t xml:space="preserve"> ± </w:t>
            </w:r>
            <w:r w:rsidRPr="004C6D3F">
              <w:rPr>
                <w:sz w:val="28"/>
                <w:szCs w:val="28"/>
                <w:lang w:val="en-US"/>
              </w:rPr>
              <w:t>2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2536" w:type="dxa"/>
          </w:tcPr>
          <w:p w:rsidR="003B05B6" w:rsidRPr="004C6D3F" w:rsidRDefault="003B05B6" w:rsidP="0077257F">
            <w:pPr>
              <w:spacing w:line="22" w:lineRule="atLeast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0,403 (НД)</w:t>
            </w:r>
          </w:p>
        </w:tc>
      </w:tr>
      <w:tr w:rsidR="003B05B6" w:rsidRPr="004C6D3F" w:rsidTr="0077257F">
        <w:trPr>
          <w:jc w:val="center"/>
        </w:trPr>
        <w:tc>
          <w:tcPr>
            <w:tcW w:w="2332" w:type="dxa"/>
            <w:vMerge/>
            <w:vAlign w:val="center"/>
          </w:tcPr>
          <w:p w:rsidR="003B05B6" w:rsidRPr="004C6D3F" w:rsidRDefault="003B05B6" w:rsidP="0077257F">
            <w:pPr>
              <w:spacing w:line="22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:rsidR="003B05B6" w:rsidRPr="004C6D3F" w:rsidRDefault="003B05B6" w:rsidP="0077257F">
            <w:pPr>
              <w:spacing w:line="22" w:lineRule="atLeast"/>
              <w:jc w:val="center"/>
              <w:rPr>
                <w:rFonts w:ascii="Symbol" w:hAnsi="Symbol"/>
                <w:bCs/>
                <w:color w:val="000000"/>
                <w:sz w:val="28"/>
                <w:szCs w:val="28"/>
                <w:lang w:val="en-US"/>
              </w:rPr>
            </w:pPr>
            <w:r w:rsidRPr="004C6D3F">
              <w:rPr>
                <w:bCs/>
                <w:color w:val="000000"/>
                <w:sz w:val="28"/>
                <w:szCs w:val="28"/>
                <w:lang w:val="en-US"/>
              </w:rPr>
              <w:t>I-IV</w:t>
            </w:r>
          </w:p>
        </w:tc>
        <w:tc>
          <w:tcPr>
            <w:tcW w:w="1961" w:type="dxa"/>
            <w:vAlign w:val="center"/>
          </w:tcPr>
          <w:p w:rsidR="003B05B6" w:rsidRPr="004C6D3F" w:rsidRDefault="003B05B6" w:rsidP="0077257F">
            <w:pPr>
              <w:spacing w:line="22" w:lineRule="atLeast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en-US"/>
              </w:rPr>
              <w:t>20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32</w:t>
            </w:r>
            <w:r w:rsidRPr="004C6D3F">
              <w:rPr>
                <w:sz w:val="28"/>
                <w:szCs w:val="28"/>
                <w:lang w:val="uk-UA"/>
              </w:rPr>
              <w:t xml:space="preserve"> ± </w:t>
            </w:r>
            <w:r w:rsidRPr="004C6D3F">
              <w:rPr>
                <w:sz w:val="28"/>
                <w:szCs w:val="28"/>
                <w:lang w:val="en-US"/>
              </w:rPr>
              <w:t>3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82</w:t>
            </w:r>
          </w:p>
        </w:tc>
        <w:tc>
          <w:tcPr>
            <w:tcW w:w="1941" w:type="dxa"/>
            <w:vAlign w:val="center"/>
          </w:tcPr>
          <w:p w:rsidR="003B05B6" w:rsidRPr="004C6D3F" w:rsidRDefault="003B05B6" w:rsidP="0077257F">
            <w:pPr>
              <w:spacing w:line="22" w:lineRule="atLeast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en-US"/>
              </w:rPr>
              <w:t>22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21</w:t>
            </w:r>
            <w:r w:rsidRPr="004C6D3F">
              <w:rPr>
                <w:sz w:val="28"/>
                <w:szCs w:val="28"/>
                <w:lang w:val="uk-UA"/>
              </w:rPr>
              <w:t xml:space="preserve"> ± </w:t>
            </w:r>
            <w:r w:rsidRPr="004C6D3F">
              <w:rPr>
                <w:sz w:val="28"/>
                <w:szCs w:val="28"/>
                <w:lang w:val="en-US"/>
              </w:rPr>
              <w:t>1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2536" w:type="dxa"/>
          </w:tcPr>
          <w:p w:rsidR="003B05B6" w:rsidRPr="004C6D3F" w:rsidRDefault="003B05B6" w:rsidP="0077257F">
            <w:pPr>
              <w:spacing w:line="22" w:lineRule="atLeast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0,613 (НД)</w:t>
            </w:r>
          </w:p>
        </w:tc>
      </w:tr>
    </w:tbl>
    <w:p w:rsidR="003B05B6" w:rsidRPr="004C6D3F" w:rsidRDefault="003B05B6" w:rsidP="003B05B6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  <w:lang w:val="uk-UA"/>
        </w:rPr>
      </w:pPr>
    </w:p>
    <w:p w:rsidR="003B05B6" w:rsidRDefault="003B05B6" w:rsidP="003B05B6">
      <w:pPr>
        <w:autoSpaceDE w:val="0"/>
        <w:autoSpaceDN w:val="0"/>
        <w:adjustRightInd w:val="0"/>
        <w:spacing w:line="252" w:lineRule="auto"/>
        <w:ind w:firstLine="539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Крім того у пацієнтів з І підгрупи ХСН було діагностовано значно раніше ніж у хв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 xml:space="preserve">рих з підгрупи ІІ. В І підгрупі тривалість ХСН становила 15,41±6,70 міс. і була майже втричі більша ніж у ІІ підгрупі (5,54±1,48 міс.). Дози препаратів, </w:t>
      </w:r>
      <w:r w:rsidRPr="004C6D3F">
        <w:rPr>
          <w:sz w:val="28"/>
          <w:szCs w:val="28"/>
          <w:lang w:val="uk-UA"/>
        </w:rPr>
        <w:lastRenderedPageBreak/>
        <w:t>що були досягнуті на етапах дослідження, достовірно не відрізнялися в обох підгрупах (табл.</w:t>
      </w:r>
      <w:r>
        <w:rPr>
          <w:sz w:val="28"/>
          <w:szCs w:val="28"/>
          <w:lang w:val="uk-UA"/>
        </w:rPr>
        <w:t>9</w:t>
      </w:r>
      <w:r w:rsidRPr="004C6D3F">
        <w:rPr>
          <w:sz w:val="28"/>
          <w:szCs w:val="28"/>
          <w:lang w:val="uk-UA"/>
        </w:rPr>
        <w:t xml:space="preserve">). </w:t>
      </w:r>
    </w:p>
    <w:p w:rsidR="003B05B6" w:rsidRPr="004C6D3F" w:rsidRDefault="003B05B6" w:rsidP="003B05B6">
      <w:pPr>
        <w:autoSpaceDE w:val="0"/>
        <w:autoSpaceDN w:val="0"/>
        <w:adjustRightInd w:val="0"/>
        <w:spacing w:line="252" w:lineRule="auto"/>
        <w:ind w:firstLine="539"/>
        <w:jc w:val="both"/>
        <w:rPr>
          <w:sz w:val="28"/>
          <w:szCs w:val="28"/>
          <w:lang w:val="uk-UA"/>
        </w:rPr>
      </w:pPr>
    </w:p>
    <w:p w:rsidR="003B05B6" w:rsidRPr="004C6D3F" w:rsidRDefault="003B05B6" w:rsidP="003B05B6">
      <w:pPr>
        <w:spacing w:line="264" w:lineRule="auto"/>
        <w:jc w:val="right"/>
        <w:rPr>
          <w:sz w:val="28"/>
          <w:szCs w:val="28"/>
          <w:lang w:val="uk-UA" w:eastAsia="uk-UA"/>
        </w:rPr>
      </w:pPr>
      <w:r w:rsidRPr="004C6D3F">
        <w:rPr>
          <w:sz w:val="28"/>
          <w:szCs w:val="28"/>
          <w:lang w:val="uk-UA" w:eastAsia="uk-UA"/>
        </w:rPr>
        <w:t xml:space="preserve">Таблиця </w:t>
      </w:r>
      <w:r>
        <w:rPr>
          <w:sz w:val="28"/>
          <w:szCs w:val="28"/>
          <w:lang w:val="uk-UA" w:eastAsia="uk-UA"/>
        </w:rPr>
        <w:t>9</w:t>
      </w:r>
    </w:p>
    <w:p w:rsidR="003B05B6" w:rsidRDefault="003B05B6" w:rsidP="003B05B6">
      <w:pPr>
        <w:spacing w:line="264" w:lineRule="auto"/>
        <w:jc w:val="center"/>
        <w:rPr>
          <w:sz w:val="28"/>
          <w:szCs w:val="28"/>
          <w:lang w:val="uk-UA" w:eastAsia="uk-UA"/>
        </w:rPr>
      </w:pPr>
      <w:r w:rsidRPr="004C6D3F">
        <w:rPr>
          <w:sz w:val="28"/>
          <w:szCs w:val="28"/>
          <w:lang w:val="uk-UA" w:eastAsia="uk-UA"/>
        </w:rPr>
        <w:t>Дози препаратів</w:t>
      </w:r>
      <w:r w:rsidRPr="004C6D3F">
        <w:rPr>
          <w:vanish/>
          <w:sz w:val="28"/>
          <w:szCs w:val="28"/>
          <w:lang w:val="uk-UA" w:eastAsia="uk-UA"/>
        </w:rPr>
        <w:t>|</w:t>
      </w:r>
      <w:r w:rsidRPr="004C6D3F">
        <w:rPr>
          <w:sz w:val="28"/>
          <w:szCs w:val="28"/>
          <w:lang w:val="uk-UA" w:eastAsia="uk-UA"/>
        </w:rPr>
        <w:t>, досягнуті на етапах лікування в підгрупах хв</w:t>
      </w:r>
      <w:r w:rsidRPr="004C6D3F">
        <w:rPr>
          <w:sz w:val="28"/>
          <w:szCs w:val="28"/>
          <w:lang w:val="uk-UA" w:eastAsia="uk-UA"/>
        </w:rPr>
        <w:t>о</w:t>
      </w:r>
      <w:r w:rsidRPr="004C6D3F">
        <w:rPr>
          <w:sz w:val="28"/>
          <w:szCs w:val="28"/>
          <w:lang w:val="uk-UA" w:eastAsia="uk-UA"/>
        </w:rPr>
        <w:t>рих з ХМ</w:t>
      </w:r>
    </w:p>
    <w:p w:rsidR="003B05B6" w:rsidRPr="004C6D3F" w:rsidRDefault="003B05B6" w:rsidP="003B05B6">
      <w:pPr>
        <w:spacing w:line="264" w:lineRule="auto"/>
        <w:jc w:val="center"/>
        <w:rPr>
          <w:sz w:val="28"/>
          <w:szCs w:val="28"/>
          <w:lang w:val="uk-UA" w:eastAsia="uk-UA"/>
        </w:rPr>
      </w:pPr>
    </w:p>
    <w:tbl>
      <w:tblPr>
        <w:tblStyle w:val="ae"/>
        <w:tblW w:w="9671" w:type="dxa"/>
        <w:jc w:val="center"/>
        <w:tblLook w:val="01E0" w:firstRow="1" w:lastRow="1" w:firstColumn="1" w:lastColumn="1" w:noHBand="0" w:noVBand="0"/>
      </w:tblPr>
      <w:tblGrid>
        <w:gridCol w:w="1949"/>
        <w:gridCol w:w="934"/>
        <w:gridCol w:w="1893"/>
        <w:gridCol w:w="1970"/>
        <w:gridCol w:w="2925"/>
      </w:tblGrid>
      <w:tr w:rsidR="003B05B6" w:rsidRPr="004C6D3F" w:rsidTr="0077257F">
        <w:trPr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</w:rPr>
              <w:t>Показ</w:t>
            </w:r>
            <w:r w:rsidRPr="004C6D3F">
              <w:rPr>
                <w:sz w:val="28"/>
                <w:szCs w:val="28"/>
                <w:lang w:val="en-US"/>
              </w:rPr>
              <w:t>ники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Етапи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Підгрупи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 xml:space="preserve">р </w:t>
            </w:r>
          </w:p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(достовірність різниці між підгрупами)</w:t>
            </w:r>
          </w:p>
        </w:tc>
      </w:tr>
      <w:tr w:rsidR="003B05B6" w:rsidRPr="004C6D3F" w:rsidTr="0077257F">
        <w:trPr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6" w:rsidRPr="004C6D3F" w:rsidRDefault="003B05B6" w:rsidP="0077257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  <w:lang w:val="uk-UA"/>
              </w:rPr>
            </w:pPr>
          </w:p>
        </w:tc>
      </w:tr>
      <w:tr w:rsidR="003B05B6" w:rsidRPr="004C6D3F" w:rsidTr="0077257F">
        <w:trPr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Карведилол</w:t>
            </w:r>
            <w:r w:rsidRPr="004C6D3F">
              <w:rPr>
                <w:sz w:val="28"/>
                <w:szCs w:val="28"/>
                <w:lang w:val="en-US"/>
              </w:rPr>
              <w:t xml:space="preserve">, </w:t>
            </w:r>
            <w:r w:rsidRPr="004C6D3F">
              <w:rPr>
                <w:sz w:val="28"/>
                <w:szCs w:val="28"/>
                <w:lang w:val="uk-UA"/>
              </w:rPr>
              <w:t>мг/добу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6" w:rsidRPr="004C6D3F" w:rsidRDefault="003B05B6" w:rsidP="0077257F">
            <w:pPr>
              <w:spacing w:line="264" w:lineRule="auto"/>
              <w:jc w:val="both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6" w:rsidRPr="004C6D3F" w:rsidRDefault="003B05B6" w:rsidP="0077257F">
            <w:pPr>
              <w:autoSpaceDE w:val="0"/>
              <w:autoSpaceDN w:val="0"/>
              <w:adjustRightInd w:val="0"/>
              <w:spacing w:line="264" w:lineRule="auto"/>
              <w:rPr>
                <w:rFonts w:ascii="MS Shell Dlg" w:hAnsi="MS Shell Dlg" w:cs="MS Shell Dlg"/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uk-UA"/>
              </w:rPr>
              <w:t>5</w:t>
            </w:r>
            <w:r w:rsidRPr="004C6D3F">
              <w:rPr>
                <w:sz w:val="28"/>
                <w:szCs w:val="28"/>
                <w:lang w:val="en-US"/>
              </w:rPr>
              <w:t>2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60</w:t>
            </w:r>
            <w:r w:rsidRPr="004C6D3F">
              <w:rPr>
                <w:sz w:val="28"/>
                <w:szCs w:val="28"/>
                <w:lang w:val="uk-UA"/>
              </w:rPr>
              <w:t xml:space="preserve"> 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sz w:val="28"/>
                <w:szCs w:val="28"/>
                <w:lang w:val="uk-UA"/>
              </w:rPr>
              <w:t xml:space="preserve"> </w:t>
            </w:r>
            <w:r w:rsidRPr="004C6D3F">
              <w:rPr>
                <w:sz w:val="28"/>
                <w:szCs w:val="28"/>
                <w:lang w:val="en-US"/>
              </w:rPr>
              <w:t>2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uk-UA"/>
              </w:rPr>
              <w:t>5</w:t>
            </w:r>
            <w:r w:rsidRPr="004C6D3F">
              <w:rPr>
                <w:sz w:val="28"/>
                <w:szCs w:val="28"/>
                <w:lang w:val="en-US"/>
              </w:rPr>
              <w:t>3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52</w:t>
            </w:r>
            <w:r w:rsidRPr="004C6D3F">
              <w:rPr>
                <w:sz w:val="28"/>
                <w:szCs w:val="28"/>
                <w:lang w:val="uk-UA"/>
              </w:rPr>
              <w:t xml:space="preserve"> 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sz w:val="28"/>
                <w:szCs w:val="28"/>
                <w:lang w:val="uk-UA"/>
              </w:rPr>
              <w:t xml:space="preserve"> </w:t>
            </w:r>
            <w:r w:rsidRPr="004C6D3F">
              <w:rPr>
                <w:sz w:val="28"/>
                <w:szCs w:val="28"/>
                <w:lang w:val="en-US"/>
              </w:rPr>
              <w:t>3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6" w:rsidRPr="004C6D3F" w:rsidRDefault="003B05B6" w:rsidP="0077257F">
            <w:pPr>
              <w:spacing w:line="264" w:lineRule="auto"/>
              <w:jc w:val="both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0,833 (</w:t>
            </w:r>
            <w:r w:rsidRPr="004C6D3F">
              <w:rPr>
                <w:sz w:val="28"/>
                <w:szCs w:val="28"/>
                <w:lang w:val="uk-UA"/>
              </w:rPr>
              <w:t>НД)</w:t>
            </w:r>
          </w:p>
        </w:tc>
      </w:tr>
      <w:tr w:rsidR="003B05B6" w:rsidRPr="004C6D3F" w:rsidTr="0077257F">
        <w:trPr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6" w:rsidRPr="004C6D3F" w:rsidRDefault="003B05B6" w:rsidP="0077257F">
            <w:pPr>
              <w:spacing w:line="264" w:lineRule="auto"/>
              <w:jc w:val="both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6" w:rsidRPr="004C6D3F" w:rsidRDefault="003B05B6" w:rsidP="0077257F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96,43 ± 3,57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en-US"/>
              </w:rPr>
              <w:t>94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79</w:t>
            </w:r>
            <w:r w:rsidRPr="004C6D3F">
              <w:rPr>
                <w:sz w:val="28"/>
                <w:szCs w:val="28"/>
                <w:lang w:val="uk-UA"/>
              </w:rPr>
              <w:t xml:space="preserve"> 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sz w:val="28"/>
                <w:szCs w:val="28"/>
                <w:lang w:val="uk-UA"/>
              </w:rPr>
              <w:t xml:space="preserve"> 3,</w:t>
            </w:r>
            <w:r w:rsidRPr="004C6D3F"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6" w:rsidRPr="004C6D3F" w:rsidRDefault="003B05B6" w:rsidP="0077257F">
            <w:pPr>
              <w:spacing w:line="264" w:lineRule="auto"/>
              <w:jc w:val="both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0,753 (</w:t>
            </w:r>
            <w:r w:rsidRPr="004C6D3F">
              <w:rPr>
                <w:sz w:val="28"/>
                <w:szCs w:val="28"/>
                <w:lang w:val="uk-UA"/>
              </w:rPr>
              <w:t>НД)</w:t>
            </w:r>
          </w:p>
        </w:tc>
      </w:tr>
      <w:tr w:rsidR="003B05B6" w:rsidRPr="004C6D3F" w:rsidTr="0077257F">
        <w:trPr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6" w:rsidRPr="004C6D3F" w:rsidRDefault="003B05B6" w:rsidP="0077257F">
            <w:pPr>
              <w:spacing w:line="264" w:lineRule="auto"/>
              <w:jc w:val="both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</w:rPr>
              <w:t>8</w:t>
            </w:r>
            <w:r w:rsidRPr="004C6D3F">
              <w:rPr>
                <w:sz w:val="28"/>
                <w:szCs w:val="28"/>
                <w:lang w:val="en-US"/>
              </w:rPr>
              <w:t>7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50</w:t>
            </w:r>
            <w:r w:rsidRPr="004C6D3F">
              <w:rPr>
                <w:sz w:val="28"/>
                <w:szCs w:val="28"/>
                <w:lang w:val="uk-UA"/>
              </w:rPr>
              <w:t xml:space="preserve"> </w:t>
            </w:r>
            <w:r w:rsidRPr="004C6D3F">
              <w:rPr>
                <w:rFonts w:ascii="Symbol" w:hAnsi="Symbol"/>
                <w:sz w:val="28"/>
                <w:szCs w:val="28"/>
                <w:lang w:val="uk-UA" w:eastAsia="uk-UA"/>
              </w:rPr>
              <w:t></w:t>
            </w:r>
            <w:r w:rsidRPr="004C6D3F">
              <w:rPr>
                <w:sz w:val="28"/>
                <w:szCs w:val="28"/>
                <w:lang w:val="uk-UA"/>
              </w:rPr>
              <w:t xml:space="preserve"> </w:t>
            </w:r>
            <w:r w:rsidRPr="004C6D3F">
              <w:rPr>
                <w:sz w:val="28"/>
                <w:szCs w:val="28"/>
                <w:lang w:val="en-US"/>
              </w:rPr>
              <w:t>7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</w:rPr>
              <w:t>9</w:t>
            </w:r>
            <w:r w:rsidRPr="004C6D3F">
              <w:rPr>
                <w:sz w:val="28"/>
                <w:szCs w:val="28"/>
                <w:lang w:val="en-US"/>
              </w:rPr>
              <w:t>1</w:t>
            </w:r>
            <w:r w:rsidRPr="004C6D3F">
              <w:rPr>
                <w:sz w:val="28"/>
                <w:szCs w:val="28"/>
                <w:lang w:val="uk-UA"/>
              </w:rPr>
              <w:t>,5</w:t>
            </w:r>
            <w:r w:rsidRPr="004C6D3F">
              <w:rPr>
                <w:sz w:val="28"/>
                <w:szCs w:val="28"/>
                <w:lang w:val="en-US"/>
              </w:rPr>
              <w:t>2</w:t>
            </w:r>
            <w:r w:rsidRPr="004C6D3F">
              <w:rPr>
                <w:sz w:val="28"/>
                <w:szCs w:val="28"/>
                <w:lang w:val="uk-UA"/>
              </w:rPr>
              <w:t xml:space="preserve"> 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sz w:val="28"/>
                <w:szCs w:val="28"/>
                <w:lang w:val="uk-UA"/>
              </w:rPr>
              <w:t xml:space="preserve"> </w:t>
            </w:r>
            <w:r w:rsidRPr="004C6D3F">
              <w:rPr>
                <w:sz w:val="28"/>
                <w:szCs w:val="28"/>
                <w:lang w:val="en-US"/>
              </w:rPr>
              <w:t>4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6" w:rsidRPr="004C6D3F" w:rsidRDefault="003B05B6" w:rsidP="0077257F">
            <w:pPr>
              <w:spacing w:line="264" w:lineRule="auto"/>
              <w:jc w:val="both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0,622 (</w:t>
            </w:r>
            <w:r w:rsidRPr="004C6D3F">
              <w:rPr>
                <w:sz w:val="28"/>
                <w:szCs w:val="28"/>
                <w:lang w:val="uk-UA"/>
              </w:rPr>
              <w:t>НД)</w:t>
            </w:r>
          </w:p>
        </w:tc>
      </w:tr>
      <w:tr w:rsidR="003B05B6" w:rsidRPr="004C6D3F" w:rsidTr="0077257F">
        <w:trPr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Еналаприл,</w:t>
            </w:r>
            <w:r w:rsidRPr="004C6D3F">
              <w:rPr>
                <w:sz w:val="28"/>
                <w:szCs w:val="28"/>
                <w:lang w:val="en-US"/>
              </w:rPr>
              <w:t xml:space="preserve"> </w:t>
            </w:r>
            <w:r w:rsidRPr="004C6D3F">
              <w:rPr>
                <w:sz w:val="28"/>
                <w:szCs w:val="28"/>
                <w:lang w:val="uk-UA"/>
              </w:rPr>
              <w:t>мг/добу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6" w:rsidRPr="004C6D3F" w:rsidRDefault="003B05B6" w:rsidP="0077257F">
            <w:pPr>
              <w:spacing w:line="264" w:lineRule="auto"/>
              <w:jc w:val="both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en-US"/>
              </w:rPr>
              <w:t>1</w:t>
            </w:r>
            <w:r w:rsidRPr="004C6D3F">
              <w:rPr>
                <w:sz w:val="28"/>
                <w:szCs w:val="28"/>
              </w:rPr>
              <w:t>4</w:t>
            </w:r>
            <w:r w:rsidRPr="004C6D3F">
              <w:rPr>
                <w:sz w:val="28"/>
                <w:szCs w:val="28"/>
                <w:lang w:val="uk-UA"/>
              </w:rPr>
              <w:t>,3</w:t>
            </w:r>
            <w:r w:rsidRPr="004C6D3F">
              <w:rPr>
                <w:sz w:val="28"/>
                <w:szCs w:val="28"/>
                <w:lang w:val="en-US"/>
              </w:rPr>
              <w:t>8</w:t>
            </w:r>
            <w:r w:rsidRPr="004C6D3F">
              <w:rPr>
                <w:sz w:val="28"/>
                <w:szCs w:val="28"/>
                <w:lang w:val="uk-UA"/>
              </w:rPr>
              <w:t xml:space="preserve"> 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sz w:val="28"/>
                <w:szCs w:val="28"/>
                <w:lang w:val="uk-UA"/>
              </w:rPr>
              <w:t xml:space="preserve"> 1,</w:t>
            </w:r>
            <w:r w:rsidRPr="004C6D3F"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en-US"/>
              </w:rPr>
              <w:t>11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88</w:t>
            </w:r>
            <w:r w:rsidRPr="004C6D3F">
              <w:rPr>
                <w:sz w:val="28"/>
                <w:szCs w:val="28"/>
                <w:lang w:val="uk-UA"/>
              </w:rPr>
              <w:t xml:space="preserve"> 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sz w:val="28"/>
                <w:szCs w:val="28"/>
                <w:lang w:val="uk-UA"/>
              </w:rPr>
              <w:t xml:space="preserve"> </w:t>
            </w:r>
            <w:r w:rsidRPr="004C6D3F">
              <w:rPr>
                <w:sz w:val="28"/>
                <w:szCs w:val="28"/>
                <w:lang w:val="en-US"/>
              </w:rPr>
              <w:t>1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6" w:rsidRPr="004C6D3F" w:rsidRDefault="003B05B6" w:rsidP="0077257F">
            <w:pPr>
              <w:spacing w:line="264" w:lineRule="auto"/>
              <w:jc w:val="both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0,267 (</w:t>
            </w:r>
            <w:r w:rsidRPr="004C6D3F">
              <w:rPr>
                <w:sz w:val="28"/>
                <w:szCs w:val="28"/>
                <w:lang w:val="uk-UA"/>
              </w:rPr>
              <w:t>НД)</w:t>
            </w:r>
          </w:p>
        </w:tc>
      </w:tr>
      <w:tr w:rsidR="003B05B6" w:rsidRPr="004C6D3F" w:rsidTr="0077257F">
        <w:trPr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6" w:rsidRPr="004C6D3F" w:rsidRDefault="003B05B6" w:rsidP="0077257F">
            <w:pPr>
              <w:spacing w:line="264" w:lineRule="auto"/>
              <w:jc w:val="both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en-US"/>
              </w:rPr>
              <w:t>15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56</w:t>
            </w:r>
            <w:r w:rsidRPr="004C6D3F">
              <w:rPr>
                <w:sz w:val="28"/>
                <w:szCs w:val="28"/>
                <w:lang w:val="uk-UA"/>
              </w:rPr>
              <w:t xml:space="preserve"> 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sz w:val="28"/>
                <w:szCs w:val="28"/>
                <w:lang w:val="uk-UA"/>
              </w:rPr>
              <w:t xml:space="preserve"> 1,</w:t>
            </w:r>
            <w:r w:rsidRPr="004C6D3F"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</w:rPr>
              <w:t>15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19</w:t>
            </w:r>
            <w:r w:rsidRPr="004C6D3F">
              <w:rPr>
                <w:sz w:val="28"/>
                <w:szCs w:val="28"/>
                <w:lang w:val="uk-UA"/>
              </w:rPr>
              <w:t xml:space="preserve"> 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sz w:val="28"/>
                <w:szCs w:val="28"/>
                <w:lang w:val="uk-UA"/>
              </w:rPr>
              <w:t xml:space="preserve"> </w:t>
            </w:r>
            <w:r w:rsidRPr="004C6D3F">
              <w:rPr>
                <w:sz w:val="28"/>
                <w:szCs w:val="28"/>
                <w:lang w:val="en-US"/>
              </w:rPr>
              <w:t>1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6" w:rsidRPr="004C6D3F" w:rsidRDefault="003B05B6" w:rsidP="0077257F">
            <w:pPr>
              <w:spacing w:line="264" w:lineRule="auto"/>
              <w:jc w:val="both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0,872 (</w:t>
            </w:r>
            <w:r w:rsidRPr="004C6D3F">
              <w:rPr>
                <w:sz w:val="28"/>
                <w:szCs w:val="28"/>
                <w:lang w:val="uk-UA"/>
              </w:rPr>
              <w:t>НД)</w:t>
            </w:r>
          </w:p>
        </w:tc>
      </w:tr>
      <w:tr w:rsidR="003B05B6" w:rsidRPr="004C6D3F" w:rsidTr="0077257F">
        <w:trPr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6" w:rsidRPr="004C6D3F" w:rsidRDefault="003B05B6" w:rsidP="0077257F">
            <w:pPr>
              <w:spacing w:line="264" w:lineRule="auto"/>
              <w:jc w:val="both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en-US"/>
              </w:rPr>
              <w:t>20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0</w:t>
            </w:r>
            <w:r w:rsidRPr="004C6D3F">
              <w:rPr>
                <w:sz w:val="28"/>
                <w:szCs w:val="28"/>
                <w:lang w:val="uk-UA"/>
              </w:rPr>
              <w:t xml:space="preserve">0 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sz w:val="28"/>
                <w:szCs w:val="28"/>
                <w:lang w:val="uk-UA"/>
              </w:rPr>
              <w:t xml:space="preserve"> </w:t>
            </w:r>
            <w:r w:rsidRPr="004C6D3F">
              <w:rPr>
                <w:sz w:val="28"/>
                <w:szCs w:val="28"/>
                <w:lang w:val="en-US"/>
              </w:rPr>
              <w:t>0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6" w:rsidRPr="004C6D3F" w:rsidRDefault="003B05B6" w:rsidP="0077257F">
            <w:pPr>
              <w:spacing w:line="264" w:lineRule="auto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</w:rPr>
              <w:t>18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00</w:t>
            </w:r>
            <w:r w:rsidRPr="004C6D3F">
              <w:rPr>
                <w:sz w:val="28"/>
                <w:szCs w:val="28"/>
                <w:lang w:val="uk-UA"/>
              </w:rPr>
              <w:t xml:space="preserve"> 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sz w:val="28"/>
                <w:szCs w:val="28"/>
                <w:lang w:val="uk-UA"/>
              </w:rPr>
              <w:t xml:space="preserve"> </w:t>
            </w:r>
            <w:r w:rsidRPr="004C6D3F">
              <w:rPr>
                <w:sz w:val="28"/>
                <w:szCs w:val="28"/>
                <w:lang w:val="en-US"/>
              </w:rPr>
              <w:t>1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6" w:rsidRPr="004C6D3F" w:rsidRDefault="003B05B6" w:rsidP="0077257F">
            <w:pPr>
              <w:spacing w:line="264" w:lineRule="auto"/>
              <w:jc w:val="both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0,189 (</w:t>
            </w:r>
            <w:r w:rsidRPr="004C6D3F">
              <w:rPr>
                <w:sz w:val="28"/>
                <w:szCs w:val="28"/>
                <w:lang w:val="uk-UA"/>
              </w:rPr>
              <w:t>НД)</w:t>
            </w:r>
          </w:p>
        </w:tc>
      </w:tr>
    </w:tbl>
    <w:p w:rsidR="003B05B6" w:rsidRPr="004C6D3F" w:rsidRDefault="003B05B6" w:rsidP="003B05B6">
      <w:pPr>
        <w:spacing w:line="264" w:lineRule="auto"/>
        <w:ind w:firstLine="540"/>
        <w:rPr>
          <w:sz w:val="28"/>
          <w:szCs w:val="28"/>
          <w:lang w:val="uk-UA"/>
        </w:rPr>
      </w:pPr>
    </w:p>
    <w:p w:rsidR="003B05B6" w:rsidRPr="004C6D3F" w:rsidRDefault="003B05B6" w:rsidP="003B05B6">
      <w:pPr>
        <w:spacing w:line="264" w:lineRule="auto"/>
        <w:ind w:firstLine="709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Також було виявлено, що для досягнення цільових доз карведилолу та еналаприлу в обох підгрупах були потрібні практично однакові ч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>сові інтервали  і загальна тривалість лікування достовірно не відрізнялась</w:t>
      </w:r>
      <w:r>
        <w:rPr>
          <w:sz w:val="28"/>
          <w:szCs w:val="28"/>
          <w:lang w:val="uk-UA"/>
        </w:rPr>
        <w:t xml:space="preserve"> </w:t>
      </w:r>
      <w:r w:rsidRPr="004C6D3F">
        <w:rPr>
          <w:sz w:val="28"/>
          <w:szCs w:val="28"/>
          <w:lang w:val="uk-UA"/>
        </w:rPr>
        <w:t xml:space="preserve">(табл. </w:t>
      </w:r>
      <w:r>
        <w:rPr>
          <w:sz w:val="28"/>
          <w:szCs w:val="28"/>
          <w:lang w:val="uk-UA"/>
        </w:rPr>
        <w:t>10</w:t>
      </w:r>
      <w:r w:rsidRPr="004C6D3F">
        <w:rPr>
          <w:sz w:val="28"/>
          <w:szCs w:val="28"/>
          <w:lang w:val="uk-UA"/>
        </w:rPr>
        <w:t>).</w:t>
      </w:r>
    </w:p>
    <w:p w:rsidR="003B05B6" w:rsidRDefault="003B05B6" w:rsidP="003B05B6">
      <w:pPr>
        <w:spacing w:line="264" w:lineRule="auto"/>
        <w:jc w:val="right"/>
        <w:rPr>
          <w:sz w:val="28"/>
          <w:szCs w:val="28"/>
          <w:lang w:val="uk-UA" w:eastAsia="uk-UA"/>
        </w:rPr>
      </w:pPr>
    </w:p>
    <w:p w:rsidR="003B05B6" w:rsidRPr="004C6D3F" w:rsidRDefault="003B05B6" w:rsidP="003B05B6">
      <w:pPr>
        <w:spacing w:line="264" w:lineRule="auto"/>
        <w:jc w:val="right"/>
        <w:rPr>
          <w:sz w:val="28"/>
          <w:szCs w:val="28"/>
          <w:lang w:val="uk-UA" w:eastAsia="uk-UA"/>
        </w:rPr>
      </w:pPr>
      <w:r w:rsidRPr="004C6D3F">
        <w:rPr>
          <w:sz w:val="28"/>
          <w:szCs w:val="28"/>
          <w:lang w:val="uk-UA" w:eastAsia="uk-UA"/>
        </w:rPr>
        <w:t xml:space="preserve">Таблиця </w:t>
      </w:r>
      <w:r>
        <w:rPr>
          <w:sz w:val="28"/>
          <w:szCs w:val="28"/>
          <w:lang w:val="uk-UA" w:eastAsia="uk-UA"/>
        </w:rPr>
        <w:t>10</w:t>
      </w:r>
    </w:p>
    <w:p w:rsidR="003B05B6" w:rsidRDefault="003B05B6" w:rsidP="003B05B6">
      <w:pPr>
        <w:spacing w:line="264" w:lineRule="auto"/>
        <w:jc w:val="center"/>
        <w:rPr>
          <w:sz w:val="28"/>
          <w:szCs w:val="28"/>
          <w:lang w:val="uk-UA" w:eastAsia="uk-UA"/>
        </w:rPr>
      </w:pPr>
      <w:r w:rsidRPr="004C6D3F">
        <w:rPr>
          <w:sz w:val="28"/>
          <w:szCs w:val="28"/>
          <w:lang w:val="uk-UA" w:eastAsia="uk-UA"/>
        </w:rPr>
        <w:t>Часові  інтервали (міс.) від початку дослідження, за які були досягнуті цільові дози препар</w:t>
      </w:r>
      <w:r w:rsidRPr="004C6D3F">
        <w:rPr>
          <w:sz w:val="28"/>
          <w:szCs w:val="28"/>
          <w:lang w:val="uk-UA" w:eastAsia="uk-UA"/>
        </w:rPr>
        <w:t>а</w:t>
      </w:r>
      <w:r w:rsidRPr="004C6D3F">
        <w:rPr>
          <w:sz w:val="28"/>
          <w:szCs w:val="28"/>
          <w:lang w:val="uk-UA" w:eastAsia="uk-UA"/>
        </w:rPr>
        <w:t>тів, та тривалість дослідження в підгрупах ХМ</w:t>
      </w:r>
    </w:p>
    <w:p w:rsidR="003B05B6" w:rsidRPr="004C6D3F" w:rsidRDefault="003B05B6" w:rsidP="003B05B6">
      <w:pPr>
        <w:spacing w:line="264" w:lineRule="auto"/>
        <w:jc w:val="center"/>
        <w:rPr>
          <w:sz w:val="28"/>
          <w:szCs w:val="28"/>
          <w:lang w:val="uk-UA" w:eastAsia="uk-UA"/>
        </w:rPr>
      </w:pPr>
    </w:p>
    <w:tbl>
      <w:tblPr>
        <w:tblStyle w:val="ae"/>
        <w:tblW w:w="9492" w:type="dxa"/>
        <w:jc w:val="center"/>
        <w:tblLook w:val="01E0" w:firstRow="1" w:lastRow="1" w:firstColumn="1" w:lastColumn="1" w:noHBand="0" w:noVBand="0"/>
      </w:tblPr>
      <w:tblGrid>
        <w:gridCol w:w="1440"/>
        <w:gridCol w:w="2160"/>
        <w:gridCol w:w="2340"/>
        <w:gridCol w:w="3552"/>
      </w:tblGrid>
      <w:tr w:rsidR="003B05B6" w:rsidRPr="004C6D3F" w:rsidTr="0077257F">
        <w:trPr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6" w:rsidRPr="004C6D3F" w:rsidRDefault="003B05B6" w:rsidP="0077257F">
            <w:pPr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Етапи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6" w:rsidRPr="004C6D3F" w:rsidRDefault="003B05B6" w:rsidP="0077257F">
            <w:pPr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Підгрупи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6" w:rsidRPr="004C6D3F" w:rsidRDefault="003B05B6" w:rsidP="0077257F">
            <w:pPr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р</w:t>
            </w:r>
          </w:p>
          <w:p w:rsidR="003B05B6" w:rsidRPr="004C6D3F" w:rsidRDefault="003B05B6" w:rsidP="0077257F">
            <w:pPr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 w:rsidRPr="004C6D3F">
              <w:rPr>
                <w:sz w:val="28"/>
                <w:szCs w:val="28"/>
                <w:lang w:val="uk-UA"/>
              </w:rPr>
              <w:t>(достовірність різниці між підгрупами)</w:t>
            </w:r>
          </w:p>
        </w:tc>
      </w:tr>
      <w:tr w:rsidR="003B05B6" w:rsidRPr="004C6D3F" w:rsidTr="0077257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6" w:rsidRPr="004C6D3F" w:rsidRDefault="003B05B6" w:rsidP="0077257F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6" w:rsidRPr="004C6D3F" w:rsidRDefault="003B05B6" w:rsidP="0077257F">
            <w:pPr>
              <w:spacing w:line="252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6" w:rsidRPr="004C6D3F" w:rsidRDefault="003B05B6" w:rsidP="0077257F">
            <w:pPr>
              <w:spacing w:line="252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6" w:rsidRPr="004C6D3F" w:rsidRDefault="003B05B6" w:rsidP="0077257F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</w:tr>
      <w:tr w:rsidR="003B05B6" w:rsidRPr="004C6D3F" w:rsidTr="0077257F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6" w:rsidRPr="004C6D3F" w:rsidRDefault="003B05B6" w:rsidP="0077257F">
            <w:pPr>
              <w:spacing w:line="252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6" w:rsidRPr="004C6D3F" w:rsidRDefault="003B05B6" w:rsidP="007725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MS Shell Dlg" w:hAnsi="MS Shell Dlg" w:cs="MS Shell Dlg"/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en-US"/>
              </w:rPr>
              <w:t>5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13</w:t>
            </w:r>
            <w:r w:rsidRPr="004C6D3F">
              <w:rPr>
                <w:sz w:val="28"/>
                <w:szCs w:val="28"/>
                <w:lang w:val="uk-UA"/>
              </w:rPr>
              <w:t xml:space="preserve"> 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sz w:val="28"/>
                <w:szCs w:val="28"/>
                <w:lang w:val="uk-UA"/>
              </w:rPr>
              <w:t xml:space="preserve"> 1,1</w:t>
            </w:r>
            <w:r w:rsidRPr="004C6D3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6" w:rsidRPr="004C6D3F" w:rsidRDefault="003B05B6" w:rsidP="0077257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en-US"/>
              </w:rPr>
              <w:t>6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92</w:t>
            </w:r>
            <w:r w:rsidRPr="004C6D3F">
              <w:rPr>
                <w:sz w:val="28"/>
                <w:szCs w:val="28"/>
                <w:lang w:val="uk-UA"/>
              </w:rPr>
              <w:t xml:space="preserve"> 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sz w:val="28"/>
                <w:szCs w:val="28"/>
                <w:lang w:val="uk-UA"/>
              </w:rPr>
              <w:t xml:space="preserve"> </w:t>
            </w:r>
            <w:r w:rsidRPr="004C6D3F">
              <w:rPr>
                <w:sz w:val="28"/>
                <w:szCs w:val="28"/>
                <w:lang w:val="en-US"/>
              </w:rPr>
              <w:t>1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6" w:rsidRPr="004C6D3F" w:rsidRDefault="003B05B6" w:rsidP="0077257F">
            <w:pPr>
              <w:spacing w:line="252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0,477 (</w:t>
            </w:r>
            <w:r w:rsidRPr="004C6D3F">
              <w:rPr>
                <w:sz w:val="28"/>
                <w:szCs w:val="28"/>
                <w:lang w:val="uk-UA"/>
              </w:rPr>
              <w:t>НД)</w:t>
            </w:r>
          </w:p>
        </w:tc>
      </w:tr>
      <w:tr w:rsidR="003B05B6" w:rsidRPr="004C6D3F" w:rsidTr="0077257F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6" w:rsidRPr="004C6D3F" w:rsidRDefault="003B05B6" w:rsidP="0077257F">
            <w:pPr>
              <w:spacing w:line="252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6" w:rsidRPr="004C6D3F" w:rsidRDefault="003B05B6" w:rsidP="007725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MS Shell Dlg" w:hAnsi="MS Shell Dlg" w:cs="MS Shell Dlg"/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uk-UA"/>
              </w:rPr>
              <w:t>1</w:t>
            </w:r>
            <w:r w:rsidRPr="004C6D3F">
              <w:rPr>
                <w:sz w:val="28"/>
                <w:szCs w:val="28"/>
                <w:lang w:val="en-US"/>
              </w:rPr>
              <w:t>0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30</w:t>
            </w:r>
            <w:r w:rsidRPr="004C6D3F">
              <w:rPr>
                <w:sz w:val="28"/>
                <w:szCs w:val="28"/>
                <w:lang w:val="uk-UA"/>
              </w:rPr>
              <w:t xml:space="preserve"> ± 1,90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6" w:rsidRPr="004C6D3F" w:rsidRDefault="003B05B6" w:rsidP="0077257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</w:rPr>
              <w:t>1</w:t>
            </w:r>
            <w:r w:rsidRPr="004C6D3F">
              <w:rPr>
                <w:sz w:val="28"/>
                <w:szCs w:val="28"/>
                <w:lang w:val="en-US"/>
              </w:rPr>
              <w:t>1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48</w:t>
            </w:r>
            <w:r w:rsidRPr="004C6D3F">
              <w:rPr>
                <w:sz w:val="28"/>
                <w:szCs w:val="28"/>
                <w:lang w:val="uk-UA"/>
              </w:rPr>
              <w:t xml:space="preserve"> 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sz w:val="28"/>
                <w:szCs w:val="28"/>
                <w:lang w:val="uk-UA"/>
              </w:rPr>
              <w:t xml:space="preserve"> 1,</w:t>
            </w:r>
            <w:r w:rsidRPr="004C6D3F">
              <w:rPr>
                <w:sz w:val="28"/>
                <w:szCs w:val="28"/>
                <w:lang w:val="en-US"/>
              </w:rPr>
              <w:t>86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6" w:rsidRPr="004C6D3F" w:rsidRDefault="003B05B6" w:rsidP="0077257F">
            <w:pPr>
              <w:spacing w:line="252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0,685 (</w:t>
            </w:r>
            <w:r w:rsidRPr="004C6D3F">
              <w:rPr>
                <w:sz w:val="28"/>
                <w:szCs w:val="28"/>
                <w:lang w:val="uk-UA"/>
              </w:rPr>
              <w:t>НД)</w:t>
            </w:r>
          </w:p>
        </w:tc>
      </w:tr>
      <w:tr w:rsidR="003B05B6" w:rsidRPr="004C6D3F" w:rsidTr="0077257F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6" w:rsidRPr="004C6D3F" w:rsidRDefault="003B05B6" w:rsidP="0077257F">
            <w:pPr>
              <w:spacing w:line="252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6" w:rsidRPr="004C6D3F" w:rsidRDefault="003B05B6" w:rsidP="0077257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uk-UA"/>
              </w:rPr>
              <w:t>1</w:t>
            </w:r>
            <w:r w:rsidRPr="004C6D3F">
              <w:rPr>
                <w:sz w:val="28"/>
                <w:szCs w:val="28"/>
                <w:lang w:val="en-US"/>
              </w:rPr>
              <w:t>8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99</w:t>
            </w:r>
            <w:r w:rsidRPr="004C6D3F">
              <w:rPr>
                <w:sz w:val="28"/>
                <w:szCs w:val="28"/>
                <w:lang w:val="uk-UA"/>
              </w:rPr>
              <w:t xml:space="preserve"> </w:t>
            </w:r>
            <w:r w:rsidRPr="004C6D3F">
              <w:rPr>
                <w:rFonts w:ascii="Symbol" w:hAnsi="Symbol"/>
                <w:sz w:val="28"/>
                <w:szCs w:val="28"/>
                <w:lang w:val="uk-UA" w:eastAsia="uk-UA"/>
              </w:rPr>
              <w:t></w:t>
            </w:r>
            <w:r w:rsidRPr="004C6D3F">
              <w:rPr>
                <w:sz w:val="28"/>
                <w:szCs w:val="28"/>
                <w:lang w:val="uk-UA"/>
              </w:rPr>
              <w:t xml:space="preserve"> 2,</w:t>
            </w:r>
            <w:r w:rsidRPr="004C6D3F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6" w:rsidRPr="004C6D3F" w:rsidRDefault="003B05B6" w:rsidP="0077257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4C6D3F">
              <w:rPr>
                <w:sz w:val="28"/>
                <w:szCs w:val="28"/>
                <w:lang w:val="en-US"/>
              </w:rPr>
              <w:t>21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89</w:t>
            </w:r>
            <w:r w:rsidRPr="004C6D3F">
              <w:rPr>
                <w:sz w:val="28"/>
                <w:szCs w:val="28"/>
                <w:lang w:val="uk-UA"/>
              </w:rPr>
              <w:t xml:space="preserve"> </w:t>
            </w:r>
            <w:r w:rsidRPr="004C6D3F">
              <w:rPr>
                <w:sz w:val="28"/>
                <w:szCs w:val="28"/>
              </w:rPr>
              <w:t>±</w:t>
            </w:r>
            <w:r w:rsidRPr="004C6D3F">
              <w:rPr>
                <w:sz w:val="28"/>
                <w:szCs w:val="28"/>
                <w:lang w:val="uk-UA"/>
              </w:rPr>
              <w:t xml:space="preserve"> </w:t>
            </w:r>
            <w:r w:rsidRPr="004C6D3F">
              <w:rPr>
                <w:sz w:val="28"/>
                <w:szCs w:val="28"/>
                <w:lang w:val="en-US"/>
              </w:rPr>
              <w:t>3</w:t>
            </w:r>
            <w:r w:rsidRPr="004C6D3F">
              <w:rPr>
                <w:sz w:val="28"/>
                <w:szCs w:val="28"/>
                <w:lang w:val="uk-UA"/>
              </w:rPr>
              <w:t>,</w:t>
            </w:r>
            <w:r w:rsidRPr="004C6D3F"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6" w:rsidRPr="004C6D3F" w:rsidRDefault="003B05B6" w:rsidP="0077257F">
            <w:pPr>
              <w:spacing w:line="252" w:lineRule="auto"/>
              <w:jc w:val="center"/>
              <w:rPr>
                <w:sz w:val="28"/>
                <w:szCs w:val="28"/>
                <w:lang w:val="en-US"/>
              </w:rPr>
            </w:pPr>
            <w:r w:rsidRPr="004C6D3F">
              <w:rPr>
                <w:sz w:val="28"/>
                <w:szCs w:val="28"/>
                <w:lang w:val="en-US"/>
              </w:rPr>
              <w:t>0,588 (</w:t>
            </w:r>
            <w:r w:rsidRPr="004C6D3F">
              <w:rPr>
                <w:sz w:val="28"/>
                <w:szCs w:val="28"/>
                <w:lang w:val="uk-UA"/>
              </w:rPr>
              <w:t>НД)</w:t>
            </w:r>
          </w:p>
        </w:tc>
      </w:tr>
    </w:tbl>
    <w:p w:rsidR="003B05B6" w:rsidRDefault="003B05B6" w:rsidP="003B05B6">
      <w:pPr>
        <w:spacing w:line="252" w:lineRule="auto"/>
        <w:ind w:firstLine="540"/>
        <w:jc w:val="both"/>
        <w:rPr>
          <w:sz w:val="28"/>
          <w:szCs w:val="28"/>
          <w:lang w:val="uk-UA"/>
        </w:rPr>
      </w:pPr>
    </w:p>
    <w:p w:rsidR="003B05B6" w:rsidRDefault="003B05B6" w:rsidP="003B05B6">
      <w:pPr>
        <w:spacing w:line="252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Ми провели вивчення ступеня зв’язку між змінною «динаміка іКДО ЛШ» наприкінці лік</w:t>
      </w:r>
      <w:r w:rsidRPr="004C6D3F">
        <w:rPr>
          <w:sz w:val="28"/>
          <w:szCs w:val="28"/>
          <w:lang w:val="uk-UA"/>
        </w:rPr>
        <w:t>у</w:t>
      </w:r>
      <w:r w:rsidRPr="004C6D3F">
        <w:rPr>
          <w:sz w:val="28"/>
          <w:szCs w:val="28"/>
          <w:lang w:val="uk-UA"/>
        </w:rPr>
        <w:t>вання та значен</w:t>
      </w:r>
      <w:r>
        <w:rPr>
          <w:sz w:val="28"/>
          <w:szCs w:val="28"/>
          <w:lang w:val="uk-UA"/>
        </w:rPr>
        <w:t>нями</w:t>
      </w:r>
      <w:r w:rsidRPr="004C6D3F">
        <w:rPr>
          <w:sz w:val="28"/>
          <w:szCs w:val="28"/>
          <w:lang w:val="uk-UA"/>
        </w:rPr>
        <w:t xml:space="preserve"> клініко-функціональних та </w:t>
      </w:r>
      <w:r>
        <w:rPr>
          <w:sz w:val="28"/>
          <w:szCs w:val="28"/>
          <w:lang w:val="uk-UA"/>
        </w:rPr>
        <w:t xml:space="preserve">ЕхоКГ </w:t>
      </w:r>
      <w:r w:rsidRPr="004C6D3F">
        <w:rPr>
          <w:sz w:val="28"/>
          <w:szCs w:val="28"/>
          <w:lang w:val="uk-UA"/>
        </w:rPr>
        <w:lastRenderedPageBreak/>
        <w:t>показників</w:t>
      </w:r>
      <w:r>
        <w:rPr>
          <w:sz w:val="28"/>
          <w:szCs w:val="28"/>
          <w:lang w:val="uk-UA"/>
        </w:rPr>
        <w:t xml:space="preserve"> </w:t>
      </w:r>
      <w:r w:rsidRPr="004C6D3F">
        <w:rPr>
          <w:sz w:val="28"/>
          <w:szCs w:val="28"/>
          <w:lang w:val="uk-UA"/>
        </w:rPr>
        <w:t>на етапах лікування</w:t>
      </w:r>
      <w:r>
        <w:rPr>
          <w:sz w:val="28"/>
          <w:szCs w:val="28"/>
          <w:lang w:val="uk-UA"/>
        </w:rPr>
        <w:t xml:space="preserve">. </w:t>
      </w:r>
      <w:r w:rsidRPr="004C6D3F">
        <w:rPr>
          <w:sz w:val="28"/>
          <w:szCs w:val="28"/>
          <w:lang w:val="uk-UA"/>
        </w:rPr>
        <w:t>До множинного регресійного аналізу увійшли загалом 57 пока</w:t>
      </w:r>
      <w:r w:rsidRPr="004C6D3F">
        <w:rPr>
          <w:sz w:val="28"/>
          <w:szCs w:val="28"/>
          <w:lang w:val="uk-UA"/>
        </w:rPr>
        <w:t>з</w:t>
      </w:r>
      <w:r w:rsidRPr="004C6D3F">
        <w:rPr>
          <w:sz w:val="28"/>
          <w:szCs w:val="28"/>
          <w:lang w:val="uk-UA"/>
        </w:rPr>
        <w:t xml:space="preserve">ників. Було побудовано значущу регресію. </w:t>
      </w:r>
    </w:p>
    <w:p w:rsidR="003B05B6" w:rsidRPr="004C6D3F" w:rsidRDefault="003B05B6" w:rsidP="003B05B6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Перевірка на істотність довела наявність невипадкової залежності, а також дуже високий рівень адекватності побудованої регр</w:t>
      </w:r>
      <w:r w:rsidRPr="004C6D3F">
        <w:rPr>
          <w:sz w:val="28"/>
          <w:szCs w:val="28"/>
          <w:lang w:val="uk-UA"/>
        </w:rPr>
        <w:t>е</w:t>
      </w:r>
      <w:r w:rsidRPr="004C6D3F">
        <w:rPr>
          <w:sz w:val="28"/>
          <w:szCs w:val="28"/>
          <w:lang w:val="uk-UA"/>
        </w:rPr>
        <w:t>сійної моделі (фактичний F- критерій Фішера F(3,1) = 81835) (р&lt;0,0026).</w:t>
      </w:r>
      <w:r>
        <w:rPr>
          <w:sz w:val="28"/>
          <w:szCs w:val="28"/>
          <w:lang w:val="uk-UA"/>
        </w:rPr>
        <w:t xml:space="preserve"> </w:t>
      </w:r>
      <w:r w:rsidRPr="004C6D3F">
        <w:rPr>
          <w:sz w:val="28"/>
          <w:szCs w:val="28"/>
          <w:lang w:val="uk-UA"/>
        </w:rPr>
        <w:t>Виявлено, що тісний зв'язок (</w:t>
      </w:r>
      <w:r w:rsidRPr="004C6D3F">
        <w:rPr>
          <w:sz w:val="28"/>
          <w:szCs w:val="28"/>
          <w:lang w:val="en-US"/>
        </w:rPr>
        <w:t>R</w:t>
      </w:r>
      <w:r w:rsidRPr="004C6D3F">
        <w:rPr>
          <w:sz w:val="28"/>
          <w:szCs w:val="28"/>
          <w:lang w:val="uk-UA"/>
        </w:rPr>
        <w:t>=0,999)</w:t>
      </w:r>
      <w:r w:rsidRPr="003D497A">
        <w:rPr>
          <w:sz w:val="28"/>
          <w:szCs w:val="28"/>
          <w:lang w:val="uk-UA"/>
        </w:rPr>
        <w:t xml:space="preserve"> </w:t>
      </w:r>
      <w:r w:rsidRPr="004C6D3F">
        <w:rPr>
          <w:sz w:val="28"/>
          <w:szCs w:val="28"/>
          <w:lang w:val="uk-UA"/>
        </w:rPr>
        <w:t>існує між ознакою «д</w:t>
      </w:r>
      <w:r w:rsidRPr="004C6D3F">
        <w:rPr>
          <w:sz w:val="28"/>
          <w:szCs w:val="28"/>
          <w:lang w:val="uk-UA"/>
        </w:rPr>
        <w:t>и</w:t>
      </w:r>
      <w:r w:rsidRPr="004C6D3F">
        <w:rPr>
          <w:sz w:val="28"/>
          <w:szCs w:val="28"/>
          <w:lang w:val="uk-UA"/>
        </w:rPr>
        <w:t xml:space="preserve">наміка іКДО ЛШ» та </w:t>
      </w:r>
      <w:r>
        <w:rPr>
          <w:sz w:val="28"/>
          <w:szCs w:val="28"/>
          <w:lang w:val="uk-UA"/>
        </w:rPr>
        <w:t>3 факторними ознаками:</w:t>
      </w:r>
      <w:r w:rsidRPr="004C6D3F">
        <w:rPr>
          <w:sz w:val="28"/>
          <w:szCs w:val="28"/>
          <w:lang w:val="uk-UA"/>
        </w:rPr>
        <w:t xml:space="preserve"> і</w:t>
      </w:r>
      <w:r w:rsidRPr="004C6D3F">
        <w:rPr>
          <w:sz w:val="28"/>
          <w:szCs w:val="28"/>
          <w:lang w:val="uk-UA"/>
        </w:rPr>
        <w:t>К</w:t>
      </w:r>
      <w:r w:rsidRPr="004C6D3F">
        <w:rPr>
          <w:sz w:val="28"/>
          <w:szCs w:val="28"/>
          <w:lang w:val="uk-UA"/>
        </w:rPr>
        <w:t>ДО</w:t>
      </w:r>
      <w:r w:rsidRPr="004C6D3F">
        <w:rPr>
          <w:sz w:val="28"/>
          <w:szCs w:val="28"/>
          <w:vertAlign w:val="subscript"/>
          <w:lang w:val="uk-UA"/>
        </w:rPr>
        <w:t xml:space="preserve">ІІ </w:t>
      </w:r>
      <w:r w:rsidRPr="004C6D3F">
        <w:rPr>
          <w:sz w:val="28"/>
          <w:szCs w:val="28"/>
          <w:lang w:val="uk-UA"/>
        </w:rPr>
        <w:t xml:space="preserve">ЛШ, </w:t>
      </w:r>
      <w:r w:rsidRPr="004C6D3F">
        <w:rPr>
          <w:rFonts w:ascii="Symbol" w:hAnsi="Symbol"/>
          <w:bCs/>
          <w:color w:val="000000"/>
          <w:sz w:val="28"/>
          <w:szCs w:val="28"/>
          <w:lang w:val="en-US"/>
        </w:rPr>
        <w:t></w:t>
      </w:r>
      <w:r w:rsidRPr="004C6D3F">
        <w:rPr>
          <w:bCs/>
          <w:color w:val="000000"/>
          <w:sz w:val="28"/>
          <w:szCs w:val="28"/>
          <w:lang w:val="uk-UA"/>
        </w:rPr>
        <w:t>КДО</w:t>
      </w:r>
      <w:r w:rsidRPr="004C6D3F">
        <w:rPr>
          <w:bCs/>
          <w:color w:val="000000"/>
          <w:sz w:val="28"/>
          <w:szCs w:val="28"/>
          <w:vertAlign w:val="subscript"/>
          <w:lang w:val="uk-UA"/>
        </w:rPr>
        <w:t>мс</w:t>
      </w:r>
      <w:r w:rsidRPr="004C6D3F">
        <w:rPr>
          <w:bCs/>
          <w:color w:val="000000"/>
          <w:sz w:val="28"/>
          <w:szCs w:val="28"/>
          <w:lang w:val="uk-UA"/>
        </w:rPr>
        <w:t xml:space="preserve"> ЛШ </w:t>
      </w:r>
      <w:r w:rsidRPr="004C6D3F">
        <w:rPr>
          <w:bCs/>
          <w:color w:val="000000"/>
          <w:sz w:val="28"/>
          <w:szCs w:val="28"/>
          <w:vertAlign w:val="subscript"/>
          <w:lang w:val="en-US"/>
        </w:rPr>
        <w:t>I</w:t>
      </w:r>
      <w:r w:rsidRPr="004C6D3F">
        <w:rPr>
          <w:bCs/>
          <w:color w:val="000000"/>
          <w:sz w:val="28"/>
          <w:szCs w:val="28"/>
          <w:vertAlign w:val="subscript"/>
          <w:lang w:val="uk-UA"/>
        </w:rPr>
        <w:t>-</w:t>
      </w:r>
      <w:r w:rsidRPr="004C6D3F">
        <w:rPr>
          <w:sz w:val="28"/>
          <w:szCs w:val="28"/>
          <w:vertAlign w:val="subscript"/>
          <w:lang w:val="uk-UA"/>
        </w:rPr>
        <w:t xml:space="preserve">ІІІ </w:t>
      </w:r>
      <w:r w:rsidRPr="004C6D3F">
        <w:rPr>
          <w:sz w:val="28"/>
          <w:szCs w:val="28"/>
          <w:lang w:val="uk-UA"/>
        </w:rPr>
        <w:t xml:space="preserve">(%), </w:t>
      </w:r>
      <w:r w:rsidRPr="004C6D3F">
        <w:rPr>
          <w:rFonts w:ascii="Symbol" w:hAnsi="Symbol"/>
          <w:bCs/>
          <w:color w:val="000000"/>
          <w:sz w:val="28"/>
          <w:szCs w:val="28"/>
          <w:lang w:val="en-US"/>
        </w:rPr>
        <w:t></w:t>
      </w:r>
      <w:r w:rsidRPr="004C6D3F">
        <w:rPr>
          <w:bCs/>
          <w:color w:val="000000"/>
          <w:sz w:val="28"/>
          <w:szCs w:val="28"/>
          <w:lang w:val="uk-UA"/>
        </w:rPr>
        <w:t>КСО</w:t>
      </w:r>
      <w:r w:rsidRPr="004C6D3F">
        <w:rPr>
          <w:bCs/>
          <w:color w:val="000000"/>
          <w:sz w:val="28"/>
          <w:szCs w:val="28"/>
          <w:vertAlign w:val="subscript"/>
          <w:lang w:val="uk-UA"/>
        </w:rPr>
        <w:t>мс</w:t>
      </w:r>
      <w:r w:rsidRPr="004C6D3F">
        <w:rPr>
          <w:bCs/>
          <w:color w:val="000000"/>
          <w:sz w:val="28"/>
          <w:szCs w:val="28"/>
          <w:lang w:val="uk-UA"/>
        </w:rPr>
        <w:t xml:space="preserve"> ЛШ </w:t>
      </w:r>
      <w:r w:rsidRPr="004C6D3F">
        <w:rPr>
          <w:bCs/>
          <w:color w:val="000000"/>
          <w:sz w:val="28"/>
          <w:szCs w:val="28"/>
          <w:vertAlign w:val="subscript"/>
          <w:lang w:val="en-US"/>
        </w:rPr>
        <w:t>I</w:t>
      </w:r>
      <w:r w:rsidRPr="004C6D3F">
        <w:rPr>
          <w:bCs/>
          <w:color w:val="000000"/>
          <w:sz w:val="28"/>
          <w:szCs w:val="28"/>
          <w:vertAlign w:val="subscript"/>
          <w:lang w:val="uk-UA"/>
        </w:rPr>
        <w:t>-</w:t>
      </w:r>
      <w:r w:rsidRPr="004C6D3F">
        <w:rPr>
          <w:sz w:val="28"/>
          <w:szCs w:val="28"/>
          <w:vertAlign w:val="subscript"/>
          <w:lang w:val="uk-UA"/>
        </w:rPr>
        <w:t xml:space="preserve">ІІ </w:t>
      </w:r>
      <w:r w:rsidRPr="004C6D3F">
        <w:rPr>
          <w:sz w:val="28"/>
          <w:szCs w:val="28"/>
          <w:lang w:val="uk-UA"/>
        </w:rPr>
        <w:t>(%).</w:t>
      </w:r>
      <w:r>
        <w:rPr>
          <w:sz w:val="28"/>
          <w:szCs w:val="28"/>
          <w:lang w:val="uk-UA"/>
        </w:rPr>
        <w:t xml:space="preserve"> Н</w:t>
      </w:r>
      <w:r w:rsidRPr="004C6D3F">
        <w:rPr>
          <w:sz w:val="28"/>
          <w:szCs w:val="28"/>
          <w:lang w:val="uk-UA"/>
        </w:rPr>
        <w:t>айбільший вплив на показник «дин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>міка іКДО ЛШ» має іКДО</w:t>
      </w:r>
      <w:r w:rsidRPr="004C6D3F">
        <w:rPr>
          <w:sz w:val="28"/>
          <w:szCs w:val="28"/>
          <w:vertAlign w:val="subscript"/>
          <w:lang w:val="uk-UA"/>
        </w:rPr>
        <w:t xml:space="preserve"> </w:t>
      </w:r>
      <w:r w:rsidRPr="004C6D3F">
        <w:rPr>
          <w:sz w:val="28"/>
          <w:szCs w:val="28"/>
          <w:lang w:val="uk-UA"/>
        </w:rPr>
        <w:t>ЛШ на ІІ етапі дослідження (</w:t>
      </w:r>
      <w:r w:rsidRPr="004C6D3F">
        <w:rPr>
          <w:rFonts w:ascii="Symbol" w:hAnsi="Symbol" w:cs="Symbol"/>
          <w:sz w:val="28"/>
          <w:szCs w:val="28"/>
        </w:rPr>
        <w:t></w:t>
      </w:r>
      <w:r w:rsidRPr="004C6D3F">
        <w:rPr>
          <w:sz w:val="28"/>
          <w:szCs w:val="28"/>
          <w:lang w:val="uk-UA"/>
        </w:rPr>
        <w:t xml:space="preserve"> = -2,044), ступінь (в %) змін КДО</w:t>
      </w:r>
      <w:r w:rsidRPr="004C6D3F">
        <w:rPr>
          <w:bCs/>
          <w:color w:val="000000"/>
          <w:sz w:val="28"/>
          <w:szCs w:val="28"/>
          <w:vertAlign w:val="subscript"/>
          <w:lang w:val="uk-UA"/>
        </w:rPr>
        <w:t>мс</w:t>
      </w:r>
      <w:r w:rsidRPr="004C6D3F">
        <w:rPr>
          <w:sz w:val="28"/>
          <w:szCs w:val="28"/>
          <w:lang w:val="uk-UA"/>
        </w:rPr>
        <w:t xml:space="preserve"> ЛШ між І та ІІІ етапами (</w:t>
      </w:r>
      <w:r w:rsidRPr="004C6D3F">
        <w:rPr>
          <w:rFonts w:ascii="Symbol" w:hAnsi="Symbol" w:cs="Symbol"/>
          <w:sz w:val="28"/>
          <w:szCs w:val="28"/>
        </w:rPr>
        <w:t></w:t>
      </w:r>
      <w:r w:rsidRPr="004C6D3F">
        <w:rPr>
          <w:sz w:val="28"/>
          <w:szCs w:val="28"/>
          <w:lang w:val="uk-UA"/>
        </w:rPr>
        <w:t>=1,258) та ступінь (в %) змін КСО</w:t>
      </w:r>
      <w:r w:rsidRPr="004C6D3F">
        <w:rPr>
          <w:bCs/>
          <w:color w:val="000000"/>
          <w:sz w:val="28"/>
          <w:szCs w:val="28"/>
          <w:vertAlign w:val="subscript"/>
          <w:lang w:val="uk-UA"/>
        </w:rPr>
        <w:t>мс</w:t>
      </w:r>
      <w:r w:rsidRPr="004C6D3F">
        <w:rPr>
          <w:sz w:val="28"/>
          <w:szCs w:val="28"/>
          <w:lang w:val="uk-UA"/>
        </w:rPr>
        <w:t xml:space="preserve"> ЛШ між І та ІІ етапами (</w:t>
      </w:r>
      <w:r w:rsidRPr="004C6D3F">
        <w:rPr>
          <w:rFonts w:ascii="Symbol" w:hAnsi="Symbol" w:cs="Symbol"/>
          <w:sz w:val="28"/>
          <w:szCs w:val="28"/>
        </w:rPr>
        <w:t></w:t>
      </w:r>
      <w:r w:rsidRPr="004C6D3F">
        <w:rPr>
          <w:sz w:val="28"/>
          <w:szCs w:val="28"/>
          <w:lang w:val="uk-UA"/>
        </w:rPr>
        <w:t>=0,127).</w:t>
      </w:r>
    </w:p>
    <w:p w:rsidR="003B05B6" w:rsidRDefault="003B05B6" w:rsidP="003B05B6">
      <w:pPr>
        <w:spacing w:line="252" w:lineRule="auto"/>
        <w:jc w:val="center"/>
        <w:rPr>
          <w:b/>
          <w:sz w:val="28"/>
          <w:szCs w:val="28"/>
          <w:lang w:val="uk-UA"/>
        </w:rPr>
      </w:pPr>
      <w:r w:rsidRPr="004C6D3F">
        <w:rPr>
          <w:b/>
          <w:sz w:val="28"/>
          <w:szCs w:val="28"/>
          <w:lang w:val="uk-UA"/>
        </w:rPr>
        <w:t>ВИСНОВКИ</w:t>
      </w:r>
    </w:p>
    <w:p w:rsidR="003B05B6" w:rsidRPr="004C6D3F" w:rsidRDefault="003B05B6" w:rsidP="003B05B6">
      <w:pPr>
        <w:spacing w:line="252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В дисертації наведене нове вирішення актуальної задачі кардіології – удосконалення лік</w:t>
      </w:r>
      <w:r w:rsidRPr="004C6D3F">
        <w:rPr>
          <w:sz w:val="28"/>
          <w:szCs w:val="28"/>
          <w:lang w:val="uk-UA"/>
        </w:rPr>
        <w:t>у</w:t>
      </w:r>
      <w:r w:rsidRPr="004C6D3F">
        <w:rPr>
          <w:sz w:val="28"/>
          <w:szCs w:val="28"/>
          <w:lang w:val="uk-UA"/>
        </w:rPr>
        <w:t>вання систолічної ХСН на підставі порівняльного вивчення динаміки клініко-функціональних та ехокардіографічних показників у хворих з кардіомегалією та ХСН різного ґенезу на фоні довг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>тривалої синдромальної фармакотерапії із застосуванням високих терапевтичних доз карв</w:t>
      </w:r>
      <w:r w:rsidRPr="004C6D3F">
        <w:rPr>
          <w:sz w:val="28"/>
          <w:szCs w:val="28"/>
          <w:lang w:val="uk-UA"/>
        </w:rPr>
        <w:t>е</w:t>
      </w:r>
      <w:r w:rsidRPr="004C6D3F">
        <w:rPr>
          <w:sz w:val="28"/>
          <w:szCs w:val="28"/>
          <w:lang w:val="uk-UA"/>
        </w:rPr>
        <w:t xml:space="preserve">дилолу. </w:t>
      </w:r>
    </w:p>
    <w:p w:rsidR="003B05B6" w:rsidRDefault="003B05B6" w:rsidP="0033412B">
      <w:pPr>
        <w:numPr>
          <w:ilvl w:val="0"/>
          <w:numId w:val="12"/>
        </w:numPr>
        <w:tabs>
          <w:tab w:val="clear" w:pos="720"/>
          <w:tab w:val="num" w:pos="360"/>
        </w:tabs>
        <w:spacing w:after="0" w:line="252" w:lineRule="auto"/>
        <w:ind w:left="0" w:firstLine="360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 w:eastAsia="uk-UA"/>
        </w:rPr>
        <w:t>За рахунок повільного титрування (в середньому 12,08</w:t>
      </w:r>
      <w:r w:rsidRPr="004C6D3F">
        <w:rPr>
          <w:sz w:val="28"/>
          <w:szCs w:val="28"/>
          <w:lang w:val="uk-UA"/>
        </w:rPr>
        <w:t>±</w:t>
      </w:r>
      <w:r w:rsidRPr="004C6D3F">
        <w:rPr>
          <w:sz w:val="28"/>
          <w:szCs w:val="28"/>
          <w:lang w:val="uk-UA" w:eastAsia="uk-UA"/>
        </w:rPr>
        <w:t>0,99 міс.) високих терапевтичних  доз (100 мг/добу) карведилолу (середня доза 92,57±2,45 мг/добу) та оптимальної (20 мг/добу) дози еналаприлу (середня доза 18,28±0,58 мг/добу) вдається досягти у 76,7% та 75,8% пацієнтів з ка</w:t>
      </w:r>
      <w:r w:rsidRPr="004C6D3F">
        <w:rPr>
          <w:sz w:val="28"/>
          <w:szCs w:val="28"/>
          <w:lang w:val="uk-UA" w:eastAsia="uk-UA"/>
        </w:rPr>
        <w:t>р</w:t>
      </w:r>
      <w:r w:rsidRPr="004C6D3F">
        <w:rPr>
          <w:sz w:val="28"/>
          <w:szCs w:val="28"/>
          <w:lang w:val="uk-UA" w:eastAsia="uk-UA"/>
        </w:rPr>
        <w:t>діомегалією та ХСН різного ґенезу відповідно. Застосоване довготривале лікування добре перен</w:t>
      </w:r>
      <w:r w:rsidRPr="004C6D3F">
        <w:rPr>
          <w:sz w:val="28"/>
          <w:szCs w:val="28"/>
          <w:lang w:val="uk-UA" w:eastAsia="uk-UA"/>
        </w:rPr>
        <w:t>о</w:t>
      </w:r>
      <w:r w:rsidRPr="004C6D3F">
        <w:rPr>
          <w:sz w:val="28"/>
          <w:szCs w:val="28"/>
          <w:lang w:val="uk-UA" w:eastAsia="uk-UA"/>
        </w:rPr>
        <w:t>ситься пацієнтами</w:t>
      </w:r>
      <w:r>
        <w:rPr>
          <w:sz w:val="28"/>
          <w:szCs w:val="28"/>
          <w:lang w:val="uk-UA" w:eastAsia="uk-UA"/>
        </w:rPr>
        <w:t xml:space="preserve"> і</w:t>
      </w:r>
      <w:r w:rsidRPr="004C6D3F">
        <w:rPr>
          <w:sz w:val="28"/>
          <w:szCs w:val="28"/>
          <w:lang w:val="uk-UA" w:eastAsia="uk-UA"/>
        </w:rPr>
        <w:t xml:space="preserve"> не викликає у них серйозних побічних ефектів (гіпотензії, брадикардії, серйозних порушень провідності, бронхообструкції). </w:t>
      </w:r>
    </w:p>
    <w:p w:rsidR="003B05B6" w:rsidRDefault="003B05B6" w:rsidP="0033412B">
      <w:pPr>
        <w:numPr>
          <w:ilvl w:val="0"/>
          <w:numId w:val="12"/>
        </w:numPr>
        <w:tabs>
          <w:tab w:val="clear" w:pos="720"/>
          <w:tab w:val="num" w:pos="360"/>
        </w:tabs>
        <w:spacing w:after="0" w:line="252" w:lineRule="auto"/>
        <w:ind w:left="0" w:firstLine="360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 w:eastAsia="uk-UA"/>
        </w:rPr>
        <w:t>П’ятирічне виживання (за методом Каплан-Мейєра) хворих з ХСН, що отримували до</w:t>
      </w:r>
      <w:r w:rsidRPr="004C6D3F">
        <w:rPr>
          <w:sz w:val="28"/>
          <w:szCs w:val="28"/>
          <w:lang w:val="uk-UA" w:eastAsia="uk-UA"/>
        </w:rPr>
        <w:t>в</w:t>
      </w:r>
      <w:r w:rsidRPr="004C6D3F">
        <w:rPr>
          <w:sz w:val="28"/>
          <w:szCs w:val="28"/>
          <w:lang w:val="uk-UA" w:eastAsia="uk-UA"/>
        </w:rPr>
        <w:t>готривале синдромальне лікування із застосуванням високих терапевтичних доз карведил</w:t>
      </w:r>
      <w:r w:rsidRPr="004C6D3F">
        <w:rPr>
          <w:sz w:val="28"/>
          <w:szCs w:val="28"/>
          <w:lang w:val="uk-UA" w:eastAsia="uk-UA"/>
        </w:rPr>
        <w:t>о</w:t>
      </w:r>
      <w:r w:rsidRPr="004C6D3F">
        <w:rPr>
          <w:sz w:val="28"/>
          <w:szCs w:val="28"/>
          <w:lang w:val="uk-UA" w:eastAsia="uk-UA"/>
        </w:rPr>
        <w:t>лу та оптимальної дози еналаприлу, становить 88%. З</w:t>
      </w:r>
      <w:r w:rsidRPr="004C6D3F">
        <w:rPr>
          <w:sz w:val="28"/>
          <w:szCs w:val="28"/>
          <w:lang w:val="uk-UA"/>
        </w:rPr>
        <w:t>начення ф</w:t>
      </w:r>
      <w:r w:rsidRPr="004C6D3F">
        <w:rPr>
          <w:sz w:val="28"/>
          <w:szCs w:val="28"/>
          <w:lang w:val="uk-UA" w:eastAsia="uk-UA"/>
        </w:rPr>
        <w:t>ункції ризику смерті таких хворих н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>й</w:t>
      </w:r>
      <w:r w:rsidRPr="004C6D3F">
        <w:rPr>
          <w:sz w:val="28"/>
          <w:szCs w:val="28"/>
          <w:lang w:val="uk-UA"/>
        </w:rPr>
        <w:t>менші на другий рік лікування, але в подальшому збільшуються і наприкінці дослідження пер</w:t>
      </w:r>
      <w:r w:rsidRPr="004C6D3F">
        <w:rPr>
          <w:sz w:val="28"/>
          <w:szCs w:val="28"/>
          <w:lang w:val="uk-UA"/>
        </w:rPr>
        <w:t>е</w:t>
      </w:r>
      <w:r w:rsidRPr="004C6D3F">
        <w:rPr>
          <w:sz w:val="28"/>
          <w:szCs w:val="28"/>
          <w:lang w:val="uk-UA"/>
        </w:rPr>
        <w:t xml:space="preserve">вищують початкові більше ніж в чотири рази. </w:t>
      </w:r>
    </w:p>
    <w:p w:rsidR="003B05B6" w:rsidRPr="0050516C" w:rsidRDefault="003B05B6" w:rsidP="0033412B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52" w:lineRule="auto"/>
        <w:ind w:left="0" w:firstLine="357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 w:eastAsia="uk-UA"/>
        </w:rPr>
        <w:t>Застосована схема довготривалого лікування (загальний термін терапії 19,51</w:t>
      </w:r>
      <w:r w:rsidRPr="004C6D3F">
        <w:rPr>
          <w:sz w:val="28"/>
          <w:szCs w:val="28"/>
          <w:lang w:val="uk-UA"/>
        </w:rPr>
        <w:t>±</w:t>
      </w:r>
      <w:r w:rsidRPr="004C6D3F">
        <w:rPr>
          <w:sz w:val="28"/>
          <w:szCs w:val="28"/>
          <w:lang w:val="uk-UA" w:eastAsia="uk-UA"/>
        </w:rPr>
        <w:t>1,60 міс.) із вик</w:t>
      </w:r>
      <w:r w:rsidRPr="004C6D3F">
        <w:rPr>
          <w:sz w:val="28"/>
          <w:szCs w:val="28"/>
          <w:lang w:val="uk-UA" w:eastAsia="uk-UA"/>
        </w:rPr>
        <w:t>о</w:t>
      </w:r>
      <w:r w:rsidRPr="004C6D3F">
        <w:rPr>
          <w:sz w:val="28"/>
          <w:szCs w:val="28"/>
          <w:lang w:val="uk-UA" w:eastAsia="uk-UA"/>
        </w:rPr>
        <w:t>ристанням високих терапевтичних доз карведилолу (100 мг/добу) та оптимальної дози ен</w:t>
      </w:r>
      <w:r w:rsidRPr="004C6D3F">
        <w:rPr>
          <w:sz w:val="28"/>
          <w:szCs w:val="28"/>
          <w:lang w:val="uk-UA" w:eastAsia="uk-UA"/>
        </w:rPr>
        <w:t>а</w:t>
      </w:r>
      <w:r w:rsidRPr="004C6D3F">
        <w:rPr>
          <w:sz w:val="28"/>
          <w:szCs w:val="28"/>
          <w:lang w:val="uk-UA" w:eastAsia="uk-UA"/>
        </w:rPr>
        <w:t>лаприлу (20 мг/добу) призводить</w:t>
      </w:r>
      <w:r w:rsidRPr="004C6D3F">
        <w:rPr>
          <w:vanish/>
          <w:sz w:val="28"/>
          <w:szCs w:val="28"/>
          <w:lang w:val="uk-UA" w:eastAsia="uk-UA"/>
        </w:rPr>
        <w:t>|призводить,наводить|</w:t>
      </w:r>
      <w:r w:rsidRPr="004C6D3F">
        <w:rPr>
          <w:sz w:val="28"/>
          <w:szCs w:val="28"/>
          <w:lang w:val="uk-UA" w:eastAsia="uk-UA"/>
        </w:rPr>
        <w:t xml:space="preserve"> до </w:t>
      </w:r>
      <w:r w:rsidRPr="004C6D3F">
        <w:rPr>
          <w:sz w:val="28"/>
          <w:szCs w:val="28"/>
          <w:lang w:val="uk-UA"/>
        </w:rPr>
        <w:t>зниження тижневої дози фуросеміду з 153,75±12,18 мг до 69,29±14,00 мг (р&lt;0,05) та покращення ФК пацієнтів з ХСН незалежно від етіології синдрому. До</w:t>
      </w:r>
      <w:r w:rsidRPr="004C6D3F">
        <w:rPr>
          <w:rFonts w:cs="Symbol"/>
          <w:sz w:val="28"/>
          <w:szCs w:val="28"/>
          <w:lang w:val="uk-UA"/>
        </w:rPr>
        <w:t xml:space="preserve"> початку з</w:t>
      </w:r>
      <w:r w:rsidRPr="004C6D3F">
        <w:rPr>
          <w:rFonts w:cs="Symbol"/>
          <w:sz w:val="28"/>
          <w:szCs w:val="28"/>
          <w:lang w:val="uk-UA"/>
        </w:rPr>
        <w:t>а</w:t>
      </w:r>
      <w:r w:rsidRPr="004C6D3F">
        <w:rPr>
          <w:rFonts w:cs="Symbol"/>
          <w:sz w:val="28"/>
          <w:szCs w:val="28"/>
          <w:lang w:val="uk-UA"/>
        </w:rPr>
        <w:t>стосованої терапії функціональний стан 60,95% пацієнтів відповідав ІІІ ФК, а 39,05% - ІІ ФК (в середньому по групі</w:t>
      </w:r>
      <w:r w:rsidRPr="004C6D3F">
        <w:rPr>
          <w:sz w:val="28"/>
          <w:szCs w:val="28"/>
          <w:lang w:val="uk-UA"/>
        </w:rPr>
        <w:t xml:space="preserve"> 2,64±0,05 </w:t>
      </w:r>
      <w:r w:rsidRPr="004C6D3F">
        <w:rPr>
          <w:rFonts w:cs="Symbol"/>
          <w:sz w:val="28"/>
          <w:szCs w:val="28"/>
          <w:lang w:val="uk-UA"/>
        </w:rPr>
        <w:t xml:space="preserve">умов.од.), а на наприкінці дослідження у 81,25% </w:t>
      </w:r>
      <w:r w:rsidRPr="004C6D3F">
        <w:rPr>
          <w:rFonts w:cs="Symbol"/>
          <w:sz w:val="28"/>
          <w:szCs w:val="28"/>
          <w:lang w:val="uk-UA"/>
        </w:rPr>
        <w:lastRenderedPageBreak/>
        <w:t>хворих було діа</w:t>
      </w:r>
      <w:r w:rsidRPr="004C6D3F">
        <w:rPr>
          <w:rFonts w:cs="Symbol"/>
          <w:sz w:val="28"/>
          <w:szCs w:val="28"/>
          <w:lang w:val="uk-UA"/>
        </w:rPr>
        <w:t>г</w:t>
      </w:r>
      <w:r w:rsidRPr="004C6D3F">
        <w:rPr>
          <w:rFonts w:cs="Symbol"/>
          <w:sz w:val="28"/>
          <w:szCs w:val="28"/>
          <w:lang w:val="uk-UA"/>
        </w:rPr>
        <w:t>ностовано І ФК (в середньому по групі</w:t>
      </w:r>
      <w:r w:rsidRPr="004C6D3F">
        <w:rPr>
          <w:sz w:val="28"/>
          <w:szCs w:val="28"/>
          <w:lang w:val="uk-UA"/>
        </w:rPr>
        <w:t xml:space="preserve"> 1,16±</w:t>
      </w:r>
      <w:r w:rsidRPr="004C6D3F">
        <w:rPr>
          <w:rFonts w:cs="Symbol"/>
          <w:sz w:val="28"/>
          <w:szCs w:val="28"/>
          <w:lang w:val="uk-UA"/>
        </w:rPr>
        <w:t>0,07 умов.од.)</w:t>
      </w:r>
      <w:r w:rsidRPr="004C6D3F">
        <w:rPr>
          <w:sz w:val="28"/>
          <w:szCs w:val="28"/>
          <w:lang w:val="uk-UA"/>
        </w:rPr>
        <w:t>.</w:t>
      </w:r>
      <w:r w:rsidRPr="004C6D3F">
        <w:rPr>
          <w:rFonts w:cs="Symbol"/>
          <w:sz w:val="28"/>
          <w:szCs w:val="28"/>
          <w:lang w:val="uk-UA"/>
        </w:rPr>
        <w:t xml:space="preserve"> </w:t>
      </w:r>
    </w:p>
    <w:p w:rsidR="003B05B6" w:rsidRDefault="003B05B6" w:rsidP="0033412B">
      <w:pPr>
        <w:numPr>
          <w:ilvl w:val="0"/>
          <w:numId w:val="12"/>
        </w:numPr>
        <w:tabs>
          <w:tab w:val="clear" w:pos="720"/>
          <w:tab w:val="num" w:pos="360"/>
        </w:tabs>
        <w:spacing w:after="0" w:line="252" w:lineRule="auto"/>
        <w:ind w:left="0" w:firstLine="360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 w:eastAsia="uk-UA"/>
        </w:rPr>
        <w:t>Запропонована схема лікування не призводить до достовірних змін порожнин лівих камер се</w:t>
      </w:r>
      <w:r w:rsidRPr="004C6D3F">
        <w:rPr>
          <w:sz w:val="28"/>
          <w:szCs w:val="28"/>
          <w:lang w:val="uk-UA" w:eastAsia="uk-UA"/>
        </w:rPr>
        <w:t>р</w:t>
      </w:r>
      <w:r w:rsidRPr="004C6D3F">
        <w:rPr>
          <w:sz w:val="28"/>
          <w:szCs w:val="28"/>
          <w:lang w:val="uk-UA" w:eastAsia="uk-UA"/>
        </w:rPr>
        <w:t xml:space="preserve">ця та динаміки їх ФВ у хворих з кардіомегалією та ХСН, що обумовлені </w:t>
      </w:r>
      <w:r w:rsidRPr="004C6D3F">
        <w:rPr>
          <w:sz w:val="28"/>
          <w:szCs w:val="28"/>
          <w:lang w:val="uk-UA"/>
        </w:rPr>
        <w:t>перенесеним в ан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>мнезі інфарктом міокарду з наявністю патологічного зубця Q, або багатосудинним ураженням корона</w:t>
      </w:r>
      <w:r w:rsidRPr="004C6D3F">
        <w:rPr>
          <w:sz w:val="28"/>
          <w:szCs w:val="28"/>
          <w:lang w:val="uk-UA"/>
        </w:rPr>
        <w:t>р</w:t>
      </w:r>
      <w:r w:rsidRPr="004C6D3F">
        <w:rPr>
          <w:sz w:val="28"/>
          <w:szCs w:val="28"/>
          <w:lang w:val="uk-UA"/>
        </w:rPr>
        <w:t xml:space="preserve">них артерій. </w:t>
      </w:r>
      <w:r w:rsidRPr="004C6D3F">
        <w:rPr>
          <w:sz w:val="28"/>
          <w:szCs w:val="28"/>
          <w:lang w:val="uk-UA" w:eastAsia="uk-UA"/>
        </w:rPr>
        <w:t>У хворих на ДКМП застосоване лікування сприяє покращенню систолічної функції лівих к</w:t>
      </w:r>
      <w:r w:rsidRPr="004C6D3F">
        <w:rPr>
          <w:sz w:val="28"/>
          <w:szCs w:val="28"/>
          <w:lang w:val="uk-UA" w:eastAsia="uk-UA"/>
        </w:rPr>
        <w:t>а</w:t>
      </w:r>
      <w:r w:rsidRPr="004C6D3F">
        <w:rPr>
          <w:sz w:val="28"/>
          <w:szCs w:val="28"/>
          <w:lang w:val="uk-UA" w:eastAsia="uk-UA"/>
        </w:rPr>
        <w:t>мер серця (достовірному підвищенню ФВ ЛШ (з 33,1</w:t>
      </w:r>
      <w:r w:rsidRPr="004C6D3F">
        <w:rPr>
          <w:sz w:val="28"/>
          <w:szCs w:val="28"/>
          <w:lang w:val="uk-UA" w:eastAsia="uk-UA"/>
        </w:rPr>
        <w:sym w:font="Symbol" w:char="F0B1"/>
      </w:r>
      <w:r w:rsidRPr="004C6D3F">
        <w:rPr>
          <w:sz w:val="28"/>
          <w:szCs w:val="28"/>
          <w:lang w:val="uk-UA" w:eastAsia="uk-UA"/>
        </w:rPr>
        <w:t>1,1% до 38,5</w:t>
      </w:r>
      <w:r w:rsidRPr="004C6D3F">
        <w:rPr>
          <w:sz w:val="28"/>
          <w:szCs w:val="28"/>
          <w:lang w:val="uk-UA" w:eastAsia="uk-UA"/>
        </w:rPr>
        <w:sym w:font="Symbol" w:char="F0B1"/>
      </w:r>
      <w:r w:rsidRPr="004C6D3F">
        <w:rPr>
          <w:sz w:val="28"/>
          <w:szCs w:val="28"/>
          <w:lang w:val="uk-UA" w:eastAsia="uk-UA"/>
        </w:rPr>
        <w:t>2,6%) та ФВ ЛП (з 32,0</w:t>
      </w:r>
      <w:r w:rsidRPr="004C6D3F">
        <w:rPr>
          <w:sz w:val="28"/>
          <w:szCs w:val="28"/>
          <w:lang w:val="uk-UA" w:eastAsia="uk-UA"/>
        </w:rPr>
        <w:sym w:font="Symbol" w:char="F0B1"/>
      </w:r>
      <w:r w:rsidRPr="004C6D3F">
        <w:rPr>
          <w:sz w:val="28"/>
          <w:szCs w:val="28"/>
          <w:lang w:val="uk-UA" w:eastAsia="uk-UA"/>
        </w:rPr>
        <w:t>2,6 до 41,7</w:t>
      </w:r>
      <w:r w:rsidRPr="004C6D3F">
        <w:rPr>
          <w:sz w:val="28"/>
          <w:szCs w:val="28"/>
          <w:lang w:val="uk-UA" w:eastAsia="uk-UA"/>
        </w:rPr>
        <w:sym w:font="Symbol" w:char="F0B1"/>
      </w:r>
      <w:r w:rsidRPr="004C6D3F">
        <w:rPr>
          <w:sz w:val="28"/>
          <w:szCs w:val="28"/>
          <w:lang w:val="uk-UA" w:eastAsia="uk-UA"/>
        </w:rPr>
        <w:t xml:space="preserve">4,1%)), але не призводить до зменшення їх порожнин. </w:t>
      </w:r>
    </w:p>
    <w:p w:rsidR="003B05B6" w:rsidRDefault="003B05B6" w:rsidP="0033412B">
      <w:pPr>
        <w:numPr>
          <w:ilvl w:val="0"/>
          <w:numId w:val="12"/>
        </w:numPr>
        <w:tabs>
          <w:tab w:val="clear" w:pos="720"/>
          <w:tab w:val="num" w:pos="360"/>
        </w:tabs>
        <w:spacing w:after="0" w:line="252" w:lineRule="auto"/>
        <w:ind w:left="0" w:firstLine="360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У хворих з кардіомегалією та клінічним діагнозом «хронічний дифузний міокардит» застос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 xml:space="preserve">вана терапія </w:t>
      </w:r>
      <w:r w:rsidRPr="004C6D3F">
        <w:rPr>
          <w:sz w:val="28"/>
          <w:szCs w:val="28"/>
          <w:lang w:val="uk-UA" w:eastAsia="uk-UA"/>
        </w:rPr>
        <w:t>із використанням високих терапевтичних доз карведилолу та оптимальної дози ен</w:t>
      </w:r>
      <w:r w:rsidRPr="004C6D3F">
        <w:rPr>
          <w:sz w:val="28"/>
          <w:szCs w:val="28"/>
          <w:lang w:val="uk-UA" w:eastAsia="uk-UA"/>
        </w:rPr>
        <w:t>а</w:t>
      </w:r>
      <w:r w:rsidRPr="004C6D3F">
        <w:rPr>
          <w:sz w:val="28"/>
          <w:szCs w:val="28"/>
          <w:lang w:val="uk-UA" w:eastAsia="uk-UA"/>
        </w:rPr>
        <w:t xml:space="preserve">лаприлу сприяє </w:t>
      </w:r>
      <w:r w:rsidRPr="004C6D3F">
        <w:rPr>
          <w:sz w:val="28"/>
          <w:szCs w:val="28"/>
          <w:lang w:val="uk-UA"/>
        </w:rPr>
        <w:t>зменшенню значень іКДО ЛШ на 20,3%, іКСО ЛШ - на 42,7%, та підвище</w:t>
      </w:r>
      <w:r w:rsidRPr="004C6D3F">
        <w:rPr>
          <w:sz w:val="28"/>
          <w:szCs w:val="28"/>
          <w:lang w:val="uk-UA"/>
        </w:rPr>
        <w:t>н</w:t>
      </w:r>
      <w:r w:rsidRPr="004C6D3F">
        <w:rPr>
          <w:sz w:val="28"/>
          <w:szCs w:val="28"/>
          <w:lang w:val="uk-UA"/>
        </w:rPr>
        <w:t>ню ФВ ЛШ на 21,5%. У 30% таких хворих застосоване лікування призводить до нормалізації індексов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>них значень КДО ЛШ, у 52,4% - ФВ ЛШ, а у 45% - значень іКДО ЛП.</w:t>
      </w:r>
    </w:p>
    <w:p w:rsidR="003B05B6" w:rsidRPr="004C6D3F" w:rsidRDefault="003B05B6" w:rsidP="0033412B">
      <w:pPr>
        <w:numPr>
          <w:ilvl w:val="0"/>
          <w:numId w:val="12"/>
        </w:numPr>
        <w:tabs>
          <w:tab w:val="clear" w:pos="720"/>
          <w:tab w:val="num" w:pos="360"/>
        </w:tabs>
        <w:spacing w:after="0" w:line="252" w:lineRule="auto"/>
        <w:ind w:left="0" w:firstLine="360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Пацієнти з клінічним діагнозом «хронічний дифузний міокардит», у яких вдалося досягти но</w:t>
      </w:r>
      <w:r w:rsidRPr="004C6D3F">
        <w:rPr>
          <w:sz w:val="28"/>
          <w:szCs w:val="28"/>
          <w:lang w:val="uk-UA"/>
        </w:rPr>
        <w:t>р</w:t>
      </w:r>
      <w:r w:rsidRPr="004C6D3F">
        <w:rPr>
          <w:sz w:val="28"/>
          <w:szCs w:val="28"/>
          <w:lang w:val="uk-UA"/>
        </w:rPr>
        <w:t xml:space="preserve">малізації порожнини ЛШ, характеризуються меншою тривалістю симптомів ХСН (5,54±1,48 міс), вищім початковим рівнем САТ (125,00 ± </w:t>
      </w:r>
      <w:smartTag w:uri="urn:schemas-microsoft-com:office:smarttags" w:element="metricconverter">
        <w:smartTagPr>
          <w:attr w:name="ProductID" w:val="5,40 мм"/>
        </w:smartTagPr>
        <w:r w:rsidRPr="004C6D3F">
          <w:rPr>
            <w:sz w:val="28"/>
            <w:szCs w:val="28"/>
            <w:lang w:val="uk-UA"/>
          </w:rPr>
          <w:t>5,40 мм</w:t>
        </w:r>
      </w:smartTag>
      <w:r w:rsidRPr="004C6D3F">
        <w:rPr>
          <w:sz w:val="28"/>
          <w:szCs w:val="28"/>
          <w:lang w:val="uk-UA"/>
        </w:rPr>
        <w:t xml:space="preserve"> рт.ст.), і предикторами такої нормалізації за д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>ними множинного ступеневого регресійного аналізу є значення іКДО</w:t>
      </w:r>
      <w:r w:rsidRPr="004C6D3F">
        <w:rPr>
          <w:sz w:val="28"/>
          <w:szCs w:val="28"/>
          <w:vertAlign w:val="subscript"/>
          <w:lang w:val="uk-UA"/>
        </w:rPr>
        <w:t xml:space="preserve"> </w:t>
      </w:r>
      <w:r w:rsidRPr="004C6D3F">
        <w:rPr>
          <w:sz w:val="28"/>
          <w:szCs w:val="28"/>
          <w:lang w:val="uk-UA"/>
        </w:rPr>
        <w:t>ЛШ на ІІ етапі досл</w:t>
      </w:r>
      <w:r w:rsidRPr="004C6D3F">
        <w:rPr>
          <w:sz w:val="28"/>
          <w:szCs w:val="28"/>
          <w:lang w:val="uk-UA"/>
        </w:rPr>
        <w:t>і</w:t>
      </w:r>
      <w:r w:rsidRPr="004C6D3F">
        <w:rPr>
          <w:sz w:val="28"/>
          <w:szCs w:val="28"/>
          <w:lang w:val="uk-UA"/>
        </w:rPr>
        <w:t>дження (</w:t>
      </w:r>
      <w:r w:rsidRPr="004C6D3F">
        <w:rPr>
          <w:rFonts w:ascii="Symbol" w:hAnsi="Symbol" w:cs="Symbol"/>
          <w:sz w:val="28"/>
          <w:szCs w:val="28"/>
        </w:rPr>
        <w:t></w:t>
      </w:r>
      <w:r w:rsidRPr="004C6D3F">
        <w:rPr>
          <w:sz w:val="28"/>
          <w:szCs w:val="28"/>
          <w:lang w:val="uk-UA"/>
        </w:rPr>
        <w:t xml:space="preserve"> = -2,044), ступінь змін (в %) КДО</w:t>
      </w:r>
      <w:r w:rsidRPr="004C6D3F">
        <w:rPr>
          <w:bCs/>
          <w:color w:val="000000"/>
          <w:sz w:val="28"/>
          <w:szCs w:val="28"/>
          <w:vertAlign w:val="subscript"/>
          <w:lang w:val="uk-UA"/>
        </w:rPr>
        <w:t>мс</w:t>
      </w:r>
      <w:r w:rsidRPr="004C6D3F">
        <w:rPr>
          <w:sz w:val="28"/>
          <w:szCs w:val="28"/>
          <w:lang w:val="uk-UA"/>
        </w:rPr>
        <w:t xml:space="preserve"> ЛШ між І та ІІІ етапами (</w:t>
      </w:r>
      <w:r w:rsidRPr="004C6D3F">
        <w:rPr>
          <w:rFonts w:ascii="Symbol" w:hAnsi="Symbol" w:cs="Symbol"/>
          <w:sz w:val="28"/>
          <w:szCs w:val="28"/>
        </w:rPr>
        <w:t></w:t>
      </w:r>
      <w:r w:rsidRPr="004C6D3F">
        <w:rPr>
          <w:sz w:val="28"/>
          <w:szCs w:val="28"/>
          <w:lang w:val="uk-UA"/>
        </w:rPr>
        <w:t xml:space="preserve"> =1,258) та ступінь змін (в %) КСО</w:t>
      </w:r>
      <w:r w:rsidRPr="004C6D3F">
        <w:rPr>
          <w:bCs/>
          <w:color w:val="000000"/>
          <w:sz w:val="28"/>
          <w:szCs w:val="28"/>
          <w:vertAlign w:val="subscript"/>
          <w:lang w:val="uk-UA"/>
        </w:rPr>
        <w:t>мс</w:t>
      </w:r>
      <w:r w:rsidRPr="004C6D3F">
        <w:rPr>
          <w:sz w:val="28"/>
          <w:szCs w:val="28"/>
          <w:lang w:val="uk-UA"/>
        </w:rPr>
        <w:t xml:space="preserve"> ЛШ між І та ІІ етапами (</w:t>
      </w:r>
      <w:r w:rsidRPr="004C6D3F">
        <w:rPr>
          <w:rFonts w:ascii="Symbol" w:hAnsi="Symbol" w:cs="Symbol"/>
          <w:sz w:val="28"/>
          <w:szCs w:val="28"/>
        </w:rPr>
        <w:t></w:t>
      </w:r>
      <w:r w:rsidRPr="004C6D3F">
        <w:rPr>
          <w:sz w:val="28"/>
          <w:szCs w:val="28"/>
          <w:lang w:val="uk-UA"/>
        </w:rPr>
        <w:t>=0,127) на фоні застосованої синдромальної терапії.</w:t>
      </w:r>
    </w:p>
    <w:p w:rsidR="003B05B6" w:rsidRDefault="003B05B6" w:rsidP="003B05B6">
      <w:pPr>
        <w:spacing w:line="252" w:lineRule="auto"/>
        <w:jc w:val="center"/>
        <w:rPr>
          <w:b/>
          <w:sz w:val="28"/>
          <w:szCs w:val="28"/>
          <w:lang w:val="uk-UA"/>
        </w:rPr>
      </w:pPr>
      <w:r w:rsidRPr="004C6D3F">
        <w:rPr>
          <w:b/>
          <w:sz w:val="28"/>
          <w:szCs w:val="28"/>
          <w:lang w:val="uk-UA"/>
        </w:rPr>
        <w:t>ПРАКТИЧНІ РЕКОМЕНДАЦІЇ</w:t>
      </w:r>
    </w:p>
    <w:p w:rsidR="003B05B6" w:rsidRDefault="003B05B6" w:rsidP="0033412B">
      <w:pPr>
        <w:numPr>
          <w:ilvl w:val="0"/>
          <w:numId w:val="13"/>
        </w:numPr>
        <w:tabs>
          <w:tab w:val="clear" w:pos="720"/>
          <w:tab w:val="num" w:pos="900"/>
        </w:tabs>
        <w:spacing w:after="0" w:line="252" w:lineRule="auto"/>
        <w:ind w:left="0" w:firstLine="540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Досягнення зворотного ремоделювання лівих відділів серця (зменшення порожнин ЛШ та ЛП, а у частини хворих - їх нормалізації) та вираженого збільшення їх систолічної функції на фоні значного та сті</w:t>
      </w:r>
      <w:r w:rsidRPr="004C6D3F">
        <w:rPr>
          <w:sz w:val="28"/>
          <w:szCs w:val="28"/>
          <w:lang w:val="uk-UA"/>
        </w:rPr>
        <w:t>й</w:t>
      </w:r>
      <w:r w:rsidRPr="004C6D3F">
        <w:rPr>
          <w:sz w:val="28"/>
          <w:szCs w:val="28"/>
          <w:lang w:val="uk-UA"/>
        </w:rPr>
        <w:t>кого покращення функціонального стану пацієнтів обґрунтовує доцільність використання високих терапевтичних доз карведилолу (100 мг/добу) та оптимальної дози еналаприлу (20 мг/добу) при довготривалому синдромальному лікуванні хворих з кардіомегалією та клінічним діагнозом «хр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 xml:space="preserve">нічний дифузний міокардит». </w:t>
      </w:r>
    </w:p>
    <w:p w:rsidR="003B05B6" w:rsidRDefault="003B05B6" w:rsidP="0033412B">
      <w:pPr>
        <w:widowControl w:val="0"/>
        <w:numPr>
          <w:ilvl w:val="0"/>
          <w:numId w:val="13"/>
        </w:numPr>
        <w:tabs>
          <w:tab w:val="clear" w:pos="720"/>
          <w:tab w:val="num" w:pos="900"/>
        </w:tabs>
        <w:spacing w:after="0" w:line="252" w:lineRule="auto"/>
        <w:ind w:left="0" w:firstLine="539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Для безпечного досягнення цільової дози карведилолу 100 мг/добу лікування</w:t>
      </w:r>
      <w:r>
        <w:rPr>
          <w:sz w:val="28"/>
          <w:szCs w:val="28"/>
          <w:lang w:val="uk-UA"/>
        </w:rPr>
        <w:t xml:space="preserve"> </w:t>
      </w:r>
      <w:r w:rsidRPr="004C6D3F">
        <w:rPr>
          <w:sz w:val="28"/>
          <w:szCs w:val="28"/>
          <w:lang w:val="uk-UA"/>
        </w:rPr>
        <w:t>слід починати з мінімальних доз (3,125 або 6,25мг), які у подальшому необхідно поступово збільшувати, за умови стабільного гемодинамічного стану, на 3,125 або 6,25 мг на тиждень під контролем кл</w:t>
      </w:r>
      <w:r w:rsidRPr="004C6D3F">
        <w:rPr>
          <w:sz w:val="28"/>
          <w:szCs w:val="28"/>
          <w:lang w:val="uk-UA"/>
        </w:rPr>
        <w:t>і</w:t>
      </w:r>
      <w:r w:rsidRPr="004C6D3F">
        <w:rPr>
          <w:sz w:val="28"/>
          <w:szCs w:val="28"/>
          <w:lang w:val="uk-UA"/>
        </w:rPr>
        <w:t>нічного стану, рівня АТ і ЧСС, ЕКГ до цільових або максимально переносних.</w:t>
      </w:r>
    </w:p>
    <w:p w:rsidR="003B05B6" w:rsidRDefault="003B05B6" w:rsidP="0033412B">
      <w:pPr>
        <w:widowControl w:val="0"/>
        <w:numPr>
          <w:ilvl w:val="0"/>
          <w:numId w:val="13"/>
        </w:numPr>
        <w:tabs>
          <w:tab w:val="clear" w:pos="720"/>
          <w:tab w:val="num" w:pos="900"/>
        </w:tabs>
        <w:spacing w:after="0" w:line="252" w:lineRule="auto"/>
        <w:ind w:left="0" w:firstLine="539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Відсутність значної позитивної динаміки з боку порожнин лівих відділів серця та їх систолі</w:t>
      </w:r>
      <w:r w:rsidRPr="004C6D3F">
        <w:rPr>
          <w:sz w:val="28"/>
          <w:szCs w:val="28"/>
          <w:lang w:val="uk-UA"/>
        </w:rPr>
        <w:t>ч</w:t>
      </w:r>
      <w:r w:rsidRPr="004C6D3F">
        <w:rPr>
          <w:sz w:val="28"/>
          <w:szCs w:val="28"/>
          <w:lang w:val="uk-UA"/>
        </w:rPr>
        <w:t>ної функції вказує на недоцільність спроб підвищення добової дози карведилолу до 100 мг у хв</w:t>
      </w:r>
      <w:r w:rsidRPr="004C6D3F">
        <w:rPr>
          <w:sz w:val="28"/>
          <w:szCs w:val="28"/>
          <w:lang w:val="uk-UA"/>
        </w:rPr>
        <w:t>о</w:t>
      </w:r>
      <w:r w:rsidRPr="004C6D3F">
        <w:rPr>
          <w:sz w:val="28"/>
          <w:szCs w:val="28"/>
          <w:lang w:val="uk-UA"/>
        </w:rPr>
        <w:t xml:space="preserve">рих з кардіомегалією та ХСН, що </w:t>
      </w:r>
      <w:r w:rsidRPr="004C6D3F">
        <w:rPr>
          <w:sz w:val="28"/>
          <w:szCs w:val="28"/>
          <w:lang w:val="uk-UA"/>
        </w:rPr>
        <w:lastRenderedPageBreak/>
        <w:t>виникли внаслідок перенесеного інфаркту міокарду з н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 xml:space="preserve">явністю патологічного зубця Q або багатосудинного ураження коронарних артерій за даними КВГ та МСКТ. </w:t>
      </w:r>
    </w:p>
    <w:p w:rsidR="003B05B6" w:rsidRPr="004C6D3F" w:rsidRDefault="003B05B6" w:rsidP="003B05B6">
      <w:pPr>
        <w:spacing w:line="252" w:lineRule="auto"/>
        <w:jc w:val="both"/>
        <w:rPr>
          <w:sz w:val="28"/>
          <w:szCs w:val="28"/>
          <w:lang w:val="uk-UA"/>
        </w:rPr>
      </w:pPr>
    </w:p>
    <w:p w:rsidR="003B05B6" w:rsidRDefault="003B05B6" w:rsidP="003B05B6">
      <w:pPr>
        <w:spacing w:line="252" w:lineRule="auto"/>
        <w:jc w:val="center"/>
        <w:rPr>
          <w:b/>
          <w:sz w:val="28"/>
          <w:szCs w:val="28"/>
          <w:lang w:val="uk-UA"/>
        </w:rPr>
      </w:pPr>
      <w:r w:rsidRPr="004C6D3F">
        <w:rPr>
          <w:b/>
          <w:sz w:val="28"/>
          <w:szCs w:val="28"/>
          <w:lang w:val="uk-UA"/>
        </w:rPr>
        <w:t>СПИСОК ПРАЦЬ</w:t>
      </w:r>
      <w:r>
        <w:rPr>
          <w:b/>
          <w:sz w:val="28"/>
          <w:szCs w:val="28"/>
          <w:lang w:val="uk-UA"/>
        </w:rPr>
        <w:t>,</w:t>
      </w:r>
      <w:r w:rsidRPr="004C6D3F">
        <w:rPr>
          <w:b/>
          <w:sz w:val="28"/>
          <w:szCs w:val="28"/>
          <w:lang w:val="uk-UA"/>
        </w:rPr>
        <w:t xml:space="preserve"> ОПУБЛІКОВАНИХ ЗА ТЕМОЮ ДИСЕРТАЦІЇ</w:t>
      </w:r>
    </w:p>
    <w:p w:rsidR="003B05B6" w:rsidRPr="004C6D3F" w:rsidRDefault="003B05B6" w:rsidP="003B05B6">
      <w:pPr>
        <w:spacing w:line="252" w:lineRule="auto"/>
        <w:jc w:val="center"/>
        <w:rPr>
          <w:b/>
          <w:sz w:val="28"/>
          <w:szCs w:val="28"/>
          <w:lang w:val="uk-UA"/>
        </w:rPr>
      </w:pPr>
    </w:p>
    <w:p w:rsidR="003B05B6" w:rsidRPr="004C6D3F" w:rsidRDefault="003B05B6" w:rsidP="0033412B">
      <w:pPr>
        <w:pStyle w:val="afffffd"/>
        <w:numPr>
          <w:ilvl w:val="0"/>
          <w:numId w:val="16"/>
        </w:numPr>
        <w:spacing w:line="252" w:lineRule="auto"/>
        <w:ind w:left="0" w:firstLine="360"/>
        <w:rPr>
          <w:i/>
          <w:szCs w:val="28"/>
          <w:lang w:val="uk-UA"/>
        </w:rPr>
      </w:pPr>
      <w:r w:rsidRPr="004C6D3F">
        <w:rPr>
          <w:szCs w:val="28"/>
          <w:lang w:val="uk-UA"/>
        </w:rPr>
        <w:t xml:space="preserve">Коваленко В.М. Вивчення виживаності та функції ризику смерті у пацієнтів з хронічною серцевою недостатністю різного ґенезу: результати 5-річного проспективного дослідження /В.М. Коваленко, О.В. Онищенко, Д.В. Рябенко //Український медичний часопис.-2008.-№4(66).-С.32-36. </w:t>
      </w:r>
      <w:r w:rsidRPr="004C6D3F">
        <w:rPr>
          <w:i/>
          <w:szCs w:val="28"/>
          <w:lang w:val="uk-UA"/>
        </w:rPr>
        <w:t>(Автором проведено клінічне обстеження та лікування хворих, створено електронну базу д</w:t>
      </w:r>
      <w:r w:rsidRPr="004C6D3F">
        <w:rPr>
          <w:i/>
          <w:szCs w:val="28"/>
          <w:lang w:val="uk-UA"/>
        </w:rPr>
        <w:t>а</w:t>
      </w:r>
      <w:r w:rsidRPr="004C6D3F">
        <w:rPr>
          <w:i/>
          <w:szCs w:val="28"/>
          <w:lang w:val="uk-UA"/>
        </w:rPr>
        <w:t>них, статистичну обробку матеріалу, підготовлено матеріал до друку).</w:t>
      </w:r>
    </w:p>
    <w:p w:rsidR="003B05B6" w:rsidRPr="004C6D3F" w:rsidRDefault="003B05B6" w:rsidP="0033412B">
      <w:pPr>
        <w:pStyle w:val="afffffd"/>
        <w:numPr>
          <w:ilvl w:val="0"/>
          <w:numId w:val="16"/>
        </w:numPr>
        <w:spacing w:line="252" w:lineRule="auto"/>
        <w:ind w:left="0" w:firstLine="360"/>
        <w:rPr>
          <w:szCs w:val="28"/>
          <w:lang w:val="uk-UA"/>
        </w:rPr>
      </w:pPr>
      <w:r w:rsidRPr="004C6D3F">
        <w:rPr>
          <w:szCs w:val="28"/>
          <w:lang w:val="uk-UA"/>
        </w:rPr>
        <w:t xml:space="preserve">Коваленко В.Н. </w:t>
      </w:r>
      <w:r w:rsidRPr="004C6D3F">
        <w:rPr>
          <w:szCs w:val="28"/>
        </w:rPr>
        <w:t>Эффекты длительного синдромального лечения ХСН у больных с ДКМП и хр</w:t>
      </w:r>
      <w:r w:rsidRPr="004C6D3F">
        <w:rPr>
          <w:szCs w:val="28"/>
        </w:rPr>
        <w:t>о</w:t>
      </w:r>
      <w:r w:rsidRPr="004C6D3F">
        <w:rPr>
          <w:szCs w:val="28"/>
        </w:rPr>
        <w:t xml:space="preserve">ническим миокардитом: сравнительное исследование /В.Н. Коваленко, Е.В.Онищенко, Е.С.Рей, Д.В. Рябенко </w:t>
      </w:r>
      <w:r w:rsidRPr="004C6D3F">
        <w:rPr>
          <w:szCs w:val="28"/>
          <w:lang w:val="uk-UA"/>
        </w:rPr>
        <w:t xml:space="preserve">//Український ревматологічний журнал.-2008.-№2 (32).-С.65-69. </w:t>
      </w:r>
      <w:r w:rsidRPr="004C6D3F">
        <w:rPr>
          <w:i/>
          <w:szCs w:val="28"/>
          <w:lang w:val="uk-UA"/>
        </w:rPr>
        <w:t>(Особисто автором проведено обстеження і лікування більшості хворих, статистичну обробку матеріалу, формулювання висновків роботи та підготовку матеріалу до друку).</w:t>
      </w:r>
    </w:p>
    <w:p w:rsidR="003B05B6" w:rsidRPr="004C6D3F" w:rsidRDefault="003B05B6" w:rsidP="0033412B">
      <w:pPr>
        <w:pStyle w:val="afffffd"/>
        <w:numPr>
          <w:ilvl w:val="0"/>
          <w:numId w:val="16"/>
        </w:numPr>
        <w:spacing w:line="252" w:lineRule="auto"/>
        <w:ind w:left="0" w:firstLine="360"/>
        <w:rPr>
          <w:szCs w:val="28"/>
          <w:lang w:val="uk-UA"/>
        </w:rPr>
      </w:pPr>
      <w:r w:rsidRPr="004C6D3F">
        <w:rPr>
          <w:szCs w:val="28"/>
          <w:lang w:val="uk-UA"/>
        </w:rPr>
        <w:t>Коваленко В.М. Зворотне ремоделювання лівого шлуночка у хворих з хронічним дифу</w:t>
      </w:r>
      <w:r w:rsidRPr="004C6D3F">
        <w:rPr>
          <w:szCs w:val="28"/>
          <w:lang w:val="uk-UA"/>
        </w:rPr>
        <w:t>з</w:t>
      </w:r>
      <w:r w:rsidRPr="004C6D3F">
        <w:rPr>
          <w:szCs w:val="28"/>
          <w:lang w:val="uk-UA"/>
        </w:rPr>
        <w:t>ним міокардитом під впливом довготривалого синдромального лікування хронічної серцевої недоста</w:t>
      </w:r>
      <w:r w:rsidRPr="004C6D3F">
        <w:rPr>
          <w:szCs w:val="28"/>
          <w:lang w:val="uk-UA"/>
        </w:rPr>
        <w:t>т</w:t>
      </w:r>
      <w:r w:rsidRPr="004C6D3F">
        <w:rPr>
          <w:szCs w:val="28"/>
          <w:lang w:val="uk-UA"/>
        </w:rPr>
        <w:t>ності /В.М.Коваленко, О.В.Онищенко, Є.С.Рей, Д.В.Рябенко //Український ревматологічний ж</w:t>
      </w:r>
      <w:r w:rsidRPr="004C6D3F">
        <w:rPr>
          <w:szCs w:val="28"/>
          <w:lang w:val="uk-UA"/>
        </w:rPr>
        <w:t>у</w:t>
      </w:r>
      <w:r w:rsidRPr="004C6D3F">
        <w:rPr>
          <w:szCs w:val="28"/>
          <w:lang w:val="uk-UA"/>
        </w:rPr>
        <w:t xml:space="preserve">рнал.-2008.-№3 (33).-С.52-57. </w:t>
      </w:r>
      <w:r w:rsidRPr="004C6D3F">
        <w:rPr>
          <w:i/>
          <w:szCs w:val="28"/>
          <w:lang w:val="uk-UA"/>
        </w:rPr>
        <w:t>(Автор брав участь у обстеженні та лікуванні хворих, підготовив матеріал до друку).</w:t>
      </w:r>
    </w:p>
    <w:p w:rsidR="003B05B6" w:rsidRPr="004C6D3F" w:rsidRDefault="003B05B6" w:rsidP="0033412B">
      <w:pPr>
        <w:pStyle w:val="afffffd"/>
        <w:numPr>
          <w:ilvl w:val="0"/>
          <w:numId w:val="16"/>
        </w:numPr>
        <w:spacing w:line="252" w:lineRule="auto"/>
        <w:ind w:left="0" w:firstLine="360"/>
        <w:rPr>
          <w:szCs w:val="28"/>
          <w:lang w:val="uk-UA"/>
        </w:rPr>
      </w:pPr>
      <w:r w:rsidRPr="004C6D3F">
        <w:rPr>
          <w:szCs w:val="28"/>
          <w:lang w:val="uk-UA"/>
        </w:rPr>
        <w:t>Коваленко В.М. Динаміка клініко-гемодинамічних пар</w:t>
      </w:r>
      <w:r w:rsidRPr="004C6D3F">
        <w:rPr>
          <w:szCs w:val="28"/>
          <w:lang w:val="uk-UA"/>
        </w:rPr>
        <w:t>а</w:t>
      </w:r>
      <w:r w:rsidRPr="004C6D3F">
        <w:rPr>
          <w:szCs w:val="28"/>
          <w:lang w:val="uk-UA"/>
        </w:rPr>
        <w:t>метрів у хворих з кардіомегалією і ХСН некоронарогенного ґенезу внаслідок тривалого лікування еналаприлом і карвед</w:t>
      </w:r>
      <w:r w:rsidRPr="004C6D3F">
        <w:rPr>
          <w:szCs w:val="28"/>
          <w:lang w:val="uk-UA"/>
        </w:rPr>
        <w:t>и</w:t>
      </w:r>
      <w:r w:rsidRPr="004C6D3F">
        <w:rPr>
          <w:szCs w:val="28"/>
          <w:lang w:val="uk-UA"/>
        </w:rPr>
        <w:t>лолом /В.М. Коваленко, О.В. Он</w:t>
      </w:r>
      <w:r w:rsidRPr="004C6D3F">
        <w:rPr>
          <w:szCs w:val="28"/>
          <w:lang w:val="uk-UA"/>
        </w:rPr>
        <w:t>и</w:t>
      </w:r>
      <w:r w:rsidRPr="004C6D3F">
        <w:rPr>
          <w:szCs w:val="28"/>
          <w:lang w:val="uk-UA"/>
        </w:rPr>
        <w:t xml:space="preserve">щенко, Н.О. Солобюкова, Є.С.Рей, Д.В. Рябенко //Збірник наукових праць співробітників НМАПО імені П.Л.Шупика.–2008.-Книга 2.-С.511-518. </w:t>
      </w:r>
      <w:r w:rsidRPr="004C6D3F">
        <w:rPr>
          <w:i/>
          <w:szCs w:val="28"/>
          <w:lang w:val="uk-UA"/>
        </w:rPr>
        <w:t>(Автор брав участь у лікуванні хворих, провів розподіл на групи, статистичну обробку матеріалу, підготовив мат</w:t>
      </w:r>
      <w:r w:rsidRPr="004C6D3F">
        <w:rPr>
          <w:i/>
          <w:szCs w:val="28"/>
          <w:lang w:val="uk-UA"/>
        </w:rPr>
        <w:t>е</w:t>
      </w:r>
      <w:r w:rsidRPr="004C6D3F">
        <w:rPr>
          <w:i/>
          <w:szCs w:val="28"/>
          <w:lang w:val="uk-UA"/>
        </w:rPr>
        <w:t>ріал до друку).</w:t>
      </w:r>
    </w:p>
    <w:p w:rsidR="003B05B6" w:rsidRPr="004C6D3F" w:rsidRDefault="003B05B6" w:rsidP="0033412B">
      <w:pPr>
        <w:pStyle w:val="afffffd"/>
        <w:numPr>
          <w:ilvl w:val="0"/>
          <w:numId w:val="16"/>
        </w:numPr>
        <w:spacing w:line="252" w:lineRule="auto"/>
        <w:ind w:left="0" w:firstLine="360"/>
        <w:rPr>
          <w:szCs w:val="28"/>
          <w:lang w:val="uk-UA"/>
        </w:rPr>
      </w:pPr>
      <w:r w:rsidRPr="004C6D3F">
        <w:rPr>
          <w:szCs w:val="28"/>
          <w:lang w:val="uk-UA"/>
        </w:rPr>
        <w:t>Рябенко Д.В. Клінічна ефективність та безпечність тривалого лікування високими дозами карведилолу, еналаприлом і триметазидином у хворих із систолічною хронічною серцевою нед</w:t>
      </w:r>
      <w:r w:rsidRPr="004C6D3F">
        <w:rPr>
          <w:szCs w:val="28"/>
          <w:lang w:val="uk-UA"/>
        </w:rPr>
        <w:t>о</w:t>
      </w:r>
      <w:r w:rsidRPr="004C6D3F">
        <w:rPr>
          <w:szCs w:val="28"/>
          <w:lang w:val="uk-UA"/>
        </w:rPr>
        <w:t>статністю /Д.В.Рябенко, О.В.Онищенко, Є.С.Рей, Н.О.Солобюкова //Український карді</w:t>
      </w:r>
      <w:r w:rsidRPr="004C6D3F">
        <w:rPr>
          <w:szCs w:val="28"/>
          <w:lang w:val="uk-UA"/>
        </w:rPr>
        <w:t>о</w:t>
      </w:r>
      <w:r w:rsidRPr="004C6D3F">
        <w:rPr>
          <w:szCs w:val="28"/>
          <w:lang w:val="uk-UA"/>
        </w:rPr>
        <w:t>логічний журнал.-2008.-№5-С.78-82.</w:t>
      </w:r>
      <w:r w:rsidRPr="004C6D3F">
        <w:rPr>
          <w:i/>
          <w:szCs w:val="28"/>
          <w:lang w:val="uk-UA"/>
        </w:rPr>
        <w:t xml:space="preserve"> (Автором самостійно проведено клінічне обстеження груп та лік</w:t>
      </w:r>
      <w:r w:rsidRPr="004C6D3F">
        <w:rPr>
          <w:i/>
          <w:szCs w:val="28"/>
          <w:lang w:val="uk-UA"/>
        </w:rPr>
        <w:t>у</w:t>
      </w:r>
      <w:r w:rsidRPr="004C6D3F">
        <w:rPr>
          <w:i/>
          <w:szCs w:val="28"/>
          <w:lang w:val="uk-UA"/>
        </w:rPr>
        <w:t>вання хворих, створено електронну базу даних, статистичну обробку матеріалу, підготовлено статтю до друку).</w:t>
      </w:r>
    </w:p>
    <w:p w:rsidR="003B05B6" w:rsidRPr="004C6D3F" w:rsidRDefault="003B05B6" w:rsidP="0033412B">
      <w:pPr>
        <w:pStyle w:val="afffffd"/>
        <w:numPr>
          <w:ilvl w:val="0"/>
          <w:numId w:val="16"/>
        </w:numPr>
        <w:spacing w:line="252" w:lineRule="auto"/>
        <w:ind w:left="0" w:firstLine="360"/>
        <w:rPr>
          <w:szCs w:val="28"/>
          <w:lang w:val="uk-UA"/>
        </w:rPr>
      </w:pPr>
      <w:r w:rsidRPr="004C6D3F">
        <w:rPr>
          <w:szCs w:val="28"/>
          <w:lang w:val="uk-UA"/>
        </w:rPr>
        <w:lastRenderedPageBreak/>
        <w:t>Коваленко В.М. Безпека та особливості ефектів довготривалого лікування високими д</w:t>
      </w:r>
      <w:r w:rsidRPr="004C6D3F">
        <w:rPr>
          <w:szCs w:val="28"/>
          <w:lang w:val="uk-UA"/>
        </w:rPr>
        <w:t>о</w:t>
      </w:r>
      <w:r w:rsidRPr="004C6D3F">
        <w:rPr>
          <w:szCs w:val="28"/>
          <w:lang w:val="uk-UA"/>
        </w:rPr>
        <w:t>зами карведилолу та еналаприлом у пацієнтів з ХСН різного ґенезу /В.М. Коваленко, Д.В. Ряб</w:t>
      </w:r>
      <w:r w:rsidRPr="004C6D3F">
        <w:rPr>
          <w:szCs w:val="28"/>
          <w:lang w:val="uk-UA"/>
        </w:rPr>
        <w:t>е</w:t>
      </w:r>
      <w:r w:rsidRPr="004C6D3F">
        <w:rPr>
          <w:szCs w:val="28"/>
          <w:lang w:val="uk-UA"/>
        </w:rPr>
        <w:t>нко, О.В. Он</w:t>
      </w:r>
      <w:r w:rsidRPr="004C6D3F">
        <w:rPr>
          <w:szCs w:val="28"/>
          <w:lang w:val="uk-UA"/>
        </w:rPr>
        <w:t>и</w:t>
      </w:r>
      <w:r w:rsidRPr="004C6D3F">
        <w:rPr>
          <w:szCs w:val="28"/>
          <w:lang w:val="uk-UA"/>
        </w:rPr>
        <w:t xml:space="preserve">щенко, Є.С.Рей, Н.О. Солобюкова //Український медичний часопис.-2008.-№5(67).-С.108-113. </w:t>
      </w:r>
      <w:r w:rsidRPr="004C6D3F">
        <w:rPr>
          <w:i/>
          <w:szCs w:val="28"/>
          <w:lang w:val="uk-UA"/>
        </w:rPr>
        <w:t>(Дисертантом проведено обстеження і лікування хворих, статистичну обробку матеріалу, сформульовано висновки роботи, підг</w:t>
      </w:r>
      <w:r w:rsidRPr="004C6D3F">
        <w:rPr>
          <w:i/>
          <w:szCs w:val="28"/>
          <w:lang w:val="uk-UA"/>
        </w:rPr>
        <w:t>о</w:t>
      </w:r>
      <w:r w:rsidRPr="004C6D3F">
        <w:rPr>
          <w:i/>
          <w:szCs w:val="28"/>
          <w:lang w:val="uk-UA"/>
        </w:rPr>
        <w:t>товлено матеріал до друку).</w:t>
      </w:r>
    </w:p>
    <w:p w:rsidR="003B05B6" w:rsidRPr="004C6D3F" w:rsidRDefault="003B05B6" w:rsidP="0033412B">
      <w:pPr>
        <w:pStyle w:val="afffffd"/>
        <w:numPr>
          <w:ilvl w:val="0"/>
          <w:numId w:val="16"/>
        </w:numPr>
        <w:spacing w:line="252" w:lineRule="auto"/>
        <w:ind w:left="0" w:firstLine="360"/>
        <w:rPr>
          <w:szCs w:val="28"/>
          <w:lang w:val="uk-UA"/>
        </w:rPr>
      </w:pPr>
      <w:r w:rsidRPr="004C6D3F">
        <w:rPr>
          <w:szCs w:val="28"/>
        </w:rPr>
        <w:t>Рябенко Д.В.</w:t>
      </w:r>
      <w:r w:rsidRPr="004C6D3F">
        <w:rPr>
          <w:szCs w:val="28"/>
          <w:lang w:val="uk-UA"/>
        </w:rPr>
        <w:t xml:space="preserve"> </w:t>
      </w:r>
      <w:r w:rsidRPr="004C6D3F">
        <w:rPr>
          <w:szCs w:val="28"/>
        </w:rPr>
        <w:t xml:space="preserve">Результаты длительной терапии эналаприлом и карведилолом у больных с кардиомегалией некоронарогенного генеза </w:t>
      </w:r>
      <w:r w:rsidRPr="004C6D3F">
        <w:rPr>
          <w:szCs w:val="28"/>
          <w:lang w:val="uk-UA"/>
        </w:rPr>
        <w:t>/</w:t>
      </w:r>
      <w:r w:rsidRPr="004C6D3F">
        <w:rPr>
          <w:szCs w:val="28"/>
        </w:rPr>
        <w:t>Д.В.</w:t>
      </w:r>
      <w:r w:rsidRPr="004C6D3F">
        <w:rPr>
          <w:szCs w:val="28"/>
          <w:lang w:val="uk-UA"/>
        </w:rPr>
        <w:t xml:space="preserve"> </w:t>
      </w:r>
      <w:r w:rsidRPr="004C6D3F">
        <w:rPr>
          <w:szCs w:val="28"/>
        </w:rPr>
        <w:t>Рябенко, Е.В.Онищенко, Е.С.Рей</w:t>
      </w:r>
      <w:r w:rsidRPr="004C6D3F">
        <w:rPr>
          <w:szCs w:val="28"/>
          <w:lang w:val="uk-UA"/>
        </w:rPr>
        <w:t>, Н.А. Солоб</w:t>
      </w:r>
      <w:r w:rsidRPr="004C6D3F">
        <w:rPr>
          <w:szCs w:val="28"/>
          <w:lang w:val="uk-UA"/>
        </w:rPr>
        <w:t>ю</w:t>
      </w:r>
      <w:r w:rsidRPr="004C6D3F">
        <w:rPr>
          <w:szCs w:val="28"/>
          <w:lang w:val="uk-UA"/>
        </w:rPr>
        <w:t>кова, В.Н. Коваленко //</w:t>
      </w:r>
      <w:r w:rsidRPr="004C6D3F">
        <w:rPr>
          <w:szCs w:val="28"/>
        </w:rPr>
        <w:t>Российский национальный конгресс кардиологов «Повышение кач</w:t>
      </w:r>
      <w:r w:rsidRPr="004C6D3F">
        <w:rPr>
          <w:szCs w:val="28"/>
        </w:rPr>
        <w:t>е</w:t>
      </w:r>
      <w:r w:rsidRPr="004C6D3F">
        <w:rPr>
          <w:szCs w:val="28"/>
        </w:rPr>
        <w:t>ства и доступности кардиологической п</w:t>
      </w:r>
      <w:r w:rsidRPr="004C6D3F">
        <w:rPr>
          <w:szCs w:val="28"/>
        </w:rPr>
        <w:t>о</w:t>
      </w:r>
      <w:r w:rsidRPr="004C6D3F">
        <w:rPr>
          <w:szCs w:val="28"/>
        </w:rPr>
        <w:t xml:space="preserve">мощи», 6-8 октября, </w:t>
      </w:r>
      <w:smartTag w:uri="urn:schemas-microsoft-com:office:smarttags" w:element="metricconverter">
        <w:smartTagPr>
          <w:attr w:name="ProductID" w:val="2008 г"/>
        </w:smartTagPr>
        <w:r w:rsidRPr="004C6D3F">
          <w:rPr>
            <w:szCs w:val="28"/>
          </w:rPr>
          <w:t>2008 г</w:t>
        </w:r>
      </w:smartTag>
      <w:r w:rsidRPr="004C6D3F">
        <w:rPr>
          <w:szCs w:val="28"/>
          <w:lang w:val="uk-UA"/>
        </w:rPr>
        <w:t xml:space="preserve">.: </w:t>
      </w:r>
      <w:r w:rsidRPr="004C6D3F">
        <w:rPr>
          <w:szCs w:val="28"/>
        </w:rPr>
        <w:t xml:space="preserve">Кардиоваскулярная терапия и профилактика, </w:t>
      </w:r>
      <w:r w:rsidRPr="004C6D3F">
        <w:rPr>
          <w:szCs w:val="28"/>
          <w:lang w:val="uk-UA"/>
        </w:rPr>
        <w:t xml:space="preserve">материалы конгресса. - </w:t>
      </w:r>
      <w:r w:rsidRPr="004C6D3F">
        <w:rPr>
          <w:szCs w:val="28"/>
        </w:rPr>
        <w:t xml:space="preserve">М., 2008. - №7 (приложение 1). - С.320. </w:t>
      </w:r>
      <w:r w:rsidRPr="004C6D3F">
        <w:rPr>
          <w:i/>
          <w:szCs w:val="28"/>
          <w:lang w:val="uk-UA"/>
        </w:rPr>
        <w:t>(Автором самостійно проведено клінічне обстеження хворих, їх лікува</w:t>
      </w:r>
      <w:r w:rsidRPr="004C6D3F">
        <w:rPr>
          <w:i/>
          <w:szCs w:val="28"/>
          <w:lang w:val="uk-UA"/>
        </w:rPr>
        <w:t>н</w:t>
      </w:r>
      <w:r w:rsidRPr="004C6D3F">
        <w:rPr>
          <w:i/>
          <w:szCs w:val="28"/>
          <w:lang w:val="uk-UA"/>
        </w:rPr>
        <w:t>ня, розподіл на групи, статистичну обробку матеріалу, підготовлено тези до друку).</w:t>
      </w:r>
    </w:p>
    <w:p w:rsidR="003B05B6" w:rsidRPr="004C6D3F" w:rsidRDefault="003B05B6" w:rsidP="0033412B">
      <w:pPr>
        <w:pStyle w:val="afffffd"/>
        <w:numPr>
          <w:ilvl w:val="0"/>
          <w:numId w:val="16"/>
        </w:numPr>
        <w:spacing w:line="252" w:lineRule="auto"/>
        <w:ind w:left="0" w:firstLine="360"/>
        <w:rPr>
          <w:szCs w:val="28"/>
          <w:lang w:val="uk-UA"/>
        </w:rPr>
      </w:pPr>
      <w:r w:rsidRPr="004C6D3F">
        <w:rPr>
          <w:szCs w:val="28"/>
          <w:lang w:val="uk-UA"/>
        </w:rPr>
        <w:t xml:space="preserve">Коваленко В.Н. </w:t>
      </w:r>
      <w:r w:rsidRPr="004C6D3F">
        <w:rPr>
          <w:szCs w:val="28"/>
        </w:rPr>
        <w:t>Сравнительный анализ переносимости и эффектов длительной терапии карведилолом и эналаприлом у больных с ХСН ра</w:t>
      </w:r>
      <w:r w:rsidRPr="004C6D3F">
        <w:rPr>
          <w:szCs w:val="28"/>
        </w:rPr>
        <w:t>з</w:t>
      </w:r>
      <w:r w:rsidRPr="004C6D3F">
        <w:rPr>
          <w:szCs w:val="28"/>
        </w:rPr>
        <w:t>личного генеза /</w:t>
      </w:r>
      <w:r w:rsidRPr="004C6D3F">
        <w:rPr>
          <w:szCs w:val="28"/>
          <w:lang w:val="uk-UA"/>
        </w:rPr>
        <w:t xml:space="preserve">В.Н.Коваленко, Д.В.Рябенко, Е.В.Онищенко, </w:t>
      </w:r>
      <w:r w:rsidRPr="004C6D3F">
        <w:rPr>
          <w:szCs w:val="28"/>
        </w:rPr>
        <w:t>Е.С.Рей</w:t>
      </w:r>
      <w:r w:rsidRPr="004C6D3F">
        <w:rPr>
          <w:szCs w:val="28"/>
          <w:lang w:val="uk-UA"/>
        </w:rPr>
        <w:t>, Н.А. Солобюкова //Вторая Всероссийская научно</w:t>
      </w:r>
      <w:r w:rsidRPr="004C6D3F">
        <w:rPr>
          <w:szCs w:val="28"/>
        </w:rPr>
        <w:t>-практическая</w:t>
      </w:r>
      <w:r w:rsidRPr="004C6D3F">
        <w:rPr>
          <w:szCs w:val="28"/>
          <w:lang w:val="uk-UA"/>
        </w:rPr>
        <w:t xml:space="preserve"> </w:t>
      </w:r>
      <w:r w:rsidRPr="004C6D3F">
        <w:rPr>
          <w:szCs w:val="28"/>
        </w:rPr>
        <w:t>конф</w:t>
      </w:r>
      <w:r w:rsidRPr="004C6D3F">
        <w:rPr>
          <w:szCs w:val="28"/>
        </w:rPr>
        <w:t>е</w:t>
      </w:r>
      <w:r w:rsidRPr="004C6D3F">
        <w:rPr>
          <w:szCs w:val="28"/>
        </w:rPr>
        <w:t>ренция с</w:t>
      </w:r>
      <w:r w:rsidRPr="004C6D3F">
        <w:rPr>
          <w:szCs w:val="28"/>
          <w:lang w:val="uk-UA"/>
        </w:rPr>
        <w:t xml:space="preserve"> </w:t>
      </w:r>
      <w:r w:rsidRPr="004C6D3F">
        <w:rPr>
          <w:szCs w:val="28"/>
        </w:rPr>
        <w:t xml:space="preserve">международным </w:t>
      </w:r>
      <w:r w:rsidRPr="004C6D3F">
        <w:rPr>
          <w:szCs w:val="28"/>
          <w:lang w:val="uk-UA"/>
        </w:rPr>
        <w:t>у</w:t>
      </w:r>
      <w:r w:rsidRPr="004C6D3F">
        <w:rPr>
          <w:szCs w:val="28"/>
        </w:rPr>
        <w:t>частием «Некоронарогенные заболевания сердца: диагностика, леч</w:t>
      </w:r>
      <w:r w:rsidRPr="004C6D3F">
        <w:rPr>
          <w:szCs w:val="28"/>
        </w:rPr>
        <w:t>е</w:t>
      </w:r>
      <w:r w:rsidRPr="004C6D3F">
        <w:rPr>
          <w:szCs w:val="28"/>
        </w:rPr>
        <w:t xml:space="preserve">ние, профилактика», 18-19 сентября, </w:t>
      </w:r>
      <w:smartTag w:uri="urn:schemas-microsoft-com:office:smarttags" w:element="metricconverter">
        <w:smartTagPr>
          <w:attr w:name="ProductID" w:val="2008 г"/>
        </w:smartTagPr>
        <w:r w:rsidRPr="004C6D3F">
          <w:rPr>
            <w:szCs w:val="28"/>
          </w:rPr>
          <w:t>2008 г</w:t>
        </w:r>
      </w:smartTag>
      <w:r w:rsidRPr="004C6D3F">
        <w:rPr>
          <w:szCs w:val="28"/>
        </w:rPr>
        <w:t xml:space="preserve">.: Артериальная гипертензия, материалы конференции. - СПб., 2008. - №2. - С.50-51. </w:t>
      </w:r>
      <w:r w:rsidRPr="004C6D3F">
        <w:rPr>
          <w:i/>
          <w:szCs w:val="28"/>
          <w:lang w:val="uk-UA"/>
        </w:rPr>
        <w:t>(Автор самостійно проводив обстеження та л</w:t>
      </w:r>
      <w:r w:rsidRPr="004C6D3F">
        <w:rPr>
          <w:i/>
          <w:szCs w:val="28"/>
          <w:lang w:val="uk-UA"/>
        </w:rPr>
        <w:t>і</w:t>
      </w:r>
      <w:r w:rsidRPr="004C6D3F">
        <w:rPr>
          <w:i/>
          <w:szCs w:val="28"/>
          <w:lang w:val="uk-UA"/>
        </w:rPr>
        <w:t>кування хворих, створення електронної бази даних, статистичну обробку м</w:t>
      </w:r>
      <w:r w:rsidRPr="004C6D3F">
        <w:rPr>
          <w:i/>
          <w:szCs w:val="28"/>
          <w:lang w:val="uk-UA"/>
        </w:rPr>
        <w:t>а</w:t>
      </w:r>
      <w:r w:rsidRPr="004C6D3F">
        <w:rPr>
          <w:i/>
          <w:szCs w:val="28"/>
          <w:lang w:val="uk-UA"/>
        </w:rPr>
        <w:t>теріалу, написання тез).</w:t>
      </w:r>
    </w:p>
    <w:p w:rsidR="003B05B6" w:rsidRPr="004C6D3F" w:rsidRDefault="003B05B6" w:rsidP="0033412B">
      <w:pPr>
        <w:pStyle w:val="afffffd"/>
        <w:numPr>
          <w:ilvl w:val="0"/>
          <w:numId w:val="16"/>
        </w:numPr>
        <w:spacing w:line="252" w:lineRule="auto"/>
        <w:ind w:left="0" w:firstLine="360"/>
        <w:rPr>
          <w:szCs w:val="28"/>
          <w:lang w:val="uk-UA"/>
        </w:rPr>
      </w:pPr>
      <w:r w:rsidRPr="004C6D3F">
        <w:rPr>
          <w:szCs w:val="28"/>
          <w:lang w:val="uk-UA"/>
        </w:rPr>
        <w:t>Коваленко В.М. Порівняльне вивчення виживання хворих з ХСН різного ґенезу за резул</w:t>
      </w:r>
      <w:r w:rsidRPr="004C6D3F">
        <w:rPr>
          <w:szCs w:val="28"/>
          <w:lang w:val="uk-UA"/>
        </w:rPr>
        <w:t>ь</w:t>
      </w:r>
      <w:r w:rsidRPr="004C6D3F">
        <w:rPr>
          <w:szCs w:val="28"/>
          <w:lang w:val="uk-UA"/>
        </w:rPr>
        <w:t>татами 5-річного проспективного спостереження /В.М.Коваленко, О.В.Онищенко, Д.В. Р</w:t>
      </w:r>
      <w:r w:rsidRPr="004C6D3F">
        <w:rPr>
          <w:szCs w:val="28"/>
          <w:lang w:val="uk-UA"/>
        </w:rPr>
        <w:t>я</w:t>
      </w:r>
      <w:r w:rsidRPr="004C6D3F">
        <w:rPr>
          <w:szCs w:val="28"/>
          <w:lang w:val="uk-UA"/>
        </w:rPr>
        <w:t>бенко //ІХ Національний конгрес кардіологів України, 24-26 вересня, 2008 р.: Український карді</w:t>
      </w:r>
      <w:r w:rsidRPr="004C6D3F">
        <w:rPr>
          <w:szCs w:val="28"/>
          <w:lang w:val="uk-UA"/>
        </w:rPr>
        <w:t>о</w:t>
      </w:r>
      <w:r w:rsidRPr="004C6D3F">
        <w:rPr>
          <w:szCs w:val="28"/>
          <w:lang w:val="uk-UA"/>
        </w:rPr>
        <w:t>логічний журнал, матеріали конгр</w:t>
      </w:r>
      <w:r w:rsidRPr="004C6D3F">
        <w:rPr>
          <w:szCs w:val="28"/>
          <w:lang w:val="uk-UA"/>
        </w:rPr>
        <w:t>е</w:t>
      </w:r>
      <w:r w:rsidRPr="004C6D3F">
        <w:rPr>
          <w:szCs w:val="28"/>
          <w:lang w:val="uk-UA"/>
        </w:rPr>
        <w:t xml:space="preserve">су. - К., 2008. - Додаток 2. - С. 170-171. </w:t>
      </w:r>
      <w:r w:rsidRPr="004C6D3F">
        <w:rPr>
          <w:i/>
          <w:szCs w:val="28"/>
          <w:lang w:val="uk-UA"/>
        </w:rPr>
        <w:t>(Автором самостійно проведено обстеження, лікува</w:t>
      </w:r>
      <w:r w:rsidRPr="004C6D3F">
        <w:rPr>
          <w:i/>
          <w:szCs w:val="28"/>
          <w:lang w:val="uk-UA"/>
        </w:rPr>
        <w:t>н</w:t>
      </w:r>
      <w:r w:rsidRPr="004C6D3F">
        <w:rPr>
          <w:i/>
          <w:szCs w:val="28"/>
          <w:lang w:val="uk-UA"/>
        </w:rPr>
        <w:t>ня та проспективне спостереження хворих, статистичну обробку даних, підготовлено тези до друку).</w:t>
      </w:r>
    </w:p>
    <w:p w:rsidR="003B05B6" w:rsidRPr="004C6D3F" w:rsidRDefault="003B05B6" w:rsidP="0033412B">
      <w:pPr>
        <w:pStyle w:val="afffffd"/>
        <w:numPr>
          <w:ilvl w:val="0"/>
          <w:numId w:val="16"/>
        </w:numPr>
        <w:spacing w:line="252" w:lineRule="auto"/>
        <w:ind w:left="0" w:firstLine="360"/>
        <w:rPr>
          <w:i/>
          <w:szCs w:val="28"/>
          <w:lang w:val="uk-UA"/>
        </w:rPr>
      </w:pPr>
      <w:r w:rsidRPr="004C6D3F">
        <w:rPr>
          <w:szCs w:val="28"/>
          <w:lang w:val="uk-UA"/>
        </w:rPr>
        <w:t>Коваленко В.М. Вивчення виживання та функції ризику хворих з ХСН: результати 5-річного проспективного спостереження /В.М.Коваленко, О.В.Онищенко, Д.В. Рябенко //ІХ Наці</w:t>
      </w:r>
      <w:r w:rsidRPr="004C6D3F">
        <w:rPr>
          <w:szCs w:val="28"/>
          <w:lang w:val="uk-UA"/>
        </w:rPr>
        <w:t>о</w:t>
      </w:r>
      <w:r w:rsidRPr="004C6D3F">
        <w:rPr>
          <w:szCs w:val="28"/>
          <w:lang w:val="uk-UA"/>
        </w:rPr>
        <w:t>нальний конгрес кардіологів України, 24-26 вере</w:t>
      </w:r>
      <w:r w:rsidRPr="004C6D3F">
        <w:rPr>
          <w:szCs w:val="28"/>
          <w:lang w:val="uk-UA"/>
        </w:rPr>
        <w:t>с</w:t>
      </w:r>
      <w:r w:rsidRPr="004C6D3F">
        <w:rPr>
          <w:szCs w:val="28"/>
          <w:lang w:val="uk-UA"/>
        </w:rPr>
        <w:t>ня, 2008 р.: Український карді</w:t>
      </w:r>
      <w:r w:rsidRPr="004C6D3F">
        <w:rPr>
          <w:szCs w:val="28"/>
          <w:lang w:val="uk-UA"/>
        </w:rPr>
        <w:t>о</w:t>
      </w:r>
      <w:r w:rsidRPr="004C6D3F">
        <w:rPr>
          <w:szCs w:val="28"/>
          <w:lang w:val="uk-UA"/>
        </w:rPr>
        <w:t>логічний журнал, матеріали конгр</w:t>
      </w:r>
      <w:r w:rsidRPr="004C6D3F">
        <w:rPr>
          <w:szCs w:val="28"/>
          <w:lang w:val="uk-UA"/>
        </w:rPr>
        <w:t>е</w:t>
      </w:r>
      <w:r w:rsidRPr="004C6D3F">
        <w:rPr>
          <w:szCs w:val="28"/>
          <w:lang w:val="uk-UA"/>
        </w:rPr>
        <w:t xml:space="preserve">су. - К., 2008. - Додаток 2. - С. 171. </w:t>
      </w:r>
      <w:r w:rsidRPr="004C6D3F">
        <w:rPr>
          <w:i/>
          <w:szCs w:val="28"/>
          <w:lang w:val="uk-UA"/>
        </w:rPr>
        <w:t>(Автор особисто провів обстеження, лікування та проспективне спостереження за 105 хворими, статистичну обробку матеріалу, підготовив тези до друку).</w:t>
      </w:r>
    </w:p>
    <w:p w:rsidR="003B05B6" w:rsidRPr="004C6D3F" w:rsidRDefault="003B05B6" w:rsidP="0033412B">
      <w:pPr>
        <w:pStyle w:val="afffffd"/>
        <w:numPr>
          <w:ilvl w:val="0"/>
          <w:numId w:val="16"/>
        </w:numPr>
        <w:spacing w:line="252" w:lineRule="auto"/>
        <w:ind w:left="0" w:firstLine="360"/>
        <w:rPr>
          <w:szCs w:val="28"/>
          <w:lang w:val="uk-UA"/>
        </w:rPr>
      </w:pPr>
      <w:r w:rsidRPr="004C6D3F">
        <w:rPr>
          <w:szCs w:val="28"/>
          <w:lang w:val="uk-UA"/>
        </w:rPr>
        <w:t xml:space="preserve">Коваленко В.Н. </w:t>
      </w:r>
      <w:r w:rsidRPr="004C6D3F">
        <w:rPr>
          <w:szCs w:val="28"/>
        </w:rPr>
        <w:t>Клинико-гемодинамические эффекты длительной терапии эналаприлом и карведилолом у больных с кардиомегалией и ХСН некоронарогенного генеза /В.Н.Коваленко, Е.В. Онищенко, Н.А. Солобюкова</w:t>
      </w:r>
      <w:r w:rsidRPr="004C6D3F">
        <w:rPr>
          <w:szCs w:val="28"/>
          <w:lang w:val="uk-UA"/>
        </w:rPr>
        <w:t xml:space="preserve">, </w:t>
      </w:r>
      <w:r w:rsidRPr="004C6D3F">
        <w:rPr>
          <w:szCs w:val="28"/>
          <w:lang w:val="uk-UA"/>
        </w:rPr>
        <w:lastRenderedPageBreak/>
        <w:t>Е.С. Рей, Д.В.Рябенко //ІХ Національний конгрес кардіологів Укра</w:t>
      </w:r>
      <w:r w:rsidRPr="004C6D3F">
        <w:rPr>
          <w:szCs w:val="28"/>
          <w:lang w:val="uk-UA"/>
        </w:rPr>
        <w:t>ї</w:t>
      </w:r>
      <w:r w:rsidRPr="004C6D3F">
        <w:rPr>
          <w:szCs w:val="28"/>
          <w:lang w:val="uk-UA"/>
        </w:rPr>
        <w:t>ни, 24-26 вересня, 2008 р.: Український карді</w:t>
      </w:r>
      <w:r w:rsidRPr="004C6D3F">
        <w:rPr>
          <w:szCs w:val="28"/>
          <w:lang w:val="uk-UA"/>
        </w:rPr>
        <w:t>о</w:t>
      </w:r>
      <w:r w:rsidRPr="004C6D3F">
        <w:rPr>
          <w:szCs w:val="28"/>
          <w:lang w:val="uk-UA"/>
        </w:rPr>
        <w:t>логічний журнал, матеріали конгр</w:t>
      </w:r>
      <w:r w:rsidRPr="004C6D3F">
        <w:rPr>
          <w:szCs w:val="28"/>
          <w:lang w:val="uk-UA"/>
        </w:rPr>
        <w:t>е</w:t>
      </w:r>
      <w:r w:rsidRPr="004C6D3F">
        <w:rPr>
          <w:szCs w:val="28"/>
          <w:lang w:val="uk-UA"/>
        </w:rPr>
        <w:t xml:space="preserve">су. - К., 2008. - Додаток 2.- С. 171-172. </w:t>
      </w:r>
      <w:r w:rsidRPr="004C6D3F">
        <w:rPr>
          <w:i/>
          <w:szCs w:val="28"/>
          <w:lang w:val="uk-UA"/>
        </w:rPr>
        <w:t>(Автор брав участь у лікуванні хворих та створенні електронної бази даних, провів ст</w:t>
      </w:r>
      <w:r w:rsidRPr="004C6D3F">
        <w:rPr>
          <w:i/>
          <w:szCs w:val="28"/>
          <w:lang w:val="uk-UA"/>
        </w:rPr>
        <w:t>а</w:t>
      </w:r>
      <w:r w:rsidRPr="004C6D3F">
        <w:rPr>
          <w:i/>
          <w:szCs w:val="28"/>
          <w:lang w:val="uk-UA"/>
        </w:rPr>
        <w:t>тистичну обробку матеріалу, взяв участь у написанні та підготовці тез  до друку).</w:t>
      </w:r>
    </w:p>
    <w:p w:rsidR="003B05B6" w:rsidRPr="004C6D3F" w:rsidRDefault="003B05B6" w:rsidP="003B05B6">
      <w:pPr>
        <w:spacing w:line="264" w:lineRule="auto"/>
        <w:jc w:val="center"/>
        <w:rPr>
          <w:b/>
          <w:sz w:val="28"/>
          <w:szCs w:val="28"/>
          <w:lang w:val="uk-UA"/>
        </w:rPr>
      </w:pPr>
      <w:r w:rsidRPr="004C6D3F">
        <w:rPr>
          <w:b/>
          <w:sz w:val="28"/>
          <w:szCs w:val="28"/>
          <w:lang w:val="uk-UA"/>
        </w:rPr>
        <w:t>АНОТАЦІЯ</w:t>
      </w:r>
    </w:p>
    <w:p w:rsidR="003B05B6" w:rsidRPr="004C6D3F" w:rsidRDefault="003B05B6" w:rsidP="003B05B6">
      <w:pPr>
        <w:spacing w:line="264" w:lineRule="auto"/>
        <w:ind w:firstLine="540"/>
        <w:jc w:val="both"/>
        <w:rPr>
          <w:sz w:val="28"/>
          <w:szCs w:val="28"/>
          <w:lang w:val="uk-UA" w:eastAsia="uk-UA"/>
        </w:rPr>
      </w:pPr>
      <w:r w:rsidRPr="004C6D3F">
        <w:rPr>
          <w:b/>
          <w:sz w:val="28"/>
          <w:szCs w:val="28"/>
          <w:lang w:val="uk-UA"/>
        </w:rPr>
        <w:t>Онищенко О.В. Ремоделювання і динаміка систолічної функції лівих камер серця та клініко-функціонального стану хворих з кардіомегалією і хронічною серцевою недостатні</w:t>
      </w:r>
      <w:r w:rsidRPr="004C6D3F">
        <w:rPr>
          <w:b/>
          <w:sz w:val="28"/>
          <w:szCs w:val="28"/>
          <w:lang w:val="uk-UA"/>
        </w:rPr>
        <w:t>с</w:t>
      </w:r>
      <w:r w:rsidRPr="004C6D3F">
        <w:rPr>
          <w:b/>
          <w:sz w:val="28"/>
          <w:szCs w:val="28"/>
          <w:lang w:val="uk-UA"/>
        </w:rPr>
        <w:t xml:space="preserve">тю різного ґенезу на фоні довготривалої синдромальної фармакотерапії. </w:t>
      </w:r>
      <w:r w:rsidRPr="004C6D3F">
        <w:rPr>
          <w:sz w:val="28"/>
          <w:szCs w:val="28"/>
          <w:lang w:val="uk-UA" w:eastAsia="uk-UA"/>
        </w:rPr>
        <w:t>– Рукопис.</w:t>
      </w:r>
    </w:p>
    <w:p w:rsidR="003B05B6" w:rsidRPr="004C6D3F" w:rsidRDefault="003B05B6" w:rsidP="003B05B6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Дисертації на здобуття наукового ступеня кандидата медичних наук за спеціальністю 14.01.11 – кардіологія. – Національний науковий центр «Інститут кардіології імені академіка М.Д.Стражеска» АМН України, Київ, 2009.</w:t>
      </w:r>
    </w:p>
    <w:p w:rsidR="003B05B6" w:rsidRDefault="003B05B6" w:rsidP="003B05B6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В дисертації на підставі порівняльного вивчення динаміки клініко-функціональних та ЕхоКГ показників у хворих з кардіомегалією та ХСН різного ґенезу на фоні використання до</w:t>
      </w:r>
      <w:r w:rsidRPr="004C6D3F">
        <w:rPr>
          <w:sz w:val="28"/>
          <w:szCs w:val="28"/>
          <w:lang w:val="uk-UA"/>
        </w:rPr>
        <w:t>в</w:t>
      </w:r>
      <w:r w:rsidRPr="004C6D3F">
        <w:rPr>
          <w:sz w:val="28"/>
          <w:szCs w:val="28"/>
          <w:lang w:val="uk-UA"/>
        </w:rPr>
        <w:t>готривалої синдромальної терапії із застосуванням високих терапевтичних доз карведилолу удосконалено л</w:t>
      </w:r>
      <w:r w:rsidRPr="004C6D3F">
        <w:rPr>
          <w:sz w:val="28"/>
          <w:szCs w:val="28"/>
          <w:lang w:val="uk-UA"/>
        </w:rPr>
        <w:t>і</w:t>
      </w:r>
      <w:r w:rsidRPr="004C6D3F">
        <w:rPr>
          <w:sz w:val="28"/>
          <w:szCs w:val="28"/>
          <w:lang w:val="uk-UA"/>
        </w:rPr>
        <w:t xml:space="preserve">кування систолічної ХСН. </w:t>
      </w:r>
      <w:r w:rsidRPr="004C6D3F">
        <w:rPr>
          <w:sz w:val="28"/>
          <w:szCs w:val="28"/>
          <w:lang w:val="uk-UA" w:eastAsia="uk-UA"/>
        </w:rPr>
        <w:t>Доведено, що за рахунок повільного титрування (в середньому 12,08</w:t>
      </w:r>
      <w:r w:rsidRPr="004C6D3F">
        <w:rPr>
          <w:sz w:val="28"/>
          <w:szCs w:val="28"/>
          <w:lang w:val="uk-UA"/>
        </w:rPr>
        <w:t>±</w:t>
      </w:r>
      <w:r w:rsidRPr="004C6D3F">
        <w:rPr>
          <w:sz w:val="28"/>
          <w:szCs w:val="28"/>
          <w:lang w:val="uk-UA" w:eastAsia="uk-UA"/>
        </w:rPr>
        <w:t xml:space="preserve">0,99 міс.) </w:t>
      </w:r>
      <w:r>
        <w:rPr>
          <w:sz w:val="28"/>
          <w:szCs w:val="28"/>
          <w:lang w:val="uk-UA" w:eastAsia="uk-UA"/>
        </w:rPr>
        <w:t xml:space="preserve">високої терапевтичної </w:t>
      </w:r>
      <w:r w:rsidRPr="004C6D3F">
        <w:rPr>
          <w:sz w:val="28"/>
          <w:szCs w:val="28"/>
          <w:lang w:val="uk-UA" w:eastAsia="uk-UA"/>
        </w:rPr>
        <w:t>доз</w:t>
      </w:r>
      <w:r>
        <w:rPr>
          <w:sz w:val="28"/>
          <w:szCs w:val="28"/>
          <w:lang w:val="uk-UA" w:eastAsia="uk-UA"/>
        </w:rPr>
        <w:t>и</w:t>
      </w:r>
      <w:r w:rsidRPr="004C6D3F">
        <w:rPr>
          <w:sz w:val="28"/>
          <w:szCs w:val="28"/>
          <w:lang w:val="uk-UA" w:eastAsia="uk-UA"/>
        </w:rPr>
        <w:t xml:space="preserve"> карведилолу (100 мг/добу) вдається </w:t>
      </w:r>
      <w:r>
        <w:rPr>
          <w:sz w:val="28"/>
          <w:szCs w:val="28"/>
          <w:lang w:val="uk-UA" w:eastAsia="uk-UA"/>
        </w:rPr>
        <w:t xml:space="preserve">безпечно </w:t>
      </w:r>
      <w:r w:rsidRPr="004C6D3F">
        <w:rPr>
          <w:sz w:val="28"/>
          <w:szCs w:val="28"/>
          <w:lang w:val="uk-UA" w:eastAsia="uk-UA"/>
        </w:rPr>
        <w:t>дос</w:t>
      </w:r>
      <w:r w:rsidRPr="004C6D3F">
        <w:rPr>
          <w:sz w:val="28"/>
          <w:szCs w:val="28"/>
          <w:lang w:val="uk-UA" w:eastAsia="uk-UA"/>
        </w:rPr>
        <w:t>я</w:t>
      </w:r>
      <w:r w:rsidRPr="004C6D3F">
        <w:rPr>
          <w:sz w:val="28"/>
          <w:szCs w:val="28"/>
          <w:lang w:val="uk-UA" w:eastAsia="uk-UA"/>
        </w:rPr>
        <w:t>гти у 76,7%</w:t>
      </w:r>
      <w:r>
        <w:rPr>
          <w:sz w:val="28"/>
          <w:szCs w:val="28"/>
          <w:lang w:val="uk-UA" w:eastAsia="uk-UA"/>
        </w:rPr>
        <w:t>,</w:t>
      </w:r>
      <w:r w:rsidRPr="004C6D3F">
        <w:rPr>
          <w:sz w:val="28"/>
          <w:szCs w:val="28"/>
          <w:lang w:val="uk-UA" w:eastAsia="uk-UA"/>
        </w:rPr>
        <w:t xml:space="preserve"> а </w:t>
      </w:r>
      <w:r>
        <w:rPr>
          <w:sz w:val="28"/>
          <w:szCs w:val="28"/>
          <w:lang w:val="uk-UA" w:eastAsia="uk-UA"/>
        </w:rPr>
        <w:t xml:space="preserve">оптимальної </w:t>
      </w:r>
      <w:r w:rsidRPr="004C6D3F">
        <w:rPr>
          <w:sz w:val="28"/>
          <w:szCs w:val="28"/>
          <w:lang w:val="uk-UA" w:eastAsia="uk-UA"/>
        </w:rPr>
        <w:t xml:space="preserve">еналаприлу (20 мг/добу) </w:t>
      </w:r>
      <w:r>
        <w:rPr>
          <w:sz w:val="28"/>
          <w:szCs w:val="28"/>
          <w:lang w:val="uk-UA" w:eastAsia="uk-UA"/>
        </w:rPr>
        <w:t xml:space="preserve">– у </w:t>
      </w:r>
      <w:r w:rsidRPr="004C6D3F">
        <w:rPr>
          <w:sz w:val="28"/>
          <w:szCs w:val="28"/>
          <w:lang w:val="uk-UA" w:eastAsia="uk-UA"/>
        </w:rPr>
        <w:t>75,8% пацієнтів з кардіомегалією та ХСН різного ґенезу. Застосоване довготривале лікування добре переноситься такими пацієнтами, не викликає у них серйозних п</w:t>
      </w:r>
      <w:r w:rsidRPr="004C6D3F">
        <w:rPr>
          <w:sz w:val="28"/>
          <w:szCs w:val="28"/>
          <w:lang w:val="uk-UA" w:eastAsia="uk-UA"/>
        </w:rPr>
        <w:t>о</w:t>
      </w:r>
      <w:r w:rsidRPr="004C6D3F">
        <w:rPr>
          <w:sz w:val="28"/>
          <w:szCs w:val="28"/>
          <w:lang w:val="uk-UA" w:eastAsia="uk-UA"/>
        </w:rPr>
        <w:t>бічних ефектів, не погіршує п’ятирічний прогноз, призводить</w:t>
      </w:r>
      <w:r w:rsidRPr="004C6D3F">
        <w:rPr>
          <w:vanish/>
          <w:sz w:val="28"/>
          <w:szCs w:val="28"/>
          <w:lang w:val="uk-UA" w:eastAsia="uk-UA"/>
        </w:rPr>
        <w:t>|призводить,наводить|</w:t>
      </w:r>
      <w:r w:rsidRPr="004C6D3F">
        <w:rPr>
          <w:sz w:val="28"/>
          <w:szCs w:val="28"/>
          <w:lang w:val="uk-UA" w:eastAsia="uk-UA"/>
        </w:rPr>
        <w:t xml:space="preserve"> до стійкого </w:t>
      </w:r>
      <w:r w:rsidRPr="004C6D3F">
        <w:rPr>
          <w:sz w:val="28"/>
          <w:szCs w:val="28"/>
          <w:lang w:val="uk-UA"/>
        </w:rPr>
        <w:t>покращення ФК пацієнтів з ХСН та зн</w:t>
      </w:r>
      <w:r w:rsidRPr="004C6D3F">
        <w:rPr>
          <w:sz w:val="28"/>
          <w:szCs w:val="28"/>
          <w:lang w:val="uk-UA"/>
        </w:rPr>
        <w:t>и</w:t>
      </w:r>
      <w:r w:rsidRPr="004C6D3F">
        <w:rPr>
          <w:sz w:val="28"/>
          <w:szCs w:val="28"/>
          <w:lang w:val="uk-UA"/>
        </w:rPr>
        <w:t>ження тижневої дози фуросеміду незалежно від етіології синдрому.</w:t>
      </w:r>
      <w:r w:rsidRPr="004C6D3F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Однак, лише </w:t>
      </w:r>
      <w:r w:rsidRPr="004C6D3F">
        <w:rPr>
          <w:sz w:val="28"/>
          <w:szCs w:val="28"/>
          <w:lang w:val="uk-UA"/>
        </w:rPr>
        <w:t>у хворих з кардіомегалією та клінічним діагнозом «хрон</w:t>
      </w:r>
      <w:r w:rsidRPr="004C6D3F">
        <w:rPr>
          <w:sz w:val="28"/>
          <w:szCs w:val="28"/>
          <w:lang w:val="uk-UA"/>
        </w:rPr>
        <w:t>і</w:t>
      </w:r>
      <w:r w:rsidRPr="004C6D3F">
        <w:rPr>
          <w:sz w:val="28"/>
          <w:szCs w:val="28"/>
          <w:lang w:val="uk-UA"/>
        </w:rPr>
        <w:t>чний дифузний міокардит»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дана терапія </w:t>
      </w:r>
      <w:r w:rsidRPr="004C6D3F">
        <w:rPr>
          <w:sz w:val="28"/>
          <w:szCs w:val="28"/>
          <w:lang w:val="uk-UA" w:eastAsia="uk-UA"/>
        </w:rPr>
        <w:t xml:space="preserve">сприяє </w:t>
      </w:r>
      <w:r>
        <w:rPr>
          <w:sz w:val="28"/>
          <w:szCs w:val="28"/>
          <w:lang w:val="uk-UA" w:eastAsia="uk-UA"/>
        </w:rPr>
        <w:t xml:space="preserve">зворотному ремоделюванню лівих камер серця та </w:t>
      </w:r>
      <w:r w:rsidRPr="004C6D3F">
        <w:rPr>
          <w:sz w:val="28"/>
          <w:szCs w:val="28"/>
          <w:lang w:val="uk-UA"/>
        </w:rPr>
        <w:t>призводить до нормаліз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  <w:lang w:val="uk-UA"/>
        </w:rPr>
        <w:t xml:space="preserve">ції значень </w:t>
      </w:r>
      <w:r>
        <w:rPr>
          <w:sz w:val="28"/>
          <w:szCs w:val="28"/>
          <w:lang w:val="uk-UA"/>
        </w:rPr>
        <w:t>і</w:t>
      </w:r>
      <w:r w:rsidRPr="004C6D3F">
        <w:rPr>
          <w:sz w:val="28"/>
          <w:szCs w:val="28"/>
          <w:lang w:val="uk-UA"/>
        </w:rPr>
        <w:t xml:space="preserve">КДО ЛШ </w:t>
      </w:r>
      <w:r>
        <w:rPr>
          <w:sz w:val="28"/>
          <w:szCs w:val="28"/>
          <w:lang w:val="uk-UA"/>
        </w:rPr>
        <w:t>у</w:t>
      </w:r>
      <w:r w:rsidRPr="004C6D3F">
        <w:rPr>
          <w:sz w:val="28"/>
          <w:szCs w:val="28"/>
          <w:lang w:val="uk-UA"/>
        </w:rPr>
        <w:t xml:space="preserve"> 30%</w:t>
      </w:r>
      <w:r>
        <w:rPr>
          <w:sz w:val="28"/>
          <w:szCs w:val="28"/>
          <w:lang w:val="uk-UA"/>
        </w:rPr>
        <w:t>,</w:t>
      </w:r>
      <w:r w:rsidRPr="004C6D3F">
        <w:rPr>
          <w:sz w:val="28"/>
          <w:szCs w:val="28"/>
          <w:lang w:val="uk-UA"/>
        </w:rPr>
        <w:t xml:space="preserve"> ФВ ЛШ у 52,4%</w:t>
      </w:r>
      <w:r>
        <w:rPr>
          <w:sz w:val="28"/>
          <w:szCs w:val="28"/>
          <w:lang w:val="uk-UA"/>
        </w:rPr>
        <w:t>, і</w:t>
      </w:r>
      <w:r w:rsidRPr="004C6D3F">
        <w:rPr>
          <w:sz w:val="28"/>
          <w:szCs w:val="28"/>
          <w:lang w:val="uk-UA"/>
        </w:rPr>
        <w:t xml:space="preserve"> значень іКДО ЛП </w:t>
      </w:r>
      <w:r>
        <w:rPr>
          <w:sz w:val="28"/>
          <w:szCs w:val="28"/>
          <w:lang w:val="uk-UA"/>
        </w:rPr>
        <w:t>– у</w:t>
      </w:r>
      <w:r w:rsidRPr="004C6D3F">
        <w:rPr>
          <w:sz w:val="28"/>
          <w:szCs w:val="28"/>
          <w:lang w:val="uk-UA"/>
        </w:rPr>
        <w:t xml:space="preserve"> 45% таких хворих. Пацієнти, у яких вдалося досягти нормалізації порожнини ЛШ, характеризуються меншою тривалістю сим</w:t>
      </w:r>
      <w:r w:rsidRPr="004C6D3F">
        <w:rPr>
          <w:sz w:val="28"/>
          <w:szCs w:val="28"/>
          <w:lang w:val="uk-UA"/>
        </w:rPr>
        <w:t>п</w:t>
      </w:r>
      <w:r w:rsidRPr="004C6D3F">
        <w:rPr>
          <w:sz w:val="28"/>
          <w:szCs w:val="28"/>
          <w:lang w:val="uk-UA"/>
        </w:rPr>
        <w:t>томів ХСН (5,54±1,48 міс)</w:t>
      </w:r>
      <w:r w:rsidRPr="000B2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4C6D3F">
        <w:rPr>
          <w:sz w:val="28"/>
          <w:szCs w:val="28"/>
          <w:lang w:val="uk-UA"/>
        </w:rPr>
        <w:t xml:space="preserve"> вищім початковим рівнем САТ (125,00 ± </w:t>
      </w:r>
      <w:smartTag w:uri="urn:schemas-microsoft-com:office:smarttags" w:element="metricconverter">
        <w:smartTagPr>
          <w:attr w:name="ProductID" w:val="5,40 мм"/>
        </w:smartTagPr>
        <w:r w:rsidRPr="004C6D3F">
          <w:rPr>
            <w:sz w:val="28"/>
            <w:szCs w:val="28"/>
            <w:lang w:val="uk-UA"/>
          </w:rPr>
          <w:t>5,40 мм</w:t>
        </w:r>
      </w:smartTag>
      <w:r w:rsidRPr="004C6D3F">
        <w:rPr>
          <w:sz w:val="28"/>
          <w:szCs w:val="28"/>
          <w:lang w:val="uk-UA"/>
        </w:rPr>
        <w:t xml:space="preserve"> рт.ст.), </w:t>
      </w:r>
    </w:p>
    <w:p w:rsidR="003B05B6" w:rsidRPr="004C6D3F" w:rsidRDefault="003B05B6" w:rsidP="003B05B6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4C6D3F">
        <w:rPr>
          <w:b/>
          <w:sz w:val="28"/>
          <w:szCs w:val="28"/>
          <w:lang w:val="uk-UA"/>
        </w:rPr>
        <w:t xml:space="preserve">Ключові слова: </w:t>
      </w:r>
      <w:r w:rsidRPr="004C6D3F">
        <w:rPr>
          <w:sz w:val="28"/>
          <w:szCs w:val="28"/>
          <w:lang w:val="uk-UA"/>
        </w:rPr>
        <w:t>хронічна систолічна серцева недостатність, лікування, ремоделювання се</w:t>
      </w:r>
      <w:r w:rsidRPr="004C6D3F">
        <w:rPr>
          <w:sz w:val="28"/>
          <w:szCs w:val="28"/>
          <w:lang w:val="uk-UA"/>
        </w:rPr>
        <w:t>р</w:t>
      </w:r>
      <w:r w:rsidRPr="004C6D3F">
        <w:rPr>
          <w:sz w:val="28"/>
          <w:szCs w:val="28"/>
          <w:lang w:val="uk-UA"/>
        </w:rPr>
        <w:t>ця, клініко-функціональний стан хворих.</w:t>
      </w:r>
    </w:p>
    <w:p w:rsidR="003B05B6" w:rsidRPr="004C6D3F" w:rsidRDefault="003B05B6" w:rsidP="003B05B6">
      <w:pPr>
        <w:spacing w:line="264" w:lineRule="auto"/>
        <w:ind w:firstLine="540"/>
        <w:rPr>
          <w:sz w:val="28"/>
          <w:szCs w:val="28"/>
          <w:lang w:val="uk-UA"/>
        </w:rPr>
      </w:pPr>
    </w:p>
    <w:p w:rsidR="003B05B6" w:rsidRPr="004C6D3F" w:rsidRDefault="003B05B6" w:rsidP="003B05B6">
      <w:pPr>
        <w:spacing w:line="264" w:lineRule="auto"/>
        <w:jc w:val="center"/>
        <w:rPr>
          <w:b/>
          <w:sz w:val="28"/>
          <w:szCs w:val="28"/>
          <w:lang w:val="uk-UA"/>
        </w:rPr>
      </w:pPr>
      <w:r w:rsidRPr="004C6D3F">
        <w:rPr>
          <w:b/>
          <w:sz w:val="28"/>
          <w:szCs w:val="28"/>
        </w:rPr>
        <w:t>АННОТАЦИЯ</w:t>
      </w:r>
    </w:p>
    <w:p w:rsidR="003B05B6" w:rsidRPr="004C6D3F" w:rsidRDefault="003B05B6" w:rsidP="003B05B6">
      <w:pPr>
        <w:spacing w:line="264" w:lineRule="auto"/>
        <w:ind w:firstLine="540"/>
        <w:jc w:val="both"/>
        <w:rPr>
          <w:sz w:val="28"/>
          <w:szCs w:val="28"/>
          <w:lang w:eastAsia="uk-UA"/>
        </w:rPr>
      </w:pPr>
      <w:r w:rsidRPr="004C6D3F">
        <w:rPr>
          <w:b/>
          <w:sz w:val="28"/>
          <w:szCs w:val="28"/>
        </w:rPr>
        <w:lastRenderedPageBreak/>
        <w:t>Онищенко Е.В. Ремоделирование и динамика систолической функции левых камер сердца и клинико-функционального состояния больных с кардиомегалией и хронической сердечной недостаточностью различного генеза на фоне длительной синдромальной фарм</w:t>
      </w:r>
      <w:r w:rsidRPr="004C6D3F">
        <w:rPr>
          <w:b/>
          <w:sz w:val="28"/>
          <w:szCs w:val="28"/>
        </w:rPr>
        <w:t>а</w:t>
      </w:r>
      <w:r w:rsidRPr="004C6D3F">
        <w:rPr>
          <w:b/>
          <w:sz w:val="28"/>
          <w:szCs w:val="28"/>
        </w:rPr>
        <w:t xml:space="preserve">котерапии. </w:t>
      </w:r>
      <w:r w:rsidRPr="004C6D3F">
        <w:rPr>
          <w:sz w:val="28"/>
          <w:szCs w:val="28"/>
          <w:lang w:eastAsia="uk-UA"/>
        </w:rPr>
        <w:t>– Рукопись.</w:t>
      </w:r>
    </w:p>
    <w:p w:rsidR="003B05B6" w:rsidRPr="004C6D3F" w:rsidRDefault="003B05B6" w:rsidP="003B05B6">
      <w:pPr>
        <w:spacing w:line="264" w:lineRule="auto"/>
        <w:ind w:firstLine="540"/>
        <w:jc w:val="both"/>
        <w:rPr>
          <w:sz w:val="28"/>
          <w:szCs w:val="28"/>
        </w:rPr>
      </w:pPr>
      <w:r w:rsidRPr="004C6D3F">
        <w:rPr>
          <w:sz w:val="28"/>
          <w:szCs w:val="28"/>
        </w:rPr>
        <w:t>Диссертация на соискание ученой степени кандидата медицинских наук по специальности 14.01.11 – кардиология. – Национальный научный центр «Институт кардиологии имени акад</w:t>
      </w:r>
      <w:r w:rsidRPr="004C6D3F">
        <w:rPr>
          <w:sz w:val="28"/>
          <w:szCs w:val="28"/>
        </w:rPr>
        <w:t>е</w:t>
      </w:r>
      <w:r w:rsidRPr="004C6D3F">
        <w:rPr>
          <w:sz w:val="28"/>
          <w:szCs w:val="28"/>
        </w:rPr>
        <w:t>мика Н.Д. Стражеско» АМН Украины, Киев, 200</w:t>
      </w:r>
      <w:r w:rsidRPr="004C6D3F">
        <w:rPr>
          <w:sz w:val="28"/>
          <w:szCs w:val="28"/>
          <w:lang w:val="uk-UA"/>
        </w:rPr>
        <w:t>9</w:t>
      </w:r>
      <w:r w:rsidRPr="004C6D3F">
        <w:rPr>
          <w:sz w:val="28"/>
          <w:szCs w:val="28"/>
        </w:rPr>
        <w:t>.</w:t>
      </w:r>
    </w:p>
    <w:p w:rsidR="003B05B6" w:rsidRPr="004C6D3F" w:rsidRDefault="003B05B6" w:rsidP="003B05B6">
      <w:pPr>
        <w:spacing w:line="264" w:lineRule="auto"/>
        <w:ind w:firstLine="540"/>
        <w:jc w:val="both"/>
        <w:rPr>
          <w:sz w:val="28"/>
          <w:szCs w:val="28"/>
        </w:rPr>
      </w:pPr>
      <w:r w:rsidRPr="004C6D3F">
        <w:rPr>
          <w:sz w:val="28"/>
          <w:szCs w:val="28"/>
        </w:rPr>
        <w:t>В диссертации на основе сравнительного изучения динамики клинико-функциональных и ЭхоКГ показателей у больных с кардиомегалией и ХСН различного генеза на фоне применения длительной синдромальной терапии с использованием высоких терапевтических доз карвед</w:t>
      </w:r>
      <w:r w:rsidRPr="004C6D3F">
        <w:rPr>
          <w:sz w:val="28"/>
          <w:szCs w:val="28"/>
        </w:rPr>
        <w:t>и</w:t>
      </w:r>
      <w:r w:rsidRPr="004C6D3F">
        <w:rPr>
          <w:sz w:val="28"/>
          <w:szCs w:val="28"/>
        </w:rPr>
        <w:t xml:space="preserve">лола усовершенствовано лечение систолической ХСН. </w:t>
      </w:r>
    </w:p>
    <w:p w:rsidR="003B05B6" w:rsidRPr="004C6D3F" w:rsidRDefault="003B05B6" w:rsidP="003B05B6">
      <w:pPr>
        <w:spacing w:line="264" w:lineRule="auto"/>
        <w:ind w:firstLine="540"/>
        <w:jc w:val="both"/>
        <w:rPr>
          <w:sz w:val="28"/>
          <w:szCs w:val="28"/>
          <w:lang w:eastAsia="uk-UA"/>
        </w:rPr>
      </w:pPr>
      <w:r w:rsidRPr="004C6D3F">
        <w:rPr>
          <w:sz w:val="28"/>
          <w:szCs w:val="28"/>
        </w:rPr>
        <w:t>Результаты исследования показали, что за счет медленного титрования (</w:t>
      </w:r>
      <w:r w:rsidRPr="004C6D3F">
        <w:rPr>
          <w:sz w:val="28"/>
          <w:szCs w:val="28"/>
          <w:lang w:eastAsia="uk-UA"/>
        </w:rPr>
        <w:t>в среднем 12,08</w:t>
      </w:r>
      <w:r w:rsidRPr="004C6D3F">
        <w:rPr>
          <w:sz w:val="28"/>
          <w:szCs w:val="28"/>
        </w:rPr>
        <w:t>±</w:t>
      </w:r>
      <w:r w:rsidRPr="004C6D3F">
        <w:rPr>
          <w:sz w:val="28"/>
          <w:szCs w:val="28"/>
          <w:lang w:eastAsia="uk-UA"/>
        </w:rPr>
        <w:t>0,99 мес.) высокой терапевтической дозы карведилола (100 мг/сутки) и оптимальной д</w:t>
      </w:r>
      <w:r w:rsidRPr="004C6D3F">
        <w:rPr>
          <w:sz w:val="28"/>
          <w:szCs w:val="28"/>
          <w:lang w:eastAsia="uk-UA"/>
        </w:rPr>
        <w:t>о</w:t>
      </w:r>
      <w:r w:rsidRPr="004C6D3F">
        <w:rPr>
          <w:sz w:val="28"/>
          <w:szCs w:val="28"/>
          <w:lang w:eastAsia="uk-UA"/>
        </w:rPr>
        <w:t>зы эналаприла (20 мг/сутки) удается достичь у 76,7% и 75,8% пациентов с кардиомегалией и систолической ХСН различного генеза. Выявлено, что данная терапия в течение длительного времени хорошо перен</w:t>
      </w:r>
      <w:r w:rsidRPr="004C6D3F">
        <w:rPr>
          <w:sz w:val="28"/>
          <w:szCs w:val="28"/>
          <w:lang w:eastAsia="uk-UA"/>
        </w:rPr>
        <w:t>о</w:t>
      </w:r>
      <w:r w:rsidRPr="004C6D3F">
        <w:rPr>
          <w:sz w:val="28"/>
          <w:szCs w:val="28"/>
          <w:lang w:eastAsia="uk-UA"/>
        </w:rPr>
        <w:t>сится пациентами, не вызывает у них серьезных побочных эффектов со стороны сердечно-сосудистой (гипотензии, брадикардии, серьезных нарушений проводимости, ортостатические р</w:t>
      </w:r>
      <w:r w:rsidRPr="004C6D3F">
        <w:rPr>
          <w:sz w:val="28"/>
          <w:szCs w:val="28"/>
          <w:lang w:eastAsia="uk-UA"/>
        </w:rPr>
        <w:t>е</w:t>
      </w:r>
      <w:r w:rsidRPr="004C6D3F">
        <w:rPr>
          <w:sz w:val="28"/>
          <w:szCs w:val="28"/>
          <w:lang w:eastAsia="uk-UA"/>
        </w:rPr>
        <w:t>акции), бронхолегочной, центральной нервной, пищеварительной и других систем.</w:t>
      </w:r>
    </w:p>
    <w:p w:rsidR="003B05B6" w:rsidRPr="004C6D3F" w:rsidRDefault="003B05B6" w:rsidP="003B05B6">
      <w:pPr>
        <w:spacing w:line="264" w:lineRule="auto"/>
        <w:ind w:firstLine="540"/>
        <w:jc w:val="both"/>
        <w:rPr>
          <w:sz w:val="28"/>
          <w:szCs w:val="28"/>
          <w:lang w:eastAsia="uk-UA"/>
        </w:rPr>
      </w:pPr>
      <w:r w:rsidRPr="004C6D3F">
        <w:rPr>
          <w:sz w:val="28"/>
          <w:szCs w:val="28"/>
          <w:lang w:eastAsia="uk-UA"/>
        </w:rPr>
        <w:t>В результате длительной терапии с использованием высоких терапевтических доз карвед</w:t>
      </w:r>
      <w:r w:rsidRPr="004C6D3F">
        <w:rPr>
          <w:sz w:val="28"/>
          <w:szCs w:val="28"/>
          <w:lang w:eastAsia="uk-UA"/>
        </w:rPr>
        <w:t>и</w:t>
      </w:r>
      <w:r w:rsidRPr="004C6D3F">
        <w:rPr>
          <w:sz w:val="28"/>
          <w:szCs w:val="28"/>
          <w:lang w:eastAsia="uk-UA"/>
        </w:rPr>
        <w:t>лола у больных с систолической ХСН отмечается стабилизация клинических симптомов, сниж</w:t>
      </w:r>
      <w:r w:rsidRPr="004C6D3F">
        <w:rPr>
          <w:sz w:val="28"/>
          <w:szCs w:val="28"/>
          <w:lang w:eastAsia="uk-UA"/>
        </w:rPr>
        <w:t>е</w:t>
      </w:r>
      <w:r w:rsidRPr="004C6D3F">
        <w:rPr>
          <w:sz w:val="28"/>
          <w:szCs w:val="28"/>
          <w:lang w:eastAsia="uk-UA"/>
        </w:rPr>
        <w:t>ние недельной дозы фуросемида (с 153,75±12,18 мг/нед. до 69,29±14,00 мг/нед.)</w:t>
      </w:r>
      <w:r w:rsidRPr="004C6D3F">
        <w:rPr>
          <w:sz w:val="28"/>
          <w:szCs w:val="28"/>
          <w:lang w:val="uk-UA" w:eastAsia="uk-UA"/>
        </w:rPr>
        <w:t xml:space="preserve"> </w:t>
      </w:r>
      <w:r w:rsidRPr="004C6D3F">
        <w:rPr>
          <w:sz w:val="28"/>
          <w:szCs w:val="28"/>
          <w:lang w:eastAsia="uk-UA"/>
        </w:rPr>
        <w:t>и  улу</w:t>
      </w:r>
      <w:r w:rsidRPr="004C6D3F">
        <w:rPr>
          <w:sz w:val="28"/>
          <w:szCs w:val="28"/>
          <w:lang w:eastAsia="uk-UA"/>
        </w:rPr>
        <w:t>ч</w:t>
      </w:r>
      <w:r w:rsidRPr="004C6D3F">
        <w:rPr>
          <w:sz w:val="28"/>
          <w:szCs w:val="28"/>
          <w:lang w:eastAsia="uk-UA"/>
        </w:rPr>
        <w:t>шение ФК пациентов (с 2,64±0,05 усл.ед. до 1,16±0,07 усл.ед.) независимо от генеза си</w:t>
      </w:r>
      <w:r w:rsidRPr="004C6D3F">
        <w:rPr>
          <w:sz w:val="28"/>
          <w:szCs w:val="28"/>
          <w:lang w:eastAsia="uk-UA"/>
        </w:rPr>
        <w:t>н</w:t>
      </w:r>
      <w:r w:rsidRPr="004C6D3F">
        <w:rPr>
          <w:sz w:val="28"/>
          <w:szCs w:val="28"/>
          <w:lang w:eastAsia="uk-UA"/>
        </w:rPr>
        <w:t>дрома. В конце длительного курса лечения у 81,3% таких пациентов клиническое состояние соответствовало I ФК.</w:t>
      </w:r>
    </w:p>
    <w:p w:rsidR="003B05B6" w:rsidRPr="004C6D3F" w:rsidRDefault="003B05B6" w:rsidP="003B05B6">
      <w:pPr>
        <w:spacing w:line="264" w:lineRule="auto"/>
        <w:ind w:firstLine="540"/>
        <w:jc w:val="both"/>
        <w:rPr>
          <w:sz w:val="28"/>
          <w:szCs w:val="28"/>
          <w:lang w:eastAsia="uk-UA"/>
        </w:rPr>
      </w:pPr>
      <w:r w:rsidRPr="004C6D3F">
        <w:rPr>
          <w:sz w:val="28"/>
          <w:szCs w:val="28"/>
          <w:lang w:eastAsia="uk-UA"/>
        </w:rPr>
        <w:t>В нашем исследовании 5-летняя выживаемость больных с систолической ХСН по методу К</w:t>
      </w:r>
      <w:r w:rsidRPr="004C6D3F">
        <w:rPr>
          <w:sz w:val="28"/>
          <w:szCs w:val="28"/>
          <w:lang w:eastAsia="uk-UA"/>
        </w:rPr>
        <w:t>а</w:t>
      </w:r>
      <w:r w:rsidRPr="004C6D3F">
        <w:rPr>
          <w:sz w:val="28"/>
          <w:szCs w:val="28"/>
          <w:lang w:eastAsia="uk-UA"/>
        </w:rPr>
        <w:t>план-Мейера составила 88%.  Это совпадает с данными других авторов и позволяет говорить о том, что предложенная схема лечения не оказывает негативного влияния на прогноз таких пацие</w:t>
      </w:r>
      <w:r w:rsidRPr="004C6D3F">
        <w:rPr>
          <w:sz w:val="28"/>
          <w:szCs w:val="28"/>
          <w:lang w:eastAsia="uk-UA"/>
        </w:rPr>
        <w:t>н</w:t>
      </w:r>
      <w:r w:rsidRPr="004C6D3F">
        <w:rPr>
          <w:sz w:val="28"/>
          <w:szCs w:val="28"/>
          <w:lang w:eastAsia="uk-UA"/>
        </w:rPr>
        <w:t>тов.</w:t>
      </w:r>
    </w:p>
    <w:p w:rsidR="003B05B6" w:rsidRPr="004C6D3F" w:rsidRDefault="003B05B6" w:rsidP="003B05B6">
      <w:pPr>
        <w:spacing w:line="264" w:lineRule="auto"/>
        <w:ind w:firstLine="540"/>
        <w:jc w:val="both"/>
        <w:rPr>
          <w:sz w:val="28"/>
          <w:szCs w:val="28"/>
        </w:rPr>
      </w:pPr>
      <w:r w:rsidRPr="004C6D3F">
        <w:rPr>
          <w:sz w:val="28"/>
          <w:szCs w:val="28"/>
          <w:lang w:eastAsia="uk-UA"/>
        </w:rPr>
        <w:t>Выявлено, что при наличии однотипного начального ремоделирования левых камер сер</w:t>
      </w:r>
      <w:r w:rsidRPr="004C6D3F">
        <w:rPr>
          <w:sz w:val="28"/>
          <w:szCs w:val="28"/>
          <w:lang w:eastAsia="uk-UA"/>
        </w:rPr>
        <w:t>д</w:t>
      </w:r>
      <w:r w:rsidRPr="004C6D3F">
        <w:rPr>
          <w:sz w:val="28"/>
          <w:szCs w:val="28"/>
          <w:lang w:eastAsia="uk-UA"/>
        </w:rPr>
        <w:t>ца и нарушений их систолической функции эффекты длительной синдромальной терапии ра</w:t>
      </w:r>
      <w:r w:rsidRPr="004C6D3F">
        <w:rPr>
          <w:sz w:val="28"/>
          <w:szCs w:val="28"/>
          <w:lang w:eastAsia="uk-UA"/>
        </w:rPr>
        <w:t>з</w:t>
      </w:r>
      <w:r w:rsidRPr="004C6D3F">
        <w:rPr>
          <w:sz w:val="28"/>
          <w:szCs w:val="28"/>
          <w:lang w:eastAsia="uk-UA"/>
        </w:rPr>
        <w:t xml:space="preserve">личаются в зависимости от этиологии </w:t>
      </w:r>
      <w:r w:rsidRPr="004C6D3F">
        <w:rPr>
          <w:sz w:val="28"/>
          <w:szCs w:val="28"/>
          <w:lang w:eastAsia="uk-UA"/>
        </w:rPr>
        <w:lastRenderedPageBreak/>
        <w:t>ХСН. Наименее выраженные сдвиги со стороны левых камер сердца отмечаются у больных с кардиомегалией и ХСН, причиной развития которых послужили перен</w:t>
      </w:r>
      <w:r w:rsidRPr="004C6D3F">
        <w:rPr>
          <w:sz w:val="28"/>
          <w:szCs w:val="28"/>
          <w:lang w:eastAsia="uk-UA"/>
        </w:rPr>
        <w:t>е</w:t>
      </w:r>
      <w:r w:rsidRPr="004C6D3F">
        <w:rPr>
          <w:sz w:val="28"/>
          <w:szCs w:val="28"/>
          <w:lang w:eastAsia="uk-UA"/>
        </w:rPr>
        <w:t xml:space="preserve">сенный инфаркт миокарда с патологическим зубцом </w:t>
      </w:r>
      <w:r w:rsidRPr="004C6D3F">
        <w:rPr>
          <w:sz w:val="28"/>
          <w:szCs w:val="28"/>
        </w:rPr>
        <w:t>Q (или многососудистое поражение корона</w:t>
      </w:r>
      <w:r w:rsidRPr="004C6D3F">
        <w:rPr>
          <w:sz w:val="28"/>
          <w:szCs w:val="28"/>
        </w:rPr>
        <w:t>р</w:t>
      </w:r>
      <w:r w:rsidRPr="004C6D3F">
        <w:rPr>
          <w:sz w:val="28"/>
          <w:szCs w:val="28"/>
        </w:rPr>
        <w:t>ных артерий). Предложенная схема терапии у больных с ДКМП приводит к увеличению систол</w:t>
      </w:r>
      <w:r w:rsidRPr="004C6D3F">
        <w:rPr>
          <w:sz w:val="28"/>
          <w:szCs w:val="28"/>
        </w:rPr>
        <w:t>и</w:t>
      </w:r>
      <w:r w:rsidRPr="004C6D3F">
        <w:rPr>
          <w:sz w:val="28"/>
          <w:szCs w:val="28"/>
        </w:rPr>
        <w:t>ческой функции левых отделов сердца</w:t>
      </w:r>
      <w:r w:rsidRPr="004C6D3F">
        <w:rPr>
          <w:sz w:val="28"/>
          <w:szCs w:val="28"/>
          <w:lang w:val="uk-UA"/>
        </w:rPr>
        <w:t xml:space="preserve">, </w:t>
      </w:r>
      <w:r w:rsidRPr="004C6D3F">
        <w:rPr>
          <w:sz w:val="28"/>
          <w:szCs w:val="28"/>
        </w:rPr>
        <w:t>не оказывая влияния при этом на степень кардиомегалии.</w:t>
      </w:r>
    </w:p>
    <w:p w:rsidR="003B05B6" w:rsidRPr="004C6D3F" w:rsidRDefault="003B05B6" w:rsidP="003B05B6">
      <w:pPr>
        <w:spacing w:line="264" w:lineRule="auto"/>
        <w:ind w:firstLine="708"/>
        <w:jc w:val="both"/>
        <w:rPr>
          <w:sz w:val="28"/>
          <w:szCs w:val="28"/>
        </w:rPr>
      </w:pPr>
      <w:r w:rsidRPr="004C6D3F">
        <w:rPr>
          <w:sz w:val="28"/>
          <w:szCs w:val="28"/>
        </w:rPr>
        <w:t>Наиболее выраженные изменения выявлены у больных с кардиомегалией и клиническим диагнозом «хронический диффузный миокардит».</w:t>
      </w:r>
      <w:r w:rsidRPr="004C6D3F">
        <w:rPr>
          <w:sz w:val="28"/>
          <w:szCs w:val="28"/>
          <w:lang w:eastAsia="uk-UA"/>
        </w:rPr>
        <w:t xml:space="preserve"> У таких пациентов длительное лечение с и</w:t>
      </w:r>
      <w:r w:rsidRPr="004C6D3F">
        <w:rPr>
          <w:sz w:val="28"/>
          <w:szCs w:val="28"/>
          <w:lang w:eastAsia="uk-UA"/>
        </w:rPr>
        <w:t>с</w:t>
      </w:r>
      <w:r w:rsidRPr="004C6D3F">
        <w:rPr>
          <w:sz w:val="28"/>
          <w:szCs w:val="28"/>
          <w:lang w:eastAsia="uk-UA"/>
        </w:rPr>
        <w:t>пользованием высоких терапевтических доз карведилола приводило к уменьшению значений и</w:t>
      </w:r>
      <w:r w:rsidRPr="004C6D3F">
        <w:rPr>
          <w:sz w:val="28"/>
          <w:szCs w:val="28"/>
          <w:lang w:eastAsia="uk-UA"/>
        </w:rPr>
        <w:t>н</w:t>
      </w:r>
      <w:r w:rsidRPr="004C6D3F">
        <w:rPr>
          <w:sz w:val="28"/>
          <w:szCs w:val="28"/>
          <w:lang w:eastAsia="uk-UA"/>
        </w:rPr>
        <w:t>дексированных показателей КДО ЛЖ</w:t>
      </w:r>
      <w:r w:rsidRPr="004C6D3F">
        <w:rPr>
          <w:sz w:val="28"/>
          <w:szCs w:val="28"/>
        </w:rPr>
        <w:t xml:space="preserve"> на 20,3%, КСО ЛЖ - на 42,7%, и увеличению ФВ ЛЖ на 21,5%. У 30% таких больных данная схема терапии приводила к нормализации значений иКДО ЛЖ, у 52,4% - к нормализации ФВ ЛЖ, а у 45% - значений иКДО ЛП.</w:t>
      </w:r>
    </w:p>
    <w:p w:rsidR="003B05B6" w:rsidRPr="004C6D3F" w:rsidRDefault="003B05B6" w:rsidP="003B05B6">
      <w:pPr>
        <w:spacing w:line="264" w:lineRule="auto"/>
        <w:ind w:firstLine="708"/>
        <w:jc w:val="both"/>
        <w:rPr>
          <w:sz w:val="28"/>
          <w:szCs w:val="28"/>
        </w:rPr>
      </w:pPr>
      <w:r w:rsidRPr="004C6D3F">
        <w:rPr>
          <w:sz w:val="28"/>
          <w:szCs w:val="28"/>
        </w:rPr>
        <w:t>Наиболее благоприятные эффекты наблюдались у пациентов с клиническим диагн</w:t>
      </w:r>
      <w:r w:rsidRPr="004C6D3F">
        <w:rPr>
          <w:sz w:val="28"/>
          <w:szCs w:val="28"/>
        </w:rPr>
        <w:t>о</w:t>
      </w:r>
      <w:r w:rsidRPr="004C6D3F">
        <w:rPr>
          <w:sz w:val="28"/>
          <w:szCs w:val="28"/>
        </w:rPr>
        <w:t>зом «хронический диффузный миокардит», у которых лечение начиналось, как можно раньше после установления диагноза и у которых были наименее выражены гипотензивные реакции в начале курс</w:t>
      </w:r>
      <w:r w:rsidRPr="004C6D3F">
        <w:rPr>
          <w:sz w:val="28"/>
          <w:szCs w:val="28"/>
          <w:lang w:val="uk-UA"/>
        </w:rPr>
        <w:t>а</w:t>
      </w:r>
      <w:r w:rsidRPr="004C6D3F">
        <w:rPr>
          <w:sz w:val="28"/>
          <w:szCs w:val="28"/>
        </w:rPr>
        <w:t xml:space="preserve"> лечения.</w:t>
      </w:r>
    </w:p>
    <w:p w:rsidR="003B05B6" w:rsidRPr="004C6D3F" w:rsidRDefault="003B05B6" w:rsidP="003B05B6">
      <w:pPr>
        <w:tabs>
          <w:tab w:val="num" w:pos="360"/>
        </w:tabs>
        <w:spacing w:line="264" w:lineRule="auto"/>
        <w:ind w:firstLine="540"/>
        <w:jc w:val="both"/>
        <w:rPr>
          <w:sz w:val="28"/>
          <w:szCs w:val="28"/>
        </w:rPr>
      </w:pPr>
      <w:r w:rsidRPr="004C6D3F">
        <w:rPr>
          <w:sz w:val="28"/>
          <w:szCs w:val="28"/>
        </w:rPr>
        <w:t>Результаты регрессионного анализа выявили, что наиболее выраженная взаимосвязь между переменной «динамика иКДО Л</w:t>
      </w:r>
      <w:r w:rsidRPr="004C6D3F">
        <w:rPr>
          <w:sz w:val="28"/>
          <w:szCs w:val="28"/>
          <w:lang w:val="uk-UA"/>
        </w:rPr>
        <w:t>Ж</w:t>
      </w:r>
      <w:r w:rsidRPr="004C6D3F">
        <w:rPr>
          <w:sz w:val="28"/>
          <w:szCs w:val="28"/>
        </w:rPr>
        <w:t>» под влиянием использованного лечения отмечается со стор</w:t>
      </w:r>
      <w:r w:rsidRPr="004C6D3F">
        <w:rPr>
          <w:sz w:val="28"/>
          <w:szCs w:val="28"/>
        </w:rPr>
        <w:t>о</w:t>
      </w:r>
      <w:r w:rsidRPr="004C6D3F">
        <w:rPr>
          <w:sz w:val="28"/>
          <w:szCs w:val="28"/>
        </w:rPr>
        <w:t>ны значений иКДО</w:t>
      </w:r>
      <w:r w:rsidRPr="004C6D3F">
        <w:rPr>
          <w:sz w:val="28"/>
          <w:szCs w:val="28"/>
          <w:vertAlign w:val="subscript"/>
        </w:rPr>
        <w:t xml:space="preserve"> </w:t>
      </w:r>
      <w:r w:rsidRPr="004C6D3F">
        <w:rPr>
          <w:sz w:val="28"/>
          <w:szCs w:val="28"/>
        </w:rPr>
        <w:t>ЛЖ на ІІ этапе исследования (</w:t>
      </w:r>
      <w:r w:rsidRPr="004C6D3F">
        <w:rPr>
          <w:rFonts w:ascii="Symbol" w:hAnsi="Symbol" w:cs="Symbol"/>
          <w:sz w:val="28"/>
          <w:szCs w:val="28"/>
        </w:rPr>
        <w:t></w:t>
      </w:r>
      <w:r w:rsidRPr="004C6D3F">
        <w:rPr>
          <w:sz w:val="28"/>
          <w:szCs w:val="28"/>
        </w:rPr>
        <w:t xml:space="preserve"> = -2,044), степенью (в %) изменения КДО</w:t>
      </w:r>
      <w:r w:rsidRPr="004C6D3F">
        <w:rPr>
          <w:bCs/>
          <w:color w:val="000000"/>
          <w:sz w:val="28"/>
          <w:szCs w:val="28"/>
          <w:vertAlign w:val="subscript"/>
        </w:rPr>
        <w:t>мс</w:t>
      </w:r>
      <w:r w:rsidRPr="004C6D3F">
        <w:rPr>
          <w:sz w:val="28"/>
          <w:szCs w:val="28"/>
        </w:rPr>
        <w:t xml:space="preserve"> ЛЖ между І и ІІІ этапами (</w:t>
      </w:r>
      <w:r w:rsidRPr="004C6D3F">
        <w:rPr>
          <w:rFonts w:ascii="Symbol" w:hAnsi="Symbol" w:cs="Symbol"/>
          <w:sz w:val="28"/>
          <w:szCs w:val="28"/>
        </w:rPr>
        <w:t></w:t>
      </w:r>
      <w:r w:rsidRPr="004C6D3F">
        <w:rPr>
          <w:sz w:val="28"/>
          <w:szCs w:val="28"/>
        </w:rPr>
        <w:t xml:space="preserve"> =1,258) и степенью (у %) изменений КСО</w:t>
      </w:r>
      <w:r w:rsidRPr="004C6D3F">
        <w:rPr>
          <w:bCs/>
          <w:color w:val="000000"/>
          <w:sz w:val="28"/>
          <w:szCs w:val="28"/>
          <w:vertAlign w:val="subscript"/>
        </w:rPr>
        <w:t>мс</w:t>
      </w:r>
      <w:r w:rsidRPr="004C6D3F">
        <w:rPr>
          <w:sz w:val="28"/>
          <w:szCs w:val="28"/>
        </w:rPr>
        <w:t xml:space="preserve"> ЛЖ между І и ІІ этапами л</w:t>
      </w:r>
      <w:r w:rsidRPr="004C6D3F">
        <w:rPr>
          <w:sz w:val="28"/>
          <w:szCs w:val="28"/>
        </w:rPr>
        <w:t>е</w:t>
      </w:r>
      <w:r w:rsidRPr="004C6D3F">
        <w:rPr>
          <w:sz w:val="28"/>
          <w:szCs w:val="28"/>
        </w:rPr>
        <w:t>чения (</w:t>
      </w:r>
      <w:r w:rsidRPr="004C6D3F">
        <w:rPr>
          <w:rFonts w:ascii="Symbol" w:hAnsi="Symbol" w:cs="Symbol"/>
          <w:sz w:val="28"/>
          <w:szCs w:val="28"/>
        </w:rPr>
        <w:t></w:t>
      </w:r>
      <w:r w:rsidRPr="004C6D3F">
        <w:rPr>
          <w:sz w:val="28"/>
          <w:szCs w:val="28"/>
        </w:rPr>
        <w:t xml:space="preserve">=0,127). </w:t>
      </w:r>
    </w:p>
    <w:p w:rsidR="003B05B6" w:rsidRPr="004C6D3F" w:rsidRDefault="003B05B6" w:rsidP="003B05B6">
      <w:pPr>
        <w:tabs>
          <w:tab w:val="num" w:pos="360"/>
        </w:tabs>
        <w:spacing w:line="264" w:lineRule="auto"/>
        <w:ind w:firstLine="540"/>
        <w:jc w:val="both"/>
        <w:rPr>
          <w:sz w:val="28"/>
          <w:szCs w:val="28"/>
        </w:rPr>
      </w:pPr>
      <w:r w:rsidRPr="004C6D3F">
        <w:rPr>
          <w:sz w:val="28"/>
          <w:szCs w:val="28"/>
        </w:rPr>
        <w:t>Полученные результаты свидетельствуют о целесообразности раннего применения длител</w:t>
      </w:r>
      <w:r w:rsidRPr="004C6D3F">
        <w:rPr>
          <w:sz w:val="28"/>
          <w:szCs w:val="28"/>
        </w:rPr>
        <w:t>ь</w:t>
      </w:r>
      <w:r w:rsidRPr="004C6D3F">
        <w:rPr>
          <w:sz w:val="28"/>
          <w:szCs w:val="28"/>
        </w:rPr>
        <w:t>ного лечения с использованием высоких доз карведилола у больных с кардиомегалией и ХСН и клиническим диагнозом «хронический диффузный миокардит».</w:t>
      </w:r>
    </w:p>
    <w:p w:rsidR="003B05B6" w:rsidRPr="004C6D3F" w:rsidRDefault="003B05B6" w:rsidP="003B05B6">
      <w:pPr>
        <w:tabs>
          <w:tab w:val="num" w:pos="360"/>
        </w:tabs>
        <w:spacing w:line="264" w:lineRule="auto"/>
        <w:ind w:firstLine="540"/>
        <w:jc w:val="both"/>
        <w:rPr>
          <w:sz w:val="28"/>
          <w:szCs w:val="28"/>
        </w:rPr>
      </w:pPr>
      <w:r w:rsidRPr="004C6D3F">
        <w:rPr>
          <w:b/>
          <w:sz w:val="28"/>
          <w:szCs w:val="28"/>
        </w:rPr>
        <w:t>Ключевые слова:</w:t>
      </w:r>
      <w:r w:rsidRPr="004C6D3F">
        <w:rPr>
          <w:sz w:val="28"/>
          <w:szCs w:val="28"/>
        </w:rPr>
        <w:t xml:space="preserve"> хроническая систолическая сердечная недостаточность, лечение, ремод</w:t>
      </w:r>
      <w:r w:rsidRPr="004C6D3F">
        <w:rPr>
          <w:sz w:val="28"/>
          <w:szCs w:val="28"/>
        </w:rPr>
        <w:t>е</w:t>
      </w:r>
      <w:r w:rsidRPr="004C6D3F">
        <w:rPr>
          <w:sz w:val="28"/>
          <w:szCs w:val="28"/>
        </w:rPr>
        <w:t>лирование сердца, клинико-функциональное состояние больных.</w:t>
      </w:r>
    </w:p>
    <w:p w:rsidR="003B05B6" w:rsidRPr="004C6D3F" w:rsidRDefault="003B05B6" w:rsidP="003B05B6">
      <w:pPr>
        <w:spacing w:line="264" w:lineRule="auto"/>
        <w:ind w:firstLine="708"/>
        <w:jc w:val="both"/>
        <w:rPr>
          <w:sz w:val="28"/>
          <w:szCs w:val="28"/>
        </w:rPr>
      </w:pPr>
    </w:p>
    <w:p w:rsidR="003B05B6" w:rsidRPr="004C6D3F" w:rsidRDefault="003B05B6" w:rsidP="003B05B6">
      <w:pPr>
        <w:spacing w:line="264" w:lineRule="auto"/>
        <w:jc w:val="both"/>
        <w:rPr>
          <w:sz w:val="28"/>
          <w:szCs w:val="28"/>
          <w:lang w:val="uk-UA"/>
        </w:rPr>
      </w:pPr>
    </w:p>
    <w:p w:rsidR="003B05B6" w:rsidRPr="004C6D3F" w:rsidRDefault="003B05B6" w:rsidP="003B05B6">
      <w:pPr>
        <w:spacing w:line="264" w:lineRule="auto"/>
        <w:jc w:val="center"/>
        <w:rPr>
          <w:b/>
          <w:sz w:val="28"/>
          <w:szCs w:val="28"/>
          <w:lang w:val="uk-UA"/>
        </w:rPr>
      </w:pPr>
      <w:r w:rsidRPr="004C6D3F">
        <w:rPr>
          <w:b/>
          <w:sz w:val="28"/>
          <w:szCs w:val="28"/>
          <w:lang w:val="en-US"/>
        </w:rPr>
        <w:lastRenderedPageBreak/>
        <w:t>ANNOTATION</w:t>
      </w:r>
    </w:p>
    <w:p w:rsidR="003B05B6" w:rsidRPr="004C6D3F" w:rsidRDefault="003B05B6" w:rsidP="003B05B6">
      <w:pPr>
        <w:spacing w:line="264" w:lineRule="auto"/>
        <w:jc w:val="both"/>
        <w:rPr>
          <w:sz w:val="28"/>
          <w:szCs w:val="28"/>
          <w:lang w:val="en-US"/>
        </w:rPr>
      </w:pPr>
      <w:r w:rsidRPr="004C6D3F">
        <w:rPr>
          <w:b/>
          <w:sz w:val="28"/>
          <w:szCs w:val="28"/>
          <w:lang w:val="en-US"/>
        </w:rPr>
        <w:t>Onyshchenko</w:t>
      </w:r>
      <w:r w:rsidRPr="004C6D3F">
        <w:rPr>
          <w:b/>
          <w:sz w:val="28"/>
          <w:szCs w:val="28"/>
          <w:lang w:val="uk-UA"/>
        </w:rPr>
        <w:t xml:space="preserve"> О.</w:t>
      </w:r>
      <w:r w:rsidRPr="004C6D3F">
        <w:rPr>
          <w:b/>
          <w:sz w:val="28"/>
          <w:szCs w:val="28"/>
          <w:lang w:val="en-US"/>
        </w:rPr>
        <w:t>V</w:t>
      </w:r>
      <w:r w:rsidRPr="004C6D3F">
        <w:rPr>
          <w:b/>
          <w:sz w:val="28"/>
          <w:szCs w:val="28"/>
          <w:lang w:val="uk-UA"/>
        </w:rPr>
        <w:t>.</w:t>
      </w:r>
      <w:r w:rsidRPr="004C6D3F">
        <w:rPr>
          <w:b/>
          <w:sz w:val="28"/>
          <w:szCs w:val="28"/>
          <w:lang w:val="en-US"/>
        </w:rPr>
        <w:t xml:space="preserve"> Remodeling and dynamics of heart left chambers systolic function and clin</w:t>
      </w:r>
      <w:r w:rsidRPr="004C6D3F">
        <w:rPr>
          <w:b/>
          <w:sz w:val="28"/>
          <w:szCs w:val="28"/>
          <w:lang w:val="en-US"/>
        </w:rPr>
        <w:t>i</w:t>
      </w:r>
      <w:r w:rsidRPr="004C6D3F">
        <w:rPr>
          <w:b/>
          <w:sz w:val="28"/>
          <w:szCs w:val="28"/>
          <w:lang w:val="en-US"/>
        </w:rPr>
        <w:t>cal-functional conditions of patients with cardiomegaly and congestive heart failure of di</w:t>
      </w:r>
      <w:r w:rsidRPr="004C6D3F">
        <w:rPr>
          <w:b/>
          <w:sz w:val="28"/>
          <w:szCs w:val="28"/>
          <w:lang w:val="en-US"/>
        </w:rPr>
        <w:t>f</w:t>
      </w:r>
      <w:r w:rsidRPr="004C6D3F">
        <w:rPr>
          <w:b/>
          <w:sz w:val="28"/>
          <w:szCs w:val="28"/>
          <w:lang w:val="en-US"/>
        </w:rPr>
        <w:t xml:space="preserve">ferent genesis under the long-term syndromes’ pharmacotherapy. </w:t>
      </w:r>
      <w:r w:rsidRPr="004C6D3F">
        <w:rPr>
          <w:sz w:val="28"/>
          <w:szCs w:val="28"/>
          <w:lang w:val="en-US"/>
        </w:rPr>
        <w:t>– Manuscript.</w:t>
      </w:r>
    </w:p>
    <w:p w:rsidR="003B05B6" w:rsidRPr="004C6D3F" w:rsidRDefault="003B05B6" w:rsidP="003B05B6">
      <w:pPr>
        <w:spacing w:line="264" w:lineRule="auto"/>
        <w:ind w:firstLine="709"/>
        <w:jc w:val="both"/>
        <w:rPr>
          <w:sz w:val="28"/>
          <w:szCs w:val="28"/>
          <w:lang w:val="en-US"/>
        </w:rPr>
      </w:pPr>
      <w:r w:rsidRPr="004C6D3F">
        <w:rPr>
          <w:sz w:val="28"/>
          <w:szCs w:val="28"/>
          <w:lang w:val="en-US"/>
        </w:rPr>
        <w:t xml:space="preserve">The thesis for scientific degree for candidate of medical science in speciality </w:t>
      </w:r>
      <w:r w:rsidRPr="004C6D3F">
        <w:rPr>
          <w:sz w:val="28"/>
          <w:szCs w:val="28"/>
          <w:lang w:val="uk-UA"/>
        </w:rPr>
        <w:t>14.01.11 –</w:t>
      </w:r>
      <w:r w:rsidRPr="004C6D3F">
        <w:rPr>
          <w:sz w:val="28"/>
          <w:szCs w:val="28"/>
          <w:lang w:val="en-US"/>
        </w:rPr>
        <w:t xml:space="preserve"> cardio</w:t>
      </w:r>
      <w:r w:rsidRPr="004C6D3F">
        <w:rPr>
          <w:sz w:val="28"/>
          <w:szCs w:val="28"/>
          <w:lang w:val="en-US"/>
        </w:rPr>
        <w:t>l</w:t>
      </w:r>
      <w:r w:rsidRPr="004C6D3F">
        <w:rPr>
          <w:sz w:val="28"/>
          <w:szCs w:val="28"/>
          <w:lang w:val="en-US"/>
        </w:rPr>
        <w:t xml:space="preserve">ogy. – </w:t>
      </w:r>
      <w:smartTag w:uri="urn:schemas-microsoft-com:office:smarttags" w:element="PlaceName">
        <w:r w:rsidRPr="004C6D3F">
          <w:rPr>
            <w:sz w:val="28"/>
            <w:szCs w:val="28"/>
            <w:lang w:val="en-US"/>
          </w:rPr>
          <w:t>National</w:t>
        </w:r>
      </w:smartTag>
      <w:r w:rsidRPr="004C6D3F">
        <w:rPr>
          <w:sz w:val="28"/>
          <w:szCs w:val="28"/>
          <w:lang w:val="en-US"/>
        </w:rPr>
        <w:t xml:space="preserve"> </w:t>
      </w:r>
      <w:smartTag w:uri="urn:schemas-microsoft-com:office:smarttags" w:element="PlaceName">
        <w:r w:rsidRPr="004C6D3F">
          <w:rPr>
            <w:sz w:val="28"/>
            <w:szCs w:val="28"/>
            <w:lang w:val="en-US"/>
          </w:rPr>
          <w:t>Scientific</w:t>
        </w:r>
      </w:smartTag>
      <w:r w:rsidRPr="004C6D3F"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 w:rsidRPr="004C6D3F">
          <w:rPr>
            <w:sz w:val="28"/>
            <w:szCs w:val="28"/>
            <w:lang w:val="en-US"/>
          </w:rPr>
          <w:t>Center</w:t>
        </w:r>
      </w:smartTag>
      <w:r w:rsidRPr="004C6D3F">
        <w:rPr>
          <w:sz w:val="28"/>
          <w:szCs w:val="28"/>
          <w:lang w:val="en-US"/>
        </w:rPr>
        <w:t xml:space="preserve"> “Cardiology Institute named after M.D.Strazhesko” MSA of </w:t>
      </w:r>
      <w:smartTag w:uri="urn:schemas-microsoft-com:office:smarttags" w:element="place">
        <w:smartTag w:uri="urn:schemas-microsoft-com:office:smarttags" w:element="country-region">
          <w:r w:rsidRPr="004C6D3F">
            <w:rPr>
              <w:sz w:val="28"/>
              <w:szCs w:val="28"/>
              <w:lang w:val="en-US"/>
            </w:rPr>
            <w:t>Ukraine</w:t>
          </w:r>
        </w:smartTag>
      </w:smartTag>
      <w:r w:rsidRPr="004C6D3F">
        <w:rPr>
          <w:sz w:val="28"/>
          <w:szCs w:val="28"/>
          <w:lang w:val="en-US"/>
        </w:rPr>
        <w:t>, Kyiv, 200</w:t>
      </w:r>
      <w:r w:rsidRPr="004C6D3F">
        <w:rPr>
          <w:sz w:val="28"/>
          <w:szCs w:val="28"/>
          <w:lang w:val="uk-UA"/>
        </w:rPr>
        <w:t>9</w:t>
      </w:r>
      <w:r w:rsidRPr="004C6D3F">
        <w:rPr>
          <w:sz w:val="28"/>
          <w:szCs w:val="28"/>
          <w:lang w:val="en-US"/>
        </w:rPr>
        <w:t>.</w:t>
      </w:r>
    </w:p>
    <w:p w:rsidR="003B05B6" w:rsidRPr="004C6D3F" w:rsidRDefault="003B05B6" w:rsidP="003B05B6">
      <w:pPr>
        <w:spacing w:line="264" w:lineRule="auto"/>
        <w:ind w:firstLine="709"/>
        <w:jc w:val="both"/>
        <w:rPr>
          <w:sz w:val="28"/>
          <w:szCs w:val="28"/>
          <w:lang w:val="en-US"/>
        </w:rPr>
      </w:pPr>
      <w:r w:rsidRPr="004C6D3F">
        <w:rPr>
          <w:sz w:val="28"/>
          <w:szCs w:val="28"/>
          <w:lang w:val="en-US"/>
        </w:rPr>
        <w:t>The dissertation is devoted to systolic congestive heart failure (CHF) improvement under the co</w:t>
      </w:r>
      <w:r w:rsidRPr="004C6D3F">
        <w:rPr>
          <w:sz w:val="28"/>
          <w:szCs w:val="28"/>
          <w:lang w:val="en-US"/>
        </w:rPr>
        <w:t>n</w:t>
      </w:r>
      <w:r w:rsidRPr="004C6D3F">
        <w:rPr>
          <w:sz w:val="28"/>
          <w:szCs w:val="28"/>
          <w:lang w:val="en-US"/>
        </w:rPr>
        <w:t xml:space="preserve">trastive examination of clinical-functional and ultrasound indices of patients with cardiomegaly and CHF of different genesis as affected long-term syndrome treatment with the use of carvedilol high therapeutic doses. </w:t>
      </w:r>
    </w:p>
    <w:p w:rsidR="003B05B6" w:rsidRPr="004C6D3F" w:rsidRDefault="003B05B6" w:rsidP="003B05B6">
      <w:pPr>
        <w:spacing w:line="264" w:lineRule="auto"/>
        <w:ind w:firstLine="540"/>
        <w:jc w:val="both"/>
        <w:rPr>
          <w:sz w:val="28"/>
          <w:szCs w:val="28"/>
          <w:lang w:val="en-US"/>
        </w:rPr>
      </w:pPr>
      <w:r w:rsidRPr="004C6D3F">
        <w:rPr>
          <w:sz w:val="28"/>
          <w:szCs w:val="28"/>
          <w:lang w:val="en-US"/>
        </w:rPr>
        <w:t xml:space="preserve">It was proved, that </w:t>
      </w:r>
      <w:r w:rsidRPr="004C6D3F">
        <w:rPr>
          <w:sz w:val="28"/>
          <w:szCs w:val="28"/>
          <w:lang w:val="en-US" w:eastAsia="uk-UA"/>
        </w:rPr>
        <w:t xml:space="preserve">due to slow titration (on the average 12,08±0,99 months) the high </w:t>
      </w:r>
      <w:r w:rsidRPr="004C6D3F">
        <w:rPr>
          <w:sz w:val="28"/>
          <w:szCs w:val="28"/>
          <w:lang w:val="en-US"/>
        </w:rPr>
        <w:t xml:space="preserve">therapeutic </w:t>
      </w:r>
      <w:r w:rsidRPr="004C6D3F">
        <w:rPr>
          <w:sz w:val="28"/>
          <w:szCs w:val="28"/>
          <w:lang w:val="en-US" w:eastAsia="uk-UA"/>
        </w:rPr>
        <w:t xml:space="preserve">dose of carvedilol (100 mg/daily) are succeeded to attain in 76,7% and optimal dose of enalapril (20 mg/daily) </w:t>
      </w:r>
      <w:r>
        <w:rPr>
          <w:sz w:val="28"/>
          <w:szCs w:val="28"/>
          <w:lang w:val="uk-UA" w:eastAsia="uk-UA"/>
        </w:rPr>
        <w:t xml:space="preserve">- </w:t>
      </w:r>
      <w:r>
        <w:rPr>
          <w:sz w:val="28"/>
          <w:szCs w:val="28"/>
          <w:lang w:val="en-US" w:eastAsia="uk-UA"/>
        </w:rPr>
        <w:t>in</w:t>
      </w:r>
      <w:r w:rsidRPr="004C6D3F">
        <w:rPr>
          <w:sz w:val="28"/>
          <w:szCs w:val="28"/>
          <w:lang w:val="en-US" w:eastAsia="uk-UA"/>
        </w:rPr>
        <w:t xml:space="preserve"> 75,8% patients with cardiomegaly and CHF </w:t>
      </w:r>
      <w:r w:rsidRPr="004C6D3F">
        <w:rPr>
          <w:vanish/>
          <w:sz w:val="28"/>
          <w:szCs w:val="28"/>
          <w:lang w:val="uk-UA" w:eastAsia="uk-UA"/>
        </w:rPr>
        <w:t>|</w:t>
      </w:r>
      <w:r w:rsidRPr="004C6D3F">
        <w:rPr>
          <w:sz w:val="28"/>
          <w:szCs w:val="28"/>
          <w:lang w:val="en-US" w:eastAsia="uk-UA"/>
        </w:rPr>
        <w:t>of different</w:t>
      </w:r>
      <w:r w:rsidRPr="004C6D3F">
        <w:rPr>
          <w:vanish/>
          <w:sz w:val="28"/>
          <w:szCs w:val="28"/>
          <w:lang w:val="en-US" w:eastAsia="uk-UA"/>
        </w:rPr>
        <w:t>|diverse|</w:t>
      </w:r>
      <w:r w:rsidRPr="004C6D3F">
        <w:rPr>
          <w:sz w:val="28"/>
          <w:szCs w:val="28"/>
          <w:lang w:val="en-US" w:eastAsia="uk-UA"/>
        </w:rPr>
        <w:t xml:space="preserve"> genesis accordingly. It is exposed, that such therapy during long while is well carried by patients, does not cause serious side effects, does not worsen a five-year prognosis, results in proof</w:t>
      </w:r>
      <w:r w:rsidRPr="004C6D3F">
        <w:rPr>
          <w:vanish/>
          <w:sz w:val="28"/>
          <w:szCs w:val="28"/>
          <w:lang w:val="en-US" w:eastAsia="uk-UA"/>
        </w:rPr>
        <w:t>|firm|</w:t>
      </w:r>
      <w:r w:rsidRPr="004C6D3F">
        <w:rPr>
          <w:sz w:val="28"/>
          <w:szCs w:val="28"/>
          <w:lang w:val="en-US" w:eastAsia="uk-UA"/>
        </w:rPr>
        <w:t xml:space="preserve"> </w:t>
      </w:r>
      <w:r w:rsidRPr="004C6D3F">
        <w:rPr>
          <w:sz w:val="28"/>
          <w:szCs w:val="28"/>
          <w:lang w:val="en-US"/>
        </w:rPr>
        <w:t xml:space="preserve">improvement of patients’ functional class and lowering of furosemide week’s dose regardless of syndrome aetiology. </w:t>
      </w:r>
      <w:r>
        <w:rPr>
          <w:sz w:val="28"/>
          <w:szCs w:val="28"/>
          <w:lang w:val="en-US"/>
        </w:rPr>
        <w:t xml:space="preserve">However only in patients with </w:t>
      </w:r>
      <w:r w:rsidRPr="004C6D3F">
        <w:rPr>
          <w:sz w:val="28"/>
          <w:szCs w:val="28"/>
          <w:lang w:val="en-US"/>
        </w:rPr>
        <w:t xml:space="preserve">clinical diagnosis «chronic diffuse myocarditis» </w:t>
      </w:r>
      <w:r w:rsidRPr="004C6D3F">
        <w:rPr>
          <w:sz w:val="28"/>
          <w:szCs w:val="28"/>
          <w:lang w:val="en-US" w:eastAsia="uk-UA"/>
        </w:rPr>
        <w:t xml:space="preserve">offered treatment </w:t>
      </w:r>
      <w:r>
        <w:rPr>
          <w:sz w:val="28"/>
          <w:szCs w:val="28"/>
          <w:lang w:val="en-US" w:eastAsia="uk-UA"/>
        </w:rPr>
        <w:t xml:space="preserve">conduced left heart </w:t>
      </w:r>
      <w:r w:rsidRPr="000B25B8">
        <w:rPr>
          <w:sz w:val="28"/>
          <w:szCs w:val="28"/>
          <w:lang w:val="en-US" w:eastAsia="uk-UA"/>
        </w:rPr>
        <w:t>chamber</w:t>
      </w:r>
      <w:r>
        <w:rPr>
          <w:sz w:val="28"/>
          <w:szCs w:val="28"/>
          <w:lang w:val="en-US" w:eastAsia="uk-UA"/>
        </w:rPr>
        <w:t xml:space="preserve">s’ reverse remodeling and lead to </w:t>
      </w:r>
      <w:r w:rsidRPr="004C6D3F">
        <w:rPr>
          <w:sz w:val="28"/>
          <w:szCs w:val="28"/>
          <w:lang w:val="en-US"/>
        </w:rPr>
        <w:t>normalization of</w:t>
      </w:r>
      <w:r w:rsidRPr="004C6D3F">
        <w:rPr>
          <w:vanish/>
          <w:sz w:val="28"/>
          <w:szCs w:val="28"/>
          <w:lang w:val="en-US"/>
        </w:rPr>
        <w:t>|indexable|</w:t>
      </w:r>
      <w:r w:rsidRPr="004C6D3F">
        <w:rPr>
          <w:sz w:val="28"/>
          <w:szCs w:val="28"/>
          <w:lang w:val="en-US"/>
        </w:rPr>
        <w:t xml:space="preserve"> meaning of LV </w:t>
      </w:r>
      <w:r>
        <w:rPr>
          <w:sz w:val="28"/>
          <w:szCs w:val="28"/>
          <w:lang w:val="en-US"/>
        </w:rPr>
        <w:t>i</w:t>
      </w:r>
      <w:r w:rsidRPr="004C6D3F">
        <w:rPr>
          <w:sz w:val="28"/>
          <w:szCs w:val="28"/>
          <w:lang w:val="en-US"/>
        </w:rPr>
        <w:t xml:space="preserve">EDV </w:t>
      </w:r>
      <w:r>
        <w:rPr>
          <w:sz w:val="28"/>
          <w:szCs w:val="28"/>
          <w:lang w:val="en-US" w:eastAsia="uk-UA"/>
        </w:rPr>
        <w:t xml:space="preserve">in </w:t>
      </w:r>
      <w:r w:rsidRPr="004C6D3F">
        <w:rPr>
          <w:sz w:val="28"/>
          <w:szCs w:val="28"/>
          <w:lang w:val="uk-UA"/>
        </w:rPr>
        <w:t>30%</w:t>
      </w:r>
      <w:r>
        <w:rPr>
          <w:sz w:val="28"/>
          <w:szCs w:val="28"/>
          <w:lang w:val="uk-UA"/>
        </w:rPr>
        <w:t>,</w:t>
      </w:r>
      <w:r w:rsidRPr="004C6D3F">
        <w:rPr>
          <w:sz w:val="28"/>
          <w:szCs w:val="28"/>
          <w:lang w:val="uk-UA"/>
        </w:rPr>
        <w:t xml:space="preserve"> </w:t>
      </w:r>
      <w:r w:rsidRPr="004C6D3F">
        <w:rPr>
          <w:sz w:val="28"/>
          <w:szCs w:val="28"/>
          <w:lang w:val="en-US"/>
        </w:rPr>
        <w:t>LVEF</w:t>
      </w:r>
      <w:r>
        <w:rPr>
          <w:sz w:val="28"/>
          <w:szCs w:val="28"/>
          <w:lang w:val="en-US" w:eastAsia="uk-UA"/>
        </w:rPr>
        <w:t xml:space="preserve"> – in </w:t>
      </w:r>
      <w:r w:rsidRPr="004C6D3F">
        <w:rPr>
          <w:sz w:val="28"/>
          <w:szCs w:val="28"/>
          <w:lang w:val="uk-UA"/>
        </w:rPr>
        <w:t>52,4%</w:t>
      </w:r>
      <w:r>
        <w:rPr>
          <w:sz w:val="28"/>
          <w:szCs w:val="28"/>
          <w:lang w:val="uk-UA"/>
        </w:rPr>
        <w:t xml:space="preserve">, </w:t>
      </w:r>
      <w:smartTag w:uri="urn:schemas-microsoft-com:office:smarttags" w:element="PersonName">
        <w:smartTagPr>
          <w:attr w:name="ProductID" w:val="LA ESV"/>
        </w:smartTagPr>
        <w:r w:rsidRPr="004C6D3F">
          <w:rPr>
            <w:sz w:val="28"/>
            <w:szCs w:val="28"/>
            <w:lang w:val="en-US"/>
          </w:rPr>
          <w:t>LA ESV</w:t>
        </w:r>
      </w:smartTag>
      <w:r w:rsidRPr="004C6D3F">
        <w:rPr>
          <w:sz w:val="28"/>
          <w:szCs w:val="28"/>
          <w:lang w:val="en-US"/>
        </w:rPr>
        <w:t xml:space="preserve"> index </w:t>
      </w:r>
      <w:r>
        <w:rPr>
          <w:sz w:val="28"/>
          <w:szCs w:val="28"/>
          <w:lang w:val="en-US"/>
        </w:rPr>
        <w:t xml:space="preserve">– in </w:t>
      </w:r>
      <w:r w:rsidRPr="004C6D3F">
        <w:rPr>
          <w:sz w:val="28"/>
          <w:szCs w:val="28"/>
          <w:lang w:val="uk-UA"/>
        </w:rPr>
        <w:t>45%</w:t>
      </w:r>
      <w:r>
        <w:rPr>
          <w:sz w:val="28"/>
          <w:szCs w:val="28"/>
          <w:lang w:val="en-US"/>
        </w:rPr>
        <w:t xml:space="preserve"> of such patients. </w:t>
      </w:r>
      <w:r w:rsidRPr="004C6D3F">
        <w:rPr>
          <w:sz w:val="28"/>
          <w:szCs w:val="28"/>
          <w:lang w:val="en-US"/>
        </w:rPr>
        <w:t xml:space="preserve">Patients in which normalization of LV cavity </w:t>
      </w:r>
      <w:r w:rsidRPr="004C6D3F">
        <w:rPr>
          <w:vanish/>
          <w:sz w:val="28"/>
          <w:szCs w:val="28"/>
          <w:lang w:val="en-US"/>
        </w:rPr>
        <w:t>|what</w:t>
      </w:r>
      <w:r w:rsidRPr="004C6D3F">
        <w:rPr>
          <w:sz w:val="28"/>
          <w:szCs w:val="28"/>
          <w:lang w:val="en-US"/>
        </w:rPr>
        <w:t>is succeeded</w:t>
      </w:r>
      <w:r w:rsidRPr="004C6D3F">
        <w:rPr>
          <w:vanish/>
          <w:sz w:val="28"/>
          <w:szCs w:val="28"/>
          <w:lang w:val="en-US"/>
        </w:rPr>
        <w:t>|resorted|</w:t>
      </w:r>
      <w:r w:rsidRPr="004C6D3F">
        <w:rPr>
          <w:sz w:val="28"/>
          <w:szCs w:val="28"/>
          <w:lang w:val="en-US"/>
        </w:rPr>
        <w:t xml:space="preserve"> to attain </w:t>
      </w:r>
      <w:r w:rsidRPr="004C6D3F">
        <w:rPr>
          <w:vanish/>
          <w:sz w:val="28"/>
          <w:szCs w:val="28"/>
          <w:lang w:val="uk-UA"/>
        </w:rPr>
        <w:t>|</w:t>
      </w:r>
      <w:r w:rsidRPr="004C6D3F">
        <w:rPr>
          <w:sz w:val="28"/>
          <w:szCs w:val="28"/>
          <w:lang w:val="en-US"/>
        </w:rPr>
        <w:t>are characterized</w:t>
      </w:r>
      <w:r w:rsidRPr="004C6D3F">
        <w:rPr>
          <w:vanish/>
          <w:sz w:val="28"/>
          <w:szCs w:val="28"/>
          <w:lang w:val="en-US"/>
        </w:rPr>
        <w:t>|described|</w:t>
      </w:r>
      <w:r w:rsidRPr="004C6D3F">
        <w:rPr>
          <w:sz w:val="28"/>
          <w:szCs w:val="28"/>
          <w:lang w:val="en-US"/>
        </w:rPr>
        <w:t xml:space="preserve"> by less</w:t>
      </w:r>
      <w:r w:rsidRPr="004C6D3F">
        <w:rPr>
          <w:vanish/>
          <w:sz w:val="28"/>
          <w:szCs w:val="28"/>
          <w:lang w:val="en-US"/>
        </w:rPr>
        <w:t>|lesser,smaller|</w:t>
      </w:r>
      <w:r w:rsidRPr="004C6D3F">
        <w:rPr>
          <w:sz w:val="28"/>
          <w:szCs w:val="28"/>
          <w:lang w:val="en-US"/>
        </w:rPr>
        <w:t xml:space="preserve"> duration of CHF symptoms (5,54±1,48 months)</w:t>
      </w:r>
      <w:r>
        <w:rPr>
          <w:sz w:val="28"/>
          <w:szCs w:val="28"/>
          <w:lang w:val="en-US"/>
        </w:rPr>
        <w:t xml:space="preserve"> and </w:t>
      </w:r>
      <w:r w:rsidRPr="004C6D3F">
        <w:rPr>
          <w:sz w:val="28"/>
          <w:szCs w:val="28"/>
          <w:lang w:val="en-US"/>
        </w:rPr>
        <w:t>more high initial</w:t>
      </w:r>
      <w:r w:rsidRPr="004C6D3F">
        <w:rPr>
          <w:vanish/>
          <w:sz w:val="28"/>
          <w:szCs w:val="28"/>
          <w:lang w:val="en-US"/>
        </w:rPr>
        <w:t>|elementary|</w:t>
      </w:r>
      <w:r w:rsidRPr="004C6D3F">
        <w:rPr>
          <w:sz w:val="28"/>
          <w:szCs w:val="28"/>
          <w:lang w:val="en-US"/>
        </w:rPr>
        <w:t xml:space="preserve"> level of systolic blood pressure</w:t>
      </w:r>
      <w:r w:rsidRPr="004C6D3F">
        <w:rPr>
          <w:vanish/>
          <w:sz w:val="28"/>
          <w:szCs w:val="28"/>
          <w:lang w:val="uk-UA"/>
        </w:rPr>
        <w:t>|</w:t>
      </w:r>
      <w:r w:rsidRPr="004C6D3F">
        <w:rPr>
          <w:sz w:val="28"/>
          <w:szCs w:val="28"/>
          <w:lang w:val="en-US"/>
        </w:rPr>
        <w:t xml:space="preserve"> (125,00±5,40 mmHg).</w:t>
      </w:r>
    </w:p>
    <w:p w:rsidR="003B05B6" w:rsidRDefault="003B05B6" w:rsidP="003B05B6">
      <w:pPr>
        <w:spacing w:line="264" w:lineRule="auto"/>
        <w:ind w:firstLine="540"/>
        <w:jc w:val="both"/>
        <w:rPr>
          <w:sz w:val="28"/>
          <w:szCs w:val="28"/>
          <w:lang w:val="en-US"/>
        </w:rPr>
      </w:pPr>
      <w:r w:rsidRPr="000B25B8">
        <w:rPr>
          <w:b/>
          <w:sz w:val="28"/>
          <w:szCs w:val="28"/>
          <w:lang w:val="en-US"/>
        </w:rPr>
        <w:t>Keywords:</w:t>
      </w:r>
      <w:r w:rsidRPr="000B25B8">
        <w:rPr>
          <w:sz w:val="28"/>
          <w:szCs w:val="28"/>
          <w:lang w:val="en-US"/>
        </w:rPr>
        <w:t xml:space="preserve"> chronic systolic heart failure, treatment, remodeling| of heart, clinical-functional state</w:t>
      </w:r>
      <w:r>
        <w:rPr>
          <w:sz w:val="28"/>
          <w:szCs w:val="28"/>
          <w:lang w:val="en-US"/>
        </w:rPr>
        <w:t xml:space="preserve"> </w:t>
      </w:r>
      <w:r w:rsidRPr="000B25B8">
        <w:rPr>
          <w:sz w:val="28"/>
          <w:szCs w:val="28"/>
          <w:lang w:val="en-US"/>
        </w:rPr>
        <w:t>of patients.</w:t>
      </w:r>
    </w:p>
    <w:p w:rsidR="003B05B6" w:rsidRDefault="003B05B6" w:rsidP="003B05B6">
      <w:pPr>
        <w:pStyle w:val="10"/>
        <w:spacing w:line="264" w:lineRule="auto"/>
        <w:rPr>
          <w:szCs w:val="28"/>
        </w:rPr>
      </w:pPr>
    </w:p>
    <w:p w:rsidR="003B05B6" w:rsidRDefault="003B05B6" w:rsidP="003B05B6">
      <w:pPr>
        <w:pStyle w:val="10"/>
        <w:keepNext w:val="0"/>
        <w:spacing w:line="264" w:lineRule="auto"/>
        <w:rPr>
          <w:szCs w:val="28"/>
          <w:lang w:val="en-US"/>
        </w:rPr>
      </w:pPr>
    </w:p>
    <w:p w:rsidR="003B05B6" w:rsidRPr="004C6D3F" w:rsidRDefault="003B05B6" w:rsidP="003B05B6">
      <w:pPr>
        <w:pStyle w:val="10"/>
        <w:keepNext w:val="0"/>
        <w:spacing w:line="264" w:lineRule="auto"/>
        <w:rPr>
          <w:szCs w:val="28"/>
        </w:rPr>
      </w:pPr>
      <w:r w:rsidRPr="004C6D3F">
        <w:rPr>
          <w:szCs w:val="28"/>
        </w:rPr>
        <w:t>ПЕРЕЛІК УМОВНИХ СКОРОЧЕНЬ</w:t>
      </w:r>
    </w:p>
    <w:p w:rsidR="003B05B6" w:rsidRPr="004C6D3F" w:rsidRDefault="003B05B6" w:rsidP="003B05B6">
      <w:pPr>
        <w:spacing w:line="264" w:lineRule="auto"/>
        <w:rPr>
          <w:sz w:val="28"/>
          <w:szCs w:val="28"/>
          <w:lang w:val="uk-UA" w:eastAsia="uk-UA"/>
        </w:rPr>
      </w:pPr>
      <w:r w:rsidRPr="004C6D3F">
        <w:rPr>
          <w:sz w:val="28"/>
          <w:szCs w:val="28"/>
          <w:lang w:val="uk-UA" w:eastAsia="uk-UA"/>
        </w:rPr>
        <w:t>АГ – артеріальна гіпертензія</w:t>
      </w:r>
    </w:p>
    <w:p w:rsidR="003B05B6" w:rsidRPr="004C6D3F" w:rsidRDefault="003B05B6" w:rsidP="003B05B6">
      <w:pPr>
        <w:spacing w:line="264" w:lineRule="auto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БАБ - бета-адреноблокатор</w:t>
      </w:r>
    </w:p>
    <w:p w:rsidR="003B05B6" w:rsidRPr="004C6D3F" w:rsidRDefault="003B05B6" w:rsidP="003B05B6">
      <w:pPr>
        <w:spacing w:line="264" w:lineRule="auto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lastRenderedPageBreak/>
        <w:t>ВТМ - відносна товщина міокарду</w:t>
      </w:r>
    </w:p>
    <w:p w:rsidR="003B05B6" w:rsidRPr="004C6D3F" w:rsidRDefault="003B05B6" w:rsidP="003B05B6">
      <w:pPr>
        <w:spacing w:line="264" w:lineRule="auto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ДАТ – діастоличний артеріальний тиск</w:t>
      </w:r>
    </w:p>
    <w:p w:rsidR="003B05B6" w:rsidRPr="004C6D3F" w:rsidRDefault="003B05B6" w:rsidP="003B05B6">
      <w:pPr>
        <w:spacing w:line="264" w:lineRule="auto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ДКМП – дилатаційна кардіоміопатія</w:t>
      </w:r>
    </w:p>
    <w:p w:rsidR="003B05B6" w:rsidRPr="004C6D3F" w:rsidRDefault="003B05B6" w:rsidP="003B05B6">
      <w:pPr>
        <w:spacing w:line="264" w:lineRule="auto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ЕКГ – електрокардіографія</w:t>
      </w:r>
    </w:p>
    <w:p w:rsidR="003B05B6" w:rsidRPr="004C6D3F" w:rsidRDefault="003B05B6" w:rsidP="003B05B6">
      <w:pPr>
        <w:spacing w:line="264" w:lineRule="auto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ЕхоКГ – ехокардіографія</w:t>
      </w:r>
    </w:p>
    <w:p w:rsidR="003B05B6" w:rsidRPr="004C6D3F" w:rsidRDefault="003B05B6" w:rsidP="003B05B6">
      <w:pPr>
        <w:spacing w:line="264" w:lineRule="auto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ЗД – здорові донори</w:t>
      </w:r>
    </w:p>
    <w:p w:rsidR="003B05B6" w:rsidRPr="004C6D3F" w:rsidRDefault="003B05B6" w:rsidP="003B05B6">
      <w:pPr>
        <w:spacing w:line="264" w:lineRule="auto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іАПФ - інгібітор ангіотензинперетворюючого ферменту </w:t>
      </w:r>
    </w:p>
    <w:p w:rsidR="003B05B6" w:rsidRPr="004C6D3F" w:rsidRDefault="003B05B6" w:rsidP="003B05B6">
      <w:pPr>
        <w:spacing w:line="264" w:lineRule="auto"/>
        <w:rPr>
          <w:sz w:val="28"/>
          <w:szCs w:val="28"/>
          <w:lang w:val="uk-UA" w:eastAsia="uk-UA"/>
        </w:rPr>
      </w:pPr>
      <w:r w:rsidRPr="004C6D3F">
        <w:rPr>
          <w:sz w:val="28"/>
          <w:szCs w:val="28"/>
          <w:lang w:val="uk-UA"/>
        </w:rPr>
        <w:t>іКДО</w:t>
      </w:r>
      <w:r w:rsidRPr="004C6D3F">
        <w:rPr>
          <w:sz w:val="28"/>
          <w:szCs w:val="28"/>
          <w:lang w:val="uk-UA" w:eastAsia="uk-UA"/>
        </w:rPr>
        <w:t xml:space="preserve"> – індексовані значення кінцево-діастолічного об’єму</w:t>
      </w:r>
    </w:p>
    <w:p w:rsidR="003B05B6" w:rsidRPr="004C6D3F" w:rsidRDefault="003B05B6" w:rsidP="003B05B6">
      <w:pPr>
        <w:spacing w:line="264" w:lineRule="auto"/>
        <w:rPr>
          <w:sz w:val="28"/>
          <w:szCs w:val="28"/>
          <w:lang w:val="uk-UA" w:eastAsia="uk-UA"/>
        </w:rPr>
      </w:pPr>
      <w:r w:rsidRPr="004C6D3F">
        <w:rPr>
          <w:sz w:val="28"/>
          <w:szCs w:val="28"/>
          <w:lang w:val="uk-UA" w:eastAsia="uk-UA"/>
        </w:rPr>
        <w:t>іКСО – індексовані значення кінцево-систолічного об’єму</w:t>
      </w:r>
    </w:p>
    <w:p w:rsidR="003B05B6" w:rsidRPr="004C6D3F" w:rsidRDefault="003B05B6" w:rsidP="003B05B6">
      <w:pPr>
        <w:spacing w:line="264" w:lineRule="auto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іСФ – індекс сферичності порожнини серця</w:t>
      </w:r>
    </w:p>
    <w:p w:rsidR="003B05B6" w:rsidRPr="004C6D3F" w:rsidRDefault="003B05B6" w:rsidP="003B05B6">
      <w:pPr>
        <w:spacing w:line="264" w:lineRule="auto"/>
        <w:rPr>
          <w:sz w:val="28"/>
          <w:szCs w:val="28"/>
          <w:lang w:val="uk-UA" w:eastAsia="uk-UA"/>
        </w:rPr>
      </w:pPr>
      <w:r w:rsidRPr="004C6D3F">
        <w:rPr>
          <w:sz w:val="28"/>
          <w:szCs w:val="28"/>
          <w:lang w:val="uk-UA" w:eastAsia="uk-UA"/>
        </w:rPr>
        <w:t>КДО – кінцево-діастолічний об’єм</w:t>
      </w:r>
    </w:p>
    <w:p w:rsidR="003B05B6" w:rsidRPr="004C6D3F" w:rsidRDefault="003B05B6" w:rsidP="003B05B6">
      <w:pPr>
        <w:spacing w:line="264" w:lineRule="auto"/>
        <w:rPr>
          <w:sz w:val="28"/>
          <w:szCs w:val="28"/>
          <w:lang w:val="uk-UA" w:eastAsia="uk-UA"/>
        </w:rPr>
      </w:pPr>
      <w:r w:rsidRPr="004C6D3F">
        <w:rPr>
          <w:sz w:val="28"/>
          <w:szCs w:val="28"/>
          <w:lang w:val="uk-UA" w:eastAsia="uk-UA"/>
        </w:rPr>
        <w:t>КСО – кінцево- систолічний об’єм</w:t>
      </w:r>
    </w:p>
    <w:p w:rsidR="003B05B6" w:rsidRPr="004C6D3F" w:rsidRDefault="003B05B6" w:rsidP="003B05B6">
      <w:pPr>
        <w:spacing w:line="264" w:lineRule="auto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КВГ – </w:t>
      </w:r>
      <w:r w:rsidRPr="004C6D3F">
        <w:rPr>
          <w:sz w:val="28"/>
          <w:szCs w:val="28"/>
          <w:lang w:val="uk-UA" w:eastAsia="uk-UA"/>
        </w:rPr>
        <w:t>коронаровентрикулографія</w:t>
      </w:r>
    </w:p>
    <w:p w:rsidR="003B05B6" w:rsidRPr="004C6D3F" w:rsidRDefault="003B05B6" w:rsidP="003B05B6">
      <w:pPr>
        <w:spacing w:line="264" w:lineRule="auto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ЛП – ліве передсердя</w:t>
      </w:r>
    </w:p>
    <w:p w:rsidR="003B05B6" w:rsidRPr="004C6D3F" w:rsidRDefault="003B05B6" w:rsidP="003B05B6">
      <w:pPr>
        <w:spacing w:line="264" w:lineRule="auto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ЛШ – лівий шлуночок</w:t>
      </w:r>
    </w:p>
    <w:p w:rsidR="003B05B6" w:rsidRPr="004C6D3F" w:rsidRDefault="003B05B6" w:rsidP="003B05B6">
      <w:pPr>
        <w:spacing w:line="264" w:lineRule="auto"/>
        <w:rPr>
          <w:sz w:val="28"/>
          <w:szCs w:val="28"/>
          <w:lang w:val="uk-UA" w:eastAsia="uk-UA"/>
        </w:rPr>
      </w:pPr>
      <w:r w:rsidRPr="004C6D3F">
        <w:rPr>
          <w:sz w:val="28"/>
          <w:szCs w:val="28"/>
          <w:lang w:val="uk-UA"/>
        </w:rPr>
        <w:t xml:space="preserve">МСКТ – </w:t>
      </w:r>
      <w:r w:rsidRPr="004C6D3F">
        <w:rPr>
          <w:sz w:val="28"/>
          <w:szCs w:val="28"/>
          <w:lang w:val="uk-UA" w:eastAsia="uk-UA"/>
        </w:rPr>
        <w:t>мультиспіральна комп'ютерна томографія</w:t>
      </w:r>
    </w:p>
    <w:p w:rsidR="003B05B6" w:rsidRPr="004C6D3F" w:rsidRDefault="003B05B6" w:rsidP="003B05B6">
      <w:pPr>
        <w:spacing w:line="264" w:lineRule="auto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МШП – міжшлуночкова перетинка</w:t>
      </w:r>
    </w:p>
    <w:p w:rsidR="003B05B6" w:rsidRPr="004C6D3F" w:rsidRDefault="003B05B6" w:rsidP="003B05B6">
      <w:pPr>
        <w:spacing w:line="264" w:lineRule="auto"/>
        <w:rPr>
          <w:sz w:val="28"/>
          <w:szCs w:val="28"/>
          <w:lang w:val="uk-UA" w:eastAsia="uk-UA"/>
        </w:rPr>
      </w:pPr>
      <w:r w:rsidRPr="004C6D3F">
        <w:rPr>
          <w:sz w:val="28"/>
          <w:szCs w:val="28"/>
          <w:lang w:val="uk-UA" w:eastAsia="uk-UA"/>
        </w:rPr>
        <w:t>ПБЛНПГ - повна блокада лівої ніжки п. Гіса</w:t>
      </w:r>
    </w:p>
    <w:p w:rsidR="003B05B6" w:rsidRPr="004C6D3F" w:rsidRDefault="003B05B6" w:rsidP="003B05B6">
      <w:pPr>
        <w:spacing w:line="264" w:lineRule="auto"/>
        <w:rPr>
          <w:sz w:val="28"/>
          <w:szCs w:val="28"/>
          <w:lang w:val="uk-UA" w:eastAsia="uk-UA"/>
        </w:rPr>
      </w:pPr>
      <w:r w:rsidRPr="004C6D3F">
        <w:rPr>
          <w:sz w:val="28"/>
          <w:szCs w:val="28"/>
          <w:lang w:val="uk-UA" w:eastAsia="uk-UA"/>
        </w:rPr>
        <w:t>ПБПНПГ - повна блокада правої ніжки п. Гіса</w:t>
      </w:r>
    </w:p>
    <w:p w:rsidR="003B05B6" w:rsidRPr="004C6D3F" w:rsidRDefault="003B05B6" w:rsidP="003B05B6">
      <w:pPr>
        <w:spacing w:line="264" w:lineRule="auto"/>
        <w:rPr>
          <w:rFonts w:cs="MinionPro-Regular"/>
          <w:color w:val="000000"/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РААС - </w:t>
      </w:r>
      <w:r w:rsidRPr="004C6D3F">
        <w:rPr>
          <w:rFonts w:cs="MinionPro-Regular"/>
          <w:color w:val="000000"/>
          <w:sz w:val="28"/>
          <w:szCs w:val="28"/>
          <w:lang w:val="uk-UA"/>
        </w:rPr>
        <w:t>ренін-ангіотензин-альдостеронова система</w:t>
      </w:r>
    </w:p>
    <w:p w:rsidR="003B05B6" w:rsidRPr="004C6D3F" w:rsidRDefault="003B05B6" w:rsidP="003B05B6">
      <w:pPr>
        <w:spacing w:line="264" w:lineRule="auto"/>
        <w:rPr>
          <w:rFonts w:cs="MinionPro-Regular"/>
          <w:color w:val="000000"/>
          <w:sz w:val="28"/>
          <w:szCs w:val="28"/>
          <w:lang w:val="uk-UA"/>
        </w:rPr>
      </w:pPr>
      <w:r w:rsidRPr="004C6D3F">
        <w:rPr>
          <w:rFonts w:cs="MinionPro-Regular"/>
          <w:color w:val="000000"/>
          <w:sz w:val="28"/>
          <w:szCs w:val="28"/>
          <w:lang w:val="uk-UA"/>
        </w:rPr>
        <w:t>САС - симпатоадреналова система</w:t>
      </w:r>
    </w:p>
    <w:p w:rsidR="003B05B6" w:rsidRPr="004C6D3F" w:rsidRDefault="003B05B6" w:rsidP="003B05B6">
      <w:pPr>
        <w:spacing w:line="264" w:lineRule="auto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САТ – систолічний артеріальний тиск</w:t>
      </w:r>
    </w:p>
    <w:p w:rsidR="003B05B6" w:rsidRPr="004C6D3F" w:rsidRDefault="003B05B6" w:rsidP="003B05B6">
      <w:pPr>
        <w:spacing w:line="264" w:lineRule="auto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ФВ – фракція викиду</w:t>
      </w:r>
    </w:p>
    <w:p w:rsidR="003B05B6" w:rsidRPr="004C6D3F" w:rsidRDefault="003B05B6" w:rsidP="003B05B6">
      <w:pPr>
        <w:spacing w:line="264" w:lineRule="auto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ФК - функціональний клас </w:t>
      </w:r>
    </w:p>
    <w:p w:rsidR="003B05B6" w:rsidRPr="004C6D3F" w:rsidRDefault="003B05B6" w:rsidP="003B05B6">
      <w:pPr>
        <w:spacing w:line="264" w:lineRule="auto"/>
        <w:rPr>
          <w:sz w:val="28"/>
          <w:szCs w:val="28"/>
          <w:lang w:val="uk-UA" w:eastAsia="uk-UA"/>
        </w:rPr>
      </w:pPr>
      <w:r w:rsidRPr="004C6D3F">
        <w:rPr>
          <w:sz w:val="28"/>
          <w:szCs w:val="28"/>
          <w:lang w:val="uk-UA" w:eastAsia="uk-UA"/>
        </w:rPr>
        <w:t>ФП – фібриляція передсердь</w:t>
      </w:r>
    </w:p>
    <w:p w:rsidR="003B05B6" w:rsidRPr="004C6D3F" w:rsidRDefault="003B05B6" w:rsidP="003B05B6">
      <w:pPr>
        <w:spacing w:line="264" w:lineRule="auto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ФРС - функція ризику смерті</w:t>
      </w:r>
    </w:p>
    <w:p w:rsidR="003B05B6" w:rsidRPr="004C6D3F" w:rsidRDefault="003B05B6" w:rsidP="003B05B6">
      <w:pPr>
        <w:spacing w:line="264" w:lineRule="auto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ХМ – хронічний дифузний міокардит</w:t>
      </w:r>
    </w:p>
    <w:p w:rsidR="003B05B6" w:rsidRPr="004C6D3F" w:rsidRDefault="003B05B6" w:rsidP="003B05B6">
      <w:pPr>
        <w:spacing w:line="264" w:lineRule="auto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lastRenderedPageBreak/>
        <w:t>ХСН – хронічна серцева недостатність</w:t>
      </w:r>
    </w:p>
    <w:p w:rsidR="003B05B6" w:rsidRPr="004C6D3F" w:rsidRDefault="003B05B6" w:rsidP="003B05B6">
      <w:pPr>
        <w:spacing w:line="264" w:lineRule="auto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ЧСС - частота серцевих скорочень </w:t>
      </w:r>
    </w:p>
    <w:p w:rsidR="003B05B6" w:rsidRPr="004C6D3F" w:rsidRDefault="003B05B6" w:rsidP="003B05B6">
      <w:pPr>
        <w:spacing w:line="264" w:lineRule="auto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 xml:space="preserve">H – короткий розмір камери серця </w:t>
      </w:r>
    </w:p>
    <w:p w:rsidR="003B05B6" w:rsidRPr="004C6D3F" w:rsidRDefault="003B05B6" w:rsidP="003B05B6">
      <w:pPr>
        <w:spacing w:line="264" w:lineRule="auto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L - довгий розмір камери серця</w:t>
      </w:r>
    </w:p>
    <w:p w:rsidR="003B05B6" w:rsidRPr="004C6D3F" w:rsidRDefault="003B05B6" w:rsidP="003B05B6">
      <w:pPr>
        <w:spacing w:line="264" w:lineRule="auto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Sд – площа камер серця в діастолу</w:t>
      </w:r>
    </w:p>
    <w:p w:rsidR="003B05B6" w:rsidRPr="004C6D3F" w:rsidRDefault="003B05B6" w:rsidP="003B05B6">
      <w:pPr>
        <w:spacing w:line="264" w:lineRule="auto"/>
        <w:rPr>
          <w:sz w:val="28"/>
          <w:szCs w:val="28"/>
          <w:lang w:val="uk-UA"/>
        </w:rPr>
      </w:pPr>
      <w:r w:rsidRPr="004C6D3F">
        <w:rPr>
          <w:sz w:val="28"/>
          <w:szCs w:val="28"/>
          <w:lang w:val="uk-UA"/>
        </w:rPr>
        <w:t>Sс – площа камер серця в систолу</w:t>
      </w:r>
    </w:p>
    <w:p w:rsidR="003B05B6" w:rsidRPr="004C6D3F" w:rsidRDefault="003B05B6" w:rsidP="003B05B6">
      <w:pPr>
        <w:spacing w:line="264" w:lineRule="auto"/>
        <w:jc w:val="center"/>
        <w:rPr>
          <w:sz w:val="28"/>
          <w:szCs w:val="28"/>
          <w:lang w:val="uk-UA"/>
        </w:rPr>
      </w:pPr>
    </w:p>
    <w:p w:rsidR="00A529DA" w:rsidRPr="00DC25FB" w:rsidRDefault="00A529DA" w:rsidP="00A529DA">
      <w:pPr>
        <w:spacing w:line="382" w:lineRule="auto"/>
        <w:jc w:val="both"/>
        <w:rPr>
          <w:sz w:val="28"/>
          <w:szCs w:val="28"/>
          <w:lang w:val="en-GB"/>
        </w:rPr>
      </w:pPr>
      <w:bookmarkStart w:id="0" w:name="_GoBack"/>
      <w:bookmarkEnd w:id="0"/>
    </w:p>
    <w:p w:rsidR="00116762" w:rsidRDefault="00116762" w:rsidP="003E2DB7">
      <w:pPr>
        <w:pStyle w:val="a6"/>
        <w:widowControl w:val="0"/>
        <w:shd w:val="clear" w:color="auto" w:fill="FFFFFF"/>
        <w:spacing w:before="240" w:after="60" w:line="360" w:lineRule="auto"/>
        <w:jc w:val="both"/>
      </w:pPr>
      <w:r w:rsidRPr="00CD0DED">
        <w:rPr>
          <w:rStyle w:val="a5"/>
          <w:color w:val="0070C0"/>
          <w:lang w:val="en-US"/>
        </w:rPr>
        <w:t> </w:t>
      </w:r>
      <w:r>
        <w:rPr>
          <w:rStyle w:val="a5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14" w:history="1">
        <w:r>
          <w:rPr>
            <w:rStyle w:val="a5"/>
            <w:color w:val="0070C0"/>
          </w:rPr>
          <w:t>http://www.mydisser.com/search.html</w:t>
        </w:r>
      </w:hyperlink>
    </w:p>
    <w:p w:rsidR="000F4B2E" w:rsidRDefault="00116762">
      <w:r w:rsidRPr="00C52D56">
        <w:rPr>
          <w:b/>
          <w:sz w:val="28"/>
          <w:szCs w:val="28"/>
        </w:rPr>
        <w:br w:type="page"/>
      </w:r>
    </w:p>
    <w:sectPr w:rsidR="000F4B2E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12B" w:rsidRDefault="0033412B">
      <w:pPr>
        <w:spacing w:after="0" w:line="240" w:lineRule="auto"/>
      </w:pPr>
      <w:r>
        <w:separator/>
      </w:r>
    </w:p>
  </w:endnote>
  <w:endnote w:type="continuationSeparator" w:id="0">
    <w:p w:rsidR="0033412B" w:rsidRDefault="0033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slNarrow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Shell Dlg">
    <w:panose1 w:val="020B0604020202020204"/>
    <w:charset w:val="CC"/>
    <w:family w:val="swiss"/>
    <w:pitch w:val="variable"/>
    <w:sig w:usb0="61007BDF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5"/>
      <w:framePr w:wrap="around" w:vAnchor="text" w:hAnchor="margin" w:xAlign="right" w:y="1"/>
      <w:rPr>
        <w:rStyle w:val="af3"/>
        <w:rFonts w:eastAsia="Garamond"/>
      </w:rPr>
    </w:pPr>
    <w:r>
      <w:rPr>
        <w:rStyle w:val="af3"/>
        <w:rFonts w:eastAsia="Garamond"/>
      </w:rPr>
      <w:fldChar w:fldCharType="begin"/>
    </w:r>
    <w:r>
      <w:rPr>
        <w:rStyle w:val="af3"/>
        <w:rFonts w:eastAsia="Garamond"/>
      </w:rPr>
      <w:instrText xml:space="preserve">PAGE  </w:instrText>
    </w:r>
    <w:r>
      <w:rPr>
        <w:rStyle w:val="af3"/>
        <w:rFonts w:eastAsia="Garamond"/>
      </w:rPr>
      <w:fldChar w:fldCharType="end"/>
    </w:r>
  </w:p>
  <w:p w:rsidR="009335CF" w:rsidRDefault="0033412B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5"/>
      <w:framePr w:wrap="around" w:vAnchor="text" w:hAnchor="margin" w:xAlign="right" w:y="1"/>
      <w:rPr>
        <w:rStyle w:val="af3"/>
        <w:rFonts w:eastAsia="Garamond"/>
      </w:rPr>
    </w:pPr>
    <w:r>
      <w:rPr>
        <w:rStyle w:val="af3"/>
        <w:rFonts w:eastAsia="Garamond"/>
      </w:rPr>
      <w:fldChar w:fldCharType="begin"/>
    </w:r>
    <w:r>
      <w:rPr>
        <w:rStyle w:val="af3"/>
        <w:rFonts w:eastAsia="Garamond"/>
      </w:rPr>
      <w:instrText xml:space="preserve">PAGE  </w:instrText>
    </w:r>
    <w:r>
      <w:rPr>
        <w:rStyle w:val="af3"/>
        <w:rFonts w:eastAsia="Garamond"/>
      </w:rPr>
      <w:fldChar w:fldCharType="separate"/>
    </w:r>
    <w:r w:rsidR="003B05B6">
      <w:rPr>
        <w:rStyle w:val="af3"/>
        <w:rFonts w:eastAsia="Garamond"/>
        <w:noProof/>
      </w:rPr>
      <w:t>6</w:t>
    </w:r>
    <w:r>
      <w:rPr>
        <w:rStyle w:val="af3"/>
        <w:rFonts w:eastAsia="Garamond"/>
      </w:rPr>
      <w:fldChar w:fldCharType="end"/>
    </w:r>
  </w:p>
  <w:p w:rsidR="009335CF" w:rsidRDefault="0033412B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12B" w:rsidRDefault="0033412B">
      <w:pPr>
        <w:spacing w:after="0" w:line="240" w:lineRule="auto"/>
      </w:pPr>
      <w:r>
        <w:separator/>
      </w:r>
    </w:p>
  </w:footnote>
  <w:footnote w:type="continuationSeparator" w:id="0">
    <w:p w:rsidR="0033412B" w:rsidRDefault="0033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335CF" w:rsidRDefault="0033412B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Pr="00E86800" w:rsidRDefault="0033412B">
    <w:pPr>
      <w:pStyle w:val="af1"/>
      <w:framePr w:wrap="around" w:vAnchor="text" w:hAnchor="margin" w:xAlign="right" w:y="1"/>
      <w:rPr>
        <w:rStyle w:val="af3"/>
        <w:lang w:val="uk-UA"/>
      </w:rPr>
    </w:pPr>
  </w:p>
  <w:p w:rsidR="009335CF" w:rsidRDefault="0033412B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CA4D6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5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07"/>
        </w:tabs>
        <w:ind w:left="0" w:firstLine="0"/>
      </w:p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</w:abstractNum>
  <w:abstractNum w:abstractNumId="7">
    <w:nsid w:val="05B5261D"/>
    <w:multiLevelType w:val="hybridMultilevel"/>
    <w:tmpl w:val="74066F62"/>
    <w:lvl w:ilvl="0" w:tplc="6CD8204A">
      <w:start w:val="1"/>
      <w:numFmt w:val="decimal"/>
      <w:pStyle w:val="Normal14pt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665C4E"/>
    <w:multiLevelType w:val="hybridMultilevel"/>
    <w:tmpl w:val="5CC46828"/>
    <w:lvl w:ilvl="0" w:tplc="0FE2C29A">
      <w:start w:val="1"/>
      <w:numFmt w:val="decimal"/>
      <w:pStyle w:val="14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D06A3D"/>
    <w:multiLevelType w:val="multilevel"/>
    <w:tmpl w:val="D3C0206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upperLetter"/>
      <w:lvlRestart w:val="0"/>
      <w:suff w:val="nothing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3">
      <w:start w:val="1"/>
      <w:numFmt w:val="upperLetter"/>
      <w:lvlRestart w:val="0"/>
      <w:suff w:val="nothing"/>
      <w:lvlText w:val="%4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4">
      <w:start w:val="1"/>
      <w:numFmt w:val="upperLetter"/>
      <w:lvlRestart w:val="0"/>
      <w:suff w:val="nothing"/>
      <w:lvlText w:val="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5">
      <w:start w:val="1"/>
      <w:numFmt w:val="upperLetter"/>
      <w:lvlRestart w:val="0"/>
      <w:suff w:val="nothing"/>
      <w:lvlText w:val="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10">
    <w:nsid w:val="1E710699"/>
    <w:multiLevelType w:val="hybridMultilevel"/>
    <w:tmpl w:val="7262A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5E7488"/>
    <w:multiLevelType w:val="multilevel"/>
    <w:tmpl w:val="06B4A62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4"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2">
    <w:nsid w:val="2DF42EAC"/>
    <w:multiLevelType w:val="multilevel"/>
    <w:tmpl w:val="0419001D"/>
    <w:styleLink w:val="3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7004165"/>
    <w:multiLevelType w:val="hybridMultilevel"/>
    <w:tmpl w:val="073AA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DE03F6"/>
    <w:multiLevelType w:val="hybridMultilevel"/>
    <w:tmpl w:val="674A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0635DD"/>
    <w:multiLevelType w:val="hybridMultilevel"/>
    <w:tmpl w:val="4B763F3C"/>
    <w:lvl w:ilvl="0" w:tplc="435224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ACA790">
      <w:numFmt w:val="none"/>
      <w:pStyle w:val="37"/>
      <w:lvlText w:val=""/>
      <w:lvlJc w:val="left"/>
      <w:pPr>
        <w:tabs>
          <w:tab w:val="num" w:pos="360"/>
        </w:tabs>
      </w:pPr>
    </w:lvl>
    <w:lvl w:ilvl="2" w:tplc="C936B96A">
      <w:numFmt w:val="none"/>
      <w:lvlText w:val=""/>
      <w:lvlJc w:val="left"/>
      <w:pPr>
        <w:tabs>
          <w:tab w:val="num" w:pos="360"/>
        </w:tabs>
      </w:pPr>
    </w:lvl>
    <w:lvl w:ilvl="3" w:tplc="9C62DEFA">
      <w:numFmt w:val="none"/>
      <w:lvlText w:val=""/>
      <w:lvlJc w:val="left"/>
      <w:pPr>
        <w:tabs>
          <w:tab w:val="num" w:pos="360"/>
        </w:tabs>
      </w:pPr>
    </w:lvl>
    <w:lvl w:ilvl="4" w:tplc="AC327610">
      <w:numFmt w:val="none"/>
      <w:lvlText w:val=""/>
      <w:lvlJc w:val="left"/>
      <w:pPr>
        <w:tabs>
          <w:tab w:val="num" w:pos="360"/>
        </w:tabs>
      </w:pPr>
    </w:lvl>
    <w:lvl w:ilvl="5" w:tplc="E10E58F0">
      <w:numFmt w:val="none"/>
      <w:lvlText w:val=""/>
      <w:lvlJc w:val="left"/>
      <w:pPr>
        <w:tabs>
          <w:tab w:val="num" w:pos="360"/>
        </w:tabs>
      </w:pPr>
    </w:lvl>
    <w:lvl w:ilvl="6" w:tplc="58C615A2">
      <w:numFmt w:val="none"/>
      <w:lvlText w:val=""/>
      <w:lvlJc w:val="left"/>
      <w:pPr>
        <w:tabs>
          <w:tab w:val="num" w:pos="360"/>
        </w:tabs>
      </w:pPr>
    </w:lvl>
    <w:lvl w:ilvl="7" w:tplc="67D262E0">
      <w:numFmt w:val="none"/>
      <w:lvlText w:val=""/>
      <w:lvlJc w:val="left"/>
      <w:pPr>
        <w:tabs>
          <w:tab w:val="num" w:pos="360"/>
        </w:tabs>
      </w:pPr>
    </w:lvl>
    <w:lvl w:ilvl="8" w:tplc="8202E69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DCC6853"/>
    <w:multiLevelType w:val="multilevel"/>
    <w:tmpl w:val="9322E480"/>
    <w:lvl w:ilvl="0">
      <w:start w:val="1"/>
      <w:numFmt w:val="decimal"/>
      <w:pStyle w:val="2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none"/>
      <w:lvlRestart w:val="0"/>
      <w:suff w:val="nothing"/>
      <w:lvlText w:val=""/>
      <w:lvlJc w:val="left"/>
      <w:pPr>
        <w:ind w:left="1998" w:hanging="504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502" w:hanging="648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3006" w:hanging="792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3510" w:hanging="936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4014" w:hanging="108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17">
    <w:nsid w:val="6E673B51"/>
    <w:multiLevelType w:val="hybridMultilevel"/>
    <w:tmpl w:val="B0C2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7D2042"/>
    <w:multiLevelType w:val="hybridMultilevel"/>
    <w:tmpl w:val="C630A24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pStyle w:val="11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6B85007"/>
    <w:multiLevelType w:val="hybridMultilevel"/>
    <w:tmpl w:val="8288FCD4"/>
    <w:lvl w:ilvl="0" w:tplc="B29E0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65102"/>
    <w:multiLevelType w:val="hybridMultilevel"/>
    <w:tmpl w:val="0EE6E988"/>
    <w:lvl w:ilvl="0" w:tplc="F9F6D88A">
      <w:start w:val="1"/>
      <w:numFmt w:val="decimal"/>
      <w:pStyle w:val="a0"/>
      <w:lvlText w:val="%1."/>
      <w:lvlJc w:val="right"/>
      <w:pPr>
        <w:tabs>
          <w:tab w:val="num" w:pos="283"/>
        </w:tabs>
        <w:ind w:left="283" w:hanging="28"/>
      </w:pPr>
      <w:rPr>
        <w:rFonts w:ascii="MyslNarrowC" w:hAnsi="MyslNarrowC" w:cs="Times New Roman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E66AB1"/>
    <w:multiLevelType w:val="hybridMultilevel"/>
    <w:tmpl w:val="B748C0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20"/>
  </w:num>
  <w:num w:numId="9">
    <w:abstractNumId w:val="11"/>
  </w:num>
  <w:num w:numId="10">
    <w:abstractNumId w:val="15"/>
  </w:num>
  <w:num w:numId="11">
    <w:abstractNumId w:val="21"/>
  </w:num>
  <w:num w:numId="12">
    <w:abstractNumId w:val="10"/>
  </w:num>
  <w:num w:numId="13">
    <w:abstractNumId w:val="13"/>
  </w:num>
  <w:num w:numId="14">
    <w:abstractNumId w:val="14"/>
  </w:num>
  <w:num w:numId="15">
    <w:abstractNumId w:val="17"/>
  </w:num>
  <w:num w:numId="1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A6"/>
    <w:rsid w:val="000009AE"/>
    <w:rsid w:val="00001214"/>
    <w:rsid w:val="00001298"/>
    <w:rsid w:val="00002F9A"/>
    <w:rsid w:val="000048AF"/>
    <w:rsid w:val="0000567C"/>
    <w:rsid w:val="00005941"/>
    <w:rsid w:val="000066F3"/>
    <w:rsid w:val="00014FCA"/>
    <w:rsid w:val="00016261"/>
    <w:rsid w:val="00016940"/>
    <w:rsid w:val="000171A1"/>
    <w:rsid w:val="00017256"/>
    <w:rsid w:val="00020339"/>
    <w:rsid w:val="00020DAF"/>
    <w:rsid w:val="00023AD2"/>
    <w:rsid w:val="00023BF8"/>
    <w:rsid w:val="0002503F"/>
    <w:rsid w:val="00025F91"/>
    <w:rsid w:val="0002679D"/>
    <w:rsid w:val="00033206"/>
    <w:rsid w:val="00033211"/>
    <w:rsid w:val="00034F51"/>
    <w:rsid w:val="00036505"/>
    <w:rsid w:val="0003662D"/>
    <w:rsid w:val="00041508"/>
    <w:rsid w:val="0004546E"/>
    <w:rsid w:val="0004646C"/>
    <w:rsid w:val="000477A4"/>
    <w:rsid w:val="00051955"/>
    <w:rsid w:val="00056C14"/>
    <w:rsid w:val="00060D76"/>
    <w:rsid w:val="00061CF2"/>
    <w:rsid w:val="000627E3"/>
    <w:rsid w:val="00062999"/>
    <w:rsid w:val="00064D9C"/>
    <w:rsid w:val="00065017"/>
    <w:rsid w:val="000650D5"/>
    <w:rsid w:val="0006654C"/>
    <w:rsid w:val="0007066E"/>
    <w:rsid w:val="00071101"/>
    <w:rsid w:val="000745E6"/>
    <w:rsid w:val="0008264B"/>
    <w:rsid w:val="000839E9"/>
    <w:rsid w:val="000861E9"/>
    <w:rsid w:val="00086360"/>
    <w:rsid w:val="00086D74"/>
    <w:rsid w:val="00086DF8"/>
    <w:rsid w:val="00090216"/>
    <w:rsid w:val="00095E35"/>
    <w:rsid w:val="00096438"/>
    <w:rsid w:val="000A11D3"/>
    <w:rsid w:val="000A2A2F"/>
    <w:rsid w:val="000A6382"/>
    <w:rsid w:val="000A6B58"/>
    <w:rsid w:val="000A72AE"/>
    <w:rsid w:val="000A7303"/>
    <w:rsid w:val="000A77E1"/>
    <w:rsid w:val="000B0062"/>
    <w:rsid w:val="000B4941"/>
    <w:rsid w:val="000B526A"/>
    <w:rsid w:val="000B78CD"/>
    <w:rsid w:val="000C2FE7"/>
    <w:rsid w:val="000C375D"/>
    <w:rsid w:val="000C5872"/>
    <w:rsid w:val="000C68FE"/>
    <w:rsid w:val="000C71E5"/>
    <w:rsid w:val="000C752C"/>
    <w:rsid w:val="000C7F3A"/>
    <w:rsid w:val="000D0843"/>
    <w:rsid w:val="000D42FA"/>
    <w:rsid w:val="000D6201"/>
    <w:rsid w:val="000E06A7"/>
    <w:rsid w:val="000E09AE"/>
    <w:rsid w:val="000E1CDE"/>
    <w:rsid w:val="000E1CE2"/>
    <w:rsid w:val="000E228B"/>
    <w:rsid w:val="000E42ED"/>
    <w:rsid w:val="000E71AE"/>
    <w:rsid w:val="000E7C26"/>
    <w:rsid w:val="000F4B2E"/>
    <w:rsid w:val="000F576E"/>
    <w:rsid w:val="000F59BE"/>
    <w:rsid w:val="000F7851"/>
    <w:rsid w:val="00102073"/>
    <w:rsid w:val="00102637"/>
    <w:rsid w:val="00102CEC"/>
    <w:rsid w:val="001047FD"/>
    <w:rsid w:val="00105D22"/>
    <w:rsid w:val="00107717"/>
    <w:rsid w:val="00107877"/>
    <w:rsid w:val="00116762"/>
    <w:rsid w:val="00116D9D"/>
    <w:rsid w:val="00121939"/>
    <w:rsid w:val="00123905"/>
    <w:rsid w:val="00130C21"/>
    <w:rsid w:val="00135150"/>
    <w:rsid w:val="001359DA"/>
    <w:rsid w:val="0013756F"/>
    <w:rsid w:val="00140AF9"/>
    <w:rsid w:val="001436BC"/>
    <w:rsid w:val="00146722"/>
    <w:rsid w:val="00151F33"/>
    <w:rsid w:val="00152E9A"/>
    <w:rsid w:val="0015342B"/>
    <w:rsid w:val="00157752"/>
    <w:rsid w:val="0016006A"/>
    <w:rsid w:val="00166B4D"/>
    <w:rsid w:val="001725E2"/>
    <w:rsid w:val="00174587"/>
    <w:rsid w:val="001818CF"/>
    <w:rsid w:val="00181C37"/>
    <w:rsid w:val="0018207E"/>
    <w:rsid w:val="00182EC1"/>
    <w:rsid w:val="00183560"/>
    <w:rsid w:val="00185046"/>
    <w:rsid w:val="00185B99"/>
    <w:rsid w:val="001868BC"/>
    <w:rsid w:val="00187D37"/>
    <w:rsid w:val="0019078E"/>
    <w:rsid w:val="00190B04"/>
    <w:rsid w:val="001923EE"/>
    <w:rsid w:val="0019432F"/>
    <w:rsid w:val="001A03B7"/>
    <w:rsid w:val="001A23E1"/>
    <w:rsid w:val="001A2F37"/>
    <w:rsid w:val="001A565E"/>
    <w:rsid w:val="001A5AE4"/>
    <w:rsid w:val="001A6455"/>
    <w:rsid w:val="001A7A36"/>
    <w:rsid w:val="001A7AA7"/>
    <w:rsid w:val="001B23D3"/>
    <w:rsid w:val="001B319E"/>
    <w:rsid w:val="001B3925"/>
    <w:rsid w:val="001B41C0"/>
    <w:rsid w:val="001B5CF5"/>
    <w:rsid w:val="001B790E"/>
    <w:rsid w:val="001C0692"/>
    <w:rsid w:val="001C0BFE"/>
    <w:rsid w:val="001C37C3"/>
    <w:rsid w:val="001C3E59"/>
    <w:rsid w:val="001C57AE"/>
    <w:rsid w:val="001C70DE"/>
    <w:rsid w:val="001D48F0"/>
    <w:rsid w:val="001D7F25"/>
    <w:rsid w:val="001E03AA"/>
    <w:rsid w:val="001E1598"/>
    <w:rsid w:val="001E1628"/>
    <w:rsid w:val="001E1AE8"/>
    <w:rsid w:val="001E1AFA"/>
    <w:rsid w:val="001E323D"/>
    <w:rsid w:val="001E3612"/>
    <w:rsid w:val="001E497D"/>
    <w:rsid w:val="001E49C7"/>
    <w:rsid w:val="001E6786"/>
    <w:rsid w:val="001F2909"/>
    <w:rsid w:val="001F5022"/>
    <w:rsid w:val="001F7256"/>
    <w:rsid w:val="002014EC"/>
    <w:rsid w:val="002075AC"/>
    <w:rsid w:val="00211965"/>
    <w:rsid w:val="002164F3"/>
    <w:rsid w:val="00216647"/>
    <w:rsid w:val="00216C41"/>
    <w:rsid w:val="002170CA"/>
    <w:rsid w:val="002176A4"/>
    <w:rsid w:val="00224AA5"/>
    <w:rsid w:val="00224F2E"/>
    <w:rsid w:val="00231B95"/>
    <w:rsid w:val="00231DB9"/>
    <w:rsid w:val="002328D2"/>
    <w:rsid w:val="00234DE9"/>
    <w:rsid w:val="002353EC"/>
    <w:rsid w:val="002359BE"/>
    <w:rsid w:val="00236545"/>
    <w:rsid w:val="00236C19"/>
    <w:rsid w:val="00236DF7"/>
    <w:rsid w:val="00237A2A"/>
    <w:rsid w:val="00240273"/>
    <w:rsid w:val="00241FD3"/>
    <w:rsid w:val="00245A32"/>
    <w:rsid w:val="00251AC6"/>
    <w:rsid w:val="002520B7"/>
    <w:rsid w:val="0025289A"/>
    <w:rsid w:val="00255234"/>
    <w:rsid w:val="00255A26"/>
    <w:rsid w:val="00256BB4"/>
    <w:rsid w:val="00257C71"/>
    <w:rsid w:val="002636FF"/>
    <w:rsid w:val="0026380E"/>
    <w:rsid w:val="00267769"/>
    <w:rsid w:val="00267D6F"/>
    <w:rsid w:val="0027023F"/>
    <w:rsid w:val="002728AD"/>
    <w:rsid w:val="00276968"/>
    <w:rsid w:val="00276C8B"/>
    <w:rsid w:val="00277272"/>
    <w:rsid w:val="00277A9A"/>
    <w:rsid w:val="002806FD"/>
    <w:rsid w:val="00282ABB"/>
    <w:rsid w:val="0029004B"/>
    <w:rsid w:val="00295748"/>
    <w:rsid w:val="00296122"/>
    <w:rsid w:val="00296B1D"/>
    <w:rsid w:val="002A236E"/>
    <w:rsid w:val="002A3232"/>
    <w:rsid w:val="002A4D7B"/>
    <w:rsid w:val="002A7448"/>
    <w:rsid w:val="002B26D6"/>
    <w:rsid w:val="002B37A2"/>
    <w:rsid w:val="002B4D90"/>
    <w:rsid w:val="002B508F"/>
    <w:rsid w:val="002B5A0A"/>
    <w:rsid w:val="002C096B"/>
    <w:rsid w:val="002C35AD"/>
    <w:rsid w:val="002C6629"/>
    <w:rsid w:val="002D1BBB"/>
    <w:rsid w:val="002D2F8A"/>
    <w:rsid w:val="002D788F"/>
    <w:rsid w:val="002E127F"/>
    <w:rsid w:val="002E1365"/>
    <w:rsid w:val="002E354D"/>
    <w:rsid w:val="002E38E5"/>
    <w:rsid w:val="002E4F54"/>
    <w:rsid w:val="002F05AC"/>
    <w:rsid w:val="002F0C43"/>
    <w:rsid w:val="002F283C"/>
    <w:rsid w:val="002F493F"/>
    <w:rsid w:val="002F4E53"/>
    <w:rsid w:val="002F63F9"/>
    <w:rsid w:val="00300FDD"/>
    <w:rsid w:val="0030103F"/>
    <w:rsid w:val="00305360"/>
    <w:rsid w:val="00314741"/>
    <w:rsid w:val="00322A91"/>
    <w:rsid w:val="00330451"/>
    <w:rsid w:val="003335D3"/>
    <w:rsid w:val="0033412B"/>
    <w:rsid w:val="00334BFE"/>
    <w:rsid w:val="00334E00"/>
    <w:rsid w:val="00336D79"/>
    <w:rsid w:val="00346753"/>
    <w:rsid w:val="00347C3F"/>
    <w:rsid w:val="00347FFE"/>
    <w:rsid w:val="00350E31"/>
    <w:rsid w:val="00352B0F"/>
    <w:rsid w:val="00356A57"/>
    <w:rsid w:val="00360D93"/>
    <w:rsid w:val="0036252A"/>
    <w:rsid w:val="00363078"/>
    <w:rsid w:val="0036343C"/>
    <w:rsid w:val="00365370"/>
    <w:rsid w:val="0036616C"/>
    <w:rsid w:val="003700B2"/>
    <w:rsid w:val="00370500"/>
    <w:rsid w:val="003749B7"/>
    <w:rsid w:val="00374CB7"/>
    <w:rsid w:val="00375065"/>
    <w:rsid w:val="00384947"/>
    <w:rsid w:val="00384AA3"/>
    <w:rsid w:val="0038640C"/>
    <w:rsid w:val="00387821"/>
    <w:rsid w:val="00387DAE"/>
    <w:rsid w:val="00395B1B"/>
    <w:rsid w:val="00395C70"/>
    <w:rsid w:val="00396E92"/>
    <w:rsid w:val="0039753B"/>
    <w:rsid w:val="003A0248"/>
    <w:rsid w:val="003A3D23"/>
    <w:rsid w:val="003A6995"/>
    <w:rsid w:val="003B05B6"/>
    <w:rsid w:val="003B2C55"/>
    <w:rsid w:val="003B39CE"/>
    <w:rsid w:val="003B73A4"/>
    <w:rsid w:val="003B757C"/>
    <w:rsid w:val="003C187B"/>
    <w:rsid w:val="003C1FA0"/>
    <w:rsid w:val="003C262F"/>
    <w:rsid w:val="003C352C"/>
    <w:rsid w:val="003C3C29"/>
    <w:rsid w:val="003C5D05"/>
    <w:rsid w:val="003C6601"/>
    <w:rsid w:val="003C666B"/>
    <w:rsid w:val="003D0BF0"/>
    <w:rsid w:val="003D196D"/>
    <w:rsid w:val="003D2728"/>
    <w:rsid w:val="003D2B71"/>
    <w:rsid w:val="003D3C57"/>
    <w:rsid w:val="003D514B"/>
    <w:rsid w:val="003D62BB"/>
    <w:rsid w:val="003E1E5B"/>
    <w:rsid w:val="003E2DB7"/>
    <w:rsid w:val="003E3321"/>
    <w:rsid w:val="003E4384"/>
    <w:rsid w:val="003E6C31"/>
    <w:rsid w:val="003F2C97"/>
    <w:rsid w:val="003F5BA8"/>
    <w:rsid w:val="003F6939"/>
    <w:rsid w:val="003F6EFA"/>
    <w:rsid w:val="004007EF"/>
    <w:rsid w:val="00400E44"/>
    <w:rsid w:val="00407906"/>
    <w:rsid w:val="00412615"/>
    <w:rsid w:val="00412FAE"/>
    <w:rsid w:val="00424ACA"/>
    <w:rsid w:val="0042549B"/>
    <w:rsid w:val="00426317"/>
    <w:rsid w:val="004277D0"/>
    <w:rsid w:val="00435775"/>
    <w:rsid w:val="00436B9E"/>
    <w:rsid w:val="0044064D"/>
    <w:rsid w:val="00445092"/>
    <w:rsid w:val="004462A5"/>
    <w:rsid w:val="00446C7B"/>
    <w:rsid w:val="00447B15"/>
    <w:rsid w:val="00453B26"/>
    <w:rsid w:val="0045497E"/>
    <w:rsid w:val="00456F43"/>
    <w:rsid w:val="00460659"/>
    <w:rsid w:val="00465CA3"/>
    <w:rsid w:val="00467E54"/>
    <w:rsid w:val="004717BA"/>
    <w:rsid w:val="004720AD"/>
    <w:rsid w:val="00473C35"/>
    <w:rsid w:val="00473F86"/>
    <w:rsid w:val="00474C27"/>
    <w:rsid w:val="0048240D"/>
    <w:rsid w:val="00482C8D"/>
    <w:rsid w:val="00483F18"/>
    <w:rsid w:val="0048477F"/>
    <w:rsid w:val="00487D5A"/>
    <w:rsid w:val="00491456"/>
    <w:rsid w:val="004919AD"/>
    <w:rsid w:val="0049442F"/>
    <w:rsid w:val="00494823"/>
    <w:rsid w:val="00494E4C"/>
    <w:rsid w:val="0049500E"/>
    <w:rsid w:val="00496838"/>
    <w:rsid w:val="004A0DF2"/>
    <w:rsid w:val="004A4A83"/>
    <w:rsid w:val="004A6594"/>
    <w:rsid w:val="004A7950"/>
    <w:rsid w:val="004B45ED"/>
    <w:rsid w:val="004B5FDC"/>
    <w:rsid w:val="004B6D7F"/>
    <w:rsid w:val="004C6DAF"/>
    <w:rsid w:val="004D1E5E"/>
    <w:rsid w:val="004D4436"/>
    <w:rsid w:val="004D731D"/>
    <w:rsid w:val="004D7DA5"/>
    <w:rsid w:val="004E237A"/>
    <w:rsid w:val="004E347D"/>
    <w:rsid w:val="004E383F"/>
    <w:rsid w:val="004E3B62"/>
    <w:rsid w:val="004E7439"/>
    <w:rsid w:val="004F2B85"/>
    <w:rsid w:val="004F475F"/>
    <w:rsid w:val="004F492A"/>
    <w:rsid w:val="004F58E9"/>
    <w:rsid w:val="004F597E"/>
    <w:rsid w:val="004F6927"/>
    <w:rsid w:val="004F7B45"/>
    <w:rsid w:val="004F7DDC"/>
    <w:rsid w:val="00501176"/>
    <w:rsid w:val="00502433"/>
    <w:rsid w:val="00502B20"/>
    <w:rsid w:val="0051395B"/>
    <w:rsid w:val="00530950"/>
    <w:rsid w:val="00533A55"/>
    <w:rsid w:val="00535431"/>
    <w:rsid w:val="00536E35"/>
    <w:rsid w:val="0053746B"/>
    <w:rsid w:val="005421F8"/>
    <w:rsid w:val="0054398B"/>
    <w:rsid w:val="005560DA"/>
    <w:rsid w:val="00561066"/>
    <w:rsid w:val="00561A90"/>
    <w:rsid w:val="00563B1E"/>
    <w:rsid w:val="0056478E"/>
    <w:rsid w:val="00564856"/>
    <w:rsid w:val="00566A61"/>
    <w:rsid w:val="00573939"/>
    <w:rsid w:val="005740A6"/>
    <w:rsid w:val="00574BD9"/>
    <w:rsid w:val="00575297"/>
    <w:rsid w:val="00576A22"/>
    <w:rsid w:val="00576CC4"/>
    <w:rsid w:val="00582A43"/>
    <w:rsid w:val="00586E3C"/>
    <w:rsid w:val="00586FE4"/>
    <w:rsid w:val="0059050A"/>
    <w:rsid w:val="00592278"/>
    <w:rsid w:val="005932AA"/>
    <w:rsid w:val="005958E3"/>
    <w:rsid w:val="005966A4"/>
    <w:rsid w:val="005A2156"/>
    <w:rsid w:val="005A3528"/>
    <w:rsid w:val="005A3FD3"/>
    <w:rsid w:val="005B24C1"/>
    <w:rsid w:val="005B2E1A"/>
    <w:rsid w:val="005B7857"/>
    <w:rsid w:val="005C1EB8"/>
    <w:rsid w:val="005C2013"/>
    <w:rsid w:val="005C2AAD"/>
    <w:rsid w:val="005C3055"/>
    <w:rsid w:val="005C46CE"/>
    <w:rsid w:val="005C6B89"/>
    <w:rsid w:val="005D02C0"/>
    <w:rsid w:val="005D1EAB"/>
    <w:rsid w:val="005D1F6C"/>
    <w:rsid w:val="005D2796"/>
    <w:rsid w:val="005D46A8"/>
    <w:rsid w:val="005D567F"/>
    <w:rsid w:val="005D605F"/>
    <w:rsid w:val="005D716E"/>
    <w:rsid w:val="005E1222"/>
    <w:rsid w:val="005E2715"/>
    <w:rsid w:val="005E2C94"/>
    <w:rsid w:val="005E3461"/>
    <w:rsid w:val="005E6227"/>
    <w:rsid w:val="005F00B5"/>
    <w:rsid w:val="005F6BD4"/>
    <w:rsid w:val="005F6D0B"/>
    <w:rsid w:val="0060011E"/>
    <w:rsid w:val="00600D6E"/>
    <w:rsid w:val="00603F3C"/>
    <w:rsid w:val="0060504F"/>
    <w:rsid w:val="0060534C"/>
    <w:rsid w:val="00605D7E"/>
    <w:rsid w:val="00607074"/>
    <w:rsid w:val="00613A13"/>
    <w:rsid w:val="00614253"/>
    <w:rsid w:val="00614860"/>
    <w:rsid w:val="00615065"/>
    <w:rsid w:val="00620A88"/>
    <w:rsid w:val="00620C60"/>
    <w:rsid w:val="0062254F"/>
    <w:rsid w:val="00622FD3"/>
    <w:rsid w:val="00624627"/>
    <w:rsid w:val="00627676"/>
    <w:rsid w:val="00630C37"/>
    <w:rsid w:val="006329BF"/>
    <w:rsid w:val="0063386E"/>
    <w:rsid w:val="00635A82"/>
    <w:rsid w:val="00635C46"/>
    <w:rsid w:val="006360C2"/>
    <w:rsid w:val="006370CC"/>
    <w:rsid w:val="006371BD"/>
    <w:rsid w:val="0063738B"/>
    <w:rsid w:val="00637E7F"/>
    <w:rsid w:val="00642AA9"/>
    <w:rsid w:val="00646301"/>
    <w:rsid w:val="006467E9"/>
    <w:rsid w:val="00647A50"/>
    <w:rsid w:val="006517D5"/>
    <w:rsid w:val="00651CA6"/>
    <w:rsid w:val="00655ED7"/>
    <w:rsid w:val="00657B6D"/>
    <w:rsid w:val="00657FCE"/>
    <w:rsid w:val="006602A0"/>
    <w:rsid w:val="00660A02"/>
    <w:rsid w:val="00661F9A"/>
    <w:rsid w:val="00662C29"/>
    <w:rsid w:val="00663B88"/>
    <w:rsid w:val="006651B6"/>
    <w:rsid w:val="0066540B"/>
    <w:rsid w:val="0066563F"/>
    <w:rsid w:val="00667111"/>
    <w:rsid w:val="00667F22"/>
    <w:rsid w:val="0067363F"/>
    <w:rsid w:val="0067432B"/>
    <w:rsid w:val="00675614"/>
    <w:rsid w:val="00675CDB"/>
    <w:rsid w:val="00680986"/>
    <w:rsid w:val="00682088"/>
    <w:rsid w:val="00684669"/>
    <w:rsid w:val="00687768"/>
    <w:rsid w:val="0068788E"/>
    <w:rsid w:val="0069036F"/>
    <w:rsid w:val="00691B06"/>
    <w:rsid w:val="00692841"/>
    <w:rsid w:val="00693B20"/>
    <w:rsid w:val="00694FF4"/>
    <w:rsid w:val="006A4546"/>
    <w:rsid w:val="006A5673"/>
    <w:rsid w:val="006A5F50"/>
    <w:rsid w:val="006B013E"/>
    <w:rsid w:val="006B1E86"/>
    <w:rsid w:val="006B367E"/>
    <w:rsid w:val="006B4085"/>
    <w:rsid w:val="006B65EE"/>
    <w:rsid w:val="006B78F2"/>
    <w:rsid w:val="006C1C1D"/>
    <w:rsid w:val="006C3922"/>
    <w:rsid w:val="006C5396"/>
    <w:rsid w:val="006C6D86"/>
    <w:rsid w:val="006C72EE"/>
    <w:rsid w:val="006C74A3"/>
    <w:rsid w:val="006D4E00"/>
    <w:rsid w:val="006D5B52"/>
    <w:rsid w:val="006D7B1D"/>
    <w:rsid w:val="006E2DA3"/>
    <w:rsid w:val="006E3878"/>
    <w:rsid w:val="006E4BC2"/>
    <w:rsid w:val="006F2C92"/>
    <w:rsid w:val="006F2E60"/>
    <w:rsid w:val="006F310D"/>
    <w:rsid w:val="006F47C9"/>
    <w:rsid w:val="006F7A71"/>
    <w:rsid w:val="007004C7"/>
    <w:rsid w:val="007007E7"/>
    <w:rsid w:val="007032E2"/>
    <w:rsid w:val="007036D0"/>
    <w:rsid w:val="00704370"/>
    <w:rsid w:val="00706341"/>
    <w:rsid w:val="007100E4"/>
    <w:rsid w:val="00711426"/>
    <w:rsid w:val="007124C7"/>
    <w:rsid w:val="00713F6D"/>
    <w:rsid w:val="00714F3F"/>
    <w:rsid w:val="0071563A"/>
    <w:rsid w:val="00716CC6"/>
    <w:rsid w:val="00720151"/>
    <w:rsid w:val="00721D7C"/>
    <w:rsid w:val="00721D8C"/>
    <w:rsid w:val="00721E0B"/>
    <w:rsid w:val="00723059"/>
    <w:rsid w:val="007245F9"/>
    <w:rsid w:val="00725913"/>
    <w:rsid w:val="00733256"/>
    <w:rsid w:val="007352C1"/>
    <w:rsid w:val="0073694C"/>
    <w:rsid w:val="00737D0F"/>
    <w:rsid w:val="007448B5"/>
    <w:rsid w:val="00744F92"/>
    <w:rsid w:val="00745374"/>
    <w:rsid w:val="00746D90"/>
    <w:rsid w:val="00753429"/>
    <w:rsid w:val="00761A28"/>
    <w:rsid w:val="007639AF"/>
    <w:rsid w:val="00764D7C"/>
    <w:rsid w:val="00765016"/>
    <w:rsid w:val="00765A74"/>
    <w:rsid w:val="00771318"/>
    <w:rsid w:val="007757B4"/>
    <w:rsid w:val="007760B6"/>
    <w:rsid w:val="0077785E"/>
    <w:rsid w:val="00780715"/>
    <w:rsid w:val="0078096B"/>
    <w:rsid w:val="00780F63"/>
    <w:rsid w:val="00782B67"/>
    <w:rsid w:val="007857F2"/>
    <w:rsid w:val="00786F9D"/>
    <w:rsid w:val="00787097"/>
    <w:rsid w:val="00790831"/>
    <w:rsid w:val="00791C04"/>
    <w:rsid w:val="0079444B"/>
    <w:rsid w:val="00794A11"/>
    <w:rsid w:val="0079543C"/>
    <w:rsid w:val="007A37E4"/>
    <w:rsid w:val="007B13F3"/>
    <w:rsid w:val="007B3073"/>
    <w:rsid w:val="007B3B73"/>
    <w:rsid w:val="007B5C28"/>
    <w:rsid w:val="007B5CF6"/>
    <w:rsid w:val="007C1587"/>
    <w:rsid w:val="007C184D"/>
    <w:rsid w:val="007C7BBA"/>
    <w:rsid w:val="007D01AB"/>
    <w:rsid w:val="007D18F6"/>
    <w:rsid w:val="007D1AF4"/>
    <w:rsid w:val="007D1B61"/>
    <w:rsid w:val="007D2ED8"/>
    <w:rsid w:val="007D4939"/>
    <w:rsid w:val="007D4DC8"/>
    <w:rsid w:val="007D6320"/>
    <w:rsid w:val="007E139C"/>
    <w:rsid w:val="007E3E43"/>
    <w:rsid w:val="007E4E25"/>
    <w:rsid w:val="007F0F8A"/>
    <w:rsid w:val="007F2A6E"/>
    <w:rsid w:val="007F2AF6"/>
    <w:rsid w:val="007F300B"/>
    <w:rsid w:val="007F5186"/>
    <w:rsid w:val="007F5AD6"/>
    <w:rsid w:val="007F6D1A"/>
    <w:rsid w:val="00800B38"/>
    <w:rsid w:val="00801475"/>
    <w:rsid w:val="00802824"/>
    <w:rsid w:val="00803526"/>
    <w:rsid w:val="008044E1"/>
    <w:rsid w:val="008051D2"/>
    <w:rsid w:val="00805AA9"/>
    <w:rsid w:val="00806253"/>
    <w:rsid w:val="0080741B"/>
    <w:rsid w:val="00812799"/>
    <w:rsid w:val="0082050F"/>
    <w:rsid w:val="00820592"/>
    <w:rsid w:val="00823C3F"/>
    <w:rsid w:val="00825BCD"/>
    <w:rsid w:val="008274FF"/>
    <w:rsid w:val="00832298"/>
    <w:rsid w:val="0083304F"/>
    <w:rsid w:val="00833402"/>
    <w:rsid w:val="0083729E"/>
    <w:rsid w:val="008421AA"/>
    <w:rsid w:val="00842B7C"/>
    <w:rsid w:val="00842EDE"/>
    <w:rsid w:val="00843638"/>
    <w:rsid w:val="0084423D"/>
    <w:rsid w:val="0084423E"/>
    <w:rsid w:val="008447F8"/>
    <w:rsid w:val="00847AB0"/>
    <w:rsid w:val="00850BDE"/>
    <w:rsid w:val="00855F63"/>
    <w:rsid w:val="00856D4E"/>
    <w:rsid w:val="00857267"/>
    <w:rsid w:val="00864298"/>
    <w:rsid w:val="00865313"/>
    <w:rsid w:val="00866C1B"/>
    <w:rsid w:val="0087033B"/>
    <w:rsid w:val="00873C3C"/>
    <w:rsid w:val="00874724"/>
    <w:rsid w:val="00875169"/>
    <w:rsid w:val="00877E2F"/>
    <w:rsid w:val="00880954"/>
    <w:rsid w:val="00883C1E"/>
    <w:rsid w:val="0088502D"/>
    <w:rsid w:val="00892199"/>
    <w:rsid w:val="00892E21"/>
    <w:rsid w:val="00894145"/>
    <w:rsid w:val="00896233"/>
    <w:rsid w:val="008A01E7"/>
    <w:rsid w:val="008A0F3D"/>
    <w:rsid w:val="008A1AF9"/>
    <w:rsid w:val="008A34ED"/>
    <w:rsid w:val="008A613A"/>
    <w:rsid w:val="008A61C5"/>
    <w:rsid w:val="008A6E87"/>
    <w:rsid w:val="008B0548"/>
    <w:rsid w:val="008B25D5"/>
    <w:rsid w:val="008B3CF8"/>
    <w:rsid w:val="008B550C"/>
    <w:rsid w:val="008B6163"/>
    <w:rsid w:val="008B7A2E"/>
    <w:rsid w:val="008C44D8"/>
    <w:rsid w:val="008D09CD"/>
    <w:rsid w:val="008D209B"/>
    <w:rsid w:val="008D3B34"/>
    <w:rsid w:val="008D7D74"/>
    <w:rsid w:val="008E0919"/>
    <w:rsid w:val="008E6700"/>
    <w:rsid w:val="008E672A"/>
    <w:rsid w:val="008E6949"/>
    <w:rsid w:val="008E721A"/>
    <w:rsid w:val="008E7EF4"/>
    <w:rsid w:val="008F0978"/>
    <w:rsid w:val="008F149C"/>
    <w:rsid w:val="008F41E3"/>
    <w:rsid w:val="008F475B"/>
    <w:rsid w:val="008F5266"/>
    <w:rsid w:val="008F6AC8"/>
    <w:rsid w:val="00900E0F"/>
    <w:rsid w:val="009051B8"/>
    <w:rsid w:val="0090522B"/>
    <w:rsid w:val="00905A66"/>
    <w:rsid w:val="00905E58"/>
    <w:rsid w:val="00906460"/>
    <w:rsid w:val="00910A41"/>
    <w:rsid w:val="00911BF2"/>
    <w:rsid w:val="009124BE"/>
    <w:rsid w:val="0091345C"/>
    <w:rsid w:val="00915B7A"/>
    <w:rsid w:val="009173DB"/>
    <w:rsid w:val="0091756D"/>
    <w:rsid w:val="00917827"/>
    <w:rsid w:val="0092138F"/>
    <w:rsid w:val="00924CCC"/>
    <w:rsid w:val="00925026"/>
    <w:rsid w:val="00927008"/>
    <w:rsid w:val="009315BA"/>
    <w:rsid w:val="0093456D"/>
    <w:rsid w:val="009467DE"/>
    <w:rsid w:val="009474E8"/>
    <w:rsid w:val="00947D61"/>
    <w:rsid w:val="00954030"/>
    <w:rsid w:val="00954310"/>
    <w:rsid w:val="0095689B"/>
    <w:rsid w:val="009575C6"/>
    <w:rsid w:val="00957CBC"/>
    <w:rsid w:val="00961DEF"/>
    <w:rsid w:val="00964063"/>
    <w:rsid w:val="00964572"/>
    <w:rsid w:val="00966A17"/>
    <w:rsid w:val="0097075C"/>
    <w:rsid w:val="0097268D"/>
    <w:rsid w:val="00973E0A"/>
    <w:rsid w:val="00973F2A"/>
    <w:rsid w:val="00985173"/>
    <w:rsid w:val="00985B1C"/>
    <w:rsid w:val="00985CC0"/>
    <w:rsid w:val="009911A4"/>
    <w:rsid w:val="00991CEB"/>
    <w:rsid w:val="009922EC"/>
    <w:rsid w:val="0099333B"/>
    <w:rsid w:val="00995912"/>
    <w:rsid w:val="00996137"/>
    <w:rsid w:val="009A185E"/>
    <w:rsid w:val="009A315B"/>
    <w:rsid w:val="009A48E5"/>
    <w:rsid w:val="009A546C"/>
    <w:rsid w:val="009A6B57"/>
    <w:rsid w:val="009A6FDA"/>
    <w:rsid w:val="009B0033"/>
    <w:rsid w:val="009B1AAB"/>
    <w:rsid w:val="009B4B5C"/>
    <w:rsid w:val="009B52F3"/>
    <w:rsid w:val="009C16D1"/>
    <w:rsid w:val="009C1872"/>
    <w:rsid w:val="009C30DB"/>
    <w:rsid w:val="009C6BE0"/>
    <w:rsid w:val="009D1C1C"/>
    <w:rsid w:val="009D1E27"/>
    <w:rsid w:val="009D34E4"/>
    <w:rsid w:val="009D4C5C"/>
    <w:rsid w:val="009E1D6E"/>
    <w:rsid w:val="009E2CB6"/>
    <w:rsid w:val="009E2D95"/>
    <w:rsid w:val="009E31ED"/>
    <w:rsid w:val="009E6721"/>
    <w:rsid w:val="009E7034"/>
    <w:rsid w:val="009F1E6B"/>
    <w:rsid w:val="009F33C6"/>
    <w:rsid w:val="009F407A"/>
    <w:rsid w:val="009F56D6"/>
    <w:rsid w:val="009F5711"/>
    <w:rsid w:val="009F5734"/>
    <w:rsid w:val="00A00E2B"/>
    <w:rsid w:val="00A022F1"/>
    <w:rsid w:val="00A02DDA"/>
    <w:rsid w:val="00A02E99"/>
    <w:rsid w:val="00A10853"/>
    <w:rsid w:val="00A10C70"/>
    <w:rsid w:val="00A10CEE"/>
    <w:rsid w:val="00A16E1B"/>
    <w:rsid w:val="00A233AF"/>
    <w:rsid w:val="00A25B86"/>
    <w:rsid w:val="00A33F22"/>
    <w:rsid w:val="00A34987"/>
    <w:rsid w:val="00A435D8"/>
    <w:rsid w:val="00A43AEC"/>
    <w:rsid w:val="00A45988"/>
    <w:rsid w:val="00A46122"/>
    <w:rsid w:val="00A4685D"/>
    <w:rsid w:val="00A529DA"/>
    <w:rsid w:val="00A5373B"/>
    <w:rsid w:val="00A547D4"/>
    <w:rsid w:val="00A564C0"/>
    <w:rsid w:val="00A61105"/>
    <w:rsid w:val="00A615A1"/>
    <w:rsid w:val="00A70474"/>
    <w:rsid w:val="00A75E7A"/>
    <w:rsid w:val="00A766CA"/>
    <w:rsid w:val="00A816C4"/>
    <w:rsid w:val="00A86034"/>
    <w:rsid w:val="00A87D73"/>
    <w:rsid w:val="00A90371"/>
    <w:rsid w:val="00A91FEF"/>
    <w:rsid w:val="00A93DF8"/>
    <w:rsid w:val="00A94AD6"/>
    <w:rsid w:val="00A95787"/>
    <w:rsid w:val="00AA004D"/>
    <w:rsid w:val="00AA3D61"/>
    <w:rsid w:val="00AA5489"/>
    <w:rsid w:val="00AA6997"/>
    <w:rsid w:val="00AA768F"/>
    <w:rsid w:val="00AB1031"/>
    <w:rsid w:val="00AB1190"/>
    <w:rsid w:val="00AB13E2"/>
    <w:rsid w:val="00AB1917"/>
    <w:rsid w:val="00AB1FDA"/>
    <w:rsid w:val="00AB4F63"/>
    <w:rsid w:val="00AB5CA3"/>
    <w:rsid w:val="00AB689B"/>
    <w:rsid w:val="00AC05CE"/>
    <w:rsid w:val="00AC1D94"/>
    <w:rsid w:val="00AC2EDD"/>
    <w:rsid w:val="00AD14F7"/>
    <w:rsid w:val="00AD19A0"/>
    <w:rsid w:val="00AD1F92"/>
    <w:rsid w:val="00AD3FE3"/>
    <w:rsid w:val="00AD6AE5"/>
    <w:rsid w:val="00AD6F99"/>
    <w:rsid w:val="00AE41AB"/>
    <w:rsid w:val="00AE5593"/>
    <w:rsid w:val="00AE5AFE"/>
    <w:rsid w:val="00AF0815"/>
    <w:rsid w:val="00AF2419"/>
    <w:rsid w:val="00AF3522"/>
    <w:rsid w:val="00AF71B4"/>
    <w:rsid w:val="00B006D5"/>
    <w:rsid w:val="00B01E8A"/>
    <w:rsid w:val="00B01F06"/>
    <w:rsid w:val="00B02046"/>
    <w:rsid w:val="00B0283F"/>
    <w:rsid w:val="00B03439"/>
    <w:rsid w:val="00B038FE"/>
    <w:rsid w:val="00B05954"/>
    <w:rsid w:val="00B06B41"/>
    <w:rsid w:val="00B07FE2"/>
    <w:rsid w:val="00B11C28"/>
    <w:rsid w:val="00B11CD8"/>
    <w:rsid w:val="00B16B4D"/>
    <w:rsid w:val="00B20609"/>
    <w:rsid w:val="00B21D4B"/>
    <w:rsid w:val="00B25DC0"/>
    <w:rsid w:val="00B25FA9"/>
    <w:rsid w:val="00B31DE8"/>
    <w:rsid w:val="00B35957"/>
    <w:rsid w:val="00B35EC0"/>
    <w:rsid w:val="00B374E2"/>
    <w:rsid w:val="00B43775"/>
    <w:rsid w:val="00B43CB9"/>
    <w:rsid w:val="00B46752"/>
    <w:rsid w:val="00B5392B"/>
    <w:rsid w:val="00B548A9"/>
    <w:rsid w:val="00B56E62"/>
    <w:rsid w:val="00B56F29"/>
    <w:rsid w:val="00B57ABD"/>
    <w:rsid w:val="00B57FFA"/>
    <w:rsid w:val="00B62486"/>
    <w:rsid w:val="00B62DED"/>
    <w:rsid w:val="00B634FC"/>
    <w:rsid w:val="00B704F4"/>
    <w:rsid w:val="00B713C5"/>
    <w:rsid w:val="00B71BA6"/>
    <w:rsid w:val="00B7256D"/>
    <w:rsid w:val="00B727BD"/>
    <w:rsid w:val="00B73582"/>
    <w:rsid w:val="00B75B4B"/>
    <w:rsid w:val="00B77CF7"/>
    <w:rsid w:val="00B8289A"/>
    <w:rsid w:val="00B83FE3"/>
    <w:rsid w:val="00B8578F"/>
    <w:rsid w:val="00B85865"/>
    <w:rsid w:val="00B864D2"/>
    <w:rsid w:val="00B94482"/>
    <w:rsid w:val="00BA1BD3"/>
    <w:rsid w:val="00BA41A9"/>
    <w:rsid w:val="00BA5961"/>
    <w:rsid w:val="00BA5FE1"/>
    <w:rsid w:val="00BA6271"/>
    <w:rsid w:val="00BB18AB"/>
    <w:rsid w:val="00BB4BB9"/>
    <w:rsid w:val="00BB5D4D"/>
    <w:rsid w:val="00BC1C0F"/>
    <w:rsid w:val="00BC2BBC"/>
    <w:rsid w:val="00BD45F5"/>
    <w:rsid w:val="00BD49D1"/>
    <w:rsid w:val="00BD4B75"/>
    <w:rsid w:val="00BD57B1"/>
    <w:rsid w:val="00BE373E"/>
    <w:rsid w:val="00BE3FCD"/>
    <w:rsid w:val="00BE5F5C"/>
    <w:rsid w:val="00BE6066"/>
    <w:rsid w:val="00BF00CB"/>
    <w:rsid w:val="00BF1273"/>
    <w:rsid w:val="00BF4FE1"/>
    <w:rsid w:val="00BF544E"/>
    <w:rsid w:val="00BF55F7"/>
    <w:rsid w:val="00C027EF"/>
    <w:rsid w:val="00C12C66"/>
    <w:rsid w:val="00C12CA4"/>
    <w:rsid w:val="00C151FD"/>
    <w:rsid w:val="00C15D5C"/>
    <w:rsid w:val="00C16D0F"/>
    <w:rsid w:val="00C17FDC"/>
    <w:rsid w:val="00C21360"/>
    <w:rsid w:val="00C23FF5"/>
    <w:rsid w:val="00C242C0"/>
    <w:rsid w:val="00C25C1E"/>
    <w:rsid w:val="00C25D68"/>
    <w:rsid w:val="00C26A33"/>
    <w:rsid w:val="00C27312"/>
    <w:rsid w:val="00C30E90"/>
    <w:rsid w:val="00C33075"/>
    <w:rsid w:val="00C40215"/>
    <w:rsid w:val="00C42AE2"/>
    <w:rsid w:val="00C42FAF"/>
    <w:rsid w:val="00C44237"/>
    <w:rsid w:val="00C44C3B"/>
    <w:rsid w:val="00C46205"/>
    <w:rsid w:val="00C51EDB"/>
    <w:rsid w:val="00C52152"/>
    <w:rsid w:val="00C540B3"/>
    <w:rsid w:val="00C579B7"/>
    <w:rsid w:val="00C621AA"/>
    <w:rsid w:val="00C637DC"/>
    <w:rsid w:val="00C64C9E"/>
    <w:rsid w:val="00C65D51"/>
    <w:rsid w:val="00C67578"/>
    <w:rsid w:val="00C67B25"/>
    <w:rsid w:val="00C73551"/>
    <w:rsid w:val="00C7461E"/>
    <w:rsid w:val="00C74A46"/>
    <w:rsid w:val="00C75798"/>
    <w:rsid w:val="00C77E68"/>
    <w:rsid w:val="00C801CB"/>
    <w:rsid w:val="00C80876"/>
    <w:rsid w:val="00C80922"/>
    <w:rsid w:val="00C84009"/>
    <w:rsid w:val="00C92619"/>
    <w:rsid w:val="00C9458D"/>
    <w:rsid w:val="00C96106"/>
    <w:rsid w:val="00C96419"/>
    <w:rsid w:val="00CA104E"/>
    <w:rsid w:val="00CA50F4"/>
    <w:rsid w:val="00CA6211"/>
    <w:rsid w:val="00CA63F9"/>
    <w:rsid w:val="00CB1DF0"/>
    <w:rsid w:val="00CB2171"/>
    <w:rsid w:val="00CB2A51"/>
    <w:rsid w:val="00CB4C3D"/>
    <w:rsid w:val="00CC111C"/>
    <w:rsid w:val="00CC61D2"/>
    <w:rsid w:val="00CC6514"/>
    <w:rsid w:val="00CC6B48"/>
    <w:rsid w:val="00CC7548"/>
    <w:rsid w:val="00CD0DED"/>
    <w:rsid w:val="00CD0E69"/>
    <w:rsid w:val="00CD11CD"/>
    <w:rsid w:val="00CE04AF"/>
    <w:rsid w:val="00CE197D"/>
    <w:rsid w:val="00CE64EE"/>
    <w:rsid w:val="00CE763D"/>
    <w:rsid w:val="00CF1FC6"/>
    <w:rsid w:val="00CF30D1"/>
    <w:rsid w:val="00CF7946"/>
    <w:rsid w:val="00D00E5E"/>
    <w:rsid w:val="00D049F8"/>
    <w:rsid w:val="00D072BE"/>
    <w:rsid w:val="00D077D0"/>
    <w:rsid w:val="00D0787B"/>
    <w:rsid w:val="00D10879"/>
    <w:rsid w:val="00D1388D"/>
    <w:rsid w:val="00D13FEC"/>
    <w:rsid w:val="00D1711C"/>
    <w:rsid w:val="00D2065A"/>
    <w:rsid w:val="00D22767"/>
    <w:rsid w:val="00D264CE"/>
    <w:rsid w:val="00D2686E"/>
    <w:rsid w:val="00D307E7"/>
    <w:rsid w:val="00D31826"/>
    <w:rsid w:val="00D353C8"/>
    <w:rsid w:val="00D37129"/>
    <w:rsid w:val="00D425F4"/>
    <w:rsid w:val="00D42C70"/>
    <w:rsid w:val="00D4382A"/>
    <w:rsid w:val="00D43A44"/>
    <w:rsid w:val="00D4675E"/>
    <w:rsid w:val="00D50A33"/>
    <w:rsid w:val="00D51573"/>
    <w:rsid w:val="00D53DD4"/>
    <w:rsid w:val="00D572CB"/>
    <w:rsid w:val="00D579D0"/>
    <w:rsid w:val="00D63AB9"/>
    <w:rsid w:val="00D6578D"/>
    <w:rsid w:val="00D65CF3"/>
    <w:rsid w:val="00D67DA1"/>
    <w:rsid w:val="00D713AC"/>
    <w:rsid w:val="00D73141"/>
    <w:rsid w:val="00D81E7A"/>
    <w:rsid w:val="00D84C63"/>
    <w:rsid w:val="00D853CA"/>
    <w:rsid w:val="00D87CFF"/>
    <w:rsid w:val="00D907EC"/>
    <w:rsid w:val="00D9210F"/>
    <w:rsid w:val="00D922EE"/>
    <w:rsid w:val="00D9274F"/>
    <w:rsid w:val="00D95CB1"/>
    <w:rsid w:val="00DA1DC0"/>
    <w:rsid w:val="00DA20C8"/>
    <w:rsid w:val="00DA43D6"/>
    <w:rsid w:val="00DA575F"/>
    <w:rsid w:val="00DB0BEA"/>
    <w:rsid w:val="00DB2019"/>
    <w:rsid w:val="00DC362B"/>
    <w:rsid w:val="00DC419C"/>
    <w:rsid w:val="00DC5EB0"/>
    <w:rsid w:val="00DD2872"/>
    <w:rsid w:val="00DD3406"/>
    <w:rsid w:val="00DD5BCD"/>
    <w:rsid w:val="00DD7EB6"/>
    <w:rsid w:val="00DE1A71"/>
    <w:rsid w:val="00DE3179"/>
    <w:rsid w:val="00DE4DEF"/>
    <w:rsid w:val="00DE4FE1"/>
    <w:rsid w:val="00DE6319"/>
    <w:rsid w:val="00DE6698"/>
    <w:rsid w:val="00DF041F"/>
    <w:rsid w:val="00DF1BE1"/>
    <w:rsid w:val="00DF2AE9"/>
    <w:rsid w:val="00DF4179"/>
    <w:rsid w:val="00DF5C55"/>
    <w:rsid w:val="00DF6258"/>
    <w:rsid w:val="00DF7A1E"/>
    <w:rsid w:val="00E05E86"/>
    <w:rsid w:val="00E0676B"/>
    <w:rsid w:val="00E11198"/>
    <w:rsid w:val="00E13557"/>
    <w:rsid w:val="00E16363"/>
    <w:rsid w:val="00E208CE"/>
    <w:rsid w:val="00E20DD0"/>
    <w:rsid w:val="00E217AF"/>
    <w:rsid w:val="00E2267F"/>
    <w:rsid w:val="00E24EF6"/>
    <w:rsid w:val="00E2665E"/>
    <w:rsid w:val="00E26C01"/>
    <w:rsid w:val="00E33C00"/>
    <w:rsid w:val="00E356A8"/>
    <w:rsid w:val="00E41754"/>
    <w:rsid w:val="00E4323F"/>
    <w:rsid w:val="00E43BC8"/>
    <w:rsid w:val="00E46380"/>
    <w:rsid w:val="00E469B9"/>
    <w:rsid w:val="00E52FE3"/>
    <w:rsid w:val="00E556A5"/>
    <w:rsid w:val="00E56BAD"/>
    <w:rsid w:val="00E570A6"/>
    <w:rsid w:val="00E60F23"/>
    <w:rsid w:val="00E6193F"/>
    <w:rsid w:val="00E623E6"/>
    <w:rsid w:val="00E659C7"/>
    <w:rsid w:val="00E666A8"/>
    <w:rsid w:val="00E67201"/>
    <w:rsid w:val="00E7366F"/>
    <w:rsid w:val="00E73691"/>
    <w:rsid w:val="00E73960"/>
    <w:rsid w:val="00E77815"/>
    <w:rsid w:val="00E82D9D"/>
    <w:rsid w:val="00E84357"/>
    <w:rsid w:val="00E8563A"/>
    <w:rsid w:val="00E91E3E"/>
    <w:rsid w:val="00E91FEF"/>
    <w:rsid w:val="00E926E0"/>
    <w:rsid w:val="00E936DE"/>
    <w:rsid w:val="00EA0F0A"/>
    <w:rsid w:val="00EA1902"/>
    <w:rsid w:val="00EA24D7"/>
    <w:rsid w:val="00EA3737"/>
    <w:rsid w:val="00EA3EED"/>
    <w:rsid w:val="00EA4CD4"/>
    <w:rsid w:val="00EA61CB"/>
    <w:rsid w:val="00EB3CC4"/>
    <w:rsid w:val="00EB474D"/>
    <w:rsid w:val="00EB59FD"/>
    <w:rsid w:val="00EB6C1B"/>
    <w:rsid w:val="00EC0FC1"/>
    <w:rsid w:val="00EC1FAE"/>
    <w:rsid w:val="00EC3296"/>
    <w:rsid w:val="00EC4265"/>
    <w:rsid w:val="00ED52BF"/>
    <w:rsid w:val="00EE1572"/>
    <w:rsid w:val="00EE35F2"/>
    <w:rsid w:val="00EE3B81"/>
    <w:rsid w:val="00EE5F01"/>
    <w:rsid w:val="00EE746F"/>
    <w:rsid w:val="00EF5E6C"/>
    <w:rsid w:val="00EF78A9"/>
    <w:rsid w:val="00F01CB7"/>
    <w:rsid w:val="00F0548E"/>
    <w:rsid w:val="00F06CB5"/>
    <w:rsid w:val="00F07400"/>
    <w:rsid w:val="00F12374"/>
    <w:rsid w:val="00F23680"/>
    <w:rsid w:val="00F2498F"/>
    <w:rsid w:val="00F263AA"/>
    <w:rsid w:val="00F2739F"/>
    <w:rsid w:val="00F275C5"/>
    <w:rsid w:val="00F339F0"/>
    <w:rsid w:val="00F348AE"/>
    <w:rsid w:val="00F353F6"/>
    <w:rsid w:val="00F36156"/>
    <w:rsid w:val="00F373A1"/>
    <w:rsid w:val="00F40CC8"/>
    <w:rsid w:val="00F44406"/>
    <w:rsid w:val="00F44EFE"/>
    <w:rsid w:val="00F450AD"/>
    <w:rsid w:val="00F51CCE"/>
    <w:rsid w:val="00F52316"/>
    <w:rsid w:val="00F54389"/>
    <w:rsid w:val="00F57E4A"/>
    <w:rsid w:val="00F62E86"/>
    <w:rsid w:val="00F647D5"/>
    <w:rsid w:val="00F655B0"/>
    <w:rsid w:val="00F663D0"/>
    <w:rsid w:val="00F70B44"/>
    <w:rsid w:val="00F72B90"/>
    <w:rsid w:val="00F73157"/>
    <w:rsid w:val="00F73EF2"/>
    <w:rsid w:val="00F74752"/>
    <w:rsid w:val="00F81A80"/>
    <w:rsid w:val="00F83B8D"/>
    <w:rsid w:val="00F8540F"/>
    <w:rsid w:val="00F86006"/>
    <w:rsid w:val="00F91DA6"/>
    <w:rsid w:val="00F92D70"/>
    <w:rsid w:val="00F95558"/>
    <w:rsid w:val="00F95B2C"/>
    <w:rsid w:val="00F95C0E"/>
    <w:rsid w:val="00FA1000"/>
    <w:rsid w:val="00FA4E1A"/>
    <w:rsid w:val="00FA58AB"/>
    <w:rsid w:val="00FA640D"/>
    <w:rsid w:val="00FA7AC3"/>
    <w:rsid w:val="00FB0C93"/>
    <w:rsid w:val="00FB3CF2"/>
    <w:rsid w:val="00FB7784"/>
    <w:rsid w:val="00FB786E"/>
    <w:rsid w:val="00FC2B83"/>
    <w:rsid w:val="00FC40F4"/>
    <w:rsid w:val="00FC4279"/>
    <w:rsid w:val="00FC4F06"/>
    <w:rsid w:val="00FC589B"/>
    <w:rsid w:val="00FD21CF"/>
    <w:rsid w:val="00FD474F"/>
    <w:rsid w:val="00FD618B"/>
    <w:rsid w:val="00FD6FD2"/>
    <w:rsid w:val="00FD72DD"/>
    <w:rsid w:val="00FE07A8"/>
    <w:rsid w:val="00FE41D5"/>
    <w:rsid w:val="00FE424F"/>
    <w:rsid w:val="00FE435D"/>
    <w:rsid w:val="00FE56F2"/>
    <w:rsid w:val="00FF5293"/>
    <w:rsid w:val="00FF6ACB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ED352-9A32-4A2F-B3C8-0A417D80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2"/>
    <w:qFormat/>
    <w:rsid w:val="007B5C28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20">
    <w:name w:val="heading 2"/>
    <w:basedOn w:val="a1"/>
    <w:next w:val="a1"/>
    <w:link w:val="21"/>
    <w:qFormat/>
    <w:rsid w:val="007B5C28"/>
    <w:pPr>
      <w:keepNext/>
      <w:spacing w:after="0" w:line="360" w:lineRule="auto"/>
      <w:jc w:val="both"/>
      <w:outlineLvl w:val="1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30">
    <w:name w:val="heading 3"/>
    <w:basedOn w:val="a1"/>
    <w:next w:val="a1"/>
    <w:link w:val="31"/>
    <w:qFormat/>
    <w:rsid w:val="007B5C28"/>
    <w:pPr>
      <w:keepNext/>
      <w:spacing w:after="0" w:line="240" w:lineRule="auto"/>
      <w:ind w:left="3600" w:firstLine="720"/>
      <w:jc w:val="right"/>
      <w:outlineLvl w:val="2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40">
    <w:name w:val="heading 4"/>
    <w:basedOn w:val="a1"/>
    <w:next w:val="a1"/>
    <w:link w:val="41"/>
    <w:qFormat/>
    <w:rsid w:val="007B5C28"/>
    <w:pPr>
      <w:keepNext/>
      <w:spacing w:after="0" w:line="240" w:lineRule="auto"/>
      <w:jc w:val="right"/>
      <w:outlineLvl w:val="3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5">
    <w:name w:val="heading 5"/>
    <w:basedOn w:val="a1"/>
    <w:next w:val="a1"/>
    <w:link w:val="50"/>
    <w:qFormat/>
    <w:rsid w:val="00720151"/>
    <w:pPr>
      <w:keepNext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6">
    <w:name w:val="heading 6"/>
    <w:basedOn w:val="a1"/>
    <w:next w:val="a1"/>
    <w:link w:val="60"/>
    <w:qFormat/>
    <w:rsid w:val="00720151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7">
    <w:name w:val="heading 7"/>
    <w:basedOn w:val="a1"/>
    <w:next w:val="a1"/>
    <w:link w:val="70"/>
    <w:qFormat/>
    <w:rsid w:val="00720151"/>
    <w:pPr>
      <w:keepNext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8">
    <w:name w:val="heading 8"/>
    <w:basedOn w:val="a1"/>
    <w:next w:val="a1"/>
    <w:link w:val="80"/>
    <w:qFormat/>
    <w:rsid w:val="0072015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1"/>
    <w:next w:val="a1"/>
    <w:link w:val="90"/>
    <w:qFormat/>
    <w:rsid w:val="00720151"/>
    <w:pPr>
      <w:keepNext/>
      <w:spacing w:after="0" w:line="360" w:lineRule="auto"/>
      <w:ind w:firstLine="708"/>
      <w:jc w:val="right"/>
      <w:outlineLvl w:val="8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5">
    <w:name w:val="Hyperlink"/>
    <w:unhideWhenUsed/>
    <w:rsid w:val="005740A6"/>
    <w:rPr>
      <w:color w:val="0000FF"/>
      <w:u w:val="single"/>
    </w:rPr>
  </w:style>
  <w:style w:type="paragraph" w:styleId="a6">
    <w:name w:val="Body Text"/>
    <w:aliases w:val=" Знак"/>
    <w:basedOn w:val="a1"/>
    <w:link w:val="a7"/>
    <w:unhideWhenUsed/>
    <w:rsid w:val="005740A6"/>
    <w:pPr>
      <w:suppressAutoHyphens/>
      <w:spacing w:after="120" w:line="240" w:lineRule="auto"/>
    </w:pPr>
    <w:rPr>
      <w:rFonts w:ascii="Garamond" w:eastAsia="Garamond" w:hAnsi="Garamond" w:cs="Garamond"/>
      <w:sz w:val="28"/>
      <w:szCs w:val="24"/>
      <w:lang w:eastAsia="ar-SA"/>
    </w:rPr>
  </w:style>
  <w:style w:type="character" w:customStyle="1" w:styleId="a7">
    <w:name w:val="Основной текст Знак"/>
    <w:aliases w:val=" Знак Знак"/>
    <w:basedOn w:val="a2"/>
    <w:link w:val="a6"/>
    <w:rsid w:val="005740A6"/>
    <w:rPr>
      <w:rFonts w:ascii="Garamond" w:eastAsia="Garamond" w:hAnsi="Garamond" w:cs="Garamond"/>
      <w:sz w:val="28"/>
      <w:szCs w:val="24"/>
      <w:lang w:eastAsia="ar-SA"/>
    </w:rPr>
  </w:style>
  <w:style w:type="paragraph" w:styleId="a8">
    <w:name w:val="Body Text Indent"/>
    <w:basedOn w:val="a1"/>
    <w:link w:val="a9"/>
    <w:unhideWhenUsed/>
    <w:rsid w:val="007B5C28"/>
    <w:pPr>
      <w:spacing w:after="120"/>
      <w:ind w:left="283"/>
    </w:pPr>
  </w:style>
  <w:style w:type="character" w:customStyle="1" w:styleId="a9">
    <w:name w:val="Основной текст с отступом Знак"/>
    <w:basedOn w:val="a2"/>
    <w:link w:val="a8"/>
    <w:rsid w:val="007B5C28"/>
  </w:style>
  <w:style w:type="character" w:customStyle="1" w:styleId="12">
    <w:name w:val="Заголовок 1 Знак"/>
    <w:basedOn w:val="a2"/>
    <w:link w:val="1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21">
    <w:name w:val="Заголовок 2 Знак"/>
    <w:basedOn w:val="a2"/>
    <w:link w:val="2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31">
    <w:name w:val="Заголовок 3 Знак"/>
    <w:basedOn w:val="a2"/>
    <w:link w:val="3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41">
    <w:name w:val="Заголовок 4 Знак"/>
    <w:basedOn w:val="a2"/>
    <w:link w:val="4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aa">
    <w:name w:val="Title"/>
    <w:basedOn w:val="a1"/>
    <w:link w:val="ab"/>
    <w:qFormat/>
    <w:rsid w:val="007B5C28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5"/>
      <w:szCs w:val="20"/>
      <w:lang w:eastAsia="ru-RU"/>
    </w:rPr>
  </w:style>
  <w:style w:type="character" w:customStyle="1" w:styleId="ab">
    <w:name w:val="Название Знак"/>
    <w:basedOn w:val="a2"/>
    <w:link w:val="aa"/>
    <w:rsid w:val="007B5C28"/>
    <w:rPr>
      <w:rFonts w:ascii="Times New Roman" w:eastAsia="MS Mincho" w:hAnsi="Times New Roman" w:cs="Times New Roman"/>
      <w:b/>
      <w:sz w:val="25"/>
      <w:szCs w:val="20"/>
      <w:lang w:eastAsia="ru-RU"/>
    </w:rPr>
  </w:style>
  <w:style w:type="paragraph" w:styleId="22">
    <w:name w:val="Body Text Indent 2"/>
    <w:basedOn w:val="a1"/>
    <w:link w:val="23"/>
    <w:rsid w:val="007B5C28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c">
    <w:name w:val="Plain Text"/>
    <w:basedOn w:val="a1"/>
    <w:link w:val="ad"/>
    <w:rsid w:val="007B5C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2"/>
    <w:link w:val="ac"/>
    <w:rsid w:val="007B5C28"/>
    <w:rPr>
      <w:rFonts w:ascii="Courier New" w:eastAsia="MS Mincho" w:hAnsi="Courier New" w:cs="Times New Roman"/>
      <w:sz w:val="20"/>
      <w:szCs w:val="20"/>
      <w:lang w:eastAsia="ru-RU"/>
    </w:rPr>
  </w:style>
  <w:style w:type="paragraph" w:styleId="32">
    <w:name w:val="Body Text Indent 3"/>
    <w:basedOn w:val="a1"/>
    <w:link w:val="33"/>
    <w:rsid w:val="007B5C28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2"/>
    <w:link w:val="32"/>
    <w:rsid w:val="007B5C28"/>
    <w:rPr>
      <w:rFonts w:ascii="Times New Roman" w:eastAsia="MS Mincho" w:hAnsi="Times New Roman" w:cs="Times New Roman"/>
      <w:sz w:val="16"/>
      <w:szCs w:val="16"/>
      <w:lang w:eastAsia="ru-RU"/>
    </w:rPr>
  </w:style>
  <w:style w:type="table" w:styleId="ae">
    <w:name w:val="Table Grid"/>
    <w:basedOn w:val="a3"/>
    <w:rsid w:val="007B5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1"/>
    <w:qFormat/>
    <w:rsid w:val="007B5C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1"/>
    <w:link w:val="25"/>
    <w:rsid w:val="007B5C28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2"/>
    <w:link w:val="24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0">
    <w:name w:val="АДРЕС"/>
    <w:basedOn w:val="a1"/>
    <w:rsid w:val="007B5C2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1">
    <w:name w:val="header"/>
    <w:basedOn w:val="a1"/>
    <w:link w:val="af2"/>
    <w:rsid w:val="00D353C8"/>
    <w:pPr>
      <w:tabs>
        <w:tab w:val="center" w:pos="4819"/>
        <w:tab w:val="right" w:pos="9639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2"/>
    <w:link w:val="af1"/>
    <w:rsid w:val="00D353C8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3">
    <w:name w:val="page number"/>
    <w:basedOn w:val="a2"/>
    <w:rsid w:val="00D353C8"/>
  </w:style>
  <w:style w:type="paragraph" w:styleId="34">
    <w:name w:val="Body Text 3"/>
    <w:basedOn w:val="a1"/>
    <w:link w:val="35"/>
    <w:rsid w:val="007201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5">
    <w:name w:val="Основной текст 3 Знак"/>
    <w:basedOn w:val="a2"/>
    <w:link w:val="34"/>
    <w:rsid w:val="0072015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50">
    <w:name w:val="Заголовок 5 Знак"/>
    <w:basedOn w:val="a2"/>
    <w:link w:val="5"/>
    <w:rsid w:val="00720151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60">
    <w:name w:val="Заголовок 6 Знак"/>
    <w:basedOn w:val="a2"/>
    <w:link w:val="6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2"/>
    <w:link w:val="7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2"/>
    <w:link w:val="8"/>
    <w:rsid w:val="007201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72015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2">
    <w:name w:val="Стиль2"/>
    <w:basedOn w:val="a1"/>
    <w:rsid w:val="0072015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character" w:customStyle="1" w:styleId="af4">
    <w:name w:val="Основний текст Знак"/>
    <w:basedOn w:val="a2"/>
    <w:rsid w:val="00720151"/>
    <w:rPr>
      <w:bCs/>
      <w:sz w:val="28"/>
      <w:szCs w:val="24"/>
      <w:lang w:val="uk-UA" w:eastAsia="ru-RU" w:bidi="ar-SA"/>
    </w:rPr>
  </w:style>
  <w:style w:type="paragraph" w:customStyle="1" w:styleId="13">
    <w:name w:val="заголовок 1"/>
    <w:basedOn w:val="a1"/>
    <w:next w:val="a1"/>
    <w:rsid w:val="00720151"/>
    <w:pPr>
      <w:keepNext/>
      <w:autoSpaceDE w:val="0"/>
      <w:autoSpaceDN w:val="0"/>
      <w:spacing w:after="0" w:line="360" w:lineRule="auto"/>
      <w:ind w:firstLine="567"/>
      <w:jc w:val="center"/>
    </w:pPr>
    <w:rPr>
      <w:rFonts w:ascii="Arial" w:eastAsia="Times New Roman" w:hAnsi="Arial" w:cs="Arial"/>
      <w:b/>
      <w:bCs/>
      <w:shadow/>
      <w:sz w:val="28"/>
      <w:szCs w:val="28"/>
      <w:lang w:val="uk-UA" w:eastAsia="ru-RU"/>
    </w:rPr>
  </w:style>
  <w:style w:type="paragraph" w:customStyle="1" w:styleId="26">
    <w:name w:val="заголовок 2"/>
    <w:basedOn w:val="a1"/>
    <w:next w:val="a1"/>
    <w:rsid w:val="00720151"/>
    <w:pPr>
      <w:keepNext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1"/>
    <w:link w:val="af6"/>
    <w:rsid w:val="007201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6">
    <w:name w:val="Нижний колонтитул Знак"/>
    <w:basedOn w:val="a2"/>
    <w:link w:val="af5"/>
    <w:rsid w:val="007201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Стиль1"/>
    <w:basedOn w:val="a1"/>
    <w:rsid w:val="00720151"/>
    <w:pPr>
      <w:widowControl w:val="0"/>
      <w:numPr>
        <w:numId w:val="4"/>
      </w:numPr>
      <w:tabs>
        <w:tab w:val="num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">
    <w:name w:val="List Number"/>
    <w:basedOn w:val="a1"/>
    <w:rsid w:val="0072015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1"/>
    <w:rsid w:val="0072015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journalhead">
    <w:name w:val="journalhead"/>
    <w:basedOn w:val="a2"/>
    <w:rsid w:val="00720151"/>
  </w:style>
  <w:style w:type="character" w:styleId="af8">
    <w:name w:val="Strong"/>
    <w:basedOn w:val="a2"/>
    <w:qFormat/>
    <w:rsid w:val="00720151"/>
    <w:rPr>
      <w:b/>
      <w:bCs/>
    </w:rPr>
  </w:style>
  <w:style w:type="paragraph" w:customStyle="1" w:styleId="Normal1">
    <w:name w:val="Normal1"/>
    <w:rsid w:val="0068098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18">
    <w:name w:val="Font Style18"/>
    <w:basedOn w:val="a2"/>
    <w:rsid w:val="0068098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1"/>
    <w:rsid w:val="00680986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rsid w:val="006B4085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1"/>
    <w:rsid w:val="006B4085"/>
    <w:pPr>
      <w:widowControl w:val="0"/>
      <w:autoSpaceDE w:val="0"/>
      <w:autoSpaceDN w:val="0"/>
      <w:adjustRightInd w:val="0"/>
      <w:spacing w:after="0" w:line="590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2"/>
    <w:rsid w:val="006B4085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2"/>
    <w:rsid w:val="006B408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1"/>
    <w:rsid w:val="006B4085"/>
    <w:pPr>
      <w:widowControl w:val="0"/>
      <w:autoSpaceDE w:val="0"/>
      <w:autoSpaceDN w:val="0"/>
      <w:adjustRightInd w:val="0"/>
      <w:spacing w:after="0" w:line="324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toc 2"/>
    <w:basedOn w:val="a1"/>
    <w:next w:val="a1"/>
    <w:autoRedefine/>
    <w:uiPriority w:val="39"/>
    <w:qFormat/>
    <w:rsid w:val="00BA6271"/>
    <w:pPr>
      <w:tabs>
        <w:tab w:val="left" w:pos="540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uk-UA" w:eastAsia="ru-RU"/>
    </w:rPr>
  </w:style>
  <w:style w:type="paragraph" w:styleId="af9">
    <w:name w:val="Block Text"/>
    <w:basedOn w:val="a1"/>
    <w:rsid w:val="00BA6271"/>
    <w:pPr>
      <w:spacing w:after="0" w:line="360" w:lineRule="auto"/>
      <w:ind w:left="567" w:right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6">
    <w:name w:val="rvts6"/>
    <w:basedOn w:val="a2"/>
    <w:rsid w:val="00BA6271"/>
  </w:style>
  <w:style w:type="paragraph" w:customStyle="1" w:styleId="14">
    <w:name w:val="Текст1"/>
    <w:basedOn w:val="a1"/>
    <w:rsid w:val="00BA62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15">
    <w:name w:val="toc 1"/>
    <w:basedOn w:val="a1"/>
    <w:next w:val="a1"/>
    <w:autoRedefine/>
    <w:uiPriority w:val="39"/>
    <w:qFormat/>
    <w:rsid w:val="00BA62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HTML">
    <w:name w:val="HTML Typewriter"/>
    <w:basedOn w:val="a2"/>
    <w:semiHidden/>
    <w:rsid w:val="00BA6271"/>
    <w:rPr>
      <w:rFonts w:ascii="Tahoma" w:eastAsia="Times New Roman" w:hAnsi="Tahoma" w:cs="Tahoma" w:hint="default"/>
      <w:color w:val="333333"/>
      <w:sz w:val="20"/>
      <w:szCs w:val="20"/>
    </w:rPr>
  </w:style>
  <w:style w:type="paragraph" w:styleId="afa">
    <w:name w:val="footnote text"/>
    <w:basedOn w:val="a1"/>
    <w:link w:val="afb"/>
    <w:semiHidden/>
    <w:rsid w:val="00BA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b">
    <w:name w:val="Текст сноски Знак"/>
    <w:basedOn w:val="a2"/>
    <w:link w:val="afa"/>
    <w:semiHidden/>
    <w:rsid w:val="00BA627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Just">
    <w:name w:val="Just"/>
    <w:rsid w:val="00BA6271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basedOn w:val="a2"/>
    <w:semiHidden/>
    <w:rsid w:val="00BA6271"/>
    <w:rPr>
      <w:vertAlign w:val="superscript"/>
    </w:rPr>
  </w:style>
  <w:style w:type="paragraph" w:customStyle="1" w:styleId="StyleZakonu">
    <w:name w:val="StyleZakonu"/>
    <w:basedOn w:val="a1"/>
    <w:rsid w:val="00DF1BE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13">
    <w:name w:val="rvts13"/>
    <w:basedOn w:val="a2"/>
    <w:rsid w:val="00DF1BE1"/>
  </w:style>
  <w:style w:type="paragraph" w:customStyle="1" w:styleId="rvps14">
    <w:name w:val="rvps14"/>
    <w:basedOn w:val="a1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2"/>
    <w:rsid w:val="00DF1BE1"/>
  </w:style>
  <w:style w:type="paragraph" w:customStyle="1" w:styleId="rvps17">
    <w:name w:val="rvps17"/>
    <w:basedOn w:val="a1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2"/>
    <w:rsid w:val="00725913"/>
    <w:rPr>
      <w:rFonts w:ascii="Times New Roman" w:hAnsi="Times New Roman" w:cs="Times New Roman"/>
      <w:sz w:val="24"/>
      <w:szCs w:val="24"/>
    </w:rPr>
  </w:style>
  <w:style w:type="paragraph" w:customStyle="1" w:styleId="16">
    <w:name w:val="Обычный1"/>
    <w:rsid w:val="00725913"/>
    <w:pPr>
      <w:widowControl w:val="0"/>
      <w:spacing w:after="0" w:line="480" w:lineRule="auto"/>
      <w:ind w:firstLine="4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j">
    <w:name w:val="aj"/>
    <w:basedOn w:val="a1"/>
    <w:rsid w:val="00725913"/>
    <w:pPr>
      <w:spacing w:before="120" w:after="60" w:line="300" w:lineRule="auto"/>
      <w:ind w:left="30" w:right="30" w:firstLine="480"/>
      <w:jc w:val="both"/>
    </w:pPr>
    <w:rPr>
      <w:rFonts w:ascii="Verdana" w:eastAsia="Times New Roman" w:hAnsi="Verdana" w:cs="Times New Roman"/>
      <w:color w:val="222233"/>
      <w:sz w:val="20"/>
      <w:szCs w:val="20"/>
      <w:lang w:eastAsia="ru-RU"/>
    </w:rPr>
  </w:style>
  <w:style w:type="character" w:customStyle="1" w:styleId="b4">
    <w:name w:val="b4"/>
    <w:basedOn w:val="a2"/>
    <w:rsid w:val="00725913"/>
    <w:rPr>
      <w:b/>
      <w:bCs/>
    </w:rPr>
  </w:style>
  <w:style w:type="character" w:customStyle="1" w:styleId="announcetitle1">
    <w:name w:val="announce_title1"/>
    <w:basedOn w:val="a2"/>
    <w:rsid w:val="00725913"/>
    <w:rPr>
      <w:b/>
      <w:bCs/>
      <w:color w:val="00763E"/>
      <w:sz w:val="28"/>
      <w:szCs w:val="28"/>
    </w:rPr>
  </w:style>
  <w:style w:type="character" w:customStyle="1" w:styleId="mainmagtitle1">
    <w:name w:val="main_mag_title1"/>
    <w:basedOn w:val="a2"/>
    <w:rsid w:val="00725913"/>
    <w:rPr>
      <w:b/>
      <w:bCs/>
      <w:color w:val="9D0000"/>
      <w:sz w:val="40"/>
      <w:szCs w:val="40"/>
    </w:rPr>
  </w:style>
  <w:style w:type="character" w:customStyle="1" w:styleId="mainmagnum1">
    <w:name w:val="main_mag_num1"/>
    <w:basedOn w:val="a2"/>
    <w:rsid w:val="00725913"/>
    <w:rPr>
      <w:color w:val="9D0000"/>
      <w:sz w:val="28"/>
      <w:szCs w:val="28"/>
    </w:rPr>
  </w:style>
  <w:style w:type="character" w:styleId="afd">
    <w:name w:val="Emphasis"/>
    <w:basedOn w:val="a2"/>
    <w:qFormat/>
    <w:rsid w:val="00725913"/>
    <w:rPr>
      <w:i/>
      <w:iCs/>
    </w:rPr>
  </w:style>
  <w:style w:type="character" w:customStyle="1" w:styleId="style51">
    <w:name w:val="style51"/>
    <w:basedOn w:val="a2"/>
    <w:rsid w:val="00725913"/>
    <w:rPr>
      <w:rFonts w:ascii="Arial" w:hAnsi="Arial" w:cs="Arial" w:hint="default"/>
      <w:sz w:val="36"/>
      <w:szCs w:val="36"/>
    </w:rPr>
  </w:style>
  <w:style w:type="character" w:customStyle="1" w:styleId="style81">
    <w:name w:val="style81"/>
    <w:basedOn w:val="a2"/>
    <w:rsid w:val="00725913"/>
    <w:rPr>
      <w:rFonts w:ascii="Arial" w:hAnsi="Arial" w:cs="Arial" w:hint="default"/>
    </w:rPr>
  </w:style>
  <w:style w:type="character" w:styleId="afe">
    <w:name w:val="FollowedHyperlink"/>
    <w:basedOn w:val="a2"/>
    <w:unhideWhenUsed/>
    <w:rsid w:val="00725913"/>
    <w:rPr>
      <w:color w:val="954F72" w:themeColor="followedHyperlink"/>
      <w:u w:val="single"/>
    </w:rPr>
  </w:style>
  <w:style w:type="paragraph" w:customStyle="1" w:styleId="aff">
    <w:name w:val="Содержимое таблицы"/>
    <w:basedOn w:val="a1"/>
    <w:rsid w:val="000059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Subtitle"/>
    <w:basedOn w:val="a1"/>
    <w:next w:val="a6"/>
    <w:link w:val="aff1"/>
    <w:qFormat/>
    <w:rsid w:val="00005941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1">
    <w:name w:val="Подзаголовок Знак"/>
    <w:basedOn w:val="a2"/>
    <w:link w:val="aff0"/>
    <w:rsid w:val="0000594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HTML0">
    <w:name w:val="HTML Preformatted"/>
    <w:basedOn w:val="a1"/>
    <w:link w:val="HTML1"/>
    <w:rsid w:val="003C1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1">
    <w:name w:val="Стандартный HTML Знак"/>
    <w:basedOn w:val="a2"/>
    <w:link w:val="HTML0"/>
    <w:rsid w:val="003C1FA0"/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snoska1">
    <w:name w:val="snoska1"/>
    <w:basedOn w:val="a2"/>
    <w:rsid w:val="003C1FA0"/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a1"/>
    <w:next w:val="a1"/>
    <w:rsid w:val="003C1FA0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rvts31">
    <w:name w:val="rvts31"/>
    <w:basedOn w:val="a2"/>
    <w:rsid w:val="003C1FA0"/>
    <w:rPr>
      <w:rFonts w:ascii="Times New Roman" w:hAnsi="Times New Roman" w:cs="Times New Roman"/>
      <w:sz w:val="24"/>
      <w:szCs w:val="24"/>
    </w:rPr>
  </w:style>
  <w:style w:type="paragraph" w:styleId="aff2">
    <w:name w:val="Balloon Text"/>
    <w:basedOn w:val="a1"/>
    <w:link w:val="aff3"/>
    <w:rsid w:val="003C1F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aliases w:val=" Знак Знак1"/>
    <w:basedOn w:val="a2"/>
    <w:link w:val="aff2"/>
    <w:rsid w:val="003C1F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Основной текст с отступом1"/>
    <w:basedOn w:val="a1"/>
    <w:rsid w:val="0002503F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paragraph" w:customStyle="1" w:styleId="aff4">
    <w:name w:val="Стиль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8">
    <w:name w:val="Table Classic 1"/>
    <w:basedOn w:val="a3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Document Map"/>
    <w:basedOn w:val="a1"/>
    <w:link w:val="aff6"/>
    <w:rsid w:val="007C7B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2"/>
    <w:link w:val="aff5"/>
    <w:rsid w:val="007C7B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7">
    <w:name w:val="List Paragraph"/>
    <w:basedOn w:val="a1"/>
    <w:qFormat/>
    <w:rsid w:val="00BD49D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1">
    <w:name w:val="RTF_Num 2 1"/>
    <w:rsid w:val="00033211"/>
    <w:rPr>
      <w:rFonts w:cs="Times New Roman"/>
    </w:rPr>
  </w:style>
  <w:style w:type="character" w:customStyle="1" w:styleId="RTFNum22">
    <w:name w:val="RTF_Num 2 2"/>
    <w:rsid w:val="00033211"/>
    <w:rPr>
      <w:rFonts w:cs="Times New Roman"/>
    </w:rPr>
  </w:style>
  <w:style w:type="character" w:customStyle="1" w:styleId="RTFNum23">
    <w:name w:val="RTF_Num 2 3"/>
    <w:rsid w:val="00033211"/>
    <w:rPr>
      <w:rFonts w:cs="Times New Roman"/>
    </w:rPr>
  </w:style>
  <w:style w:type="character" w:customStyle="1" w:styleId="RTFNum24">
    <w:name w:val="RTF_Num 2 4"/>
    <w:rsid w:val="00033211"/>
    <w:rPr>
      <w:rFonts w:cs="Times New Roman"/>
    </w:rPr>
  </w:style>
  <w:style w:type="character" w:customStyle="1" w:styleId="RTFNum25">
    <w:name w:val="RTF_Num 2 5"/>
    <w:rsid w:val="00033211"/>
    <w:rPr>
      <w:rFonts w:cs="Times New Roman"/>
    </w:rPr>
  </w:style>
  <w:style w:type="character" w:customStyle="1" w:styleId="RTFNum26">
    <w:name w:val="RTF_Num 2 6"/>
    <w:rsid w:val="00033211"/>
    <w:rPr>
      <w:rFonts w:cs="Times New Roman"/>
    </w:rPr>
  </w:style>
  <w:style w:type="character" w:customStyle="1" w:styleId="RTFNum27">
    <w:name w:val="RTF_Num 2 7"/>
    <w:rsid w:val="00033211"/>
    <w:rPr>
      <w:rFonts w:cs="Times New Roman"/>
    </w:rPr>
  </w:style>
  <w:style w:type="character" w:customStyle="1" w:styleId="RTFNum28">
    <w:name w:val="RTF_Num 2 8"/>
    <w:rsid w:val="00033211"/>
    <w:rPr>
      <w:rFonts w:cs="Times New Roman"/>
    </w:rPr>
  </w:style>
  <w:style w:type="character" w:customStyle="1" w:styleId="RTFNum29">
    <w:name w:val="RTF_Num 2 9"/>
    <w:rsid w:val="00033211"/>
    <w:rPr>
      <w:rFonts w:cs="Times New Roman"/>
    </w:rPr>
  </w:style>
  <w:style w:type="character" w:customStyle="1" w:styleId="RTFNum31">
    <w:name w:val="RTF_Num 3 1"/>
    <w:rsid w:val="00033211"/>
    <w:rPr>
      <w:rFonts w:cs="Times New Roman"/>
    </w:rPr>
  </w:style>
  <w:style w:type="character" w:customStyle="1" w:styleId="RTFNum32">
    <w:name w:val="RTF_Num 3 2"/>
    <w:rsid w:val="00033211"/>
    <w:rPr>
      <w:rFonts w:cs="Times New Roman"/>
    </w:rPr>
  </w:style>
  <w:style w:type="character" w:customStyle="1" w:styleId="RTFNum33">
    <w:name w:val="RTF_Num 3 3"/>
    <w:rsid w:val="00033211"/>
    <w:rPr>
      <w:rFonts w:cs="Times New Roman"/>
    </w:rPr>
  </w:style>
  <w:style w:type="character" w:customStyle="1" w:styleId="RTFNum34">
    <w:name w:val="RTF_Num 3 4"/>
    <w:rsid w:val="00033211"/>
    <w:rPr>
      <w:rFonts w:cs="Times New Roman"/>
    </w:rPr>
  </w:style>
  <w:style w:type="character" w:customStyle="1" w:styleId="RTFNum35">
    <w:name w:val="RTF_Num 3 5"/>
    <w:rsid w:val="00033211"/>
    <w:rPr>
      <w:rFonts w:cs="Times New Roman"/>
    </w:rPr>
  </w:style>
  <w:style w:type="character" w:customStyle="1" w:styleId="RTFNum36">
    <w:name w:val="RTF_Num 3 6"/>
    <w:rsid w:val="00033211"/>
    <w:rPr>
      <w:rFonts w:cs="Times New Roman"/>
    </w:rPr>
  </w:style>
  <w:style w:type="character" w:customStyle="1" w:styleId="RTFNum37">
    <w:name w:val="RTF_Num 3 7"/>
    <w:rsid w:val="00033211"/>
    <w:rPr>
      <w:rFonts w:cs="Times New Roman"/>
    </w:rPr>
  </w:style>
  <w:style w:type="character" w:customStyle="1" w:styleId="RTFNum38">
    <w:name w:val="RTF_Num 3 8"/>
    <w:rsid w:val="00033211"/>
    <w:rPr>
      <w:rFonts w:cs="Times New Roman"/>
    </w:rPr>
  </w:style>
  <w:style w:type="character" w:customStyle="1" w:styleId="RTFNum39">
    <w:name w:val="RTF_Num 3 9"/>
    <w:rsid w:val="00033211"/>
    <w:rPr>
      <w:rFonts w:cs="Times New Roman"/>
    </w:rPr>
  </w:style>
  <w:style w:type="character" w:customStyle="1" w:styleId="19">
    <w:name w:val="Основной шрифт абзаца1"/>
    <w:rsid w:val="00033211"/>
  </w:style>
  <w:style w:type="character" w:customStyle="1" w:styleId="aff8">
    <w:name w:val="Íèæíèé êîëîíòèòóë Çíàê"/>
    <w:basedOn w:val="19"/>
    <w:rsid w:val="00033211"/>
    <w:rPr>
      <w:rFonts w:cs="Times New Roman"/>
      <w:sz w:val="24"/>
      <w:szCs w:val="24"/>
    </w:rPr>
  </w:style>
  <w:style w:type="character" w:customStyle="1" w:styleId="1a">
    <w:name w:val="Номер страницы1"/>
    <w:basedOn w:val="19"/>
    <w:rsid w:val="00033211"/>
    <w:rPr>
      <w:rFonts w:cs="Times New Roman"/>
    </w:rPr>
  </w:style>
  <w:style w:type="character" w:customStyle="1" w:styleId="aff9">
    <w:name w:val="Âåðõíèé êîëîíòèòóë Çíàê"/>
    <w:basedOn w:val="19"/>
    <w:rsid w:val="00033211"/>
    <w:rPr>
      <w:rFonts w:cs="Times New Roman"/>
      <w:sz w:val="24"/>
      <w:szCs w:val="24"/>
    </w:rPr>
  </w:style>
  <w:style w:type="character" w:customStyle="1" w:styleId="340">
    <w:name w:val="Ãèïåðññûëêà34"/>
    <w:basedOn w:val="19"/>
    <w:rsid w:val="00033211"/>
    <w:rPr>
      <w:rFonts w:cs="Times New Roman"/>
      <w:color w:val="auto"/>
      <w:u w:val="single"/>
    </w:rPr>
  </w:style>
  <w:style w:type="paragraph" w:customStyle="1" w:styleId="affa">
    <w:name w:val="Заголовок"/>
    <w:basedOn w:val="a1"/>
    <w:next w:val="a6"/>
    <w:rsid w:val="0003321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b">
    <w:name w:val="List"/>
    <w:basedOn w:val="a6"/>
    <w:rsid w:val="00033211"/>
    <w:pPr>
      <w:widowControl w:val="0"/>
    </w:pPr>
    <w:rPr>
      <w:rFonts w:ascii="Arial" w:eastAsia="Times New Roman" w:hAnsi="Arial" w:cs="Tahoma"/>
      <w:sz w:val="24"/>
    </w:rPr>
  </w:style>
  <w:style w:type="paragraph" w:customStyle="1" w:styleId="1b">
    <w:name w:val="Название1"/>
    <w:basedOn w:val="a1"/>
    <w:rsid w:val="00033211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1"/>
    <w:rsid w:val="00033211"/>
    <w:pPr>
      <w:widowControl w:val="0"/>
      <w:suppressLineNumbers/>
      <w:suppressAutoHyphens/>
      <w:spacing w:before="100" w:after="10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customStyle="1" w:styleId="1d">
    <w:name w:val="Название Знак1"/>
    <w:basedOn w:val="a2"/>
    <w:rsid w:val="00033211"/>
    <w:rPr>
      <w:sz w:val="28"/>
      <w:szCs w:val="28"/>
      <w:lang w:val="uk-UA" w:eastAsia="ar-SA"/>
    </w:rPr>
  </w:style>
  <w:style w:type="paragraph" w:customStyle="1" w:styleId="1e">
    <w:name w:val="Нижний колонтитул1"/>
    <w:basedOn w:val="a1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">
    <w:name w:val="Верхний колонтитул1"/>
    <w:basedOn w:val="a1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Çàãîëîâîê 11"/>
    <w:basedOn w:val="a1"/>
    <w:rsid w:val="00033211"/>
    <w:pPr>
      <w:widowControl w:val="0"/>
      <w:numPr>
        <w:ilvl w:val="1"/>
        <w:numId w:val="1"/>
      </w:numPr>
      <w:suppressAutoHyphens/>
      <w:spacing w:after="107" w:line="240" w:lineRule="auto"/>
      <w:outlineLvl w:val="1"/>
    </w:pPr>
    <w:rPr>
      <w:rFonts w:ascii="Times New Roman" w:eastAsia="Times New Roman" w:hAnsi="Times New Roman" w:cs="Times New Roman"/>
      <w:color w:val="006DA9"/>
      <w:kern w:val="1"/>
      <w:sz w:val="42"/>
      <w:szCs w:val="42"/>
      <w:lang w:val="uk-UA" w:eastAsia="ar-SA"/>
    </w:rPr>
  </w:style>
  <w:style w:type="paragraph" w:customStyle="1" w:styleId="H1">
    <w:name w:val="H1"/>
    <w:basedOn w:val="a1"/>
    <w:next w:val="a1"/>
    <w:rsid w:val="001F2909"/>
    <w:pPr>
      <w:keepNext/>
      <w:spacing w:before="100" w:after="100" w:line="240" w:lineRule="auto"/>
      <w:ind w:left="-108" w:right="-108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ru-RU"/>
    </w:rPr>
  </w:style>
  <w:style w:type="paragraph" w:customStyle="1" w:styleId="affc">
    <w:name w:val="Цитаты"/>
    <w:basedOn w:val="a1"/>
    <w:rsid w:val="001F2909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d">
    <w:name w:val="TOC Heading"/>
    <w:basedOn w:val="10"/>
    <w:next w:val="a1"/>
    <w:uiPriority w:val="39"/>
    <w:qFormat/>
    <w:rsid w:val="001F2909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Cs w:val="28"/>
      <w:lang w:val="ru-RU" w:eastAsia="en-US"/>
    </w:rPr>
  </w:style>
  <w:style w:type="paragraph" w:styleId="36">
    <w:name w:val="toc 3"/>
    <w:basedOn w:val="a1"/>
    <w:next w:val="a1"/>
    <w:autoRedefine/>
    <w:uiPriority w:val="39"/>
    <w:qFormat/>
    <w:rsid w:val="001F290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кст выноски Знак1"/>
    <w:basedOn w:val="a2"/>
    <w:rsid w:val="00CC111C"/>
    <w:rPr>
      <w:rFonts w:ascii="Tahoma" w:eastAsia="Times New Roman" w:hAnsi="Tahoma" w:cs="Tahoma"/>
      <w:sz w:val="16"/>
      <w:szCs w:val="16"/>
    </w:rPr>
  </w:style>
  <w:style w:type="character" w:styleId="affe">
    <w:name w:val="line number"/>
    <w:basedOn w:val="a2"/>
    <w:rsid w:val="00896233"/>
  </w:style>
  <w:style w:type="paragraph" w:styleId="afff">
    <w:name w:val="No Spacing"/>
    <w:qFormat/>
    <w:rsid w:val="00FB78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Заголовок 11"/>
    <w:basedOn w:val="16"/>
    <w:next w:val="16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i/>
      <w:snapToGrid/>
      <w:sz w:val="28"/>
      <w:lang w:val="uk-UA"/>
    </w:rPr>
  </w:style>
  <w:style w:type="paragraph" w:customStyle="1" w:styleId="210">
    <w:name w:val="Заголовок 2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310">
    <w:name w:val="Заголовок 31"/>
    <w:basedOn w:val="16"/>
    <w:next w:val="16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snapToGrid/>
      <w:sz w:val="28"/>
      <w:lang w:val="uk-UA"/>
    </w:rPr>
  </w:style>
  <w:style w:type="paragraph" w:customStyle="1" w:styleId="410">
    <w:name w:val="Заголовок 4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6"/>
      <w:lang w:val="uk-UA"/>
    </w:rPr>
  </w:style>
  <w:style w:type="paragraph" w:customStyle="1" w:styleId="51">
    <w:name w:val="Заголовок 5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2"/>
      <w:lang w:val="uk-UA"/>
    </w:rPr>
  </w:style>
  <w:style w:type="paragraph" w:customStyle="1" w:styleId="1f1">
    <w:name w:val="Основной текст1"/>
    <w:basedOn w:val="16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211">
    <w:name w:val="Основной текст 21"/>
    <w:basedOn w:val="16"/>
    <w:rsid w:val="009E2D95"/>
    <w:pPr>
      <w:widowControl/>
      <w:spacing w:after="120"/>
      <w:ind w:firstLine="0"/>
      <w:jc w:val="left"/>
    </w:pPr>
    <w:rPr>
      <w:rFonts w:ascii="Times New Roman" w:hAnsi="Times New Roman"/>
      <w:snapToGrid/>
      <w:sz w:val="24"/>
    </w:rPr>
  </w:style>
  <w:style w:type="paragraph" w:customStyle="1" w:styleId="28">
    <w:name w:val="Название2"/>
    <w:basedOn w:val="16"/>
    <w:rsid w:val="009E2D95"/>
    <w:pPr>
      <w:widowControl/>
      <w:spacing w:line="36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212">
    <w:name w:val="Основной текст с отступом 21"/>
    <w:basedOn w:val="16"/>
    <w:rsid w:val="009E2D95"/>
    <w:pPr>
      <w:widowControl/>
      <w:spacing w:after="120"/>
      <w:ind w:left="283" w:firstLine="0"/>
      <w:jc w:val="left"/>
    </w:pPr>
    <w:rPr>
      <w:rFonts w:ascii="Times New Roman" w:hAnsi="Times New Roman"/>
      <w:snapToGrid/>
      <w:sz w:val="24"/>
    </w:rPr>
  </w:style>
  <w:style w:type="paragraph" w:customStyle="1" w:styleId="BodyText21">
    <w:name w:val="Body Text 21"/>
    <w:basedOn w:val="16"/>
    <w:rsid w:val="009E2D95"/>
    <w:pPr>
      <w:widowControl/>
      <w:spacing w:line="360" w:lineRule="auto"/>
      <w:ind w:firstLine="0"/>
    </w:pPr>
    <w:rPr>
      <w:rFonts w:ascii="Times New Roman" w:hAnsi="Times New Roman"/>
      <w:snapToGrid/>
      <w:sz w:val="28"/>
    </w:rPr>
  </w:style>
  <w:style w:type="paragraph" w:customStyle="1" w:styleId="61">
    <w:name w:val="Заголовок 61"/>
    <w:basedOn w:val="16"/>
    <w:next w:val="16"/>
    <w:rsid w:val="009E2D95"/>
    <w:pPr>
      <w:widowControl/>
      <w:spacing w:before="240" w:after="60" w:line="240" w:lineRule="auto"/>
      <w:ind w:firstLine="0"/>
      <w:jc w:val="left"/>
    </w:pPr>
    <w:rPr>
      <w:rFonts w:ascii="Times New Roman" w:hAnsi="Times New Roman"/>
      <w:b/>
      <w:snapToGrid/>
      <w:sz w:val="22"/>
    </w:rPr>
  </w:style>
  <w:style w:type="paragraph" w:customStyle="1" w:styleId="71">
    <w:name w:val="Заголовок 71"/>
    <w:basedOn w:val="16"/>
    <w:next w:val="16"/>
    <w:rsid w:val="009E2D95"/>
    <w:pPr>
      <w:keepNext/>
      <w:widowControl/>
      <w:ind w:left="1080" w:hanging="1080"/>
    </w:pPr>
    <w:rPr>
      <w:rFonts w:ascii="Times New Roman" w:hAnsi="Times New Roman"/>
      <w:snapToGrid/>
      <w:sz w:val="28"/>
      <w:lang w:val="uk-UA"/>
    </w:rPr>
  </w:style>
  <w:style w:type="paragraph" w:customStyle="1" w:styleId="81">
    <w:name w:val="Заголовок 81"/>
    <w:basedOn w:val="16"/>
    <w:next w:val="16"/>
    <w:rsid w:val="009E2D95"/>
    <w:pPr>
      <w:keepNext/>
      <w:widowControl/>
      <w:ind w:left="1260" w:hanging="1260"/>
    </w:pPr>
    <w:rPr>
      <w:rFonts w:ascii="Times New Roman" w:hAnsi="Times New Roman"/>
      <w:snapToGrid/>
      <w:sz w:val="28"/>
      <w:lang w:val="uk-UA"/>
    </w:rPr>
  </w:style>
  <w:style w:type="paragraph" w:customStyle="1" w:styleId="91">
    <w:name w:val="Заголовок 9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2"/>
    </w:rPr>
  </w:style>
  <w:style w:type="paragraph" w:customStyle="1" w:styleId="1f2">
    <w:name w:val="Название объекта1"/>
    <w:basedOn w:val="16"/>
    <w:next w:val="16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311">
    <w:name w:val="Основной текст с отступом 31"/>
    <w:basedOn w:val="16"/>
    <w:rsid w:val="009E2D95"/>
    <w:pPr>
      <w:widowControl/>
      <w:spacing w:after="120" w:line="240" w:lineRule="auto"/>
      <w:ind w:left="283" w:firstLine="0"/>
      <w:jc w:val="left"/>
    </w:pPr>
    <w:rPr>
      <w:rFonts w:ascii="Times New Roman" w:hAnsi="Times New Roman"/>
      <w:snapToGrid/>
      <w:sz w:val="16"/>
    </w:rPr>
  </w:style>
  <w:style w:type="paragraph" w:customStyle="1" w:styleId="afff0">
    <w:name w:val="Тарас дисертація текст"/>
    <w:basedOn w:val="16"/>
    <w:rsid w:val="009E2D95"/>
    <w:pPr>
      <w:widowControl/>
      <w:spacing w:line="360" w:lineRule="auto"/>
      <w:ind w:firstLine="709"/>
    </w:pPr>
    <w:rPr>
      <w:rFonts w:ascii="Times New Roman" w:hAnsi="Times New Roman"/>
      <w:snapToGrid/>
      <w:spacing w:val="18"/>
      <w:sz w:val="28"/>
    </w:rPr>
  </w:style>
  <w:style w:type="paragraph" w:customStyle="1" w:styleId="312">
    <w:name w:val="Основной текст 31"/>
    <w:basedOn w:val="16"/>
    <w:rsid w:val="009E2D95"/>
    <w:pPr>
      <w:widowControl/>
      <w:spacing w:line="240" w:lineRule="auto"/>
      <w:ind w:firstLine="0"/>
      <w:jc w:val="left"/>
    </w:pPr>
    <w:rPr>
      <w:rFonts w:ascii="Times New Roman" w:hAnsi="Times New Roman"/>
      <w:snapToGrid/>
      <w:sz w:val="28"/>
    </w:rPr>
  </w:style>
  <w:style w:type="character" w:customStyle="1" w:styleId="1f3">
    <w:name w:val="Гиперссылка1"/>
    <w:basedOn w:val="19"/>
    <w:rsid w:val="009E2D95"/>
    <w:rPr>
      <w:color w:val="0000FF"/>
      <w:u w:val="single"/>
    </w:rPr>
  </w:style>
  <w:style w:type="paragraph" w:customStyle="1" w:styleId="1f4">
    <w:name w:val="Цитата1"/>
    <w:basedOn w:val="16"/>
    <w:rsid w:val="009E2D95"/>
    <w:pPr>
      <w:shd w:val="clear" w:color="auto" w:fill="FFFFFF"/>
      <w:spacing w:line="384" w:lineRule="auto"/>
      <w:ind w:left="57" w:right="57" w:firstLine="720"/>
    </w:pPr>
    <w:rPr>
      <w:rFonts w:ascii="Times New Roman" w:hAnsi="Times New Roman"/>
      <w:snapToGrid/>
      <w:spacing w:val="30"/>
      <w:sz w:val="28"/>
    </w:rPr>
  </w:style>
  <w:style w:type="character" w:customStyle="1" w:styleId="1f5">
    <w:name w:val="Просмотренная гиперссылка1"/>
    <w:basedOn w:val="19"/>
    <w:rsid w:val="009E2D95"/>
    <w:rPr>
      <w:color w:val="800080"/>
      <w:u w:val="single"/>
    </w:rPr>
  </w:style>
  <w:style w:type="paragraph" w:customStyle="1" w:styleId="afff1">
    <w:name w:val="Клас"/>
    <w:basedOn w:val="16"/>
    <w:rsid w:val="009E2D95"/>
    <w:pPr>
      <w:widowControl/>
      <w:ind w:firstLine="0"/>
      <w:jc w:val="center"/>
    </w:pPr>
    <w:rPr>
      <w:rFonts w:ascii="Arial" w:hAnsi="Arial"/>
      <w:b/>
      <w:snapToGrid/>
      <w:sz w:val="32"/>
      <w:lang w:val="uk-UA"/>
    </w:rPr>
  </w:style>
  <w:style w:type="paragraph" w:customStyle="1" w:styleId="1f6">
    <w:name w:val="Схема документа1"/>
    <w:basedOn w:val="16"/>
    <w:rsid w:val="009E2D95"/>
    <w:pPr>
      <w:widowControl/>
      <w:shd w:val="clear" w:color="auto" w:fill="000080"/>
      <w:spacing w:line="240" w:lineRule="auto"/>
      <w:ind w:firstLine="0"/>
      <w:jc w:val="left"/>
    </w:pPr>
    <w:rPr>
      <w:rFonts w:ascii="Tahoma" w:hAnsi="Tahoma"/>
      <w:snapToGrid/>
      <w:lang w:val="en-US"/>
    </w:rPr>
  </w:style>
  <w:style w:type="paragraph" w:customStyle="1" w:styleId="Web">
    <w:name w:val="Обычный (Web)"/>
    <w:basedOn w:val="a1"/>
    <w:rsid w:val="009E2D9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2">
    <w:name w:val="Основной шрифт"/>
    <w:rsid w:val="00985B1C"/>
  </w:style>
  <w:style w:type="character" w:customStyle="1" w:styleId="afff3">
    <w:name w:val="номер страницы"/>
    <w:basedOn w:val="afff2"/>
    <w:rsid w:val="00985B1C"/>
  </w:style>
  <w:style w:type="paragraph" w:customStyle="1" w:styleId="afff4">
    <w:name w:val="основний"/>
    <w:rsid w:val="00985B1C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ff5">
    <w:name w:val="текст"/>
    <w:rsid w:val="00985B1C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fff6">
    <w:name w:val="заголовок"/>
    <w:rsid w:val="00985B1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ru-RU"/>
    </w:rPr>
  </w:style>
  <w:style w:type="character" w:styleId="afff7">
    <w:name w:val="annotation reference"/>
    <w:basedOn w:val="a2"/>
    <w:rsid w:val="006360C2"/>
    <w:rPr>
      <w:sz w:val="16"/>
      <w:szCs w:val="16"/>
    </w:rPr>
  </w:style>
  <w:style w:type="paragraph" w:styleId="afff8">
    <w:name w:val="annotation text"/>
    <w:basedOn w:val="a1"/>
    <w:link w:val="afff9"/>
    <w:rsid w:val="0063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9">
    <w:name w:val="Текст примечания Знак"/>
    <w:basedOn w:val="a2"/>
    <w:link w:val="afff8"/>
    <w:rsid w:val="00636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rsid w:val="006360C2"/>
    <w:rPr>
      <w:b/>
      <w:bCs/>
    </w:rPr>
  </w:style>
  <w:style w:type="character" w:customStyle="1" w:styleId="afffb">
    <w:name w:val="Тема примечания Знак"/>
    <w:basedOn w:val="afff9"/>
    <w:link w:val="afffa"/>
    <w:rsid w:val="006360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9">
    <w:name w:val="rvts9"/>
    <w:basedOn w:val="a2"/>
    <w:rsid w:val="00CE763D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basedOn w:val="a2"/>
    <w:rsid w:val="00CE763D"/>
    <w:rPr>
      <w:rFonts w:ascii="Times New Roman" w:hAnsi="Times New Roman" w:cs="Times New Roman"/>
      <w:sz w:val="28"/>
      <w:szCs w:val="28"/>
    </w:rPr>
  </w:style>
  <w:style w:type="character" w:customStyle="1" w:styleId="ti">
    <w:name w:val="ti"/>
    <w:basedOn w:val="a2"/>
    <w:rsid w:val="00CE763D"/>
  </w:style>
  <w:style w:type="character" w:customStyle="1" w:styleId="citation-abbreviation">
    <w:name w:val="citation-abbreviation"/>
    <w:basedOn w:val="a2"/>
    <w:rsid w:val="00CE763D"/>
  </w:style>
  <w:style w:type="character" w:customStyle="1" w:styleId="citation-publication-date">
    <w:name w:val="citation-publication-date"/>
    <w:basedOn w:val="a2"/>
    <w:rsid w:val="00CE763D"/>
  </w:style>
  <w:style w:type="character" w:customStyle="1" w:styleId="citation-volume">
    <w:name w:val="citation-volume"/>
    <w:basedOn w:val="a2"/>
    <w:rsid w:val="00CE763D"/>
  </w:style>
  <w:style w:type="character" w:customStyle="1" w:styleId="citation-flpages">
    <w:name w:val="citation-flpages"/>
    <w:basedOn w:val="a2"/>
    <w:rsid w:val="00CE763D"/>
  </w:style>
  <w:style w:type="paragraph" w:customStyle="1" w:styleId="1f7">
    <w:name w:val="Текст выноски1"/>
    <w:basedOn w:val="a1"/>
    <w:rsid w:val="00CE763D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8">
    <w:name w:val="rvts8"/>
    <w:basedOn w:val="a2"/>
    <w:rsid w:val="00C30E90"/>
  </w:style>
  <w:style w:type="paragraph" w:customStyle="1" w:styleId="14pt0">
    <w:name w:val="Обычный + 14 pt"/>
    <w:basedOn w:val="a1"/>
    <w:rsid w:val="0005195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4pt1">
    <w:name w:val="Стиль 14 pt Междустр.интервал:  полуторный"/>
    <w:basedOn w:val="a1"/>
    <w:rsid w:val="009E1D6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endnote text"/>
    <w:basedOn w:val="a1"/>
    <w:link w:val="afffd"/>
    <w:semiHidden/>
    <w:rsid w:val="0003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2"/>
    <w:link w:val="afffc"/>
    <w:semiHidden/>
    <w:rsid w:val="00036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5">
    <w:name w:val="font5"/>
    <w:basedOn w:val="a2"/>
    <w:uiPriority w:val="99"/>
    <w:rsid w:val="00DE4FE1"/>
  </w:style>
  <w:style w:type="paragraph" w:customStyle="1" w:styleId="lic">
    <w:name w:val="lic"/>
    <w:basedOn w:val="a1"/>
    <w:rsid w:val="00DE4FE1"/>
    <w:pPr>
      <w:spacing w:before="40" w:after="40" w:line="360" w:lineRule="auto"/>
      <w:ind w:left="1021" w:right="567" w:hanging="36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f8">
    <w:name w:val="Обычный с отступом 1 см"/>
    <w:basedOn w:val="a1"/>
    <w:rsid w:val="00DE4FE1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2">
    <w:name w:val="Обычный (веб)7"/>
    <w:basedOn w:val="a1"/>
    <w:rsid w:val="00DE4FE1"/>
    <w:pPr>
      <w:spacing w:after="167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sitionbig">
    <w:name w:val="compositionbig"/>
    <w:basedOn w:val="a1"/>
    <w:rsid w:val="00DE4FE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2"/>
    <w:rsid w:val="00DE4FE1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basedOn w:val="a2"/>
    <w:rsid w:val="00DE4FE1"/>
    <w:rPr>
      <w:rFonts w:ascii="Times New Roman" w:hAnsi="Times New Roman" w:cs="Times New Roman" w:hint="default"/>
      <w:spacing w:val="-15"/>
      <w:sz w:val="24"/>
      <w:szCs w:val="24"/>
    </w:rPr>
  </w:style>
  <w:style w:type="character" w:customStyle="1" w:styleId="rvts22">
    <w:name w:val="rvts22"/>
    <w:basedOn w:val="a2"/>
    <w:rsid w:val="00DE4FE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fffe">
    <w:name w:val="a"/>
    <w:basedOn w:val="a2"/>
    <w:rsid w:val="00BD4B75"/>
  </w:style>
  <w:style w:type="character" w:customStyle="1" w:styleId="spelle">
    <w:name w:val="spelle"/>
    <w:basedOn w:val="a2"/>
    <w:rsid w:val="00BD4B75"/>
  </w:style>
  <w:style w:type="character" w:customStyle="1" w:styleId="grame">
    <w:name w:val="grame"/>
    <w:basedOn w:val="a2"/>
    <w:rsid w:val="00BD4B75"/>
  </w:style>
  <w:style w:type="paragraph" w:customStyle="1" w:styleId="14pt">
    <w:name w:val="Стиль Нумерованный список + 14 pt"/>
    <w:basedOn w:val="a1"/>
    <w:rsid w:val="00FC2B83"/>
    <w:pPr>
      <w:widowControl w:val="0"/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Osn">
    <w:name w:val="Osn"/>
    <w:basedOn w:val="a1"/>
    <w:rsid w:val="00116762"/>
    <w:pPr>
      <w:spacing w:after="0" w:line="250" w:lineRule="atLeast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rvts7">
    <w:name w:val="rvts7"/>
    <w:basedOn w:val="a2"/>
    <w:rsid w:val="00116762"/>
    <w:rPr>
      <w:rFonts w:ascii="Times New Roman" w:hAnsi="Times New Roman" w:cs="Times New Roman" w:hint="default"/>
      <w:sz w:val="24"/>
      <w:szCs w:val="24"/>
    </w:rPr>
  </w:style>
  <w:style w:type="paragraph" w:customStyle="1" w:styleId="affff">
    <w:name w:val="Диссертация"/>
    <w:rsid w:val="00116762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0">
    <w:name w:val="Таблиця"/>
    <w:basedOn w:val="a1"/>
    <w:rsid w:val="0011676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3">
    <w:name w:val="Стиль3"/>
    <w:rsid w:val="00116762"/>
    <w:pPr>
      <w:numPr>
        <w:numId w:val="6"/>
      </w:numPr>
    </w:pPr>
  </w:style>
  <w:style w:type="paragraph" w:customStyle="1" w:styleId="mail">
    <w:name w:val="mail"/>
    <w:basedOn w:val="a1"/>
    <w:rsid w:val="00116762"/>
    <w:pPr>
      <w:spacing w:before="100" w:beforeAutospacing="1" w:after="100" w:afterAutospacing="1" w:line="240" w:lineRule="auto"/>
      <w:ind w:left="100" w:right="100"/>
      <w:jc w:val="both"/>
    </w:pPr>
    <w:rPr>
      <w:rFonts w:ascii="Verdana" w:eastAsia="Times New Roman" w:hAnsi="Verdana" w:cs="Times New Roman"/>
      <w:color w:val="29166F"/>
      <w:sz w:val="16"/>
      <w:szCs w:val="16"/>
      <w:lang w:eastAsia="ru-RU"/>
    </w:rPr>
  </w:style>
  <w:style w:type="paragraph" w:customStyle="1" w:styleId="rvps18">
    <w:name w:val="rvps18"/>
    <w:basedOn w:val="a1"/>
    <w:rsid w:val="00116762"/>
    <w:pPr>
      <w:spacing w:after="0" w:line="240" w:lineRule="auto"/>
      <w:ind w:firstLine="6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16762"/>
    <w:pPr>
      <w:widowControl w:val="0"/>
      <w:snapToGrid w:val="0"/>
      <w:spacing w:before="140" w:after="0" w:line="240" w:lineRule="auto"/>
      <w:ind w:firstLine="240"/>
      <w:jc w:val="both"/>
    </w:pPr>
    <w:rPr>
      <w:rFonts w:ascii="Arial" w:eastAsia="Times New Roman" w:hAnsi="Arial" w:cs="Times New Roman"/>
      <w:sz w:val="18"/>
      <w:szCs w:val="20"/>
      <w:lang w:val="en-US" w:eastAsia="ru-RU"/>
    </w:rPr>
  </w:style>
  <w:style w:type="paragraph" w:customStyle="1" w:styleId="zagol">
    <w:name w:val="zagol"/>
    <w:basedOn w:val="a1"/>
    <w:rsid w:val="0011676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7E9DC1"/>
      <w:sz w:val="18"/>
      <w:szCs w:val="18"/>
      <w:lang w:eastAsia="ru-RU"/>
    </w:rPr>
  </w:style>
  <w:style w:type="paragraph" w:customStyle="1" w:styleId="issuedetails">
    <w:name w:val="issue_details"/>
    <w:basedOn w:val="a1"/>
    <w:rsid w:val="00116762"/>
    <w:pPr>
      <w:spacing w:before="196" w:after="0" w:line="336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thorgroup">
    <w:name w:val="authorgroup"/>
    <w:basedOn w:val="a1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bar">
    <w:name w:val="linkbar"/>
    <w:basedOn w:val="a2"/>
    <w:rsid w:val="00116762"/>
  </w:style>
  <w:style w:type="character" w:customStyle="1" w:styleId="featuredlinkouts">
    <w:name w:val="featured_linkouts"/>
    <w:basedOn w:val="a2"/>
    <w:rsid w:val="00116762"/>
  </w:style>
  <w:style w:type="paragraph" w:customStyle="1" w:styleId="r8">
    <w:name w:val="r8"/>
    <w:basedOn w:val="a1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envelope return"/>
    <w:basedOn w:val="a1"/>
    <w:rsid w:val="00BE3FC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fff1">
    <w:name w:val="envelope address"/>
    <w:basedOn w:val="a1"/>
    <w:rsid w:val="00BE3F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13">
    <w:name w:val="Основной текст 21"/>
    <w:basedOn w:val="a1"/>
    <w:rsid w:val="00BE3F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24"/>
      <w:kern w:val="28"/>
      <w:sz w:val="25"/>
      <w:szCs w:val="20"/>
      <w:lang w:eastAsia="ru-RU"/>
    </w:rPr>
  </w:style>
  <w:style w:type="character" w:customStyle="1" w:styleId="1f9">
    <w:name w:val="Основной текст Знак1"/>
    <w:aliases w:val=" Знак Знак2"/>
    <w:basedOn w:val="a2"/>
    <w:rsid w:val="00BE3FCD"/>
    <w:rPr>
      <w:b/>
      <w:i/>
      <w:spacing w:val="24"/>
      <w:sz w:val="32"/>
    </w:rPr>
  </w:style>
  <w:style w:type="paragraph" w:customStyle="1" w:styleId="214">
    <w:name w:val="Основной текст с отступом 21"/>
    <w:basedOn w:val="a1"/>
    <w:rsid w:val="00BE3FCD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2">
    <w:name w:val="Знак Знак Знак"/>
    <w:basedOn w:val="a2"/>
    <w:rsid w:val="00BE3FCD"/>
    <w:rPr>
      <w:sz w:val="28"/>
      <w:lang w:val="uk-UA" w:eastAsia="ru-RU" w:bidi="ar-SA"/>
    </w:rPr>
  </w:style>
  <w:style w:type="character" w:customStyle="1" w:styleId="hissue">
    <w:name w:val="hissue"/>
    <w:basedOn w:val="a2"/>
    <w:rsid w:val="00BE3FCD"/>
  </w:style>
  <w:style w:type="character" w:customStyle="1" w:styleId="partheader">
    <w:name w:val="partheader"/>
    <w:basedOn w:val="a2"/>
    <w:rsid w:val="00BE3FCD"/>
  </w:style>
  <w:style w:type="character" w:customStyle="1" w:styleId="small">
    <w:name w:val="small"/>
    <w:basedOn w:val="a2"/>
    <w:rsid w:val="00BE3FCD"/>
  </w:style>
  <w:style w:type="character" w:customStyle="1" w:styleId="1fa">
    <w:name w:val="Верхний колонтитул1"/>
    <w:basedOn w:val="a2"/>
    <w:rsid w:val="00BE3FCD"/>
  </w:style>
  <w:style w:type="character" w:customStyle="1" w:styleId="bolder">
    <w:name w:val="bolder"/>
    <w:basedOn w:val="a2"/>
    <w:rsid w:val="00BE3FCD"/>
  </w:style>
  <w:style w:type="character" w:customStyle="1" w:styleId="htopic">
    <w:name w:val="htopic"/>
    <w:basedOn w:val="a2"/>
    <w:rsid w:val="00BE3FCD"/>
  </w:style>
  <w:style w:type="character" w:customStyle="1" w:styleId="header3">
    <w:name w:val="header3"/>
    <w:basedOn w:val="a2"/>
    <w:rsid w:val="00BE3FCD"/>
  </w:style>
  <w:style w:type="character" w:customStyle="1" w:styleId="volume">
    <w:name w:val="volume"/>
    <w:basedOn w:val="a2"/>
    <w:rsid w:val="00BE3FCD"/>
  </w:style>
  <w:style w:type="character" w:customStyle="1" w:styleId="issue">
    <w:name w:val="issue"/>
    <w:basedOn w:val="a2"/>
    <w:rsid w:val="00BE3FCD"/>
  </w:style>
  <w:style w:type="character" w:customStyle="1" w:styleId="pages">
    <w:name w:val="pages"/>
    <w:basedOn w:val="a2"/>
    <w:rsid w:val="00BE3FCD"/>
  </w:style>
  <w:style w:type="character" w:customStyle="1" w:styleId="text1">
    <w:name w:val="text1"/>
    <w:basedOn w:val="a2"/>
    <w:rsid w:val="00BE3FCD"/>
  </w:style>
  <w:style w:type="character" w:customStyle="1" w:styleId="journalname">
    <w:name w:val="journalname"/>
    <w:basedOn w:val="a2"/>
    <w:rsid w:val="00BE3FCD"/>
    <w:rPr>
      <w:i/>
      <w:iCs/>
    </w:rPr>
  </w:style>
  <w:style w:type="character" w:customStyle="1" w:styleId="b1">
    <w:name w:val="b1"/>
    <w:basedOn w:val="a2"/>
    <w:rsid w:val="00BE3FCD"/>
    <w:rPr>
      <w:b/>
      <w:bCs/>
    </w:rPr>
  </w:style>
  <w:style w:type="character" w:customStyle="1" w:styleId="38">
    <w:name w:val="Название3"/>
    <w:basedOn w:val="a2"/>
    <w:rsid w:val="00BE3FCD"/>
  </w:style>
  <w:style w:type="paragraph" w:customStyle="1" w:styleId="head">
    <w:name w:val="head"/>
    <w:basedOn w:val="a1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26"/>
      <w:szCs w:val="26"/>
      <w:lang w:eastAsia="ru-RU"/>
    </w:rPr>
  </w:style>
  <w:style w:type="paragraph" w:customStyle="1" w:styleId="head2">
    <w:name w:val="head2"/>
    <w:basedOn w:val="a1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32"/>
      <w:szCs w:val="32"/>
      <w:lang w:eastAsia="ru-RU"/>
    </w:rPr>
  </w:style>
  <w:style w:type="paragraph" w:customStyle="1" w:styleId="alnsr">
    <w:name w:val="alnsr"/>
    <w:basedOn w:val="a1"/>
    <w:rsid w:val="00CA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text-it1">
    <w:name w:val="fulltext-it1"/>
    <w:basedOn w:val="a2"/>
    <w:rsid w:val="00F91DA6"/>
    <w:rPr>
      <w:i/>
      <w:iCs/>
      <w:vanish w:val="0"/>
      <w:webHidden w:val="0"/>
      <w:specVanish w:val="0"/>
    </w:rPr>
  </w:style>
  <w:style w:type="character" w:customStyle="1" w:styleId="titles-source1">
    <w:name w:val="titles-source1"/>
    <w:basedOn w:val="a2"/>
    <w:rsid w:val="00F91DA6"/>
    <w:rPr>
      <w:i/>
      <w:iCs/>
      <w:vanish w:val="0"/>
      <w:webHidden w:val="0"/>
      <w:color w:val="0A0905"/>
      <w:specVanish w:val="0"/>
    </w:rPr>
  </w:style>
  <w:style w:type="character" w:customStyle="1" w:styleId="fulltext-bd1">
    <w:name w:val="fulltext-bd1"/>
    <w:basedOn w:val="a2"/>
    <w:rsid w:val="00F91DA6"/>
    <w:rPr>
      <w:b/>
      <w:bCs/>
    </w:rPr>
  </w:style>
  <w:style w:type="character" w:customStyle="1" w:styleId="titles-title1">
    <w:name w:val="titles-title1"/>
    <w:basedOn w:val="a2"/>
    <w:rsid w:val="00F91DA6"/>
    <w:rPr>
      <w:b/>
      <w:bCs/>
      <w:vanish w:val="0"/>
      <w:webHidden w:val="0"/>
      <w:color w:val="0A0905"/>
      <w:specVanish w:val="0"/>
    </w:rPr>
  </w:style>
  <w:style w:type="character" w:customStyle="1" w:styleId="bibrecord-highlight1">
    <w:name w:val="bibrecord-highlight1"/>
    <w:basedOn w:val="a2"/>
    <w:rsid w:val="00F91DA6"/>
    <w:rPr>
      <w:b/>
      <w:bCs/>
      <w:vanish w:val="0"/>
      <w:webHidden w:val="0"/>
      <w:color w:val="EE014C"/>
      <w:specVanish w:val="0"/>
    </w:rPr>
  </w:style>
  <w:style w:type="paragraph" w:customStyle="1" w:styleId="fulltext-references">
    <w:name w:val="fulltext-references"/>
    <w:basedOn w:val="a1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+ 12 пт"/>
    <w:aliases w:val="Масштаб знаков: 100%"/>
    <w:basedOn w:val="a1"/>
    <w:rsid w:val="00F91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w w:val="89"/>
      <w:sz w:val="24"/>
      <w:szCs w:val="24"/>
      <w:lang w:eastAsia="ru-RU"/>
    </w:rPr>
  </w:style>
  <w:style w:type="character" w:customStyle="1" w:styleId="100">
    <w:name w:val="Масштаб знаков: 100% Знак"/>
    <w:basedOn w:val="a2"/>
    <w:rsid w:val="00F91DA6"/>
    <w:rPr>
      <w:w w:val="89"/>
      <w:sz w:val="24"/>
      <w:szCs w:val="24"/>
      <w:lang w:val="ru-RU" w:eastAsia="ru-RU" w:bidi="ar-SA"/>
    </w:rPr>
  </w:style>
  <w:style w:type="character" w:customStyle="1" w:styleId="indent1">
    <w:name w:val="indent1"/>
    <w:basedOn w:val="a2"/>
    <w:rsid w:val="00F91DA6"/>
  </w:style>
  <w:style w:type="paragraph" w:customStyle="1" w:styleId="Iauiue">
    <w:name w:val="Iau?iue"/>
    <w:rsid w:val="00F91D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ulltext-textfulltext-indent">
    <w:name w:val="fulltext-text fulltext-indent"/>
    <w:basedOn w:val="a1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0">
    <w:name w:val="Гиперссылка37"/>
    <w:basedOn w:val="a2"/>
    <w:rsid w:val="00F91DA6"/>
    <w:rPr>
      <w:strike w:val="0"/>
      <w:dstrike w:val="0"/>
      <w:color w:val="004C88"/>
      <w:u w:val="single"/>
      <w:effect w:val="none"/>
    </w:rPr>
  </w:style>
  <w:style w:type="character" w:customStyle="1" w:styleId="12100">
    <w:name w:val="Обычный + 12 пт;Масштаб знаков: 100% Знак"/>
    <w:basedOn w:val="a2"/>
    <w:rsid w:val="00F91DA6"/>
    <w:rPr>
      <w:w w:val="89"/>
      <w:sz w:val="24"/>
      <w:szCs w:val="24"/>
      <w:lang w:val="ru-RU" w:eastAsia="ru-RU" w:bidi="ar-SA"/>
    </w:rPr>
  </w:style>
  <w:style w:type="paragraph" w:customStyle="1" w:styleId="CommentSubject1">
    <w:name w:val="Comment Subject1"/>
    <w:basedOn w:val="afff8"/>
    <w:next w:val="afff8"/>
    <w:semiHidden/>
    <w:rsid w:val="0067363F"/>
    <w:rPr>
      <w:b/>
      <w:bCs/>
      <w:noProof/>
      <w:lang w:val="uk-UA"/>
    </w:rPr>
  </w:style>
  <w:style w:type="paragraph" w:customStyle="1" w:styleId="BalloonText1">
    <w:name w:val="Balloon Text1"/>
    <w:basedOn w:val="a1"/>
    <w:semiHidden/>
    <w:rsid w:val="0067363F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uk-UA" w:eastAsia="ru-RU"/>
    </w:rPr>
  </w:style>
  <w:style w:type="character" w:customStyle="1" w:styleId="rvts10">
    <w:name w:val="rvts10"/>
    <w:basedOn w:val="a2"/>
    <w:rsid w:val="00CD0DED"/>
    <w:rPr>
      <w:rFonts w:ascii="Times New Roman" w:hAnsi="Times New Roman" w:cs="Times New Roman"/>
      <w:sz w:val="24"/>
      <w:szCs w:val="24"/>
    </w:rPr>
  </w:style>
  <w:style w:type="paragraph" w:customStyle="1" w:styleId="affff3">
    <w:name w:val="Таблица"/>
    <w:basedOn w:val="a1"/>
    <w:rsid w:val="00675CDB"/>
    <w:pPr>
      <w:keepLines/>
      <w:widowControl w:val="0"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a">
    <w:name w:val="List 2"/>
    <w:basedOn w:val="a1"/>
    <w:rsid w:val="00675CDB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42">
    <w:name w:val="заголовок 4"/>
    <w:basedOn w:val="a1"/>
    <w:next w:val="a1"/>
    <w:rsid w:val="00AF081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style-span">
    <w:name w:val="apple-style-span"/>
    <w:basedOn w:val="a2"/>
    <w:rsid w:val="00AF0815"/>
  </w:style>
  <w:style w:type="paragraph" w:customStyle="1" w:styleId="msonormalcxspmiddle">
    <w:name w:val="msonormalcxspmiddle"/>
    <w:basedOn w:val="a1"/>
    <w:rsid w:val="005C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B634FC"/>
    <w:rPr>
      <w:rFonts w:ascii="Times New Roman" w:hAnsi="Times New Roman" w:cs="Times New Roman"/>
    </w:rPr>
  </w:style>
  <w:style w:type="character" w:customStyle="1" w:styleId="WW8Num8z0">
    <w:name w:val="WW8Num8z0"/>
    <w:rsid w:val="00B634FC"/>
    <w:rPr>
      <w:color w:val="auto"/>
    </w:rPr>
  </w:style>
  <w:style w:type="character" w:customStyle="1" w:styleId="WW8Num15z0">
    <w:name w:val="WW8Num15z0"/>
    <w:rsid w:val="00B634FC"/>
    <w:rPr>
      <w:rFonts w:ascii="Times New Roman" w:eastAsia="Times New Roman" w:hAnsi="Times New Roman"/>
    </w:rPr>
  </w:style>
  <w:style w:type="character" w:customStyle="1" w:styleId="WW8Num16z0">
    <w:name w:val="WW8Num16z0"/>
    <w:rsid w:val="00B634FC"/>
    <w:rPr>
      <w:rFonts w:ascii="Times New Roman" w:eastAsia="Times New Roman" w:hAnsi="Times New Roman" w:cs="Times New Roman"/>
    </w:rPr>
  </w:style>
  <w:style w:type="character" w:customStyle="1" w:styleId="2b">
    <w:name w:val="Основной шрифт абзаца2"/>
    <w:rsid w:val="00B634FC"/>
  </w:style>
  <w:style w:type="character" w:customStyle="1" w:styleId="WW8Num6z0">
    <w:name w:val="WW8Num6z0"/>
    <w:rsid w:val="00B634FC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B634FC"/>
    <w:rPr>
      <w:rFonts w:ascii="Times New Roman" w:eastAsia="Times New Roman" w:hAnsi="Times New Roman"/>
    </w:rPr>
  </w:style>
  <w:style w:type="character" w:customStyle="1" w:styleId="WW8Num7z1">
    <w:name w:val="WW8Num7z1"/>
    <w:rsid w:val="00B634FC"/>
    <w:rPr>
      <w:rFonts w:ascii="Courier New" w:hAnsi="Courier New" w:cs="Courier New"/>
    </w:rPr>
  </w:style>
  <w:style w:type="character" w:customStyle="1" w:styleId="WW8Num7z2">
    <w:name w:val="WW8Num7z2"/>
    <w:rsid w:val="00B634FC"/>
    <w:rPr>
      <w:rFonts w:ascii="Wingdings" w:hAnsi="Wingdings" w:cs="Times New Roman"/>
    </w:rPr>
  </w:style>
  <w:style w:type="character" w:customStyle="1" w:styleId="WW8Num7z3">
    <w:name w:val="WW8Num7z3"/>
    <w:rsid w:val="00B634FC"/>
    <w:rPr>
      <w:rFonts w:ascii="Symbol" w:hAnsi="Symbol" w:cs="Times New Roman"/>
    </w:rPr>
  </w:style>
  <w:style w:type="character" w:customStyle="1" w:styleId="WW8Num9z1">
    <w:name w:val="WW8Num9z1"/>
    <w:rsid w:val="00B634FC"/>
    <w:rPr>
      <w:rFonts w:ascii="Times New Roman" w:eastAsia="Times New Roman" w:hAnsi="Times New Roman"/>
    </w:rPr>
  </w:style>
  <w:style w:type="character" w:customStyle="1" w:styleId="WW8Num12z0">
    <w:name w:val="WW8Num12z0"/>
    <w:rsid w:val="00B634FC"/>
    <w:rPr>
      <w:rFonts w:ascii="Times New Roman" w:eastAsia="Times New Roman" w:hAnsi="Times New Roman"/>
    </w:rPr>
  </w:style>
  <w:style w:type="character" w:customStyle="1" w:styleId="WW8Num12z1">
    <w:name w:val="WW8Num12z1"/>
    <w:rsid w:val="00B634FC"/>
    <w:rPr>
      <w:rFonts w:ascii="Courier New" w:hAnsi="Courier New" w:cs="Courier New"/>
    </w:rPr>
  </w:style>
  <w:style w:type="character" w:customStyle="1" w:styleId="WW8Num12z2">
    <w:name w:val="WW8Num12z2"/>
    <w:rsid w:val="00B634FC"/>
    <w:rPr>
      <w:rFonts w:ascii="Wingdings" w:hAnsi="Wingdings" w:cs="Times New Roman"/>
    </w:rPr>
  </w:style>
  <w:style w:type="character" w:customStyle="1" w:styleId="WW8Num12z3">
    <w:name w:val="WW8Num12z3"/>
    <w:rsid w:val="00B634FC"/>
    <w:rPr>
      <w:rFonts w:ascii="Symbol" w:hAnsi="Symbol" w:cs="Times New Roman"/>
    </w:rPr>
  </w:style>
  <w:style w:type="character" w:customStyle="1" w:styleId="WW8Num14z0">
    <w:name w:val="WW8Num14z0"/>
    <w:rsid w:val="00B634FC"/>
    <w:rPr>
      <w:rFonts w:ascii="Times New Roman" w:eastAsia="Times New Roman" w:hAnsi="Times New Roman"/>
    </w:rPr>
  </w:style>
  <w:style w:type="character" w:customStyle="1" w:styleId="WW8Num14z1">
    <w:name w:val="WW8Num14z1"/>
    <w:rsid w:val="00B634FC"/>
    <w:rPr>
      <w:rFonts w:ascii="Courier New" w:hAnsi="Courier New" w:cs="Courier New"/>
    </w:rPr>
  </w:style>
  <w:style w:type="character" w:customStyle="1" w:styleId="WW8Num14z2">
    <w:name w:val="WW8Num14z2"/>
    <w:rsid w:val="00B634FC"/>
    <w:rPr>
      <w:rFonts w:ascii="Wingdings" w:hAnsi="Wingdings" w:cs="Times New Roman"/>
    </w:rPr>
  </w:style>
  <w:style w:type="character" w:customStyle="1" w:styleId="WW8Num14z3">
    <w:name w:val="WW8Num14z3"/>
    <w:rsid w:val="00B634FC"/>
    <w:rPr>
      <w:rFonts w:ascii="Symbol" w:hAnsi="Symbol" w:cs="Times New Roman"/>
    </w:rPr>
  </w:style>
  <w:style w:type="character" w:customStyle="1" w:styleId="WW8Num15z1">
    <w:name w:val="WW8Num15z1"/>
    <w:rsid w:val="00B634FC"/>
    <w:rPr>
      <w:rFonts w:ascii="Courier New" w:hAnsi="Courier New" w:cs="Courier New"/>
    </w:rPr>
  </w:style>
  <w:style w:type="character" w:customStyle="1" w:styleId="WW8Num15z2">
    <w:name w:val="WW8Num15z2"/>
    <w:rsid w:val="00B634FC"/>
    <w:rPr>
      <w:rFonts w:ascii="Wingdings" w:hAnsi="Wingdings" w:cs="Times New Roman"/>
    </w:rPr>
  </w:style>
  <w:style w:type="character" w:customStyle="1" w:styleId="WW8Num15z3">
    <w:name w:val="WW8Num15z3"/>
    <w:rsid w:val="00B634FC"/>
    <w:rPr>
      <w:rFonts w:ascii="Symbol" w:hAnsi="Symbol" w:cs="Times New Roman"/>
    </w:rPr>
  </w:style>
  <w:style w:type="character" w:customStyle="1" w:styleId="WW8Num17z0">
    <w:name w:val="WW8Num17z0"/>
    <w:rsid w:val="00B634FC"/>
    <w:rPr>
      <w:rFonts w:ascii="Times New Roman" w:eastAsia="Times New Roman" w:hAnsi="Times New Roman"/>
    </w:rPr>
  </w:style>
  <w:style w:type="character" w:customStyle="1" w:styleId="WW8Num17z1">
    <w:name w:val="WW8Num17z1"/>
    <w:rsid w:val="00B634FC"/>
    <w:rPr>
      <w:rFonts w:ascii="Courier New" w:hAnsi="Courier New" w:cs="Courier New"/>
    </w:rPr>
  </w:style>
  <w:style w:type="character" w:customStyle="1" w:styleId="WW8Num17z2">
    <w:name w:val="WW8Num17z2"/>
    <w:rsid w:val="00B634FC"/>
    <w:rPr>
      <w:rFonts w:ascii="Wingdings" w:hAnsi="Wingdings" w:cs="Times New Roman"/>
    </w:rPr>
  </w:style>
  <w:style w:type="character" w:customStyle="1" w:styleId="WW8Num17z3">
    <w:name w:val="WW8Num17z3"/>
    <w:rsid w:val="00B634FC"/>
    <w:rPr>
      <w:rFonts w:ascii="Symbol" w:hAnsi="Symbol" w:cs="Times New Roman"/>
    </w:rPr>
  </w:style>
  <w:style w:type="character" w:customStyle="1" w:styleId="WW8Num18z0">
    <w:name w:val="WW8Num18z0"/>
    <w:rsid w:val="00B634FC"/>
    <w:rPr>
      <w:rFonts w:ascii="Times New Roman" w:eastAsia="Times New Roman" w:hAnsi="Times New Roman"/>
    </w:rPr>
  </w:style>
  <w:style w:type="character" w:customStyle="1" w:styleId="WW8Num18z1">
    <w:name w:val="WW8Num18z1"/>
    <w:rsid w:val="00B634FC"/>
    <w:rPr>
      <w:rFonts w:ascii="Courier New" w:hAnsi="Courier New" w:cs="Courier New"/>
    </w:rPr>
  </w:style>
  <w:style w:type="character" w:customStyle="1" w:styleId="WW8Num18z2">
    <w:name w:val="WW8Num18z2"/>
    <w:rsid w:val="00B634FC"/>
    <w:rPr>
      <w:rFonts w:ascii="Wingdings" w:hAnsi="Wingdings" w:cs="Times New Roman"/>
    </w:rPr>
  </w:style>
  <w:style w:type="character" w:customStyle="1" w:styleId="WW8Num18z3">
    <w:name w:val="WW8Num18z3"/>
    <w:rsid w:val="00B634FC"/>
    <w:rPr>
      <w:rFonts w:ascii="Symbol" w:hAnsi="Symbol" w:cs="Times New Roman"/>
    </w:rPr>
  </w:style>
  <w:style w:type="character" w:customStyle="1" w:styleId="WW8Num20z0">
    <w:name w:val="WW8Num20z0"/>
    <w:rsid w:val="00B634FC"/>
    <w:rPr>
      <w:rFonts w:ascii="Symbol" w:hAnsi="Symbol"/>
    </w:rPr>
  </w:style>
  <w:style w:type="character" w:customStyle="1" w:styleId="WW8Num21z0">
    <w:name w:val="WW8Num21z0"/>
    <w:rsid w:val="00B634FC"/>
    <w:rPr>
      <w:rFonts w:ascii="Times New Roman" w:eastAsia="Times New Roman" w:hAnsi="Times New Roman"/>
      <w:b/>
    </w:rPr>
  </w:style>
  <w:style w:type="character" w:customStyle="1" w:styleId="WW8Num21z1">
    <w:name w:val="WW8Num21z1"/>
    <w:rsid w:val="00B634FC"/>
    <w:rPr>
      <w:rFonts w:ascii="Courier New" w:hAnsi="Courier New" w:cs="Courier New"/>
    </w:rPr>
  </w:style>
  <w:style w:type="character" w:customStyle="1" w:styleId="WW8Num21z2">
    <w:name w:val="WW8Num21z2"/>
    <w:rsid w:val="00B634FC"/>
    <w:rPr>
      <w:rFonts w:ascii="Wingdings" w:hAnsi="Wingdings" w:cs="Times New Roman"/>
    </w:rPr>
  </w:style>
  <w:style w:type="character" w:customStyle="1" w:styleId="WW8Num21z3">
    <w:name w:val="WW8Num21z3"/>
    <w:rsid w:val="00B634FC"/>
    <w:rPr>
      <w:rFonts w:ascii="Symbol" w:hAnsi="Symbol" w:cs="Times New Roman"/>
    </w:rPr>
  </w:style>
  <w:style w:type="character" w:customStyle="1" w:styleId="WW8Num24z0">
    <w:name w:val="WW8Num24z0"/>
    <w:rsid w:val="00B634FC"/>
    <w:rPr>
      <w:rFonts w:ascii="Times New Roman" w:eastAsia="Times New Roman" w:hAnsi="Times New Roman"/>
    </w:rPr>
  </w:style>
  <w:style w:type="character" w:customStyle="1" w:styleId="WW8Num24z1">
    <w:name w:val="WW8Num24z1"/>
    <w:rsid w:val="00B634FC"/>
    <w:rPr>
      <w:rFonts w:ascii="Courier New" w:hAnsi="Courier New" w:cs="Courier New"/>
    </w:rPr>
  </w:style>
  <w:style w:type="character" w:customStyle="1" w:styleId="WW8Num24z2">
    <w:name w:val="WW8Num24z2"/>
    <w:rsid w:val="00B634FC"/>
    <w:rPr>
      <w:rFonts w:ascii="Wingdings" w:hAnsi="Wingdings" w:cs="Times New Roman"/>
    </w:rPr>
  </w:style>
  <w:style w:type="character" w:customStyle="1" w:styleId="WW8Num24z3">
    <w:name w:val="WW8Num24z3"/>
    <w:rsid w:val="00B634FC"/>
    <w:rPr>
      <w:rFonts w:ascii="Symbol" w:hAnsi="Symbol" w:cs="Times New Roman"/>
    </w:rPr>
  </w:style>
  <w:style w:type="character" w:customStyle="1" w:styleId="WW8NumSt20z0">
    <w:name w:val="WW8NumSt20z0"/>
    <w:rsid w:val="00B634FC"/>
    <w:rPr>
      <w:rFonts w:ascii="Symbol" w:hAnsi="Symbol"/>
    </w:rPr>
  </w:style>
  <w:style w:type="character" w:customStyle="1" w:styleId="1fb">
    <w:name w:val="Основной шрифт абзаца1"/>
    <w:rsid w:val="00B634FC"/>
  </w:style>
  <w:style w:type="paragraph" w:customStyle="1" w:styleId="2c">
    <w:name w:val="Название2"/>
    <w:basedOn w:val="a1"/>
    <w:rsid w:val="00B634F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d">
    <w:name w:val="Указатель2"/>
    <w:basedOn w:val="a1"/>
    <w:rsid w:val="00B634FC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4"/>
      <w:lang w:eastAsia="ar-SA"/>
    </w:rPr>
  </w:style>
  <w:style w:type="paragraph" w:customStyle="1" w:styleId="313">
    <w:name w:val="Основной текст с отступом 31"/>
    <w:basedOn w:val="a1"/>
    <w:rsid w:val="00B634FC"/>
    <w:pPr>
      <w:tabs>
        <w:tab w:val="left" w:pos="1080"/>
        <w:tab w:val="left" w:pos="1440"/>
        <w:tab w:val="left" w:pos="3960"/>
        <w:tab w:val="left" w:pos="4320"/>
        <w:tab w:val="left" w:pos="5220"/>
      </w:tabs>
      <w:suppressAutoHyphens/>
      <w:spacing w:after="0" w:line="360" w:lineRule="auto"/>
      <w:ind w:left="540" w:firstLine="540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314">
    <w:name w:val="Основной текст 31"/>
    <w:basedOn w:val="a1"/>
    <w:rsid w:val="00B634FC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fff4">
    <w:name w:val="Заголовок таблицы"/>
    <w:basedOn w:val="aff"/>
    <w:rsid w:val="00B634FC"/>
    <w:pPr>
      <w:jc w:val="center"/>
    </w:pPr>
    <w:rPr>
      <w:b/>
      <w:bCs/>
      <w:sz w:val="28"/>
      <w:szCs w:val="24"/>
    </w:rPr>
  </w:style>
  <w:style w:type="paragraph" w:customStyle="1" w:styleId="affff5">
    <w:name w:val="Содержимое врезки"/>
    <w:basedOn w:val="a6"/>
    <w:rsid w:val="00B634FC"/>
    <w:pPr>
      <w:spacing w:after="0" w:line="288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220">
    <w:name w:val="Основной текст с отступом 22"/>
    <w:basedOn w:val="a1"/>
    <w:rsid w:val="00B634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1"/>
    <w:rsid w:val="00B634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1">
    <w:name w:val="Основной текст 22"/>
    <w:basedOn w:val="a1"/>
    <w:rsid w:val="00B634F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1"/>
    <w:rsid w:val="00B634F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ormula1">
    <w:name w:val="Formula1"/>
    <w:basedOn w:val="a1"/>
    <w:rsid w:val="00605D7E"/>
    <w:pPr>
      <w:tabs>
        <w:tab w:val="center" w:pos="5245"/>
        <w:tab w:val="right" w:pos="10206"/>
      </w:tabs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HTML2">
    <w:name w:val="HTML Cite"/>
    <w:basedOn w:val="a2"/>
    <w:rsid w:val="00605D7E"/>
    <w:rPr>
      <w:i/>
      <w:iCs/>
    </w:rPr>
  </w:style>
  <w:style w:type="character" w:customStyle="1" w:styleId="z3988">
    <w:name w:val="z3988"/>
    <w:basedOn w:val="a2"/>
    <w:rsid w:val="00605D7E"/>
  </w:style>
  <w:style w:type="paragraph" w:customStyle="1" w:styleId="2e">
    <w:name w:val="Номер страницы2"/>
    <w:basedOn w:val="a1"/>
    <w:rsid w:val="00605D7E"/>
    <w:pPr>
      <w:spacing w:after="0" w:line="240" w:lineRule="auto"/>
      <w:jc w:val="center"/>
    </w:pPr>
    <w:rPr>
      <w:rFonts w:ascii="Times" w:eastAsia="Times New Roman" w:hAnsi="Times" w:cs="Times"/>
      <w:sz w:val="24"/>
      <w:szCs w:val="24"/>
      <w:lang w:val="en-US"/>
    </w:rPr>
  </w:style>
  <w:style w:type="paragraph" w:customStyle="1" w:styleId="affff6">
    <w:name w:val="???????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4pt">
    <w:name w:val="Normal + 14 pt"/>
    <w:aliases w:val="Black,Justified,Line spacing:  1.5 lines"/>
    <w:basedOn w:val="a1"/>
    <w:link w:val="Normal14pt0"/>
    <w:rsid w:val="00605D7E"/>
    <w:pPr>
      <w:numPr>
        <w:numId w:val="7"/>
      </w:numPr>
      <w:spacing w:after="0" w:line="360" w:lineRule="auto"/>
      <w:ind w:hanging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Style">
    <w:name w:val="Style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ff7">
    <w:name w:val="List Bullet"/>
    <w:basedOn w:val="a1"/>
    <w:rsid w:val="00605D7E"/>
    <w:pPr>
      <w:overflowPunct w:val="0"/>
      <w:autoSpaceDE w:val="0"/>
      <w:autoSpaceDN w:val="0"/>
      <w:adjustRightInd w:val="0"/>
      <w:spacing w:after="0" w:line="36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c">
    <w:name w:val="Îáû÷íûé1"/>
    <w:rsid w:val="00605D7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niiaiieoaeno">
    <w:name w:val="Iniiaiie oaeno"/>
    <w:basedOn w:val="a1"/>
    <w:rsid w:val="00605D7E"/>
    <w:pPr>
      <w:widowControl w:val="0"/>
      <w:overflowPunct w:val="0"/>
      <w:autoSpaceDE w:val="0"/>
      <w:autoSpaceDN w:val="0"/>
      <w:adjustRightInd w:val="0"/>
      <w:spacing w:after="120" w:line="480" w:lineRule="auto"/>
      <w:jc w:val="center"/>
      <w:textAlignment w:val="baseline"/>
    </w:pPr>
    <w:rPr>
      <w:rFonts w:ascii="TimesET" w:eastAsia="Times New Roman" w:hAnsi="TimesET" w:cs="TimesET"/>
      <w:color w:val="000000"/>
      <w:sz w:val="20"/>
      <w:szCs w:val="20"/>
      <w:lang w:val="en-US" w:eastAsia="uk-UA"/>
    </w:rPr>
  </w:style>
  <w:style w:type="character" w:customStyle="1" w:styleId="BodyTextChar">
    <w:name w:val="Body Text Char"/>
    <w:basedOn w:val="a2"/>
    <w:rsid w:val="00605D7E"/>
    <w:rPr>
      <w:sz w:val="28"/>
      <w:szCs w:val="28"/>
      <w:lang w:val="ru-RU" w:eastAsia="ru-RU"/>
    </w:rPr>
  </w:style>
  <w:style w:type="paragraph" w:customStyle="1" w:styleId="1fd">
    <w:name w:val="Абзац списка1"/>
    <w:basedOn w:val="a1"/>
    <w:rsid w:val="00605D7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315">
    <w:name w:val="Çíàê Çíàê31"/>
    <w:basedOn w:val="a2"/>
    <w:locked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111">
    <w:name w:val="Çíàê Çíàê11"/>
    <w:basedOn w:val="a2"/>
    <w:locked/>
    <w:rsid w:val="00605D7E"/>
    <w:rPr>
      <w:b/>
      <w:bCs/>
      <w:sz w:val="28"/>
      <w:szCs w:val="28"/>
      <w:lang w:val="ru-RU" w:eastAsia="ru-RU"/>
    </w:rPr>
  </w:style>
  <w:style w:type="paragraph" w:customStyle="1" w:styleId="2f">
    <w:name w:val="Îáû÷íûé2"/>
    <w:rsid w:val="0060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1"/>
    <w:rsid w:val="0060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5">
    <w:name w:val="Çíàê Çíàê21"/>
    <w:basedOn w:val="a2"/>
    <w:locked/>
    <w:rsid w:val="00605D7E"/>
    <w:rPr>
      <w:b/>
      <w:bCs/>
      <w:sz w:val="28"/>
      <w:szCs w:val="28"/>
      <w:lang w:val="en-US" w:eastAsia="ru-RU"/>
    </w:rPr>
  </w:style>
  <w:style w:type="character" w:customStyle="1" w:styleId="52">
    <w:name w:val="Çíàê Çíàê5"/>
    <w:basedOn w:val="a2"/>
    <w:rsid w:val="00605D7E"/>
    <w:rPr>
      <w:color w:val="000000"/>
      <w:sz w:val="24"/>
      <w:szCs w:val="24"/>
      <w:lang w:val="pl-PL" w:eastAsia="pl-PL"/>
    </w:rPr>
  </w:style>
  <w:style w:type="character" w:customStyle="1" w:styleId="121">
    <w:name w:val="Çíàê Çíàê12"/>
    <w:basedOn w:val="a2"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markupontologylegend">
    <w:name w:val="markupontologylegend"/>
    <w:basedOn w:val="a2"/>
    <w:rsid w:val="00605D7E"/>
  </w:style>
  <w:style w:type="character" w:customStyle="1" w:styleId="markupkeyword">
    <w:name w:val="markupkeyword"/>
    <w:basedOn w:val="a2"/>
    <w:rsid w:val="00605D7E"/>
  </w:style>
  <w:style w:type="paragraph" w:customStyle="1" w:styleId="CharChar4">
    <w:name w:val="Char Char4"/>
    <w:basedOn w:val="a1"/>
    <w:rsid w:val="00605D7E"/>
    <w:pPr>
      <w:tabs>
        <w:tab w:val="num" w:pos="5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14pt0">
    <w:name w:val="Normal + 14 pt Çíàê"/>
    <w:aliases w:val="Black Çíàê,Justified Çíàê,Line spacing:  1.5 lines Çíàê"/>
    <w:basedOn w:val="a2"/>
    <w:link w:val="Normal14pt"/>
    <w:locked/>
    <w:rsid w:val="00605D7E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western">
    <w:name w:val="western"/>
    <w:basedOn w:val="a1"/>
    <w:rsid w:val="0060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1">
    <w:name w:val="Char Char1"/>
    <w:basedOn w:val="a2"/>
    <w:locked/>
    <w:rsid w:val="00605D7E"/>
    <w:rPr>
      <w:i/>
      <w:iCs/>
      <w:sz w:val="28"/>
      <w:szCs w:val="28"/>
      <w:lang w:val="ru-RU" w:eastAsia="ru-RU"/>
    </w:rPr>
  </w:style>
  <w:style w:type="character" w:customStyle="1" w:styleId="ref-journal">
    <w:name w:val="ref-journal"/>
    <w:basedOn w:val="a2"/>
    <w:rsid w:val="003E2DB7"/>
  </w:style>
  <w:style w:type="character" w:customStyle="1" w:styleId="ref-vol">
    <w:name w:val="ref-vol"/>
    <w:basedOn w:val="a2"/>
    <w:rsid w:val="003E2DB7"/>
  </w:style>
  <w:style w:type="paragraph" w:customStyle="1" w:styleId="affiliation">
    <w:name w:val="affiliation"/>
    <w:basedOn w:val="a1"/>
    <w:rsid w:val="003E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2">
    <w:name w:val="citation2"/>
    <w:basedOn w:val="a2"/>
    <w:rsid w:val="003E2DB7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styleId="39">
    <w:name w:val="List 3"/>
    <w:basedOn w:val="a1"/>
    <w:rsid w:val="00973F2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3">
    <w:name w:val="List 4"/>
    <w:basedOn w:val="a1"/>
    <w:rsid w:val="00973F2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8">
    <w:name w:val="Body Text First Indent"/>
    <w:basedOn w:val="a6"/>
    <w:link w:val="affff9"/>
    <w:rsid w:val="00973F2A"/>
    <w:pPr>
      <w:suppressAutoHyphens w:val="0"/>
      <w:ind w:firstLine="210"/>
    </w:pPr>
    <w:rPr>
      <w:rFonts w:ascii="Times New Roman" w:eastAsia="Times New Roman" w:hAnsi="Times New Roman" w:cs="Times New Roman"/>
      <w:sz w:val="24"/>
    </w:rPr>
  </w:style>
  <w:style w:type="character" w:customStyle="1" w:styleId="affff9">
    <w:name w:val="Красная строка Знак"/>
    <w:basedOn w:val="a7"/>
    <w:link w:val="affff8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f0">
    <w:name w:val="Body Text First Indent 2"/>
    <w:basedOn w:val="a8"/>
    <w:link w:val="2f1"/>
    <w:rsid w:val="00973F2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f1">
    <w:name w:val="Красная строка 2 Знак"/>
    <w:basedOn w:val="a9"/>
    <w:link w:val="2f0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2">
    <w:name w:val="Table Web 2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e">
    <w:name w:val="Стиль таблицы1"/>
    <w:basedOn w:val="ae"/>
    <w:rsid w:val="00973F2A"/>
    <w:tblPr/>
  </w:style>
  <w:style w:type="table" w:styleId="affffa">
    <w:name w:val="Table Contemporary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a">
    <w:name w:val="Table 3D effects 3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b">
    <w:name w:val="заголовок 3"/>
    <w:basedOn w:val="a1"/>
    <w:next w:val="a1"/>
    <w:rsid w:val="007F5AD6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level11">
    <w:name w:val="level11"/>
    <w:basedOn w:val="a1"/>
    <w:rsid w:val="000F576E"/>
    <w:pPr>
      <w:spacing w:before="30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2f3">
    <w:name w:val="Quote"/>
    <w:basedOn w:val="a1"/>
    <w:next w:val="a1"/>
    <w:link w:val="2f4"/>
    <w:uiPriority w:val="29"/>
    <w:qFormat/>
    <w:rsid w:val="000F576E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lang w:bidi="en-US"/>
    </w:rPr>
  </w:style>
  <w:style w:type="character" w:customStyle="1" w:styleId="2f4">
    <w:name w:val="Цитата 2 Знак"/>
    <w:basedOn w:val="a2"/>
    <w:link w:val="2f3"/>
    <w:uiPriority w:val="29"/>
    <w:rsid w:val="000F576E"/>
    <w:rPr>
      <w:rFonts w:ascii="Times New Roman" w:eastAsia="Times New Roman" w:hAnsi="Times New Roman" w:cs="Times New Roman"/>
      <w:i/>
      <w:iCs/>
      <w:color w:val="000000"/>
      <w:lang w:bidi="en-US"/>
    </w:rPr>
  </w:style>
  <w:style w:type="paragraph" w:styleId="affffb">
    <w:name w:val="Intense Quote"/>
    <w:basedOn w:val="a1"/>
    <w:next w:val="a1"/>
    <w:link w:val="affffc"/>
    <w:uiPriority w:val="30"/>
    <w:qFormat/>
    <w:rsid w:val="000F576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customStyle="1" w:styleId="affffc">
    <w:name w:val="Выделенная цитата Знак"/>
    <w:basedOn w:val="a2"/>
    <w:link w:val="affffb"/>
    <w:uiPriority w:val="30"/>
    <w:rsid w:val="000F576E"/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styleId="affffd">
    <w:name w:val="Subtle Emphasis"/>
    <w:basedOn w:val="a2"/>
    <w:uiPriority w:val="19"/>
    <w:qFormat/>
    <w:rsid w:val="000F576E"/>
    <w:rPr>
      <w:i/>
      <w:iCs/>
      <w:color w:val="808080"/>
    </w:rPr>
  </w:style>
  <w:style w:type="character" w:styleId="affffe">
    <w:name w:val="Intense Emphasis"/>
    <w:basedOn w:val="a2"/>
    <w:uiPriority w:val="21"/>
    <w:qFormat/>
    <w:rsid w:val="000F576E"/>
    <w:rPr>
      <w:b/>
      <w:bCs/>
      <w:i/>
      <w:iCs/>
      <w:color w:val="4F81BD"/>
    </w:rPr>
  </w:style>
  <w:style w:type="character" w:styleId="afffff">
    <w:name w:val="Subtle Reference"/>
    <w:basedOn w:val="a2"/>
    <w:uiPriority w:val="31"/>
    <w:qFormat/>
    <w:rsid w:val="000F576E"/>
    <w:rPr>
      <w:smallCaps/>
      <w:color w:val="C0504D"/>
      <w:u w:val="single"/>
    </w:rPr>
  </w:style>
  <w:style w:type="character" w:styleId="afffff0">
    <w:name w:val="Intense Reference"/>
    <w:basedOn w:val="a2"/>
    <w:uiPriority w:val="32"/>
    <w:qFormat/>
    <w:rsid w:val="000F576E"/>
    <w:rPr>
      <w:b/>
      <w:bCs/>
      <w:smallCaps/>
      <w:color w:val="C0504D"/>
      <w:spacing w:val="5"/>
      <w:u w:val="single"/>
    </w:rPr>
  </w:style>
  <w:style w:type="character" w:styleId="afffff1">
    <w:name w:val="Book Title"/>
    <w:basedOn w:val="a2"/>
    <w:uiPriority w:val="33"/>
    <w:qFormat/>
    <w:rsid w:val="000F576E"/>
    <w:rPr>
      <w:b/>
      <w:bCs/>
      <w:smallCaps/>
      <w:spacing w:val="5"/>
    </w:rPr>
  </w:style>
  <w:style w:type="paragraph" w:customStyle="1" w:styleId="literature">
    <w:name w:val="literature"/>
    <w:basedOn w:val="a1"/>
    <w:rsid w:val="000F576E"/>
    <w:pPr>
      <w:spacing w:before="20" w:after="0" w:line="240" w:lineRule="auto"/>
      <w:ind w:left="203" w:hanging="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ournal">
    <w:name w:val="journal"/>
    <w:basedOn w:val="a2"/>
    <w:rsid w:val="000F576E"/>
  </w:style>
  <w:style w:type="character" w:customStyle="1" w:styleId="jnumber">
    <w:name w:val="jnumber"/>
    <w:basedOn w:val="a2"/>
    <w:rsid w:val="000F576E"/>
  </w:style>
  <w:style w:type="paragraph" w:customStyle="1" w:styleId="afffff2">
    <w:name w:val="Табличній"/>
    <w:basedOn w:val="a1"/>
    <w:rsid w:val="00396E92"/>
    <w:pPr>
      <w:spacing w:before="240" w:after="0" w:line="240" w:lineRule="auto"/>
      <w:jc w:val="center"/>
    </w:pPr>
    <w:rPr>
      <w:rFonts w:ascii="Courier New" w:eastAsia="Times New Roman" w:hAnsi="Courier New" w:cs="Times New Roman"/>
      <w:spacing w:val="-20"/>
      <w:sz w:val="28"/>
      <w:szCs w:val="20"/>
      <w:lang w:eastAsia="ru-RU"/>
    </w:rPr>
  </w:style>
  <w:style w:type="paragraph" w:customStyle="1" w:styleId="rvps9">
    <w:name w:val="rvps9"/>
    <w:basedOn w:val="a1"/>
    <w:rsid w:val="00396E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1"/>
    <w:rsid w:val="00396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8">
    <w:name w:val="rvts28"/>
    <w:basedOn w:val="a2"/>
    <w:rsid w:val="00396E92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rvts17">
    <w:name w:val="rvts17"/>
    <w:basedOn w:val="a2"/>
    <w:rsid w:val="004F58E9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rvts18">
    <w:name w:val="rvts18"/>
    <w:basedOn w:val="a2"/>
    <w:rsid w:val="004F58E9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rvts23">
    <w:name w:val="rvts23"/>
    <w:basedOn w:val="a2"/>
    <w:rsid w:val="004F58E9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rvps10">
    <w:name w:val="rvps10"/>
    <w:basedOn w:val="a1"/>
    <w:rsid w:val="004F58E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4">
    <w:name w:val="rvts24"/>
    <w:basedOn w:val="a2"/>
    <w:rsid w:val="004F58E9"/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rvps2">
    <w:name w:val="rvps2"/>
    <w:basedOn w:val="a1"/>
    <w:rsid w:val="004F58E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1"/>
    <w:rsid w:val="004F58E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md1">
    <w:name w:val="addmd1"/>
    <w:basedOn w:val="a2"/>
    <w:rsid w:val="00494823"/>
    <w:rPr>
      <w:rFonts w:ascii="Arial" w:hAnsi="Arial" w:hint="default"/>
      <w:color w:val="777777"/>
      <w:sz w:val="20"/>
      <w:szCs w:val="20"/>
    </w:rPr>
  </w:style>
  <w:style w:type="paragraph" w:customStyle="1" w:styleId="par">
    <w:name w:val="par"/>
    <w:basedOn w:val="a1"/>
    <w:rsid w:val="00494823"/>
    <w:pPr>
      <w:spacing w:after="257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gu-IN"/>
    </w:rPr>
  </w:style>
  <w:style w:type="character" w:customStyle="1" w:styleId="HeaderChar">
    <w:name w:val="Header Char"/>
    <w:basedOn w:val="a2"/>
    <w:rsid w:val="00494823"/>
    <w:rPr>
      <w:sz w:val="24"/>
      <w:szCs w:val="24"/>
      <w:lang w:val="ru-RU" w:eastAsia="ru-RU"/>
    </w:rPr>
  </w:style>
  <w:style w:type="paragraph" w:customStyle="1" w:styleId="Heading31">
    <w:name w:val="Heading 31"/>
    <w:basedOn w:val="a1"/>
    <w:rsid w:val="00494823"/>
    <w:pPr>
      <w:spacing w:before="24" w:after="12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val="en-US" w:eastAsia="zh-CN" w:bidi="gu-IN"/>
    </w:rPr>
  </w:style>
  <w:style w:type="paragraph" w:customStyle="1" w:styleId="pmid">
    <w:name w:val="pmid"/>
    <w:basedOn w:val="a1"/>
    <w:rsid w:val="0049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pyright">
    <w:name w:val="copyright"/>
    <w:basedOn w:val="a1"/>
    <w:rsid w:val="00494823"/>
    <w:pPr>
      <w:spacing w:after="240" w:line="240" w:lineRule="auto"/>
    </w:pPr>
    <w:rPr>
      <w:rFonts w:ascii="Arial" w:eastAsia="Times New Roman" w:hAnsi="Arial" w:cs="Arial"/>
      <w:color w:val="1C3664"/>
      <w:sz w:val="14"/>
      <w:szCs w:val="14"/>
      <w:lang w:eastAsia="ru-RU"/>
    </w:rPr>
  </w:style>
  <w:style w:type="character" w:customStyle="1" w:styleId="smalltext1">
    <w:name w:val="smalltext1"/>
    <w:basedOn w:val="a2"/>
    <w:rsid w:val="00494823"/>
    <w:rPr>
      <w:rFonts w:ascii="Arial" w:hAnsi="Arial" w:cs="Arial" w:hint="default"/>
      <w:color w:val="1C3664"/>
      <w:sz w:val="17"/>
      <w:szCs w:val="17"/>
    </w:rPr>
  </w:style>
  <w:style w:type="paragraph" w:customStyle="1" w:styleId="csrc">
    <w:name w:val="c_src"/>
    <w:basedOn w:val="a1"/>
    <w:rsid w:val="00494823"/>
    <w:pPr>
      <w:spacing w:before="6" w:after="0" w:line="240" w:lineRule="auto"/>
      <w:ind w:left="45"/>
    </w:pPr>
    <w:rPr>
      <w:rFonts w:ascii="Arial" w:eastAsia="Times New Roman" w:hAnsi="Arial" w:cs="Arial"/>
      <w:color w:val="777777"/>
      <w:sz w:val="3"/>
      <w:szCs w:val="3"/>
      <w:lang w:eastAsia="ru-RU"/>
    </w:rPr>
  </w:style>
  <w:style w:type="character" w:customStyle="1" w:styleId="NormalWebChar">
    <w:name w:val="Normal (Web) Char"/>
    <w:basedOn w:val="a2"/>
    <w:locked/>
    <w:rsid w:val="00494823"/>
    <w:rPr>
      <w:sz w:val="24"/>
      <w:szCs w:val="24"/>
      <w:lang w:val="ru-RU" w:eastAsia="ru-RU"/>
    </w:rPr>
  </w:style>
  <w:style w:type="paragraph" w:customStyle="1" w:styleId="14pt2">
    <w:name w:val="Стиль 14 pt по ширине Междустр.интервал:  полуторный"/>
    <w:basedOn w:val="a1"/>
    <w:rsid w:val="0043577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itation-issue">
    <w:name w:val="citation-issue"/>
    <w:basedOn w:val="a2"/>
    <w:rsid w:val="002E354D"/>
  </w:style>
  <w:style w:type="paragraph" w:customStyle="1" w:styleId="atext">
    <w:name w:val="a_text"/>
    <w:basedOn w:val="a1"/>
    <w:rsid w:val="00D572C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z1">
    <w:name w:val="a_z_1"/>
    <w:basedOn w:val="10"/>
    <w:next w:val="atext"/>
    <w:autoRedefine/>
    <w:rsid w:val="00D572CB"/>
    <w:pPr>
      <w:spacing w:after="840"/>
    </w:pPr>
    <w:rPr>
      <w:rFonts w:eastAsia="Times New Roman"/>
      <w:b/>
      <w:bCs/>
      <w:kern w:val="32"/>
      <w:sz w:val="32"/>
      <w:szCs w:val="32"/>
      <w:lang w:val="ru-RU"/>
    </w:rPr>
  </w:style>
  <w:style w:type="paragraph" w:customStyle="1" w:styleId="az2">
    <w:name w:val="a_z_2"/>
    <w:basedOn w:val="20"/>
    <w:autoRedefine/>
    <w:rsid w:val="00D572CB"/>
    <w:pPr>
      <w:spacing w:before="720" w:after="360" w:line="240" w:lineRule="auto"/>
      <w:ind w:left="238"/>
      <w:jc w:val="left"/>
    </w:pPr>
    <w:rPr>
      <w:rFonts w:ascii="Arial" w:eastAsia="Times New Roman" w:hAnsi="Arial" w:cs="Arial"/>
      <w:i/>
      <w:iCs/>
      <w:szCs w:val="28"/>
      <w:lang w:val="ru-RU"/>
    </w:rPr>
  </w:style>
  <w:style w:type="paragraph" w:customStyle="1" w:styleId="tablnumber">
    <w:name w:val="tabl_number"/>
    <w:basedOn w:val="a1"/>
    <w:next w:val="atext"/>
    <w:rsid w:val="00D572CB"/>
    <w:pPr>
      <w:spacing w:before="240" w:after="120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tablname">
    <w:name w:val="tabl_name"/>
    <w:basedOn w:val="a1"/>
    <w:next w:val="atext"/>
    <w:rsid w:val="00D572CB"/>
    <w:pPr>
      <w:spacing w:after="6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text">
    <w:name w:val="tabl_text"/>
    <w:basedOn w:val="a1"/>
    <w:rsid w:val="00D5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z3">
    <w:name w:val="a_z_3"/>
    <w:basedOn w:val="30"/>
    <w:rsid w:val="00D572CB"/>
    <w:pPr>
      <w:spacing w:before="360" w:after="120" w:line="360" w:lineRule="auto"/>
      <w:ind w:left="0" w:firstLine="0"/>
      <w:jc w:val="center"/>
    </w:pPr>
    <w:rPr>
      <w:rFonts w:eastAsia="Times New Roman"/>
      <w:i/>
      <w:iCs/>
      <w:szCs w:val="28"/>
      <w:lang w:val="ru-RU"/>
    </w:rPr>
  </w:style>
  <w:style w:type="paragraph" w:customStyle="1" w:styleId="arisname">
    <w:name w:val="a_ris_name"/>
    <w:basedOn w:val="atext"/>
    <w:rsid w:val="00D572CB"/>
    <w:pPr>
      <w:spacing w:after="360" w:line="240" w:lineRule="auto"/>
      <w:ind w:firstLine="0"/>
      <w:jc w:val="center"/>
    </w:pPr>
    <w:rPr>
      <w:b/>
      <w:bCs/>
      <w:sz w:val="24"/>
      <w:szCs w:val="24"/>
    </w:rPr>
  </w:style>
  <w:style w:type="character" w:customStyle="1" w:styleId="atext0">
    <w:name w:val="a_text Знак"/>
    <w:basedOn w:val="a2"/>
    <w:rsid w:val="00D572CB"/>
    <w:rPr>
      <w:sz w:val="24"/>
      <w:szCs w:val="24"/>
      <w:lang w:val="ru-RU" w:eastAsia="ru-RU"/>
    </w:rPr>
  </w:style>
  <w:style w:type="character" w:customStyle="1" w:styleId="arisname0">
    <w:name w:val="a_ris_name Знак"/>
    <w:basedOn w:val="atext0"/>
    <w:rsid w:val="00D572CB"/>
    <w:rPr>
      <w:b/>
      <w:bCs/>
      <w:sz w:val="24"/>
      <w:szCs w:val="24"/>
      <w:lang w:val="ru-RU" w:eastAsia="ru-RU"/>
    </w:rPr>
  </w:style>
  <w:style w:type="paragraph" w:customStyle="1" w:styleId="a0">
    <w:name w:val="Литература"/>
    <w:basedOn w:val="a1"/>
    <w:rsid w:val="00D572CB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MyslNarrowC" w:eastAsia="Times New Roman" w:hAnsi="MyslNarrowC" w:cs="Times New Roman"/>
      <w:sz w:val="18"/>
      <w:szCs w:val="18"/>
      <w:lang w:eastAsia="ru-RU"/>
    </w:rPr>
  </w:style>
  <w:style w:type="paragraph" w:customStyle="1" w:styleId="afffff3">
    <w:name w:val="машинка"/>
    <w:basedOn w:val="a1"/>
    <w:rsid w:val="00AC2EDD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5">
    <w:name w:val="Основной текст с отступом2"/>
    <w:basedOn w:val="a1"/>
    <w:rsid w:val="00A435D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Iauiue1">
    <w:name w:val="Iau?iue1"/>
    <w:rsid w:val="00A435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1"/>
    <w:rsid w:val="00A435D8"/>
    <w:pPr>
      <w:ind w:firstLine="709"/>
      <w:jc w:val="both"/>
    </w:pPr>
    <w:rPr>
      <w:sz w:val="28"/>
      <w:szCs w:val="28"/>
    </w:rPr>
  </w:style>
  <w:style w:type="paragraph" w:customStyle="1" w:styleId="ListNumber1">
    <w:name w:val="List Number1"/>
    <w:basedOn w:val="a1"/>
    <w:rsid w:val="00635A82"/>
    <w:pPr>
      <w:tabs>
        <w:tab w:val="right" w:pos="86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afffff4">
    <w:name w:val="Знак Знак"/>
    <w:basedOn w:val="a2"/>
    <w:rsid w:val="00D072B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ff">
    <w:name w:val="Знак Знак1"/>
    <w:basedOn w:val="a2"/>
    <w:rsid w:val="00E6193F"/>
    <w:rPr>
      <w:noProof w:val="0"/>
      <w:sz w:val="24"/>
      <w:szCs w:val="24"/>
      <w:lang w:val="uk-UA" w:eastAsia="uk-UA" w:bidi="ar-SA"/>
    </w:rPr>
  </w:style>
  <w:style w:type="paragraph" w:customStyle="1" w:styleId="afffff5">
    <w:name w:val="ТЕКСТ"/>
    <w:basedOn w:val="a1"/>
    <w:autoRedefine/>
    <w:rsid w:val="00267D6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2"/>
      <w:sz w:val="28"/>
      <w:szCs w:val="28"/>
      <w:lang w:val="uk-UA" w:eastAsia="ru-RU"/>
    </w:rPr>
  </w:style>
  <w:style w:type="character" w:customStyle="1" w:styleId="ti2">
    <w:name w:val="ti2"/>
    <w:basedOn w:val="a2"/>
    <w:rsid w:val="006E3878"/>
    <w:rPr>
      <w:sz w:val="22"/>
      <w:szCs w:val="22"/>
    </w:rPr>
  </w:style>
  <w:style w:type="paragraph" w:customStyle="1" w:styleId="222">
    <w:name w:val="Заголовок 22"/>
    <w:basedOn w:val="a1"/>
    <w:rsid w:val="006E3878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0F8FF"/>
      <w:spacing w:before="240" w:after="240" w:line="240" w:lineRule="auto"/>
      <w:outlineLvl w:val="2"/>
    </w:pPr>
    <w:rPr>
      <w:rFonts w:ascii="Arial" w:eastAsia="Times New Roman" w:hAnsi="Arial" w:cs="Arial"/>
      <w:b/>
      <w:bCs/>
      <w:color w:val="000000"/>
      <w:sz w:val="23"/>
      <w:szCs w:val="23"/>
      <w:lang w:eastAsia="ru-RU"/>
    </w:rPr>
  </w:style>
  <w:style w:type="character" w:customStyle="1" w:styleId="rvts25">
    <w:name w:val="rvts25"/>
    <w:basedOn w:val="a2"/>
    <w:rsid w:val="006E3878"/>
    <w:rPr>
      <w:rFonts w:ascii="Times New Roman" w:hAnsi="Times New Roman" w:cs="Times New Roman" w:hint="default"/>
      <w:sz w:val="24"/>
      <w:szCs w:val="24"/>
    </w:rPr>
  </w:style>
  <w:style w:type="paragraph" w:customStyle="1" w:styleId="text">
    <w:name w:val="text"/>
    <w:basedOn w:val="a1"/>
    <w:rsid w:val="008F14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46459"/>
      <w:sz w:val="17"/>
      <w:szCs w:val="17"/>
      <w:lang w:val="uk-UA" w:eastAsia="ru-RU"/>
    </w:rPr>
  </w:style>
  <w:style w:type="paragraph" w:customStyle="1" w:styleId="2f6">
    <w:name w:val="Обычный2"/>
    <w:rsid w:val="008F149C"/>
    <w:pPr>
      <w:widowControl w:val="0"/>
      <w:spacing w:after="0" w:line="240" w:lineRule="auto"/>
      <w:ind w:left="160" w:hanging="18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3">
    <w:name w:val="FR3"/>
    <w:rsid w:val="008F149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fff6">
    <w:name w:val="Normal Indent"/>
    <w:basedOn w:val="a1"/>
    <w:semiHidden/>
    <w:rsid w:val="008F14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4">
    <w:name w:val="Стиль4"/>
    <w:basedOn w:val="aff0"/>
    <w:rsid w:val="008F149C"/>
    <w:pPr>
      <w:keepNext w:val="0"/>
      <w:numPr>
        <w:ilvl w:val="1"/>
        <w:numId w:val="9"/>
      </w:numPr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53">
    <w:name w:val="Стиль5"/>
    <w:basedOn w:val="aff0"/>
    <w:rsid w:val="008F149C"/>
    <w:pPr>
      <w:keepNext w:val="0"/>
      <w:suppressAutoHyphens w:val="0"/>
      <w:spacing w:before="0" w:after="60" w:line="360" w:lineRule="auto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62">
    <w:name w:val="Стиль6"/>
    <w:basedOn w:val="aff0"/>
    <w:rsid w:val="008F149C"/>
    <w:pPr>
      <w:keepNext w:val="0"/>
      <w:suppressAutoHyphens w:val="0"/>
      <w:spacing w:before="0" w:after="60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73">
    <w:name w:val="Стиль7"/>
    <w:basedOn w:val="aff0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82">
    <w:name w:val="Стиль8"/>
    <w:basedOn w:val="10"/>
    <w:rsid w:val="008F149C"/>
    <w:pPr>
      <w:spacing w:before="240" w:after="60" w:line="360" w:lineRule="auto"/>
      <w:ind w:firstLine="600"/>
      <w:jc w:val="center"/>
    </w:pPr>
    <w:rPr>
      <w:rFonts w:eastAsia="Times New Roman" w:cs="Arial"/>
      <w:bCs/>
      <w:kern w:val="32"/>
      <w:szCs w:val="28"/>
    </w:rPr>
  </w:style>
  <w:style w:type="paragraph" w:customStyle="1" w:styleId="92">
    <w:name w:val="Стиль9"/>
    <w:basedOn w:val="aff0"/>
    <w:rsid w:val="008F149C"/>
    <w:pPr>
      <w:keepNext w:val="0"/>
      <w:suppressAutoHyphens w:val="0"/>
      <w:spacing w:before="0" w:after="60" w:line="360" w:lineRule="auto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01">
    <w:name w:val="Стиль10"/>
    <w:basedOn w:val="aff0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12">
    <w:name w:val="Стиль11"/>
    <w:basedOn w:val="aff0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22">
    <w:name w:val="Стиль12"/>
    <w:basedOn w:val="aff0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30">
    <w:name w:val="Стиль13"/>
    <w:basedOn w:val="aff0"/>
    <w:rsid w:val="008F149C"/>
    <w:pPr>
      <w:keepNext w:val="0"/>
      <w:tabs>
        <w:tab w:val="left" w:pos="720"/>
      </w:tabs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40">
    <w:name w:val="Стиль14"/>
    <w:basedOn w:val="aff0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sz w:val="24"/>
      <w:lang w:val="uk-UA" w:eastAsia="ru-RU"/>
    </w:rPr>
  </w:style>
  <w:style w:type="paragraph" w:customStyle="1" w:styleId="150">
    <w:name w:val="Стиль15"/>
    <w:basedOn w:val="aff0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sz w:val="24"/>
      <w:lang w:val="uk-UA" w:eastAsia="ru-RU"/>
    </w:rPr>
  </w:style>
  <w:style w:type="paragraph" w:customStyle="1" w:styleId="160">
    <w:name w:val="Стиль16"/>
    <w:basedOn w:val="aff0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70">
    <w:name w:val="Стиль17"/>
    <w:basedOn w:val="aff0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80">
    <w:name w:val="Стиль18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190">
    <w:name w:val="Стиль19"/>
    <w:basedOn w:val="aff0"/>
    <w:rsid w:val="008F149C"/>
    <w:pPr>
      <w:keepNext w:val="0"/>
      <w:shd w:val="clear" w:color="auto" w:fill="FFFFFF"/>
      <w:suppressAutoHyphens w:val="0"/>
      <w:spacing w:before="65" w:after="60" w:line="360" w:lineRule="auto"/>
      <w:ind w:firstLine="48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00">
    <w:name w:val="Стиль20"/>
    <w:basedOn w:val="aff0"/>
    <w:rsid w:val="008F149C"/>
    <w:pPr>
      <w:keepNext w:val="0"/>
      <w:shd w:val="clear" w:color="auto" w:fill="FFFFFF"/>
      <w:suppressAutoHyphens w:val="0"/>
      <w:spacing w:before="65" w:after="60" w:line="360" w:lineRule="auto"/>
      <w:ind w:firstLine="48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16">
    <w:name w:val="Стиль21"/>
    <w:basedOn w:val="10"/>
    <w:rsid w:val="008F149C"/>
    <w:pPr>
      <w:tabs>
        <w:tab w:val="left" w:pos="4360"/>
        <w:tab w:val="center" w:pos="5342"/>
      </w:tabs>
      <w:spacing w:before="240" w:after="60" w:line="360" w:lineRule="auto"/>
      <w:ind w:firstLine="480"/>
      <w:jc w:val="center"/>
    </w:pPr>
    <w:rPr>
      <w:rFonts w:eastAsia="Times New Roman" w:cs="Arial"/>
      <w:bCs/>
      <w:kern w:val="32"/>
      <w:szCs w:val="28"/>
    </w:rPr>
  </w:style>
  <w:style w:type="paragraph" w:customStyle="1" w:styleId="223">
    <w:name w:val="Стиль22"/>
    <w:basedOn w:val="aff0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31">
    <w:name w:val="Стиль23"/>
    <w:basedOn w:val="aff0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40">
    <w:name w:val="Стиль24"/>
    <w:basedOn w:val="aff0"/>
    <w:rsid w:val="008F149C"/>
    <w:pPr>
      <w:keepNext w:val="0"/>
      <w:suppressAutoHyphens w:val="0"/>
      <w:spacing w:before="0" w:after="6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50">
    <w:name w:val="Стиль25"/>
    <w:basedOn w:val="aff0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60">
    <w:name w:val="Стиль26"/>
    <w:basedOn w:val="10"/>
    <w:rsid w:val="008F149C"/>
    <w:pPr>
      <w:spacing w:before="240" w:after="60" w:line="360" w:lineRule="auto"/>
      <w:ind w:firstLine="902"/>
      <w:jc w:val="center"/>
    </w:pPr>
    <w:rPr>
      <w:rFonts w:eastAsia="Times New Roman" w:cs="Arial"/>
      <w:bCs/>
      <w:kern w:val="32"/>
      <w:szCs w:val="28"/>
    </w:rPr>
  </w:style>
  <w:style w:type="paragraph" w:customStyle="1" w:styleId="270">
    <w:name w:val="Стиль27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80">
    <w:name w:val="Стиль28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eastAsia="ru-RU"/>
    </w:rPr>
  </w:style>
  <w:style w:type="paragraph" w:customStyle="1" w:styleId="290">
    <w:name w:val="Стиль29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eastAsia="ru-RU"/>
    </w:rPr>
  </w:style>
  <w:style w:type="paragraph" w:customStyle="1" w:styleId="300">
    <w:name w:val="Стиль30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16">
    <w:name w:val="Стиль31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21">
    <w:name w:val="Стиль32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30">
    <w:name w:val="Стиль33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41">
    <w:name w:val="Стиль34"/>
    <w:basedOn w:val="aff0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50">
    <w:name w:val="Стиль35"/>
    <w:basedOn w:val="aff0"/>
    <w:rsid w:val="008F149C"/>
    <w:pPr>
      <w:keepNext w:val="0"/>
      <w:tabs>
        <w:tab w:val="num" w:pos="0"/>
        <w:tab w:val="num" w:pos="360"/>
      </w:tabs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60">
    <w:name w:val="Стиль36"/>
    <w:basedOn w:val="aff0"/>
    <w:rsid w:val="008F149C"/>
    <w:pPr>
      <w:keepNext w:val="0"/>
      <w:tabs>
        <w:tab w:val="num" w:pos="0"/>
        <w:tab w:val="left" w:pos="360"/>
        <w:tab w:val="left" w:pos="540"/>
        <w:tab w:val="left" w:pos="720"/>
      </w:tabs>
      <w:suppressAutoHyphens w:val="0"/>
      <w:spacing w:before="0" w:after="60" w:line="360" w:lineRule="auto"/>
      <w:ind w:right="-55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7">
    <w:name w:val="Стиль37"/>
    <w:basedOn w:val="aff0"/>
    <w:rsid w:val="008F149C"/>
    <w:pPr>
      <w:keepNext w:val="0"/>
      <w:numPr>
        <w:ilvl w:val="1"/>
        <w:numId w:val="10"/>
      </w:numPr>
      <w:shd w:val="clear" w:color="auto" w:fill="FFFFFF"/>
      <w:suppressAutoHyphens w:val="0"/>
      <w:spacing w:before="65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80">
    <w:name w:val="Стиль38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390">
    <w:name w:val="Стиль39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400">
    <w:name w:val="Стиль40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  <w:lang w:val="ru-RU"/>
    </w:rPr>
  </w:style>
  <w:style w:type="paragraph" w:customStyle="1" w:styleId="411">
    <w:name w:val="Стиль41"/>
    <w:basedOn w:val="10"/>
    <w:rsid w:val="008F149C"/>
    <w:pPr>
      <w:spacing w:before="240" w:after="60" w:line="360" w:lineRule="auto"/>
      <w:ind w:left="360"/>
      <w:jc w:val="center"/>
    </w:pPr>
    <w:rPr>
      <w:rFonts w:eastAsia="Times New Roman" w:cs="Arial"/>
      <w:bCs/>
      <w:kern w:val="32"/>
      <w:szCs w:val="28"/>
    </w:rPr>
  </w:style>
  <w:style w:type="paragraph" w:customStyle="1" w:styleId="420">
    <w:name w:val="Стиль42"/>
    <w:basedOn w:val="10"/>
    <w:rsid w:val="008F149C"/>
    <w:pPr>
      <w:spacing w:before="240" w:after="60" w:line="360" w:lineRule="auto"/>
      <w:ind w:left="360"/>
      <w:jc w:val="center"/>
    </w:pPr>
    <w:rPr>
      <w:rFonts w:eastAsia="Times New Roman" w:cs="Arial"/>
      <w:bCs/>
      <w:kern w:val="32"/>
      <w:szCs w:val="28"/>
    </w:rPr>
  </w:style>
  <w:style w:type="paragraph" w:customStyle="1" w:styleId="430">
    <w:name w:val="Стиль43"/>
    <w:basedOn w:val="a1"/>
    <w:rsid w:val="008F149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4">
    <w:name w:val="Стиль44"/>
    <w:basedOn w:val="a1"/>
    <w:rsid w:val="008F149C"/>
    <w:pPr>
      <w:spacing w:after="0" w:line="360" w:lineRule="auto"/>
      <w:ind w:firstLine="720"/>
    </w:pPr>
    <w:rPr>
      <w:rFonts w:ascii="Times New Roman" w:eastAsia="Times New Roman" w:hAnsi="Times New Roman" w:cs="Times New Roman"/>
      <w:i/>
      <w:sz w:val="28"/>
      <w:szCs w:val="28"/>
      <w:lang w:val="uk-UA" w:eastAsia="ru-RU"/>
    </w:rPr>
  </w:style>
  <w:style w:type="paragraph" w:customStyle="1" w:styleId="45">
    <w:name w:val="Стиль45"/>
    <w:basedOn w:val="a1"/>
    <w:rsid w:val="008F149C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6">
    <w:name w:val="Стиль46"/>
    <w:basedOn w:val="a1"/>
    <w:rsid w:val="008F14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7">
    <w:name w:val="Стиль47"/>
    <w:basedOn w:val="a1"/>
    <w:rsid w:val="008F149C"/>
    <w:pPr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8">
    <w:name w:val="Стиль48"/>
    <w:basedOn w:val="a1"/>
    <w:rsid w:val="008F149C"/>
    <w:pPr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9">
    <w:name w:val="Стиль49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styleId="4a">
    <w:name w:val="toc 4"/>
    <w:basedOn w:val="a1"/>
    <w:next w:val="a1"/>
    <w:autoRedefine/>
    <w:uiPriority w:val="39"/>
    <w:rsid w:val="008F14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toc 5"/>
    <w:basedOn w:val="a1"/>
    <w:next w:val="a1"/>
    <w:autoRedefine/>
    <w:uiPriority w:val="39"/>
    <w:rsid w:val="008F149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3">
    <w:name w:val="toc 6"/>
    <w:basedOn w:val="a1"/>
    <w:next w:val="a1"/>
    <w:autoRedefine/>
    <w:uiPriority w:val="39"/>
    <w:rsid w:val="008F149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4">
    <w:name w:val="toc 7"/>
    <w:basedOn w:val="a1"/>
    <w:next w:val="a1"/>
    <w:autoRedefine/>
    <w:uiPriority w:val="39"/>
    <w:rsid w:val="008F149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toc 8"/>
    <w:basedOn w:val="a1"/>
    <w:next w:val="a1"/>
    <w:autoRedefine/>
    <w:uiPriority w:val="39"/>
    <w:rsid w:val="008F149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3">
    <w:name w:val="toc 9"/>
    <w:basedOn w:val="a1"/>
    <w:next w:val="a1"/>
    <w:autoRedefine/>
    <w:uiPriority w:val="39"/>
    <w:rsid w:val="008F149C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7">
    <w:name w:val="Без интервала Знак"/>
    <w:basedOn w:val="a2"/>
    <w:rsid w:val="008F149C"/>
    <w:rPr>
      <w:rFonts w:ascii="Calibri" w:hAnsi="Calibri"/>
      <w:sz w:val="22"/>
      <w:szCs w:val="22"/>
      <w:lang w:val="ru-RU" w:eastAsia="en-US" w:bidi="ar-SA"/>
    </w:rPr>
  </w:style>
  <w:style w:type="paragraph" w:customStyle="1" w:styleId="500">
    <w:name w:val="Стиль50"/>
    <w:basedOn w:val="a1"/>
    <w:rsid w:val="008F149C"/>
    <w:pPr>
      <w:spacing w:after="0" w:line="360" w:lineRule="auto"/>
      <w:ind w:firstLine="900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510">
    <w:name w:val="Стиль51"/>
    <w:basedOn w:val="a1"/>
    <w:rsid w:val="008F14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diser">
    <w:name w:val="diser"/>
    <w:basedOn w:val="a6"/>
    <w:rsid w:val="00964063"/>
    <w:pPr>
      <w:widowControl w:val="0"/>
      <w:suppressAutoHyphens w:val="0"/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 w:cs="Times New Roman"/>
      <w:sz w:val="24"/>
      <w:lang w:val="uk-UA" w:eastAsia="ru-RU"/>
    </w:rPr>
  </w:style>
  <w:style w:type="paragraph" w:customStyle="1" w:styleId="64">
    <w:name w:val="заголовок 6"/>
    <w:basedOn w:val="a1"/>
    <w:next w:val="a1"/>
    <w:rsid w:val="00B43775"/>
    <w:pPr>
      <w:keepNext/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5">
    <w:name w:val="заголовок 7"/>
    <w:basedOn w:val="a1"/>
    <w:next w:val="a1"/>
    <w:rsid w:val="00B4377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94">
    <w:name w:val="заголовок 9"/>
    <w:basedOn w:val="a1"/>
    <w:next w:val="a1"/>
    <w:rsid w:val="00B43775"/>
    <w:pPr>
      <w:keepNext/>
      <w:autoSpaceDE w:val="0"/>
      <w:autoSpaceDN w:val="0"/>
      <w:spacing w:after="0" w:line="360" w:lineRule="exact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afffff8">
    <w:name w:val="заголовок таблицы Знак Знак"/>
    <w:basedOn w:val="a1"/>
    <w:link w:val="afffff9"/>
    <w:qFormat/>
    <w:rsid w:val="0007066E"/>
    <w:pPr>
      <w:tabs>
        <w:tab w:val="left" w:pos="1875"/>
      </w:tabs>
      <w:spacing w:after="0" w:line="360" w:lineRule="auto"/>
      <w:jc w:val="right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afffff9">
    <w:name w:val="заголовок таблицы Знак Знак Знак"/>
    <w:basedOn w:val="a2"/>
    <w:link w:val="afffff8"/>
    <w:rsid w:val="0007066E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fffffa">
    <w:name w:val="фото Знак Знак"/>
    <w:basedOn w:val="a1"/>
    <w:link w:val="afffffb"/>
    <w:qFormat/>
    <w:rsid w:val="000706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фото Знак Знак Знак"/>
    <w:basedOn w:val="a2"/>
    <w:link w:val="afffffa"/>
    <w:rsid w:val="00070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7">
    <w:name w:val="фото2 Знак Знак"/>
    <w:basedOn w:val="a1"/>
    <w:link w:val="2f8"/>
    <w:qFormat/>
    <w:rsid w:val="0007066E"/>
    <w:pPr>
      <w:spacing w:after="0" w:line="360" w:lineRule="auto"/>
      <w:ind w:firstLine="42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f8">
    <w:name w:val="фото2 Знак Знак Знак"/>
    <w:basedOn w:val="a2"/>
    <w:link w:val="2f7"/>
    <w:rsid w:val="000706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c">
    <w:name w:val="фото"/>
    <w:basedOn w:val="a1"/>
    <w:rsid w:val="000706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1"/>
    <w:rsid w:val="004E3B62"/>
    <w:pPr>
      <w:spacing w:before="100" w:beforeAutospacing="1" w:after="0" w:line="240" w:lineRule="auto"/>
      <w:ind w:left="825"/>
    </w:pPr>
    <w:rPr>
      <w:rFonts w:ascii="Times New Roman" w:eastAsia="Times New Roman" w:hAnsi="Times New Roman" w:cs="Times New Roman"/>
      <w:lang w:eastAsia="ru-RU"/>
    </w:rPr>
  </w:style>
  <w:style w:type="paragraph" w:customStyle="1" w:styleId="authors1">
    <w:name w:val="authors1"/>
    <w:basedOn w:val="a1"/>
    <w:rsid w:val="004E3B62"/>
    <w:pPr>
      <w:spacing w:before="72" w:after="0" w:line="240" w:lineRule="atLeast"/>
      <w:ind w:left="825"/>
    </w:pPr>
    <w:rPr>
      <w:rFonts w:ascii="Times New Roman" w:eastAsia="Times New Roman" w:hAnsi="Times New Roman" w:cs="Times New Roman"/>
      <w:lang w:eastAsia="ru-RU"/>
    </w:rPr>
  </w:style>
  <w:style w:type="paragraph" w:customStyle="1" w:styleId="source1">
    <w:name w:val="source1"/>
    <w:basedOn w:val="a1"/>
    <w:rsid w:val="004E3B62"/>
    <w:pPr>
      <w:spacing w:before="120" w:after="0" w:line="240" w:lineRule="atLeast"/>
      <w:ind w:left="82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rmal">
    <w:name w:val="Normal"/>
    <w:rsid w:val="000C2FE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HTML3">
    <w:name w:val="HTML Address"/>
    <w:basedOn w:val="a1"/>
    <w:link w:val="HTML4"/>
    <w:rsid w:val="00A529DA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  <w:lang w:eastAsia="ru-RU"/>
    </w:rPr>
  </w:style>
  <w:style w:type="character" w:customStyle="1" w:styleId="HTML4">
    <w:name w:val="Адрес HTML Знак"/>
    <w:basedOn w:val="a2"/>
    <w:link w:val="HTML3"/>
    <w:rsid w:val="00A529DA"/>
    <w:rPr>
      <w:rFonts w:ascii="Times New Roman" w:eastAsia="Times New Roman" w:hAnsi="Times New Roman" w:cs="Times New Roman"/>
      <w:i/>
      <w:iCs/>
      <w:color w:val="333333"/>
      <w:sz w:val="24"/>
      <w:szCs w:val="24"/>
      <w:lang w:eastAsia="ru-RU"/>
    </w:rPr>
  </w:style>
  <w:style w:type="character" w:customStyle="1" w:styleId="hissue1">
    <w:name w:val="hissue1"/>
    <w:basedOn w:val="a2"/>
    <w:rsid w:val="00A529DA"/>
    <w:rPr>
      <w:b/>
      <w:bCs/>
      <w:color w:val="999999"/>
      <w:sz w:val="16"/>
      <w:szCs w:val="16"/>
    </w:rPr>
  </w:style>
  <w:style w:type="character" w:customStyle="1" w:styleId="citation-abbreviation3">
    <w:name w:val="citation-abbreviation3"/>
    <w:basedOn w:val="a2"/>
    <w:rsid w:val="00A529DA"/>
  </w:style>
  <w:style w:type="character" w:customStyle="1" w:styleId="ref-title">
    <w:name w:val="ref-title"/>
    <w:basedOn w:val="a2"/>
    <w:rsid w:val="00A529DA"/>
  </w:style>
  <w:style w:type="character" w:customStyle="1" w:styleId="ref-journal1">
    <w:name w:val="ref-journal1"/>
    <w:basedOn w:val="a2"/>
    <w:rsid w:val="00A529DA"/>
    <w:rPr>
      <w:i/>
      <w:iCs/>
    </w:rPr>
  </w:style>
  <w:style w:type="paragraph" w:customStyle="1" w:styleId="afffffd">
    <w:name w:val="Дисс"/>
    <w:basedOn w:val="a1"/>
    <w:rsid w:val="003B05B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tmapper.com/cgi_bin/ef.cgi?pg=sb&amp;X=x%7Chf&amp;B=Cleland%20JG" TargetMode="Externa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ydisser.com/search.html" TargetMode="Externa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sites/entrez?Db=pubmed&amp;Cmd=Search&amp;Term=%22Colucci%20WS%22%5BAuthor%5D&amp;itool=EntrezSystem2.PEntrez.Pubmed.Pubmed_ResultsPanel.Pubmed_DiscoveryPanel.Pubmed_RVAbstractPlu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ncbi.nlm.nih.gov/sites/entrez?Db=pubmed&amp;Cmd=Search&amp;Term=%22Dargie%20HJ%22%5BAuthor%5D&amp;itool=EntrezSystem2.PEntrez.Pubmed.Pubmed_ResultsPanel.Pubmed_DiscoveryPanel.Pubmed_RVAbstractPlu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xpertmapper.com/cgi_bin/ef.cgi?pg=sb&amp;X=x%7Chf&amp;B=Cleland%20JG" TargetMode="External"/><Relationship Id="rId14" Type="http://schemas.openxmlformats.org/officeDocument/2006/relationships/hyperlink" Target="http://www.mydisser.com/search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999" b="1" i="0" u="none" strike="noStrike" baseline="0">
                <a:solidFill>
                  <a:srgbClr val="000000"/>
                </a:solidFill>
                <a:latin typeface="Arial Cyr"/>
                <a:cs typeface="Arial Cyr"/>
              </a:rPr>
              <a:t>                         </a:t>
            </a:r>
            <a:r>
              <a:rPr lang="ru-RU" sz="799" b="1" i="0" u="none" strike="noStrike" baseline="0">
                <a:solidFill>
                  <a:srgbClr val="000000"/>
                </a:solidFill>
                <a:latin typeface="Arial Cyr"/>
                <a:cs typeface="Arial Cyr"/>
              </a:rPr>
              <a:t> ДКМП                                        ХМ</a:t>
            </a:r>
          </a:p>
        </c:rich>
      </c:tx>
      <c:layout>
        <c:manualLayout>
          <c:xMode val="edge"/>
          <c:yMode val="edge"/>
          <c:x val="0.24929178470254953"/>
          <c:y val="2.0547945205479447E-2"/>
        </c:manualLayout>
      </c:layout>
      <c:overlay val="0"/>
      <c:spPr>
        <a:noFill/>
        <a:ln w="2537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2011331444759206"/>
          <c:y val="0.13013698630136983"/>
          <c:w val="0.66288951841359778"/>
          <c:h val="0.477168949771689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Важкий (97 і більше)</c:v>
                </c:pt>
              </c:strCache>
            </c:strRef>
          </c:tx>
          <c:spPr>
            <a:solidFill>
              <a:srgbClr val="000000"/>
            </a:solidFill>
            <a:ln w="253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100</c:v>
                </c:pt>
                <c:pt idx="1">
                  <c:v>87.5</c:v>
                </c:pt>
                <c:pt idx="2">
                  <c:v>100</c:v>
                </c:pt>
                <c:pt idx="3">
                  <c:v>87.5</c:v>
                </c:pt>
                <c:pt idx="4">
                  <c:v>100</c:v>
                </c:pt>
                <c:pt idx="5">
                  <c:v>56.7</c:v>
                </c:pt>
                <c:pt idx="6">
                  <c:v>27.3</c:v>
                </c:pt>
                <c:pt idx="7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Середній (87-96)</c:v>
                </c:pt>
              </c:strCache>
            </c:strRef>
          </c:tx>
          <c:spPr>
            <a:pattFill prst="dkHorz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253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0</c:v>
                </c:pt>
                <c:pt idx="1">
                  <c:v>12.5</c:v>
                </c:pt>
                <c:pt idx="2">
                  <c:v>0</c:v>
                </c:pt>
                <c:pt idx="3">
                  <c:v>12.5</c:v>
                </c:pt>
                <c:pt idx="4">
                  <c:v>0</c:v>
                </c:pt>
                <c:pt idx="5">
                  <c:v>20</c:v>
                </c:pt>
                <c:pt idx="6">
                  <c:v>22.7</c:v>
                </c:pt>
                <c:pt idx="7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Помірний (76-86)</c:v>
                </c:pt>
              </c:strCache>
            </c:strRef>
          </c:tx>
          <c:spPr>
            <a:solidFill>
              <a:srgbClr val="C0C0C0"/>
            </a:solidFill>
            <a:ln w="253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13.3</c:v>
                </c:pt>
                <c:pt idx="6">
                  <c:v>22.7</c:v>
                </c:pt>
                <c:pt idx="7">
                  <c:v>25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Норма (35-75) </c:v>
                </c:pt>
              </c:strCache>
            </c:strRef>
          </c:tx>
          <c:spPr>
            <a:solidFill>
              <a:srgbClr val="FFFFFF"/>
            </a:solidFill>
            <a:ln w="253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</c:strCache>
            </c:strRef>
          </c:cat>
          <c:val>
            <c:numRef>
              <c:f>Sheet1!$B$5:$I$5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10</c:v>
                </c:pt>
                <c:pt idx="6">
                  <c:v>27.2</c:v>
                </c:pt>
                <c:pt idx="7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25288640"/>
        <c:axId val="529686800"/>
      </c:barChart>
      <c:catAx>
        <c:axId val="525288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29686800"/>
        <c:crosses val="autoZero"/>
        <c:auto val="1"/>
        <c:lblAlgn val="ctr"/>
        <c:lblOffset val="100"/>
        <c:tickMarkSkip val="1"/>
        <c:noMultiLvlLbl val="0"/>
      </c:catAx>
      <c:valAx>
        <c:axId val="529686800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252886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2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268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9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                    ДКМП                                      ХМ</a:t>
            </a:r>
          </a:p>
        </c:rich>
      </c:tx>
      <c:layout>
        <c:manualLayout>
          <c:xMode val="edge"/>
          <c:yMode val="edge"/>
          <c:x val="0.2857142857142857"/>
          <c:y val="2.0044543429844099E-2"/>
        </c:manualLayout>
      </c:layout>
      <c:overlay val="0"/>
      <c:spPr>
        <a:noFill/>
        <a:ln w="2537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0812324929971985"/>
          <c:y val="0.1380846325167038"/>
          <c:w val="0.6736694677871149"/>
          <c:h val="0.47884187082405349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Важкий (менше 30)</c:v>
                </c:pt>
              </c:strCache>
            </c:strRef>
          </c:tx>
          <c:spPr>
            <a:solidFill>
              <a:srgbClr val="000000"/>
            </a:solidFill>
            <a:ln w="253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22.7</c:v>
                </c:pt>
                <c:pt idx="1">
                  <c:v>12.5</c:v>
                </c:pt>
                <c:pt idx="2">
                  <c:v>9.1</c:v>
                </c:pt>
                <c:pt idx="3">
                  <c:v>12.5</c:v>
                </c:pt>
                <c:pt idx="4">
                  <c:v>12.8</c:v>
                </c:pt>
                <c:pt idx="5">
                  <c:v>6.3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Середній (30-44)</c:v>
                </c:pt>
              </c:strCache>
            </c:strRef>
          </c:tx>
          <c:spPr>
            <a:pattFill prst="dkHorz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253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77.3</c:v>
                </c:pt>
                <c:pt idx="1">
                  <c:v>62.5</c:v>
                </c:pt>
                <c:pt idx="2">
                  <c:v>54.6</c:v>
                </c:pt>
                <c:pt idx="3">
                  <c:v>75</c:v>
                </c:pt>
                <c:pt idx="4">
                  <c:v>87.2</c:v>
                </c:pt>
                <c:pt idx="5">
                  <c:v>28.1</c:v>
                </c:pt>
                <c:pt idx="6">
                  <c:v>18.2</c:v>
                </c:pt>
                <c:pt idx="7">
                  <c:v>4.8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Помірний (45-54)</c:v>
                </c:pt>
              </c:strCache>
            </c:strRef>
          </c:tx>
          <c:spPr>
            <a:solidFill>
              <a:srgbClr val="C0C0C0"/>
            </a:solidFill>
            <a:ln w="253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  <c:pt idx="0">
                  <c:v>0</c:v>
                </c:pt>
                <c:pt idx="1">
                  <c:v>25</c:v>
                </c:pt>
                <c:pt idx="2">
                  <c:v>36.299999999999997</c:v>
                </c:pt>
                <c:pt idx="3">
                  <c:v>12.5</c:v>
                </c:pt>
                <c:pt idx="4">
                  <c:v>0</c:v>
                </c:pt>
                <c:pt idx="5">
                  <c:v>34.4</c:v>
                </c:pt>
                <c:pt idx="6">
                  <c:v>27.3</c:v>
                </c:pt>
                <c:pt idx="7">
                  <c:v>42.9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Норма (55 і більше) </c:v>
                </c:pt>
              </c:strCache>
            </c:strRef>
          </c:tx>
          <c:spPr>
            <a:solidFill>
              <a:srgbClr val="FFFFFF"/>
            </a:solidFill>
            <a:ln w="253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</c:strCache>
            </c:strRef>
          </c:cat>
          <c:val>
            <c:numRef>
              <c:f>Sheet1!$B$5:$I$5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31.2</c:v>
                </c:pt>
                <c:pt idx="6">
                  <c:v>54.5</c:v>
                </c:pt>
                <c:pt idx="7">
                  <c:v>52.3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24257552"/>
        <c:axId val="324256432"/>
      </c:barChart>
      <c:catAx>
        <c:axId val="324257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24256432"/>
        <c:crosses val="autoZero"/>
        <c:auto val="1"/>
        <c:lblAlgn val="ctr"/>
        <c:lblOffset val="100"/>
        <c:tickMarkSkip val="1"/>
        <c:noMultiLvlLbl val="0"/>
      </c:catAx>
      <c:valAx>
        <c:axId val="324256432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242575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2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2687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9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35</Pages>
  <Words>10148</Words>
  <Characters>57845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141</cp:revision>
  <dcterms:created xsi:type="dcterms:W3CDTF">2015-05-26T12:20:00Z</dcterms:created>
  <dcterms:modified xsi:type="dcterms:W3CDTF">2015-05-27T07:26:00Z</dcterms:modified>
</cp:coreProperties>
</file>