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840" w:rsidRPr="00A16840" w:rsidRDefault="00A16840" w:rsidP="00A16840">
      <w:pPr>
        <w:widowControl/>
        <w:tabs>
          <w:tab w:val="clear" w:pos="709"/>
        </w:tabs>
        <w:suppressAutoHyphens w:val="0"/>
        <w:spacing w:after="0" w:line="240" w:lineRule="auto"/>
        <w:ind w:firstLine="0"/>
        <w:contextualSpacing/>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МІНІСТЕРСТВО ОСВІТИ І НАУКИ УКРАЇНИ</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МАРІУПОЛЬСЬКИЙ ДЕРЖАВНИЙ УНІВЕРСИТЕТ</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ГАСАНОВ МАГОМЕД МАГОМЕДОВИЧ</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left="2124" w:firstLine="708"/>
        <w:jc w:val="right"/>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УДК 336.71.009.17(5-69:297:100)(043.3)</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 xml:space="preserve">ІМПЛЕМЕНТАЦІЯ ПРИНЦИПІВ ІСЛАМСЬКОГО БАНКІНГУ </w:t>
      </w:r>
    </w:p>
    <w:p w:rsidR="00A16840" w:rsidRPr="00A16840" w:rsidRDefault="00A16840" w:rsidP="00A16840">
      <w:pPr>
        <w:widowControl/>
        <w:tabs>
          <w:tab w:val="clear" w:pos="709"/>
        </w:tabs>
        <w:suppressAutoHyphens w:val="0"/>
        <w:spacing w:after="0" w:line="240" w:lineRule="auto"/>
        <w:ind w:firstLine="0"/>
        <w:contextualSpacing/>
        <w:jc w:val="center"/>
        <w:rPr>
          <w:rFonts w:ascii="Times New Roman" w:eastAsia="Times New Roman" w:hAnsi="Times New Roman" w:cs="Times New Roman"/>
          <w:b/>
          <w:caps/>
          <w:kern w:val="0"/>
          <w:sz w:val="28"/>
          <w:szCs w:val="28"/>
          <w:lang w:val="uk-UA" w:eastAsia="en-US"/>
        </w:rPr>
      </w:pPr>
      <w:r w:rsidRPr="00A16840">
        <w:rPr>
          <w:rFonts w:ascii="Times New Roman" w:eastAsia="Times New Roman" w:hAnsi="Times New Roman" w:cs="Times New Roman"/>
          <w:b/>
          <w:kern w:val="0"/>
          <w:sz w:val="28"/>
          <w:szCs w:val="28"/>
          <w:lang w:val="uk-UA" w:eastAsia="en-US"/>
        </w:rPr>
        <w:t>ЯК НАПРЯМ НИЗЬКОРИЗИКОВОГО ФУНКЦІОНУВАННЯ ТРАДИЦІЙНИХ БАНКІВСЬКИХ СИСТЕМ</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Спеціальність 08.00.02 – світове господарство</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і міжнародні економічні відносини</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АВТОРЕФЕРАТ</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дисертації на здобуття наукового ступеня</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кандидата економічних наук</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i/>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Маріуполь – 2014</w:t>
      </w:r>
    </w:p>
    <w:p w:rsidR="00A16840" w:rsidRPr="00A16840" w:rsidRDefault="00A16840" w:rsidP="00A16840">
      <w:pPr>
        <w:widowControl/>
        <w:tabs>
          <w:tab w:val="clear" w:pos="709"/>
        </w:tabs>
        <w:suppressAutoHyphens w:val="0"/>
        <w:spacing w:after="0" w:line="240" w:lineRule="auto"/>
        <w:ind w:firstLine="708"/>
        <w:jc w:val="left"/>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br w:type="page"/>
        <w:t>Дисертацією є рукопис.</w:t>
      </w:r>
    </w:p>
    <w:p w:rsidR="00A16840" w:rsidRPr="00A16840" w:rsidRDefault="00A16840" w:rsidP="00A16840">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Роботу виконано у відділі міжнародних валютно-кредитних відносин Інституту світової економіки і міжнародних відносин Національної академії наук України.</w:t>
      </w:r>
    </w:p>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
          <w:kern w:val="0"/>
          <w:sz w:val="28"/>
          <w:szCs w:val="28"/>
          <w:lang w:val="uk-UA" w:eastAsia="en-US"/>
        </w:rPr>
        <w:t>Науковий керівник:</w:t>
      </w:r>
      <w:r w:rsidRPr="00A16840">
        <w:rPr>
          <w:rFonts w:ascii="Times New Roman" w:eastAsia="Times New Roman" w:hAnsi="Times New Roman" w:cs="Times New Roman"/>
          <w:kern w:val="0"/>
          <w:sz w:val="28"/>
          <w:szCs w:val="28"/>
          <w:lang w:val="uk-UA" w:eastAsia="en-US"/>
        </w:rPr>
        <w:t xml:space="preserve"> </w:t>
      </w:r>
      <w:r w:rsidRPr="00A16840">
        <w:rPr>
          <w:rFonts w:ascii="Times New Roman" w:eastAsia="Times New Roman" w:hAnsi="Times New Roman" w:cs="Times New Roman"/>
          <w:kern w:val="0"/>
          <w:sz w:val="28"/>
          <w:szCs w:val="28"/>
          <w:lang w:val="uk-UA" w:eastAsia="en-US"/>
        </w:rPr>
        <w:tab/>
        <w:t>кандидат економічних наук, доцент</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 xml:space="preserve">                                     </w:t>
      </w:r>
      <w:r w:rsidRPr="00A16840">
        <w:rPr>
          <w:rFonts w:ascii="Times New Roman" w:eastAsia="Times New Roman" w:hAnsi="Times New Roman" w:cs="Times New Roman"/>
          <w:b/>
          <w:kern w:val="0"/>
          <w:sz w:val="28"/>
          <w:szCs w:val="28"/>
          <w:lang w:val="uk-UA" w:eastAsia="en-US"/>
        </w:rPr>
        <w:tab/>
        <w:t>Рубцова Марина Юріївна,</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bCs/>
          <w:iCs/>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                                     </w:t>
      </w:r>
      <w:r w:rsidRPr="00A16840">
        <w:rPr>
          <w:rFonts w:ascii="Times New Roman" w:eastAsia="Times New Roman" w:hAnsi="Times New Roman" w:cs="Times New Roman"/>
          <w:kern w:val="0"/>
          <w:sz w:val="28"/>
          <w:szCs w:val="28"/>
          <w:lang w:val="uk-UA" w:eastAsia="en-US"/>
        </w:rPr>
        <w:tab/>
      </w:r>
      <w:r w:rsidRPr="00A16840">
        <w:rPr>
          <w:rFonts w:ascii="Times New Roman" w:eastAsia="Times New Roman" w:hAnsi="Times New Roman" w:cs="Times New Roman"/>
          <w:bCs/>
          <w:iCs/>
          <w:kern w:val="0"/>
          <w:sz w:val="28"/>
          <w:szCs w:val="28"/>
          <w:lang w:val="uk-UA" w:eastAsia="en-US"/>
        </w:rPr>
        <w:t xml:space="preserve">Інститут міжнародних відносин </w:t>
      </w:r>
    </w:p>
    <w:p w:rsidR="00A16840" w:rsidRPr="00A16840" w:rsidRDefault="00A16840" w:rsidP="00A16840">
      <w:pPr>
        <w:widowControl/>
        <w:tabs>
          <w:tab w:val="clear" w:pos="709"/>
        </w:tabs>
        <w:suppressAutoHyphens w:val="0"/>
        <w:spacing w:after="0" w:line="240" w:lineRule="auto"/>
        <w:ind w:left="2124" w:firstLine="708"/>
        <w:contextualSpacing/>
        <w:rPr>
          <w:rFonts w:ascii="Times New Roman" w:eastAsia="Times New Roman" w:hAnsi="Times New Roman" w:cs="Times New Roman"/>
          <w:bCs/>
          <w:iCs/>
          <w:kern w:val="0"/>
          <w:sz w:val="28"/>
          <w:szCs w:val="28"/>
          <w:lang w:val="uk-UA" w:eastAsia="en-US"/>
        </w:rPr>
      </w:pPr>
      <w:r w:rsidRPr="00A16840">
        <w:rPr>
          <w:rFonts w:ascii="Times New Roman" w:eastAsia="Times New Roman" w:hAnsi="Times New Roman" w:cs="Times New Roman"/>
          <w:bCs/>
          <w:iCs/>
          <w:kern w:val="0"/>
          <w:sz w:val="28"/>
          <w:szCs w:val="28"/>
          <w:lang w:val="uk-UA" w:eastAsia="en-US"/>
        </w:rPr>
        <w:t xml:space="preserve">Київського національного університету </w:t>
      </w:r>
    </w:p>
    <w:p w:rsidR="00A16840" w:rsidRPr="00A16840" w:rsidRDefault="00A16840" w:rsidP="00A16840">
      <w:pPr>
        <w:widowControl/>
        <w:tabs>
          <w:tab w:val="clear" w:pos="709"/>
        </w:tabs>
        <w:suppressAutoHyphens w:val="0"/>
        <w:spacing w:after="0" w:line="240" w:lineRule="auto"/>
        <w:ind w:left="2124" w:firstLine="708"/>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Cs/>
          <w:iCs/>
          <w:kern w:val="0"/>
          <w:sz w:val="28"/>
          <w:szCs w:val="28"/>
          <w:lang w:val="uk-UA" w:eastAsia="en-US"/>
        </w:rPr>
        <w:t>імені Тараса Шевченка</w:t>
      </w:r>
      <w:r w:rsidRPr="00A16840">
        <w:rPr>
          <w:rFonts w:ascii="Times New Roman" w:eastAsia="Times New Roman" w:hAnsi="Times New Roman" w:cs="Times New Roman"/>
          <w:kern w:val="0"/>
          <w:sz w:val="28"/>
          <w:szCs w:val="28"/>
          <w:lang w:val="uk-UA" w:eastAsia="en-US"/>
        </w:rPr>
        <w:t xml:space="preserve">                                     </w:t>
      </w:r>
      <w:r w:rsidRPr="00A16840">
        <w:rPr>
          <w:rFonts w:ascii="Times New Roman" w:eastAsia="Times New Roman" w:hAnsi="Times New Roman" w:cs="Times New Roman"/>
          <w:kern w:val="0"/>
          <w:sz w:val="28"/>
          <w:szCs w:val="28"/>
          <w:lang w:val="uk-UA" w:eastAsia="en-US"/>
        </w:rPr>
        <w:tab/>
      </w:r>
    </w:p>
    <w:p w:rsidR="00A16840" w:rsidRPr="00A16840" w:rsidRDefault="00A16840" w:rsidP="00A16840">
      <w:pPr>
        <w:widowControl/>
        <w:tabs>
          <w:tab w:val="clear" w:pos="709"/>
        </w:tabs>
        <w:suppressAutoHyphens w:val="0"/>
        <w:spacing w:after="0" w:line="240" w:lineRule="auto"/>
        <w:ind w:left="2124" w:firstLine="708"/>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Міністерства освіти і науки України,</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                                     </w:t>
      </w:r>
      <w:r w:rsidRPr="00A16840">
        <w:rPr>
          <w:rFonts w:ascii="Times New Roman" w:eastAsia="Times New Roman" w:hAnsi="Times New Roman" w:cs="Times New Roman"/>
          <w:kern w:val="0"/>
          <w:sz w:val="28"/>
          <w:szCs w:val="28"/>
          <w:lang w:val="uk-UA" w:eastAsia="en-US"/>
        </w:rPr>
        <w:tab/>
        <w:t>доцент кафедри міжнародного бізнесу</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
          <w:kern w:val="0"/>
          <w:sz w:val="28"/>
          <w:szCs w:val="28"/>
          <w:lang w:val="uk-UA" w:eastAsia="en-US"/>
        </w:rPr>
        <w:t>Офіційні опоненти:</w:t>
      </w:r>
      <w:r w:rsidRPr="00A16840">
        <w:rPr>
          <w:rFonts w:ascii="Times New Roman" w:eastAsia="Times New Roman" w:hAnsi="Times New Roman" w:cs="Times New Roman"/>
          <w:kern w:val="0"/>
          <w:sz w:val="28"/>
          <w:szCs w:val="28"/>
          <w:lang w:val="uk-UA" w:eastAsia="en-US"/>
        </w:rPr>
        <w:t xml:space="preserve"> </w:t>
      </w:r>
      <w:r w:rsidRPr="00A16840">
        <w:rPr>
          <w:rFonts w:ascii="Times New Roman" w:eastAsia="Times New Roman" w:hAnsi="Times New Roman" w:cs="Times New Roman"/>
          <w:kern w:val="0"/>
          <w:sz w:val="28"/>
          <w:szCs w:val="28"/>
          <w:lang w:val="uk-UA" w:eastAsia="en-US"/>
        </w:rPr>
        <w:tab/>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доктор економічних наук, професор </w:t>
      </w:r>
      <w:r w:rsidRPr="00A16840">
        <w:rPr>
          <w:rFonts w:ascii="Times New Roman" w:eastAsia="Times New Roman" w:hAnsi="Times New Roman" w:cs="Times New Roman"/>
          <w:b/>
          <w:kern w:val="0"/>
          <w:sz w:val="28"/>
          <w:szCs w:val="28"/>
          <w:lang w:val="uk-UA" w:eastAsia="en-US"/>
        </w:rPr>
        <w:t>Орєхова Тетяна Вікторівна,</w:t>
      </w:r>
      <w:r w:rsidRPr="00A16840">
        <w:rPr>
          <w:rFonts w:ascii="Times New Roman" w:eastAsia="Times New Roman" w:hAnsi="Times New Roman" w:cs="Times New Roman"/>
          <w:kern w:val="0"/>
          <w:sz w:val="28"/>
          <w:szCs w:val="28"/>
          <w:lang w:val="uk-UA" w:eastAsia="en-US"/>
        </w:rPr>
        <w:t xml:space="preserve"> Донецький національний університет Міністерства освіти і науки України, завідувач кафедри </w:t>
      </w:r>
      <w:r w:rsidRPr="00A16840">
        <w:rPr>
          <w:rFonts w:ascii="Times New Roman" w:eastAsia="Times New Roman" w:hAnsi="Times New Roman" w:cs="Times New Roman"/>
          <w:bCs/>
          <w:iCs/>
          <w:kern w:val="0"/>
          <w:sz w:val="28"/>
          <w:szCs w:val="28"/>
          <w:lang w:val="uk-UA" w:eastAsia="en-US"/>
        </w:rPr>
        <w:t>міжнародного бізнесу і прикладної економіки</w:t>
      </w:r>
      <w:r w:rsidRPr="00A16840">
        <w:rPr>
          <w:rFonts w:ascii="Times New Roman" w:eastAsia="Times New Roman" w:hAnsi="Times New Roman" w:cs="Times New Roman"/>
          <w:kern w:val="0"/>
          <w:sz w:val="28"/>
          <w:szCs w:val="28"/>
          <w:lang w:val="uk-UA" w:eastAsia="en-US"/>
        </w:rPr>
        <w:t>;</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кандидат економічних наук, доцент </w:t>
      </w:r>
      <w:r w:rsidRPr="00A16840">
        <w:rPr>
          <w:rFonts w:ascii="Times New Roman" w:eastAsia="Times New Roman" w:hAnsi="Times New Roman" w:cs="Times New Roman"/>
          <w:b/>
          <w:bCs/>
          <w:iCs/>
          <w:kern w:val="0"/>
          <w:sz w:val="28"/>
          <w:szCs w:val="28"/>
          <w:lang w:val="uk-UA" w:eastAsia="en-US"/>
        </w:rPr>
        <w:t>Резнікова Наталія Володимирівна</w:t>
      </w:r>
      <w:r w:rsidRPr="00A16840">
        <w:rPr>
          <w:rFonts w:ascii="Times New Roman" w:eastAsia="Times New Roman" w:hAnsi="Times New Roman" w:cs="Times New Roman"/>
          <w:b/>
          <w:kern w:val="0"/>
          <w:sz w:val="28"/>
          <w:szCs w:val="28"/>
          <w:lang w:val="uk-UA" w:eastAsia="en-US"/>
        </w:rPr>
        <w:t>,</w:t>
      </w:r>
      <w:r w:rsidRPr="00A16840">
        <w:rPr>
          <w:rFonts w:ascii="Times New Roman" w:eastAsia="Times New Roman" w:hAnsi="Times New Roman" w:cs="Times New Roman"/>
          <w:kern w:val="0"/>
          <w:sz w:val="28"/>
          <w:szCs w:val="28"/>
          <w:lang w:val="uk-UA" w:eastAsia="en-US"/>
        </w:rPr>
        <w:t xml:space="preserve"> Національна академія статистики, обліку та аудиту Державної служби статистики України, доцент кафедри </w:t>
      </w:r>
      <w:r w:rsidRPr="00A16840">
        <w:rPr>
          <w:rFonts w:ascii="Times New Roman" w:eastAsia="Times New Roman" w:hAnsi="Times New Roman" w:cs="Times New Roman"/>
          <w:bCs/>
          <w:iCs/>
          <w:kern w:val="0"/>
          <w:sz w:val="28"/>
          <w:szCs w:val="28"/>
          <w:lang w:val="uk-UA" w:eastAsia="en-US"/>
        </w:rPr>
        <w:t>фінансів</w:t>
      </w:r>
      <w:r w:rsidRPr="00A16840">
        <w:rPr>
          <w:rFonts w:ascii="Times New Roman" w:eastAsia="Times New Roman" w:hAnsi="Times New Roman" w:cs="Times New Roman"/>
          <w:kern w:val="0"/>
          <w:sz w:val="28"/>
          <w:szCs w:val="28"/>
          <w:lang w:val="uk-UA" w:eastAsia="en-US"/>
        </w:rPr>
        <w:t>.</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708"/>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Захист відбудеться «25» грудня 2014 р. о 12 годині на засіданні спеціалізованої вченої ради К 12.093.03 у Маріупольському державному університеті за адресою: 87500, м. Маріуполь, пр. Будівельників, 129 а.</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708"/>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708"/>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З дисертацією можна ознайомитись у бібліотеці Маріупольського державного університету за адресою: 87500, Маріуполь, пр. Будівельників, 129.</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708"/>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Автореферат розісланий «24» листопада 2014 р.</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Вчений секретар</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спеціалізованої вченої ради, </w:t>
      </w:r>
    </w:p>
    <w:p w:rsidR="00A16840" w:rsidRPr="00A16840" w:rsidRDefault="00A16840" w:rsidP="00A16840">
      <w:pPr>
        <w:widowControl/>
        <w:tabs>
          <w:tab w:val="clear" w:pos="709"/>
        </w:tabs>
        <w:suppressAutoHyphens w:val="0"/>
        <w:spacing w:after="0" w:line="240" w:lineRule="auto"/>
        <w:ind w:firstLine="0"/>
        <w:contextualSpacing/>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кандидат економічних наук, доцент                                                      Т.В. Марена</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sectPr w:rsidR="00A16840" w:rsidRPr="00A16840" w:rsidSect="00A16840">
          <w:headerReference w:type="default" r:id="rId8"/>
          <w:type w:val="continuous"/>
          <w:pgSz w:w="11906" w:h="16838"/>
          <w:pgMar w:top="1134" w:right="851" w:bottom="1134" w:left="964" w:header="709" w:footer="709" w:gutter="0"/>
          <w:pgNumType w:start="1"/>
          <w:cols w:space="708"/>
          <w:docGrid w:linePitch="360"/>
        </w:sect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ЗАГАЛЬНА ХАРАКТЕРИСТИКА РОБОТИ</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
          <w:kern w:val="0"/>
          <w:sz w:val="28"/>
          <w:szCs w:val="28"/>
          <w:lang w:val="uk-UA" w:eastAsia="en-US"/>
        </w:rPr>
        <w:t>Актуальність теми дослідження.</w:t>
      </w:r>
      <w:r w:rsidRPr="00A16840">
        <w:rPr>
          <w:rFonts w:ascii="Times New Roman" w:eastAsia="Times New Roman" w:hAnsi="Times New Roman" w:cs="Times New Roman"/>
          <w:kern w:val="0"/>
          <w:sz w:val="28"/>
          <w:szCs w:val="28"/>
          <w:lang w:val="uk-UA" w:eastAsia="ru-RU"/>
        </w:rPr>
        <w:t xml:space="preserve"> </w:t>
      </w:r>
      <w:r w:rsidRPr="00A16840">
        <w:rPr>
          <w:rFonts w:ascii="Times New Roman" w:eastAsia="Times New Roman" w:hAnsi="Times New Roman" w:cs="Times New Roman"/>
          <w:kern w:val="0"/>
          <w:sz w:val="28"/>
          <w:szCs w:val="28"/>
          <w:lang w:val="uk-UA" w:eastAsia="en-US"/>
        </w:rPr>
        <w:t xml:space="preserve">Сучасна світова фінансова система </w:t>
      </w:r>
      <w:r w:rsidRPr="00A16840">
        <w:rPr>
          <w:rFonts w:ascii="Times New Roman" w:eastAsia="Times New Roman" w:hAnsi="Times New Roman" w:cs="Times New Roman"/>
          <w:kern w:val="0"/>
          <w:sz w:val="28"/>
          <w:lang w:val="uk-UA" w:eastAsia="en-US"/>
        </w:rPr>
        <w:t xml:space="preserve">забезпечує найсуттєвіший вплив на розвиток національних, міждержавних, наднаціональних економічних процесів через інтенсифікацію мобільності капіталів, безперервний характер операцій купівлі-продажу фінансових активів, значну диверсифікацію фінансових інструментів тощо. Одночасно, саме фінансова система є найбільш чутливою до трансформаційної невизначеності, що впливає на </w:t>
      </w:r>
      <w:r w:rsidRPr="00A16840">
        <w:rPr>
          <w:rFonts w:ascii="Times New Roman" w:eastAsia="Times New Roman" w:hAnsi="Times New Roman" w:cs="Times New Roman"/>
          <w:bCs/>
          <w:kern w:val="0"/>
          <w:sz w:val="28"/>
          <w:szCs w:val="28"/>
          <w:lang w:val="uk-UA" w:eastAsia="en-US"/>
        </w:rPr>
        <w:t xml:space="preserve">фінансову стійкість банківського сектору.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Важливою складовою світової фінансової системи є ісламська фінансова система, розвиток якої визначається принципами та нормами ісламського права, законами управління економікою, соціально-культурними та політичними сферами суспільства (Шаріату) і структурним елементом якої виступає ісламська банківська система, що активно розвивається не тільки на ринках мусульманських країн, а й поступово інтегрується на ринки з традиційними банківськими системами.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en-US"/>
        </w:rPr>
      </w:pPr>
      <w:r w:rsidRPr="00A16840">
        <w:rPr>
          <w:rFonts w:ascii="Times New Roman" w:eastAsia="Times New Roman" w:hAnsi="Times New Roman" w:cs="Times New Roman"/>
          <w:spacing w:val="-4"/>
          <w:kern w:val="0"/>
          <w:sz w:val="28"/>
          <w:szCs w:val="28"/>
          <w:lang w:val="uk-UA" w:eastAsia="en-US"/>
        </w:rPr>
        <w:t>Дослідженню проблематики функціонування світової фінансової системи та її стабільності присвячено наукові праці багатьох зарубіжних та українських вчених: Ф.Аллена, П.Баклі, Р.Голдсміта, П.Кругмана, В.Левківського, С.Лунда, З.Луцишин, Л.Ніала, В.Новицького, Т.Орєхової, Є.Панченка, Б.Пітера, А.Поручника, Е.Прасада, Л.Руденко-Сударєвої, Є.Савельєва, Дж.Сороса, Н.Стукало, Дж.Хансона, С.Циганова та ін. Розвиток ісламського банкінгу висвітлено в працях таких дослідників, як М.Алі, Ф.Аллен, М.Амін, М.Арів, С.Ахамад, Т.Бек, Н.Гарас, С.Гончаренко, Т.Захер, М.Забаір, С.Ібрахім, А.Міракхор, А.Мірза, Н.Резнікова, М.Рубцова, П.Трунін, М.Хан, М.Хасан, К.Хусейн, М.Шафік та ін.</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Одночасно у науковій літературі недостатньо дослідженими залишаються питання забезпечення </w:t>
      </w:r>
      <w:r w:rsidRPr="00A16840">
        <w:rPr>
          <w:rFonts w:ascii="Times New Roman" w:eastAsia="Times New Roman" w:hAnsi="Times New Roman" w:cs="Times New Roman"/>
          <w:bCs/>
          <w:kern w:val="0"/>
          <w:sz w:val="28"/>
          <w:szCs w:val="28"/>
          <w:lang w:val="uk-UA" w:eastAsia="en-US"/>
        </w:rPr>
        <w:t xml:space="preserve">фінансової стійкості банківського сектору в контексті сучасних ризиків його функціонування. Відповідно, виникає об’єктивна потреба досліджень принципів ісламського банкінгу, розвиток якого виявляється менш вразливим в умовах фінансової нестабільності, що зумовило вибір теми дисертаційної роботи, її мету і змістовну спрямованість.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spacing w:val="-2"/>
          <w:kern w:val="0"/>
          <w:sz w:val="28"/>
          <w:szCs w:val="28"/>
          <w:shd w:val="clear" w:color="auto" w:fill="FFFFFF"/>
          <w:lang w:val="uk-UA" w:eastAsia="en-US"/>
        </w:rPr>
      </w:pPr>
      <w:r w:rsidRPr="00A16840">
        <w:rPr>
          <w:rFonts w:ascii="Times New Roman" w:eastAsia="Times New Roman" w:hAnsi="Times New Roman" w:cs="Times New Roman"/>
          <w:spacing w:val="-2"/>
          <w:kern w:val="0"/>
          <w:sz w:val="28"/>
          <w:szCs w:val="28"/>
          <w:lang w:val="uk-UA" w:eastAsia="ru-RU"/>
        </w:rPr>
        <w:t>З</w:t>
      </w:r>
      <w:r w:rsidRPr="00A16840">
        <w:rPr>
          <w:rFonts w:ascii="Times New Roman" w:eastAsia="Times New Roman" w:hAnsi="Times New Roman" w:cs="Times New Roman"/>
          <w:b/>
          <w:spacing w:val="-2"/>
          <w:kern w:val="0"/>
          <w:sz w:val="28"/>
          <w:szCs w:val="28"/>
          <w:lang w:val="uk-UA" w:eastAsia="ru-RU"/>
        </w:rPr>
        <w:t xml:space="preserve">в'язок роботи з науковими програмами, планами, темами. </w:t>
      </w:r>
      <w:r w:rsidRPr="00A16840">
        <w:rPr>
          <w:rFonts w:ascii="Times New Roman" w:eastAsia="Times New Roman" w:hAnsi="Times New Roman" w:cs="Times New Roman"/>
          <w:spacing w:val="-2"/>
          <w:kern w:val="0"/>
          <w:sz w:val="28"/>
          <w:szCs w:val="28"/>
          <w:lang w:val="uk-UA" w:eastAsia="en-US"/>
        </w:rPr>
        <w:t xml:space="preserve">Дисертаційну роботу виконано відповідно до плану науково-дослідних робіт відділу міжнародних валютно-фінансових відносин Інституту світової економіки і міжнародних відносин НАН України, зокрема, в рамках підготовки НДР «Адаптація валютно-фінансових систем ризикових економік до глобальних інтеграційних процесів» 2008-2010 рр. (номер держреєстрації 0107U011796), у межах якої автором визначено систему чинників, що відображають адаптацію принципів функціонування ісламських банків до сучасних процесів світового господарства й зокрема на фінансових ринках; розкрито </w:t>
      </w:r>
      <w:r w:rsidRPr="00A16840">
        <w:rPr>
          <w:rFonts w:ascii="Times New Roman" w:eastAsia="Times New Roman" w:hAnsi="Times New Roman" w:cs="Times New Roman"/>
          <w:bCs/>
          <w:spacing w:val="-2"/>
          <w:kern w:val="0"/>
          <w:sz w:val="28"/>
          <w:szCs w:val="28"/>
          <w:lang w:val="uk-UA" w:eastAsia="en-US"/>
        </w:rPr>
        <w:t>проблеми регулювання ісламської банківської системи в умовах інституційних викликів</w:t>
      </w:r>
      <w:r w:rsidRPr="00A16840">
        <w:rPr>
          <w:rFonts w:ascii="Times New Roman" w:eastAsia="Times New Roman" w:hAnsi="Times New Roman" w:cs="Times New Roman"/>
          <w:spacing w:val="-2"/>
          <w:kern w:val="0"/>
          <w:sz w:val="28"/>
          <w:szCs w:val="28"/>
          <w:lang w:val="uk-UA" w:eastAsia="en-US"/>
        </w:rPr>
        <w:t xml:space="preserve">. Теоретичні положення та практичні рекомендації дисертаційної роботи щодо </w:t>
      </w:r>
      <w:r w:rsidRPr="00A16840">
        <w:rPr>
          <w:rFonts w:ascii="Times New Roman" w:eastAsia="Times New Roman" w:hAnsi="Times New Roman" w:cs="Times New Roman"/>
          <w:bCs/>
          <w:spacing w:val="-2"/>
          <w:kern w:val="0"/>
          <w:sz w:val="28"/>
          <w:szCs w:val="28"/>
          <w:lang w:val="uk-UA" w:eastAsia="en-US"/>
        </w:rPr>
        <w:t xml:space="preserve">перспектив </w:t>
      </w:r>
      <w:r w:rsidRPr="00A16840">
        <w:rPr>
          <w:rFonts w:ascii="Times New Roman" w:eastAsia="Times New Roman" w:hAnsi="Times New Roman" w:cs="Times New Roman"/>
          <w:spacing w:val="-2"/>
          <w:kern w:val="0"/>
          <w:sz w:val="28"/>
          <w:szCs w:val="28"/>
          <w:lang w:val="uk-UA" w:eastAsia="en-US"/>
        </w:rPr>
        <w:t>імплементації норм Базель ІІІ в ісламському банкінгу, а також інкорпорування ісламських принципів у систему антикризових заходів функціонування банківського сектору України включено до розробки науково-дослідної теми «Посткризова трансформація світової фінансової системи» 2011–2013 рр. (номер держреєстрації 0110</w:t>
      </w:r>
      <w:r w:rsidRPr="00A16840">
        <w:rPr>
          <w:rFonts w:ascii="Times New Roman" w:eastAsia="Times New Roman" w:hAnsi="Times New Roman" w:cs="Times New Roman"/>
          <w:spacing w:val="-2"/>
          <w:kern w:val="0"/>
          <w:sz w:val="28"/>
          <w:szCs w:val="28"/>
          <w:lang w:eastAsia="en-US"/>
        </w:rPr>
        <w:t>U</w:t>
      </w:r>
      <w:r w:rsidRPr="00A16840">
        <w:rPr>
          <w:rFonts w:ascii="Times New Roman" w:eastAsia="Times New Roman" w:hAnsi="Times New Roman" w:cs="Times New Roman"/>
          <w:spacing w:val="-2"/>
          <w:kern w:val="0"/>
          <w:sz w:val="28"/>
          <w:szCs w:val="28"/>
          <w:lang w:val="uk-UA" w:eastAsia="en-US"/>
        </w:rPr>
        <w:t>001983)</w:t>
      </w:r>
      <w:r w:rsidRPr="00A16840">
        <w:rPr>
          <w:rFonts w:ascii="Times New Roman" w:eastAsia="Times New Roman" w:hAnsi="Times New Roman" w:cs="Times New Roman"/>
          <w:spacing w:val="-2"/>
          <w:kern w:val="0"/>
          <w:sz w:val="28"/>
          <w:szCs w:val="28"/>
          <w:shd w:val="clear" w:color="auto" w:fill="FFFFFF"/>
          <w:lang w:val="uk-UA" w:eastAsia="en-US"/>
        </w:rPr>
        <w:t xml:space="preserve">.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16840">
        <w:rPr>
          <w:rFonts w:ascii="Times New Roman" w:eastAsia="Times New Roman" w:hAnsi="Times New Roman" w:cs="Times New Roman"/>
          <w:b/>
          <w:kern w:val="0"/>
          <w:sz w:val="28"/>
          <w:szCs w:val="28"/>
          <w:lang w:val="uk-UA" w:eastAsia="ru-RU"/>
        </w:rPr>
        <w:t xml:space="preserve">Мета і задачі дослідження. </w:t>
      </w:r>
      <w:r w:rsidRPr="00A16840">
        <w:rPr>
          <w:rFonts w:ascii="Times New Roman" w:eastAsia="Times New Roman" w:hAnsi="Times New Roman" w:cs="Times New Roman"/>
          <w:b/>
          <w:i/>
          <w:iCs/>
          <w:kern w:val="0"/>
          <w:sz w:val="28"/>
          <w:szCs w:val="28"/>
          <w:lang w:val="uk-UA" w:eastAsia="ru-RU"/>
        </w:rPr>
        <w:t>Метою</w:t>
      </w:r>
      <w:r w:rsidRPr="00A16840">
        <w:rPr>
          <w:rFonts w:ascii="Times New Roman" w:eastAsia="Times New Roman" w:hAnsi="Times New Roman" w:cs="Times New Roman"/>
          <w:bCs/>
          <w:kern w:val="0"/>
          <w:sz w:val="28"/>
          <w:szCs w:val="28"/>
          <w:lang w:val="uk-UA" w:eastAsia="ru-RU"/>
        </w:rPr>
        <w:t xml:space="preserve"> дисертаційної роботи є поглиблення теоретико-методоло</w:t>
      </w:r>
      <w:r w:rsidRPr="00A16840">
        <w:rPr>
          <w:rFonts w:ascii="Times New Roman" w:eastAsia="Times New Roman" w:hAnsi="Times New Roman" w:cs="Times New Roman"/>
          <w:kern w:val="0"/>
          <w:sz w:val="28"/>
          <w:szCs w:val="28"/>
          <w:lang w:val="uk-UA" w:eastAsia="ru-RU"/>
        </w:rPr>
        <w:t xml:space="preserve">гічних основ дослідження ісламського банкінгу і розробка науково-практичних рекомендацій щодо імплементації його принципів у традиційні банківські системи. </w:t>
      </w:r>
    </w:p>
    <w:p w:rsidR="00A16840" w:rsidRPr="00A16840" w:rsidRDefault="00A16840" w:rsidP="00A16840">
      <w:pPr>
        <w:widowControl/>
        <w:shd w:val="clear" w:color="auto" w:fill="FFFFFF"/>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Відповідно до мети дослідження в роботі поставлено та вирішено такі </w:t>
      </w:r>
      <w:r w:rsidRPr="00A16840">
        <w:rPr>
          <w:rFonts w:ascii="Times New Roman" w:eastAsia="Times New Roman" w:hAnsi="Times New Roman" w:cs="Times New Roman"/>
          <w:b/>
          <w:bCs/>
          <w:i/>
          <w:iCs/>
          <w:kern w:val="0"/>
          <w:sz w:val="28"/>
          <w:szCs w:val="28"/>
          <w:lang w:val="uk-UA" w:eastAsia="en-US"/>
        </w:rPr>
        <w:t>задачі</w:t>
      </w:r>
      <w:r w:rsidRPr="00A16840">
        <w:rPr>
          <w:rFonts w:ascii="Times New Roman" w:eastAsia="Times New Roman" w:hAnsi="Times New Roman" w:cs="Times New Roman"/>
          <w:kern w:val="0"/>
          <w:sz w:val="28"/>
          <w:szCs w:val="28"/>
          <w:lang w:val="uk-UA" w:eastAsia="en-US"/>
        </w:rPr>
        <w:t>:</w:t>
      </w:r>
    </w:p>
    <w:p w:rsidR="00A16840" w:rsidRPr="00A16840" w:rsidRDefault="00A16840" w:rsidP="00A16840">
      <w:pPr>
        <w:widowControl/>
        <w:numPr>
          <w:ilvl w:val="0"/>
          <w:numId w:val="22"/>
        </w:numPr>
        <w:tabs>
          <w:tab w:val="clear" w:pos="709"/>
          <w:tab w:val="num" w:pos="851"/>
        </w:tabs>
        <w:suppressAutoHyphens w:val="0"/>
        <w:spacing w:after="0" w:line="240" w:lineRule="auto"/>
        <w:jc w:val="left"/>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bCs/>
          <w:kern w:val="0"/>
          <w:sz w:val="28"/>
          <w:szCs w:val="28"/>
          <w:lang w:val="uk-UA" w:eastAsia="en-US"/>
        </w:rPr>
        <w:t xml:space="preserve">визначити методологічні засади дослідження ісламського банкінгу у контексті </w:t>
      </w:r>
      <w:r w:rsidRPr="00A16840">
        <w:rPr>
          <w:rFonts w:ascii="Times New Roman" w:eastAsia="Times New Roman" w:hAnsi="Times New Roman" w:cs="Times New Roman"/>
          <w:bCs/>
          <w:kern w:val="0"/>
          <w:sz w:val="28"/>
          <w:lang w:val="uk-UA" w:eastAsia="en-US"/>
        </w:rPr>
        <w:t>парадигми розвитку світової фінансової системи;</w:t>
      </w:r>
    </w:p>
    <w:p w:rsidR="00A16840" w:rsidRPr="00A16840" w:rsidRDefault="00A16840" w:rsidP="00A16840">
      <w:pPr>
        <w:widowControl/>
        <w:numPr>
          <w:ilvl w:val="0"/>
          <w:numId w:val="22"/>
        </w:numPr>
        <w:tabs>
          <w:tab w:val="clear" w:pos="709"/>
          <w:tab w:val="num" w:pos="851"/>
        </w:tabs>
        <w:suppressAutoHyphens w:val="0"/>
        <w:spacing w:after="0" w:line="240" w:lineRule="auto"/>
        <w:jc w:val="left"/>
        <w:rPr>
          <w:rFonts w:ascii="Times New Roman" w:eastAsia="Times New Roman" w:hAnsi="Times New Roman" w:cs="TimesNewRomanPSMT"/>
          <w:bCs/>
          <w:spacing w:val="-2"/>
          <w:kern w:val="0"/>
          <w:sz w:val="28"/>
          <w:szCs w:val="28"/>
          <w:lang w:val="uk-UA" w:eastAsia="en-US" w:bidi="mr-IN"/>
        </w:rPr>
      </w:pPr>
      <w:r w:rsidRPr="00A16840">
        <w:rPr>
          <w:rFonts w:ascii="Times New Roman" w:eastAsia="Times New Roman" w:hAnsi="Times New Roman" w:cs="Times New Roman"/>
          <w:bCs/>
          <w:spacing w:val="-2"/>
          <w:kern w:val="0"/>
          <w:sz w:val="28"/>
          <w:szCs w:val="28"/>
          <w:lang w:val="uk-UA" w:eastAsia="en-US"/>
        </w:rPr>
        <w:t>виявити п</w:t>
      </w:r>
      <w:r w:rsidRPr="00A16840">
        <w:rPr>
          <w:rFonts w:ascii="Times New Roman" w:eastAsia="Times New Roman" w:hAnsi="Times New Roman" w:cs="TimesNewRomanPSMT"/>
          <w:bCs/>
          <w:spacing w:val="-2"/>
          <w:kern w:val="0"/>
          <w:sz w:val="28"/>
          <w:szCs w:val="28"/>
          <w:lang w:val="uk-UA" w:eastAsia="en-US" w:bidi="mr-IN"/>
        </w:rPr>
        <w:t xml:space="preserve">ринципи формування ісламського банкінгу та його основні моделі; </w:t>
      </w:r>
    </w:p>
    <w:p w:rsidR="00A16840" w:rsidRPr="00A16840" w:rsidRDefault="00A16840" w:rsidP="00A16840">
      <w:pPr>
        <w:widowControl/>
        <w:numPr>
          <w:ilvl w:val="0"/>
          <w:numId w:val="22"/>
        </w:numPr>
        <w:tabs>
          <w:tab w:val="clear" w:pos="709"/>
          <w:tab w:val="num" w:pos="851"/>
        </w:tabs>
        <w:suppressAutoHyphens w:val="0"/>
        <w:spacing w:after="0" w:line="240" w:lineRule="auto"/>
        <w:jc w:val="left"/>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NewRomanPSMT"/>
          <w:bCs/>
          <w:kern w:val="0"/>
          <w:sz w:val="28"/>
          <w:szCs w:val="28"/>
          <w:lang w:val="uk-UA" w:eastAsia="en-US" w:bidi="mr-IN"/>
        </w:rPr>
        <w:t>визначити м</w:t>
      </w:r>
      <w:r w:rsidRPr="00A16840">
        <w:rPr>
          <w:rFonts w:ascii="Times New Roman" w:eastAsia="Times New Roman" w:hAnsi="Times New Roman" w:cs="Times New Roman"/>
          <w:bCs/>
          <w:kern w:val="0"/>
          <w:sz w:val="28"/>
          <w:szCs w:val="28"/>
          <w:lang w:val="uk-UA" w:eastAsia="en-US"/>
        </w:rPr>
        <w:t>етодичні підходи до оцінки рівня стабільності та фінансової стійкості банківського сектору;</w:t>
      </w:r>
    </w:p>
    <w:p w:rsidR="00A16840" w:rsidRPr="00A16840" w:rsidRDefault="00A16840" w:rsidP="00A16840">
      <w:pPr>
        <w:widowControl/>
        <w:numPr>
          <w:ilvl w:val="0"/>
          <w:numId w:val="22"/>
        </w:numPr>
        <w:tabs>
          <w:tab w:val="clear" w:pos="709"/>
          <w:tab w:val="num" w:pos="851"/>
        </w:tabs>
        <w:suppressAutoHyphens w:val="0"/>
        <w:spacing w:after="0" w:line="240" w:lineRule="auto"/>
        <w:jc w:val="left"/>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bCs/>
          <w:kern w:val="0"/>
          <w:sz w:val="28"/>
          <w:szCs w:val="28"/>
          <w:lang w:val="uk-UA" w:eastAsia="en-US"/>
        </w:rPr>
        <w:t>проаналізувати роль та місце ісламського банкінгу у сучасній світовій фінансовій системі;</w:t>
      </w:r>
    </w:p>
    <w:p w:rsidR="00A16840" w:rsidRPr="00A16840" w:rsidRDefault="00A16840" w:rsidP="00A16840">
      <w:pPr>
        <w:widowControl/>
        <w:numPr>
          <w:ilvl w:val="0"/>
          <w:numId w:val="22"/>
        </w:numPr>
        <w:tabs>
          <w:tab w:val="clear" w:pos="709"/>
          <w:tab w:val="num" w:pos="851"/>
        </w:tabs>
        <w:suppressAutoHyphens w:val="0"/>
        <w:spacing w:after="0" w:line="240" w:lineRule="auto"/>
        <w:jc w:val="left"/>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bCs/>
          <w:kern w:val="0"/>
          <w:sz w:val="28"/>
          <w:szCs w:val="28"/>
          <w:lang w:val="uk-UA" w:eastAsia="en-US"/>
        </w:rPr>
        <w:t>дослідити ступінь інтеграції ісламського банкінгу до традиційних банківських систем;</w:t>
      </w:r>
    </w:p>
    <w:p w:rsidR="00A16840" w:rsidRPr="00A16840" w:rsidRDefault="00A16840" w:rsidP="00A16840">
      <w:pPr>
        <w:widowControl/>
        <w:numPr>
          <w:ilvl w:val="0"/>
          <w:numId w:val="22"/>
        </w:numPr>
        <w:tabs>
          <w:tab w:val="clear" w:pos="709"/>
          <w:tab w:val="num" w:pos="851"/>
        </w:tabs>
        <w:suppressAutoHyphens w:val="0"/>
        <w:spacing w:after="0" w:line="240" w:lineRule="auto"/>
        <w:jc w:val="left"/>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bCs/>
          <w:kern w:val="0"/>
          <w:sz w:val="28"/>
          <w:szCs w:val="28"/>
          <w:lang w:val="uk-UA" w:eastAsia="en-US"/>
        </w:rPr>
        <w:t>здійснити компаративний аналіз фінансової стійкості традиційних та ісламських банківських систем у сучасних умовах;</w:t>
      </w:r>
    </w:p>
    <w:p w:rsidR="00A16840" w:rsidRPr="00A16840" w:rsidRDefault="00A16840" w:rsidP="00A16840">
      <w:pPr>
        <w:widowControl/>
        <w:numPr>
          <w:ilvl w:val="0"/>
          <w:numId w:val="22"/>
        </w:numPr>
        <w:tabs>
          <w:tab w:val="clear" w:pos="709"/>
          <w:tab w:val="num" w:pos="851"/>
        </w:tabs>
        <w:suppressAutoHyphens w:val="0"/>
        <w:spacing w:after="0" w:line="240" w:lineRule="auto"/>
        <w:jc w:val="left"/>
        <w:rPr>
          <w:rFonts w:ascii="Times New Roman" w:eastAsia="Times New Roman" w:hAnsi="Times New Roman" w:cs="Times New Roman"/>
          <w:spacing w:val="-2"/>
          <w:kern w:val="0"/>
          <w:sz w:val="28"/>
          <w:szCs w:val="28"/>
          <w:lang w:val="uk-UA" w:eastAsia="en-US"/>
        </w:rPr>
      </w:pPr>
      <w:r w:rsidRPr="00A16840">
        <w:rPr>
          <w:rFonts w:ascii="Times New Roman" w:eastAsia="Times New Roman" w:hAnsi="Times New Roman" w:cs="Times New Roman"/>
          <w:bCs/>
          <w:spacing w:val="-2"/>
          <w:kern w:val="0"/>
          <w:sz w:val="28"/>
          <w:szCs w:val="28"/>
          <w:lang w:val="uk-UA" w:eastAsia="en-US"/>
        </w:rPr>
        <w:t xml:space="preserve">визначити напрями розвитку національних систем регламентації ісламського банкінгу в сучасних умовах </w:t>
      </w:r>
      <w:r w:rsidRPr="00A16840">
        <w:rPr>
          <w:rFonts w:ascii="Times New Roman" w:eastAsia="Times New Roman" w:hAnsi="Times New Roman" w:cs="Times New Roman"/>
          <w:iCs/>
          <w:spacing w:val="-2"/>
          <w:kern w:val="0"/>
          <w:sz w:val="28"/>
          <w:szCs w:val="28"/>
          <w:lang w:val="uk-UA" w:eastAsia="en-US"/>
        </w:rPr>
        <w:t xml:space="preserve">функціонування </w:t>
      </w:r>
      <w:r w:rsidRPr="00A16840">
        <w:rPr>
          <w:rFonts w:ascii="Times New Roman" w:eastAsia="Times New Roman" w:hAnsi="Times New Roman" w:cs="Times New Roman"/>
          <w:bCs/>
          <w:spacing w:val="-2"/>
          <w:kern w:val="0"/>
          <w:sz w:val="28"/>
          <w:szCs w:val="28"/>
          <w:lang w:val="uk-UA" w:eastAsia="en-US"/>
        </w:rPr>
        <w:t>світової фінансової системи;</w:t>
      </w:r>
    </w:p>
    <w:p w:rsidR="00A16840" w:rsidRPr="00A16840" w:rsidRDefault="00A16840" w:rsidP="00A16840">
      <w:pPr>
        <w:widowControl/>
        <w:numPr>
          <w:ilvl w:val="0"/>
          <w:numId w:val="22"/>
        </w:numPr>
        <w:tabs>
          <w:tab w:val="clear" w:pos="709"/>
          <w:tab w:val="num" w:pos="851"/>
        </w:tabs>
        <w:suppressAutoHyphens w:val="0"/>
        <w:spacing w:after="0" w:line="240" w:lineRule="auto"/>
        <w:jc w:val="left"/>
        <w:rPr>
          <w:rFonts w:ascii="Times New Roman" w:eastAsia="Times New Roman" w:hAnsi="Times New Roman" w:cs="Times New Roman"/>
          <w:spacing w:val="-2"/>
          <w:kern w:val="0"/>
          <w:sz w:val="28"/>
          <w:szCs w:val="28"/>
          <w:lang w:val="uk-UA" w:eastAsia="en-US"/>
        </w:rPr>
      </w:pPr>
      <w:r w:rsidRPr="00A16840">
        <w:rPr>
          <w:rFonts w:ascii="Times New Roman" w:eastAsia="Times New Roman" w:hAnsi="Times New Roman" w:cs="TimesNewRomanPSMT"/>
          <w:spacing w:val="-2"/>
          <w:kern w:val="0"/>
          <w:sz w:val="28"/>
          <w:szCs w:val="28"/>
          <w:lang w:val="uk-UA" w:eastAsia="en-US" w:bidi="mr-IN"/>
        </w:rPr>
        <w:t xml:space="preserve">систематизувати </w:t>
      </w:r>
      <w:r w:rsidRPr="00A16840">
        <w:rPr>
          <w:rFonts w:ascii="Times New Roman" w:eastAsia="Times New Roman" w:hAnsi="Times New Roman" w:cs="Times New Roman"/>
          <w:iCs/>
          <w:spacing w:val="-2"/>
          <w:kern w:val="0"/>
          <w:sz w:val="28"/>
          <w:szCs w:val="28"/>
          <w:lang w:val="uk-UA" w:eastAsia="en-US"/>
        </w:rPr>
        <w:t xml:space="preserve">основні інституційно-регуляторні елементи функціонування ісламського банкінгу; </w:t>
      </w:r>
    </w:p>
    <w:p w:rsidR="00A16840" w:rsidRPr="00A16840" w:rsidRDefault="00A16840" w:rsidP="00A16840">
      <w:pPr>
        <w:widowControl/>
        <w:numPr>
          <w:ilvl w:val="0"/>
          <w:numId w:val="22"/>
        </w:numPr>
        <w:tabs>
          <w:tab w:val="clear" w:pos="709"/>
          <w:tab w:val="num" w:pos="851"/>
        </w:tabs>
        <w:suppressAutoHyphens w:val="0"/>
        <w:spacing w:after="0" w:line="240" w:lineRule="auto"/>
        <w:jc w:val="left"/>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запропонувати напрями імплементації принципів ісламського банкінгу  у банківський сектор національної економіки.</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4"/>
          <w:szCs w:val="24"/>
          <w:lang w:val="uk-UA" w:eastAsia="ru-RU"/>
        </w:rPr>
      </w:pPr>
      <w:r w:rsidRPr="00A16840">
        <w:rPr>
          <w:rFonts w:ascii="Times New Roman" w:eastAsia="Times New Roman" w:hAnsi="Times New Roman" w:cs="Times New Roman"/>
          <w:i/>
          <w:kern w:val="0"/>
          <w:sz w:val="28"/>
          <w:szCs w:val="28"/>
          <w:lang w:val="uk-UA" w:eastAsia="ru-RU"/>
        </w:rPr>
        <w:t>Об'єктом дослідження</w:t>
      </w:r>
      <w:r w:rsidRPr="00A16840">
        <w:rPr>
          <w:rFonts w:ascii="Times New Roman" w:eastAsia="Times New Roman" w:hAnsi="Times New Roman" w:cs="Times New Roman"/>
          <w:kern w:val="0"/>
          <w:sz w:val="28"/>
          <w:szCs w:val="28"/>
          <w:lang w:val="uk-UA" w:eastAsia="ru-RU"/>
        </w:rPr>
        <w:t xml:space="preserve"> є процес функціонування ісламського банкінгу в  світовій фінансовій системі.  </w:t>
      </w:r>
      <w:r w:rsidRPr="00A16840">
        <w:rPr>
          <w:rFonts w:ascii="Times New Roman" w:eastAsia="Times New Roman" w:hAnsi="Times New Roman" w:cs="Times New Roman"/>
          <w:kern w:val="0"/>
          <w:sz w:val="24"/>
          <w:szCs w:val="24"/>
          <w:lang w:val="uk-UA" w:eastAsia="ru-RU"/>
        </w:rPr>
        <w:t xml:space="preserve">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16840">
        <w:rPr>
          <w:rFonts w:ascii="Times New Roman" w:eastAsia="Times New Roman" w:hAnsi="Times New Roman" w:cs="Times New Roman"/>
          <w:i/>
          <w:kern w:val="0"/>
          <w:sz w:val="28"/>
          <w:szCs w:val="28"/>
          <w:lang w:val="uk-UA" w:eastAsia="ru-RU"/>
        </w:rPr>
        <w:t>Предметом дослідження</w:t>
      </w:r>
      <w:r w:rsidRPr="00A16840">
        <w:rPr>
          <w:rFonts w:ascii="Times New Roman" w:eastAsia="Times New Roman" w:hAnsi="Times New Roman" w:cs="Times New Roman"/>
          <w:kern w:val="0"/>
          <w:sz w:val="28"/>
          <w:szCs w:val="28"/>
          <w:lang w:val="uk-UA" w:eastAsia="ru-RU"/>
        </w:rPr>
        <w:t xml:space="preserve"> є теоретичні, організаційно-економічні та науково-практичні аспекти імплементації ісламського банкінгу в традиційних банківських системах.</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
          <w:bCs/>
          <w:iCs/>
          <w:spacing w:val="-2"/>
          <w:kern w:val="0"/>
          <w:sz w:val="28"/>
          <w:szCs w:val="28"/>
          <w:lang w:val="uk-UA" w:eastAsia="ru-RU"/>
        </w:rPr>
        <w:t>Методи дослідження.</w:t>
      </w:r>
      <w:r w:rsidRPr="00A16840">
        <w:rPr>
          <w:rFonts w:ascii="Times New Roman" w:eastAsia="Times New Roman" w:hAnsi="Times New Roman" w:cs="Times New Roman"/>
          <w:i/>
          <w:spacing w:val="-2"/>
          <w:kern w:val="0"/>
          <w:sz w:val="28"/>
          <w:szCs w:val="28"/>
          <w:lang w:val="uk-UA" w:eastAsia="ru-RU"/>
        </w:rPr>
        <w:t xml:space="preserve"> </w:t>
      </w:r>
      <w:r w:rsidRPr="00A16840">
        <w:rPr>
          <w:rFonts w:ascii="Times New Roman" w:eastAsia="Times New Roman" w:hAnsi="Times New Roman" w:cs="Times New Roman"/>
          <w:spacing w:val="-2"/>
          <w:kern w:val="0"/>
          <w:sz w:val="28"/>
          <w:szCs w:val="28"/>
          <w:lang w:val="uk-UA" w:eastAsia="en-US"/>
        </w:rPr>
        <w:t>Методологічною та теоретичною основою дослідження</w:t>
      </w:r>
      <w:r w:rsidRPr="00A16840">
        <w:rPr>
          <w:rFonts w:ascii="Times New Roman" w:eastAsia="Times New Roman" w:hAnsi="Times New Roman" w:cs="Times New Roman"/>
          <w:kern w:val="0"/>
          <w:sz w:val="28"/>
          <w:szCs w:val="28"/>
          <w:lang w:val="uk-UA" w:eastAsia="en-US"/>
        </w:rPr>
        <w:t xml:space="preserve"> є фундаментальні положення економічної теорії, теорії банківської справи, наукові праці вітчизняних і зарубіжних учених у сфері дослідження банківських систем та ісламського банкінгу.</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en-US"/>
        </w:rPr>
      </w:pPr>
      <w:r w:rsidRPr="00A16840">
        <w:rPr>
          <w:rFonts w:ascii="Times New Roman" w:eastAsia="Times New Roman" w:hAnsi="Times New Roman" w:cs="Times New Roman"/>
          <w:spacing w:val="-4"/>
          <w:kern w:val="0"/>
          <w:sz w:val="28"/>
          <w:szCs w:val="28"/>
          <w:lang w:val="uk-UA" w:eastAsia="en-US"/>
        </w:rPr>
        <w:t>Дослідження виконане з використанням як загальнонаукових, так і спеціальних методів і прийомів: методів економічного аналізу і синтезу (під час дослідження передумов та сутності ісламського банкінгу – п.1.1, моделей ісламського банкінгу  – п.1.2); методів порівняльного аналізу (</w:t>
      </w:r>
      <w:r w:rsidRPr="00A16840">
        <w:rPr>
          <w:rFonts w:ascii="Times New Roman" w:eastAsia="Times New Roman" w:hAnsi="Times New Roman" w:cs="Times New Roman"/>
          <w:bCs/>
          <w:spacing w:val="-4"/>
          <w:kern w:val="0"/>
          <w:sz w:val="28"/>
          <w:szCs w:val="28"/>
          <w:lang w:val="uk-UA" w:eastAsia="en-US"/>
        </w:rPr>
        <w:t xml:space="preserve">для оцінки рівня стабільності банківського сектору </w:t>
      </w:r>
      <w:r w:rsidRPr="00A16840">
        <w:rPr>
          <w:rFonts w:ascii="Times New Roman" w:eastAsia="Times New Roman" w:hAnsi="Times New Roman" w:cs="Times New Roman"/>
          <w:spacing w:val="-4"/>
          <w:kern w:val="0"/>
          <w:sz w:val="28"/>
          <w:szCs w:val="28"/>
          <w:lang w:val="uk-UA" w:eastAsia="en-US"/>
        </w:rPr>
        <w:t xml:space="preserve">– </w:t>
      </w:r>
      <w:r w:rsidRPr="00A16840">
        <w:rPr>
          <w:rFonts w:ascii="Times New Roman" w:eastAsia="Times New Roman" w:hAnsi="Times New Roman" w:cs="Times New Roman"/>
          <w:bCs/>
          <w:spacing w:val="-4"/>
          <w:kern w:val="0"/>
          <w:sz w:val="28"/>
          <w:szCs w:val="28"/>
          <w:lang w:val="uk-UA" w:eastAsia="en-US"/>
        </w:rPr>
        <w:t xml:space="preserve">п.1.3, та компаративного аналізу фінансової стійкості традиційних та ісламських банківських систем </w:t>
      </w:r>
      <w:r w:rsidRPr="00A16840">
        <w:rPr>
          <w:rFonts w:ascii="Times New Roman" w:eastAsia="Times New Roman" w:hAnsi="Times New Roman" w:cs="Times New Roman"/>
          <w:spacing w:val="-4"/>
          <w:kern w:val="0"/>
          <w:sz w:val="28"/>
          <w:szCs w:val="28"/>
          <w:lang w:val="uk-UA" w:eastAsia="en-US"/>
        </w:rPr>
        <w:t xml:space="preserve">– </w:t>
      </w:r>
      <w:r w:rsidRPr="00A16840">
        <w:rPr>
          <w:rFonts w:ascii="Times New Roman" w:eastAsia="Times New Roman" w:hAnsi="Times New Roman" w:cs="Times New Roman"/>
          <w:bCs/>
          <w:spacing w:val="-4"/>
          <w:kern w:val="0"/>
          <w:sz w:val="28"/>
          <w:szCs w:val="28"/>
          <w:lang w:val="uk-UA" w:eastAsia="en-US"/>
        </w:rPr>
        <w:t xml:space="preserve">п.2.3); </w:t>
      </w:r>
      <w:r w:rsidRPr="00A16840">
        <w:rPr>
          <w:rFonts w:ascii="Times New Roman" w:eastAsia="Times New Roman" w:hAnsi="Times New Roman" w:cs="Times New Roman"/>
          <w:bCs/>
          <w:spacing w:val="-4"/>
          <w:kern w:val="0"/>
          <w:sz w:val="28"/>
          <w:lang w:val="uk-UA" w:eastAsia="en-US"/>
        </w:rPr>
        <w:t xml:space="preserve">статистичних методів (при дослідженні ролі ісламського банкінгу у світовій фінансовій системі – п.2.1, для оцінки його інтеграції у традиційні банківські системи – п.2.2); </w:t>
      </w:r>
      <w:r w:rsidRPr="00A16840">
        <w:rPr>
          <w:rFonts w:ascii="Times New Roman" w:eastAsia="Times New Roman" w:hAnsi="Times New Roman" w:cs="Times New Roman"/>
          <w:spacing w:val="-4"/>
          <w:kern w:val="0"/>
          <w:sz w:val="28"/>
          <w:szCs w:val="28"/>
          <w:lang w:val="uk-UA" w:eastAsia="en-US"/>
        </w:rPr>
        <w:t xml:space="preserve">структурно-функціонального методу (у дослідженні </w:t>
      </w:r>
      <w:r w:rsidRPr="00A16840">
        <w:rPr>
          <w:rFonts w:ascii="Times New Roman" w:eastAsia="Times New Roman" w:hAnsi="Times New Roman" w:cs="TimesNewRomanPSMT"/>
          <w:spacing w:val="-4"/>
          <w:kern w:val="0"/>
          <w:sz w:val="28"/>
          <w:szCs w:val="28"/>
          <w:lang w:val="uk-UA" w:eastAsia="en-US" w:bidi="mr-IN"/>
        </w:rPr>
        <w:t xml:space="preserve">ісламського банкінгу як фактору стабільності світової фінансової системи </w:t>
      </w:r>
      <w:r w:rsidRPr="00A16840">
        <w:rPr>
          <w:rFonts w:ascii="Times New Roman" w:eastAsia="Times New Roman" w:hAnsi="Times New Roman" w:cs="Times New Roman"/>
          <w:spacing w:val="-4"/>
          <w:kern w:val="0"/>
          <w:sz w:val="28"/>
          <w:szCs w:val="28"/>
          <w:lang w:val="uk-UA" w:eastAsia="en-US"/>
        </w:rPr>
        <w:t>–</w:t>
      </w:r>
      <w:r w:rsidRPr="00A16840">
        <w:rPr>
          <w:rFonts w:ascii="Times New Roman" w:eastAsia="Times New Roman" w:hAnsi="Times New Roman" w:cs="TimesNewRomanPSMT"/>
          <w:spacing w:val="-4"/>
          <w:kern w:val="0"/>
          <w:sz w:val="28"/>
          <w:szCs w:val="28"/>
          <w:lang w:val="uk-UA" w:eastAsia="en-US" w:bidi="mr-IN"/>
        </w:rPr>
        <w:t xml:space="preserve"> п.3.1, та визначенні </w:t>
      </w:r>
      <w:r w:rsidRPr="00A16840">
        <w:rPr>
          <w:rFonts w:ascii="Times New Roman" w:eastAsia="Times New Roman" w:hAnsi="Times New Roman" w:cs="Times New Roman"/>
          <w:spacing w:val="-4"/>
          <w:kern w:val="0"/>
          <w:sz w:val="28"/>
          <w:szCs w:val="28"/>
          <w:lang w:val="uk-UA" w:eastAsia="en-US"/>
        </w:rPr>
        <w:t xml:space="preserve">засад регулювання ісламського банкінгу – п.3.2); </w:t>
      </w:r>
      <w:r w:rsidRPr="00A16840">
        <w:rPr>
          <w:rFonts w:ascii="Times New Roman" w:eastAsia="Times New Roman" w:hAnsi="Times New Roman" w:cs="Times New Roman"/>
          <w:bCs/>
          <w:spacing w:val="-4"/>
          <w:kern w:val="0"/>
          <w:sz w:val="28"/>
          <w:lang w:val="uk-UA" w:eastAsia="en-US"/>
        </w:rPr>
        <w:t xml:space="preserve">економіко-математичних методів (для тестування </w:t>
      </w:r>
      <w:r w:rsidRPr="00A16840">
        <w:rPr>
          <w:rFonts w:ascii="Times New Roman" w:eastAsia="Times New Roman" w:hAnsi="Times New Roman" w:cs="Times New Roman"/>
          <w:spacing w:val="-4"/>
          <w:kern w:val="0"/>
          <w:sz w:val="28"/>
          <w:szCs w:val="28"/>
          <w:lang w:val="uk-UA" w:eastAsia="en-US"/>
        </w:rPr>
        <w:t xml:space="preserve">ісламських банківських систем щодо їх схильності різним факторам впливу на рівень фінансової стійкості у порівнянні з банківськими системами традиційного типу – п.2.3, оцінки </w:t>
      </w:r>
      <w:r w:rsidRPr="00A16840">
        <w:rPr>
          <w:rFonts w:ascii="Times New Roman" w:eastAsia="Times New Roman" w:hAnsi="Times New Roman" w:cs="Times New Roman"/>
          <w:bCs/>
          <w:spacing w:val="-4"/>
          <w:kern w:val="0"/>
          <w:sz w:val="28"/>
          <w:szCs w:val="28"/>
          <w:lang w:val="uk-UA" w:eastAsia="en-US"/>
        </w:rPr>
        <w:t xml:space="preserve">імовірності настання банківської кризи в Україні – п.3.3); </w:t>
      </w:r>
      <w:r w:rsidRPr="00A16840">
        <w:rPr>
          <w:rFonts w:ascii="Times New Roman" w:eastAsia="Times New Roman" w:hAnsi="Times New Roman" w:cs="Times New Roman"/>
          <w:spacing w:val="-4"/>
          <w:kern w:val="0"/>
          <w:sz w:val="28"/>
          <w:szCs w:val="28"/>
          <w:lang w:val="uk-UA" w:eastAsia="en-US"/>
        </w:rPr>
        <w:t xml:space="preserve">системного аналізу (у обґрунтуванні напрямів інкорпорування принципів ісламського банкінгу у систему функціонування банківського сектору національної економіки – п.3.3).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Інформаційною основою дослідження є аналітичні звіти міжнародних організацій (МВФ, ЮНКТАД, Ради з ісламських фінансових послуг, Ісламського банку розвитку, Центру управління ліквідністю і Міжнародного ісламського фінансового ринку тощо), дані міжнародної та національної статистики, законодавство України, монографії, періодична література, результати власних досліджень автора.</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A16840">
        <w:rPr>
          <w:rFonts w:ascii="Times New Roman" w:eastAsia="Times New Roman" w:hAnsi="Times New Roman" w:cs="Times New Roman"/>
          <w:b/>
          <w:kern w:val="0"/>
          <w:sz w:val="28"/>
          <w:szCs w:val="28"/>
          <w:lang w:val="uk-UA" w:eastAsia="ru-RU"/>
        </w:rPr>
        <w:t xml:space="preserve">Наукова новизна отриманих результатів </w:t>
      </w:r>
      <w:r w:rsidRPr="00A16840">
        <w:rPr>
          <w:rFonts w:ascii="Times New Roman" w:eastAsia="Times New Roman" w:hAnsi="Times New Roman" w:cs="Times New Roman"/>
          <w:kern w:val="0"/>
          <w:sz w:val="28"/>
          <w:szCs w:val="28"/>
          <w:lang w:val="uk-UA" w:eastAsia="ru-RU"/>
        </w:rPr>
        <w:t>полягає у поглибленні теоретико-методологічних основ дослідження ісламських банківських систем і розробці організаційно-концептуального забезпечення імплементації принципів ісламського банкінгу у традиційних банківських системах.</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Основні положення, які формують наукову новизну результатів проведеного дослідження, полягають у наступному:</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i/>
          <w:iCs/>
          <w:kern w:val="0"/>
          <w:sz w:val="28"/>
          <w:szCs w:val="28"/>
          <w:lang w:val="uk-UA" w:eastAsia="en-US"/>
        </w:rPr>
      </w:pPr>
      <w:r w:rsidRPr="00A16840">
        <w:rPr>
          <w:rFonts w:ascii="Times New Roman" w:eastAsia="Times New Roman" w:hAnsi="Times New Roman" w:cs="Times New Roman"/>
          <w:i/>
          <w:iCs/>
          <w:kern w:val="0"/>
          <w:sz w:val="28"/>
          <w:szCs w:val="28"/>
          <w:lang w:val="uk-UA" w:eastAsia="en-US"/>
        </w:rPr>
        <w:t xml:space="preserve">вперше: </w:t>
      </w:r>
    </w:p>
    <w:p w:rsidR="00A16840" w:rsidRPr="00A16840" w:rsidRDefault="00A16840" w:rsidP="00A16840">
      <w:pPr>
        <w:widowControl/>
        <w:tabs>
          <w:tab w:val="clear" w:pos="709"/>
          <w:tab w:val="left" w:pos="993"/>
        </w:tabs>
        <w:suppressAutoHyphens w:val="0"/>
        <w:spacing w:after="0" w:line="240" w:lineRule="auto"/>
        <w:rPr>
          <w:rFonts w:ascii="Times New Roman" w:eastAsia="Calibri" w:hAnsi="Times New Roman" w:cs="Times New Roman"/>
          <w:kern w:val="0"/>
          <w:sz w:val="28"/>
          <w:szCs w:val="28"/>
          <w:lang w:val="uk-UA" w:eastAsia="ru-RU"/>
        </w:rPr>
      </w:pPr>
      <w:r w:rsidRPr="00A16840">
        <w:rPr>
          <w:rFonts w:ascii="Times New Roman" w:eastAsia="Calibri" w:hAnsi="Times New Roman" w:cs="Times New Roman"/>
          <w:kern w:val="0"/>
          <w:sz w:val="28"/>
          <w:szCs w:val="28"/>
          <w:lang w:val="uk-UA" w:eastAsia="ru-RU"/>
        </w:rPr>
        <w:t xml:space="preserve">запропоновано </w:t>
      </w:r>
      <w:r w:rsidRPr="00A16840">
        <w:rPr>
          <w:rFonts w:ascii="Times New Roman" w:eastAsia="Calibri" w:hAnsi="Times New Roman" w:cs="Times New Roman"/>
          <w:i/>
          <w:iCs/>
          <w:kern w:val="0"/>
          <w:sz w:val="28"/>
          <w:szCs w:val="28"/>
          <w:lang w:val="uk-UA" w:eastAsia="ru-RU"/>
        </w:rPr>
        <w:t>інструментарій компаративного оцінювання рівня фінансової стійкості різних типів банківських систем</w:t>
      </w:r>
      <w:r w:rsidRPr="00A16840">
        <w:rPr>
          <w:rFonts w:ascii="Times New Roman" w:eastAsia="Calibri" w:hAnsi="Times New Roman" w:cs="Times New Roman"/>
          <w:kern w:val="0"/>
          <w:sz w:val="28"/>
          <w:szCs w:val="28"/>
          <w:lang w:val="uk-UA" w:eastAsia="ru-RU"/>
        </w:rPr>
        <w:t>, центральним елементом якого є структурна схема компаративного аналізу фінансової стійкості банківської системи, а саме – визначено probit-модель імовірності банківської кризи, що базується на обґрунтуванні індикаторів стимулюючого та дестимулюючого впливу на фінансову стійкість банківських систем, визначенні волатильності індексу банківської кризи та системи індикаторів кризи, практичне застосування якої уможливлює достовірну оцінку імовірності виникнення банківської кризи в ісламських, змішаних та традиційних банківських системах та дозволяє визначати ступінь їхньої стабільності;</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bCs/>
          <w:i/>
          <w:iCs/>
          <w:kern w:val="0"/>
          <w:sz w:val="28"/>
          <w:szCs w:val="28"/>
          <w:lang w:val="uk-UA" w:eastAsia="en-US"/>
        </w:rPr>
      </w:pPr>
      <w:r w:rsidRPr="00A16840">
        <w:rPr>
          <w:rFonts w:ascii="Times New Roman" w:eastAsia="Times New Roman" w:hAnsi="Times New Roman" w:cs="Times New Roman"/>
          <w:bCs/>
          <w:i/>
          <w:iCs/>
          <w:kern w:val="0"/>
          <w:sz w:val="28"/>
          <w:szCs w:val="28"/>
          <w:lang w:val="uk-UA" w:eastAsia="en-US"/>
        </w:rPr>
        <w:t xml:space="preserve">удосконалено: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bCs/>
          <w:kern w:val="0"/>
          <w:sz w:val="28"/>
          <w:szCs w:val="28"/>
          <w:lang w:val="uk-UA" w:eastAsia="en-US"/>
        </w:rPr>
        <w:t xml:space="preserve">теоретико-методологічні підходи дослідження ісламського банкінгу через обґрунтування </w:t>
      </w:r>
      <w:r w:rsidRPr="00A16840">
        <w:rPr>
          <w:rFonts w:ascii="Times New Roman" w:eastAsia="Times New Roman" w:hAnsi="Times New Roman" w:cs="Times New Roman"/>
          <w:bCs/>
          <w:i/>
          <w:iCs/>
          <w:kern w:val="0"/>
          <w:sz w:val="28"/>
          <w:szCs w:val="28"/>
          <w:lang w:val="uk-UA" w:eastAsia="en-US"/>
        </w:rPr>
        <w:t>основних принципів формування ісламської банківської системи</w:t>
      </w:r>
      <w:r w:rsidRPr="00A16840">
        <w:rPr>
          <w:rFonts w:ascii="Times New Roman" w:eastAsia="Times New Roman" w:hAnsi="Times New Roman" w:cs="Times New Roman"/>
          <w:bCs/>
          <w:kern w:val="0"/>
          <w:sz w:val="28"/>
          <w:szCs w:val="28"/>
          <w:lang w:val="uk-UA" w:eastAsia="en-US"/>
        </w:rPr>
        <w:t xml:space="preserve">, а саме: </w:t>
      </w:r>
      <w:r w:rsidRPr="00A16840">
        <w:rPr>
          <w:rFonts w:ascii="Times New Roman" w:eastAsia="Times New Roman" w:hAnsi="Times New Roman" w:cs="Times New Roman"/>
          <w:bCs/>
          <w:i/>
          <w:kern w:val="0"/>
          <w:sz w:val="28"/>
          <w:szCs w:val="28"/>
          <w:lang w:val="uk-UA" w:eastAsia="en-US"/>
        </w:rPr>
        <w:t>принципів заборонного характеру</w:t>
      </w:r>
      <w:r w:rsidRPr="00A16840">
        <w:rPr>
          <w:rFonts w:ascii="Times New Roman" w:eastAsia="Times New Roman" w:hAnsi="Times New Roman" w:cs="Times New Roman"/>
          <w:bCs/>
          <w:kern w:val="0"/>
          <w:sz w:val="28"/>
          <w:szCs w:val="28"/>
          <w:lang w:val="uk-UA" w:eastAsia="en-US"/>
        </w:rPr>
        <w:t xml:space="preserve"> (заборона відсоткових операцій (ріба), операції в умовах невизначеності (гарар), фінансування окремих секторів економіки) і </w:t>
      </w:r>
      <w:r w:rsidRPr="00A16840">
        <w:rPr>
          <w:rFonts w:ascii="Times New Roman" w:eastAsia="Times New Roman" w:hAnsi="Times New Roman" w:cs="Times New Roman"/>
          <w:bCs/>
          <w:i/>
          <w:kern w:val="0"/>
          <w:sz w:val="28"/>
          <w:szCs w:val="28"/>
          <w:lang w:val="uk-UA" w:eastAsia="en-US"/>
        </w:rPr>
        <w:t>принципів, що визначають умови здійснення банківських операцій</w:t>
      </w:r>
      <w:r w:rsidRPr="00A16840">
        <w:rPr>
          <w:rFonts w:ascii="Times New Roman" w:eastAsia="Times New Roman" w:hAnsi="Times New Roman" w:cs="Times New Roman"/>
          <w:bCs/>
          <w:kern w:val="0"/>
          <w:sz w:val="28"/>
          <w:szCs w:val="28"/>
          <w:lang w:val="uk-UA" w:eastAsia="en-US"/>
        </w:rPr>
        <w:t xml:space="preserve"> (умови розподілу ризику отримання прибутку та збитків між клієнтом та банком, умови проведення банківських операцій на основі реальних активів), та виділення  </w:t>
      </w:r>
      <w:r w:rsidRPr="00A16840">
        <w:rPr>
          <w:rFonts w:ascii="Times New Roman" w:eastAsia="Times New Roman" w:hAnsi="Times New Roman" w:cs="Times New Roman"/>
          <w:bCs/>
          <w:i/>
          <w:iCs/>
          <w:kern w:val="0"/>
          <w:sz w:val="28"/>
          <w:szCs w:val="28"/>
          <w:lang w:val="uk-UA" w:eastAsia="en-US"/>
        </w:rPr>
        <w:t>моделей ісламського банкінгу,</w:t>
      </w:r>
      <w:r w:rsidRPr="00A16840">
        <w:rPr>
          <w:rFonts w:ascii="Times New Roman" w:eastAsia="Times New Roman" w:hAnsi="Times New Roman" w:cs="Times New Roman"/>
          <w:bCs/>
          <w:kern w:val="0"/>
          <w:sz w:val="28"/>
          <w:szCs w:val="28"/>
          <w:lang w:val="uk-UA" w:eastAsia="en-US"/>
        </w:rPr>
        <w:t xml:space="preserve"> основними з яких визначено модель мудараба (що ґрунтується на партнерській дворівневій основі розподілу прибутку та збитків) та модель «два вікна» (відповідно до якої пасиви банка структуруються як депозити до запитання та інвестиційні депозити);</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spacing w:val="-2"/>
          <w:kern w:val="0"/>
          <w:sz w:val="28"/>
          <w:szCs w:val="28"/>
          <w:lang w:val="uk-UA" w:eastAsia="en-US"/>
        </w:rPr>
      </w:pPr>
      <w:r w:rsidRPr="00A16840">
        <w:rPr>
          <w:rFonts w:ascii="Times New Roman" w:eastAsia="Times New Roman" w:hAnsi="Times New Roman" w:cs="Times New Roman"/>
          <w:spacing w:val="-2"/>
          <w:kern w:val="0"/>
          <w:sz w:val="28"/>
          <w:szCs w:val="28"/>
          <w:lang w:val="uk-UA" w:eastAsia="en-US"/>
        </w:rPr>
        <w:t xml:space="preserve">теоретичні основи дослідження банківських систем країн світу, а саме на основі застосування системного підходу до аналізу рівня адаптації принципів ісламського банкінгу у традиційних банківських системах та виділення </w:t>
      </w:r>
      <w:r w:rsidRPr="00A16840">
        <w:rPr>
          <w:rFonts w:ascii="Times New Roman" w:eastAsia="Times New Roman" w:hAnsi="Times New Roman" w:cs="Times New Roman"/>
          <w:i/>
          <w:iCs/>
          <w:spacing w:val="-2"/>
          <w:kern w:val="0"/>
          <w:sz w:val="28"/>
          <w:szCs w:val="28"/>
          <w:lang w:val="uk-UA" w:eastAsia="en-US"/>
        </w:rPr>
        <w:t>основних моделей регулювання ісламського банкінгу</w:t>
      </w:r>
      <w:r w:rsidRPr="00A16840">
        <w:rPr>
          <w:rFonts w:ascii="Times New Roman" w:eastAsia="Times New Roman" w:hAnsi="Times New Roman" w:cs="Times New Roman"/>
          <w:spacing w:val="-2"/>
          <w:kern w:val="0"/>
          <w:sz w:val="28"/>
          <w:szCs w:val="28"/>
          <w:lang w:val="uk-UA" w:eastAsia="en-US"/>
        </w:rPr>
        <w:t xml:space="preserve"> (моністичної, що пов’язана із </w:t>
      </w:r>
      <w:r w:rsidRPr="00A16840">
        <w:rPr>
          <w:rFonts w:ascii="Times New Roman" w:eastAsia="TimesNewRoman" w:hAnsi="Times New Roman" w:cs="TimesNewRoman"/>
          <w:spacing w:val="-2"/>
          <w:kern w:val="0"/>
          <w:sz w:val="28"/>
          <w:szCs w:val="28"/>
          <w:lang w:val="uk-UA" w:eastAsia="en-US" w:bidi="mr-IN"/>
        </w:rPr>
        <w:t xml:space="preserve">повною забороною позичкового відсотку, у т.ч. на конституційному рівні; </w:t>
      </w:r>
      <w:r w:rsidRPr="00A16840">
        <w:rPr>
          <w:rFonts w:ascii="Times New Roman" w:eastAsia="Times New Roman" w:hAnsi="Times New Roman" w:cs="Times New Roman"/>
          <w:spacing w:val="-2"/>
          <w:kern w:val="0"/>
          <w:sz w:val="28"/>
          <w:szCs w:val="28"/>
          <w:lang w:val="uk-UA" w:eastAsia="en-US"/>
        </w:rPr>
        <w:t xml:space="preserve">дуалістичної, відповідно до якої </w:t>
      </w:r>
      <w:r w:rsidRPr="00A16840">
        <w:rPr>
          <w:rFonts w:ascii="Times New Roman" w:eastAsia="TimesNewRoman" w:hAnsi="Times New Roman" w:cs="TimesNewRoman"/>
          <w:spacing w:val="-2"/>
          <w:kern w:val="0"/>
          <w:sz w:val="28"/>
          <w:szCs w:val="28"/>
          <w:lang w:val="uk-UA" w:eastAsia="en-US" w:bidi="mr-IN"/>
        </w:rPr>
        <w:t>норми регулювання визначаються за типом банкінгу</w:t>
      </w:r>
      <w:r w:rsidRPr="00A16840">
        <w:rPr>
          <w:rFonts w:ascii="Times New Roman" w:eastAsia="Times New Roman" w:hAnsi="Times New Roman" w:cs="Times New Roman"/>
          <w:spacing w:val="-2"/>
          <w:kern w:val="0"/>
          <w:sz w:val="28"/>
          <w:szCs w:val="28"/>
          <w:lang w:val="uk-UA" w:eastAsia="en-US"/>
        </w:rPr>
        <w:t xml:space="preserve">; традиційної, що визначається </w:t>
      </w:r>
      <w:r w:rsidRPr="00A16840">
        <w:rPr>
          <w:rFonts w:ascii="Times New Roman" w:eastAsia="TimesNewRoman" w:hAnsi="Times New Roman" w:cs="TimesNewRoman"/>
          <w:spacing w:val="-2"/>
          <w:kern w:val="0"/>
          <w:sz w:val="28"/>
          <w:szCs w:val="28"/>
          <w:lang w:val="uk-UA" w:eastAsia="en-US" w:bidi="mr-IN"/>
        </w:rPr>
        <w:t xml:space="preserve">підпорядкованістю діяльності ісламських банків нормам регулювання загального банківського законодавства) </w:t>
      </w:r>
      <w:r w:rsidRPr="00A16840">
        <w:rPr>
          <w:rFonts w:ascii="Times New Roman" w:eastAsia="Times New Roman" w:hAnsi="Times New Roman" w:cs="Times New Roman"/>
          <w:spacing w:val="-2"/>
          <w:kern w:val="0"/>
          <w:sz w:val="28"/>
          <w:szCs w:val="28"/>
          <w:lang w:val="uk-UA" w:eastAsia="en-US"/>
        </w:rPr>
        <w:t xml:space="preserve">запропоновано </w:t>
      </w:r>
      <w:r w:rsidRPr="00A16840">
        <w:rPr>
          <w:rFonts w:ascii="Times New Roman" w:eastAsia="Times New Roman" w:hAnsi="Times New Roman" w:cs="Times New Roman"/>
          <w:i/>
          <w:iCs/>
          <w:spacing w:val="-2"/>
          <w:kern w:val="0"/>
          <w:sz w:val="28"/>
          <w:szCs w:val="28"/>
          <w:lang w:val="uk-UA" w:eastAsia="en-US"/>
        </w:rPr>
        <w:t>класифікацію країн світу за рівнем імплементації принципів ісламського банкінгу</w:t>
      </w:r>
      <w:r w:rsidRPr="00A16840">
        <w:rPr>
          <w:rFonts w:ascii="Times New Roman" w:eastAsia="Times New Roman" w:hAnsi="Times New Roman" w:cs="Times New Roman"/>
          <w:spacing w:val="-2"/>
          <w:kern w:val="0"/>
          <w:sz w:val="28"/>
          <w:szCs w:val="28"/>
          <w:lang w:val="uk-UA" w:eastAsia="en-US"/>
        </w:rPr>
        <w:t xml:space="preserve"> у національних банківських системах, а саме: країни, банківські системи яких є повністю ісламізованими; країни, в яких функціонують змішані банківські системи зі значною часткою ісламських активів (понад 20%); країни, в яких функціонують змішані банківські системи з відносно незначною часткою ісламських активів (до 20%); країни, в яких функціонують традиційні банківські системи, де ісламські банківські установи відсутні або частка їх активів не перевищує 1%;</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i/>
          <w:iCs/>
          <w:spacing w:val="-6"/>
          <w:kern w:val="0"/>
          <w:sz w:val="28"/>
          <w:szCs w:val="28"/>
          <w:lang w:val="uk-UA" w:eastAsia="en-US"/>
        </w:rPr>
        <w:t>систематизацію основних інституційно-регуляторних елементів функціонування ісламського банкінгу</w:t>
      </w:r>
      <w:r w:rsidRPr="00A16840">
        <w:rPr>
          <w:rFonts w:ascii="Times New Roman" w:eastAsia="Times New Roman" w:hAnsi="Times New Roman" w:cs="Times New Roman"/>
          <w:i/>
          <w:iCs/>
          <w:kern w:val="0"/>
          <w:sz w:val="28"/>
          <w:szCs w:val="28"/>
          <w:lang w:val="uk-UA" w:eastAsia="en-US"/>
        </w:rPr>
        <w:t xml:space="preserve"> </w:t>
      </w:r>
      <w:r w:rsidRPr="00A16840">
        <w:rPr>
          <w:rFonts w:ascii="Times New Roman" w:eastAsia="Times New Roman" w:hAnsi="Times New Roman" w:cs="Times New Roman"/>
          <w:kern w:val="0"/>
          <w:sz w:val="28"/>
          <w:szCs w:val="28"/>
          <w:lang w:val="uk-UA" w:eastAsia="en-US"/>
        </w:rPr>
        <w:t xml:space="preserve">з урахуванням ініціатив міжнародних інституцій, норм і правил ісламської банківської діяльності; механізму фінансування ісламських економік та забезпечення ліквідності ісламських фінансових установ; інформаційної підтримки та врегулювання суперечок між ісламськими фінансовими установами; запропоновано </w:t>
      </w:r>
      <w:r w:rsidRPr="00A16840">
        <w:rPr>
          <w:rFonts w:ascii="Times New Roman" w:eastAsia="Times New Roman" w:hAnsi="Times New Roman" w:cs="Times New Roman"/>
          <w:i/>
          <w:iCs/>
          <w:kern w:val="0"/>
          <w:sz w:val="28"/>
          <w:szCs w:val="28"/>
          <w:lang w:val="uk-UA" w:eastAsia="en-US"/>
        </w:rPr>
        <w:t xml:space="preserve">концептуальну модель регулювання ісламського банкінгу, </w:t>
      </w:r>
      <w:r w:rsidRPr="00A16840">
        <w:rPr>
          <w:rFonts w:ascii="Times New Roman" w:eastAsia="Times New Roman" w:hAnsi="Times New Roman" w:cs="Times New Roman"/>
          <w:iCs/>
          <w:kern w:val="0"/>
          <w:sz w:val="28"/>
          <w:szCs w:val="28"/>
          <w:lang w:val="uk-UA" w:eastAsia="en-US"/>
        </w:rPr>
        <w:t>яка</w:t>
      </w:r>
      <w:r w:rsidRPr="00A16840">
        <w:rPr>
          <w:rFonts w:ascii="Times New Roman" w:eastAsia="Times New Roman" w:hAnsi="Times New Roman" w:cs="Times New Roman"/>
          <w:i/>
          <w:iCs/>
          <w:kern w:val="0"/>
          <w:sz w:val="28"/>
          <w:szCs w:val="28"/>
          <w:lang w:val="uk-UA" w:eastAsia="en-US"/>
        </w:rPr>
        <w:t xml:space="preserve"> </w:t>
      </w:r>
      <w:r w:rsidRPr="00A16840">
        <w:rPr>
          <w:rFonts w:ascii="Times New Roman" w:eastAsia="Times New Roman" w:hAnsi="Times New Roman" w:cs="Times New Roman"/>
          <w:kern w:val="0"/>
          <w:sz w:val="28"/>
          <w:szCs w:val="28"/>
          <w:lang w:val="uk-UA" w:eastAsia="en-US"/>
        </w:rPr>
        <w:t>враховує вплив міжнародних фінансових інституцій та дозволяє реалізувати завдання пруденційного регулювання і ефективного нагляду відповідно до міжнародних норм, що супроводжуються належним внутрішнім контролем, управлінням ризиком та зовнішнім аудитом, а також більшою прозорістю, покладеними на банки;</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i/>
          <w:iCs/>
          <w:kern w:val="0"/>
          <w:sz w:val="28"/>
          <w:lang w:val="uk-UA" w:eastAsia="en-US"/>
        </w:rPr>
      </w:pPr>
      <w:r w:rsidRPr="00A16840">
        <w:rPr>
          <w:rFonts w:ascii="Times New Roman" w:eastAsia="Times New Roman" w:hAnsi="Times New Roman" w:cs="Times New Roman"/>
          <w:i/>
          <w:iCs/>
          <w:kern w:val="0"/>
          <w:sz w:val="28"/>
          <w:lang w:val="uk-UA" w:eastAsia="en-US"/>
        </w:rPr>
        <w:t>отримали подальшого розвитку:</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spacing w:val="-2"/>
          <w:kern w:val="0"/>
          <w:sz w:val="28"/>
          <w:szCs w:val="28"/>
          <w:lang w:val="uk-UA" w:eastAsia="en-US"/>
        </w:rPr>
      </w:pPr>
      <w:r w:rsidRPr="00A16840">
        <w:rPr>
          <w:rFonts w:ascii="Times New Roman" w:eastAsia="Times New Roman" w:hAnsi="Times New Roman" w:cs="Times New Roman"/>
          <w:spacing w:val="-2"/>
          <w:kern w:val="0"/>
          <w:sz w:val="28"/>
          <w:lang w:val="uk-UA" w:eastAsia="en-US"/>
        </w:rPr>
        <w:t xml:space="preserve">теоретико-методологічні засади дослідження </w:t>
      </w:r>
      <w:r w:rsidRPr="00A16840">
        <w:rPr>
          <w:rFonts w:ascii="Times New Roman" w:eastAsia="Times New Roman" w:hAnsi="Times New Roman" w:cs="Times New Roman"/>
          <w:spacing w:val="-2"/>
          <w:kern w:val="0"/>
          <w:sz w:val="28"/>
          <w:szCs w:val="28"/>
          <w:lang w:val="uk-UA" w:eastAsia="ru-RU"/>
        </w:rPr>
        <w:t xml:space="preserve">інтеграції ісламського банківського капіталу </w:t>
      </w:r>
      <w:r w:rsidRPr="00A16840">
        <w:rPr>
          <w:rFonts w:ascii="Times New Roman" w:eastAsia="Times New Roman" w:hAnsi="Times New Roman" w:cs="Times New Roman"/>
          <w:iCs/>
          <w:spacing w:val="-2"/>
          <w:kern w:val="0"/>
          <w:sz w:val="28"/>
          <w:lang w:val="uk-UA" w:eastAsia="en-US"/>
        </w:rPr>
        <w:t xml:space="preserve">на ринки з традиційними банківськими системами через </w:t>
      </w:r>
      <w:r w:rsidRPr="00A16840">
        <w:rPr>
          <w:rFonts w:ascii="Times New Roman" w:eastAsia="Times New Roman" w:hAnsi="Times New Roman" w:cs="Times New Roman"/>
          <w:spacing w:val="-2"/>
          <w:kern w:val="0"/>
          <w:sz w:val="28"/>
          <w:lang w:val="uk-UA" w:eastAsia="en-US"/>
        </w:rPr>
        <w:t xml:space="preserve">виявлення </w:t>
      </w:r>
      <w:r w:rsidRPr="00A16840">
        <w:rPr>
          <w:rFonts w:ascii="Times New Roman" w:eastAsia="Times New Roman" w:hAnsi="Times New Roman" w:cs="Times New Roman"/>
          <w:i/>
          <w:iCs/>
          <w:spacing w:val="-2"/>
          <w:kern w:val="0"/>
          <w:sz w:val="28"/>
          <w:lang w:val="uk-UA" w:eastAsia="en-US"/>
        </w:rPr>
        <w:t xml:space="preserve">групи </w:t>
      </w:r>
      <w:r w:rsidRPr="00A16840">
        <w:rPr>
          <w:rFonts w:ascii="Times New Roman" w:eastAsia="Times New Roman" w:hAnsi="Times New Roman" w:cs="Times New Roman"/>
          <w:i/>
          <w:spacing w:val="-2"/>
          <w:kern w:val="0"/>
          <w:sz w:val="28"/>
          <w:lang w:val="uk-UA" w:eastAsia="en-US"/>
        </w:rPr>
        <w:t>стимулюючих</w:t>
      </w:r>
      <w:r w:rsidRPr="00A16840">
        <w:rPr>
          <w:rFonts w:ascii="Times New Roman" w:eastAsia="Times New Roman" w:hAnsi="Times New Roman" w:cs="Times New Roman"/>
          <w:i/>
          <w:iCs/>
          <w:spacing w:val="-2"/>
          <w:kern w:val="0"/>
          <w:sz w:val="28"/>
          <w:lang w:val="uk-UA" w:eastAsia="en-US"/>
        </w:rPr>
        <w:t xml:space="preserve"> чинників інтеграції ісламського банкінгу, </w:t>
      </w:r>
      <w:r w:rsidRPr="00A16840">
        <w:rPr>
          <w:rFonts w:ascii="Times New Roman" w:eastAsia="Times New Roman" w:hAnsi="Times New Roman" w:cs="Times New Roman"/>
          <w:iCs/>
          <w:spacing w:val="-2"/>
          <w:kern w:val="0"/>
          <w:sz w:val="28"/>
          <w:lang w:val="uk-UA" w:eastAsia="en-US"/>
        </w:rPr>
        <w:t>а саме:</w:t>
      </w:r>
      <w:r w:rsidRPr="00A16840">
        <w:rPr>
          <w:rFonts w:ascii="Times New Roman" w:eastAsia="Times New Roman" w:hAnsi="Times New Roman" w:cs="Times New Roman"/>
          <w:i/>
          <w:iCs/>
          <w:spacing w:val="-2"/>
          <w:kern w:val="0"/>
          <w:sz w:val="28"/>
          <w:lang w:val="uk-UA" w:eastAsia="en-US"/>
        </w:rPr>
        <w:t xml:space="preserve"> </w:t>
      </w:r>
      <w:r w:rsidRPr="00A16840">
        <w:rPr>
          <w:rFonts w:ascii="Times New Roman" w:eastAsia="Times New Roman" w:hAnsi="Times New Roman" w:cs="Times New Roman"/>
          <w:spacing w:val="-2"/>
          <w:kern w:val="0"/>
          <w:sz w:val="28"/>
          <w:szCs w:val="28"/>
          <w:lang w:val="uk-UA" w:eastAsia="en-US"/>
        </w:rPr>
        <w:t xml:space="preserve">зростання абсолютної кількості мусульманського населення, підвищення його економічної активності через зростання добробуту, оптимізація нормативно-правового забезпечення впровадження принципів ісламських фінансів, розширення взаємодії між ключовими ісламськими фінансовими ринками та іншими ринками, </w:t>
      </w:r>
      <w:r w:rsidRPr="00A16840">
        <w:rPr>
          <w:rFonts w:ascii="Times New Roman" w:eastAsia="Times New Roman" w:hAnsi="Times New Roman" w:cs="Times New Roman"/>
          <w:spacing w:val="-2"/>
          <w:kern w:val="0"/>
          <w:sz w:val="28"/>
          <w:lang w:val="uk-UA" w:eastAsia="en-US"/>
        </w:rPr>
        <w:t xml:space="preserve">та </w:t>
      </w:r>
      <w:r w:rsidRPr="00A16840">
        <w:rPr>
          <w:rFonts w:ascii="Times New Roman" w:eastAsia="Times New Roman" w:hAnsi="Times New Roman" w:cs="Times New Roman"/>
          <w:i/>
          <w:spacing w:val="-2"/>
          <w:kern w:val="0"/>
          <w:sz w:val="28"/>
          <w:lang w:val="uk-UA" w:eastAsia="en-US"/>
        </w:rPr>
        <w:t>дестимулюючих</w:t>
      </w:r>
      <w:r w:rsidRPr="00A16840">
        <w:rPr>
          <w:rFonts w:ascii="Times New Roman" w:eastAsia="Times New Roman" w:hAnsi="Times New Roman" w:cs="Times New Roman"/>
          <w:i/>
          <w:iCs/>
          <w:spacing w:val="-2"/>
          <w:kern w:val="0"/>
          <w:sz w:val="28"/>
          <w:lang w:val="uk-UA" w:eastAsia="en-US"/>
        </w:rPr>
        <w:t xml:space="preserve"> </w:t>
      </w:r>
      <w:r w:rsidRPr="00A16840">
        <w:rPr>
          <w:rFonts w:ascii="Times New Roman" w:eastAsia="Times New Roman" w:hAnsi="Times New Roman" w:cs="Times New Roman"/>
          <w:i/>
          <w:spacing w:val="-2"/>
          <w:kern w:val="0"/>
          <w:sz w:val="28"/>
          <w:lang w:val="uk-UA" w:eastAsia="en-US"/>
        </w:rPr>
        <w:t xml:space="preserve">чинників – </w:t>
      </w:r>
      <w:r w:rsidRPr="00A16840">
        <w:rPr>
          <w:rFonts w:ascii="Times New Roman" w:eastAsia="Times New Roman" w:hAnsi="Times New Roman" w:cs="Times New Roman"/>
          <w:spacing w:val="-2"/>
          <w:kern w:val="0"/>
          <w:sz w:val="28"/>
          <w:lang w:val="uk-UA" w:eastAsia="en-US"/>
        </w:rPr>
        <w:t>внутрішніх (</w:t>
      </w:r>
      <w:r w:rsidRPr="00A16840">
        <w:rPr>
          <w:rFonts w:ascii="Times New Roman" w:eastAsia="Times New Roman" w:hAnsi="Times New Roman" w:cs="Times New Roman"/>
          <w:iCs/>
          <w:spacing w:val="-2"/>
          <w:kern w:val="0"/>
          <w:sz w:val="28"/>
          <w:szCs w:val="28"/>
          <w:lang w:val="uk-UA" w:eastAsia="en-US"/>
        </w:rPr>
        <w:t xml:space="preserve">відсутність </w:t>
      </w:r>
      <w:r w:rsidRPr="00A16840">
        <w:rPr>
          <w:rFonts w:ascii="Times New Roman" w:eastAsia="Times New Roman" w:hAnsi="Times New Roman" w:cs="Times New Roman"/>
          <w:spacing w:val="-2"/>
          <w:kern w:val="0"/>
          <w:sz w:val="28"/>
          <w:szCs w:val="28"/>
          <w:lang w:val="uk-UA" w:eastAsia="en-US"/>
        </w:rPr>
        <w:t>централізованих органів регулювання діяльності ісламських фінансових інститутів; відносно низький рівень капіталізації ісламських банків; недостатня ліквідність та відкритість ісламських ринків; обмежена кількість ісламських фінансових інструментів; залежність ісламських банків від цінової кон’юнктури ринку нафти)</w:t>
      </w:r>
      <w:r w:rsidRPr="00A16840">
        <w:rPr>
          <w:rFonts w:ascii="Times New Roman" w:eastAsia="Times New Roman" w:hAnsi="Times New Roman" w:cs="Times New Roman"/>
          <w:iCs/>
          <w:spacing w:val="-2"/>
          <w:kern w:val="0"/>
          <w:sz w:val="28"/>
          <w:szCs w:val="28"/>
          <w:lang w:val="uk-UA" w:eastAsia="en-US"/>
        </w:rPr>
        <w:t xml:space="preserve"> та зовнішніх (наявність культурного бар’єру впровадження ісламських принципів; </w:t>
      </w:r>
      <w:r w:rsidRPr="00A16840">
        <w:rPr>
          <w:rFonts w:ascii="Times New Roman" w:eastAsia="Times New Roman" w:hAnsi="Times New Roman" w:cs="Times New Roman"/>
          <w:spacing w:val="-2"/>
          <w:kern w:val="0"/>
          <w:sz w:val="28"/>
          <w:szCs w:val="28"/>
          <w:lang w:val="uk-UA" w:eastAsia="en-US"/>
        </w:rPr>
        <w:t>обмежене визнання ісламських банківських інституцій центральними банками інших країн; негативне сприйняття ісламських банків з боку традиційних банків-конкурентів тощо);</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bCs/>
          <w:iCs/>
          <w:kern w:val="0"/>
          <w:sz w:val="28"/>
          <w:szCs w:val="28"/>
          <w:lang w:val="uk-UA" w:eastAsia="ru-RU"/>
        </w:rPr>
      </w:pPr>
      <w:r w:rsidRPr="00A16840">
        <w:rPr>
          <w:rFonts w:ascii="Times New Roman" w:eastAsia="Times New Roman" w:hAnsi="Times New Roman" w:cs="Times New Roman"/>
          <w:kern w:val="0"/>
          <w:sz w:val="28"/>
          <w:szCs w:val="28"/>
          <w:lang w:val="uk-UA" w:eastAsia="en-US"/>
        </w:rPr>
        <w:t xml:space="preserve">понятійно-категорійний апарат дослідження принципів функціонування банківських систем: надано авторське визначення </w:t>
      </w:r>
      <w:r w:rsidRPr="00A16840">
        <w:rPr>
          <w:rFonts w:ascii="Times New Roman" w:eastAsia="Times New Roman" w:hAnsi="Times New Roman" w:cs="Times New Roman"/>
          <w:i/>
          <w:iCs/>
          <w:kern w:val="0"/>
          <w:sz w:val="28"/>
          <w:szCs w:val="28"/>
          <w:lang w:val="uk-UA" w:eastAsia="en-US"/>
        </w:rPr>
        <w:t>ісламського банкінгу</w:t>
      </w:r>
      <w:r w:rsidRPr="00A16840">
        <w:rPr>
          <w:rFonts w:ascii="Times New Roman" w:eastAsia="Times New Roman" w:hAnsi="Times New Roman" w:cs="Times New Roman"/>
          <w:kern w:val="0"/>
          <w:sz w:val="28"/>
          <w:szCs w:val="28"/>
          <w:lang w:val="uk-UA" w:eastAsia="en-US"/>
        </w:rPr>
        <w:t xml:space="preserve"> </w:t>
      </w:r>
      <w:r w:rsidRPr="00A16840">
        <w:rPr>
          <w:rFonts w:ascii="Times New Roman" w:eastAsia="Times New Roman" w:hAnsi="Times New Roman" w:cs="Times New Roman"/>
          <w:bCs/>
          <w:iCs/>
          <w:kern w:val="0"/>
          <w:sz w:val="28"/>
          <w:szCs w:val="28"/>
          <w:lang w:val="uk-UA" w:eastAsia="ru-RU"/>
        </w:rPr>
        <w:t xml:space="preserve">як сукупності прийомів фінансового менеджменту, побудованих на </w:t>
      </w:r>
      <w:r w:rsidRPr="00A16840">
        <w:rPr>
          <w:rFonts w:ascii="Times New Roman" w:eastAsia="Times New Roman" w:hAnsi="Times New Roman" w:cs="Times New Roman"/>
          <w:kern w:val="0"/>
          <w:sz w:val="28"/>
          <w:szCs w:val="28"/>
          <w:lang w:val="uk-UA" w:eastAsia="en-US"/>
        </w:rPr>
        <w:t>засадах парадигми розподілу прибутків та витрат</w:t>
      </w:r>
      <w:r w:rsidRPr="00A16840">
        <w:rPr>
          <w:rFonts w:ascii="Times New Roman" w:eastAsia="Times New Roman" w:hAnsi="Times New Roman" w:cs="Times New Roman"/>
          <w:bCs/>
          <w:iCs/>
          <w:kern w:val="0"/>
          <w:sz w:val="28"/>
          <w:szCs w:val="28"/>
          <w:lang w:val="uk-UA" w:eastAsia="ru-RU"/>
        </w:rPr>
        <w:t xml:space="preserve"> </w:t>
      </w:r>
      <w:r w:rsidRPr="00A16840">
        <w:rPr>
          <w:rFonts w:ascii="Times New Roman" w:eastAsia="Times New Roman" w:hAnsi="Times New Roman" w:cs="Times New Roman"/>
          <w:kern w:val="0"/>
          <w:sz w:val="28"/>
          <w:szCs w:val="28"/>
          <w:lang w:val="uk-UA" w:eastAsia="en-US"/>
        </w:rPr>
        <w:t>відповідно законам Шаріату,</w:t>
      </w:r>
      <w:r w:rsidRPr="00A16840">
        <w:rPr>
          <w:rFonts w:ascii="Times New Roman" w:eastAsia="Times New Roman" w:hAnsi="Times New Roman" w:cs="Times New Roman"/>
          <w:bCs/>
          <w:iCs/>
          <w:kern w:val="0"/>
          <w:sz w:val="28"/>
          <w:szCs w:val="28"/>
          <w:lang w:val="uk-UA" w:eastAsia="ru-RU"/>
        </w:rPr>
        <w:t xml:space="preserve"> що передбачає забезпечення стабільної прибутковості депозитів за умов високого рівня фідуціарних ризиків та максимізацію повернення вкладів у ісламську банківську систему через низькоризикованість інвестування. </w:t>
      </w:r>
    </w:p>
    <w:p w:rsidR="00A16840" w:rsidRPr="00A16840" w:rsidRDefault="00A16840" w:rsidP="00A16840">
      <w:pPr>
        <w:widowControl/>
        <w:tabs>
          <w:tab w:val="clear" w:pos="709"/>
          <w:tab w:val="left" w:pos="1080"/>
        </w:tabs>
        <w:suppressAutoHyphens w:val="0"/>
        <w:spacing w:after="0" w:line="240" w:lineRule="auto"/>
        <w:contextualSpacing/>
        <w:rPr>
          <w:rFonts w:ascii="Times New Roman" w:eastAsia="Calibri" w:hAnsi="Times New Roman" w:cs="Arial"/>
          <w:bCs/>
          <w:kern w:val="0"/>
          <w:sz w:val="28"/>
          <w:szCs w:val="28"/>
          <w:lang w:val="uk-UA" w:eastAsia="en-US"/>
        </w:rPr>
      </w:pPr>
      <w:r w:rsidRPr="00A16840">
        <w:rPr>
          <w:rFonts w:ascii="Times New Roman" w:eastAsia="Calibri" w:hAnsi="Times New Roman" w:cs="Arial"/>
          <w:b/>
          <w:kern w:val="0"/>
          <w:sz w:val="28"/>
          <w:szCs w:val="28"/>
          <w:lang w:val="uk-UA" w:eastAsia="en-US"/>
        </w:rPr>
        <w:t>Практичне значення одержаних результатів</w:t>
      </w:r>
      <w:r w:rsidRPr="00A16840">
        <w:rPr>
          <w:rFonts w:ascii="Times New Roman" w:eastAsia="Calibri" w:hAnsi="Times New Roman" w:cs="Arial"/>
          <w:kern w:val="0"/>
          <w:sz w:val="28"/>
          <w:szCs w:val="28"/>
          <w:lang w:val="uk-UA" w:eastAsia="en-US"/>
        </w:rPr>
        <w:t xml:space="preserve"> полягає в тому, що обґрунтовані у роботі висновки і рекомендації можуть бути використані в </w:t>
      </w:r>
      <w:r w:rsidRPr="00A16840">
        <w:rPr>
          <w:rFonts w:ascii="Times New Roman" w:eastAsia="Calibri" w:hAnsi="Times New Roman" w:cs="Arial"/>
          <w:spacing w:val="-1"/>
          <w:kern w:val="0"/>
          <w:sz w:val="28"/>
          <w:szCs w:val="28"/>
          <w:lang w:val="uk-UA" w:eastAsia="en-US"/>
        </w:rPr>
        <w:t>практичній діяльності державних фінансових установ, комерційних банків та науково-дослідних інститутів для</w:t>
      </w:r>
      <w:r w:rsidRPr="00A16840">
        <w:rPr>
          <w:rFonts w:ascii="Times New Roman" w:eastAsia="Calibri" w:hAnsi="Times New Roman" w:cs="Arial"/>
          <w:kern w:val="0"/>
          <w:sz w:val="28"/>
          <w:szCs w:val="28"/>
          <w:lang w:val="uk-UA" w:eastAsia="en-US"/>
        </w:rPr>
        <w:t xml:space="preserve"> підвищення рівня стратегічного планування та прогнозування банківської діяльності, оперативного впливу на проведення банківських операцій, запровадження низькоризикованого функціонування та управління активами.</w:t>
      </w:r>
      <w:r w:rsidRPr="00A16840">
        <w:rPr>
          <w:rFonts w:ascii="Times New Roman" w:eastAsia="Calibri" w:hAnsi="Times New Roman" w:cs="Arial"/>
          <w:bCs/>
          <w:kern w:val="0"/>
          <w:sz w:val="28"/>
          <w:szCs w:val="28"/>
          <w:lang w:val="uk-UA" w:eastAsia="en-US"/>
        </w:rPr>
        <w:t xml:space="preserve">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Висновки та пропозиції, викладені в дисертаційній роботі, впроваджено в практичну діяльність </w:t>
      </w:r>
      <w:r w:rsidRPr="00A16840">
        <w:rPr>
          <w:rFonts w:ascii="Times New Roman" w:eastAsia="Times New Roman" w:hAnsi="Times New Roman" w:cs="Times New Roman"/>
          <w:spacing w:val="-1"/>
          <w:kern w:val="0"/>
          <w:sz w:val="28"/>
          <w:szCs w:val="28"/>
          <w:lang w:val="uk-UA" w:eastAsia="en-US"/>
        </w:rPr>
        <w:t xml:space="preserve">Департаменту економіки і міжнародних відносин </w:t>
      </w:r>
      <w:r w:rsidRPr="00A16840">
        <w:rPr>
          <w:rFonts w:ascii="Times New Roman" w:eastAsia="Times New Roman" w:hAnsi="Times New Roman" w:cs="Times New Roman"/>
          <w:spacing w:val="-4"/>
          <w:kern w:val="0"/>
          <w:sz w:val="28"/>
          <w:szCs w:val="28"/>
          <w:lang w:val="uk-UA" w:eastAsia="en-US"/>
        </w:rPr>
        <w:t xml:space="preserve">Харківської обласної державної адміністрації (довідка № 03-34/2794 від 24.11.2013 р.) – наукові положення щодо імплементації норм пруденційного нагляду ісламськими банками та практичні рекомендації щодо інкорпорування ісламських принципів у систему антикризових заходів функціонування банківського сектору України; </w:t>
      </w:r>
      <w:r w:rsidRPr="00A16840">
        <w:rPr>
          <w:rFonts w:ascii="Times New Roman" w:eastAsia="Times New Roman" w:hAnsi="Times New Roman" w:cs="Times New Roman"/>
          <w:spacing w:val="-2"/>
          <w:kern w:val="0"/>
          <w:sz w:val="28"/>
          <w:szCs w:val="28"/>
          <w:lang w:val="uk-UA" w:eastAsia="en-US"/>
        </w:rPr>
        <w:t xml:space="preserve">Публічного акціонерного товариства «Міжнародний інвестиційний банк» </w:t>
      </w:r>
      <w:r w:rsidRPr="00A16840">
        <w:rPr>
          <w:rFonts w:ascii="Times New Roman" w:eastAsia="Times New Roman" w:hAnsi="Times New Roman" w:cs="Times New Roman"/>
          <w:spacing w:val="-1"/>
          <w:kern w:val="0"/>
          <w:sz w:val="28"/>
          <w:szCs w:val="28"/>
          <w:lang w:val="uk-UA" w:eastAsia="en-US"/>
        </w:rPr>
        <w:t>(довідка №827/</w:t>
      </w:r>
      <w:r w:rsidRPr="00A16840">
        <w:rPr>
          <w:rFonts w:ascii="Times New Roman" w:eastAsia="Times New Roman" w:hAnsi="Times New Roman" w:cs="Times New Roman"/>
          <w:spacing w:val="-1"/>
          <w:kern w:val="0"/>
          <w:sz w:val="28"/>
          <w:szCs w:val="28"/>
          <w:lang w:eastAsia="en-US"/>
        </w:rPr>
        <w:t>IV</w:t>
      </w:r>
      <w:r w:rsidRPr="00A16840">
        <w:rPr>
          <w:rFonts w:ascii="Times New Roman" w:eastAsia="Times New Roman" w:hAnsi="Times New Roman" w:cs="Times New Roman"/>
          <w:spacing w:val="-1"/>
          <w:kern w:val="0"/>
          <w:sz w:val="28"/>
          <w:szCs w:val="28"/>
          <w:lang w:val="uk-UA" w:eastAsia="en-US"/>
        </w:rPr>
        <w:t xml:space="preserve"> від 02.04.2014 р.) – а</w:t>
      </w:r>
      <w:r w:rsidRPr="00A16840">
        <w:rPr>
          <w:rFonts w:ascii="Times New Roman" w:eastAsia="Times New Roman" w:hAnsi="Times New Roman" w:cs="Times New Roman"/>
          <w:bCs/>
          <w:kern w:val="0"/>
          <w:sz w:val="28"/>
          <w:szCs w:val="28"/>
          <w:lang w:val="uk-UA" w:eastAsia="en-US"/>
        </w:rPr>
        <w:t>н</w:t>
      </w:r>
      <w:r w:rsidRPr="00A16840">
        <w:rPr>
          <w:rFonts w:ascii="Times New Roman" w:eastAsia="Times New Roman" w:hAnsi="Times New Roman" w:cs="Times New Roman"/>
          <w:spacing w:val="-1"/>
          <w:kern w:val="0"/>
          <w:sz w:val="28"/>
          <w:szCs w:val="28"/>
          <w:lang w:val="uk-UA" w:eastAsia="en-US"/>
        </w:rPr>
        <w:t>алітичні висновки щодо формування конкурентних стратегій ісламських банків в забезпеченні стабільної прибутковості депозитів і розробці нових банківських продуктів з низькоризикованим інвестуванням</w:t>
      </w:r>
      <w:r w:rsidRPr="00A16840">
        <w:rPr>
          <w:rFonts w:ascii="Times New Roman" w:eastAsia="Times New Roman" w:hAnsi="Times New Roman" w:cs="Times New Roman"/>
          <w:kern w:val="0"/>
          <w:sz w:val="28"/>
          <w:szCs w:val="28"/>
          <w:lang w:val="uk-UA" w:eastAsia="en-US"/>
        </w:rPr>
        <w:t xml:space="preserve">.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Наукові положення і рекомендації дисертаційної роботи використано у навчальному процесі Інституту міжнародних відносин Київського національного університету імені Тараса Шевченка Міністерства освіти і науки України при розробці навчально-методичного комплексу дисципліни «Макроекономічна політика і моделювання» (довідка № 048</w:t>
      </w:r>
      <w:r w:rsidRPr="00A16840">
        <w:rPr>
          <w:rFonts w:ascii="Times New Roman" w:eastAsia="Times New Roman" w:hAnsi="Times New Roman" w:cs="Times New Roman"/>
          <w:spacing w:val="-1"/>
          <w:kern w:val="0"/>
          <w:sz w:val="28"/>
          <w:szCs w:val="28"/>
          <w:lang w:val="uk-UA" w:eastAsia="en-US"/>
        </w:rPr>
        <w:t>/11-301</w:t>
      </w:r>
      <w:r w:rsidRPr="00A16840">
        <w:rPr>
          <w:rFonts w:ascii="Times New Roman" w:eastAsia="Times New Roman" w:hAnsi="Times New Roman" w:cs="Times New Roman"/>
          <w:kern w:val="0"/>
          <w:sz w:val="28"/>
          <w:szCs w:val="28"/>
          <w:lang w:val="uk-UA" w:eastAsia="en-US"/>
        </w:rPr>
        <w:t xml:space="preserve"> від 22.04.2014 </w:t>
      </w:r>
      <w:r w:rsidRPr="00A16840">
        <w:rPr>
          <w:rFonts w:ascii="Times New Roman" w:eastAsia="Times New Roman" w:hAnsi="Times New Roman" w:cs="Times New Roman"/>
          <w:spacing w:val="-1"/>
          <w:kern w:val="0"/>
          <w:sz w:val="28"/>
          <w:szCs w:val="28"/>
          <w:lang w:val="uk-UA" w:eastAsia="en-US"/>
        </w:rPr>
        <w:t>p.) та Харківського інституту управління при підготовці методичних розробок з дисципліни «Банківська справа» та спецкурсу «Міжнародна інвестиційна діяльність» (довідка № 123 від 25.03.2014 р.).</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
          <w:kern w:val="0"/>
          <w:sz w:val="28"/>
          <w:szCs w:val="28"/>
          <w:lang w:val="uk-UA" w:eastAsia="en-US"/>
        </w:rPr>
        <w:t>Особистий внесок здобувача.</w:t>
      </w:r>
      <w:r w:rsidRPr="00A16840">
        <w:rPr>
          <w:rFonts w:ascii="Times New Roman" w:eastAsia="Times New Roman" w:hAnsi="Times New Roman" w:cs="Times New Roman"/>
          <w:kern w:val="0"/>
          <w:sz w:val="28"/>
          <w:szCs w:val="28"/>
          <w:lang w:val="uk-UA" w:eastAsia="en-US"/>
        </w:rPr>
        <w:t xml:space="preserve">  </w:t>
      </w:r>
      <w:r w:rsidRPr="00A16840">
        <w:rPr>
          <w:rFonts w:ascii="Times New Roman" w:eastAsia="Times New Roman" w:hAnsi="Times New Roman" w:cs="Times New Roman CYR"/>
          <w:kern w:val="0"/>
          <w:sz w:val="28"/>
          <w:szCs w:val="28"/>
          <w:lang w:val="uk-UA" w:eastAsia="en-US"/>
        </w:rPr>
        <w:t xml:space="preserve">Дисертація є самостійною науковою працею. Основні положення дисертації, висновки і пропозиції отримані автором самостійно і відображені в опублікованих працях.  Робота містить теоретичні та практичні положення і висновки, сформульовані дисертантом особисто. </w:t>
      </w:r>
      <w:r w:rsidRPr="00A16840">
        <w:rPr>
          <w:rFonts w:ascii="Times New Roman" w:eastAsia="Times New Roman" w:hAnsi="Times New Roman" w:cs="Times New Roman"/>
          <w:kern w:val="0"/>
          <w:sz w:val="28"/>
          <w:szCs w:val="28"/>
          <w:lang w:val="uk-UA" w:eastAsia="en-US"/>
        </w:rPr>
        <w:t>Використані в дисертації ідеї, положення чи гіпотези інших авторів мають відповідні посилання і використані лише для підкріплення ідей здобувача.</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b/>
          <w:bCs/>
          <w:spacing w:val="-2"/>
          <w:kern w:val="0"/>
          <w:sz w:val="28"/>
          <w:szCs w:val="28"/>
          <w:lang w:val="uk-UA" w:eastAsia="en-US"/>
        </w:rPr>
      </w:pPr>
      <w:r w:rsidRPr="00A16840">
        <w:rPr>
          <w:rFonts w:ascii="Times New Roman" w:eastAsia="Times New Roman" w:hAnsi="Times New Roman" w:cs="Times New Roman"/>
          <w:b/>
          <w:spacing w:val="-2"/>
          <w:kern w:val="0"/>
          <w:sz w:val="28"/>
          <w:szCs w:val="28"/>
          <w:lang w:val="uk-UA" w:eastAsia="en-US"/>
        </w:rPr>
        <w:t xml:space="preserve">Апробація результатів дисертації. </w:t>
      </w:r>
      <w:r w:rsidRPr="00A16840">
        <w:rPr>
          <w:rFonts w:ascii="Times New Roman" w:eastAsia="Times New Roman" w:hAnsi="Times New Roman" w:cs="Times New Roman"/>
          <w:spacing w:val="-2"/>
          <w:kern w:val="0"/>
          <w:sz w:val="28"/>
          <w:szCs w:val="28"/>
          <w:lang w:val="uk-UA" w:eastAsia="en-US"/>
        </w:rPr>
        <w:t xml:space="preserve">Основні результати дослідження доповідались автором і отримали схвалення на міжнародних та всеукраїнських конференціях і семінарах: «Теорія і практика сучасної економіки» (м. Черкаси, 2012 р.); «Интеграционные приоритеты Украины в современном геоэкономическом пространстве» (м. Сімферополь, 2012 р.); </w:t>
      </w:r>
      <w:r w:rsidRPr="00A16840">
        <w:rPr>
          <w:rFonts w:ascii="Times New Roman" w:eastAsia="Times New Roman" w:hAnsi="Times New Roman" w:cs="Times New Roman"/>
          <w:caps/>
          <w:spacing w:val="-2"/>
          <w:kern w:val="0"/>
          <w:sz w:val="28"/>
          <w:szCs w:val="28"/>
          <w:lang w:val="uk-UA" w:eastAsia="en-US"/>
        </w:rPr>
        <w:t>«о</w:t>
      </w:r>
      <w:r w:rsidRPr="00A16840">
        <w:rPr>
          <w:rFonts w:ascii="Times New Roman" w:eastAsia="Times New Roman" w:hAnsi="Times New Roman" w:cs="Times New Roman"/>
          <w:spacing w:val="-2"/>
          <w:kern w:val="0"/>
          <w:sz w:val="28"/>
          <w:szCs w:val="28"/>
          <w:lang w:val="uk-UA" w:eastAsia="en-US"/>
        </w:rPr>
        <w:t xml:space="preserve">рганизационно-экономические проблемы регионального развития в современных условиях» (м. Сімферополь, 2013 р.); «Актуальні проблеми фінансової системи України» (м. Черкаси, 2013 р.); </w:t>
      </w:r>
      <w:r w:rsidRPr="00A16840">
        <w:rPr>
          <w:rFonts w:ascii="Times New Roman" w:eastAsia="Times New Roman" w:hAnsi="Times New Roman" w:cs="Times New Roman"/>
          <w:spacing w:val="-2"/>
          <w:kern w:val="0"/>
          <w:sz w:val="28"/>
          <w:szCs w:val="28"/>
          <w:lang w:eastAsia="en-US"/>
        </w:rPr>
        <w:t xml:space="preserve">«Шевченківська весна» </w:t>
      </w:r>
      <w:r w:rsidRPr="00A16840">
        <w:rPr>
          <w:rFonts w:ascii="Times New Roman" w:eastAsia="Times New Roman" w:hAnsi="Times New Roman" w:cs="Times New Roman"/>
          <w:spacing w:val="-2"/>
          <w:kern w:val="0"/>
          <w:sz w:val="28"/>
          <w:szCs w:val="28"/>
          <w:lang w:val="uk-UA" w:eastAsia="en-US"/>
        </w:rPr>
        <w:t xml:space="preserve">(м. Київ, </w:t>
      </w:r>
      <w:r w:rsidRPr="00A16840">
        <w:rPr>
          <w:rFonts w:ascii="Times New Roman" w:eastAsia="Times New Roman" w:hAnsi="Times New Roman" w:cs="Times New Roman"/>
          <w:spacing w:val="-2"/>
          <w:kern w:val="0"/>
          <w:sz w:val="28"/>
          <w:szCs w:val="28"/>
          <w:lang w:eastAsia="en-US"/>
        </w:rPr>
        <w:t>2013</w:t>
      </w:r>
      <w:r w:rsidRPr="00A16840">
        <w:rPr>
          <w:rFonts w:ascii="Times New Roman" w:eastAsia="Times New Roman" w:hAnsi="Times New Roman" w:cs="Times New Roman"/>
          <w:spacing w:val="-2"/>
          <w:kern w:val="0"/>
          <w:sz w:val="28"/>
          <w:szCs w:val="28"/>
          <w:lang w:val="uk-UA" w:eastAsia="en-US"/>
        </w:rPr>
        <w:t> р.);</w:t>
      </w:r>
      <w:r w:rsidRPr="00A16840">
        <w:rPr>
          <w:rFonts w:ascii="Calibri" w:eastAsia="Times New Roman" w:hAnsi="Calibri" w:cs="Times New Roman"/>
          <w:spacing w:val="-2"/>
          <w:kern w:val="0"/>
          <w:sz w:val="28"/>
          <w:szCs w:val="28"/>
          <w:lang w:eastAsia="en-US"/>
        </w:rPr>
        <w:t xml:space="preserve"> </w:t>
      </w:r>
      <w:r w:rsidRPr="00A16840">
        <w:rPr>
          <w:rFonts w:ascii="Times New Roman" w:eastAsia="Times New Roman" w:hAnsi="Times New Roman" w:cs="Times New Roman"/>
          <w:spacing w:val="-2"/>
          <w:kern w:val="0"/>
          <w:sz w:val="28"/>
          <w:szCs w:val="28"/>
          <w:lang w:val="uk-UA" w:eastAsia="en-US"/>
        </w:rPr>
        <w:t>«</w:t>
      </w:r>
      <w:r w:rsidRPr="00A16840">
        <w:rPr>
          <w:rFonts w:ascii="Times New Roman" w:eastAsia="Times New Roman" w:hAnsi="Times New Roman" w:cs="Times New Roman"/>
          <w:spacing w:val="-2"/>
          <w:kern w:val="0"/>
          <w:sz w:val="28"/>
          <w:szCs w:val="28"/>
          <w:lang w:eastAsia="en-US"/>
        </w:rPr>
        <w:t>Проблемы развития внешнеэкономических связей и привлечения иностранных инвестиций:</w:t>
      </w:r>
      <w:r w:rsidRPr="00A16840">
        <w:rPr>
          <w:rFonts w:ascii="Times New Roman" w:eastAsia="Times New Roman" w:hAnsi="Times New Roman" w:cs="Times New Roman"/>
          <w:spacing w:val="-2"/>
          <w:kern w:val="0"/>
          <w:sz w:val="28"/>
          <w:szCs w:val="28"/>
          <w:lang w:val="uk-UA" w:eastAsia="en-US"/>
        </w:rPr>
        <w:t xml:space="preserve"> </w:t>
      </w:r>
      <w:r w:rsidRPr="00A16840">
        <w:rPr>
          <w:rFonts w:ascii="Times New Roman" w:eastAsia="Times New Roman" w:hAnsi="Times New Roman" w:cs="Times New Roman"/>
          <w:spacing w:val="-2"/>
          <w:kern w:val="0"/>
          <w:sz w:val="28"/>
          <w:szCs w:val="28"/>
          <w:lang w:eastAsia="en-US"/>
        </w:rPr>
        <w:t>региональный аспект</w:t>
      </w:r>
      <w:r w:rsidRPr="00A16840">
        <w:rPr>
          <w:rFonts w:ascii="Times New Roman" w:eastAsia="Times New Roman" w:hAnsi="Times New Roman" w:cs="Times New Roman"/>
          <w:spacing w:val="-2"/>
          <w:kern w:val="0"/>
          <w:sz w:val="28"/>
          <w:szCs w:val="28"/>
          <w:lang w:val="uk-UA" w:eastAsia="en-US"/>
        </w:rPr>
        <w:t>» (м. Донецьк – м. Святогорськ, 2013 р.).</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
          <w:kern w:val="0"/>
          <w:sz w:val="28"/>
          <w:szCs w:val="28"/>
          <w:lang w:val="uk-UA" w:eastAsia="en-US"/>
        </w:rPr>
        <w:t>Публікації.</w:t>
      </w:r>
      <w:r w:rsidRPr="00A16840">
        <w:rPr>
          <w:rFonts w:ascii="Times New Roman" w:eastAsia="Times New Roman" w:hAnsi="Times New Roman" w:cs="Times New Roman"/>
          <w:kern w:val="0"/>
          <w:sz w:val="28"/>
          <w:szCs w:val="28"/>
          <w:lang w:val="uk-UA" w:eastAsia="en-US"/>
        </w:rPr>
        <w:t xml:space="preserve"> За результатами дослідження опубліковано 12 наукових праць загальним обсягом 4,4 д.а., з яких особисто автору належить 4,4 д.а., у тому числі у наукових фахових виданнях – 5 статей загальним обсягом 2,2 д.а., з яких особисто автору належить 2,2 д.а., у наукових періодичних виданнях інших держав та виданнях України, включених до міжнародних наукометричних баз, – 3 роботи загальним обсягом 1,3 д.а., з яких особисто автору належить 1,3 д.а.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
          <w:bCs/>
          <w:kern w:val="0"/>
          <w:sz w:val="28"/>
          <w:szCs w:val="28"/>
          <w:lang w:val="uk-UA" w:eastAsia="en-US"/>
        </w:rPr>
        <w:t>Обсяг і структура дисертаційної роботи.</w:t>
      </w:r>
      <w:r w:rsidRPr="00A16840">
        <w:rPr>
          <w:rFonts w:ascii="Calibri" w:eastAsia="Times New Roman" w:hAnsi="Calibri" w:cs="Times New Roman"/>
          <w:kern w:val="0"/>
          <w:sz w:val="28"/>
          <w:szCs w:val="28"/>
          <w:lang w:val="uk-UA" w:eastAsia="en-US"/>
        </w:rPr>
        <w:t xml:space="preserve"> </w:t>
      </w:r>
      <w:r w:rsidRPr="00A16840">
        <w:rPr>
          <w:rFonts w:ascii="Times New Roman" w:eastAsia="Times New Roman" w:hAnsi="Times New Roman" w:cs="Times New Roman"/>
          <w:kern w:val="0"/>
          <w:sz w:val="28"/>
          <w:szCs w:val="28"/>
          <w:lang w:val="uk-UA" w:eastAsia="en-US"/>
        </w:rPr>
        <w:t>Дисертація складається зі вступу, трьох розділів, висновків, списку використаних джерел з 347 найменувань, додатків. Зміст роботи викладено на 198 сторінках друкованого тексту, включаючи 33 таблиці на 15 сторінках, 27 рисунків на 16 сторінках.</w:t>
      </w:r>
    </w:p>
    <w:p w:rsidR="00A16840" w:rsidRPr="00A16840" w:rsidRDefault="00A16840" w:rsidP="00A16840">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ОСНОВНИЙ ЗМІСТ РОБОТИ</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У</w:t>
      </w:r>
      <w:r w:rsidRPr="00A16840">
        <w:rPr>
          <w:rFonts w:ascii="Times New Roman" w:eastAsia="Times New Roman" w:hAnsi="Times New Roman" w:cs="Times New Roman"/>
          <w:b/>
          <w:kern w:val="0"/>
          <w:sz w:val="28"/>
          <w:szCs w:val="28"/>
          <w:lang w:val="uk-UA" w:eastAsia="en-US"/>
        </w:rPr>
        <w:t xml:space="preserve"> вступі</w:t>
      </w:r>
      <w:r w:rsidRPr="00A16840">
        <w:rPr>
          <w:rFonts w:ascii="Times New Roman" w:eastAsia="Times New Roman" w:hAnsi="Times New Roman" w:cs="Times New Roman"/>
          <w:kern w:val="0"/>
          <w:sz w:val="28"/>
          <w:szCs w:val="28"/>
          <w:lang w:val="uk-UA" w:eastAsia="en-US"/>
        </w:rPr>
        <w:t xml:space="preserve"> обґрунтовано актуальність теми дисертаційної роботи, сформульовано мету та основні задачі дослідження, його об’єкт і предмет, охарактеризовано методи дослідження, розкрито наукову новизну та практичне значення отриманих автором результатів, наведено відомості про їхню апробацію та публікацію.</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 </w:t>
      </w:r>
      <w:r w:rsidRPr="00A16840">
        <w:rPr>
          <w:rFonts w:ascii="Times New Roman" w:eastAsia="Times New Roman" w:hAnsi="Times New Roman" w:cs="Times New Roman"/>
          <w:b/>
          <w:kern w:val="0"/>
          <w:sz w:val="28"/>
          <w:szCs w:val="28"/>
          <w:lang w:val="uk-UA" w:eastAsia="en-US"/>
        </w:rPr>
        <w:t xml:space="preserve">У першому розділі «Теоретико-методологічні основи дослідження ісламського банкінгу» </w:t>
      </w:r>
      <w:r w:rsidRPr="00A16840">
        <w:rPr>
          <w:rFonts w:ascii="Times New Roman" w:eastAsia="Times New Roman" w:hAnsi="Times New Roman" w:cs="Times New Roman"/>
          <w:bCs/>
          <w:kern w:val="0"/>
          <w:sz w:val="28"/>
          <w:szCs w:val="28"/>
          <w:lang w:val="uk-UA" w:eastAsia="en-US"/>
        </w:rPr>
        <w:t xml:space="preserve">досліджено методологічні основи розвитку ісламського банкінгу у контексті </w:t>
      </w:r>
      <w:r w:rsidRPr="00A16840">
        <w:rPr>
          <w:rFonts w:ascii="Times New Roman" w:eastAsia="Times New Roman" w:hAnsi="Times New Roman" w:cs="Times New Roman"/>
          <w:bCs/>
          <w:kern w:val="0"/>
          <w:sz w:val="28"/>
          <w:lang w:val="uk-UA" w:eastAsia="en-US"/>
        </w:rPr>
        <w:t>парадигми розвитку світової фінансової системи, виявлено п</w:t>
      </w:r>
      <w:r w:rsidRPr="00A16840">
        <w:rPr>
          <w:rFonts w:ascii="Times New Roman" w:eastAsia="Times New Roman" w:hAnsi="Times New Roman" w:cs="TimesNewRomanPSMT"/>
          <w:bCs/>
          <w:kern w:val="0"/>
          <w:sz w:val="28"/>
          <w:szCs w:val="28"/>
          <w:lang w:val="uk-UA" w:eastAsia="en-US" w:bidi="mr-IN"/>
        </w:rPr>
        <w:t>ринципи формування та визначено основні моделі ісламського банкінгу,  визначено м</w:t>
      </w:r>
      <w:r w:rsidRPr="00A16840">
        <w:rPr>
          <w:rFonts w:ascii="Times New Roman" w:eastAsia="Times New Roman" w:hAnsi="Times New Roman" w:cs="Times New Roman"/>
          <w:bCs/>
          <w:kern w:val="0"/>
          <w:sz w:val="28"/>
          <w:szCs w:val="28"/>
          <w:lang w:val="uk-UA" w:eastAsia="en-US"/>
        </w:rPr>
        <w:t xml:space="preserve">етодичні підходи до оцінки рівня стабільності та фінансової стійкості банківського сектору в ісламській доктрині низькоризикового функціонування.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spacing w:val="-2"/>
          <w:kern w:val="0"/>
          <w:sz w:val="28"/>
          <w:szCs w:val="28"/>
          <w:lang w:val="uk-UA" w:eastAsia="en-US"/>
        </w:rPr>
      </w:pPr>
      <w:r w:rsidRPr="00A16840">
        <w:rPr>
          <w:rFonts w:ascii="Times New Roman" w:eastAsia="Times New Roman" w:hAnsi="Times New Roman" w:cs="Times New Roman"/>
          <w:bCs/>
          <w:spacing w:val="-2"/>
          <w:kern w:val="0"/>
          <w:sz w:val="28"/>
          <w:szCs w:val="28"/>
          <w:lang w:val="uk-UA" w:eastAsia="en-US"/>
        </w:rPr>
        <w:t xml:space="preserve">Ґрунтуючись на сучасних дослідженнях </w:t>
      </w:r>
      <w:r w:rsidRPr="00A16840">
        <w:rPr>
          <w:rFonts w:ascii="Times New Roman" w:eastAsia="Times New Roman" w:hAnsi="Times New Roman" w:cs="Times New Roman"/>
          <w:spacing w:val="-2"/>
          <w:kern w:val="0"/>
          <w:sz w:val="28"/>
          <w:lang w:val="uk-UA" w:eastAsia="en-US"/>
        </w:rPr>
        <w:t>парадигми розвитку світового фінансового ринку (</w:t>
      </w:r>
      <w:r w:rsidRPr="00A16840">
        <w:rPr>
          <w:rFonts w:ascii="Times New Roman" w:eastAsia="Times New Roman" w:hAnsi="Times New Roman" w:cs="Times New Roman"/>
          <w:spacing w:val="-2"/>
          <w:kern w:val="0"/>
          <w:sz w:val="28"/>
          <w:szCs w:val="28"/>
          <w:lang w:val="uk-UA" w:eastAsia="en-US"/>
        </w:rPr>
        <w:t xml:space="preserve">Ф.Аллен, П.Баклі, Ш.-Дж. Вей, Р.Голдсміт, П.Кенен, П.Кругман, В.Левківський,  С.Лунд, З.Луцишин, Ю.Макогон, З.Михайлів, Л.Ніал, В.Новицький, Т.Орєхова, Є.Панченко, Б.Пітер, А.Поручник, Е.Прасад, К.Рогофф, Л.Руденко-Сударєва, Є.Савельєв, Дж.Сорос, Дж.Стігліц, Н.Стукало, Дж.Хансон, С.Циганов та ін.), визначено, що структуру сучасної ісламської фінансової системи формують банки та різноманітні інституції, які надають фінансові послуги і опосередковують операції між постачальниками і споживачами різних послуг, а саме: депозитарні інститути (фінансові компанії, ощадно-кредитні асоціації та кредитні спілки), договірні інститути взаємних заощаджень (страхові компанії і пенсійні фонди), інвестиційні посередники (взаємні фонди), інфраструктура тощо.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Враховуючи аналіз теоретико-методологічних підходів до визначення особливостей розвитку ісламського банкінгу (</w:t>
      </w:r>
      <w:r w:rsidRPr="00A16840">
        <w:rPr>
          <w:rFonts w:ascii="Times New Roman" w:eastAsia="Times New Roman" w:hAnsi="Times New Roman" w:cs="Times New Roman"/>
          <w:spacing w:val="-2"/>
          <w:kern w:val="0"/>
          <w:sz w:val="28"/>
          <w:szCs w:val="28"/>
          <w:lang w:val="uk-UA" w:eastAsia="en-US"/>
        </w:rPr>
        <w:t>М.Алі, Ф.Аллен, М.Амін, М.Арів, С.Ахамад, Т.Бек, Н.Гарас, С.Гончаренко, Т.Захер, М.Забаір, С.Ібрахім, А.Міракхор, А.Мірза, Н.Резнікова, М.Рубцова, П.Трунін, М.Хан, М.Хасан, К.Хусейн, М.Шафік та ін.)</w:t>
      </w:r>
      <w:r w:rsidRPr="00A16840">
        <w:rPr>
          <w:rFonts w:ascii="Times New Roman" w:eastAsia="Times New Roman" w:hAnsi="Times New Roman" w:cs="Times New Roman"/>
          <w:kern w:val="0"/>
          <w:sz w:val="28"/>
          <w:szCs w:val="28"/>
          <w:lang w:val="uk-UA" w:eastAsia="en-US"/>
        </w:rPr>
        <w:t xml:space="preserve">, виділено </w:t>
      </w:r>
      <w:r w:rsidRPr="00A16840">
        <w:rPr>
          <w:rFonts w:ascii="Times New Roman" w:eastAsia="Times New Roman" w:hAnsi="Times New Roman" w:cs="Times New Roman"/>
          <w:bCs/>
          <w:i/>
          <w:iCs/>
          <w:kern w:val="0"/>
          <w:sz w:val="28"/>
          <w:szCs w:val="28"/>
          <w:lang w:val="uk-UA" w:eastAsia="en-US"/>
        </w:rPr>
        <w:t>основні принципи формування ісламської банківської системи</w:t>
      </w:r>
      <w:r w:rsidRPr="00A16840">
        <w:rPr>
          <w:rFonts w:ascii="Times New Roman" w:eastAsia="Times New Roman" w:hAnsi="Times New Roman" w:cs="Times New Roman"/>
          <w:bCs/>
          <w:kern w:val="0"/>
          <w:sz w:val="28"/>
          <w:szCs w:val="28"/>
          <w:lang w:val="uk-UA" w:eastAsia="en-US"/>
        </w:rPr>
        <w:t>, а саме: принципи заборонного характеру (заборона відсоткових операцій (ріба), операції в умовах невизначеності (гарар), фінансування окремих секторів економіки) та принципи, що визначають умови здійснення банківських операцій (умови розподілу ризику отримання прибутку та збитків між клієнтом та банком, умови проведення банківських операцій на основі реальних активів).</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Визначено, що діяльність ісламських банків засновано на парадигмі розподілу прибутків і витрат (PLS-парадигма) при пасивному (мудараба) і активному (мушарака) партнерстві, таким чином, активи та зобов’язання ісламських банків є інтегрованими як частка прибутків і збитків позичальників з банками, які, в свою чергу, розподіляють частки прибутків і збитків з вкладниками. Запропоновано розглядати </w:t>
      </w:r>
      <w:r w:rsidRPr="00A16840">
        <w:rPr>
          <w:rFonts w:ascii="Times New Roman" w:eastAsia="Times New Roman" w:hAnsi="Times New Roman" w:cs="TimesNewRomanPSMT"/>
          <w:bCs/>
          <w:i/>
          <w:iCs/>
          <w:kern w:val="0"/>
          <w:sz w:val="28"/>
          <w:szCs w:val="28"/>
          <w:lang w:val="uk-UA" w:eastAsia="en-US" w:bidi="mr-IN"/>
        </w:rPr>
        <w:t>ісламський банкінг</w:t>
      </w:r>
      <w:r w:rsidRPr="00A16840">
        <w:rPr>
          <w:rFonts w:ascii="Times New Roman" w:eastAsia="Times New Roman" w:hAnsi="Times New Roman" w:cs="Times New Roman"/>
          <w:bCs/>
          <w:kern w:val="0"/>
          <w:sz w:val="28"/>
          <w:szCs w:val="28"/>
          <w:lang w:val="uk-UA" w:eastAsia="en-US"/>
        </w:rPr>
        <w:t xml:space="preserve"> як </w:t>
      </w:r>
      <w:r w:rsidRPr="00A16840">
        <w:rPr>
          <w:rFonts w:ascii="Times New Roman" w:eastAsia="Times New Roman" w:hAnsi="Times New Roman" w:cs="Times New Roman"/>
          <w:bCs/>
          <w:iCs/>
          <w:kern w:val="0"/>
          <w:sz w:val="28"/>
          <w:szCs w:val="28"/>
          <w:lang w:val="uk-UA" w:eastAsia="ru-RU"/>
        </w:rPr>
        <w:t xml:space="preserve">сукупність прийомів фінансового менеджменту, побудованих на </w:t>
      </w:r>
      <w:r w:rsidRPr="00A16840">
        <w:rPr>
          <w:rFonts w:ascii="Times New Roman" w:eastAsia="Times New Roman" w:hAnsi="Times New Roman" w:cs="Times New Roman"/>
          <w:kern w:val="0"/>
          <w:sz w:val="28"/>
          <w:szCs w:val="28"/>
          <w:lang w:val="uk-UA" w:eastAsia="en-US"/>
        </w:rPr>
        <w:t>засадах парадигми розподілу прибутків та витрат</w:t>
      </w:r>
      <w:r w:rsidRPr="00A16840">
        <w:rPr>
          <w:rFonts w:ascii="Times New Roman" w:eastAsia="Times New Roman" w:hAnsi="Times New Roman" w:cs="Times New Roman"/>
          <w:bCs/>
          <w:iCs/>
          <w:kern w:val="0"/>
          <w:sz w:val="28"/>
          <w:szCs w:val="28"/>
          <w:lang w:val="uk-UA" w:eastAsia="ru-RU"/>
        </w:rPr>
        <w:t xml:space="preserve"> </w:t>
      </w:r>
      <w:r w:rsidRPr="00A16840">
        <w:rPr>
          <w:rFonts w:ascii="Times New Roman" w:eastAsia="Times New Roman" w:hAnsi="Times New Roman" w:cs="Times New Roman"/>
          <w:kern w:val="0"/>
          <w:sz w:val="28"/>
          <w:szCs w:val="28"/>
          <w:lang w:val="uk-UA" w:eastAsia="en-US"/>
        </w:rPr>
        <w:t>відповідно законам Шаріату,</w:t>
      </w:r>
      <w:r w:rsidRPr="00A16840">
        <w:rPr>
          <w:rFonts w:ascii="Times New Roman" w:eastAsia="Times New Roman" w:hAnsi="Times New Roman" w:cs="Times New Roman"/>
          <w:bCs/>
          <w:iCs/>
          <w:kern w:val="0"/>
          <w:sz w:val="28"/>
          <w:szCs w:val="28"/>
          <w:lang w:val="uk-UA" w:eastAsia="ru-RU"/>
        </w:rPr>
        <w:t xml:space="preserve"> що передбачає забезпечення  стабільної прибутковості депозитів за умов високого рівня фідуціарних ризиків та максимізацію повернення вкладів у ісламську банківську систему через низькоризикованість інвестування</w:t>
      </w:r>
      <w:r w:rsidRPr="00A16840">
        <w:rPr>
          <w:rFonts w:ascii="Times New Roman" w:eastAsia="Times New Roman" w:hAnsi="Times New Roman" w:cs="Times New Roman"/>
          <w:bCs/>
          <w:kern w:val="0"/>
          <w:sz w:val="28"/>
          <w:szCs w:val="28"/>
          <w:lang w:val="uk-UA" w:eastAsia="en-US"/>
        </w:rPr>
        <w:t xml:space="preserve">. </w:t>
      </w:r>
    </w:p>
    <w:p w:rsidR="00A16840" w:rsidRPr="00A16840" w:rsidRDefault="00A16840" w:rsidP="00A16840">
      <w:pPr>
        <w:widowControl/>
        <w:tabs>
          <w:tab w:val="clear" w:pos="709"/>
        </w:tabs>
        <w:suppressAutoHyphens w:val="0"/>
        <w:autoSpaceDE w:val="0"/>
        <w:autoSpaceDN w:val="0"/>
        <w:adjustRightInd w:val="0"/>
        <w:spacing w:after="0" w:line="240" w:lineRule="auto"/>
        <w:rPr>
          <w:rFonts w:ascii="Times New Roman" w:eastAsia="MinionPro-Regular" w:hAnsi="Times New Roman" w:cs="MinionPro-Regular"/>
          <w:bCs/>
          <w:kern w:val="0"/>
          <w:sz w:val="28"/>
          <w:szCs w:val="28"/>
          <w:lang w:val="uk-UA" w:eastAsia="en-US" w:bidi="mr-IN"/>
        </w:rPr>
      </w:pPr>
      <w:r w:rsidRPr="00A16840">
        <w:rPr>
          <w:rFonts w:ascii="Times New Roman" w:eastAsia="MinionPro-Regular" w:hAnsi="Times New Roman" w:cs="MinionPro-Regular"/>
          <w:bCs/>
          <w:kern w:val="0"/>
          <w:sz w:val="28"/>
          <w:szCs w:val="28"/>
          <w:lang w:val="uk-UA" w:eastAsia="en-US" w:bidi="mr-IN"/>
        </w:rPr>
        <w:t>Компаративний аналіз фінансових послуг та продуктів традиційного та ісламського банкінгу довів, що принципова відмінність між ними полягає у розподілі доданої вартості кожного продукту, що впливає на методи управління, концентрацію фінансування, вибір конкретних послуг, основними з яких у системі ісламського банкінгу систематизовано: продукти, що ґрунтуються на відносинах партнерства (розподілі прибутку та збитків (мадараба, мушарака));  продукти, що засновані на участі в операціях (мурабаха, іджара, істісна та ін.); продукти, що пов’язані із оплатою комісій банку (вакала).</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bCs/>
          <w:kern w:val="0"/>
          <w:sz w:val="28"/>
          <w:szCs w:val="28"/>
          <w:lang w:val="uk-UA" w:eastAsia="en-US"/>
        </w:rPr>
        <w:t xml:space="preserve">На основі вивчення структури ісламських банків та їх бізнес-моделей виділено </w:t>
      </w:r>
      <w:r w:rsidRPr="00A16840">
        <w:rPr>
          <w:rFonts w:ascii="Times New Roman" w:eastAsia="Times New Roman" w:hAnsi="Times New Roman" w:cs="Times New Roman"/>
          <w:bCs/>
          <w:i/>
          <w:iCs/>
          <w:kern w:val="0"/>
          <w:sz w:val="28"/>
          <w:szCs w:val="28"/>
          <w:lang w:val="uk-UA" w:eastAsia="en-US"/>
        </w:rPr>
        <w:t xml:space="preserve">дві моделі ісламського банкінгу: </w:t>
      </w:r>
      <w:r w:rsidRPr="00A16840">
        <w:rPr>
          <w:rFonts w:ascii="Times New Roman" w:eastAsia="Times New Roman" w:hAnsi="Times New Roman" w:cs="Times New Roman"/>
          <w:bCs/>
          <w:kern w:val="0"/>
          <w:sz w:val="28"/>
          <w:szCs w:val="28"/>
          <w:lang w:val="uk-UA" w:eastAsia="en-US"/>
        </w:rPr>
        <w:t>модель мудараба (що ґрунтується на партнерській дворівневій основі розподілу прибутку та збитків) та модель «два вікна» (відповідно до якої пасиви банка структуруються як депозити до запитання та інвестиційні депозити), розвиток яких визначається основними принципами формування ісламських банківських систем (рис.1).</w:t>
      </w:r>
    </w:p>
    <w:p w:rsidR="00A16840" w:rsidRPr="00A16840" w:rsidRDefault="00A16840" w:rsidP="00A16840">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left="360" w:firstLine="0"/>
        <w:rPr>
          <w:rFonts w:ascii="Times New Roman" w:eastAsia="Times New Roman" w:hAnsi="Times New Roman" w:cs="TimesNewRomanPSMT"/>
          <w:kern w:val="0"/>
          <w:sz w:val="28"/>
          <w:szCs w:val="28"/>
          <w:lang w:val="uk-UA" w:eastAsia="en-US" w:bidi="mr-IN"/>
        </w:rPr>
      </w:pPr>
      <w:r w:rsidRPr="00A16840">
        <w:rPr>
          <w:rFonts w:ascii="Times New Roman" w:eastAsia="Times New Roman" w:hAnsi="Times New Roman" w:cs="Times New Roman"/>
          <w:b/>
          <w:kern w:val="0"/>
          <w:sz w:val="28"/>
          <w:szCs w:val="28"/>
          <w:u w:val="single"/>
          <w:lang w:val="uk-UA" w:eastAsia="en-US" w:bidi="mr-IN"/>
        </w:rPr>
        <w:pict>
          <v:group id="_x0000_s1249" editas="canvas" style="position:absolute;margin-left:0;margin-top:0;width:459.7pt;height:315pt;z-index:251661312;mso-position-horizontal-relative:char;mso-position-vertical-relative:line" coordorigin="2281,3131" coordsize="7211,48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0" type="#_x0000_t75" style="position:absolute;left:2281;top:3131;width:7211;height:487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51" type="#_x0000_t202" style="position:absolute;left:3269;top:6057;width:5225;height:418">
              <v:textbox style="mso-next-textbox:#_x0000_s1251">
                <w:txbxContent>
                  <w:p w:rsidR="00A16840" w:rsidRPr="009F4586" w:rsidRDefault="00A16840" w:rsidP="00A16840">
                    <w:pPr>
                      <w:spacing w:after="0" w:line="240" w:lineRule="auto"/>
                      <w:jc w:val="center"/>
                      <w:rPr>
                        <w:rFonts w:ascii="Times New Roman" w:hAnsi="Times New Roman"/>
                        <w:b/>
                        <w:bCs/>
                        <w:lang w:val="uk-UA"/>
                      </w:rPr>
                    </w:pPr>
                    <w:r w:rsidRPr="009F4586">
                      <w:rPr>
                        <w:rFonts w:ascii="Times New Roman" w:hAnsi="Times New Roman"/>
                        <w:b/>
                        <w:bCs/>
                        <w:lang w:val="uk-UA"/>
                      </w:rPr>
                      <w:t>Принципи формування ісламських банківських систем</w:t>
                    </w:r>
                  </w:p>
                </w:txbxContent>
              </v:textbox>
            </v:shape>
            <v:rect id="_x0000_s1252" style="position:absolute;left:4963;top:7033;width:1838;height:500">
              <v:textbox style="mso-next-textbox:#_x0000_s1252" inset=".5mm,,.5mm">
                <w:txbxContent>
                  <w:p w:rsidR="00A16840" w:rsidRPr="009F4586" w:rsidRDefault="00A16840" w:rsidP="00A16840">
                    <w:pPr>
                      <w:spacing w:after="0" w:line="240" w:lineRule="auto"/>
                      <w:jc w:val="center"/>
                      <w:rPr>
                        <w:rFonts w:ascii="Times New Roman" w:hAnsi="Times New Roman"/>
                        <w:bCs/>
                      </w:rPr>
                    </w:pPr>
                    <w:r w:rsidRPr="009F4586">
                      <w:rPr>
                        <w:rFonts w:ascii="Times New Roman" w:hAnsi="Times New Roman"/>
                        <w:bCs/>
                        <w:sz w:val="18"/>
                        <w:szCs w:val="18"/>
                        <w:lang w:val="uk-UA"/>
                      </w:rPr>
                      <w:t>гарар (</w:t>
                    </w:r>
                    <w:r w:rsidRPr="009F4586">
                      <w:rPr>
                        <w:rFonts w:ascii="Times New Roman" w:hAnsi="Times New Roman"/>
                        <w:bCs/>
                        <w:sz w:val="20"/>
                        <w:szCs w:val="20"/>
                        <w:lang w:val="uk-UA"/>
                      </w:rPr>
                      <w:t>заборона</w:t>
                    </w:r>
                    <w:r w:rsidRPr="009F4586">
                      <w:rPr>
                        <w:rFonts w:ascii="Times New Roman" w:hAnsi="Times New Roman"/>
                        <w:bCs/>
                        <w:sz w:val="18"/>
                        <w:szCs w:val="18"/>
                        <w:lang w:val="uk-UA"/>
                      </w:rPr>
                      <w:t xml:space="preserve"> на операції в умовах невизначеності</w:t>
                    </w:r>
                    <w:r>
                      <w:rPr>
                        <w:rFonts w:ascii="Times New Roman" w:hAnsi="Times New Roman"/>
                        <w:bCs/>
                        <w:sz w:val="18"/>
                        <w:szCs w:val="18"/>
                        <w:lang w:val="uk-UA"/>
                      </w:rPr>
                      <w:t>)</w:t>
                    </w:r>
                  </w:p>
                </w:txbxContent>
              </v:textbox>
            </v:rect>
            <v:rect id="_x0000_s1253" style="position:absolute;left:7646;top:6754;width:1836;height:501">
              <v:textbox style="mso-next-textbox:#_x0000_s1253" inset=".5mm,,.5mm">
                <w:txbxContent>
                  <w:p w:rsidR="00A16840" w:rsidRPr="009F4586" w:rsidRDefault="00A16840" w:rsidP="00A16840">
                    <w:pPr>
                      <w:spacing w:after="0" w:line="240" w:lineRule="auto"/>
                      <w:jc w:val="center"/>
                      <w:rPr>
                        <w:rFonts w:ascii="Times New Roman" w:hAnsi="Times New Roman"/>
                        <w:bCs/>
                      </w:rPr>
                    </w:pPr>
                    <w:r w:rsidRPr="009F4586">
                      <w:rPr>
                        <w:rFonts w:ascii="Times New Roman" w:hAnsi="Times New Roman"/>
                        <w:bCs/>
                        <w:sz w:val="18"/>
                        <w:szCs w:val="18"/>
                        <w:lang w:val="uk-UA"/>
                      </w:rPr>
                      <w:t>заборона фінансування окремих секторів економіки</w:t>
                    </w:r>
                  </w:p>
                </w:txbxContent>
              </v:textbox>
            </v:rect>
            <v:rect id="_x0000_s1254" style="position:absolute;left:2563;top:7451;width:2259;height:556">
              <v:textbox style="mso-next-textbox:#_x0000_s1254" inset="0,.3mm,0,.3mm">
                <w:txbxContent>
                  <w:p w:rsidR="00A16840" w:rsidRPr="009F4586" w:rsidRDefault="00A16840" w:rsidP="00A16840">
                    <w:pPr>
                      <w:spacing w:after="0" w:line="240" w:lineRule="auto"/>
                      <w:jc w:val="center"/>
                      <w:rPr>
                        <w:rFonts w:ascii="Times New Roman" w:hAnsi="Times New Roman"/>
                        <w:bCs/>
                        <w:sz w:val="20"/>
                        <w:szCs w:val="20"/>
                      </w:rPr>
                    </w:pPr>
                    <w:r w:rsidRPr="009F4586">
                      <w:rPr>
                        <w:rFonts w:ascii="Times New Roman" w:hAnsi="Times New Roman"/>
                        <w:bCs/>
                        <w:sz w:val="20"/>
                        <w:szCs w:val="20"/>
                        <w:lang w:val="uk-UA"/>
                      </w:rPr>
                      <w:t>умови розподілу ризику отримання прибутку та збитків між клієнтом та банком</w:t>
                    </w:r>
                  </w:p>
                </w:txbxContent>
              </v:textbox>
            </v:rect>
            <v:rect id="_x0000_s1255" style="position:absolute;left:6940;top:7451;width:2119;height:556">
              <v:textbox style="mso-next-textbox:#_x0000_s1255" inset="0,.3mm,0,.3mm">
                <w:txbxContent>
                  <w:p w:rsidR="00A16840" w:rsidRPr="009F4586" w:rsidRDefault="00A16840" w:rsidP="00A16840">
                    <w:pPr>
                      <w:spacing w:after="0" w:line="240" w:lineRule="auto"/>
                      <w:jc w:val="center"/>
                      <w:rPr>
                        <w:rFonts w:ascii="Times New Roman" w:hAnsi="Times New Roman"/>
                        <w:bCs/>
                        <w:sz w:val="20"/>
                        <w:szCs w:val="20"/>
                      </w:rPr>
                    </w:pPr>
                    <w:r w:rsidRPr="009F4586">
                      <w:rPr>
                        <w:rFonts w:ascii="Times New Roman" w:hAnsi="Times New Roman"/>
                        <w:bCs/>
                        <w:sz w:val="20"/>
                        <w:szCs w:val="20"/>
                        <w:lang w:val="uk-UA"/>
                      </w:rPr>
                      <w:t>умови проведення банківських операцій на основі реальних активів</w:t>
                    </w:r>
                  </w:p>
                </w:txbxContent>
              </v:textbox>
            </v:rect>
            <v:rect id="_x0000_s1256" style="position:absolute;left:2281;top:6754;width:1694;height:502">
              <v:textbox inset=".5mm,,.5mm">
                <w:txbxContent>
                  <w:p w:rsidR="00A16840" w:rsidRPr="009F4586" w:rsidRDefault="00A16840" w:rsidP="00A16840">
                    <w:pPr>
                      <w:spacing w:after="0" w:line="240" w:lineRule="auto"/>
                      <w:jc w:val="center"/>
                      <w:rPr>
                        <w:rFonts w:ascii="Times New Roman" w:hAnsi="Times New Roman"/>
                        <w:sz w:val="20"/>
                        <w:szCs w:val="20"/>
                        <w:lang w:val="uk-UA"/>
                      </w:rPr>
                    </w:pPr>
                    <w:r w:rsidRPr="009F4586">
                      <w:rPr>
                        <w:rFonts w:ascii="Times New Roman" w:hAnsi="Times New Roman"/>
                        <w:sz w:val="20"/>
                        <w:szCs w:val="20"/>
                        <w:lang w:val="uk-UA"/>
                      </w:rPr>
                      <w:t>ріба (заборона відсоткових операцій)</w:t>
                    </w:r>
                  </w:p>
                </w:txbxContent>
              </v:textbox>
            </v:rect>
            <v:shapetype id="_x0000_t32" coordsize="21600,21600" o:spt="32" o:oned="t" path="m,l21600,21600e" filled="f">
              <v:path arrowok="t" fillok="f" o:connecttype="none"/>
              <o:lock v:ext="edit" shapetype="t"/>
            </v:shapetype>
            <v:shape id="_x0000_s1257" type="#_x0000_t32" style="position:absolute;left:3128;top:6475;width:2754;height:279;flip:y" o:connectortype="straight"/>
            <v:shape id="_x0000_s1258" type="#_x0000_t32" style="position:absolute;left:3693;top:6475;width:2189;height:976;flip:y" o:connectortype="straight"/>
            <v:shape id="_x0000_s1259" type="#_x0000_t32" style="position:absolute;left:5882;top:6475;width:1;height:558;flip:x y" o:connectortype="straight"/>
            <v:shape id="_x0000_s1260" type="#_x0000_t32" style="position:absolute;left:5882;top:6475;width:2117;height:976;flip:x y" o:connectortype="straight"/>
            <v:shape id="_x0000_s1261" type="#_x0000_t32" style="position:absolute;left:5882;top:6475;width:2682;height:279" o:connectortype="straight"/>
            <v:rect id="_x0000_s1262" style="position:absolute;left:3269;top:5221;width:5223;height:416">
              <v:stroke dashstyle="dash"/>
              <v:textbox inset="0,0,0,0">
                <w:txbxContent>
                  <w:p w:rsidR="00A16840" w:rsidRPr="009F4586" w:rsidRDefault="00A16840" w:rsidP="00A16840">
                    <w:pPr>
                      <w:spacing w:after="0" w:line="240" w:lineRule="auto"/>
                      <w:jc w:val="center"/>
                      <w:rPr>
                        <w:rFonts w:ascii="Times New Roman" w:hAnsi="Times New Roman"/>
                        <w:b/>
                        <w:bCs/>
                        <w:i/>
                        <w:iCs/>
                        <w:lang w:val="uk-UA"/>
                      </w:rPr>
                    </w:pPr>
                    <w:r w:rsidRPr="009F4586">
                      <w:rPr>
                        <w:rFonts w:ascii="Times New Roman" w:hAnsi="Times New Roman"/>
                        <w:b/>
                        <w:bCs/>
                        <w:lang w:val="uk-UA"/>
                      </w:rPr>
                      <w:t xml:space="preserve"> </w:t>
                    </w:r>
                    <w:r w:rsidRPr="009F4586">
                      <w:rPr>
                        <w:rFonts w:ascii="Times New Roman" w:hAnsi="Times New Roman"/>
                        <w:b/>
                        <w:bCs/>
                        <w:i/>
                        <w:iCs/>
                        <w:lang w:val="uk-UA"/>
                      </w:rPr>
                      <w:t xml:space="preserve">моделі ісламського банкінгу: </w:t>
                    </w:r>
                  </w:p>
                  <w:p w:rsidR="00A16840" w:rsidRPr="009F4586" w:rsidRDefault="00A16840" w:rsidP="00A16840">
                    <w:pPr>
                      <w:spacing w:after="0" w:line="240" w:lineRule="auto"/>
                      <w:rPr>
                        <w:rFonts w:ascii="Times New Roman" w:hAnsi="Times New Roman"/>
                        <w:b/>
                        <w:bCs/>
                        <w:i/>
                        <w:iCs/>
                        <w:lang w:val="uk-UA"/>
                      </w:rPr>
                    </w:pPr>
                    <w:r w:rsidRPr="009F4586">
                      <w:rPr>
                        <w:rFonts w:ascii="Times New Roman" w:hAnsi="Times New Roman"/>
                        <w:b/>
                        <w:bCs/>
                        <w:i/>
                        <w:iCs/>
                        <w:lang w:val="uk-UA"/>
                      </w:rPr>
                      <w:t xml:space="preserve">                мудараба                                           «два вікна»</w:t>
                    </w:r>
                  </w:p>
                </w:txbxContent>
              </v:textbox>
            </v:rect>
            <v:rect id="_x0000_s1263" style="position:absolute;left:3269;top:4803;width:5224;height:419" strokeweight="1.5pt">
              <v:textbox>
                <w:txbxContent>
                  <w:p w:rsidR="00A16840" w:rsidRPr="009F4586" w:rsidRDefault="00A16840" w:rsidP="00A16840">
                    <w:pPr>
                      <w:spacing w:after="0" w:line="240" w:lineRule="auto"/>
                      <w:jc w:val="center"/>
                      <w:rPr>
                        <w:rFonts w:ascii="Times New Roman" w:hAnsi="Times New Roman"/>
                        <w:b/>
                        <w:bCs/>
                        <w:lang w:val="uk-UA"/>
                      </w:rPr>
                    </w:pPr>
                    <w:r w:rsidRPr="009F4586">
                      <w:rPr>
                        <w:rFonts w:ascii="Times New Roman" w:hAnsi="Times New Roman"/>
                        <w:b/>
                        <w:bCs/>
                        <w:lang w:val="uk-UA"/>
                      </w:rPr>
                      <w:t>ІСЛАМСЬКИЙ БАНКІНГ</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264" type="#_x0000_t93" style="position:absolute;left:5530;top:5637;width:420;height:424;rotation:270"/>
            <v:shape id="_x0000_s1265" type="#_x0000_t93" style="position:absolute;left:3412;top:4383;width:420;height:423;rotation:270"/>
            <v:shape id="_x0000_s1266" type="#_x0000_t202" style="position:absolute;left:2281;top:3131;width:3247;height:1253">
              <v:textbox style="mso-next-textbox:#_x0000_s1266" inset=".5mm,.3mm,.5mm,.3mm">
                <w:txbxContent>
                  <w:p w:rsidR="00A16840" w:rsidRPr="009F4586" w:rsidRDefault="00A16840" w:rsidP="00A16840">
                    <w:pPr>
                      <w:spacing w:after="0" w:line="240" w:lineRule="auto"/>
                      <w:jc w:val="center"/>
                      <w:rPr>
                        <w:rFonts w:ascii="Times New Roman" w:hAnsi="Times New Roman"/>
                        <w:b/>
                        <w:bCs/>
                        <w:lang w:val="uk-UA"/>
                      </w:rPr>
                    </w:pPr>
                    <w:r w:rsidRPr="009F4586">
                      <w:rPr>
                        <w:rFonts w:ascii="Times New Roman" w:hAnsi="Times New Roman"/>
                        <w:b/>
                        <w:bCs/>
                        <w:lang w:val="uk-UA"/>
                      </w:rPr>
                      <w:t>банківські продукти:</w:t>
                    </w:r>
                  </w:p>
                  <w:p w:rsidR="00A16840" w:rsidRPr="009F4586" w:rsidRDefault="00A16840" w:rsidP="00A16840">
                    <w:pPr>
                      <w:spacing w:after="0" w:line="240" w:lineRule="auto"/>
                      <w:rPr>
                        <w:rFonts w:ascii="Times New Roman" w:hAnsi="Times New Roman"/>
                        <w:sz w:val="20"/>
                        <w:szCs w:val="20"/>
                        <w:lang w:val="uk-UA"/>
                      </w:rPr>
                    </w:pPr>
                    <w:r w:rsidRPr="009F4586">
                      <w:rPr>
                        <w:rFonts w:ascii="Times New Roman" w:hAnsi="Times New Roman"/>
                        <w:sz w:val="20"/>
                        <w:szCs w:val="20"/>
                        <w:lang w:val="uk-UA"/>
                      </w:rPr>
                      <w:t>засновані на партнерстві (мудараба, мушарака),</w:t>
                    </w:r>
                  </w:p>
                  <w:p w:rsidR="00A16840" w:rsidRPr="009F4586" w:rsidRDefault="00A16840" w:rsidP="00A16840">
                    <w:pPr>
                      <w:widowControl/>
                      <w:numPr>
                        <w:ilvl w:val="0"/>
                        <w:numId w:val="23"/>
                      </w:numPr>
                      <w:tabs>
                        <w:tab w:val="clear" w:pos="720"/>
                        <w:tab w:val="num" w:pos="0"/>
                      </w:tabs>
                      <w:suppressAutoHyphens w:val="0"/>
                      <w:spacing w:after="0" w:line="240" w:lineRule="auto"/>
                      <w:ind w:left="0" w:hanging="180"/>
                      <w:jc w:val="left"/>
                      <w:rPr>
                        <w:rFonts w:ascii="Times New Roman" w:hAnsi="Times New Roman"/>
                        <w:sz w:val="20"/>
                        <w:szCs w:val="20"/>
                        <w:lang w:val="uk-UA"/>
                      </w:rPr>
                    </w:pPr>
                    <w:r w:rsidRPr="009F4586">
                      <w:rPr>
                        <w:rFonts w:ascii="Times New Roman" w:hAnsi="Times New Roman"/>
                        <w:sz w:val="20"/>
                        <w:szCs w:val="20"/>
                        <w:lang w:val="uk-UA"/>
                      </w:rPr>
                      <w:t>засновані на участі в операціях (мурабаха, іджара),</w:t>
                    </w:r>
                  </w:p>
                  <w:p w:rsidR="00A16840" w:rsidRPr="009F4586" w:rsidRDefault="00A16840" w:rsidP="00A16840">
                    <w:pPr>
                      <w:widowControl/>
                      <w:numPr>
                        <w:ilvl w:val="0"/>
                        <w:numId w:val="23"/>
                      </w:numPr>
                      <w:tabs>
                        <w:tab w:val="clear" w:pos="720"/>
                        <w:tab w:val="num" w:pos="0"/>
                      </w:tabs>
                      <w:suppressAutoHyphens w:val="0"/>
                      <w:spacing w:after="0" w:line="240" w:lineRule="auto"/>
                      <w:ind w:left="0" w:hanging="180"/>
                      <w:jc w:val="left"/>
                      <w:rPr>
                        <w:rFonts w:ascii="Times New Roman" w:hAnsi="Times New Roman"/>
                        <w:sz w:val="20"/>
                        <w:szCs w:val="20"/>
                        <w:lang w:val="uk-UA"/>
                      </w:rPr>
                    </w:pPr>
                    <w:r w:rsidRPr="009F4586">
                      <w:rPr>
                        <w:rFonts w:ascii="Times New Roman" w:hAnsi="Times New Roman"/>
                        <w:sz w:val="20"/>
                        <w:szCs w:val="20"/>
                        <w:lang w:val="uk-UA"/>
                      </w:rPr>
                      <w:t>засновані на оплаті комісій банку (вакала)</w:t>
                    </w:r>
                  </w:p>
                </w:txbxContent>
              </v:textbox>
            </v:shape>
            <v:shape id="_x0000_s1267" type="#_x0000_t93" style="position:absolute;left:7789;top:4383;width:419;height:424;rotation:90"/>
            <v:shape id="_x0000_s1268" type="#_x0000_t202" style="position:absolute;left:5952;top:3131;width:3540;height:1253">
              <v:textbox style="mso-next-textbox:#_x0000_s1268" inset=".5mm,.3mm,.5mm,.3mm">
                <w:txbxContent>
                  <w:p w:rsidR="00A16840" w:rsidRPr="009F4586" w:rsidRDefault="00A16840" w:rsidP="00A16840">
                    <w:pPr>
                      <w:spacing w:after="0" w:line="240" w:lineRule="auto"/>
                      <w:jc w:val="center"/>
                      <w:rPr>
                        <w:rFonts w:ascii="Times New Roman" w:hAnsi="Times New Roman"/>
                        <w:b/>
                        <w:bCs/>
                        <w:lang w:val="uk-UA"/>
                      </w:rPr>
                    </w:pPr>
                    <w:r w:rsidRPr="009F4586">
                      <w:rPr>
                        <w:rFonts w:ascii="Times New Roman" w:hAnsi="Times New Roman"/>
                        <w:b/>
                        <w:bCs/>
                        <w:lang w:val="uk-UA"/>
                      </w:rPr>
                      <w:t>моделі регулювання:</w:t>
                    </w:r>
                  </w:p>
                  <w:p w:rsidR="00A16840" w:rsidRPr="009F4586" w:rsidRDefault="00A16840" w:rsidP="00A16840">
                    <w:pPr>
                      <w:widowControl/>
                      <w:numPr>
                        <w:ilvl w:val="0"/>
                        <w:numId w:val="23"/>
                      </w:numPr>
                      <w:tabs>
                        <w:tab w:val="clear" w:pos="720"/>
                        <w:tab w:val="num" w:pos="0"/>
                      </w:tabs>
                      <w:suppressAutoHyphens w:val="0"/>
                      <w:spacing w:after="0" w:line="240" w:lineRule="auto"/>
                      <w:ind w:left="0" w:hanging="180"/>
                      <w:jc w:val="left"/>
                      <w:rPr>
                        <w:rFonts w:ascii="Times New Roman" w:hAnsi="Times New Roman"/>
                        <w:sz w:val="20"/>
                        <w:szCs w:val="20"/>
                        <w:lang w:val="uk-UA"/>
                      </w:rPr>
                    </w:pPr>
                    <w:r w:rsidRPr="009F4586">
                      <w:rPr>
                        <w:rFonts w:ascii="Times New Roman" w:hAnsi="Times New Roman"/>
                        <w:i/>
                        <w:iCs/>
                        <w:sz w:val="20"/>
                        <w:szCs w:val="20"/>
                        <w:lang w:val="uk-UA"/>
                      </w:rPr>
                      <w:t>моністична</w:t>
                    </w:r>
                    <w:r w:rsidRPr="009F4586">
                      <w:rPr>
                        <w:rFonts w:ascii="Times New Roman" w:hAnsi="Times New Roman"/>
                        <w:sz w:val="20"/>
                        <w:szCs w:val="20"/>
                        <w:lang w:val="uk-UA"/>
                      </w:rPr>
                      <w:t xml:space="preserve"> (</w:t>
                    </w:r>
                    <w:r w:rsidRPr="009F4586">
                      <w:rPr>
                        <w:rFonts w:ascii="Times New Roman" w:eastAsia="TimesNewRoman" w:hAnsi="Times New Roman" w:cs="TimesNewRoman"/>
                        <w:sz w:val="18"/>
                        <w:szCs w:val="18"/>
                        <w:lang w:val="uk-UA" w:bidi="mr-IN"/>
                      </w:rPr>
                      <w:t>повна заборона позичкового відсотку, у т.ч. на конституційному рівні)</w:t>
                    </w:r>
                    <w:r w:rsidRPr="009F4586">
                      <w:rPr>
                        <w:rFonts w:ascii="Times New Roman" w:hAnsi="Times New Roman"/>
                        <w:sz w:val="20"/>
                        <w:szCs w:val="20"/>
                        <w:lang w:val="uk-UA"/>
                      </w:rPr>
                      <w:t>,</w:t>
                    </w:r>
                  </w:p>
                  <w:p w:rsidR="00A16840" w:rsidRPr="009F4586" w:rsidRDefault="00A16840" w:rsidP="00A16840">
                    <w:pPr>
                      <w:widowControl/>
                      <w:numPr>
                        <w:ilvl w:val="0"/>
                        <w:numId w:val="23"/>
                      </w:numPr>
                      <w:tabs>
                        <w:tab w:val="clear" w:pos="720"/>
                        <w:tab w:val="num" w:pos="0"/>
                      </w:tabs>
                      <w:suppressAutoHyphens w:val="0"/>
                      <w:spacing w:after="0" w:line="240" w:lineRule="auto"/>
                      <w:ind w:left="0" w:hanging="180"/>
                      <w:jc w:val="left"/>
                      <w:rPr>
                        <w:rFonts w:ascii="Times New Roman" w:hAnsi="Times New Roman"/>
                        <w:sz w:val="20"/>
                        <w:szCs w:val="20"/>
                        <w:lang w:val="uk-UA"/>
                      </w:rPr>
                    </w:pPr>
                    <w:r w:rsidRPr="009F4586">
                      <w:rPr>
                        <w:rFonts w:ascii="Times New Roman" w:hAnsi="Times New Roman"/>
                        <w:i/>
                        <w:iCs/>
                        <w:sz w:val="20"/>
                        <w:szCs w:val="20"/>
                        <w:lang w:val="uk-UA"/>
                      </w:rPr>
                      <w:t>дуалістична</w:t>
                    </w:r>
                    <w:r w:rsidRPr="009F4586">
                      <w:rPr>
                        <w:rFonts w:ascii="Times New Roman" w:hAnsi="Times New Roman"/>
                        <w:sz w:val="20"/>
                        <w:szCs w:val="20"/>
                        <w:lang w:val="uk-UA"/>
                      </w:rPr>
                      <w:t xml:space="preserve"> (</w:t>
                    </w:r>
                    <w:r w:rsidRPr="009F4586">
                      <w:rPr>
                        <w:rFonts w:ascii="Times New Roman" w:eastAsia="TimesNewRoman" w:hAnsi="Times New Roman" w:cs="TimesNewRoman"/>
                        <w:sz w:val="18"/>
                        <w:szCs w:val="18"/>
                        <w:lang w:val="uk-UA" w:bidi="mr-IN"/>
                      </w:rPr>
                      <w:t>норми регулювання за типом банкінгу)</w:t>
                    </w:r>
                    <w:r w:rsidRPr="009F4586">
                      <w:rPr>
                        <w:rFonts w:ascii="Times New Roman" w:hAnsi="Times New Roman"/>
                        <w:sz w:val="20"/>
                        <w:szCs w:val="20"/>
                        <w:lang w:val="uk-UA"/>
                      </w:rPr>
                      <w:t>,</w:t>
                    </w:r>
                  </w:p>
                  <w:p w:rsidR="00A16840" w:rsidRPr="009F4586" w:rsidRDefault="00A16840" w:rsidP="00A16840">
                    <w:pPr>
                      <w:widowControl/>
                      <w:numPr>
                        <w:ilvl w:val="0"/>
                        <w:numId w:val="23"/>
                      </w:numPr>
                      <w:tabs>
                        <w:tab w:val="clear" w:pos="720"/>
                        <w:tab w:val="num" w:pos="0"/>
                      </w:tabs>
                      <w:suppressAutoHyphens w:val="0"/>
                      <w:spacing w:after="0" w:line="240" w:lineRule="auto"/>
                      <w:ind w:left="0" w:hanging="180"/>
                      <w:jc w:val="left"/>
                      <w:rPr>
                        <w:rFonts w:ascii="Times New Roman" w:hAnsi="Times New Roman"/>
                        <w:sz w:val="20"/>
                        <w:szCs w:val="20"/>
                        <w:lang w:val="uk-UA"/>
                      </w:rPr>
                    </w:pPr>
                    <w:r w:rsidRPr="009F4586">
                      <w:rPr>
                        <w:rFonts w:ascii="Times New Roman" w:hAnsi="Times New Roman"/>
                        <w:i/>
                        <w:iCs/>
                        <w:sz w:val="20"/>
                        <w:szCs w:val="20"/>
                        <w:lang w:val="uk-UA"/>
                      </w:rPr>
                      <w:t>традиційна</w:t>
                    </w:r>
                    <w:r w:rsidRPr="009F4586">
                      <w:rPr>
                        <w:rFonts w:ascii="Times New Roman" w:hAnsi="Times New Roman"/>
                        <w:sz w:val="20"/>
                        <w:szCs w:val="20"/>
                        <w:lang w:val="uk-UA"/>
                      </w:rPr>
                      <w:t xml:space="preserve"> (</w:t>
                    </w:r>
                    <w:r w:rsidRPr="009F4586">
                      <w:rPr>
                        <w:rFonts w:ascii="Times New Roman" w:eastAsia="TimesNewRoman" w:hAnsi="Times New Roman" w:cs="TimesNewRoman"/>
                        <w:sz w:val="18"/>
                        <w:szCs w:val="18"/>
                        <w:lang w:val="uk-UA" w:bidi="mr-IN"/>
                      </w:rPr>
                      <w:t>підпорядкованість діяльності ісламських банків нормам регулювання загального банківського законодавства)</w:t>
                    </w:r>
                  </w:p>
                </w:txbxContent>
              </v:textbox>
            </v:shape>
          </v:group>
        </w:pict>
      </w:r>
      <w:r w:rsidRPr="00A16840">
        <w:rPr>
          <w:rFonts w:ascii="Times New Roman" w:eastAsia="Times New Roman" w:hAnsi="Times New Roman" w:cs="Times New Roman"/>
          <w:b/>
          <w:kern w:val="0"/>
          <w:sz w:val="28"/>
          <w:szCs w:val="28"/>
          <w:lang w:val="uk-UA" w:eastAsia="en-US"/>
        </w:rPr>
        <w:pict>
          <v:shape id="_x0000_i1164" type="#_x0000_t75" style="width:459.85pt;height:315.1pt">
            <v:imagedata croptop="-65520f" cropbottom="65520f"/>
          </v:shape>
        </w:pict>
      </w:r>
    </w:p>
    <w:p w:rsidR="00A16840" w:rsidRPr="00A16840" w:rsidRDefault="00A16840" w:rsidP="00A16840">
      <w:pPr>
        <w:widowControl/>
        <w:tabs>
          <w:tab w:val="clear" w:pos="709"/>
        </w:tabs>
        <w:suppressAutoHyphens w:val="0"/>
        <w:spacing w:after="0" w:line="240" w:lineRule="auto"/>
        <w:ind w:firstLine="709"/>
        <w:rPr>
          <w:rFonts w:ascii="Times New Roman" w:eastAsia="Times New Roman" w:hAnsi="Times New Roman" w:cs="TimesNewRomanPSMT"/>
          <w:kern w:val="0"/>
          <w:sz w:val="28"/>
          <w:szCs w:val="28"/>
          <w:lang w:val="uk-UA" w:eastAsia="en-US" w:bidi="mr-IN"/>
        </w:rPr>
      </w:pPr>
    </w:p>
    <w:p w:rsidR="00A16840" w:rsidRPr="00A16840" w:rsidRDefault="00A16840" w:rsidP="00A16840">
      <w:pPr>
        <w:widowControl/>
        <w:tabs>
          <w:tab w:val="clear" w:pos="709"/>
        </w:tabs>
        <w:suppressAutoHyphens w:val="0"/>
        <w:spacing w:after="0" w:line="240" w:lineRule="auto"/>
        <w:ind w:firstLine="709"/>
        <w:jc w:val="center"/>
        <w:rPr>
          <w:rFonts w:ascii="Times New Roman" w:eastAsia="Times New Roman" w:hAnsi="Times New Roman" w:cs="TimesNewRomanPSMT"/>
          <w:b/>
          <w:bCs/>
          <w:kern w:val="0"/>
          <w:sz w:val="28"/>
          <w:szCs w:val="28"/>
          <w:lang w:val="uk-UA" w:eastAsia="en-US" w:bidi="mr-IN"/>
        </w:rPr>
      </w:pPr>
      <w:r w:rsidRPr="00A16840">
        <w:rPr>
          <w:rFonts w:ascii="Times New Roman" w:eastAsia="Times New Roman" w:hAnsi="Times New Roman" w:cs="TimesNewRomanPSMT"/>
          <w:b/>
          <w:bCs/>
          <w:kern w:val="0"/>
          <w:sz w:val="28"/>
          <w:szCs w:val="28"/>
          <w:lang w:val="uk-UA" w:eastAsia="en-US" w:bidi="mr-IN"/>
        </w:rPr>
        <w:t xml:space="preserve">Рис.1. Принципи формування та моделі ісламського банкінгу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en-US"/>
        </w:rPr>
      </w:pPr>
      <w:r w:rsidRPr="00A16840">
        <w:rPr>
          <w:rFonts w:ascii="Times New Roman" w:eastAsia="Times New Roman" w:hAnsi="Times New Roman" w:cs="Times New Roman"/>
          <w:spacing w:val="-4"/>
          <w:kern w:val="0"/>
          <w:sz w:val="28"/>
          <w:szCs w:val="28"/>
          <w:lang w:val="uk-UA" w:eastAsia="en-US"/>
        </w:rPr>
        <w:t xml:space="preserve">Ґрунтуючись на аналізі чинної нормативної практики, а також організаційних аспектів фінансових секторів у різних країнах, виявлено, що існують різні бізнес-моделі ісламських банків: роздрібна та корпоративна банківська справа; інвестиційно-банківські послуги; поєднання комерційних та інвестиційних банків; банки, які працюють як обмінники грошей і з грошовими трансакціями; моделі інвестиційних компаній; холдингові компанії, що складаються з різних фінансових компаній; банки, які діють як пайові інвестиційні фонди; промислові та фінансові конгломерати; спеціалізовані банки (лише для обслуговування конкретних секторів) тощо. Виділено </w:t>
      </w:r>
      <w:r w:rsidRPr="00A16840">
        <w:rPr>
          <w:rFonts w:ascii="Times New Roman" w:eastAsia="Times New Roman" w:hAnsi="Times New Roman" w:cs="Times New Roman"/>
          <w:i/>
          <w:iCs/>
          <w:spacing w:val="-4"/>
          <w:kern w:val="0"/>
          <w:sz w:val="28"/>
          <w:szCs w:val="28"/>
          <w:lang w:val="uk-UA" w:eastAsia="en-US"/>
        </w:rPr>
        <w:t xml:space="preserve">основні моделі регулювання ісламського банкінгу: </w:t>
      </w:r>
      <w:r w:rsidRPr="00A16840">
        <w:rPr>
          <w:rFonts w:ascii="Times New Roman" w:eastAsia="Times New Roman" w:hAnsi="Times New Roman" w:cs="Times New Roman"/>
          <w:spacing w:val="-4"/>
          <w:kern w:val="0"/>
          <w:sz w:val="28"/>
          <w:szCs w:val="28"/>
          <w:lang w:val="uk-UA" w:eastAsia="en-US"/>
        </w:rPr>
        <w:t xml:space="preserve">моністичну, що пов’язана із </w:t>
      </w:r>
      <w:r w:rsidRPr="00A16840">
        <w:rPr>
          <w:rFonts w:ascii="Times New Roman" w:eastAsia="TimesNewRoman" w:hAnsi="Times New Roman" w:cs="TimesNewRoman"/>
          <w:spacing w:val="-4"/>
          <w:kern w:val="0"/>
          <w:sz w:val="28"/>
          <w:szCs w:val="28"/>
          <w:lang w:val="uk-UA" w:eastAsia="en-US" w:bidi="mr-IN"/>
        </w:rPr>
        <w:t xml:space="preserve">повною забороною позичкового відсотку, у т.ч. на конституційному рівні; </w:t>
      </w:r>
      <w:r w:rsidRPr="00A16840">
        <w:rPr>
          <w:rFonts w:ascii="Times New Roman" w:eastAsia="Times New Roman" w:hAnsi="Times New Roman" w:cs="Times New Roman"/>
          <w:spacing w:val="-4"/>
          <w:kern w:val="0"/>
          <w:sz w:val="28"/>
          <w:szCs w:val="28"/>
          <w:lang w:val="uk-UA" w:eastAsia="en-US"/>
        </w:rPr>
        <w:t xml:space="preserve">дуалістичну, відповідно до якої </w:t>
      </w:r>
      <w:r w:rsidRPr="00A16840">
        <w:rPr>
          <w:rFonts w:ascii="Times New Roman" w:eastAsia="TimesNewRoman" w:hAnsi="Times New Roman" w:cs="TimesNewRoman"/>
          <w:spacing w:val="-4"/>
          <w:kern w:val="0"/>
          <w:sz w:val="28"/>
          <w:szCs w:val="28"/>
          <w:lang w:val="uk-UA" w:eastAsia="en-US" w:bidi="mr-IN"/>
        </w:rPr>
        <w:t>норми регулювання визначаються за типом банкінгу</w:t>
      </w:r>
      <w:r w:rsidRPr="00A16840">
        <w:rPr>
          <w:rFonts w:ascii="Times New Roman" w:eastAsia="Times New Roman" w:hAnsi="Times New Roman" w:cs="Times New Roman"/>
          <w:spacing w:val="-4"/>
          <w:kern w:val="0"/>
          <w:sz w:val="28"/>
          <w:szCs w:val="28"/>
          <w:lang w:val="uk-UA" w:eastAsia="en-US"/>
        </w:rPr>
        <w:t xml:space="preserve">; та традиційну, що визначається </w:t>
      </w:r>
      <w:r w:rsidRPr="00A16840">
        <w:rPr>
          <w:rFonts w:ascii="Times New Roman" w:eastAsia="TimesNewRoman" w:hAnsi="Times New Roman" w:cs="TimesNewRoman"/>
          <w:spacing w:val="-4"/>
          <w:kern w:val="0"/>
          <w:sz w:val="28"/>
          <w:szCs w:val="28"/>
          <w:lang w:val="uk-UA" w:eastAsia="en-US" w:bidi="mr-IN"/>
        </w:rPr>
        <w:t>підпорядкованістю діяльності ісламських банків нормам регулювання загального банківського законодавства.</w:t>
      </w:r>
    </w:p>
    <w:p w:rsidR="00A16840" w:rsidRPr="00A16840" w:rsidRDefault="00A16840" w:rsidP="00A16840">
      <w:pPr>
        <w:widowControl/>
        <w:suppressAutoHyphens w:val="0"/>
        <w:spacing w:after="0" w:line="240" w:lineRule="auto"/>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spacing w:val="-4"/>
          <w:kern w:val="0"/>
          <w:sz w:val="28"/>
          <w:szCs w:val="28"/>
          <w:lang w:val="uk-UA" w:eastAsia="en-US"/>
        </w:rPr>
        <w:t xml:space="preserve">Доведено, що серед існуючих підходів до оцінки ризиків та розробки ефективної системи управління ними, до яких віднесено стандартизований, внутрішньо-рейтинговий та модельний підходи, найбільш оптимальним для ісламських банків є саме внутрішньо-рейтинговий підхід, що передбачає визначення індексів ризикованості активів відповідно до їх якості, терміну придатності та імовірності дефолту з наступним агрегуванням показників з метою визначення сукупних вимог до капіталу. На показник достатності капіталу ісламських банків впливають такі чинники, як розмір банку; ступінь ризикованості банківських кредитних портфелів та інвестицій; наявність забезпечення заставного майна, відповідної правової бази, спільних інституцій та ефективних судових процедур для </w:t>
      </w:r>
      <w:r w:rsidRPr="00A16840">
        <w:rPr>
          <w:rFonts w:ascii="Times New Roman" w:eastAsia="Times New Roman" w:hAnsi="Times New Roman" w:cs="Times New Roman"/>
          <w:kern w:val="0"/>
          <w:sz w:val="28"/>
          <w:szCs w:val="28"/>
          <w:lang w:val="uk-UA" w:eastAsia="en-US"/>
        </w:rPr>
        <w:t>визначення випадків дефолту; загальний рівень економічного розвитку країни.</w:t>
      </w:r>
    </w:p>
    <w:p w:rsidR="00A16840" w:rsidRPr="00A16840" w:rsidRDefault="00A16840" w:rsidP="00A16840">
      <w:pPr>
        <w:widowControl/>
        <w:suppressAutoHyphens w:val="0"/>
        <w:spacing w:after="0" w:line="240" w:lineRule="auto"/>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b/>
          <w:kern w:val="0"/>
          <w:sz w:val="28"/>
          <w:lang w:val="uk-UA" w:eastAsia="en-US"/>
        </w:rPr>
        <w:t xml:space="preserve">У другому розділі «Розвиток ісламського банкінгу у сучасній світовій фінансовій системі» </w:t>
      </w:r>
      <w:r w:rsidRPr="00A16840">
        <w:rPr>
          <w:rFonts w:ascii="Times New Roman" w:eastAsia="Times New Roman" w:hAnsi="Times New Roman" w:cs="Times New Roman"/>
          <w:bCs/>
          <w:kern w:val="0"/>
          <w:sz w:val="28"/>
          <w:lang w:val="uk-UA" w:eastAsia="en-US"/>
        </w:rPr>
        <w:t xml:space="preserve">досліджено </w:t>
      </w:r>
      <w:r w:rsidRPr="00A16840">
        <w:rPr>
          <w:rFonts w:ascii="Times New Roman" w:eastAsia="Times New Roman" w:hAnsi="Times New Roman" w:cs="Times New Roman"/>
          <w:bCs/>
          <w:kern w:val="0"/>
          <w:sz w:val="28"/>
          <w:szCs w:val="28"/>
          <w:lang w:val="uk-UA" w:eastAsia="en-US"/>
        </w:rPr>
        <w:t xml:space="preserve">роль та місце </w:t>
      </w:r>
      <w:r w:rsidRPr="00A16840">
        <w:rPr>
          <w:rFonts w:ascii="Times New Roman" w:eastAsia="Times New Roman" w:hAnsi="Times New Roman" w:cs="Times New Roman"/>
          <w:bCs/>
          <w:kern w:val="0"/>
          <w:sz w:val="28"/>
          <w:lang w:val="uk-UA" w:eastAsia="en-US"/>
        </w:rPr>
        <w:t>ісламського банкінгу у світовій фінансовій системі, визначено особливості його інтеграції у традиційні банківські системи, здійснено к</w:t>
      </w:r>
      <w:r w:rsidRPr="00A16840">
        <w:rPr>
          <w:rFonts w:ascii="Times New Roman" w:eastAsia="Times New Roman" w:hAnsi="Times New Roman" w:cs="Times New Roman"/>
          <w:bCs/>
          <w:kern w:val="0"/>
          <w:sz w:val="28"/>
          <w:szCs w:val="28"/>
          <w:lang w:val="uk-UA" w:eastAsia="en-US"/>
        </w:rPr>
        <w:t>омпаративний аналіз фінансової стійкості традиційних та ісламських банківських систем.</w:t>
      </w:r>
    </w:p>
    <w:p w:rsidR="00A16840" w:rsidRPr="00A16840" w:rsidRDefault="00A16840" w:rsidP="00A16840">
      <w:pPr>
        <w:widowControl/>
        <w:suppressAutoHyphens w:val="0"/>
        <w:spacing w:after="0" w:line="240" w:lineRule="auto"/>
        <w:rPr>
          <w:rFonts w:ascii="Times New Roman" w:eastAsia="Times New Roman" w:hAnsi="Times New Roman" w:cs="Times New Roman"/>
          <w:spacing w:val="-4"/>
          <w:kern w:val="0"/>
          <w:sz w:val="28"/>
          <w:szCs w:val="28"/>
          <w:lang w:val="uk-UA" w:eastAsia="en-US"/>
        </w:rPr>
      </w:pPr>
      <w:r w:rsidRPr="00A16840">
        <w:rPr>
          <w:rFonts w:ascii="Times New Roman" w:eastAsia="Times New Roman" w:hAnsi="Times New Roman" w:cs="Times New Roman"/>
          <w:spacing w:val="-4"/>
          <w:kern w:val="0"/>
          <w:sz w:val="28"/>
          <w:szCs w:val="28"/>
          <w:lang w:val="uk-UA" w:eastAsia="en-US"/>
        </w:rPr>
        <w:t xml:space="preserve">Станом на початок 2014 року світова ісламська фінансова індустрія включає 4 ісламські банківські холдингові компанії, близько 100 ісламських комерційних банків, 16 ісламських інвестиційних банків, 34 ісламські фінансові і інвестиційні компанії, близько 30 ісламських страхових компаній і перестрахувальних товариств, 6 ісламських спеціалізованих лізингових компаній, 8 великих ісламських міжнародних торгових компаній, 10 компаній з довірчого управління, 4 дисконтних дома, 8 брокерських компаній. Крім того, близько 200 фінансових установ у всьому світі так чи інакше використовують ісламські фінансові інструменти. Загалом більше 600 ісламських фінансових інститутів функціонують більш ніж у 70 країнах світу.  </w:t>
      </w:r>
    </w:p>
    <w:p w:rsidR="00A16840" w:rsidRPr="00A16840" w:rsidRDefault="00A16840" w:rsidP="00A16840">
      <w:pPr>
        <w:widowControl/>
        <w:suppressAutoHyphens w:val="0"/>
        <w:spacing w:after="0" w:line="240" w:lineRule="auto"/>
        <w:rPr>
          <w:rFonts w:ascii="Times New Roman" w:eastAsia="Times New Roman" w:hAnsi="Times New Roman" w:cs="TimesNewRomanPSMT"/>
          <w:bCs/>
          <w:kern w:val="0"/>
          <w:sz w:val="28"/>
          <w:szCs w:val="28"/>
          <w:lang w:val="uk-UA" w:eastAsia="en-US" w:bidi="mr-IN"/>
        </w:rPr>
      </w:pPr>
      <w:r w:rsidRPr="00A16840">
        <w:rPr>
          <w:rFonts w:ascii="Times New Roman" w:eastAsia="Times New Roman" w:hAnsi="Times New Roman" w:cs="Times New Roman"/>
          <w:kern w:val="0"/>
          <w:sz w:val="28"/>
          <w:szCs w:val="28"/>
          <w:lang w:val="uk-UA" w:eastAsia="en-US"/>
        </w:rPr>
        <w:t xml:space="preserve">Ісламська фінансова індустрія сьогодні концентрує активи на суму 1,8 трлн. дол., що складає лише 0,64% глобальних фінансових активів, при цьому ісламський банкінг, на який припадає 4/5 ісламської фінансової системи, наразі є найбільш динамічним сектором ісламських фінансів із середньорічними темпами зростання понад 20% (рис.2). </w:t>
      </w:r>
      <w:r w:rsidRPr="00A16840">
        <w:rPr>
          <w:rFonts w:ascii="Times New Roman" w:eastAsia="Times New Roman" w:hAnsi="Times New Roman" w:cs="Times New Roman"/>
          <w:bCs/>
          <w:kern w:val="0"/>
          <w:sz w:val="28"/>
          <w:szCs w:val="28"/>
          <w:lang w:val="uk-UA" w:eastAsia="en-US"/>
        </w:rPr>
        <w:t xml:space="preserve">Кількісні зміни у розвитку ісламського банкінгу пов’язані із його розвитком не лише в мусульманських країнах, а й серед країн із традиційними банківськими системами, причинами чого визначено: </w:t>
      </w:r>
      <w:r w:rsidRPr="00A16840">
        <w:rPr>
          <w:rFonts w:ascii="Times New Roman" w:eastAsia="Times New Roman" w:hAnsi="Times New Roman" w:cs="TimesNewRomanPSMT"/>
          <w:bCs/>
          <w:kern w:val="0"/>
          <w:sz w:val="28"/>
          <w:szCs w:val="28"/>
          <w:lang w:val="uk-UA" w:eastAsia="en-US" w:bidi="mr-IN"/>
        </w:rPr>
        <w:t>виникнення вільної ліквідності фінансових ресурсів на ринках мусульманських країн через збільшення притоку нафтодоларів унаслідок кон’юнктурних змін на світовому ринку нафти; розвиток фінансової інфраструктури ринків мусульманських країн; диверсифікація послуг, що надаються традиційними банківськими системами, на основі принципів ісламського банкінгу через посилення міжнародної конкуренції на світовому фінансовому ринку.</w:t>
      </w:r>
    </w:p>
    <w:p w:rsidR="00A16840" w:rsidRPr="00A16840" w:rsidRDefault="00A16840" w:rsidP="00A16840">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NewRomanPSMT"/>
          <w:bCs/>
          <w:kern w:val="0"/>
          <w:sz w:val="24"/>
          <w:szCs w:val="24"/>
          <w:lang w:val="uk-UA" w:eastAsia="en-US" w:bidi="mr-IN"/>
        </w:rPr>
        <w:t xml:space="preserve"> </w:t>
      </w:r>
      <w:r w:rsidRPr="00A16840">
        <w:rPr>
          <w:rFonts w:ascii="Times New Roman" w:eastAsia="Times New Roman" w:hAnsi="Times New Roman" w:cs="Times New Roman"/>
          <w:kern w:val="0"/>
          <w:sz w:val="24"/>
          <w:szCs w:val="24"/>
          <w:lang w:val="uk-UA" w:eastAsia="en-US"/>
        </w:rPr>
        <w:t xml:space="preserve"> </w:t>
      </w:r>
      <w:r>
        <w:rPr>
          <w:rFonts w:ascii="Times New Roman" w:eastAsia="Times New Roman" w:hAnsi="Times New Roman" w:cs="Times New Roman"/>
          <w:noProof/>
          <w:kern w:val="0"/>
          <w:sz w:val="28"/>
          <w:szCs w:val="28"/>
          <w:lang w:eastAsia="ru-RU"/>
        </w:rPr>
        <w:drawing>
          <wp:inline distT="0" distB="0" distL="0" distR="0">
            <wp:extent cx="5269865" cy="2232025"/>
            <wp:effectExtent l="0" t="0" r="0" b="0"/>
            <wp:docPr id="141" name="Объект 1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6840" w:rsidRPr="00A16840" w:rsidRDefault="00A16840" w:rsidP="00A16840">
      <w:pPr>
        <w:widowControl/>
        <w:suppressLineNumbers/>
        <w:tabs>
          <w:tab w:val="clear" w:pos="709"/>
        </w:tabs>
        <w:spacing w:after="0" w:line="240" w:lineRule="auto"/>
        <w:ind w:firstLine="540"/>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Рис. 2. Ісламські фінансові активи у 2004-2013 рр. (загальний обсяг – ліва шкала; частка у глобальних фінансових активах – права шкала)</w:t>
      </w:r>
    </w:p>
    <w:p w:rsidR="00A16840" w:rsidRPr="00A16840" w:rsidRDefault="00A16840" w:rsidP="00A16840">
      <w:pPr>
        <w:widowControl/>
        <w:tabs>
          <w:tab w:val="clear" w:pos="709"/>
        </w:tabs>
        <w:suppressAutoHyphens w:val="0"/>
        <w:spacing w:after="0" w:line="240" w:lineRule="auto"/>
        <w:ind w:firstLine="709"/>
        <w:rPr>
          <w:rFonts w:ascii="Times New Roman" w:eastAsia="Times New Roman" w:hAnsi="Times New Roman" w:cs="Times New Roman"/>
          <w:kern w:val="0"/>
          <w:sz w:val="16"/>
          <w:szCs w:val="16"/>
          <w:lang w:val="uk-UA" w:eastAsia="en-US"/>
        </w:rPr>
      </w:pP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spacing w:val="-2"/>
          <w:kern w:val="0"/>
          <w:sz w:val="28"/>
          <w:szCs w:val="28"/>
          <w:lang w:val="uk-UA" w:eastAsia="en-US"/>
        </w:rPr>
      </w:pPr>
      <w:r w:rsidRPr="00A16840">
        <w:rPr>
          <w:rFonts w:ascii="Times New Roman" w:eastAsia="Times New Roman" w:hAnsi="Times New Roman" w:cs="Times New Roman"/>
          <w:spacing w:val="-2"/>
          <w:kern w:val="0"/>
          <w:sz w:val="28"/>
          <w:szCs w:val="28"/>
          <w:lang w:val="uk-UA" w:eastAsia="en-US"/>
        </w:rPr>
        <w:t xml:space="preserve">Встановлено, що, поступаючись традиційним банкам за рівнем капіталізації, ісламські фінансові установи є більш фінансово стійкими та рентабельними, результати оцінки динаміки активів, фінансування та депозитів ісламських банків дозволили виділити два періоди уповільнення темпів зростання їх балансових статей з точки зору характеру стримуючих чинників: 2007-2009 рр. (вплив глобальної фінансової кризи) та 2010-2012 рр. (вплив загострення конкурентної боротьби внаслідок відновлення фінансового стану традиційних банківських установ). Водночас, середні темпи зростання активів та пасивів ісламських банків (20% на рік) перевищують аналогічний показник традиційних банківських установ. </w:t>
      </w:r>
    </w:p>
    <w:p w:rsidR="00A16840" w:rsidRPr="00A16840" w:rsidRDefault="00A16840" w:rsidP="00A16840">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kern w:val="0"/>
          <w:sz w:val="28"/>
          <w:lang w:val="uk-UA" w:eastAsia="en-US"/>
        </w:rPr>
        <w:t xml:space="preserve">Розвиток ісламського банкінгу отримав новий поштовх після глобальної фінансової кризи 2008-2009 рр. та європейської боргової кризи 2011-2012 рр., </w:t>
      </w:r>
      <w:r w:rsidRPr="00A16840">
        <w:rPr>
          <w:rFonts w:ascii="Times New Roman" w:eastAsia="Times New Roman" w:hAnsi="Times New Roman" w:cs="Times New Roman"/>
          <w:kern w:val="0"/>
          <w:sz w:val="28"/>
          <w:szCs w:val="28"/>
          <w:lang w:val="uk-UA" w:eastAsia="en-US"/>
        </w:rPr>
        <w:t xml:space="preserve">які, серйозно погіршивши фінансовий стан провідних традиційних фінансових інститутів, суттєво не вплинули на ліквідність ісламської фінансової системи. У результаті, ісламські фінансові інститути розгортають діяльність у міжнародних масштабах, а, з іншого боку, традиційні фінансові установи створюють підрозділи у мусульманських країнах. Поступова переорієнтація клієнтів на ісламські банківські продукти приводить до того, що ісламські банківські активи та депозити зростають більш швидкими темпами порівняно з аналогічними балансовими статтями традиційних банків. Імплементація принципів ісламського банкінгу у традиційні банківські системи відбувається за рахунок: відкриття операційних підрозділів ісламських банків; створення у структурі традиційних банків ісламських вікон; надання традиційними банками окремих видів продуктів ісламського банкінгу. Встановлено, що ісламські банківські активи стають менш концентрованими у регіональному розрізі, що також є доказом просторової диверсифікації операцій ісламських банків, що підтверджує профіль </w:t>
      </w:r>
      <w:r w:rsidRPr="00A16840">
        <w:rPr>
          <w:rFonts w:ascii="Times New Roman" w:eastAsia="Times New Roman" w:hAnsi="Times New Roman" w:cs="Times New Roman"/>
          <w:bCs/>
          <w:kern w:val="0"/>
          <w:sz w:val="28"/>
          <w:szCs w:val="28"/>
          <w:lang w:val="uk-UA" w:eastAsia="en-US"/>
        </w:rPr>
        <w:t>потенційних ринків інтеграції ісламського банкінгу (табл.1).</w:t>
      </w:r>
    </w:p>
    <w:p w:rsidR="00A16840" w:rsidRPr="00A16840" w:rsidRDefault="00A16840" w:rsidP="00A16840">
      <w:pPr>
        <w:keepNext/>
        <w:widowControl/>
        <w:suppressLineNumbers/>
        <w:shd w:val="clear" w:color="auto" w:fill="FFFFFF"/>
        <w:tabs>
          <w:tab w:val="clear" w:pos="709"/>
        </w:tabs>
        <w:suppressAutoHyphens w:val="0"/>
        <w:spacing w:after="0" w:line="240" w:lineRule="auto"/>
        <w:ind w:firstLine="0"/>
        <w:jc w:val="right"/>
        <w:rPr>
          <w:rFonts w:ascii="Times New Roman" w:eastAsia="Times New Roman" w:hAnsi="Times New Roman" w:cs="Times New Roman"/>
          <w:b/>
          <w:bCs/>
          <w:kern w:val="0"/>
          <w:sz w:val="28"/>
          <w:szCs w:val="28"/>
          <w:lang w:val="uk-UA" w:eastAsia="en-US"/>
        </w:rPr>
      </w:pPr>
      <w:r w:rsidRPr="00A16840">
        <w:rPr>
          <w:rFonts w:ascii="Times New Roman" w:eastAsia="Times New Roman" w:hAnsi="Times New Roman" w:cs="Times New Roman"/>
          <w:b/>
          <w:bCs/>
          <w:kern w:val="0"/>
          <w:sz w:val="28"/>
          <w:szCs w:val="28"/>
          <w:lang w:val="uk-UA" w:eastAsia="en-US"/>
        </w:rPr>
        <w:t>Таблиця 1</w:t>
      </w:r>
    </w:p>
    <w:p w:rsidR="00A16840" w:rsidRPr="00A16840" w:rsidRDefault="00A16840" w:rsidP="00A16840">
      <w:pPr>
        <w:keepNext/>
        <w:widowControl/>
        <w:suppressLineNumbers/>
        <w:shd w:val="clear" w:color="auto" w:fill="FFFFFF"/>
        <w:tabs>
          <w:tab w:val="clear" w:pos="709"/>
        </w:tabs>
        <w:suppressAutoHyphens w:val="0"/>
        <w:spacing w:after="0" w:line="240" w:lineRule="auto"/>
        <w:ind w:firstLine="691"/>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Профіль потенційних регіональних та національних ринків інтеграції ісламського банкінгу</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2056"/>
        <w:gridCol w:w="6320"/>
      </w:tblGrid>
      <w:tr w:rsidR="00A16840" w:rsidRPr="00A16840" w:rsidTr="00F66D86">
        <w:tc>
          <w:tcPr>
            <w:tcW w:w="674" w:type="pct"/>
            <w:shd w:val="clear" w:color="auto" w:fill="auto"/>
          </w:tcPr>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lang w:val="uk-UA" w:eastAsia="en-US"/>
              </w:rPr>
            </w:pPr>
            <w:r w:rsidRPr="00A16840">
              <w:rPr>
                <w:rFonts w:ascii="Times New Roman" w:eastAsia="Times New Roman" w:hAnsi="Times New Roman" w:cs="Times New Roman"/>
                <w:b/>
                <w:kern w:val="0"/>
                <w:lang w:val="uk-UA" w:eastAsia="en-US"/>
              </w:rPr>
              <w:t>Регіон</w:t>
            </w:r>
          </w:p>
        </w:tc>
        <w:tc>
          <w:tcPr>
            <w:tcW w:w="1062" w:type="pct"/>
            <w:shd w:val="clear" w:color="auto" w:fill="auto"/>
          </w:tcPr>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lang w:val="uk-UA" w:eastAsia="en-US"/>
              </w:rPr>
            </w:pPr>
            <w:r w:rsidRPr="00A16840">
              <w:rPr>
                <w:rFonts w:ascii="Times New Roman" w:eastAsia="Times New Roman" w:hAnsi="Times New Roman" w:cs="Times New Roman"/>
                <w:b/>
                <w:kern w:val="0"/>
                <w:lang w:val="uk-UA" w:eastAsia="en-US"/>
              </w:rPr>
              <w:t>Країни і частка мусульманського населення (%)</w:t>
            </w:r>
          </w:p>
        </w:tc>
        <w:tc>
          <w:tcPr>
            <w:tcW w:w="3264" w:type="pct"/>
            <w:shd w:val="clear" w:color="auto" w:fill="auto"/>
          </w:tcPr>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lang w:val="uk-UA" w:eastAsia="en-US"/>
              </w:rPr>
            </w:pPr>
            <w:r w:rsidRPr="00A16840">
              <w:rPr>
                <w:rFonts w:ascii="Times New Roman" w:eastAsia="Times New Roman" w:hAnsi="Times New Roman" w:cs="Times New Roman"/>
                <w:b/>
                <w:kern w:val="0"/>
                <w:lang w:val="uk-UA" w:eastAsia="en-US"/>
              </w:rPr>
              <w:t>Поточний рівень впровадження принципів ісламського банкінгу</w:t>
            </w:r>
          </w:p>
        </w:tc>
      </w:tr>
      <w:tr w:rsidR="00A16840" w:rsidRPr="00A16840" w:rsidTr="00F66D86">
        <w:trPr>
          <w:trHeight w:val="457"/>
        </w:trPr>
        <w:tc>
          <w:tcPr>
            <w:tcW w:w="674" w:type="pct"/>
            <w:vMerge w:val="restar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Африка на південь від Сахари</w:t>
            </w: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Нігерія (70%)</w:t>
            </w:r>
          </w:p>
        </w:tc>
        <w:tc>
          <w:tcPr>
            <w:tcW w:w="3264" w:type="pct"/>
            <w:vMerge w:val="restart"/>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 xml:space="preserve">У регіоні діють 38 ісламських банків. У Нігерії та Кенії впроваджуються реформи системи регулювання ісламського банкінгу, сукук і такафул. Емітенти з Кенії та Гамбії представлені на ринку сукук. ПАР є центром заснування кількох ісламських фондів. Основними чинниками прогресу ісламського банкінгу є потреба зростаючих економік у альтернативних джерелах фінансування та значна чисельність мусульманського населення (близько 250 млн. осіб). </w:t>
            </w:r>
          </w:p>
        </w:tc>
      </w:tr>
      <w:tr w:rsidR="00A16840" w:rsidRPr="00A16840" w:rsidTr="00F66D86">
        <w:trPr>
          <w:trHeight w:val="561"/>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Кенія (33%)</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rPr>
          <w:trHeight w:val="569"/>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ПАР (3%)</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rPr>
          <w:trHeight w:val="421"/>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Гамбія (90%)</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rPr>
          <w:trHeight w:val="546"/>
        </w:trPr>
        <w:tc>
          <w:tcPr>
            <w:tcW w:w="674" w:type="pct"/>
            <w:vMerge w:val="restar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Західна Європа</w:t>
            </w: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Великобританія (5%)</w:t>
            </w:r>
          </w:p>
        </w:tc>
        <w:tc>
          <w:tcPr>
            <w:tcW w:w="3264" w:type="pct"/>
            <w:vMerge w:val="restart"/>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 xml:space="preserve">Ісламські фінансові активи регіону оцінюються у 50-60 млрд. дол. Ринки характеризуються низьким рівнем проникнення ісламських фінансів у сектор роздрібних банківських послуг порівняно з кількістю потенційних клієнтів-мусульман. Основною проблемою ісламських банків у регіоні є недостатня кількість визнаних високоякісних фінансових інструментів, заснованих на принципах Шаріату. Головними чинниками прогресу ісламського банкінгу у регіоні є укріплення торговельних і фінансових зв’язків між ЄС та ОІС, а також гостра потреба у диверсифікації джерел фінансування економіки в умовах зниження ліквідності вітчизняних традиційних банків. </w:t>
            </w:r>
          </w:p>
        </w:tc>
      </w:tr>
      <w:tr w:rsidR="00A16840" w:rsidRPr="00A16840" w:rsidTr="00F66D86">
        <w:trPr>
          <w:trHeight w:val="546"/>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Франція (7%)</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rPr>
          <w:trHeight w:val="546"/>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Німеччина (4%)</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rPr>
          <w:trHeight w:val="546"/>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Люксембург (3%)</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rPr>
          <w:trHeight w:val="546"/>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Ірландія (0,5%)</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rPr>
          <w:trHeight w:val="1132"/>
        </w:trPr>
        <w:tc>
          <w:tcPr>
            <w:tcW w:w="674" w:type="pct"/>
            <w:vMerge w:val="restar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Північна Америка</w:t>
            </w: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США (2%)</w:t>
            </w:r>
          </w:p>
        </w:tc>
        <w:tc>
          <w:tcPr>
            <w:tcW w:w="3264" w:type="pct"/>
            <w:vMerge w:val="restart"/>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В США ісламські фінансові послуги надають більше 15 фінансових установ, а папери сукук на корпоративному рівні емітуються з 2004р. Основною проблемою впровадження ісламського банкінгу в регіоні є відсутність нормативно-правової бази регулювання діяльності ісламських фінансових установ та недостатнє розуміння громадськістю принципів ісламських фінансів. Головними чинниками прогресу ісламської фінансової індустрії в регіоні є впровадження двох ісламських фондових індексів – Dow Jones Islamic Market Indices та Standard &amp; Poor’s Shariah Indices.</w:t>
            </w:r>
          </w:p>
        </w:tc>
      </w:tr>
      <w:tr w:rsidR="00A16840" w:rsidRPr="00A16840" w:rsidTr="00F66D86">
        <w:trPr>
          <w:trHeight w:val="1133"/>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Канада (3%)</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rPr>
          <w:trHeight w:val="375"/>
        </w:trPr>
        <w:tc>
          <w:tcPr>
            <w:tcW w:w="674" w:type="pct"/>
            <w:vMerge w:val="restar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Південна Америка</w:t>
            </w: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Аргентина (1,5%)</w:t>
            </w:r>
          </w:p>
        </w:tc>
        <w:tc>
          <w:tcPr>
            <w:tcW w:w="3264" w:type="pct"/>
            <w:vMerge w:val="restart"/>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Регіон вважається аутсайдером ісламського фінансового ринку. Найближчі перспективи інтеграції ісламського банкінгу, особливо у фінансовий сектор Бразилії, пов’язані з розвитком ринку сукук.</w:t>
            </w:r>
          </w:p>
        </w:tc>
      </w:tr>
      <w:tr w:rsidR="00A16840" w:rsidRPr="00A16840" w:rsidTr="00F66D86">
        <w:trPr>
          <w:trHeight w:val="375"/>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Бразилія (0,5%)</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c>
          <w:tcPr>
            <w:tcW w:w="674"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Океанія</w:t>
            </w: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Австралія (2%)</w:t>
            </w:r>
          </w:p>
        </w:tc>
        <w:tc>
          <w:tcPr>
            <w:tcW w:w="3264" w:type="pct"/>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Фінансові потреби мусульманського населення Австралії обслуговують Кредитний союз мусульманської громади і Кооператив мусульманської громади Австралії. У країні введено податковий режим, що враховує принципи ісламських фінансів, та засновано три ісламських фонди.</w:t>
            </w:r>
          </w:p>
        </w:tc>
      </w:tr>
      <w:tr w:rsidR="00A16840" w:rsidRPr="00A16840" w:rsidTr="00F66D86">
        <w:tc>
          <w:tcPr>
            <w:tcW w:w="674" w:type="pct"/>
            <w:vMerge w:val="restar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СНД</w:t>
            </w: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left="-110" w:right="-107" w:firstLine="0"/>
              <w:jc w:val="left"/>
              <w:rPr>
                <w:rFonts w:ascii="Times New Roman" w:eastAsia="Times New Roman" w:hAnsi="Times New Roman" w:cs="Times New Roman"/>
                <w:spacing w:val="-14"/>
                <w:kern w:val="0"/>
                <w:sz w:val="20"/>
                <w:szCs w:val="20"/>
                <w:lang w:val="uk-UA" w:eastAsia="en-US"/>
              </w:rPr>
            </w:pPr>
            <w:r w:rsidRPr="00A16840">
              <w:rPr>
                <w:rFonts w:ascii="Times New Roman" w:eastAsia="Times New Roman" w:hAnsi="Times New Roman" w:cs="Times New Roman"/>
                <w:spacing w:val="-10"/>
                <w:kern w:val="0"/>
                <w:sz w:val="20"/>
                <w:szCs w:val="20"/>
                <w:lang w:val="uk-UA" w:eastAsia="en-US"/>
              </w:rPr>
              <w:t>Російська Федерація (</w:t>
            </w:r>
            <w:r w:rsidRPr="00A16840">
              <w:rPr>
                <w:rFonts w:ascii="Times New Roman" w:eastAsia="Times New Roman" w:hAnsi="Times New Roman" w:cs="Times New Roman"/>
                <w:spacing w:val="-8"/>
                <w:kern w:val="0"/>
                <w:sz w:val="20"/>
                <w:szCs w:val="20"/>
                <w:lang w:val="uk-UA" w:eastAsia="en-US"/>
              </w:rPr>
              <w:t>19%)</w:t>
            </w:r>
          </w:p>
        </w:tc>
        <w:tc>
          <w:tcPr>
            <w:tcW w:w="3264" w:type="pct"/>
            <w:vMerge w:val="restart"/>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 xml:space="preserve">Перший ісламський банк регіону відкрито у Росії у 2000 р. для фінансування торгівлі з азійськими та африканськими країнами. Казахстан і Киргизстан активно розвивають законодавчу базу регулювання ісламських фінансів. Потенціал регіонального ринку ісламського банкінгу, що враховує значну чисельність мусульманського населення, у повній мірі не використовується. </w:t>
            </w:r>
          </w:p>
        </w:tc>
      </w:tr>
      <w:tr w:rsidR="00A16840" w:rsidRPr="00A16840" w:rsidTr="00F66D86">
        <w:trPr>
          <w:trHeight w:val="274"/>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spacing w:val="-14"/>
                <w:kern w:val="0"/>
                <w:lang w:val="uk-UA" w:eastAsia="en-US"/>
              </w:rPr>
            </w:pPr>
            <w:r w:rsidRPr="00A16840">
              <w:rPr>
                <w:rFonts w:ascii="Times New Roman" w:eastAsia="Times New Roman" w:hAnsi="Times New Roman" w:cs="Times New Roman"/>
                <w:spacing w:val="-14"/>
                <w:kern w:val="0"/>
                <w:lang w:val="uk-UA" w:eastAsia="en-US"/>
              </w:rPr>
              <w:t>Азербайджан (93%)</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rPr>
          <w:trHeight w:val="353"/>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Казахстан (70%)</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rPr>
          <w:trHeight w:val="350"/>
        </w:trPr>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Киргизстан (75%)</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r w:rsidR="00A16840" w:rsidRPr="00A16840" w:rsidTr="00F66D86">
        <w:tc>
          <w:tcPr>
            <w:tcW w:w="67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c>
          <w:tcPr>
            <w:tcW w:w="1062" w:type="pct"/>
            <w:shd w:val="clear" w:color="auto" w:fill="auto"/>
            <w:vAlign w:val="center"/>
          </w:tcPr>
          <w:p w:rsidR="00A16840" w:rsidRPr="00A16840" w:rsidRDefault="00A16840" w:rsidP="00A16840">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Узбекистан (88%)</w:t>
            </w:r>
          </w:p>
        </w:tc>
        <w:tc>
          <w:tcPr>
            <w:tcW w:w="3264" w:type="pct"/>
            <w:vMerge/>
            <w:shd w:val="clear" w:color="auto" w:fill="auto"/>
          </w:tcPr>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lang w:val="uk-UA" w:eastAsia="en-US"/>
              </w:rPr>
            </w:pPr>
          </w:p>
        </w:tc>
      </w:tr>
    </w:tbl>
    <w:p w:rsidR="00A16840" w:rsidRPr="00A16840" w:rsidRDefault="00A16840" w:rsidP="00A16840">
      <w:pPr>
        <w:widowControl/>
        <w:tabs>
          <w:tab w:val="clear" w:pos="709"/>
        </w:tabs>
        <w:suppressAutoHyphens w:val="0"/>
        <w:spacing w:after="0" w:line="240" w:lineRule="auto"/>
        <w:ind w:firstLine="709"/>
        <w:rPr>
          <w:rFonts w:ascii="Times New Roman" w:eastAsia="Times New Roman" w:hAnsi="Times New Roman" w:cs="Times New Roman"/>
          <w:kern w:val="0"/>
          <w:sz w:val="16"/>
          <w:szCs w:val="16"/>
          <w:lang w:val="uk-UA" w:eastAsia="en-US"/>
        </w:rPr>
      </w:pP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Дослідження масштабів імплементації принципів ісламських фінансів у національні фінансові системи дозволило розробити </w:t>
      </w:r>
      <w:r w:rsidRPr="00A16840">
        <w:rPr>
          <w:rFonts w:ascii="Times New Roman" w:eastAsia="Times New Roman" w:hAnsi="Times New Roman" w:cs="Times New Roman"/>
          <w:i/>
          <w:iCs/>
          <w:kern w:val="0"/>
          <w:sz w:val="28"/>
          <w:szCs w:val="28"/>
          <w:lang w:val="uk-UA" w:eastAsia="en-US"/>
        </w:rPr>
        <w:t>класифікацію країн світу за рівнем імплементації принципів ісламського банкінгу</w:t>
      </w:r>
      <w:r w:rsidRPr="00A16840">
        <w:rPr>
          <w:rFonts w:ascii="Times New Roman" w:eastAsia="Times New Roman" w:hAnsi="Times New Roman" w:cs="Times New Roman"/>
          <w:kern w:val="0"/>
          <w:sz w:val="28"/>
          <w:szCs w:val="28"/>
          <w:lang w:val="uk-UA" w:eastAsia="en-US"/>
        </w:rPr>
        <w:t xml:space="preserve"> у національних банківських системах, а саме: країни, банківські системи яких є повністю ісламізованими (Судан, Іран); країни, в яких функціонують змішані банківські системи зі значною часткою (понад 20%) ісламських активів (Саудівська Аравія, Кувейт, Ємен, Бруней, Катар); країни, в яких функціонують змішані банківські системи з відносно незначною часткою (до 20%) ісламських активів (Малайзія, ОАЕ, Бангладеш, Пакистан); країни, в яких функціонують традиційні банківські системи, де ісламські банківські установи відсутні або частка їх активів не перевищує 1% (Австралія, Великобританія, США, Сінгапур, Філіппіни тощо). </w:t>
      </w:r>
    </w:p>
    <w:p w:rsidR="00A16840" w:rsidRPr="00A16840" w:rsidRDefault="00A16840" w:rsidP="00A16840">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lang w:val="uk-UA" w:eastAsia="en-US"/>
        </w:rPr>
        <w:t xml:space="preserve">Обґрунтовано </w:t>
      </w:r>
      <w:r w:rsidRPr="00A16840">
        <w:rPr>
          <w:rFonts w:ascii="Times New Roman" w:eastAsia="Times New Roman" w:hAnsi="Times New Roman" w:cs="Times New Roman"/>
          <w:i/>
          <w:iCs/>
          <w:kern w:val="0"/>
          <w:sz w:val="28"/>
          <w:lang w:val="uk-UA" w:eastAsia="en-US"/>
        </w:rPr>
        <w:t>групи чинників інтеграції ісламського банкінгу на ринки з традиційними банківськими системами</w:t>
      </w:r>
      <w:r w:rsidRPr="00A16840">
        <w:rPr>
          <w:rFonts w:ascii="Times New Roman" w:eastAsia="Times New Roman" w:hAnsi="Times New Roman" w:cs="Times New Roman"/>
          <w:kern w:val="0"/>
          <w:sz w:val="28"/>
          <w:lang w:val="uk-UA" w:eastAsia="en-US"/>
        </w:rPr>
        <w:t xml:space="preserve"> стимулюючого характеру, а саме: </w:t>
      </w:r>
      <w:r w:rsidRPr="00A16840">
        <w:rPr>
          <w:rFonts w:ascii="Times New Roman" w:eastAsia="Times New Roman" w:hAnsi="Times New Roman" w:cs="Times New Roman"/>
          <w:kern w:val="0"/>
          <w:sz w:val="28"/>
          <w:szCs w:val="28"/>
          <w:lang w:val="uk-UA" w:eastAsia="en-US"/>
        </w:rPr>
        <w:t>зростання абсолютної кількості мусульманського населення, підвищення його економічної активності через зростання рівня добробуту, оптимізація нормативно-правового забезпечення впровадження принципів ісламських фінансів, розширення взаємодії між ключовими ісламськими фінансовими ринками та іншими країнами); дестимулюючий вплив пов’язаний із внутрішніми (</w:t>
      </w:r>
      <w:r w:rsidRPr="00A16840">
        <w:rPr>
          <w:rFonts w:ascii="Times New Roman" w:eastAsia="Times New Roman" w:hAnsi="Times New Roman" w:cs="Times New Roman"/>
          <w:iCs/>
          <w:kern w:val="0"/>
          <w:sz w:val="28"/>
          <w:szCs w:val="28"/>
          <w:lang w:val="uk-UA" w:eastAsia="en-US"/>
        </w:rPr>
        <w:t xml:space="preserve">відсутність </w:t>
      </w:r>
      <w:r w:rsidRPr="00A16840">
        <w:rPr>
          <w:rFonts w:ascii="Times New Roman" w:eastAsia="Times New Roman" w:hAnsi="Times New Roman" w:cs="Times New Roman"/>
          <w:kern w:val="0"/>
          <w:sz w:val="28"/>
          <w:szCs w:val="28"/>
          <w:lang w:val="uk-UA" w:eastAsia="en-US"/>
        </w:rPr>
        <w:t>централізованих органів регулювання діяльності ісламських фінансових інститутів; відносно низький рівень капіталізації ісламських банків; недостатня ліквідність та відкритість ісламських ринків; обмежена кількість ісламських фінансових інструментів; залежність ісламських банків від цінової кон’юнктури ринку нафти) та зовнішніми чинниками</w:t>
      </w:r>
      <w:r w:rsidRPr="00A16840">
        <w:rPr>
          <w:rFonts w:ascii="Times New Roman" w:eastAsia="Times New Roman" w:hAnsi="Times New Roman" w:cs="Times New Roman"/>
          <w:iCs/>
          <w:kern w:val="0"/>
          <w:sz w:val="28"/>
          <w:szCs w:val="28"/>
          <w:lang w:val="uk-UA" w:eastAsia="en-US"/>
        </w:rPr>
        <w:t xml:space="preserve"> (наявність культурного бар’єру впровадження ісламських принципів; </w:t>
      </w:r>
      <w:r w:rsidRPr="00A16840">
        <w:rPr>
          <w:rFonts w:ascii="Times New Roman" w:eastAsia="Times New Roman" w:hAnsi="Times New Roman" w:cs="Times New Roman"/>
          <w:kern w:val="0"/>
          <w:sz w:val="28"/>
          <w:szCs w:val="28"/>
          <w:lang w:val="uk-UA" w:eastAsia="en-US"/>
        </w:rPr>
        <w:t>обмежене визнання ісламських банківських інституцій центральними банками інших країн; негативне сприйняття ісламських банків з боку традиційних банків-конкурентів).</w:t>
      </w:r>
    </w:p>
    <w:p w:rsidR="00A16840" w:rsidRPr="00A16840" w:rsidRDefault="00A16840" w:rsidP="00A16840">
      <w:pPr>
        <w:widowControl/>
        <w:tabs>
          <w:tab w:val="clear" w:pos="709"/>
          <w:tab w:val="left" w:pos="993"/>
        </w:tabs>
        <w:suppressAutoHyphens w:val="0"/>
        <w:spacing w:after="0" w:line="240" w:lineRule="auto"/>
        <w:rPr>
          <w:rFonts w:ascii="Times New Roman" w:eastAsia="Calibri" w:hAnsi="Times New Roman" w:cs="Times New Roman"/>
          <w:kern w:val="0"/>
          <w:sz w:val="28"/>
          <w:szCs w:val="28"/>
          <w:lang w:val="uk-UA" w:eastAsia="ru-RU"/>
        </w:rPr>
      </w:pPr>
      <w:r w:rsidRPr="00A16840">
        <w:rPr>
          <w:rFonts w:ascii="Times New Roman" w:eastAsia="Calibri" w:hAnsi="Times New Roman" w:cs="Times New Roman"/>
          <w:kern w:val="0"/>
          <w:sz w:val="28"/>
          <w:szCs w:val="28"/>
          <w:lang w:val="uk-UA" w:eastAsia="ru-RU"/>
        </w:rPr>
        <w:t xml:space="preserve">Запропоновано </w:t>
      </w:r>
      <w:r w:rsidRPr="00A16840">
        <w:rPr>
          <w:rFonts w:ascii="Times New Roman" w:eastAsia="Calibri" w:hAnsi="Times New Roman" w:cs="Times New Roman"/>
          <w:i/>
          <w:iCs/>
          <w:kern w:val="0"/>
          <w:sz w:val="28"/>
          <w:szCs w:val="28"/>
          <w:lang w:val="uk-UA" w:eastAsia="ru-RU"/>
        </w:rPr>
        <w:t>інструментарій компаративного оцінювання рівня фінансової стійкості різних типів банківських систем</w:t>
      </w:r>
      <w:r w:rsidRPr="00A16840">
        <w:rPr>
          <w:rFonts w:ascii="Times New Roman" w:eastAsia="Calibri" w:hAnsi="Times New Roman" w:cs="Times New Roman"/>
          <w:kern w:val="0"/>
          <w:sz w:val="28"/>
          <w:szCs w:val="28"/>
          <w:lang w:val="uk-UA" w:eastAsia="ru-RU"/>
        </w:rPr>
        <w:t xml:space="preserve"> (рис.3), а саме – побудовано probit-модель імовірності банківської кризи, що базується на обґрунтуванні індикаторів стимулюючого та дестимулюючого впливу на фінансову стійкість банківських систем, визначенні волатильності індексу банківської кризи та системи індикаторів кризи, застосування якої уможливлює достовірну оцінку імовірності виникнення банківської кризи в ісламських, змішаних та традиційних банківських системах та дозволяє визначати ступінь їхньої стабільності. </w:t>
      </w:r>
    </w:p>
    <w:p w:rsidR="00A16840" w:rsidRPr="00A16840" w:rsidRDefault="00A16840" w:rsidP="00A16840">
      <w:pPr>
        <w:widowControl/>
        <w:tabs>
          <w:tab w:val="clear" w:pos="709"/>
          <w:tab w:val="left" w:pos="993"/>
        </w:tabs>
        <w:suppressAutoHyphens w:val="0"/>
        <w:spacing w:after="0" w:line="240" w:lineRule="auto"/>
        <w:rPr>
          <w:rFonts w:ascii="Times New Roman" w:eastAsia="Calibri" w:hAnsi="Times New Roman" w:cs="Times New Roman"/>
          <w:kern w:val="0"/>
          <w:sz w:val="28"/>
          <w:szCs w:val="28"/>
          <w:lang w:val="uk-UA" w:eastAsia="ru-RU"/>
        </w:rPr>
      </w:pPr>
      <w:r w:rsidRPr="00A16840">
        <w:rPr>
          <w:rFonts w:ascii="Times New Roman" w:eastAsia="Calibri" w:hAnsi="Times New Roman" w:cs="Times New Roman"/>
          <w:kern w:val="0"/>
          <w:sz w:val="28"/>
          <w:szCs w:val="28"/>
          <w:lang w:val="uk-UA" w:eastAsia="ru-RU"/>
        </w:rPr>
        <w:t>Розроблена методика поєднує реалізацію трьох взаємопов’язаних етапів дослідження, а саме: по-перше, якісний аналіз (ідентифікація об’єктів та періоду дослідження, визначення критерію диференціації об’єктів аналізу, групування країн за типом банківських систем); по-друге, побудова системи раннього сповіщення криз (розрахунок індексу банківського кризи (ІВС) за окремими країнами та групами країн, ідентифікація епізодів кризи, проведення компаративного аналізу динаміки та волатильності ІВС різних типів банківських систем на основі розрахунку показників динаміки та описової статистики); по-третє, побудова економіко-математичних моделей кризи (формування системи індикаторів банківської кризи, оцінка взаємозв’язків між ІВС та системою індикаторів кризи, побудова probit-моделей імовірності банківської кризи за групами країн; компаративний аналіз та побудова прогнозних оцінок щодо імовірності виникнення банківської кризи).</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pict>
          <v:group id="_x0000_s1202" editas="canvas" style="position:absolute;margin-left:0;margin-top:0;width:481.2pt;height:686.15pt;z-index:251660288;mso-position-horizontal-relative:char;mso-position-vertical-relative:line" coordorigin="1720,13014" coordsize="7408,10563">
            <o:lock v:ext="edit" aspectratio="t"/>
            <v:shape id="_x0000_s1203" type="#_x0000_t75" style="position:absolute;left:1720;top:13014;width:7408;height:10563" o:preferrelative="f">
              <v:fill o:detectmouseclick="t"/>
              <v:path o:extrusionok="t" o:connecttype="none"/>
              <o:lock v:ext="edit" text="t"/>
            </v:shape>
            <v:rect id="_x0000_s1204" style="position:absolute;left:4816;top:16028;width:4231;height:1027">
              <v:stroke dashstyle="1 1" endcap="round"/>
            </v:rect>
            <v:rect id="_x0000_s1205" style="position:absolute;left:4798;top:14584;width:4249;height:1363">
              <v:stroke dashstyle="1 1" endcap="round"/>
            </v:rect>
            <v:roundrect id="Скругленный прямоугольник 66" o:spid="_x0000_s1206" style="position:absolute;left:2393;top:13187;width:2209;height:50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GMIA&#10;AADbAAAADwAAAGRycy9kb3ducmV2LnhtbESPQUsDMRSE70L/Q3iCN5ut4la2TYsUhAq92Ba8Pjav&#10;m8XNyzZ5tvHfG0HwOMzMN8xynf2gLhRTH9jAbFqBIm6D7bkzcDy83j+DSoJscQhMBr4pwXo1uVli&#10;Y8OV3+myl04VCKcGDTiRsdE6tY48pmkYiYt3CtGjFBk7bSNeC9wP+qGqau2x57LgcKSNo/Zz/+UN&#10;RMmzeR7cmZ9k6zdv7e5DP+6MubvNLwtQQln+w3/trTVQ1/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KkYwgAAANsAAAAPAAAAAAAAAAAAAAAAAJgCAABkcnMvZG93&#10;bnJldi54bWxQSwUGAAAAAAQABAD1AAAAhwMAAAAA&#10;" strokeweight="1pt">
              <v:stroke joinstyle="miter"/>
              <v:textbox style="mso-next-textbox:#Скругленный прямоугольник 66">
                <w:txbxContent>
                  <w:p w:rsidR="00A16840" w:rsidRPr="00A25D62" w:rsidRDefault="00A16840" w:rsidP="00A16840">
                    <w:pPr>
                      <w:spacing w:after="0" w:line="240" w:lineRule="auto"/>
                      <w:jc w:val="center"/>
                      <w:rPr>
                        <w:rFonts w:ascii="Times New Roman" w:hAnsi="Times New Roman"/>
                        <w:sz w:val="20"/>
                        <w:szCs w:val="20"/>
                        <w:lang w:val="uk-UA"/>
                      </w:rPr>
                    </w:pPr>
                    <w:r w:rsidRPr="00A25D62">
                      <w:rPr>
                        <w:rFonts w:ascii="Times New Roman" w:hAnsi="Times New Roman"/>
                        <w:sz w:val="20"/>
                        <w:szCs w:val="20"/>
                        <w:lang w:val="uk-UA"/>
                      </w:rPr>
                      <w:t>Ідентифікація об’єктів та періоду аналізу</w:t>
                    </w:r>
                  </w:p>
                </w:txbxContent>
              </v:textbox>
            </v:roundrect>
            <v:roundrect id="Скругленный прямоугольник 66" o:spid="_x0000_s1207" style="position:absolute;left:4841;top:13211;width:4186;height:3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GMIA&#10;AADbAAAADwAAAGRycy9kb3ducmV2LnhtbESPQUsDMRSE70L/Q3iCN5ut4la2TYsUhAq92Ba8Pjav&#10;m8XNyzZ5tvHfG0HwOMzMN8xynf2gLhRTH9jAbFqBIm6D7bkzcDy83j+DSoJscQhMBr4pwXo1uVli&#10;Y8OV3+myl04VCKcGDTiRsdE6tY48pmkYiYt3CtGjFBk7bSNeC9wP+qGqau2x57LgcKSNo/Zz/+UN&#10;RMmzeR7cmZ9k6zdv7e5DP+6MubvNLwtQQln+w3/trTVQ1/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KkYwgAAANsAAAAPAAAAAAAAAAAAAAAAAJgCAABkcnMvZG93&#10;bnJldi54bWxQSwUGAAAAAAQABAD1AAAAhwMAAAAA&#10;" strokeweight="1pt">
              <v:stroke joinstyle="miter"/>
              <v:textbox style="mso-next-textbox:#Скругленный прямоугольник 66">
                <w:txbxContent>
                  <w:p w:rsidR="00A16840" w:rsidRPr="00A25D62" w:rsidRDefault="00A16840" w:rsidP="00A16840">
                    <w:pPr>
                      <w:spacing w:after="0" w:line="240" w:lineRule="auto"/>
                      <w:jc w:val="center"/>
                      <w:rPr>
                        <w:rFonts w:ascii="Times New Roman" w:hAnsi="Times New Roman"/>
                        <w:sz w:val="20"/>
                        <w:szCs w:val="20"/>
                        <w:lang w:val="uk-UA"/>
                      </w:rPr>
                    </w:pPr>
                    <w:r w:rsidRPr="00A25D62">
                      <w:rPr>
                        <w:rFonts w:ascii="Times New Roman" w:hAnsi="Times New Roman"/>
                        <w:sz w:val="20"/>
                        <w:szCs w:val="20"/>
                        <w:lang w:val="uk-UA"/>
                      </w:rPr>
                      <w:t>Банківські системи країн (1980-2013 рр.)</w:t>
                    </w:r>
                  </w:p>
                </w:txbxContent>
              </v:textbox>
            </v:roundrect>
            <v:roundrect id="Скругленный прямоугольник 66" o:spid="_x0000_s1208" style="position:absolute;left:2381;top:13788;width:2221;height:69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GMIA&#10;AADbAAAADwAAAGRycy9kb3ducmV2LnhtbESPQUsDMRSE70L/Q3iCN5ut4la2TYsUhAq92Ba8Pjav&#10;m8XNyzZ5tvHfG0HwOMzMN8xynf2gLhRTH9jAbFqBIm6D7bkzcDy83j+DSoJscQhMBr4pwXo1uVli&#10;Y8OV3+myl04VCKcGDTiRsdE6tY48pmkYiYt3CtGjFBk7bSNeC9wP+qGqau2x57LgcKSNo/Zz/+UN&#10;RMmzeR7cmZ9k6zdv7e5DP+6MubvNLwtQQln+w3/trTVQ1/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KkYwgAAANsAAAAPAAAAAAAAAAAAAAAAAJgCAABkcnMvZG93&#10;bnJldi54bWxQSwUGAAAAAAQABAD1AAAAhwMAAAAA&#10;" strokeweight="1pt">
              <v:stroke joinstyle="miter"/>
              <v:textbox style="mso-next-textbox:#Скругленный прямоугольник 66">
                <w:txbxContent>
                  <w:p w:rsidR="00A16840" w:rsidRPr="00A25D62" w:rsidRDefault="00A16840" w:rsidP="00A16840">
                    <w:pPr>
                      <w:spacing w:after="0" w:line="240" w:lineRule="auto"/>
                      <w:jc w:val="center"/>
                      <w:rPr>
                        <w:rFonts w:ascii="Times New Roman" w:hAnsi="Times New Roman"/>
                        <w:sz w:val="20"/>
                        <w:szCs w:val="20"/>
                        <w:lang w:val="uk-UA"/>
                      </w:rPr>
                    </w:pPr>
                    <w:r w:rsidRPr="00A25D62">
                      <w:rPr>
                        <w:rFonts w:ascii="Times New Roman" w:hAnsi="Times New Roman"/>
                        <w:sz w:val="20"/>
                        <w:szCs w:val="20"/>
                        <w:lang w:val="uk-UA"/>
                      </w:rPr>
                      <w:t>Визначення критерію диференціації  об’єктів аналізу</w:t>
                    </w:r>
                  </w:p>
                </w:txbxContent>
              </v:textbox>
            </v:roundrect>
            <v:roundrect id="Скругленный прямоугольник 66" o:spid="_x0000_s1209" style="position:absolute;left:4867;top:13764;width:4116;height:71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GMIA&#10;AADbAAAADwAAAGRycy9kb3ducmV2LnhtbESPQUsDMRSE70L/Q3iCN5ut4la2TYsUhAq92Ba8Pjav&#10;m8XNyzZ5tvHfG0HwOMzMN8xynf2gLhRTH9jAbFqBIm6D7bkzcDy83j+DSoJscQhMBr4pwXo1uVli&#10;Y8OV3+myl04VCKcGDTiRsdE6tY48pmkYiYt3CtGjFBk7bSNeC9wP+qGqau2x57LgcKSNo/Zz/+UN&#10;RMmzeR7cmZ9k6zdv7e5DP+6MubvNLwtQQln+w3/trTVQ1/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KkYwgAAANsAAAAPAAAAAAAAAAAAAAAAAJgCAABkcnMvZG93&#10;bnJldi54bWxQSwUGAAAAAAQABAD1AAAAhwMAAAAA&#10;" strokeweight="1pt">
              <v:stroke joinstyle="miter"/>
              <v:textbox style="mso-next-textbox:#Скругленный прямоугольник 66">
                <w:txbxContent>
                  <w:p w:rsidR="00A16840" w:rsidRPr="00A25D62" w:rsidRDefault="00A16840" w:rsidP="00A16840">
                    <w:pPr>
                      <w:spacing w:after="0" w:line="240" w:lineRule="auto"/>
                      <w:jc w:val="center"/>
                      <w:rPr>
                        <w:rFonts w:ascii="Times New Roman" w:hAnsi="Times New Roman"/>
                        <w:sz w:val="20"/>
                        <w:szCs w:val="20"/>
                        <w:lang w:val="uk-UA"/>
                      </w:rPr>
                    </w:pPr>
                    <w:r w:rsidRPr="00A25D62">
                      <w:rPr>
                        <w:rFonts w:ascii="Times New Roman" w:hAnsi="Times New Roman"/>
                        <w:sz w:val="20"/>
                        <w:szCs w:val="20"/>
                        <w:lang w:val="uk-UA"/>
                      </w:rPr>
                      <w:t xml:space="preserve">Рівень інтеграції ісламського банкінгу, що визначається питомою вагою ісламських активів у загальних банківських активах </w:t>
                    </w:r>
                  </w:p>
                </w:txbxContent>
              </v:textbox>
            </v:roundrect>
            <v:roundrect id="Скругленный прямоугольник 66" o:spid="_x0000_s1210" style="position:absolute;left:2381;top:14596;width:2186;height:48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GMIA&#10;AADbAAAADwAAAGRycy9kb3ducmV2LnhtbESPQUsDMRSE70L/Q3iCN5ut4la2TYsUhAq92Ba8Pjav&#10;m8XNyzZ5tvHfG0HwOMzMN8xynf2gLhRTH9jAbFqBIm6D7bkzcDy83j+DSoJscQhMBr4pwXo1uVli&#10;Y8OV3+myl04VCKcGDTiRsdE6tY48pmkYiYt3CtGjFBk7bSNeC9wP+qGqau2x57LgcKSNo/Zz/+UN&#10;RMmzeR7cmZ9k6zdv7e5DP+6MubvNLwtQQln+w3/trTVQ1/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KkYwgAAANsAAAAPAAAAAAAAAAAAAAAAAJgCAABkcnMvZG93&#10;bnJldi54bWxQSwUGAAAAAAQABAD1AAAAhwMAAAAA&#10;" strokeweight="1pt">
              <v:stroke joinstyle="miter"/>
              <v:textbox style="mso-next-textbox:#Скругленный прямоугольник 66">
                <w:txbxContent>
                  <w:p w:rsidR="00A16840" w:rsidRPr="00A25D62" w:rsidRDefault="00A16840" w:rsidP="00A16840">
                    <w:pPr>
                      <w:spacing w:after="0" w:line="240" w:lineRule="auto"/>
                      <w:jc w:val="center"/>
                      <w:rPr>
                        <w:rFonts w:ascii="Times New Roman" w:hAnsi="Times New Roman"/>
                        <w:sz w:val="20"/>
                        <w:szCs w:val="20"/>
                        <w:lang w:val="uk-UA"/>
                      </w:rPr>
                    </w:pPr>
                    <w:r w:rsidRPr="00A25D62">
                      <w:rPr>
                        <w:rFonts w:ascii="Times New Roman" w:hAnsi="Times New Roman"/>
                        <w:sz w:val="20"/>
                        <w:szCs w:val="20"/>
                        <w:lang w:val="uk-UA"/>
                      </w:rPr>
                      <w:t>Групування країн за типом банківської системи</w:t>
                    </w:r>
                  </w:p>
                </w:txbxContent>
              </v:textbox>
            </v:roundrect>
            <v:rect id="_x0000_s1211" style="position:absolute;left:4910;top:14597;width:4108;height:403">
              <v:textbox style="mso-next-textbox:#_x0000_s1211">
                <w:txbxContent>
                  <w:p w:rsidR="00A16840" w:rsidRPr="00A25D62" w:rsidRDefault="00A16840" w:rsidP="00A16840">
                    <w:pPr>
                      <w:spacing w:after="0" w:line="200" w:lineRule="exact"/>
                      <w:rPr>
                        <w:rFonts w:ascii="Times New Roman" w:hAnsi="Times New Roman"/>
                        <w:sz w:val="20"/>
                        <w:szCs w:val="20"/>
                        <w:lang w:val="uk-UA"/>
                      </w:rPr>
                    </w:pPr>
                    <w:r w:rsidRPr="00A25D62">
                      <w:rPr>
                        <w:rFonts w:ascii="Times New Roman" w:hAnsi="Times New Roman"/>
                        <w:sz w:val="20"/>
                        <w:szCs w:val="20"/>
                        <w:lang w:val="uk-UA"/>
                      </w:rPr>
                      <w:t>І. Країни з банківською системою ісламського типу (ісламські активи перевищують 20%)</w:t>
                    </w:r>
                  </w:p>
                </w:txbxContent>
              </v:textbox>
            </v:rect>
            <v:rect id="_x0000_s1212" style="position:absolute;left:4926;top:15035;width:4077;height:405">
              <v:textbox style="mso-next-textbox:#_x0000_s1212">
                <w:txbxContent>
                  <w:p w:rsidR="00A16840" w:rsidRPr="00A25D62" w:rsidRDefault="00A16840" w:rsidP="00A16840">
                    <w:pPr>
                      <w:spacing w:after="0" w:line="200" w:lineRule="exact"/>
                      <w:rPr>
                        <w:rFonts w:ascii="Times New Roman" w:hAnsi="Times New Roman"/>
                        <w:sz w:val="20"/>
                        <w:szCs w:val="20"/>
                        <w:lang w:val="uk-UA"/>
                      </w:rPr>
                    </w:pPr>
                    <w:r w:rsidRPr="00A25D62">
                      <w:rPr>
                        <w:rFonts w:ascii="Times New Roman" w:hAnsi="Times New Roman"/>
                        <w:sz w:val="20"/>
                        <w:szCs w:val="20"/>
                        <w:lang w:val="uk-UA"/>
                      </w:rPr>
                      <w:t>ІІ. Країни з банківською системою змішаного типу (частка ісламських активів 5-20%)</w:t>
                    </w:r>
                  </w:p>
                </w:txbxContent>
              </v:textbox>
            </v:rect>
            <v:rect id="_x0000_s1213" style="position:absolute;left:4953;top:15486;width:4074;height:404">
              <v:textbox style="mso-next-textbox:#_x0000_s1213">
                <w:txbxContent>
                  <w:p w:rsidR="00A16840" w:rsidRPr="00A25D62" w:rsidRDefault="00A16840" w:rsidP="00A16840">
                    <w:pPr>
                      <w:spacing w:after="0" w:line="200" w:lineRule="exact"/>
                      <w:rPr>
                        <w:rFonts w:ascii="Times New Roman" w:hAnsi="Times New Roman"/>
                        <w:sz w:val="20"/>
                        <w:szCs w:val="20"/>
                        <w:lang w:val="uk-UA"/>
                      </w:rPr>
                    </w:pPr>
                    <w:r w:rsidRPr="00A25D62">
                      <w:rPr>
                        <w:rFonts w:ascii="Times New Roman" w:hAnsi="Times New Roman"/>
                        <w:sz w:val="20"/>
                        <w:szCs w:val="20"/>
                        <w:lang w:val="uk-UA"/>
                      </w:rPr>
                      <w:t>ІІІ. Країни з банківською системою традиційного типу (частка ісламських активів менше 1%)</w:t>
                    </w:r>
                  </w:p>
                </w:txbxContent>
              </v:textbox>
            </v:rect>
            <v:roundrect id="Скругленный прямоугольник 66" o:spid="_x0000_s1214" style="position:absolute;left:2381;top:16004;width:2245;height:72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GMIA&#10;AADbAAAADwAAAGRycy9kb3ducmV2LnhtbESPQUsDMRSE70L/Q3iCN5ut4la2TYsUhAq92Ba8Pjav&#10;m8XNyzZ5tvHfG0HwOMzMN8xynf2gLhRTH9jAbFqBIm6D7bkzcDy83j+DSoJscQhMBr4pwXo1uVli&#10;Y8OV3+myl04VCKcGDTiRsdE6tY48pmkYiYt3CtGjFBk7bSNeC9wP+qGqau2x57LgcKSNo/Zz/+UN&#10;RMmzeR7cmZ9k6zdv7e5DP+6MubvNLwtQQln+w3/trTVQ1/D7pfw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KkYwgAAANsAAAAPAAAAAAAAAAAAAAAAAJgCAABkcnMvZG93&#10;bnJldi54bWxQSwUGAAAAAAQABAD1AAAAhwMAAAAA&#10;" strokeweight="1pt">
              <v:stroke joinstyle="miter"/>
              <v:textbox style="mso-next-textbox:#Скругленный прямоугольник 66">
                <w:txbxContent>
                  <w:p w:rsidR="00A16840" w:rsidRPr="00A25D62" w:rsidRDefault="00A16840" w:rsidP="00A16840">
                    <w:pPr>
                      <w:spacing w:after="0" w:line="240" w:lineRule="auto"/>
                      <w:jc w:val="center"/>
                      <w:rPr>
                        <w:rFonts w:ascii="Times New Roman" w:hAnsi="Times New Roman"/>
                        <w:sz w:val="20"/>
                        <w:szCs w:val="20"/>
                        <w:lang w:val="uk-UA"/>
                      </w:rPr>
                    </w:pPr>
                    <w:r w:rsidRPr="00A25D62">
                      <w:rPr>
                        <w:rFonts w:ascii="Times New Roman" w:hAnsi="Times New Roman"/>
                        <w:sz w:val="20"/>
                        <w:szCs w:val="20"/>
                        <w:lang w:val="uk-UA"/>
                      </w:rPr>
                      <w:t>Формування вибірки країн з урахування</w:t>
                    </w:r>
                    <w:r>
                      <w:rPr>
                        <w:rFonts w:ascii="Times New Roman" w:hAnsi="Times New Roman"/>
                        <w:sz w:val="20"/>
                        <w:szCs w:val="20"/>
                        <w:lang w:val="uk-UA"/>
                      </w:rPr>
                      <w:t>м</w:t>
                    </w:r>
                    <w:r w:rsidRPr="00A25D62">
                      <w:rPr>
                        <w:rFonts w:ascii="Times New Roman" w:hAnsi="Times New Roman"/>
                        <w:sz w:val="20"/>
                        <w:szCs w:val="20"/>
                        <w:lang w:val="uk-UA"/>
                      </w:rPr>
                      <w:t xml:space="preserve"> наявної статистичної інформації</w:t>
                    </w:r>
                  </w:p>
                </w:txbxContent>
              </v:textbox>
            </v:roundrect>
            <v:rect id="_x0000_s1215" style="position:absolute;left:4867;top:16094;width:1198;height:811">
              <v:textbox style="mso-next-textbox:#_x0000_s1215">
                <w:txbxContent>
                  <w:p w:rsidR="00A16840" w:rsidRPr="00A25D62" w:rsidRDefault="00A16840" w:rsidP="00A16840">
                    <w:pPr>
                      <w:spacing w:after="0" w:line="200" w:lineRule="exact"/>
                      <w:ind w:left="-57" w:right="-57"/>
                      <w:jc w:val="center"/>
                      <w:rPr>
                        <w:rFonts w:ascii="Times New Roman" w:hAnsi="Times New Roman"/>
                        <w:sz w:val="20"/>
                        <w:szCs w:val="20"/>
                        <w:lang w:val="uk-UA"/>
                      </w:rPr>
                    </w:pPr>
                    <w:r w:rsidRPr="00A25D62">
                      <w:rPr>
                        <w:rFonts w:ascii="Times New Roman" w:hAnsi="Times New Roman"/>
                        <w:sz w:val="20"/>
                        <w:szCs w:val="20"/>
                        <w:lang w:val="uk-UA"/>
                      </w:rPr>
                      <w:t>І. Іран, Саудівська Аравія, Ємен, Кувейт, Бруней</w:t>
                    </w:r>
                  </w:p>
                  <w:p w:rsidR="00A16840" w:rsidRPr="00A25D62" w:rsidRDefault="00A16840" w:rsidP="00A16840">
                    <w:pPr>
                      <w:spacing w:after="0" w:line="200" w:lineRule="exact"/>
                      <w:rPr>
                        <w:rFonts w:ascii="Times New Roman" w:hAnsi="Times New Roman"/>
                        <w:sz w:val="20"/>
                        <w:szCs w:val="20"/>
                        <w:lang w:val="uk-UA"/>
                      </w:rPr>
                    </w:pPr>
                  </w:p>
                </w:txbxContent>
              </v:textbox>
            </v:rect>
            <v:rect id="_x0000_s1216" style="position:absolute;left:6122;top:16094;width:1106;height:811">
              <v:textbox style="mso-next-textbox:#_x0000_s1216">
                <w:txbxContent>
                  <w:p w:rsidR="00A16840" w:rsidRPr="00A25D62" w:rsidRDefault="00A16840" w:rsidP="00A16840">
                    <w:pPr>
                      <w:spacing w:after="0" w:line="180" w:lineRule="exact"/>
                      <w:ind w:left="-57" w:right="-57"/>
                      <w:jc w:val="center"/>
                      <w:rPr>
                        <w:rFonts w:ascii="Times New Roman" w:hAnsi="Times New Roman"/>
                        <w:sz w:val="20"/>
                        <w:szCs w:val="20"/>
                        <w:lang w:val="uk-UA"/>
                      </w:rPr>
                    </w:pPr>
                    <w:r w:rsidRPr="00A25D62">
                      <w:rPr>
                        <w:rFonts w:ascii="Times New Roman" w:hAnsi="Times New Roman"/>
                        <w:sz w:val="20"/>
                        <w:szCs w:val="20"/>
                        <w:lang w:val="uk-UA"/>
                      </w:rPr>
                      <w:t>ІІ. Малайзія, Бахрейн,</w:t>
                    </w:r>
                  </w:p>
                  <w:p w:rsidR="00A16840" w:rsidRPr="00A25D62" w:rsidRDefault="00A16840" w:rsidP="00A16840">
                    <w:pPr>
                      <w:spacing w:after="0" w:line="180" w:lineRule="exact"/>
                      <w:ind w:left="-57" w:right="-57"/>
                      <w:jc w:val="center"/>
                      <w:rPr>
                        <w:rFonts w:ascii="Times New Roman" w:hAnsi="Times New Roman"/>
                        <w:sz w:val="20"/>
                        <w:szCs w:val="20"/>
                        <w:lang w:val="uk-UA"/>
                      </w:rPr>
                    </w:pPr>
                    <w:r w:rsidRPr="00A25D62">
                      <w:rPr>
                        <w:rFonts w:ascii="Times New Roman" w:hAnsi="Times New Roman"/>
                        <w:sz w:val="20"/>
                        <w:szCs w:val="20"/>
                        <w:lang w:val="uk-UA"/>
                      </w:rPr>
                      <w:t>Пакистан, Туреччина, Єгипет</w:t>
                    </w:r>
                  </w:p>
                  <w:p w:rsidR="00A16840" w:rsidRPr="00A25D62" w:rsidRDefault="00A16840" w:rsidP="00A16840">
                    <w:pPr>
                      <w:spacing w:after="0" w:line="180" w:lineRule="exact"/>
                      <w:ind w:left="-57" w:right="-57"/>
                      <w:rPr>
                        <w:rFonts w:ascii="Times New Roman" w:hAnsi="Times New Roman"/>
                        <w:sz w:val="20"/>
                        <w:szCs w:val="20"/>
                        <w:lang w:val="uk-UA"/>
                      </w:rPr>
                    </w:pPr>
                  </w:p>
                </w:txbxContent>
              </v:textbox>
            </v:rect>
            <v:rect id="_x0000_s1217" style="position:absolute;left:7292;top:16105;width:1691;height:811">
              <v:textbox style="mso-next-textbox:#_x0000_s1217">
                <w:txbxContent>
                  <w:p w:rsidR="00A16840" w:rsidRPr="00A25D62" w:rsidRDefault="00A16840" w:rsidP="00A16840">
                    <w:pPr>
                      <w:spacing w:after="0" w:line="180" w:lineRule="exact"/>
                      <w:ind w:left="-57" w:right="-57"/>
                      <w:jc w:val="center"/>
                      <w:rPr>
                        <w:rFonts w:ascii="Times New Roman" w:hAnsi="Times New Roman"/>
                        <w:sz w:val="20"/>
                        <w:szCs w:val="20"/>
                        <w:lang w:val="uk-UA"/>
                      </w:rPr>
                    </w:pPr>
                    <w:r w:rsidRPr="00A25D62">
                      <w:rPr>
                        <w:rFonts w:ascii="Times New Roman" w:hAnsi="Times New Roman"/>
                        <w:sz w:val="20"/>
                        <w:szCs w:val="20"/>
                        <w:lang w:val="uk-UA"/>
                      </w:rPr>
                      <w:t>ІІІ. США, Німеччина, Великобританія, Японія, Франція, Україна, Швейцарія, Канада</w:t>
                    </w:r>
                  </w:p>
                  <w:p w:rsidR="00A16840" w:rsidRPr="00A25D62" w:rsidRDefault="00A16840" w:rsidP="00A16840">
                    <w:pPr>
                      <w:spacing w:after="0" w:line="180" w:lineRule="exact"/>
                      <w:ind w:left="-57" w:right="-57"/>
                      <w:jc w:val="center"/>
                      <w:rPr>
                        <w:rFonts w:ascii="Times New Roman" w:hAnsi="Times New Roman"/>
                        <w:sz w:val="20"/>
                        <w:szCs w:val="20"/>
                        <w:lang w:val="uk-UA"/>
                      </w:rPr>
                    </w:pPr>
                  </w:p>
                </w:txbxContent>
              </v:textbox>
            </v:rect>
            <v:roundrect id="Скругленный прямоугольник 67" o:spid="_x0000_s1218" style="position:absolute;left:2393;top:17158;width:2641;height:66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A25D62" w:rsidRDefault="00A16840" w:rsidP="00A16840">
                    <w:pPr>
                      <w:pStyle w:val="afffffffffffffffffffffffffff6"/>
                      <w:spacing w:before="0" w:beforeAutospacing="0" w:after="0" w:afterAutospacing="0" w:line="200" w:lineRule="exact"/>
                      <w:jc w:val="center"/>
                      <w:rPr>
                        <w:sz w:val="20"/>
                        <w:szCs w:val="20"/>
                      </w:rPr>
                    </w:pP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p>
                </w:txbxContent>
              </v:textbox>
            </v:roundrect>
            <v:roundrect id="Скругленный прямоугольник 70" o:spid="_x0000_s1219" style="position:absolute;left:5336;top:17158;width:3596;height:63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CKr8A&#10;AADbAAAADwAAAGRycy9kb3ducmV2LnhtbERPTWsCMRC9C/0PYQq9aVaLtaxGEaFgwUtV6HXYjJul&#10;m8k2mWr6782h0OPjfa822ffqSjF1gQ1MJxUo4ibYjlsD59Pb+BVUEmSLfWAy8EsJNuuH0QprG278&#10;QdejtKqEcKrRgBMZaq1T48hjmoSBuHCXED1KgbHVNuKthPtez6rqRXvsuDQ4HGjnqPk6/ngDUfJ0&#10;kXv3zXPZ+917c/jUzwdjnh7zdglKKMu/+M+9twYWZX35Un6AXt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ZAIqvwAAANsAAAAPAAAAAAAAAAAAAAAAAJgCAABkcnMvZG93bnJl&#10;di54bWxQSwUGAAAAAAQABAD1AAAAhAMAAAAA&#10;" strokeweight="1pt">
              <v:stroke joinstyle="miter"/>
              <v:textbox style="mso-next-textbox:#Скругленный прямоугольник 70">
                <w:txbxContent>
                  <w:p w:rsidR="00A16840" w:rsidRPr="00A25D62" w:rsidRDefault="00A16840" w:rsidP="00A16840">
                    <w:pPr>
                      <w:pStyle w:val="afffffffffffffffffffffffffff6"/>
                      <w:spacing w:before="0" w:beforeAutospacing="0" w:after="0" w:afterAutospacing="0"/>
                      <w:jc w:val="center"/>
                    </w:pPr>
                    <w:r w:rsidRPr="00A25D62">
                      <w:rPr>
                        <w:iCs/>
                        <w:position w:val="-32"/>
                        <w:sz w:val="28"/>
                        <w:szCs w:val="28"/>
                        <w:lang w:val="uk-UA"/>
                      </w:rPr>
                      <w:object w:dxaOrig="3200" w:dyaOrig="740">
                        <v:shape id="_x0000_i1175" type="#_x0000_t75" style="width:138.6pt;height:32.5pt" o:ole="">
                          <v:imagedata r:id="rId10" o:title=""/>
                        </v:shape>
                        <o:OLEObject Type="Embed" ProgID="Equation.3" ShapeID="_x0000_i1175" DrawAspect="Content" ObjectID="_1684939267" r:id="rId11"/>
                      </w:object>
                    </w:r>
                  </w:p>
                </w:txbxContent>
              </v:textbox>
            </v:roundrect>
            <v:roundrect id="Скругленный прямоугольник 67" o:spid="_x0000_s1220" style="position:absolute;left:2393;top:17886;width:2678;height:65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A25D62" w:rsidRDefault="00A16840" w:rsidP="00A16840">
                    <w:pPr>
                      <w:pStyle w:val="afffffffffffffffffffffffffff6"/>
                      <w:spacing w:before="0" w:beforeAutospacing="0" w:after="0" w:afterAutospacing="0" w:line="200" w:lineRule="exact"/>
                      <w:jc w:val="center"/>
                      <w:rPr>
                        <w:sz w:val="20"/>
                        <w:szCs w:val="20"/>
                      </w:rPr>
                    </w:pP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p>
                </w:txbxContent>
              </v:textbox>
            </v:roundrect>
            <v:roundrect id="Скругленный прямоугольник 72" o:spid="_x0000_s1221" style="position:absolute;left:5336;top:17886;width:3647;height:60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5xsIA&#10;AADbAAAADwAAAGRycy9kb3ducmV2LnhtbESPQWsCMRSE74X+h/AKvdWsFmvZGkWEgoIXbaHXx+Z1&#10;s3Tzsk2emv57Iwg9DjPzDTNfZt+rE8XUBTYwHlWgiJtgO24NfH68P72CSoJssQ9MBv4owXJxfzfH&#10;2oYz7+l0kFYVCKcaDTiRodY6NY48plEYiIv3HaJHKTK22kY8F7jv9aSqXrTHjsuCw4HWjpqfw9Eb&#10;iJLHs9y7X57Kxq+3ze5LP++MeXzIqzdQQln+w7f2xhqYTeD6pfwAv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nGwgAAANsAAAAPAAAAAAAAAAAAAAAAAJgCAABkcnMvZG93&#10;bnJldi54bWxQSwUGAAAAAAQABAD1AAAAhwMAAAAA&#10;" strokeweight="1pt">
              <v:stroke joinstyle="miter"/>
              <v:textbox style="mso-next-textbox:#Скругленный прямоугольник 72">
                <w:txbxContent>
                  <w:p w:rsidR="00A16840" w:rsidRPr="00A25D62" w:rsidRDefault="00A16840" w:rsidP="00A16840">
                    <w:pPr>
                      <w:spacing w:after="0" w:line="240" w:lineRule="auto"/>
                      <w:jc w:val="center"/>
                      <w:rPr>
                        <w:rFonts w:ascii="Times New Roman" w:hAnsi="Times New Roman"/>
                      </w:rPr>
                    </w:pPr>
                    <w:r w:rsidRPr="00A25D62">
                      <w:rPr>
                        <w:rFonts w:ascii="Times New Roman" w:eastAsia="SymbolMT" w:hAnsi="Times New Roman"/>
                        <w:position w:val="-32"/>
                        <w:sz w:val="28"/>
                        <w:szCs w:val="28"/>
                        <w:lang w:val="uk-UA"/>
                      </w:rPr>
                      <w:object w:dxaOrig="3760" w:dyaOrig="760">
                        <v:shape id="_x0000_i1176" type="#_x0000_t75" style="width:138.6pt;height:27.85pt" o:ole="">
                          <v:imagedata r:id="rId12" o:title=""/>
                        </v:shape>
                        <o:OLEObject Type="Embed" ProgID="Equation.3" ShapeID="_x0000_i1176" DrawAspect="Content" ObjectID="_1684939266" r:id="rId13"/>
                      </w:object>
                    </w:r>
                  </w:p>
                </w:txbxContent>
              </v:textbox>
            </v:roundrect>
            <v:roundrect id="Скругленный прямоугольник 67" o:spid="_x0000_s1222" style="position:absolute;left:2393;top:18626;width:2655;height:10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A25D62" w:rsidRDefault="00A16840" w:rsidP="00A16840">
                    <w:pPr>
                      <w:pStyle w:val="afffffffffffffffffffffffffff6"/>
                      <w:spacing w:before="0" w:beforeAutospacing="0" w:after="0" w:afterAutospacing="0"/>
                      <w:jc w:val="center"/>
                      <w:rPr>
                        <w:sz w:val="20"/>
                        <w:szCs w:val="20"/>
                      </w:rPr>
                    </w:pP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p>
                </w:txbxContent>
              </v:textbox>
            </v:roundrect>
            <v:roundrect id="Скругленный прямоугольник 67" o:spid="_x0000_s1223" style="position:absolute;left:5325;top:18672;width:3658;height:9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A25D62" w:rsidRDefault="00A16840" w:rsidP="00A16840">
                    <w:pPr>
                      <w:pStyle w:val="afffffffffffffffffffffffffff6"/>
                      <w:spacing w:before="0" w:beforeAutospacing="0" w:after="0" w:afterAutospacing="0" w:line="200" w:lineRule="exact"/>
                      <w:jc w:val="center"/>
                      <w:rPr>
                        <w:sz w:val="20"/>
                        <w:szCs w:val="20"/>
                        <w:lang w:val="uk-UA"/>
                      </w:rPr>
                    </w:pP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p>
                </w:txbxContent>
              </v:textbox>
            </v:roundrect>
            <v:roundrect id="Скругленный прямоугольник 67" o:spid="_x0000_s1224" style="position:absolute;left:2413;top:19941;width:2651;height:6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A25D62" w:rsidRDefault="00A16840" w:rsidP="00A16840">
                    <w:pPr>
                      <w:pStyle w:val="afffffffffffffffffffffffffff6"/>
                      <w:spacing w:before="0" w:beforeAutospacing="0" w:after="0" w:afterAutospacing="0"/>
                      <w:jc w:val="center"/>
                      <w:rPr>
                        <w:sz w:val="20"/>
                        <w:szCs w:val="20"/>
                      </w:rPr>
                    </w:pP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p>
                </w:txbxContent>
              </v:textbox>
            </v:roundrect>
            <v:roundrect id="Скругленный прямоугольник 67" o:spid="_x0000_s1225" style="position:absolute;left:5322;top:19664;width:3754;height:135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A25D62" w:rsidRDefault="00A16840" w:rsidP="00A16840">
                    <w:pPr>
                      <w:pStyle w:val="afffffffffffffffffffffffffff6"/>
                      <w:spacing w:before="0" w:beforeAutospacing="0" w:after="0" w:afterAutospacing="0" w:line="200" w:lineRule="exact"/>
                      <w:ind w:left="-57" w:right="-57"/>
                      <w:jc w:val="center"/>
                      <w:rPr>
                        <w:sz w:val="20"/>
                        <w:szCs w:val="20"/>
                        <w:lang w:val="uk-UA"/>
                      </w:rPr>
                    </w:pP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vertAlign w:val="subscript"/>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p>
                </w:txbxContent>
              </v:textbox>
            </v:roundrect>
            <v:roundrect id="Скругленный прямоугольник 67" o:spid="_x0000_s1226" style="position:absolute;left:2413;top:20911;width:2673;height:76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A25D62" w:rsidRDefault="00A16840" w:rsidP="00A16840">
                    <w:pPr>
                      <w:pStyle w:val="afffffffffffffffffffffffffff6"/>
                      <w:spacing w:before="0" w:beforeAutospacing="0" w:after="0" w:afterAutospacing="0"/>
                      <w:jc w:val="center"/>
                      <w:rPr>
                        <w:sz w:val="20"/>
                        <w:szCs w:val="20"/>
                      </w:rPr>
                    </w:pP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p>
                </w:txbxContent>
              </v:textbox>
            </v:roundrect>
            <v:roundrect id="Скругленный прямоугольник 67" o:spid="_x0000_s1227" style="position:absolute;left:5322;top:21050;width:3691;height:7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A25D62" w:rsidRDefault="00A16840" w:rsidP="00A16840">
                    <w:pPr>
                      <w:pStyle w:val="afffffffffffffffffffffffffff6"/>
                      <w:spacing w:before="0" w:beforeAutospacing="0" w:after="0" w:afterAutospacing="0" w:line="200" w:lineRule="exact"/>
                      <w:ind w:left="-57" w:right="-57"/>
                      <w:jc w:val="center"/>
                      <w:rPr>
                        <w:sz w:val="20"/>
                        <w:szCs w:val="20"/>
                        <w:lang w:val="uk-UA"/>
                      </w:rPr>
                    </w:pP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p>
                </w:txbxContent>
              </v:textbox>
            </v:roundrect>
            <v:roundrect id="Скругленный прямоугольник 67" o:spid="_x0000_s1228" style="position:absolute;left:2413;top:21881;width:2651;height:6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3F7D28" w:rsidRDefault="00A16840" w:rsidP="00A16840">
                    <w:pPr>
                      <w:pStyle w:val="afffffffffffffffffffffffffff6"/>
                      <w:spacing w:before="0" w:beforeAutospacing="0" w:after="0" w:afterAutospacing="0"/>
                      <w:jc w:val="center"/>
                      <w:rPr>
                        <w:sz w:val="19"/>
                        <w:szCs w:val="19"/>
                        <w:lang w:val="uk-UA"/>
                      </w:rPr>
                    </w:pP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en-US"/>
                      </w:rPr>
                      <w:t></w:t>
                    </w:r>
                    <w:r w:rsidRPr="003F7D28">
                      <w:rPr>
                        <w:sz w:val="19"/>
                        <w:szCs w:val="19"/>
                        <w:lang w:val="en-US"/>
                      </w:rPr>
                      <w:t></w:t>
                    </w:r>
                    <w:r w:rsidRPr="003F7D28">
                      <w:rPr>
                        <w:sz w:val="19"/>
                        <w:szCs w:val="19"/>
                        <w:lang w:val="en-US"/>
                      </w:rPr>
                      <w:t></w:t>
                    </w:r>
                    <w:r w:rsidRPr="003F7D28">
                      <w:rPr>
                        <w:sz w:val="19"/>
                        <w:szCs w:val="19"/>
                        <w:lang w:val="en-US"/>
                      </w:rPr>
                      <w:t></w:t>
                    </w:r>
                    <w:r w:rsidRPr="003F7D28">
                      <w:rPr>
                        <w:sz w:val="19"/>
                        <w:szCs w:val="19"/>
                        <w:lang w:val="en-US"/>
                      </w:rPr>
                      <w:t></w:t>
                    </w:r>
                    <w:r w:rsidRPr="003F7D28">
                      <w:rPr>
                        <w:sz w:val="19"/>
                        <w:szCs w:val="19"/>
                        <w:lang w:val="en-US"/>
                      </w:rPr>
                      <w:t></w:t>
                    </w:r>
                    <w:r w:rsidRPr="003F7D28">
                      <w:rPr>
                        <w:sz w:val="19"/>
                        <w:szCs w:val="19"/>
                      </w:rPr>
                      <w:t></w:t>
                    </w:r>
                    <w:r w:rsidRPr="003F7D28">
                      <w:rPr>
                        <w:sz w:val="19"/>
                        <w:szCs w:val="19"/>
                      </w:rPr>
                      <w:t></w:t>
                    </w:r>
                    <w:r w:rsidRPr="003F7D28">
                      <w:rPr>
                        <w:sz w:val="19"/>
                        <w:szCs w:val="19"/>
                      </w:rPr>
                      <w:t></w:t>
                    </w:r>
                    <w:r w:rsidRPr="003F7D28">
                      <w:rPr>
                        <w:sz w:val="19"/>
                        <w:szCs w:val="19"/>
                      </w:rPr>
                      <w:t></w:t>
                    </w:r>
                    <w:r w:rsidRPr="003F7D28">
                      <w:rPr>
                        <w:sz w:val="19"/>
                        <w:szCs w:val="19"/>
                      </w:rPr>
                      <w:t></w:t>
                    </w:r>
                    <w:r w:rsidRPr="003F7D28">
                      <w:rPr>
                        <w:sz w:val="19"/>
                        <w:szCs w:val="19"/>
                      </w:rPr>
                      <w:t></w:t>
                    </w:r>
                    <w:r w:rsidRPr="003F7D28">
                      <w:rPr>
                        <w:sz w:val="19"/>
                        <w:szCs w:val="19"/>
                      </w:rPr>
                      <w:t></w:t>
                    </w:r>
                    <w:r w:rsidRPr="003F7D28">
                      <w:rPr>
                        <w:sz w:val="19"/>
                        <w:szCs w:val="19"/>
                      </w:rPr>
                      <w:t></w:t>
                    </w:r>
                    <w:r w:rsidRPr="003F7D28">
                      <w:rPr>
                        <w:sz w:val="19"/>
                        <w:szCs w:val="19"/>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p>
                </w:txbxContent>
              </v:textbox>
            </v:roundrect>
            <v:roundrect id="_x0000_s1229" style="position:absolute;left:5322;top:21881;width:3710;height:733" arcsize="10923f">
              <v:textbox style="mso-next-textbox:#_x0000_s1229">
                <w:txbxContent>
                  <w:p w:rsidR="00A16840" w:rsidRPr="00A25D62" w:rsidRDefault="00A16840" w:rsidP="00A16840">
                    <w:pPr>
                      <w:spacing w:after="0" w:line="240" w:lineRule="auto"/>
                      <w:rPr>
                        <w:rFonts w:ascii="Times New Roman" w:hAnsi="Times New Roman"/>
                      </w:rPr>
                    </w:pPr>
                    <w:r w:rsidRPr="00A25D62">
                      <w:rPr>
                        <w:rFonts w:ascii="Times New Roman" w:hAnsi="Times New Roman"/>
                        <w:position w:val="-66"/>
                        <w:sz w:val="28"/>
                        <w:szCs w:val="28"/>
                        <w:lang w:val="uk-UA"/>
                      </w:rPr>
                      <w:object w:dxaOrig="4700" w:dyaOrig="1440">
                        <v:shape id="_x0000_i1177" type="#_x0000_t75" style="width:220.65pt;height:38.7pt" o:ole="">
                          <v:imagedata r:id="rId14" o:title="" gain="66873f" blacklevel="655f"/>
                        </v:shape>
                        <o:OLEObject Type="Embed" ProgID="Equation.3" ShapeID="_x0000_i1177" DrawAspect="Content" ObjectID="_1684939265" r:id="rId15"/>
                      </w:object>
                    </w:r>
                  </w:p>
                </w:txbxContent>
              </v:textbox>
            </v:roundrect>
            <v:roundrect id="Скругленный прямоугольник 67" o:spid="_x0000_s1230" style="position:absolute;left:2413;top:22614;width:2658;height:66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3F7D28" w:rsidRDefault="00A16840" w:rsidP="00A16840">
                    <w:pPr>
                      <w:pStyle w:val="afffffffffffffffffffffffffff6"/>
                      <w:spacing w:before="0" w:beforeAutospacing="0" w:after="0" w:afterAutospacing="0"/>
                      <w:jc w:val="center"/>
                      <w:rPr>
                        <w:sz w:val="19"/>
                        <w:szCs w:val="19"/>
                      </w:rPr>
                    </w:pP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r w:rsidRPr="003F7D28">
                      <w:rPr>
                        <w:sz w:val="19"/>
                        <w:szCs w:val="19"/>
                        <w:lang w:val="uk-UA"/>
                      </w:rPr>
                      <w:t></w:t>
                    </w:r>
                  </w:p>
                </w:txbxContent>
              </v:textbox>
            </v:roundrect>
            <v:roundrect id="Скругленный прямоугольник 67" o:spid="_x0000_s1231" style="position:absolute;left:5322;top:22712;width:3684;height:4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A25D62" w:rsidRDefault="00A16840" w:rsidP="00A16840">
                    <w:pPr>
                      <w:pStyle w:val="afffffffffffffffffffffffffff6"/>
                      <w:spacing w:before="0" w:beforeAutospacing="0" w:after="0" w:afterAutospacing="0"/>
                      <w:jc w:val="center"/>
                      <w:rPr>
                        <w:sz w:val="20"/>
                        <w:szCs w:val="20"/>
                        <w:lang w:val="uk-UA"/>
                      </w:rPr>
                    </w:pP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p>
                </w:txbxContent>
              </v:textbox>
            </v:roundrect>
            <v:roundrect id="Скругленный прямоугольник 67" o:spid="_x0000_s1232" style="position:absolute;left:2413;top:23266;width:6512;height:31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Mg8IA&#10;AADbAAAADwAAAGRycy9kb3ducmV2LnhtbESPQWsCMRSE74X+h/AKvdWsLdWyNUoRBAUv2kKvj83r&#10;ZunmZZs8Nf77RhA8DjPzDTNbZN+rI8XUBTYwHlWgiJtgO24NfH2unt5AJUG22AcmA2dKsJjf382w&#10;tuHEOzrupVUFwqlGA05kqLVOjSOPaRQG4uL9hOhRioytthFPBe57/VxVE+2x47LgcKClo+Z3f/AG&#10;ouTxNPfuj19l7ZebZvutX7bGPD7kj3dQQllu4Wt7bQ1MpnD5Un6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AyDwgAAANsAAAAPAAAAAAAAAAAAAAAAAJgCAABkcnMvZG93&#10;bnJldi54bWxQSwUGAAAAAAQABAD1AAAAhwMAAAAA&#10;" strokeweight="1pt">
              <v:stroke joinstyle="miter"/>
              <v:textbox style="mso-next-textbox:#Скругленный прямоугольник 67">
                <w:txbxContent>
                  <w:p w:rsidR="00A16840" w:rsidRPr="00A25D62" w:rsidRDefault="00A16840" w:rsidP="00A16840">
                    <w:pPr>
                      <w:pStyle w:val="afffffffffffffffffffffffffff6"/>
                      <w:spacing w:before="0" w:beforeAutospacing="0" w:after="0" w:afterAutospacing="0"/>
                      <w:jc w:val="center"/>
                      <w:rPr>
                        <w:sz w:val="20"/>
                        <w:szCs w:val="20"/>
                        <w:lang w:val="uk-UA"/>
                      </w:rPr>
                    </w:pP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r w:rsidRPr="00A25D62">
                      <w:rPr>
                        <w:sz w:val="20"/>
                        <w:szCs w:val="20"/>
                        <w:lang w:val="uk-UA"/>
                      </w:rPr>
                      <w:t></w:t>
                    </w:r>
                  </w:p>
                </w:txbxContent>
              </v:textbox>
            </v:roundrect>
            <v:rect id="_x0000_s1233" style="position:absolute;left:1829;top:13153;width:494;height:3550" strokecolor="#c9c9c9" strokeweight="1pt">
              <v:fill color2="#dbdbdb" focusposition="1" focussize="" focus="100%" type="gradient"/>
              <v:shadow on="t" type="perspective" color="#525252" opacity=".5" offset="1pt" offset2="-3pt"/>
              <v:textbox style="layout-flow:vertical;mso-layout-flow-alt:bottom-to-top;mso-next-textbox:#_x0000_s1233">
                <w:txbxContent>
                  <w:p w:rsidR="00A16840" w:rsidRPr="00A25D62" w:rsidRDefault="00A16840" w:rsidP="00A16840">
                    <w:pPr>
                      <w:spacing w:after="0" w:line="240" w:lineRule="auto"/>
                      <w:jc w:val="center"/>
                      <w:rPr>
                        <w:rFonts w:ascii="Times New Roman" w:hAnsi="Times New Roman"/>
                        <w:b/>
                        <w:lang w:val="uk-UA"/>
                      </w:rPr>
                    </w:pPr>
                    <w:r w:rsidRPr="00A25D62">
                      <w:rPr>
                        <w:rFonts w:ascii="Times New Roman" w:hAnsi="Times New Roman"/>
                        <w:b/>
                        <w:sz w:val="20"/>
                        <w:szCs w:val="20"/>
                        <w:lang w:val="uk-UA"/>
                      </w:rPr>
                      <w:t xml:space="preserve">І етап (якісний </w:t>
                    </w:r>
                    <w:r w:rsidRPr="00A25D62">
                      <w:rPr>
                        <w:rFonts w:ascii="Times New Roman" w:hAnsi="Times New Roman"/>
                        <w:b/>
                        <w:lang w:val="uk-UA"/>
                      </w:rPr>
                      <w:t>аналіз)</w:t>
                    </w:r>
                  </w:p>
                </w:txbxContent>
              </v:textbox>
            </v:rect>
            <v:rect id="_x0000_s1234" style="position:absolute;left:1795;top:17147;width:549;height:2679" strokecolor="#c9c9c9" strokeweight="1pt">
              <v:fill color2="#dbdbdb" focusposition="1" focussize="" focus="100%" type="gradient"/>
              <v:shadow on="t" type="perspective" color="#525252" opacity=".5" offset="1pt" offset2="-3pt"/>
              <v:textbox style="layout-flow:vertical;mso-layout-flow-alt:bottom-to-top;mso-next-textbox:#_x0000_s1234">
                <w:txbxContent>
                  <w:p w:rsidR="00A16840" w:rsidRPr="00A25D62" w:rsidRDefault="00A16840" w:rsidP="00A16840">
                    <w:pPr>
                      <w:spacing w:after="0" w:line="200" w:lineRule="exact"/>
                      <w:jc w:val="center"/>
                      <w:rPr>
                        <w:rFonts w:ascii="Times New Roman" w:hAnsi="Times New Roman"/>
                        <w:b/>
                        <w:lang w:val="uk-UA"/>
                      </w:rPr>
                    </w:pPr>
                    <w:r w:rsidRPr="00A25D62">
                      <w:rPr>
                        <w:rFonts w:ascii="Times New Roman" w:hAnsi="Times New Roman"/>
                        <w:b/>
                        <w:sz w:val="20"/>
                        <w:szCs w:val="20"/>
                        <w:lang w:val="uk-UA"/>
                      </w:rPr>
                      <w:t>ІІ етап (побудова системи раннього сповіщення кризи</w:t>
                    </w:r>
                    <w:r w:rsidRPr="00A25D62">
                      <w:rPr>
                        <w:rFonts w:ascii="Times New Roman" w:hAnsi="Times New Roman"/>
                        <w:b/>
                        <w:lang w:val="uk-UA"/>
                      </w:rPr>
                      <w:t>)</w:t>
                    </w:r>
                  </w:p>
                </w:txbxContent>
              </v:textbox>
            </v:rect>
            <v:rect id="_x0000_s1235" style="position:absolute;left:1829;top:20126;width:551;height:3418" strokecolor="#c9c9c9" strokeweight="1pt">
              <v:fill color2="#dbdbdb" focusposition="1" focussize="" focus="100%" type="gradient"/>
              <v:shadow on="t" type="perspective" color="#525252" opacity=".5" offset="1pt" offset2="-3pt"/>
              <v:textbox style="layout-flow:vertical;mso-layout-flow-alt:bottom-to-top;mso-next-textbox:#_x0000_s1235">
                <w:txbxContent>
                  <w:p w:rsidR="00A16840" w:rsidRPr="00A25D62" w:rsidRDefault="00A16840" w:rsidP="00A16840">
                    <w:pPr>
                      <w:spacing w:after="0" w:line="200" w:lineRule="exact"/>
                      <w:jc w:val="center"/>
                      <w:rPr>
                        <w:rFonts w:ascii="Times New Roman" w:hAnsi="Times New Roman"/>
                        <w:b/>
                        <w:lang w:val="uk-UA"/>
                      </w:rPr>
                    </w:pPr>
                    <w:r w:rsidRPr="00A25D62">
                      <w:rPr>
                        <w:rFonts w:ascii="Times New Roman" w:hAnsi="Times New Roman"/>
                        <w:b/>
                        <w:sz w:val="20"/>
                        <w:szCs w:val="20"/>
                        <w:lang w:val="uk-UA"/>
                      </w:rPr>
                      <w:t>ІІІ етап (побудова економетричних моделей кризи</w:t>
                    </w:r>
                    <w:r w:rsidRPr="00A25D62">
                      <w:rPr>
                        <w:rFonts w:ascii="Times New Roman" w:hAnsi="Times New Roman"/>
                        <w:b/>
                        <w:lang w:val="uk-UA"/>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36" type="#_x0000_t67" style="position:absolute;left:1946;top:16743;width:231;height:415">
              <v:textbox style="layout-flow:vertical-ideographic"/>
            </v:shape>
            <v:shape id="_x0000_s1237" type="#_x0000_t67" style="position:absolute;left:1946;top:19804;width:231;height:322">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8" type="#_x0000_t13" style="position:absolute;left:4602;top:13361;width:214;height:196"/>
            <v:shape id="_x0000_s1239" type="#_x0000_t13" style="position:absolute;left:4626;top:14042;width:215;height:208"/>
            <v:shape id="_x0000_s1240" type="#_x0000_t13" style="position:absolute;left:4567;top:14838;width:203;height:231"/>
            <v:shape id="_x0000_s1241" type="#_x0000_t13" style="position:absolute;left:4602;top:16316;width:180;height:197"/>
            <v:shape id="_x0000_s1242" type="#_x0000_t13" style="position:absolute;left:5034;top:17448;width:291;height:208"/>
            <v:shape id="_x0000_s1243" type="#_x0000_t13" style="position:absolute;left:5071;top:18129;width:254;height:219"/>
            <v:shape id="_x0000_s1244" type="#_x0000_t13" style="position:absolute;left:5048;top:19099;width:258;height:208"/>
            <v:shape id="_x0000_s1245" type="#_x0000_t13" style="position:absolute;left:5071;top:20219;width:265;height:207"/>
            <v:shape id="_x0000_s1246" type="#_x0000_t13" style="position:absolute;left:5071;top:21327;width:263;height:196"/>
            <v:shape id="_x0000_s1247" type="#_x0000_t13" style="position:absolute;left:5064;top:22158;width:235;height:208"/>
            <v:shape id="_x0000_s1248" type="#_x0000_t13" style="position:absolute;left:5071;top:22990;width:243;height:172"/>
          </v:group>
        </w:pict>
      </w:r>
      <w:r w:rsidRPr="00A16840">
        <w:rPr>
          <w:rFonts w:ascii="Times New Roman" w:eastAsia="Times New Roman" w:hAnsi="Times New Roman" w:cs="Times New Roman"/>
          <w:kern w:val="0"/>
          <w:sz w:val="28"/>
          <w:szCs w:val="28"/>
          <w:lang w:val="uk-UA" w:eastAsia="en-US"/>
        </w:rPr>
        <w:pict>
          <v:shape id="_x0000_i1166" type="#_x0000_t75" style="width:481.55pt;height:685.95pt">
            <v:imagedata croptop="-65520f" cropbottom="65520f"/>
          </v:shape>
        </w:pict>
      </w:r>
      <w:r w:rsidRPr="00A16840">
        <w:rPr>
          <w:rFonts w:ascii="Times New Roman" w:eastAsia="Times New Roman" w:hAnsi="Times New Roman" w:cs="Times New Roman"/>
          <w:b/>
          <w:kern w:val="0"/>
          <w:sz w:val="28"/>
          <w:szCs w:val="28"/>
          <w:lang w:val="uk-UA" w:eastAsia="en-US"/>
        </w:rPr>
        <w:t>Рис. 3. Структурна схема компаративного аналізу фінансової стійкості банківської системи</w:t>
      </w:r>
    </w:p>
    <w:p w:rsidR="00A16840" w:rsidRPr="00A16840" w:rsidRDefault="00A16840" w:rsidP="00A16840">
      <w:pPr>
        <w:widowControl/>
        <w:tabs>
          <w:tab w:val="clear" w:pos="709"/>
        </w:tabs>
        <w:suppressAutoHyphens w:val="0"/>
        <w:autoSpaceDE w:val="0"/>
        <w:autoSpaceDN w:val="0"/>
        <w:adjustRightInd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Ґрунтуючись на probit-моделі для тестування імовірності виникнення та розвитку банківської кризи у різних групах країн з використанням інструментів аналізу прикладної статистичної програми Statistica отримано наступні імовірнісні моделі оцінки кризи:</w:t>
      </w:r>
    </w:p>
    <w:tbl>
      <w:tblPr>
        <w:tblW w:w="0" w:type="auto"/>
        <w:tblLayout w:type="fixed"/>
        <w:tblLook w:val="01E0"/>
      </w:tblPr>
      <w:tblGrid>
        <w:gridCol w:w="1237"/>
        <w:gridCol w:w="8231"/>
        <w:gridCol w:w="629"/>
      </w:tblGrid>
      <w:tr w:rsidR="00A16840" w:rsidRPr="00A16840" w:rsidTr="00F66D86">
        <w:tc>
          <w:tcPr>
            <w:tcW w:w="1237"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p>
        </w:tc>
        <w:tc>
          <w:tcPr>
            <w:tcW w:w="8231"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sz w:val="24"/>
                <w:szCs w:val="24"/>
                <w:lang w:val="uk-UA" w:eastAsia="en-US"/>
              </w:rPr>
            </w:pPr>
            <w:r w:rsidRPr="00A16840">
              <w:rPr>
                <w:rFonts w:ascii="Times New Roman" w:eastAsia="Times New Roman" w:hAnsi="Times New Roman" w:cs="Times New Roman"/>
                <w:b/>
                <w:bCs/>
                <w:kern w:val="0"/>
                <w:sz w:val="24"/>
                <w:szCs w:val="24"/>
                <w:lang w:val="uk-UA" w:eastAsia="en-US"/>
              </w:rPr>
              <w:t xml:space="preserve">Група країн з ісламською банківською системою </w:t>
            </w:r>
          </w:p>
        </w:tc>
        <w:tc>
          <w:tcPr>
            <w:tcW w:w="629"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p>
        </w:tc>
      </w:tr>
      <w:tr w:rsidR="00A16840" w:rsidRPr="00A16840" w:rsidTr="00F66D86">
        <w:trPr>
          <w:trHeight w:val="922"/>
        </w:trPr>
        <w:tc>
          <w:tcPr>
            <w:tcW w:w="1237"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probit-модель для тестування</w:t>
            </w:r>
          </w:p>
        </w:tc>
        <w:tc>
          <w:tcPr>
            <w:tcW w:w="8231"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position w:val="-48"/>
                <w:sz w:val="20"/>
                <w:szCs w:val="20"/>
                <w:lang w:val="uk-UA" w:eastAsia="en-US"/>
              </w:rPr>
              <w:object w:dxaOrig="7360" w:dyaOrig="1120">
                <v:shape id="_x0000_i1167" type="#_x0000_t75" style="width:293.4pt;height:44.9pt" o:ole="">
                  <v:imagedata r:id="rId16" o:title=""/>
                </v:shape>
                <o:OLEObject Type="Embed" ProgID="Equation.3" ShapeID="_x0000_i1167" DrawAspect="Content" ObjectID="_1684939259" r:id="rId17"/>
              </w:object>
            </w:r>
          </w:p>
        </w:tc>
        <w:tc>
          <w:tcPr>
            <w:tcW w:w="629"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(1)</w:t>
            </w:r>
          </w:p>
        </w:tc>
      </w:tr>
      <w:tr w:rsidR="00A16840" w:rsidRPr="00A16840" w:rsidTr="00F66D86">
        <w:tc>
          <w:tcPr>
            <w:tcW w:w="1237"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результати оцінки</w:t>
            </w:r>
          </w:p>
        </w:tc>
        <w:tc>
          <w:tcPr>
            <w:tcW w:w="8231"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8"/>
                <w:szCs w:val="28"/>
                <w:lang w:val="uk-UA" w:eastAsia="en-US"/>
              </w:rPr>
              <w:t xml:space="preserve">        </w:t>
            </w:r>
            <w:r w:rsidRPr="00A16840">
              <w:rPr>
                <w:rFonts w:ascii="Times New Roman" w:eastAsia="Times New Roman" w:hAnsi="Times New Roman" w:cs="Times New Roman"/>
                <w:kern w:val="0"/>
                <w:position w:val="-32"/>
                <w:sz w:val="28"/>
                <w:szCs w:val="28"/>
                <w:lang w:val="uk-UA" w:eastAsia="en-US"/>
              </w:rPr>
              <w:object w:dxaOrig="8280" w:dyaOrig="760">
                <v:shape id="_x0000_i1168" type="#_x0000_t75" style="width:325.15pt;height:27.85pt" o:ole="">
                  <v:imagedata r:id="rId18" o:title=""/>
                </v:shape>
                <o:OLEObject Type="Embed" ProgID="Equation.3" ShapeID="_x0000_i1168" DrawAspect="Content" ObjectID="_1684939260" r:id="rId19"/>
              </w:object>
            </w:r>
          </w:p>
        </w:tc>
        <w:tc>
          <w:tcPr>
            <w:tcW w:w="629"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(2)</w:t>
            </w:r>
          </w:p>
        </w:tc>
      </w:tr>
      <w:tr w:rsidR="00A16840" w:rsidRPr="00A16840" w:rsidTr="00F66D86">
        <w:tc>
          <w:tcPr>
            <w:tcW w:w="1237"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p>
        </w:tc>
        <w:tc>
          <w:tcPr>
            <w:tcW w:w="8231"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bCs/>
                <w:kern w:val="0"/>
                <w:sz w:val="24"/>
                <w:szCs w:val="24"/>
                <w:lang w:val="uk-UA" w:eastAsia="en-US"/>
              </w:rPr>
            </w:pPr>
            <w:r w:rsidRPr="00A16840">
              <w:rPr>
                <w:rFonts w:ascii="Times New Roman" w:eastAsia="Times New Roman" w:hAnsi="Times New Roman" w:cs="Times New Roman"/>
                <w:b/>
                <w:bCs/>
                <w:kern w:val="0"/>
                <w:sz w:val="24"/>
                <w:szCs w:val="24"/>
                <w:lang w:val="uk-UA" w:eastAsia="en-US"/>
              </w:rPr>
              <w:t>Група країн з банківською системою змішаного типу</w:t>
            </w:r>
          </w:p>
        </w:tc>
        <w:tc>
          <w:tcPr>
            <w:tcW w:w="629"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p>
        </w:tc>
      </w:tr>
      <w:tr w:rsidR="00A16840" w:rsidRPr="00A16840" w:rsidTr="00F66D86">
        <w:tc>
          <w:tcPr>
            <w:tcW w:w="1237"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probit-модель для тестування</w:t>
            </w:r>
          </w:p>
        </w:tc>
        <w:tc>
          <w:tcPr>
            <w:tcW w:w="8231"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position w:val="-48"/>
                <w:sz w:val="20"/>
                <w:szCs w:val="20"/>
                <w:lang w:val="uk-UA" w:eastAsia="en-US"/>
              </w:rPr>
              <w:object w:dxaOrig="8020" w:dyaOrig="1120">
                <v:shape id="_x0000_i1169" type="#_x0000_t75" style="width:291.85pt;height:41.05pt" o:ole="">
                  <v:imagedata r:id="rId20" o:title=""/>
                </v:shape>
                <o:OLEObject Type="Embed" ProgID="Equation.3" ShapeID="_x0000_i1169" DrawAspect="Content" ObjectID="_1684939261" r:id="rId21"/>
              </w:object>
            </w:r>
          </w:p>
        </w:tc>
        <w:tc>
          <w:tcPr>
            <w:tcW w:w="629"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(3)</w:t>
            </w:r>
          </w:p>
        </w:tc>
      </w:tr>
      <w:tr w:rsidR="00A16840" w:rsidRPr="00A16840" w:rsidTr="00F66D86">
        <w:tc>
          <w:tcPr>
            <w:tcW w:w="1237"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результати оцінки</w:t>
            </w:r>
          </w:p>
        </w:tc>
        <w:tc>
          <w:tcPr>
            <w:tcW w:w="8231"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position w:val="-32"/>
                <w:sz w:val="28"/>
                <w:szCs w:val="28"/>
                <w:lang w:val="uk-UA" w:eastAsia="en-US"/>
              </w:rPr>
              <w:object w:dxaOrig="9240" w:dyaOrig="760">
                <v:shape id="_x0000_i1170" type="#_x0000_t75" style="width:343.75pt;height:29.4pt" o:ole="">
                  <v:imagedata r:id="rId22" o:title=""/>
                </v:shape>
                <o:OLEObject Type="Embed" ProgID="Equation.3" ShapeID="_x0000_i1170" DrawAspect="Content" ObjectID="_1684939262" r:id="rId23"/>
              </w:object>
            </w:r>
          </w:p>
        </w:tc>
        <w:tc>
          <w:tcPr>
            <w:tcW w:w="629"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(4)</w:t>
            </w:r>
          </w:p>
        </w:tc>
      </w:tr>
      <w:tr w:rsidR="00A16840" w:rsidRPr="00A16840" w:rsidTr="00F66D86">
        <w:tc>
          <w:tcPr>
            <w:tcW w:w="1237"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p>
        </w:tc>
        <w:tc>
          <w:tcPr>
            <w:tcW w:w="8231"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
                <w:bCs/>
                <w:kern w:val="0"/>
                <w:sz w:val="24"/>
                <w:szCs w:val="24"/>
                <w:lang w:val="uk-UA" w:eastAsia="en-US"/>
              </w:rPr>
              <w:t xml:space="preserve">Група країн з традиційною банківською системою </w:t>
            </w:r>
          </w:p>
        </w:tc>
        <w:tc>
          <w:tcPr>
            <w:tcW w:w="629"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p>
        </w:tc>
      </w:tr>
      <w:tr w:rsidR="00A16840" w:rsidRPr="00A16840" w:rsidTr="00F66D86">
        <w:tc>
          <w:tcPr>
            <w:tcW w:w="1237"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probit-модель для тестування</w:t>
            </w:r>
          </w:p>
        </w:tc>
        <w:tc>
          <w:tcPr>
            <w:tcW w:w="8231"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position w:val="-48"/>
                <w:sz w:val="20"/>
                <w:szCs w:val="20"/>
                <w:lang w:val="uk-UA" w:eastAsia="en-US"/>
              </w:rPr>
              <w:object w:dxaOrig="8600" w:dyaOrig="1120">
                <v:shape id="_x0000_i1171" type="#_x0000_t75" style="width:312pt;height:41.05pt" o:ole="">
                  <v:imagedata r:id="rId24" o:title=""/>
                </v:shape>
                <o:OLEObject Type="Embed" ProgID="Equation.3" ShapeID="_x0000_i1171" DrawAspect="Content" ObjectID="_1684939263" r:id="rId25"/>
              </w:object>
            </w:r>
          </w:p>
        </w:tc>
        <w:tc>
          <w:tcPr>
            <w:tcW w:w="629"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(5)</w:t>
            </w:r>
          </w:p>
        </w:tc>
      </w:tr>
      <w:tr w:rsidR="00A16840" w:rsidRPr="00A16840" w:rsidTr="00F66D86">
        <w:trPr>
          <w:trHeight w:val="465"/>
        </w:trPr>
        <w:tc>
          <w:tcPr>
            <w:tcW w:w="1237"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результати оцінки</w:t>
            </w:r>
          </w:p>
        </w:tc>
        <w:tc>
          <w:tcPr>
            <w:tcW w:w="8231"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position w:val="-32"/>
                <w:sz w:val="28"/>
                <w:szCs w:val="28"/>
                <w:lang w:val="uk-UA" w:eastAsia="en-US"/>
              </w:rPr>
              <w:object w:dxaOrig="9279" w:dyaOrig="760">
                <v:shape id="_x0000_i1172" type="#_x0000_t75" style="width:352.25pt;height:28.65pt" o:ole="">
                  <v:imagedata r:id="rId26" o:title=""/>
                </v:shape>
                <o:OLEObject Type="Embed" ProgID="Equation.3" ShapeID="_x0000_i1172" DrawAspect="Content" ObjectID="_1684939264" r:id="rId27"/>
              </w:object>
            </w:r>
          </w:p>
        </w:tc>
        <w:tc>
          <w:tcPr>
            <w:tcW w:w="629" w:type="dxa"/>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(6)</w:t>
            </w:r>
          </w:p>
        </w:tc>
      </w:tr>
      <w:tr w:rsidR="00A16840" w:rsidRPr="00A16840" w:rsidTr="00F66D86">
        <w:tc>
          <w:tcPr>
            <w:tcW w:w="10097" w:type="dxa"/>
            <w:gridSpan w:val="3"/>
            <w:shd w:val="clear" w:color="auto" w:fill="auto"/>
          </w:tcPr>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kern w:val="0"/>
                <w:sz w:val="20"/>
                <w:szCs w:val="20"/>
                <w:lang w:val="uk-UA" w:eastAsia="en-US"/>
              </w:rPr>
              <w:t xml:space="preserve">де </w:t>
            </w:r>
            <w:r w:rsidRPr="00A16840">
              <w:rPr>
                <w:rFonts w:ascii="Times New Roman" w:eastAsia="Times New Roman" w:hAnsi="Times New Roman" w:cs="Times New Roman"/>
                <w:i/>
                <w:kern w:val="0"/>
                <w:sz w:val="20"/>
                <w:szCs w:val="20"/>
                <w:lang w:val="uk-UA" w:eastAsia="en-US"/>
              </w:rPr>
              <w:t>Z</w:t>
            </w:r>
            <w:r w:rsidRPr="00A16840">
              <w:rPr>
                <w:rFonts w:ascii="Times New Roman" w:eastAsia="Times New Roman" w:hAnsi="Times New Roman" w:cs="Times New Roman"/>
                <w:kern w:val="0"/>
                <w:sz w:val="20"/>
                <w:szCs w:val="20"/>
                <w:lang w:val="uk-UA" w:eastAsia="en-US"/>
              </w:rPr>
              <w:t xml:space="preserve"> - це функція нормального кумулятивного розподілу, </w:t>
            </w:r>
          </w:p>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i/>
                <w:kern w:val="0"/>
                <w:sz w:val="20"/>
                <w:szCs w:val="20"/>
                <w:lang w:val="uk-UA" w:eastAsia="en-US"/>
              </w:rPr>
              <w:t>crisis</w:t>
            </w:r>
            <w:r w:rsidRPr="00A16840">
              <w:rPr>
                <w:rFonts w:ascii="Times New Roman" w:eastAsia="Times New Roman" w:hAnsi="Times New Roman" w:cs="Times New Roman"/>
                <w:kern w:val="0"/>
                <w:sz w:val="20"/>
                <w:szCs w:val="20"/>
                <w:lang w:val="uk-UA" w:eastAsia="en-US"/>
              </w:rPr>
              <w:t xml:space="preserve"> - це екзогенна бінарна змінна для випадків виникнення кризи, </w:t>
            </w:r>
          </w:p>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i/>
                <w:kern w:val="0"/>
                <w:sz w:val="20"/>
                <w:szCs w:val="20"/>
                <w:lang w:val="uk-UA" w:eastAsia="en-US"/>
              </w:rPr>
              <w:t xml:space="preserve">Res – </w:t>
            </w:r>
            <w:r w:rsidRPr="00A16840">
              <w:rPr>
                <w:rFonts w:ascii="Times New Roman" w:eastAsia="Times New Roman" w:hAnsi="Times New Roman" w:cs="Times New Roman"/>
                <w:kern w:val="0"/>
                <w:sz w:val="20"/>
                <w:szCs w:val="20"/>
                <w:lang w:val="uk-UA" w:eastAsia="en-US"/>
              </w:rPr>
              <w:t>темпи зміни золотовалютних резерів, %</w:t>
            </w:r>
          </w:p>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i/>
                <w:kern w:val="0"/>
                <w:sz w:val="20"/>
                <w:szCs w:val="20"/>
                <w:lang w:val="uk-UA" w:eastAsia="en-US"/>
              </w:rPr>
              <w:t xml:space="preserve">Exch_rate </w:t>
            </w:r>
            <w:r w:rsidRPr="00A16840">
              <w:rPr>
                <w:rFonts w:ascii="Times New Roman" w:eastAsia="Times New Roman" w:hAnsi="Times New Roman" w:cs="Times New Roman"/>
                <w:kern w:val="0"/>
                <w:sz w:val="20"/>
                <w:szCs w:val="20"/>
                <w:lang w:val="uk-UA" w:eastAsia="en-US"/>
              </w:rPr>
              <w:t>– темпи зміни валютного курсу, %</w:t>
            </w:r>
          </w:p>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i/>
                <w:kern w:val="0"/>
                <w:sz w:val="20"/>
                <w:szCs w:val="20"/>
                <w:lang w:val="uk-UA" w:eastAsia="en-US"/>
              </w:rPr>
              <w:t>Exp</w:t>
            </w:r>
            <w:r w:rsidRPr="00A16840">
              <w:rPr>
                <w:rFonts w:ascii="Times New Roman" w:eastAsia="Times New Roman" w:hAnsi="Times New Roman" w:cs="Times New Roman"/>
                <w:kern w:val="0"/>
                <w:sz w:val="20"/>
                <w:szCs w:val="20"/>
                <w:lang w:val="uk-UA" w:eastAsia="en-US"/>
              </w:rPr>
              <w:t xml:space="preserve"> – темпи приросту обсягів експорту товарів та послуг, %</w:t>
            </w:r>
          </w:p>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i/>
                <w:kern w:val="0"/>
                <w:sz w:val="20"/>
                <w:szCs w:val="20"/>
                <w:lang w:val="uk-UA" w:eastAsia="en-US"/>
              </w:rPr>
              <w:t xml:space="preserve">Int_rate </w:t>
            </w:r>
            <w:r w:rsidRPr="00A16840">
              <w:rPr>
                <w:rFonts w:ascii="Times New Roman" w:eastAsia="Times New Roman" w:hAnsi="Times New Roman" w:cs="Times New Roman"/>
                <w:kern w:val="0"/>
                <w:sz w:val="20"/>
                <w:szCs w:val="20"/>
                <w:lang w:val="uk-UA" w:eastAsia="en-US"/>
              </w:rPr>
              <w:t>– реальна відсоткова ставка, %</w:t>
            </w:r>
          </w:p>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i/>
                <w:kern w:val="0"/>
                <w:sz w:val="20"/>
                <w:szCs w:val="20"/>
                <w:lang w:val="uk-UA" w:eastAsia="en-US"/>
              </w:rPr>
              <w:t>Inf</w:t>
            </w:r>
            <w:r w:rsidRPr="00A16840">
              <w:rPr>
                <w:rFonts w:ascii="Times New Roman" w:eastAsia="Times New Roman" w:hAnsi="Times New Roman" w:cs="Times New Roman"/>
                <w:kern w:val="0"/>
                <w:sz w:val="20"/>
                <w:szCs w:val="20"/>
                <w:lang w:val="uk-UA" w:eastAsia="en-US"/>
              </w:rPr>
              <w:t xml:space="preserve"> – рівень інфляції, %.</w:t>
            </w:r>
          </w:p>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i/>
                <w:kern w:val="0"/>
                <w:sz w:val="20"/>
                <w:szCs w:val="20"/>
                <w:lang w:val="uk-UA" w:eastAsia="en-US"/>
              </w:rPr>
              <w:t>М</w:t>
            </w:r>
            <w:r w:rsidRPr="00A16840">
              <w:rPr>
                <w:rFonts w:ascii="Times New Roman" w:eastAsia="Times New Roman" w:hAnsi="Times New Roman" w:cs="Times New Roman"/>
                <w:i/>
                <w:kern w:val="0"/>
                <w:sz w:val="20"/>
                <w:szCs w:val="20"/>
                <w:vertAlign w:val="subscript"/>
                <w:lang w:val="uk-UA" w:eastAsia="en-US"/>
              </w:rPr>
              <w:t>2</w:t>
            </w:r>
            <w:r w:rsidRPr="00A16840">
              <w:rPr>
                <w:rFonts w:ascii="Times New Roman" w:eastAsia="Times New Roman" w:hAnsi="Times New Roman" w:cs="Times New Roman"/>
                <w:i/>
                <w:kern w:val="0"/>
                <w:sz w:val="20"/>
                <w:szCs w:val="20"/>
                <w:lang w:val="uk-UA" w:eastAsia="en-US"/>
              </w:rPr>
              <w:t xml:space="preserve">/Res – </w:t>
            </w:r>
            <w:r w:rsidRPr="00A16840">
              <w:rPr>
                <w:rFonts w:ascii="Times New Roman" w:eastAsia="Times New Roman" w:hAnsi="Times New Roman" w:cs="Times New Roman"/>
                <w:kern w:val="0"/>
                <w:sz w:val="20"/>
                <w:szCs w:val="20"/>
                <w:lang w:val="uk-UA" w:eastAsia="en-US"/>
              </w:rPr>
              <w:t>співвідношення грошової маси та золотовалютних резервів,</w:t>
            </w:r>
          </w:p>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i/>
                <w:kern w:val="0"/>
                <w:sz w:val="20"/>
                <w:szCs w:val="20"/>
                <w:lang w:val="uk-UA" w:eastAsia="en-US"/>
              </w:rPr>
              <w:t>Budget</w:t>
            </w:r>
            <w:r w:rsidRPr="00A16840">
              <w:rPr>
                <w:rFonts w:ascii="Times New Roman" w:eastAsia="Times New Roman" w:hAnsi="Times New Roman" w:cs="Times New Roman"/>
                <w:kern w:val="0"/>
                <w:sz w:val="20"/>
                <w:szCs w:val="20"/>
                <w:lang w:val="uk-UA" w:eastAsia="en-US"/>
              </w:rPr>
              <w:t>– баланс державного бюджету у ВВП, %</w:t>
            </w:r>
          </w:p>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i/>
                <w:kern w:val="0"/>
                <w:sz w:val="20"/>
                <w:szCs w:val="20"/>
                <w:lang w:val="uk-UA" w:eastAsia="en-US"/>
              </w:rPr>
              <w:t xml:space="preserve">Cur_account </w:t>
            </w:r>
            <w:r w:rsidRPr="00A16840">
              <w:rPr>
                <w:rFonts w:ascii="Times New Roman" w:eastAsia="Times New Roman" w:hAnsi="Times New Roman" w:cs="Times New Roman"/>
                <w:kern w:val="0"/>
                <w:sz w:val="20"/>
                <w:szCs w:val="20"/>
                <w:lang w:val="uk-UA" w:eastAsia="en-US"/>
              </w:rPr>
              <w:t>– баланс рахунку поточних операцій у ВВП, %</w:t>
            </w:r>
          </w:p>
          <w:p w:rsidR="00A16840" w:rsidRPr="00A16840" w:rsidRDefault="00A16840" w:rsidP="00A16840">
            <w:pPr>
              <w:widowControl/>
              <w:tabs>
                <w:tab w:val="clear" w:pos="709"/>
              </w:tabs>
              <w:suppressAutoHyphens w:val="0"/>
              <w:autoSpaceDE w:val="0"/>
              <w:autoSpaceDN w:val="0"/>
              <w:adjustRightInd w:val="0"/>
              <w:spacing w:after="0" w:line="240" w:lineRule="auto"/>
              <w:ind w:firstLine="180"/>
              <w:rPr>
                <w:rFonts w:ascii="Times New Roman" w:eastAsia="Times New Roman" w:hAnsi="Times New Roman" w:cs="Times New Roman"/>
                <w:kern w:val="0"/>
                <w:sz w:val="20"/>
                <w:szCs w:val="20"/>
                <w:lang w:val="uk-UA" w:eastAsia="en-US"/>
              </w:rPr>
            </w:pPr>
            <w:r w:rsidRPr="00A16840">
              <w:rPr>
                <w:rFonts w:ascii="Times New Roman" w:eastAsia="Times New Roman" w:hAnsi="Times New Roman" w:cs="Times New Roman"/>
                <w:i/>
                <w:kern w:val="0"/>
                <w:sz w:val="20"/>
                <w:szCs w:val="20"/>
                <w:lang w:val="uk-UA" w:eastAsia="en-US"/>
              </w:rPr>
              <w:t xml:space="preserve">Debt </w:t>
            </w:r>
            <w:r w:rsidRPr="00A16840">
              <w:rPr>
                <w:rFonts w:ascii="Times New Roman" w:eastAsia="Times New Roman" w:hAnsi="Times New Roman" w:cs="Times New Roman"/>
                <w:kern w:val="0"/>
                <w:sz w:val="20"/>
                <w:szCs w:val="20"/>
                <w:lang w:val="uk-UA" w:eastAsia="en-US"/>
              </w:rPr>
              <w:t>– зовнішній борг у ВВП, %</w:t>
            </w:r>
          </w:p>
        </w:tc>
      </w:tr>
    </w:tbl>
    <w:p w:rsidR="00A16840" w:rsidRPr="00A16840" w:rsidRDefault="00A16840" w:rsidP="00A16840">
      <w:pPr>
        <w:widowControl/>
        <w:tabs>
          <w:tab w:val="clear" w:pos="709"/>
          <w:tab w:val="left" w:pos="993"/>
        </w:tabs>
        <w:suppressAutoHyphens w:val="0"/>
        <w:spacing w:after="0" w:line="240" w:lineRule="auto"/>
        <w:ind w:firstLine="0"/>
        <w:rPr>
          <w:rFonts w:ascii="Times New Roman" w:eastAsia="Calibri" w:hAnsi="Times New Roman" w:cs="Times New Roman"/>
          <w:kern w:val="0"/>
          <w:sz w:val="10"/>
          <w:szCs w:val="10"/>
          <w:lang w:val="uk-UA" w:eastAsia="ru-RU"/>
        </w:rPr>
      </w:pPr>
    </w:p>
    <w:p w:rsidR="00A16840" w:rsidRPr="00A16840" w:rsidRDefault="00A16840" w:rsidP="00A16840">
      <w:pPr>
        <w:widowControl/>
        <w:tabs>
          <w:tab w:val="clear" w:pos="709"/>
          <w:tab w:val="left" w:pos="993"/>
        </w:tabs>
        <w:suppressAutoHyphens w:val="0"/>
        <w:spacing w:after="0" w:line="240" w:lineRule="auto"/>
        <w:ind w:firstLine="720"/>
        <w:rPr>
          <w:rFonts w:ascii="Times New Roman" w:eastAsia="Calibri" w:hAnsi="Times New Roman" w:cs="Times New Roman"/>
          <w:kern w:val="0"/>
          <w:sz w:val="16"/>
          <w:szCs w:val="16"/>
          <w:lang w:val="uk-UA" w:eastAsia="ru-RU"/>
        </w:rPr>
      </w:pPr>
    </w:p>
    <w:p w:rsidR="00A16840" w:rsidRPr="00A16840" w:rsidRDefault="00A16840" w:rsidP="00A16840">
      <w:pPr>
        <w:widowControl/>
        <w:tabs>
          <w:tab w:val="clear" w:pos="709"/>
          <w:tab w:val="left" w:pos="426"/>
          <w:tab w:val="left" w:pos="993"/>
        </w:tabs>
        <w:suppressAutoHyphens w:val="0"/>
        <w:spacing w:after="0" w:line="240" w:lineRule="auto"/>
        <w:rPr>
          <w:rFonts w:ascii="Times New Roman" w:eastAsia="Calibri" w:hAnsi="Times New Roman" w:cs="Times New Roman"/>
          <w:kern w:val="0"/>
          <w:sz w:val="28"/>
          <w:szCs w:val="28"/>
          <w:lang w:val="uk-UA" w:eastAsia="ru-RU"/>
        </w:rPr>
      </w:pPr>
      <w:r w:rsidRPr="00A16840">
        <w:rPr>
          <w:rFonts w:ascii="Times New Roman" w:eastAsia="Calibri" w:hAnsi="Times New Roman" w:cs="Times New Roman"/>
          <w:kern w:val="0"/>
          <w:sz w:val="28"/>
          <w:szCs w:val="28"/>
          <w:lang w:val="uk-UA" w:eastAsia="ru-RU"/>
        </w:rPr>
        <w:t>Отримані результати проведеного компаративного аналізу рівня стійкості банківських систем (табл.2) дозволили визначити, що найбільш стабільними і у меншому ступені схильними до ризиків є банківські системи, які поєднують традиційні та ісламські фінансові активи, зокрема Бахрейн (середня оцінка схильності до банківської кризи складає 6%, рівень стійкості дорівнює 96%), Малайзія (8,2% та 91,8% відповідно). У цілому група країн зі змішаним типом банківської системи демонструє більш високий рівень стійкості – 88,3% (середня оцінка схильності до банківської кризи складає 11,7%), що на 25,6% нижче за країни з традиційними банківськими системами та на 10,3% менше за банківські системи ісламського типу. Результати практичної апробації запропонованої методики доводять, що імплементація ісламських принципів та інструментів банківської діяльності до традиційних банківських систем сприяє підвищенню загального рівня їх фінансової стійкості та стабільності, зменшує схильність до ризиків і, як наслідок, робить їх менш уразливими щодо поширення кризових процесів.</w:t>
      </w:r>
    </w:p>
    <w:p w:rsidR="00A16840" w:rsidRPr="00A16840" w:rsidRDefault="00A16840" w:rsidP="00A16840">
      <w:pPr>
        <w:widowControl/>
        <w:tabs>
          <w:tab w:val="clear" w:pos="709"/>
        </w:tabs>
        <w:suppressAutoHyphens w:val="0"/>
        <w:spacing w:after="0" w:line="240" w:lineRule="auto"/>
        <w:jc w:val="right"/>
        <w:rPr>
          <w:rFonts w:ascii="Times New Roman" w:eastAsia="Times New Roman" w:hAnsi="Times New Roman" w:cs="Times New Roman"/>
          <w:b/>
          <w:bCs/>
          <w:iCs/>
          <w:kern w:val="0"/>
          <w:sz w:val="28"/>
          <w:szCs w:val="28"/>
          <w:lang w:val="uk-UA" w:eastAsia="en-US"/>
        </w:rPr>
      </w:pPr>
    </w:p>
    <w:p w:rsidR="00A16840" w:rsidRPr="00A16840" w:rsidRDefault="00A16840" w:rsidP="00A16840">
      <w:pPr>
        <w:widowControl/>
        <w:tabs>
          <w:tab w:val="clear" w:pos="709"/>
        </w:tabs>
        <w:suppressAutoHyphens w:val="0"/>
        <w:spacing w:after="0" w:line="240" w:lineRule="auto"/>
        <w:jc w:val="right"/>
        <w:rPr>
          <w:rFonts w:ascii="Times New Roman" w:eastAsia="Times New Roman" w:hAnsi="Times New Roman" w:cs="Times New Roman"/>
          <w:b/>
          <w:bCs/>
          <w:iCs/>
          <w:kern w:val="0"/>
          <w:sz w:val="28"/>
          <w:szCs w:val="28"/>
          <w:lang w:val="uk-UA" w:eastAsia="en-US"/>
        </w:rPr>
      </w:pPr>
      <w:r w:rsidRPr="00A16840">
        <w:rPr>
          <w:rFonts w:ascii="Times New Roman" w:eastAsia="Times New Roman" w:hAnsi="Times New Roman" w:cs="Times New Roman"/>
          <w:b/>
          <w:bCs/>
          <w:iCs/>
          <w:kern w:val="0"/>
          <w:sz w:val="28"/>
          <w:szCs w:val="28"/>
          <w:lang w:val="uk-UA" w:eastAsia="en-US"/>
        </w:rPr>
        <w:t xml:space="preserve">Таблиця 2 </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bCs/>
          <w:iCs/>
          <w:kern w:val="0"/>
          <w:sz w:val="28"/>
          <w:szCs w:val="28"/>
          <w:lang w:val="uk-UA" w:eastAsia="en-US"/>
        </w:rPr>
      </w:pPr>
      <w:r w:rsidRPr="00A16840">
        <w:rPr>
          <w:rFonts w:ascii="Times New Roman" w:eastAsia="Times New Roman" w:hAnsi="Times New Roman" w:cs="Times New Roman"/>
          <w:b/>
          <w:bCs/>
          <w:iCs/>
          <w:kern w:val="0"/>
          <w:sz w:val="28"/>
          <w:szCs w:val="28"/>
          <w:lang w:val="uk-UA" w:eastAsia="en-US"/>
        </w:rPr>
        <w:t>Оцінка стійкості банківських систем різних груп країн (1980-2013 рр.)</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2099"/>
        <w:gridCol w:w="3060"/>
        <w:gridCol w:w="2160"/>
      </w:tblGrid>
      <w:tr w:rsidR="00A16840" w:rsidRPr="00A16840" w:rsidTr="00F66D86">
        <w:tc>
          <w:tcPr>
            <w:tcW w:w="2329" w:type="dxa"/>
            <w:shd w:val="clear" w:color="auto" w:fill="auto"/>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Група країн за типом банківської системи</w:t>
            </w: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Країни</w:t>
            </w:r>
          </w:p>
        </w:tc>
        <w:tc>
          <w:tcPr>
            <w:tcW w:w="3060" w:type="dxa"/>
            <w:shd w:val="clear" w:color="auto" w:fill="auto"/>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 xml:space="preserve">Середня оцінка імовірності банківської кризи </w:t>
            </w:r>
          </w:p>
        </w:tc>
        <w:tc>
          <w:tcPr>
            <w:tcW w:w="2160" w:type="dxa"/>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Рівень стійкості банківської системи</w:t>
            </w:r>
          </w:p>
        </w:tc>
      </w:tr>
      <w:tr w:rsidR="00A16840" w:rsidRPr="00A16840" w:rsidTr="00F66D86">
        <w:tc>
          <w:tcPr>
            <w:tcW w:w="2329" w:type="dxa"/>
            <w:vMerge w:val="restart"/>
            <w:shd w:val="clear" w:color="auto" w:fill="auto"/>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Arial"/>
                <w:kern w:val="0"/>
                <w:lang w:val="uk-UA" w:eastAsia="en-US"/>
              </w:rPr>
            </w:pPr>
            <w:r w:rsidRPr="00A16840">
              <w:rPr>
                <w:rFonts w:ascii="Times New Roman" w:eastAsia="Calibri" w:hAnsi="Times New Roman" w:cs="Times New Roman"/>
                <w:kern w:val="0"/>
                <w:lang w:val="uk-UA" w:eastAsia="en-US"/>
              </w:rPr>
              <w:t>Ісламські</w:t>
            </w: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Іран</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13,1</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86,9</w:t>
            </w:r>
          </w:p>
        </w:tc>
      </w:tr>
      <w:tr w:rsidR="00A16840" w:rsidRPr="00A16840" w:rsidTr="00F66D86">
        <w:tc>
          <w:tcPr>
            <w:tcW w:w="2329" w:type="dxa"/>
            <w:vMerge/>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Arial"/>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Саудівська Аравія</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14,4</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85,6</w:t>
            </w:r>
          </w:p>
        </w:tc>
      </w:tr>
      <w:tr w:rsidR="00A16840" w:rsidRPr="00A16840" w:rsidTr="00F66D86">
        <w:tc>
          <w:tcPr>
            <w:tcW w:w="2329" w:type="dxa"/>
            <w:vMerge/>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Arial"/>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 xml:space="preserve">Кувейт </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11,6</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88,4</w:t>
            </w:r>
          </w:p>
        </w:tc>
      </w:tr>
      <w:tr w:rsidR="00A16840" w:rsidRPr="00A16840" w:rsidTr="00F66D86">
        <w:tc>
          <w:tcPr>
            <w:tcW w:w="2329" w:type="dxa"/>
            <w:vMerge/>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Arial"/>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Ємен</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12,6</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87,4</w:t>
            </w:r>
          </w:p>
        </w:tc>
      </w:tr>
      <w:tr w:rsidR="00A16840" w:rsidRPr="00A16840" w:rsidTr="00F66D86">
        <w:tc>
          <w:tcPr>
            <w:tcW w:w="2329" w:type="dxa"/>
            <w:vMerge/>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Arial"/>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Бруней</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12,4</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87,6</w:t>
            </w:r>
          </w:p>
        </w:tc>
      </w:tr>
      <w:tr w:rsidR="00A16840" w:rsidRPr="00A16840" w:rsidTr="00F66D86">
        <w:tc>
          <w:tcPr>
            <w:tcW w:w="4428" w:type="dxa"/>
            <w:gridSpan w:val="2"/>
            <w:shd w:val="clear" w:color="auto" w:fill="auto"/>
          </w:tcPr>
          <w:p w:rsidR="00A16840" w:rsidRPr="00A16840" w:rsidRDefault="00A16840" w:rsidP="00A16840">
            <w:pPr>
              <w:widowControl/>
              <w:tabs>
                <w:tab w:val="clear" w:pos="709"/>
              </w:tabs>
              <w:suppressAutoHyphens w:val="0"/>
              <w:spacing w:after="0" w:line="240" w:lineRule="auto"/>
              <w:ind w:firstLine="0"/>
              <w:jc w:val="right"/>
              <w:rPr>
                <w:rFonts w:ascii="Times New Roman" w:eastAsia="Calibri" w:hAnsi="Times New Roman" w:cs="Times New Roman"/>
                <w:b/>
                <w:kern w:val="0"/>
                <w:lang w:val="uk-UA" w:eastAsia="en-US"/>
              </w:rPr>
            </w:pPr>
            <w:r w:rsidRPr="00A16840">
              <w:rPr>
                <w:rFonts w:ascii="Times New Roman" w:eastAsia="Calibri" w:hAnsi="Times New Roman" w:cs="Times New Roman"/>
                <w:b/>
                <w:kern w:val="0"/>
                <w:lang w:val="uk-UA" w:eastAsia="en-US"/>
              </w:rPr>
              <w:t>Разом за групою:</w:t>
            </w:r>
          </w:p>
        </w:tc>
        <w:tc>
          <w:tcPr>
            <w:tcW w:w="3060" w:type="dxa"/>
            <w:shd w:val="clear" w:color="auto" w:fill="auto"/>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Calibri" w:hAnsi="Times New Roman" w:cs="Times New Roman"/>
                <w:b/>
                <w:kern w:val="0"/>
                <w:lang w:val="uk-UA" w:eastAsia="en-US"/>
              </w:rPr>
            </w:pPr>
            <w:r w:rsidRPr="00A16840">
              <w:rPr>
                <w:rFonts w:ascii="Times New Roman" w:eastAsia="Calibri" w:hAnsi="Times New Roman" w:cs="Times New Roman"/>
                <w:b/>
                <w:kern w:val="0"/>
                <w:lang w:val="uk-UA" w:eastAsia="en-US"/>
              </w:rPr>
              <w:t>12,9</w:t>
            </w:r>
          </w:p>
        </w:tc>
        <w:tc>
          <w:tcPr>
            <w:tcW w:w="2160" w:type="dxa"/>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b/>
                <w:kern w:val="0"/>
                <w:lang w:val="uk-UA" w:eastAsia="en-US"/>
              </w:rPr>
            </w:pPr>
            <w:r w:rsidRPr="00A16840">
              <w:rPr>
                <w:rFonts w:ascii="Times New Roman" w:eastAsia="Times New Roman" w:hAnsi="Times New Roman" w:cs="Times New Roman"/>
                <w:b/>
                <w:kern w:val="0"/>
                <w:lang w:val="uk-UA" w:eastAsia="en-US"/>
              </w:rPr>
              <w:t>87,1</w:t>
            </w:r>
          </w:p>
        </w:tc>
      </w:tr>
      <w:tr w:rsidR="00A16840" w:rsidRPr="00A16840" w:rsidTr="00F66D86">
        <w:tc>
          <w:tcPr>
            <w:tcW w:w="2329" w:type="dxa"/>
            <w:vMerge w:val="restart"/>
            <w:shd w:val="clear" w:color="auto" w:fill="auto"/>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Змішані</w:t>
            </w: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Малайзія</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8,2</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91,8</w:t>
            </w:r>
          </w:p>
        </w:tc>
      </w:tr>
      <w:tr w:rsidR="00A16840" w:rsidRPr="00A16840" w:rsidTr="00F66D86">
        <w:tc>
          <w:tcPr>
            <w:tcW w:w="2329" w:type="dxa"/>
            <w:vMerge/>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Бахрейн</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6,0</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94,0</w:t>
            </w:r>
          </w:p>
        </w:tc>
      </w:tr>
      <w:tr w:rsidR="00A16840" w:rsidRPr="00A16840" w:rsidTr="00F66D86">
        <w:tc>
          <w:tcPr>
            <w:tcW w:w="2329" w:type="dxa"/>
            <w:vMerge/>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Пакистан</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15,7</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84,3</w:t>
            </w:r>
          </w:p>
        </w:tc>
      </w:tr>
      <w:tr w:rsidR="00A16840" w:rsidRPr="00A16840" w:rsidTr="00F66D86">
        <w:tc>
          <w:tcPr>
            <w:tcW w:w="2329" w:type="dxa"/>
            <w:vMerge/>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Туреччина</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16,6</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83,4</w:t>
            </w:r>
          </w:p>
        </w:tc>
      </w:tr>
      <w:tr w:rsidR="00A16840" w:rsidRPr="00A16840" w:rsidTr="00F66D86">
        <w:tc>
          <w:tcPr>
            <w:tcW w:w="2329" w:type="dxa"/>
            <w:vMerge/>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Єгипет</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13,7</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86,3</w:t>
            </w:r>
          </w:p>
        </w:tc>
      </w:tr>
      <w:tr w:rsidR="00A16840" w:rsidRPr="00A16840" w:rsidTr="00F66D86">
        <w:tc>
          <w:tcPr>
            <w:tcW w:w="4428" w:type="dxa"/>
            <w:gridSpan w:val="2"/>
            <w:shd w:val="clear" w:color="auto" w:fill="auto"/>
          </w:tcPr>
          <w:p w:rsidR="00A16840" w:rsidRPr="00A16840" w:rsidRDefault="00A16840" w:rsidP="00A16840">
            <w:pPr>
              <w:widowControl/>
              <w:tabs>
                <w:tab w:val="clear" w:pos="709"/>
              </w:tabs>
              <w:suppressAutoHyphens w:val="0"/>
              <w:spacing w:after="0" w:line="240" w:lineRule="auto"/>
              <w:ind w:firstLine="0"/>
              <w:jc w:val="right"/>
              <w:rPr>
                <w:rFonts w:ascii="Times New Roman" w:eastAsia="Calibri" w:hAnsi="Times New Roman" w:cs="Arial"/>
                <w:b/>
                <w:kern w:val="0"/>
                <w:lang w:val="uk-UA" w:eastAsia="en-US"/>
              </w:rPr>
            </w:pPr>
            <w:r w:rsidRPr="00A16840">
              <w:rPr>
                <w:rFonts w:ascii="Times New Roman" w:eastAsia="Calibri" w:hAnsi="Times New Roman" w:cs="Times New Roman"/>
                <w:b/>
                <w:kern w:val="0"/>
                <w:lang w:val="uk-UA" w:eastAsia="en-US"/>
              </w:rPr>
              <w:t>Разом за групою:</w:t>
            </w:r>
          </w:p>
        </w:tc>
        <w:tc>
          <w:tcPr>
            <w:tcW w:w="3060" w:type="dxa"/>
            <w:shd w:val="clear" w:color="auto" w:fill="auto"/>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Calibri" w:hAnsi="Times New Roman" w:cs="Times New Roman"/>
                <w:b/>
                <w:kern w:val="0"/>
                <w:lang w:val="uk-UA" w:eastAsia="en-US"/>
              </w:rPr>
            </w:pPr>
            <w:r w:rsidRPr="00A16840">
              <w:rPr>
                <w:rFonts w:ascii="Times New Roman" w:eastAsia="Calibri" w:hAnsi="Times New Roman" w:cs="Times New Roman"/>
                <w:b/>
                <w:kern w:val="0"/>
                <w:lang w:val="uk-UA" w:eastAsia="en-US"/>
              </w:rPr>
              <w:t>11,7</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b/>
                <w:kern w:val="0"/>
                <w:lang w:val="uk-UA" w:eastAsia="en-US"/>
              </w:rPr>
            </w:pPr>
            <w:r w:rsidRPr="00A16840">
              <w:rPr>
                <w:rFonts w:ascii="Times New Roman" w:eastAsia="Times New Roman" w:hAnsi="Times New Roman" w:cs="Times New Roman"/>
                <w:b/>
                <w:kern w:val="0"/>
                <w:lang w:val="uk-UA" w:eastAsia="en-US"/>
              </w:rPr>
              <w:t>88,3</w:t>
            </w:r>
          </w:p>
        </w:tc>
      </w:tr>
      <w:tr w:rsidR="00A16840" w:rsidRPr="00A16840" w:rsidTr="00F66D86">
        <w:tc>
          <w:tcPr>
            <w:tcW w:w="2329" w:type="dxa"/>
            <w:vMerge w:val="restart"/>
            <w:shd w:val="clear" w:color="auto" w:fill="auto"/>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Традиційні</w:t>
            </w: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США</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11,7</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85,9</w:t>
            </w:r>
          </w:p>
        </w:tc>
      </w:tr>
      <w:tr w:rsidR="00A16840" w:rsidRPr="00A16840" w:rsidTr="00F66D86">
        <w:tc>
          <w:tcPr>
            <w:tcW w:w="2329" w:type="dxa"/>
            <w:vMerge/>
            <w:shd w:val="clear" w:color="auto" w:fill="auto"/>
            <w:vAlign w:val="bottom"/>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Великобританія</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14,1</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85,6</w:t>
            </w:r>
          </w:p>
        </w:tc>
      </w:tr>
      <w:tr w:rsidR="00A16840" w:rsidRPr="00A16840" w:rsidTr="00F66D86">
        <w:tc>
          <w:tcPr>
            <w:tcW w:w="2329" w:type="dxa"/>
            <w:vMerge/>
            <w:shd w:val="clear" w:color="auto" w:fill="auto"/>
            <w:vAlign w:val="bottom"/>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Японія</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14,4</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90,1</w:t>
            </w:r>
          </w:p>
        </w:tc>
      </w:tr>
      <w:tr w:rsidR="00A16840" w:rsidRPr="00A16840" w:rsidTr="00F66D86">
        <w:tc>
          <w:tcPr>
            <w:tcW w:w="2329" w:type="dxa"/>
            <w:vMerge/>
            <w:shd w:val="clear" w:color="auto" w:fill="auto"/>
            <w:vAlign w:val="bottom"/>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Німеччина</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9,9</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89,8</w:t>
            </w:r>
          </w:p>
        </w:tc>
      </w:tr>
      <w:tr w:rsidR="00A16840" w:rsidRPr="00A16840" w:rsidTr="00F66D86">
        <w:tc>
          <w:tcPr>
            <w:tcW w:w="2329" w:type="dxa"/>
            <w:vMerge/>
            <w:shd w:val="clear" w:color="auto" w:fill="auto"/>
            <w:vAlign w:val="bottom"/>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Франція</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10,2</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89,3</w:t>
            </w:r>
          </w:p>
        </w:tc>
      </w:tr>
      <w:tr w:rsidR="00A16840" w:rsidRPr="00A16840" w:rsidTr="00F66D86">
        <w:tc>
          <w:tcPr>
            <w:tcW w:w="2329" w:type="dxa"/>
            <w:vMerge/>
            <w:shd w:val="clear" w:color="auto" w:fill="auto"/>
            <w:vAlign w:val="bottom"/>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Arial"/>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Швейцарія</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10,7</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87,7</w:t>
            </w:r>
          </w:p>
        </w:tc>
      </w:tr>
      <w:tr w:rsidR="00A16840" w:rsidRPr="00A16840" w:rsidTr="00F66D86">
        <w:tc>
          <w:tcPr>
            <w:tcW w:w="2329" w:type="dxa"/>
            <w:vMerge/>
            <w:shd w:val="clear" w:color="auto" w:fill="auto"/>
            <w:vAlign w:val="bottom"/>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Arial"/>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Канада</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12,3</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87,6</w:t>
            </w:r>
          </w:p>
        </w:tc>
      </w:tr>
      <w:tr w:rsidR="00A16840" w:rsidRPr="00A16840" w:rsidTr="00F66D86">
        <w:tc>
          <w:tcPr>
            <w:tcW w:w="2329" w:type="dxa"/>
            <w:vMerge/>
            <w:shd w:val="clear" w:color="auto" w:fill="auto"/>
            <w:vAlign w:val="bottom"/>
          </w:tcPr>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Arial"/>
                <w:kern w:val="0"/>
                <w:lang w:val="uk-UA" w:eastAsia="en-US"/>
              </w:rPr>
            </w:pPr>
          </w:p>
        </w:tc>
        <w:tc>
          <w:tcPr>
            <w:tcW w:w="2099" w:type="dxa"/>
            <w:shd w:val="clear" w:color="auto" w:fill="auto"/>
          </w:tcPr>
          <w:p w:rsidR="00A16840" w:rsidRPr="00A16840" w:rsidRDefault="00A16840" w:rsidP="00A16840">
            <w:pPr>
              <w:widowControl/>
              <w:tabs>
                <w:tab w:val="clear" w:pos="709"/>
              </w:tabs>
              <w:suppressAutoHyphens w:val="0"/>
              <w:spacing w:after="0" w:line="240" w:lineRule="auto"/>
              <w:ind w:firstLine="0"/>
              <w:jc w:val="left"/>
              <w:rPr>
                <w:rFonts w:ascii="Times New Roman" w:eastAsia="Calibri" w:hAnsi="Times New Roman" w:cs="Times New Roman"/>
                <w:kern w:val="0"/>
                <w:lang w:val="uk-UA" w:eastAsia="en-US"/>
              </w:rPr>
            </w:pPr>
            <w:r w:rsidRPr="00A16840">
              <w:rPr>
                <w:rFonts w:ascii="Times New Roman" w:eastAsia="Calibri" w:hAnsi="Times New Roman" w:cs="Times New Roman"/>
                <w:kern w:val="0"/>
                <w:lang w:val="uk-UA" w:eastAsia="en-US"/>
              </w:rPr>
              <w:t>Україна</w:t>
            </w:r>
          </w:p>
        </w:tc>
        <w:tc>
          <w:tcPr>
            <w:tcW w:w="3060" w:type="dxa"/>
            <w:shd w:val="clear" w:color="auto" w:fill="auto"/>
            <w:vAlign w:val="center"/>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12,4</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kern w:val="0"/>
                <w:lang w:val="uk-UA" w:eastAsia="en-US"/>
              </w:rPr>
            </w:pPr>
            <w:r w:rsidRPr="00A16840">
              <w:rPr>
                <w:rFonts w:ascii="Times New Roman" w:eastAsia="Times New Roman" w:hAnsi="Times New Roman" w:cs="Times New Roman"/>
                <w:kern w:val="0"/>
                <w:lang w:val="uk-UA" w:eastAsia="en-US"/>
              </w:rPr>
              <w:t>79,5</w:t>
            </w:r>
          </w:p>
        </w:tc>
      </w:tr>
      <w:tr w:rsidR="00A16840" w:rsidRPr="00A16840" w:rsidTr="00F66D86">
        <w:tc>
          <w:tcPr>
            <w:tcW w:w="4428" w:type="dxa"/>
            <w:gridSpan w:val="2"/>
            <w:shd w:val="clear" w:color="auto" w:fill="auto"/>
          </w:tcPr>
          <w:p w:rsidR="00A16840" w:rsidRPr="00A16840" w:rsidRDefault="00A16840" w:rsidP="00A16840">
            <w:pPr>
              <w:widowControl/>
              <w:tabs>
                <w:tab w:val="clear" w:pos="709"/>
              </w:tabs>
              <w:suppressAutoHyphens w:val="0"/>
              <w:spacing w:after="0" w:line="240" w:lineRule="auto"/>
              <w:ind w:firstLine="0"/>
              <w:jc w:val="right"/>
              <w:rPr>
                <w:rFonts w:ascii="Times New Roman" w:eastAsia="Calibri" w:hAnsi="Times New Roman" w:cs="Arial"/>
                <w:b/>
                <w:kern w:val="0"/>
                <w:lang w:val="uk-UA" w:eastAsia="en-US"/>
              </w:rPr>
            </w:pPr>
            <w:r w:rsidRPr="00A16840">
              <w:rPr>
                <w:rFonts w:ascii="Times New Roman" w:eastAsia="Calibri" w:hAnsi="Times New Roman" w:cs="Times New Roman"/>
                <w:b/>
                <w:kern w:val="0"/>
                <w:lang w:val="uk-UA" w:eastAsia="en-US"/>
              </w:rPr>
              <w:t>Разом за групою:</w:t>
            </w:r>
          </w:p>
        </w:tc>
        <w:tc>
          <w:tcPr>
            <w:tcW w:w="3060" w:type="dxa"/>
            <w:shd w:val="clear" w:color="auto" w:fill="auto"/>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Calibri" w:hAnsi="Times New Roman" w:cs="Times New Roman"/>
                <w:b/>
                <w:kern w:val="0"/>
                <w:lang w:val="uk-UA" w:eastAsia="en-US"/>
              </w:rPr>
            </w:pPr>
            <w:r w:rsidRPr="00A16840">
              <w:rPr>
                <w:rFonts w:ascii="Times New Roman" w:eastAsia="Calibri" w:hAnsi="Times New Roman" w:cs="Times New Roman"/>
                <w:b/>
                <w:kern w:val="0"/>
                <w:lang w:val="uk-UA" w:eastAsia="en-US"/>
              </w:rPr>
              <w:t>14,7</w:t>
            </w:r>
          </w:p>
        </w:tc>
        <w:tc>
          <w:tcPr>
            <w:tcW w:w="2160" w:type="dxa"/>
            <w:vAlign w:val="bottom"/>
          </w:tcPr>
          <w:p w:rsidR="00A16840" w:rsidRPr="00A16840" w:rsidRDefault="00A16840" w:rsidP="00A16840">
            <w:pPr>
              <w:widowControl/>
              <w:tabs>
                <w:tab w:val="clear" w:pos="709"/>
                <w:tab w:val="left" w:pos="1872"/>
              </w:tabs>
              <w:suppressAutoHyphens w:val="0"/>
              <w:spacing w:after="0" w:line="240" w:lineRule="auto"/>
              <w:ind w:right="792" w:firstLine="0"/>
              <w:jc w:val="right"/>
              <w:rPr>
                <w:rFonts w:ascii="Times New Roman" w:eastAsia="Times New Roman" w:hAnsi="Times New Roman" w:cs="Times New Roman"/>
                <w:b/>
                <w:kern w:val="0"/>
                <w:lang w:val="uk-UA" w:eastAsia="en-US"/>
              </w:rPr>
            </w:pPr>
            <w:r w:rsidRPr="00A16840">
              <w:rPr>
                <w:rFonts w:ascii="Times New Roman" w:eastAsia="Times New Roman" w:hAnsi="Times New Roman" w:cs="Times New Roman"/>
                <w:b/>
                <w:kern w:val="0"/>
                <w:lang w:val="uk-UA" w:eastAsia="en-US"/>
              </w:rPr>
              <w:t>85,3</w:t>
            </w:r>
          </w:p>
        </w:tc>
      </w:tr>
    </w:tbl>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16"/>
          <w:szCs w:val="16"/>
          <w:lang w:val="uk-UA" w:eastAsia="en-US"/>
        </w:rPr>
      </w:pP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
          <w:bCs/>
          <w:kern w:val="0"/>
          <w:sz w:val="28"/>
          <w:szCs w:val="28"/>
          <w:lang w:val="uk-UA" w:eastAsia="en-US"/>
        </w:rPr>
        <w:t xml:space="preserve"> У третьому розділі</w:t>
      </w:r>
      <w:r w:rsidRPr="00A16840">
        <w:rPr>
          <w:rFonts w:ascii="Times New Roman" w:eastAsia="Times New Roman" w:hAnsi="Times New Roman" w:cs="Times New Roman"/>
          <w:kern w:val="0"/>
          <w:sz w:val="28"/>
          <w:szCs w:val="28"/>
          <w:lang w:val="uk-UA" w:eastAsia="en-US"/>
        </w:rPr>
        <w:t xml:space="preserve"> «</w:t>
      </w:r>
      <w:r w:rsidRPr="00A16840">
        <w:rPr>
          <w:rFonts w:ascii="Times New Roman" w:eastAsia="Times New Roman" w:hAnsi="Times New Roman" w:cs="Times New Roman"/>
          <w:b/>
          <w:kern w:val="0"/>
          <w:sz w:val="28"/>
          <w:szCs w:val="28"/>
          <w:lang w:val="uk-UA" w:eastAsia="en-US"/>
        </w:rPr>
        <w:t xml:space="preserve">Стратегічні імперативи розвитку ісламського банкінгу» </w:t>
      </w:r>
      <w:r w:rsidRPr="00A16840">
        <w:rPr>
          <w:rFonts w:ascii="Times New Roman" w:eastAsia="Times New Roman" w:hAnsi="Times New Roman" w:cs="Times New Roman"/>
          <w:bCs/>
          <w:spacing w:val="-2"/>
          <w:kern w:val="0"/>
          <w:sz w:val="28"/>
          <w:szCs w:val="28"/>
          <w:lang w:val="uk-UA" w:eastAsia="en-US"/>
        </w:rPr>
        <w:t xml:space="preserve">визначено напрями розвитку національних систем регламентації ісламського банкінгу в сучасних умовах </w:t>
      </w:r>
      <w:r w:rsidRPr="00A16840">
        <w:rPr>
          <w:rFonts w:ascii="Times New Roman" w:eastAsia="Times New Roman" w:hAnsi="Times New Roman" w:cs="Times New Roman"/>
          <w:iCs/>
          <w:spacing w:val="-2"/>
          <w:kern w:val="0"/>
          <w:sz w:val="28"/>
          <w:szCs w:val="28"/>
          <w:lang w:val="uk-UA" w:eastAsia="en-US"/>
        </w:rPr>
        <w:t xml:space="preserve">функціонування </w:t>
      </w:r>
      <w:r w:rsidRPr="00A16840">
        <w:rPr>
          <w:rFonts w:ascii="Times New Roman" w:eastAsia="Times New Roman" w:hAnsi="Times New Roman" w:cs="Times New Roman"/>
          <w:bCs/>
          <w:spacing w:val="-2"/>
          <w:kern w:val="0"/>
          <w:sz w:val="28"/>
          <w:szCs w:val="28"/>
          <w:lang w:val="uk-UA" w:eastAsia="en-US"/>
        </w:rPr>
        <w:t>світової фінансової системи</w:t>
      </w:r>
      <w:r w:rsidRPr="00A16840">
        <w:rPr>
          <w:rFonts w:ascii="Times New Roman" w:eastAsia="Times New Roman" w:hAnsi="Times New Roman" w:cs="TimesNewRomanPSMT"/>
          <w:kern w:val="0"/>
          <w:sz w:val="28"/>
          <w:szCs w:val="28"/>
          <w:lang w:val="uk-UA" w:eastAsia="en-US" w:bidi="mr-IN"/>
        </w:rPr>
        <w:t>, з</w:t>
      </w:r>
      <w:r w:rsidRPr="00A16840">
        <w:rPr>
          <w:rFonts w:ascii="Times New Roman" w:eastAsia="Times New Roman" w:hAnsi="Times New Roman" w:cs="Times New Roman"/>
          <w:kern w:val="0"/>
          <w:sz w:val="28"/>
          <w:szCs w:val="28"/>
          <w:lang w:val="uk-UA" w:eastAsia="en-US"/>
        </w:rPr>
        <w:t>апропоновано концептуальну модель регулювання ісламського банкінгу, обґрунтовано інкорпорування принципів ісламського банкінгу у систему функціонування банківського сектору національної економіки.</w:t>
      </w:r>
    </w:p>
    <w:p w:rsidR="00A16840" w:rsidRPr="00A16840" w:rsidRDefault="00A16840" w:rsidP="00A16840">
      <w:pPr>
        <w:widowControl/>
        <w:tabs>
          <w:tab w:val="clear" w:pos="709"/>
          <w:tab w:val="left" w:pos="1080"/>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Дослідження впливу світової кризи на розвиток банківських систем дозволило визначити низку проблем, вирішення яких сприятиме забезпеченню стабільності ісламської банківської системи: по-перше, відсутність міцної інфраструктури управління ризиком ліквідності, у результаті чого ісламські банки мають у розпорядженні більш стабільні джерела коштів, але вони стикаються з принциповими труднощами в управлінні ліквідністю; по-друге, надмірна ліквідність балансу ісламських банків, яка впливає на зменшення ризиків під час кризи, але не є оптимальною за умов стабільності. Основними факторами, які дозволили ісламським банкам частково уникнути поширення на них наслідків глобальної фінансової кризи, виділено: відсутність практики фінансування на основі надання грошових коштів; домінування релігійних та етичних міркувань при рішенні щодо надання кредиту; відсутність продажу боргів з боку брокерів; забезпечення продуктів ісламських банків активами або активами на їх основі; незначний ступінь інтеграції ісламських банків до глобальних фінансових інститутів; незалежність портфелів ісламських банків від субстандартного іпотечного ринку; участь ісламських банків у менш ризикованих операціях; відмова ісламських банків від спекуляцій і невизначеності тощо. </w:t>
      </w:r>
    </w:p>
    <w:p w:rsidR="00A16840" w:rsidRPr="00A16840" w:rsidRDefault="00A16840" w:rsidP="00A16840">
      <w:pPr>
        <w:widowControl/>
        <w:tabs>
          <w:tab w:val="clear" w:pos="709"/>
          <w:tab w:val="left" w:pos="1080"/>
        </w:tabs>
        <w:suppressAutoHyphens w:val="0"/>
        <w:spacing w:after="0" w:line="240" w:lineRule="auto"/>
        <w:contextualSpacing/>
        <w:rPr>
          <w:rFonts w:ascii="Times New Roman" w:eastAsia="Calibri" w:hAnsi="Times New Roman" w:cs="Arial"/>
          <w:kern w:val="0"/>
          <w:sz w:val="28"/>
          <w:szCs w:val="28"/>
          <w:lang w:val="uk-UA" w:eastAsia="en-US"/>
        </w:rPr>
      </w:pPr>
      <w:r w:rsidRPr="00A16840">
        <w:rPr>
          <w:rFonts w:ascii="Times New Roman" w:eastAsia="Calibri" w:hAnsi="Times New Roman" w:cs="Arial"/>
          <w:bCs/>
          <w:kern w:val="0"/>
          <w:sz w:val="28"/>
          <w:szCs w:val="28"/>
          <w:lang w:val="uk-UA" w:eastAsia="en-US"/>
        </w:rPr>
        <w:t>Визначаючи р</w:t>
      </w:r>
      <w:r w:rsidRPr="00A16840">
        <w:rPr>
          <w:rFonts w:ascii="Times New Roman" w:eastAsia="Calibri" w:hAnsi="Times New Roman" w:cs="TimesNewRomanPSMT"/>
          <w:kern w:val="0"/>
          <w:sz w:val="28"/>
          <w:szCs w:val="28"/>
          <w:lang w:val="uk-UA" w:eastAsia="en-US" w:bidi="mr-IN"/>
        </w:rPr>
        <w:t xml:space="preserve">озвиток ісламського банкінгу як фактору стабільності світової фінансової системи, запропоновано напрями розвитку національних систем регламентації ісламського банкінгу, а саме: </w:t>
      </w:r>
      <w:r w:rsidRPr="00A16840">
        <w:rPr>
          <w:rFonts w:ascii="Times New Roman" w:eastAsia="Calibri" w:hAnsi="Times New Roman" w:cs="Arial"/>
          <w:kern w:val="0"/>
          <w:sz w:val="28"/>
          <w:szCs w:val="28"/>
          <w:lang w:val="uk-UA" w:eastAsia="en-US"/>
        </w:rPr>
        <w:t xml:space="preserve">створення наглядового середовища, що враховує особливості ісламських фінансових продуктів; інформаційне забезпечення ісламських фінансів для більшого розуміння практики Шаріату; прийняття національних стандартів бухгалтерського обліку та аудиту, що враховують особливості ісламських фінансових угод; впровадження заснованих на Шаріаті фінансових інструментів для управління надлишковою ліквідністю ісламських банків; стандартизація ісламських банківських продуктів та супровідної документації; розробка прозорих правил врегулювання суперечок між суб’єктами ісламського банкінгу; розробка та впровадження сучасних підходів до стрес-тестування ісламських банків та систем раннього попередження банківських криз; розвиток кадрового забезпечення ісламського банкінгу.  </w:t>
      </w:r>
    </w:p>
    <w:p w:rsidR="00A16840" w:rsidRPr="00A16840" w:rsidRDefault="00A16840" w:rsidP="00A16840">
      <w:pPr>
        <w:widowControl/>
        <w:tabs>
          <w:tab w:val="clear" w:pos="709"/>
          <w:tab w:val="left" w:pos="1080"/>
        </w:tabs>
        <w:suppressAutoHyphens w:val="0"/>
        <w:spacing w:after="0" w:line="240" w:lineRule="auto"/>
        <w:contextualSpacing/>
        <w:rPr>
          <w:rFonts w:ascii="Times New Roman" w:eastAsia="Calibri" w:hAnsi="Times New Roman" w:cs="Arial"/>
          <w:kern w:val="0"/>
          <w:sz w:val="28"/>
          <w:szCs w:val="28"/>
          <w:lang w:val="uk-UA" w:eastAsia="en-US"/>
        </w:rPr>
      </w:pPr>
      <w:r w:rsidRPr="00A16840">
        <w:rPr>
          <w:rFonts w:ascii="Times New Roman" w:eastAsia="Calibri" w:hAnsi="Times New Roman" w:cs="Arial"/>
          <w:kern w:val="0"/>
          <w:sz w:val="28"/>
          <w:szCs w:val="28"/>
          <w:lang w:val="uk-UA" w:eastAsia="en-US"/>
        </w:rPr>
        <w:t>У сучасній системі регламентації діяльності ісламських банків виділено чотири блоки міжнародних інституцій та ініціатив, які забезпечують: 1) розробку нормативів і стандартів ісламської фінансової діяльності; 2) фінансування ісламських економік та підтримку ліквідності ісламських фінансових установ; 3) інформаційну підтримку та врегулювання суперечок між ісламськими фінансовими установами; 4) наукові дослідження у сфері ісламських фінансів. Водночас, виявлено проблеми міждержавного регулювання ісламського банкінгу, що знижують ступінь уніфікації діяльності ісламських фінансових установ та стримують взаємопроникнення традиційних та ісламських банківських систем: низький фактичний рівень стандартизації діяльності ісламських банків; недостатня імплементація міжнародних пруденційних, бухгалтерських та аудиторських стандартів у систему регулювання ісламського банкінгу; недостатня узгодженість між ісламськими та міжнародними фінансовими стандартами.</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spacing w:val="-2"/>
          <w:kern w:val="0"/>
          <w:sz w:val="28"/>
          <w:szCs w:val="28"/>
          <w:lang w:val="uk-UA" w:eastAsia="en-US"/>
        </w:rPr>
      </w:pPr>
      <w:r w:rsidRPr="00A16840">
        <w:rPr>
          <w:rFonts w:ascii="Times New Roman" w:eastAsia="Times New Roman" w:hAnsi="Times New Roman" w:cs="Times New Roman"/>
          <w:spacing w:val="-2"/>
          <w:kern w:val="0"/>
          <w:sz w:val="28"/>
          <w:szCs w:val="28"/>
          <w:lang w:val="uk-UA" w:eastAsia="en-US"/>
        </w:rPr>
        <w:t xml:space="preserve">Запропоновано </w:t>
      </w:r>
      <w:r w:rsidRPr="00A16840">
        <w:rPr>
          <w:rFonts w:ascii="Times New Roman" w:eastAsia="Times New Roman" w:hAnsi="Times New Roman" w:cs="Times New Roman"/>
          <w:i/>
          <w:iCs/>
          <w:spacing w:val="-2"/>
          <w:kern w:val="0"/>
          <w:sz w:val="28"/>
          <w:szCs w:val="28"/>
          <w:lang w:val="uk-UA" w:eastAsia="en-US"/>
        </w:rPr>
        <w:t xml:space="preserve">концептуальну модель регулювання ісламського банкінгу </w:t>
      </w:r>
      <w:r w:rsidRPr="00A16840">
        <w:rPr>
          <w:rFonts w:ascii="Times New Roman" w:eastAsia="Times New Roman" w:hAnsi="Times New Roman" w:cs="Times New Roman"/>
          <w:spacing w:val="-2"/>
          <w:kern w:val="0"/>
          <w:sz w:val="28"/>
          <w:szCs w:val="28"/>
          <w:lang w:val="uk-UA" w:eastAsia="en-US"/>
        </w:rPr>
        <w:t>(рис.4)</w:t>
      </w:r>
      <w:r w:rsidRPr="00A16840">
        <w:rPr>
          <w:rFonts w:ascii="Times New Roman" w:eastAsia="Times New Roman" w:hAnsi="Times New Roman" w:cs="Times New Roman"/>
          <w:i/>
          <w:iCs/>
          <w:spacing w:val="-2"/>
          <w:kern w:val="0"/>
          <w:sz w:val="28"/>
          <w:szCs w:val="28"/>
          <w:lang w:val="uk-UA" w:eastAsia="en-US"/>
        </w:rPr>
        <w:t>,</w:t>
      </w:r>
      <w:r w:rsidRPr="00A16840">
        <w:rPr>
          <w:rFonts w:ascii="Times New Roman" w:eastAsia="Times New Roman" w:hAnsi="Times New Roman" w:cs="Times New Roman"/>
          <w:spacing w:val="-2"/>
          <w:kern w:val="0"/>
          <w:sz w:val="28"/>
          <w:szCs w:val="28"/>
          <w:lang w:val="uk-UA" w:eastAsia="en-US"/>
        </w:rPr>
        <w:t xml:space="preserve"> яка включає діяльність ісламських міждержавних органів на регіональному, наднаціональному та глобальному рівнях, враховує вплив на них міжнародних фінансових інституцій і застосування якої дозволяє реалізувати завдання пруденційного регулювання і ефективного нагляду відповідно до міжнародних норм, що супроводжуються належним внутрішнім контролем, управлінням ризиком та зовнішнім аудитом, а також більшою прозорістю, покладеними на банки.</w:t>
      </w:r>
    </w:p>
    <w:p w:rsidR="00A16840" w:rsidRPr="00A16840" w:rsidRDefault="00A16840" w:rsidP="00A16840">
      <w:pPr>
        <w:widowControl/>
        <w:tabs>
          <w:tab w:val="clear" w:pos="709"/>
          <w:tab w:val="left" w:pos="1080"/>
        </w:tabs>
        <w:suppressAutoHyphens w:val="0"/>
        <w:spacing w:after="0" w:line="240" w:lineRule="auto"/>
        <w:contextualSpacing/>
        <w:rPr>
          <w:rFonts w:ascii="Times New Roman" w:eastAsia="Calibri" w:hAnsi="Times New Roman" w:cs="Arial"/>
          <w:kern w:val="0"/>
          <w:sz w:val="28"/>
          <w:szCs w:val="28"/>
          <w:lang w:val="uk-UA" w:eastAsia="en-US"/>
        </w:rPr>
      </w:pPr>
      <w:r w:rsidRPr="00A16840">
        <w:rPr>
          <w:rFonts w:ascii="Times New Roman" w:eastAsia="Calibri" w:hAnsi="Times New Roman" w:cs="Arial"/>
          <w:kern w:val="0"/>
          <w:sz w:val="28"/>
          <w:szCs w:val="28"/>
          <w:lang w:val="uk-UA" w:eastAsia="en-US"/>
        </w:rPr>
        <w:t xml:space="preserve">Доведено, що у процесі імплементації вимог Базелю ІІІ ісламські банки матимуть переваги порівняно з традиційними банками у дотриманні вимог достатності капіталу та рівня левериджу, а на зміну структури капіталу і торгівельні портфелі ісламських банків Базельські вимоги майже не вплинуть. Водночас, у ісламських банків можуть виникнути проблеми з дотриманням вимог щодо управління ризиками (особливо кредитними ризиками за операціями мудараба і мушарака) та підтримки ліквідності (внаслідок обмеженої пропозиції заснованих на Шаріаті високоліквідних інструментів).  </w:t>
      </w:r>
    </w:p>
    <w:p w:rsidR="00A16840" w:rsidRPr="00A16840" w:rsidRDefault="00A16840" w:rsidP="00A16840">
      <w:pPr>
        <w:widowControl/>
        <w:tabs>
          <w:tab w:val="clear" w:pos="709"/>
          <w:tab w:val="left" w:pos="1080"/>
        </w:tabs>
        <w:suppressAutoHyphens w:val="0"/>
        <w:spacing w:after="0" w:line="240" w:lineRule="auto"/>
        <w:contextualSpacing/>
        <w:rPr>
          <w:rFonts w:ascii="Times New Roman" w:eastAsia="Calibri" w:hAnsi="Times New Roman" w:cs="Arial"/>
          <w:kern w:val="0"/>
          <w:sz w:val="28"/>
          <w:szCs w:val="28"/>
          <w:lang w:val="uk-UA" w:eastAsia="en-US"/>
        </w:rPr>
      </w:pPr>
      <w:r w:rsidRPr="00A16840">
        <w:rPr>
          <w:rFonts w:ascii="Times New Roman" w:eastAsia="Calibri" w:hAnsi="Times New Roman" w:cs="Arial"/>
          <w:kern w:val="0"/>
          <w:sz w:val="28"/>
          <w:szCs w:val="28"/>
          <w:lang w:val="uk-UA" w:eastAsia="en-US"/>
        </w:rPr>
        <w:t xml:space="preserve">На основі проведеного тестування та аналізу рівня стійкості банківської системи України було надано прогнозні оцінки розвитку банківського сектору (рис.5).  </w:t>
      </w:r>
    </w:p>
    <w:p w:rsidR="00A16840" w:rsidRPr="00A16840" w:rsidRDefault="00A16840" w:rsidP="00A16840">
      <w:pPr>
        <w:widowControl/>
        <w:tabs>
          <w:tab w:val="clear" w:pos="709"/>
        </w:tabs>
        <w:suppressAutoHyphens w:val="0"/>
        <w:spacing w:after="0" w:line="240" w:lineRule="auto"/>
        <w:ind w:firstLine="0"/>
        <w:rPr>
          <w:rFonts w:ascii="Calibri" w:eastAsia="Times New Roman" w:hAnsi="Calibri" w:cs="Times New Roman"/>
          <w:kern w:val="0"/>
          <w:sz w:val="28"/>
          <w:szCs w:val="28"/>
          <w:lang w:val="uk-UA" w:eastAsia="en-US"/>
        </w:rPr>
      </w:pPr>
      <w:r w:rsidRPr="00A16840">
        <w:rPr>
          <w:rFonts w:ascii="Calibri" w:eastAsia="Times New Roman" w:hAnsi="Calibri" w:cs="Times New Roman"/>
          <w:noProof/>
          <w:kern w:val="0"/>
          <w:sz w:val="28"/>
          <w:szCs w:val="28"/>
          <w:lang w:eastAsia="en-US"/>
        </w:rPr>
        <w:pict>
          <v:group id="_x0000_s1269" style="position:absolute;margin-left:0;margin-top:0;width:503.3pt;height:558pt;z-index:251662336;mso-position-horizontal-relative:char;mso-position-vertical-relative:line" coordorigin="1590,1230" coordsize="9720,11685">
            <v:oval id="_x0000_s1270" style="position:absolute;left:1918;top:6885;width:9000;height:3015"/>
            <v:roundrect id="_x0000_s1271" style="position:absolute;left:1590;top:1230;width:9720;height:11685" arcsize="10923f">
              <v:textbox style="mso-next-textbox:#_x0000_s1271">
                <w:txbxContent>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rPr>
                        <w:rFonts w:ascii="Times New Roman" w:hAnsi="Times New Roman"/>
                        <w:lang w:val="uk-UA"/>
                      </w:rPr>
                    </w:pPr>
                  </w:p>
                  <w:p w:rsidR="00A16840" w:rsidRPr="004A51D4" w:rsidRDefault="00A16840" w:rsidP="00A16840">
                    <w:pPr>
                      <w:spacing w:after="0" w:line="240" w:lineRule="auto"/>
                      <w:jc w:val="center"/>
                      <w:rPr>
                        <w:rFonts w:ascii="Times New Roman" w:hAnsi="Times New Roman"/>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jc w:val="center"/>
                      <w:rPr>
                        <w:rFonts w:ascii="Times New Roman" w:hAnsi="Times New Roman"/>
                        <w:i/>
                        <w:lang w:val="uk-UA"/>
                      </w:rPr>
                    </w:pPr>
                  </w:p>
                  <w:p w:rsidR="00A16840" w:rsidRPr="004A51D4" w:rsidRDefault="00A16840" w:rsidP="00A16840">
                    <w:pPr>
                      <w:spacing w:after="0" w:line="240" w:lineRule="auto"/>
                      <w:rPr>
                        <w:rFonts w:ascii="Times New Roman" w:hAnsi="Times New Roman"/>
                      </w:rPr>
                    </w:pPr>
                  </w:p>
                </w:txbxContent>
              </v:textbox>
            </v:roundrect>
            <v:oval id="_x0000_s1272" style="position:absolute;left:2955;top:1340;width:6900;height:10060" fillcolor="#eeece1" strokeweight="1.25pt">
              <v:fill opacity="19661f"/>
              <v:stroke dashstyle="longDash"/>
              <v:textbox style="mso-next-textbox:#_x0000_s1272">
                <w:txbxContent>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Pr="004A51D4" w:rsidRDefault="00A16840" w:rsidP="00A16840">
                    <w:pPr>
                      <w:spacing w:after="120" w:line="240" w:lineRule="auto"/>
                      <w:rPr>
                        <w:rFonts w:ascii="Times New Roman" w:hAnsi="Times New Roman"/>
                        <w:lang w:val="uk-UA"/>
                      </w:rPr>
                    </w:pPr>
                  </w:p>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Default="00A16840" w:rsidP="00A16840">
                    <w:pPr>
                      <w:rPr>
                        <w:lang w:val="uk-UA"/>
                      </w:rPr>
                    </w:pPr>
                  </w:p>
                  <w:p w:rsidR="00A16840" w:rsidRDefault="00A16840" w:rsidP="00A16840">
                    <w:pPr>
                      <w:jc w:val="center"/>
                      <w:rPr>
                        <w:lang w:val="uk-UA"/>
                      </w:rPr>
                    </w:pPr>
                  </w:p>
                  <w:p w:rsidR="00A16840" w:rsidRDefault="00A16840" w:rsidP="00A16840"/>
                </w:txbxContent>
              </v:textbox>
            </v:oval>
            <v:roundrect id="_x0000_s1273" style="position:absolute;left:4293;top:9495;width:1920;height:855" arcsize="10923f" fillcolor="#eeece1">
              <v:shadow on="t" opacity=".5" offset="6pt,6pt"/>
              <v:textbox style="mso-next-textbox:#_x0000_s1273">
                <w:txbxContent>
                  <w:p w:rsidR="00A16840" w:rsidRPr="004A51D4" w:rsidRDefault="00A16840" w:rsidP="00A16840">
                    <w:pPr>
                      <w:spacing w:after="0" w:line="240" w:lineRule="auto"/>
                      <w:jc w:val="center"/>
                      <w:rPr>
                        <w:rFonts w:ascii="Times New Roman" w:hAnsi="Times New Roman"/>
                        <w:sz w:val="18"/>
                        <w:szCs w:val="18"/>
                        <w:lang w:val="uk-UA"/>
                      </w:rPr>
                    </w:pPr>
                    <w:r w:rsidRPr="004A51D4">
                      <w:rPr>
                        <w:rFonts w:ascii="Times New Roman" w:hAnsi="Times New Roman"/>
                        <w:sz w:val="18"/>
                        <w:szCs w:val="18"/>
                        <w:lang w:val="uk-UA"/>
                      </w:rPr>
                      <w:t>Інформаційне та консультативне забезпечення</w:t>
                    </w:r>
                  </w:p>
                </w:txbxContent>
              </v:textbox>
            </v:roundrect>
            <v:roundrect id="_x0000_s1274" style="position:absolute;left:6717;top:9495;width:1818;height:855" arcsize="10923f" fillcolor="#eeece1">
              <v:shadow on="t" opacity=".5" offset="-6pt,6pt"/>
              <v:textbox style="mso-next-textbox:#_x0000_s1274">
                <w:txbxContent>
                  <w:p w:rsidR="00A16840" w:rsidRPr="004A51D4" w:rsidRDefault="00A16840" w:rsidP="00A16840">
                    <w:pPr>
                      <w:spacing w:after="0" w:line="240" w:lineRule="auto"/>
                      <w:jc w:val="center"/>
                      <w:rPr>
                        <w:rFonts w:ascii="Times New Roman" w:hAnsi="Times New Roman"/>
                        <w:sz w:val="18"/>
                        <w:szCs w:val="18"/>
                        <w:lang w:val="uk-UA"/>
                      </w:rPr>
                    </w:pPr>
                    <w:r w:rsidRPr="004A51D4">
                      <w:rPr>
                        <w:rFonts w:ascii="Times New Roman" w:hAnsi="Times New Roman"/>
                        <w:sz w:val="18"/>
                        <w:szCs w:val="18"/>
                        <w:lang w:val="uk-UA"/>
                      </w:rPr>
                      <w:t>Науковий супровід розвитку галузі</w:t>
                    </w:r>
                  </w:p>
                </w:txbxContent>
              </v:textbox>
            </v:roundrect>
            <v:roundrect id="_x0000_s1275" style="position:absolute;left:6857;top:4691;width:2621;height:931" arcsize="10923f" fillcolor="#eeece1">
              <v:shadow on="t" opacity=".5" offset="6pt,-6pt"/>
              <v:textbox style="mso-next-textbox:#_x0000_s1275">
                <w:txbxContent>
                  <w:p w:rsidR="00A16840" w:rsidRPr="004A51D4" w:rsidRDefault="00A16840" w:rsidP="00A16840">
                    <w:pPr>
                      <w:spacing w:after="0" w:line="240" w:lineRule="auto"/>
                      <w:jc w:val="center"/>
                      <w:rPr>
                        <w:rFonts w:ascii="Times New Roman" w:hAnsi="Times New Roman"/>
                        <w:sz w:val="18"/>
                        <w:szCs w:val="18"/>
                        <w:lang w:val="uk-UA"/>
                      </w:rPr>
                    </w:pPr>
                    <w:r w:rsidRPr="004A51D4">
                      <w:rPr>
                        <w:rFonts w:ascii="Times New Roman" w:hAnsi="Times New Roman"/>
                        <w:sz w:val="18"/>
                        <w:szCs w:val="18"/>
                        <w:lang w:val="uk-UA"/>
                      </w:rPr>
                      <w:t>Фінансування ісламських економік та підтримка ліквідності банків</w:t>
                    </w:r>
                  </w:p>
                </w:txbxContent>
              </v:textbox>
            </v:roundrect>
            <v:rect id="_x0000_s1276" style="position:absolute;left:5325;top:10530;width:2130;height:525" fillcolor="#eeece1" strokecolor="white">
              <v:fill opacity="19661f"/>
              <v:textbox style="mso-next-textbox:#_x0000_s1276">
                <w:txbxContent>
                  <w:p w:rsidR="00A16840" w:rsidRPr="00046FD7" w:rsidRDefault="00A16840" w:rsidP="00A16840">
                    <w:pPr>
                      <w:jc w:val="center"/>
                      <w:rPr>
                        <w:rFonts w:ascii="Times New Roman" w:hAnsi="Times New Roman"/>
                        <w:b/>
                        <w:i/>
                        <w:sz w:val="20"/>
                        <w:szCs w:val="20"/>
                        <w:lang w:val="uk-UA"/>
                      </w:rPr>
                    </w:pPr>
                    <w:r w:rsidRPr="00046FD7">
                      <w:rPr>
                        <w:rFonts w:ascii="Times New Roman" w:hAnsi="Times New Roman"/>
                        <w:b/>
                        <w:i/>
                        <w:sz w:val="20"/>
                        <w:szCs w:val="20"/>
                        <w:lang w:val="uk-UA"/>
                      </w:rPr>
                      <w:t>Ісламський</w:t>
                    </w:r>
                    <w:r w:rsidRPr="00046FD7">
                      <w:rPr>
                        <w:rFonts w:ascii="Times New Roman" w:hAnsi="Times New Roman"/>
                        <w:b/>
                        <w:i/>
                        <w:sz w:val="20"/>
                        <w:szCs w:val="20"/>
                        <w:lang w:val="en-US"/>
                      </w:rPr>
                      <w:t xml:space="preserve"> </w:t>
                    </w:r>
                    <w:r w:rsidRPr="00046FD7">
                      <w:rPr>
                        <w:rFonts w:ascii="Times New Roman" w:hAnsi="Times New Roman"/>
                        <w:b/>
                        <w:i/>
                        <w:sz w:val="20"/>
                        <w:szCs w:val="20"/>
                        <w:lang w:val="uk-UA"/>
                      </w:rPr>
                      <w:t>банкінг</w:t>
                    </w:r>
                  </w:p>
                </w:txbxContent>
              </v:textbox>
            </v: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277" type="#_x0000_t84" style="position:absolute;left:3585;top:7320;width:5670;height:570">
              <v:shadow on="t" opacity=".5" offset="-6pt,-6pt"/>
              <v:textbox style="mso-next-textbox:#_x0000_s1277">
                <w:txbxContent>
                  <w:p w:rsidR="00A16840" w:rsidRPr="00046FD7" w:rsidRDefault="00A16840" w:rsidP="00A16840">
                    <w:pPr>
                      <w:jc w:val="center"/>
                      <w:rPr>
                        <w:rFonts w:ascii="Times New Roman" w:hAnsi="Times New Roman"/>
                        <w:b/>
                        <w:i/>
                        <w:sz w:val="20"/>
                        <w:szCs w:val="20"/>
                        <w:lang w:val="uk-UA"/>
                      </w:rPr>
                    </w:pPr>
                    <w:r w:rsidRPr="00046FD7">
                      <w:rPr>
                        <w:rFonts w:ascii="Times New Roman" w:hAnsi="Times New Roman"/>
                        <w:b/>
                        <w:i/>
                        <w:sz w:val="20"/>
                        <w:szCs w:val="20"/>
                        <w:lang w:val="uk-UA"/>
                      </w:rPr>
                      <w:t>РЕГІОНАЛЬНИЙ ТА НАДНАЦІОНАЛЬНИЙ РІВЕНЬ</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278" type="#_x0000_t186" style="position:absolute;left:3135;top:5862;width:3000;height:1278" filled="t" strokeweight="1.25pt">
              <v:textbox style="mso-next-textbox:#_x0000_s1278">
                <w:txbxContent>
                  <w:p w:rsidR="00A16840" w:rsidRPr="004A51D4" w:rsidRDefault="00A16840" w:rsidP="00A16840">
                    <w:pPr>
                      <w:spacing w:after="0" w:line="240" w:lineRule="auto"/>
                      <w:jc w:val="center"/>
                      <w:rPr>
                        <w:rFonts w:ascii="Times New Roman" w:hAnsi="Times New Roman"/>
                        <w:sz w:val="16"/>
                        <w:szCs w:val="16"/>
                        <w:lang w:val="uk-UA"/>
                      </w:rPr>
                    </w:pPr>
                    <w:r w:rsidRPr="004A51D4">
                      <w:rPr>
                        <w:rFonts w:ascii="Times New Roman" w:hAnsi="Times New Roman"/>
                        <w:sz w:val="16"/>
                        <w:szCs w:val="16"/>
                        <w:lang w:val="uk-UA"/>
                      </w:rPr>
                      <w:t>Бухгалтерська та аудиторська організація для мусульманських фінансових інституцій,</w:t>
                    </w:r>
                  </w:p>
                  <w:p w:rsidR="00A16840" w:rsidRPr="004A51D4" w:rsidRDefault="00A16840" w:rsidP="00A16840">
                    <w:pPr>
                      <w:spacing w:after="0" w:line="240" w:lineRule="auto"/>
                      <w:jc w:val="center"/>
                      <w:rPr>
                        <w:rFonts w:ascii="Times New Roman" w:hAnsi="Times New Roman"/>
                        <w:sz w:val="16"/>
                        <w:szCs w:val="16"/>
                        <w:lang w:val="uk-UA"/>
                      </w:rPr>
                    </w:pPr>
                    <w:r w:rsidRPr="004A51D4">
                      <w:rPr>
                        <w:rFonts w:ascii="Times New Roman" w:hAnsi="Times New Roman"/>
                        <w:sz w:val="16"/>
                        <w:szCs w:val="16"/>
                        <w:lang w:val="uk-UA"/>
                      </w:rPr>
                      <w:t>Міжнародний ісламський фінансовий ринок</w:t>
                    </w:r>
                  </w:p>
                </w:txbxContent>
              </v:textbox>
            </v:shape>
            <v:shape id="_x0000_s1279" type="#_x0000_t186" style="position:absolute;left:6717;top:5877;width:2973;height:1278" filled="t" strokeweight="1.25pt">
              <v:textbox style="mso-next-textbox:#_x0000_s1279">
                <w:txbxContent>
                  <w:p w:rsidR="00A16840" w:rsidRPr="004A51D4" w:rsidRDefault="00A16840" w:rsidP="00A16840">
                    <w:pPr>
                      <w:spacing w:after="0" w:line="240" w:lineRule="auto"/>
                      <w:jc w:val="center"/>
                      <w:rPr>
                        <w:rFonts w:ascii="Times New Roman" w:hAnsi="Times New Roman"/>
                        <w:sz w:val="16"/>
                        <w:szCs w:val="16"/>
                      </w:rPr>
                    </w:pPr>
                    <w:r w:rsidRPr="004A51D4">
                      <w:rPr>
                        <w:rFonts w:ascii="Times New Roman" w:hAnsi="Times New Roman"/>
                        <w:sz w:val="16"/>
                        <w:szCs w:val="16"/>
                        <w:lang w:val="uk-UA"/>
                      </w:rPr>
                      <w:t>Ісламський банк розвитку,</w:t>
                    </w:r>
                  </w:p>
                  <w:p w:rsidR="00A16840" w:rsidRPr="004A51D4" w:rsidRDefault="00A16840" w:rsidP="00A16840">
                    <w:pPr>
                      <w:spacing w:after="0" w:line="240" w:lineRule="auto"/>
                      <w:jc w:val="center"/>
                      <w:rPr>
                        <w:rFonts w:ascii="Times New Roman" w:hAnsi="Times New Roman"/>
                        <w:sz w:val="16"/>
                        <w:szCs w:val="16"/>
                        <w:lang w:val="uk-UA"/>
                      </w:rPr>
                    </w:pPr>
                    <w:r w:rsidRPr="004A51D4">
                      <w:rPr>
                        <w:rFonts w:ascii="Times New Roman" w:hAnsi="Times New Roman"/>
                        <w:sz w:val="16"/>
                        <w:szCs w:val="16"/>
                        <w:lang w:val="uk-UA"/>
                      </w:rPr>
                      <w:t>Центр управління ліквідністю,</w:t>
                    </w:r>
                  </w:p>
                  <w:p w:rsidR="00A16840" w:rsidRPr="004A51D4" w:rsidRDefault="00A16840" w:rsidP="00A16840">
                    <w:pPr>
                      <w:spacing w:after="0" w:line="240" w:lineRule="auto"/>
                      <w:jc w:val="center"/>
                      <w:rPr>
                        <w:rFonts w:ascii="Times New Roman" w:hAnsi="Times New Roman"/>
                        <w:sz w:val="16"/>
                        <w:szCs w:val="16"/>
                        <w:lang w:val="uk-UA"/>
                      </w:rPr>
                    </w:pPr>
                    <w:r w:rsidRPr="004A51D4">
                      <w:rPr>
                        <w:rFonts w:ascii="Times New Roman" w:hAnsi="Times New Roman"/>
                        <w:sz w:val="16"/>
                        <w:szCs w:val="16"/>
                        <w:lang w:val="uk-UA"/>
                      </w:rPr>
                      <w:t xml:space="preserve">Міжнародна ісламська </w:t>
                    </w:r>
                  </w:p>
                  <w:p w:rsidR="00A16840" w:rsidRPr="004A51D4" w:rsidRDefault="00A16840" w:rsidP="00A16840">
                    <w:pPr>
                      <w:spacing w:after="0" w:line="240" w:lineRule="auto"/>
                      <w:jc w:val="center"/>
                      <w:rPr>
                        <w:rFonts w:ascii="Times New Roman" w:hAnsi="Times New Roman"/>
                        <w:sz w:val="16"/>
                        <w:szCs w:val="16"/>
                        <w:lang w:val="uk-UA"/>
                      </w:rPr>
                    </w:pPr>
                    <w:r w:rsidRPr="004A51D4">
                      <w:rPr>
                        <w:rFonts w:ascii="Times New Roman" w:hAnsi="Times New Roman"/>
                        <w:sz w:val="16"/>
                        <w:szCs w:val="16"/>
                        <w:lang w:val="uk-UA"/>
                      </w:rPr>
                      <w:t>корпорація з управління ліквідністю</w:t>
                    </w:r>
                  </w:p>
                </w:txbxContent>
              </v:textbox>
            </v:shape>
            <v:shape id="_x0000_s1280" type="#_x0000_t186" style="position:absolute;left:3585;top:8115;width:2625;height:1140" filled="t" strokeweight="1.25pt">
              <v:textbox style="mso-next-textbox:#_x0000_s1280">
                <w:txbxContent>
                  <w:p w:rsidR="00A16840" w:rsidRPr="004A51D4" w:rsidRDefault="00A16840" w:rsidP="00A16840">
                    <w:pPr>
                      <w:spacing w:after="0" w:line="240" w:lineRule="auto"/>
                      <w:jc w:val="center"/>
                      <w:rPr>
                        <w:rFonts w:ascii="Times New Roman" w:hAnsi="Times New Roman"/>
                        <w:sz w:val="16"/>
                        <w:szCs w:val="16"/>
                        <w:lang w:val="uk-UA"/>
                      </w:rPr>
                    </w:pPr>
                    <w:r w:rsidRPr="004A51D4">
                      <w:rPr>
                        <w:rFonts w:ascii="Times New Roman" w:hAnsi="Times New Roman"/>
                        <w:sz w:val="16"/>
                        <w:szCs w:val="16"/>
                        <w:lang w:val="uk-UA"/>
                      </w:rPr>
                      <w:t>Генеральна рада ісламських банків та фінансових інституцій,</w:t>
                    </w:r>
                  </w:p>
                  <w:p w:rsidR="00A16840" w:rsidRPr="004A51D4" w:rsidRDefault="00A16840" w:rsidP="00A16840">
                    <w:pPr>
                      <w:spacing w:after="0" w:line="240" w:lineRule="auto"/>
                      <w:jc w:val="center"/>
                      <w:rPr>
                        <w:rFonts w:ascii="Times New Roman" w:hAnsi="Times New Roman"/>
                        <w:sz w:val="16"/>
                        <w:szCs w:val="16"/>
                        <w:lang w:val="uk-UA"/>
                      </w:rPr>
                    </w:pPr>
                    <w:r w:rsidRPr="004A51D4">
                      <w:rPr>
                        <w:rFonts w:ascii="Times New Roman" w:hAnsi="Times New Roman"/>
                        <w:sz w:val="16"/>
                        <w:szCs w:val="16"/>
                        <w:lang w:val="uk-UA"/>
                      </w:rPr>
                      <w:t>Міжнародна ісламська рейтингова агенція</w:t>
                    </w:r>
                  </w:p>
                </w:txbxContent>
              </v:textbox>
            </v:shape>
            <v:shape id="_x0000_s1281" type="#_x0000_t186" style="position:absolute;left:6857;top:8115;width:2398;height:1140" filled="t" strokeweight="1.25pt">
              <v:textbox style="mso-next-textbox:#_x0000_s1281">
                <w:txbxContent>
                  <w:p w:rsidR="00A16840" w:rsidRPr="004A51D4" w:rsidRDefault="00A16840" w:rsidP="00A16840">
                    <w:pPr>
                      <w:spacing w:after="0" w:line="240" w:lineRule="auto"/>
                      <w:jc w:val="center"/>
                      <w:rPr>
                        <w:rFonts w:ascii="Times New Roman" w:hAnsi="Times New Roman"/>
                        <w:sz w:val="16"/>
                        <w:szCs w:val="16"/>
                        <w:lang w:val="uk-UA"/>
                      </w:rPr>
                    </w:pPr>
                    <w:r w:rsidRPr="004A51D4">
                      <w:rPr>
                        <w:rFonts w:ascii="Times New Roman" w:hAnsi="Times New Roman"/>
                        <w:sz w:val="16"/>
                        <w:szCs w:val="16"/>
                        <w:lang w:val="uk-UA"/>
                      </w:rPr>
                      <w:t>Академія фікху при ОІС,</w:t>
                    </w:r>
                  </w:p>
                  <w:p w:rsidR="00A16840" w:rsidRPr="004A51D4" w:rsidRDefault="00A16840" w:rsidP="00A16840">
                    <w:pPr>
                      <w:spacing w:after="0" w:line="240" w:lineRule="auto"/>
                      <w:jc w:val="center"/>
                      <w:rPr>
                        <w:rFonts w:ascii="Times New Roman" w:hAnsi="Times New Roman"/>
                        <w:sz w:val="16"/>
                        <w:szCs w:val="16"/>
                        <w:lang w:val="uk-UA"/>
                      </w:rPr>
                    </w:pPr>
                    <w:r w:rsidRPr="004A51D4">
                      <w:rPr>
                        <w:rFonts w:ascii="Times New Roman" w:hAnsi="Times New Roman"/>
                        <w:sz w:val="16"/>
                        <w:szCs w:val="16"/>
                        <w:lang w:val="uk-UA"/>
                      </w:rPr>
                      <w:t>Міжнародна дослідна академія Шаріату з ісламських фінансів</w:t>
                    </w:r>
                  </w:p>
                </w:txbxContent>
              </v:textbox>
            </v:shape>
            <v:shape id="_x0000_s1282" type="#_x0000_t186" style="position:absolute;left:4496;top:2805;width:3739;height:915" filled="t" strokeweight="1.25pt">
              <v:textbox style="mso-next-textbox:#_x0000_s1282">
                <w:txbxContent>
                  <w:p w:rsidR="00A16840" w:rsidRPr="004A51D4" w:rsidRDefault="00A16840" w:rsidP="00A16840">
                    <w:pPr>
                      <w:spacing w:after="0" w:line="240" w:lineRule="auto"/>
                      <w:jc w:val="center"/>
                      <w:rPr>
                        <w:rFonts w:ascii="Times New Roman" w:hAnsi="Times New Roman"/>
                        <w:sz w:val="17"/>
                        <w:szCs w:val="17"/>
                        <w:lang w:val="uk-UA"/>
                      </w:rPr>
                    </w:pPr>
                    <w:r w:rsidRPr="004A51D4">
                      <w:rPr>
                        <w:rFonts w:ascii="Times New Roman" w:hAnsi="Times New Roman"/>
                        <w:sz w:val="17"/>
                        <w:szCs w:val="17"/>
                        <w:lang w:val="uk-UA"/>
                      </w:rPr>
                      <w:t>Рада з ісламських фінансових послуг,</w:t>
                    </w:r>
                  </w:p>
                  <w:p w:rsidR="00A16840" w:rsidRPr="004A51D4" w:rsidRDefault="00A16840" w:rsidP="00A16840">
                    <w:pPr>
                      <w:spacing w:after="0" w:line="240" w:lineRule="auto"/>
                      <w:jc w:val="center"/>
                      <w:rPr>
                        <w:rFonts w:ascii="Times New Roman" w:hAnsi="Times New Roman"/>
                        <w:sz w:val="17"/>
                        <w:szCs w:val="17"/>
                        <w:lang w:val="uk-UA"/>
                      </w:rPr>
                    </w:pPr>
                    <w:r w:rsidRPr="004A51D4">
                      <w:rPr>
                        <w:rFonts w:ascii="Times New Roman" w:hAnsi="Times New Roman"/>
                        <w:sz w:val="17"/>
                        <w:szCs w:val="17"/>
                        <w:lang w:val="uk-UA"/>
                      </w:rPr>
                      <w:t xml:space="preserve">Ісламська рада з фінансової стабільності, </w:t>
                    </w:r>
                  </w:p>
                  <w:p w:rsidR="00A16840" w:rsidRPr="004A51D4" w:rsidRDefault="00A16840" w:rsidP="00A16840">
                    <w:pPr>
                      <w:spacing w:after="0" w:line="240" w:lineRule="auto"/>
                      <w:jc w:val="center"/>
                      <w:rPr>
                        <w:rFonts w:ascii="Times New Roman" w:hAnsi="Times New Roman"/>
                        <w:sz w:val="17"/>
                        <w:szCs w:val="17"/>
                        <w:lang w:val="uk-UA"/>
                      </w:rPr>
                    </w:pPr>
                    <w:r w:rsidRPr="004A51D4">
                      <w:rPr>
                        <w:rFonts w:ascii="Times New Roman" w:hAnsi="Times New Roman"/>
                        <w:sz w:val="17"/>
                        <w:szCs w:val="17"/>
                        <w:lang w:val="uk-UA"/>
                      </w:rPr>
                      <w:t xml:space="preserve">Група </w:t>
                    </w:r>
                    <w:r w:rsidRPr="004A51D4">
                      <w:rPr>
                        <w:rFonts w:ascii="Times New Roman" w:hAnsi="Times New Roman"/>
                        <w:sz w:val="17"/>
                        <w:szCs w:val="17"/>
                        <w:lang w:val="en-US"/>
                      </w:rPr>
                      <w:t>D</w:t>
                    </w:r>
                    <w:r w:rsidRPr="004A51D4">
                      <w:rPr>
                        <w:rFonts w:ascii="Times New Roman" w:hAnsi="Times New Roman"/>
                        <w:sz w:val="17"/>
                        <w:szCs w:val="17"/>
                        <w:lang w:val="uk-UA"/>
                      </w:rPr>
                      <w:t>-8 (розширений формат)</w:t>
                    </w:r>
                  </w:p>
                </w:txbxContent>
              </v:textbox>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83" type="#_x0000_t98" style="position:absolute;left:1590;top:2236;width:1592;height:2455" fillcolor="#eeece1">
              <v:fill opacity="13107f"/>
              <v:textbox style="mso-next-textbox:#_x0000_s1283">
                <w:txbxContent>
                  <w:p w:rsidR="00A16840" w:rsidRPr="001A3C3E" w:rsidRDefault="00A16840" w:rsidP="00A16840">
                    <w:pPr>
                      <w:spacing w:after="0" w:line="200" w:lineRule="exact"/>
                      <w:jc w:val="center"/>
                      <w:rPr>
                        <w:rFonts w:ascii="Times New Roman" w:hAnsi="Times New Roman"/>
                        <w:sz w:val="18"/>
                        <w:szCs w:val="18"/>
                        <w:lang w:val="uk-UA"/>
                      </w:rPr>
                    </w:pPr>
                    <w:r w:rsidRPr="001A3C3E">
                      <w:rPr>
                        <w:rFonts w:ascii="Times New Roman" w:hAnsi="Times New Roman"/>
                        <w:sz w:val="18"/>
                        <w:szCs w:val="18"/>
                        <w:lang w:val="uk-UA"/>
                      </w:rPr>
                      <w:t xml:space="preserve">Рада з фінансової стабільності, </w:t>
                    </w:r>
                  </w:p>
                  <w:p w:rsidR="00A16840" w:rsidRPr="001A3C3E" w:rsidRDefault="00A16840" w:rsidP="00A16840">
                    <w:pPr>
                      <w:spacing w:after="0" w:line="240" w:lineRule="auto"/>
                      <w:jc w:val="center"/>
                      <w:rPr>
                        <w:rFonts w:ascii="Times New Roman" w:hAnsi="Times New Roman"/>
                        <w:sz w:val="18"/>
                        <w:szCs w:val="18"/>
                        <w:lang w:val="uk-UA"/>
                      </w:rPr>
                    </w:pPr>
                    <w:r w:rsidRPr="001A3C3E">
                      <w:rPr>
                        <w:rFonts w:ascii="Times New Roman" w:hAnsi="Times New Roman"/>
                        <w:sz w:val="18"/>
                        <w:szCs w:val="18"/>
                        <w:lang w:val="uk-UA"/>
                      </w:rPr>
                      <w:t xml:space="preserve">Група </w:t>
                    </w:r>
                    <w:r w:rsidRPr="001A3C3E">
                      <w:rPr>
                        <w:rFonts w:ascii="Times New Roman" w:hAnsi="Times New Roman"/>
                        <w:sz w:val="18"/>
                        <w:szCs w:val="18"/>
                        <w:lang w:val="en-US"/>
                      </w:rPr>
                      <w:t>G</w:t>
                    </w:r>
                    <w:r w:rsidRPr="001A3C3E">
                      <w:rPr>
                        <w:rFonts w:ascii="Times New Roman" w:hAnsi="Times New Roman"/>
                        <w:sz w:val="18"/>
                        <w:szCs w:val="18"/>
                        <w:lang w:val="uk-UA"/>
                      </w:rPr>
                      <w:t>-20, Комітет з питань глобальної фінансової системи</w:t>
                    </w:r>
                  </w:p>
                </w:txbxContent>
              </v:textbox>
            </v:shape>
            <v:shape id="_x0000_s1284" type="#_x0000_t98" style="position:absolute;left:9027;top:9180;width:2280;height:2775" adj="2699" fillcolor="#eeece1">
              <v:fill opacity="13107f"/>
              <v:textbox style="mso-next-textbox:#_x0000_s1284">
                <w:txbxContent>
                  <w:p w:rsidR="00A16840" w:rsidRPr="004A51D4" w:rsidRDefault="00A16840" w:rsidP="00A16840">
                    <w:pPr>
                      <w:spacing w:after="0" w:line="240" w:lineRule="auto"/>
                      <w:jc w:val="center"/>
                      <w:rPr>
                        <w:rFonts w:ascii="Times New Roman" w:hAnsi="Times New Roman"/>
                        <w:sz w:val="18"/>
                        <w:szCs w:val="18"/>
                        <w:lang w:val="uk-UA"/>
                      </w:rPr>
                    </w:pPr>
                    <w:r w:rsidRPr="004A51D4">
                      <w:rPr>
                        <w:rFonts w:ascii="Times New Roman" w:hAnsi="Times New Roman"/>
                        <w:sz w:val="18"/>
                        <w:szCs w:val="18"/>
                        <w:lang w:val="uk-UA"/>
                      </w:rPr>
                      <w:t>Африканський банк розвитку,  Азійський банк розвитку,  Міжнародна організація комісій з цінних паперів, Базельський комітет з платіжних систем і розрахунків</w:t>
                    </w:r>
                  </w:p>
                </w:txbxContent>
              </v:textbox>
            </v:shape>
            <v:roundrect id="_x0000_s1285" style="position:absolute;left:5059;top:1695;width:2671;height:858" arcsize="10923f" fillcolor="#eeece1">
              <v:shadow on="t" opacity=".5" offset="-6pt,6pt"/>
              <v:textbox style="mso-next-textbox:#_x0000_s1285">
                <w:txbxContent>
                  <w:p w:rsidR="00A16840" w:rsidRPr="004A51D4" w:rsidRDefault="00A16840" w:rsidP="00A16840">
                    <w:pPr>
                      <w:spacing w:after="0" w:line="240" w:lineRule="auto"/>
                      <w:jc w:val="center"/>
                      <w:rPr>
                        <w:rFonts w:ascii="Times New Roman" w:hAnsi="Times New Roman"/>
                        <w:sz w:val="18"/>
                        <w:szCs w:val="18"/>
                        <w:lang w:val="uk-UA"/>
                      </w:rPr>
                    </w:pPr>
                    <w:r w:rsidRPr="004A51D4">
                      <w:rPr>
                        <w:rFonts w:ascii="Times New Roman" w:hAnsi="Times New Roman"/>
                        <w:sz w:val="18"/>
                        <w:szCs w:val="18"/>
                        <w:lang w:val="uk-UA"/>
                      </w:rPr>
                      <w:t>Визначення головних напрямів розвитку та стабілізації галузі</w:t>
                    </w:r>
                  </w:p>
                </w:txbxContent>
              </v:textbox>
            </v:roundre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286" type="#_x0000_t97" style="position:absolute;left:9212;top:2531;width:2496;height:1695;rotation:90" fillcolor="#eeece1">
              <v:fill opacity="13107f"/>
              <v:textbox style="mso-next-textbox:#_x0000_s1286">
                <w:txbxContent>
                  <w:p w:rsidR="00A16840" w:rsidRPr="004A51D4" w:rsidRDefault="00A16840" w:rsidP="00A16840">
                    <w:pPr>
                      <w:spacing w:after="0" w:line="240" w:lineRule="auto"/>
                      <w:jc w:val="center"/>
                      <w:rPr>
                        <w:rFonts w:ascii="Times New Roman" w:hAnsi="Times New Roman"/>
                        <w:sz w:val="19"/>
                        <w:szCs w:val="19"/>
                        <w:lang w:val="uk-UA"/>
                      </w:rPr>
                    </w:pPr>
                  </w:p>
                  <w:p w:rsidR="00A16840" w:rsidRPr="004A51D4" w:rsidRDefault="00A16840" w:rsidP="00A16840">
                    <w:pPr>
                      <w:spacing w:after="0" w:line="240" w:lineRule="auto"/>
                      <w:jc w:val="center"/>
                      <w:rPr>
                        <w:rFonts w:ascii="Times New Roman" w:hAnsi="Times New Roman"/>
                        <w:sz w:val="19"/>
                        <w:szCs w:val="19"/>
                        <w:lang w:val="uk-UA"/>
                      </w:rPr>
                    </w:pPr>
                    <w:r w:rsidRPr="004A51D4">
                      <w:rPr>
                        <w:rFonts w:ascii="Times New Roman" w:hAnsi="Times New Roman"/>
                        <w:sz w:val="19"/>
                        <w:szCs w:val="19"/>
                        <w:lang w:val="uk-UA"/>
                      </w:rPr>
                      <w:t xml:space="preserve">Група Світового банку, </w:t>
                    </w:r>
                  </w:p>
                  <w:p w:rsidR="00A16840" w:rsidRPr="004A51D4" w:rsidRDefault="00A16840" w:rsidP="00A16840">
                    <w:pPr>
                      <w:spacing w:after="0" w:line="240" w:lineRule="auto"/>
                      <w:jc w:val="center"/>
                      <w:rPr>
                        <w:rFonts w:ascii="Times New Roman" w:hAnsi="Times New Roman"/>
                      </w:rPr>
                    </w:pPr>
                    <w:r w:rsidRPr="004A51D4">
                      <w:rPr>
                        <w:rFonts w:ascii="Times New Roman" w:hAnsi="Times New Roman"/>
                        <w:sz w:val="19"/>
                        <w:szCs w:val="19"/>
                        <w:lang w:val="uk-UA"/>
                      </w:rPr>
                      <w:t>Міжнародний валютний фонд</w:t>
                    </w:r>
                  </w:p>
                </w:txbxContent>
              </v:textbox>
            </v:shape>
            <v:shape id="_x0000_s1287" type="#_x0000_t97" style="position:absolute;left:1365;top:9480;width:2700;height:2250;rotation:90" fillcolor="#eeece1">
              <v:fill opacity="13107f"/>
              <v:textbox style="mso-next-textbox:#_x0000_s1287">
                <w:txbxContent>
                  <w:p w:rsidR="00A16840" w:rsidRPr="004A6203" w:rsidRDefault="00A16840" w:rsidP="00A16840">
                    <w:pPr>
                      <w:spacing w:after="0" w:line="240" w:lineRule="auto"/>
                      <w:jc w:val="center"/>
                      <w:rPr>
                        <w:rFonts w:ascii="Times New Roman" w:hAnsi="Times New Roman"/>
                        <w:sz w:val="17"/>
                        <w:szCs w:val="17"/>
                        <w:lang w:val="uk-UA"/>
                      </w:rPr>
                    </w:pPr>
                    <w:r w:rsidRPr="004A6203">
                      <w:rPr>
                        <w:rFonts w:ascii="Times New Roman" w:hAnsi="Times New Roman"/>
                        <w:sz w:val="17"/>
                        <w:szCs w:val="17"/>
                        <w:lang w:val="uk-UA"/>
                      </w:rPr>
                      <w:t xml:space="preserve">Банк міжнародних розрахунків, Базельський комітет з питань банківського нагляду, </w:t>
                    </w:r>
                    <w:r w:rsidRPr="004A6203">
                      <w:rPr>
                        <w:rFonts w:ascii="Times New Roman" w:hAnsi="Times New Roman"/>
                        <w:sz w:val="17"/>
                        <w:szCs w:val="17"/>
                        <w:lang w:val="en-US"/>
                      </w:rPr>
                      <w:t>FATF</w:t>
                    </w:r>
                    <w:r w:rsidRPr="004A6203">
                      <w:rPr>
                        <w:rFonts w:ascii="Times New Roman" w:hAnsi="Times New Roman"/>
                        <w:sz w:val="17"/>
                        <w:szCs w:val="17"/>
                        <w:lang w:val="uk-UA"/>
                      </w:rPr>
                      <w:t>, Рада з міжнародних стандартів бухгалтерської звітності</w:t>
                    </w:r>
                  </w:p>
                </w:txbxContent>
              </v:textbox>
            </v:shape>
            <v:shape id="_x0000_s1288" type="#_x0000_t67" style="position:absolute;left:4583;top:7890;width:277;height:225">
              <v:textbox style="layout-flow:vertical-ideographic"/>
            </v:shape>
            <v:shape id="_x0000_s1289" type="#_x0000_t67" style="position:absolute;left:8122;top:7890;width:277;height:225">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90" type="#_x0000_t68" style="position:absolute;left:4546;top:7065;width:277;height:255">
              <v:textbox style="layout-flow:vertical-ideographic"/>
            </v:shape>
            <v:shape id="_x0000_s1291" type="#_x0000_t68" style="position:absolute;left:8122;top:7065;width:277;height:255">
              <v:textbox style="layout-flow:vertical-ideographic"/>
            </v:shape>
            <v:shape id="_x0000_s1292" type="#_x0000_t67" style="position:absolute;left:4583;top:9252;width:277;height:243" fillcolor="#eeece1">
              <v:textbox style="layout-flow:vertical-ideographic"/>
            </v:shape>
            <v:shape id="_x0000_s1293" type="#_x0000_t67" style="position:absolute;left:8122;top:9252;width:277;height:243" fillcolor="#eeece1">
              <v:textbox style="layout-flow:vertical-ideographic"/>
            </v:shape>
            <v:shape id="_x0000_s1294" type="#_x0000_t68" style="position:absolute;left:4546;top:5622;width:277;height:255" fillcolor="#eeece1">
              <v:textbox style="layout-flow:vertical-ideographic"/>
            </v:shape>
            <v:shape id="_x0000_s1295" type="#_x0000_t68" style="position:absolute;left:8048;top:5622;width:277;height:255" fillcolor="#eeece1">
              <v:textbox style="layout-flow:vertical-ideographic"/>
            </v:shape>
            <v:shape id="_x0000_s1296" type="#_x0000_t32" style="position:absolute;left:3232;top:3230;width:1264;height:0" o:connectortype="straight" strokeweight="1pt">
              <v:stroke startarrow="block" startarrowlength="long" endarrow="block" endarrowlength="long"/>
            </v:shape>
            <v:shape id="_x0000_s1297" type="#_x0000_t32" style="position:absolute;left:8235;top:3229;width:1354;height:1" o:connectortype="straight" strokeweight="1pt">
              <v:stroke startarrow="block" startarrowlength="long" endarrow="block" endarrowlength="long"/>
            </v:shape>
            <v:shape id="_x0000_s1298" type="#_x0000_t68" style="position:absolute;left:6210;top:2553;width:277;height:255" fillcolor="#eeece1">
              <v:textbox style="layout-flow:vertical-ideographic"/>
            </v:shape>
            <v:shape id="_x0000_s1299" type="#_x0000_t68" style="position:absolute;left:6218;top:3720;width:277;height:221">
              <v:textbox style="layout-flow:vertical-ideographic"/>
            </v:shape>
            <v:rect id="_x0000_s1300" style="position:absolute;left:2445;top:8707;width:1080;height:495;rotation:270" strokecolor="white">
              <v:textbox style="layout-flow:vertical;mso-layout-flow-alt:bottom-to-top;mso-next-textbox:#_x0000_s1300">
                <w:txbxContent>
                  <w:p w:rsidR="00A16840" w:rsidRPr="007D6CE3" w:rsidRDefault="00A16840" w:rsidP="00A16840">
                    <w:pPr>
                      <w:spacing w:after="0" w:line="240" w:lineRule="auto"/>
                      <w:jc w:val="center"/>
                      <w:rPr>
                        <w:rFonts w:ascii="Times New Roman" w:hAnsi="Times New Roman"/>
                        <w:sz w:val="16"/>
                        <w:szCs w:val="16"/>
                      </w:rPr>
                    </w:pPr>
                    <w:r w:rsidRPr="007D6CE3">
                      <w:rPr>
                        <w:rFonts w:ascii="Times New Roman" w:hAnsi="Times New Roman"/>
                        <w:sz w:val="16"/>
                        <w:szCs w:val="16"/>
                        <w:lang w:val="uk-UA"/>
                      </w:rPr>
                      <w:t>уніфікація стандартів</w:t>
                    </w:r>
                  </w:p>
                </w:txbxContent>
              </v:textbox>
            </v:rect>
            <v:rect id="_x0000_s1301" style="position:absolute;left:9319;top:8486;width:1235;height:493;rotation:90" strokecolor="white">
              <v:textbox style="layout-flow:vertical;mso-next-textbox:#_x0000_s1301">
                <w:txbxContent>
                  <w:p w:rsidR="00A16840" w:rsidRPr="001B4CA1" w:rsidRDefault="00A16840" w:rsidP="00A16840">
                    <w:pPr>
                      <w:spacing w:after="0" w:line="240" w:lineRule="auto"/>
                      <w:ind w:left="-57" w:right="-57"/>
                      <w:jc w:val="center"/>
                      <w:rPr>
                        <w:sz w:val="16"/>
                        <w:szCs w:val="16"/>
                      </w:rPr>
                    </w:pPr>
                    <w:r w:rsidRPr="007D6CE3">
                      <w:rPr>
                        <w:rFonts w:ascii="Times New Roman" w:hAnsi="Times New Roman"/>
                        <w:sz w:val="16"/>
                        <w:szCs w:val="16"/>
                        <w:lang w:val="uk-UA"/>
                      </w:rPr>
                      <w:t>поглиблення співпраці</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302" type="#_x0000_t70" style="position:absolute;left:6326;top:4526;width:161;height:2794">
              <v:shadow on="t" opacity=".5" offset="-6pt,-6pt"/>
              <v:textbox style="layout-flow:vertical-ideographic"/>
            </v:shape>
            <v:shape id="_x0000_s1303" style="position:absolute;left:9792;top:6536;width:488;height:2869" coordsize="899,1230" path="m,c274,48,549,96,699,301v150,205,167,774,200,929e" filled="f" strokeweight="1pt">
              <v:stroke startarrow="classic" startarrowlength="long" endarrow="classic" endarrowlength="long"/>
              <v:path arrowok="t"/>
            </v:shape>
            <v:shape id="_x0000_s1304" style="position:absolute;left:2617;top:6536;width:440;height:2959;flip:x" coordsize="899,1230" path="m,c274,48,549,96,699,301v150,205,167,774,200,929e" filled="f" strokeweight="1pt">
              <v:stroke startarrow="classic" startarrowlength="long" endarrow="classic" endarrowlength="long"/>
              <v:path arrowok="t"/>
            </v:shape>
            <v:shape id="_x0000_s1305" type="#_x0000_t32" style="position:absolute;left:2398;top:4526;width:1;height:4969;flip:y" o:connectortype="straight" strokeweight="1pt">
              <v:stroke dashstyle="dash"/>
            </v:shape>
            <v:shape id="_x0000_s1306" type="#_x0000_t32" style="position:absolute;left:10481;top:4445;width:0;height:4960;flip:y" o:connectortype="straight" strokeweight="1pt">
              <v:stroke dashstyle="dash"/>
            </v:shape>
            <v:shape id="_x0000_s1307" type="#_x0000_t32" style="position:absolute;left:3840;top:11633;width:5187;height:0" o:connectortype="straight" strokeweight="1pt">
              <v:stroke dashstyle="dash"/>
            </v:shape>
            <v:shape id="_x0000_s1308" type="#_x0000_t32" style="position:absolute;left:3182;top:2454;width:1036;height:0" o:connectortype="straight" strokeweight="1pt">
              <v:stroke dashstyle="dash"/>
            </v:shape>
            <v:shape id="_x0000_s1309" type="#_x0000_t32" style="position:absolute;left:8535;top:2354;width:1077;height:1" o:connectortype="straight" strokeweight="1pt">
              <v:stroke dashstyle="dash"/>
            </v:shape>
            <v:rect id="_x0000_s1310" style="position:absolute;left:4391;top:12046;width:4144;height:476" strokecolor="white">
              <v:textbox style="mso-next-textbox:#_x0000_s1310">
                <w:txbxContent>
                  <w:p w:rsidR="00A16840" w:rsidRPr="00046FD7" w:rsidRDefault="00A16840" w:rsidP="00A16840">
                    <w:pPr>
                      <w:jc w:val="center"/>
                      <w:rPr>
                        <w:rFonts w:ascii="Times New Roman" w:hAnsi="Times New Roman"/>
                        <w:i/>
                        <w:lang w:val="uk-UA"/>
                      </w:rPr>
                    </w:pPr>
                    <w:r w:rsidRPr="00046FD7">
                      <w:rPr>
                        <w:rFonts w:ascii="Times New Roman" w:hAnsi="Times New Roman"/>
                        <w:i/>
                        <w:lang w:val="uk-UA"/>
                      </w:rPr>
                      <w:t>СВІТОВА БАНКІВСЬКА СИСТЕМА</w:t>
                    </w:r>
                  </w:p>
                  <w:p w:rsidR="00A16840" w:rsidRDefault="00A16840" w:rsidP="00A16840"/>
                </w:txbxContent>
              </v:textbox>
            </v:rect>
            <v:rect id="_x0000_s1311" style="position:absolute;left:8239;top:3662;width:1235;height:493;rotation:90" fillcolor="#eeece1" strokecolor="white">
              <v:fill opacity="13107f"/>
              <v:textbox style="layout-flow:vertical;mso-next-textbox:#_x0000_s1311">
                <w:txbxContent>
                  <w:p w:rsidR="00A16840" w:rsidRPr="007D6CE3" w:rsidRDefault="00A16840" w:rsidP="00A16840">
                    <w:pPr>
                      <w:spacing w:after="0" w:line="240" w:lineRule="auto"/>
                      <w:ind w:left="-57" w:right="-57"/>
                      <w:jc w:val="center"/>
                      <w:rPr>
                        <w:rFonts w:ascii="Times New Roman" w:hAnsi="Times New Roman"/>
                        <w:sz w:val="16"/>
                        <w:szCs w:val="16"/>
                      </w:rPr>
                    </w:pPr>
                    <w:r w:rsidRPr="007D6CE3">
                      <w:rPr>
                        <w:rFonts w:ascii="Times New Roman" w:hAnsi="Times New Roman"/>
                        <w:sz w:val="16"/>
                        <w:szCs w:val="16"/>
                        <w:lang w:val="uk-UA"/>
                      </w:rPr>
                      <w:t>поглиблення</w:t>
                    </w:r>
                    <w:r w:rsidRPr="001B4CA1">
                      <w:rPr>
                        <w:sz w:val="16"/>
                        <w:szCs w:val="16"/>
                        <w:lang w:val="uk-UA"/>
                      </w:rPr>
                      <w:t></w:t>
                    </w:r>
                    <w:r w:rsidRPr="007D6CE3">
                      <w:rPr>
                        <w:rFonts w:ascii="Times New Roman" w:hAnsi="Times New Roman"/>
                        <w:sz w:val="16"/>
                        <w:szCs w:val="16"/>
                        <w:lang w:val="uk-UA"/>
                      </w:rPr>
                      <w:t>співпраці</w:t>
                    </w:r>
                  </w:p>
                </w:txbxContent>
              </v:textbox>
            </v:rect>
            <v:shape id="_x0000_s1312" type="#_x0000_t84" style="position:absolute;left:4391;top:3941;width:3934;height:585">
              <v:shadow on="t" opacity=".5" offset="-6pt,-6pt"/>
              <v:textbox style="mso-next-textbox:#_x0000_s1312">
                <w:txbxContent>
                  <w:p w:rsidR="00A16840" w:rsidRPr="00046FD7" w:rsidRDefault="00A16840" w:rsidP="00A16840">
                    <w:pPr>
                      <w:jc w:val="center"/>
                      <w:rPr>
                        <w:rFonts w:ascii="Times New Roman" w:hAnsi="Times New Roman"/>
                        <w:b/>
                        <w:i/>
                        <w:sz w:val="20"/>
                        <w:szCs w:val="20"/>
                        <w:lang w:val="uk-UA"/>
                      </w:rPr>
                    </w:pPr>
                    <w:r w:rsidRPr="00046FD7">
                      <w:rPr>
                        <w:rFonts w:ascii="Times New Roman" w:hAnsi="Times New Roman"/>
                        <w:b/>
                        <w:i/>
                        <w:sz w:val="20"/>
                        <w:szCs w:val="20"/>
                        <w:lang w:val="uk-UA"/>
                      </w:rPr>
                      <w:t>ГЛОБАЛЬНИЙ РІВЕНЬ</w:t>
                    </w:r>
                  </w:p>
                </w:txbxContent>
              </v:textbox>
            </v:shape>
            <v:roundrect id="_x0000_s1313" style="position:absolute;left:3308;top:4691;width:2647;height:931" arcsize="10923f" fillcolor="#eeece1">
              <v:shadow on="t" opacity=".5" offset="-6pt,-6pt"/>
              <v:textbox style="mso-next-textbox:#_x0000_s1313">
                <w:txbxContent>
                  <w:p w:rsidR="00A16840" w:rsidRPr="004A51D4" w:rsidRDefault="00A16840" w:rsidP="00A16840">
                    <w:pPr>
                      <w:spacing w:after="0" w:line="240" w:lineRule="auto"/>
                      <w:jc w:val="center"/>
                      <w:rPr>
                        <w:rFonts w:ascii="Times New Roman" w:hAnsi="Times New Roman"/>
                        <w:sz w:val="18"/>
                        <w:szCs w:val="18"/>
                        <w:lang w:val="uk-UA"/>
                      </w:rPr>
                    </w:pPr>
                    <w:r w:rsidRPr="004A51D4">
                      <w:rPr>
                        <w:rFonts w:ascii="Times New Roman" w:hAnsi="Times New Roman"/>
                        <w:sz w:val="18"/>
                        <w:szCs w:val="18"/>
                        <w:lang w:val="uk-UA"/>
                      </w:rPr>
                      <w:t>Розробка стандартів діяльності, банківських продуктів та документації</w:t>
                    </w:r>
                  </w:p>
                </w:txbxContent>
              </v:textbox>
            </v:roundrect>
            <v:rect id="_x0000_s1314" style="position:absolute;left:3351;top:3659;width:1235;height:499;rotation:270" fillcolor="#eeece1" strokecolor="white">
              <v:fill opacity="13107f"/>
              <v:textbox style="layout-flow:vertical;mso-layout-flow-alt:bottom-to-top;mso-next-textbox:#_x0000_s1314">
                <w:txbxContent>
                  <w:p w:rsidR="00A16840" w:rsidRPr="007D6CE3" w:rsidRDefault="00A16840" w:rsidP="00A16840">
                    <w:pPr>
                      <w:spacing w:after="0" w:line="240" w:lineRule="auto"/>
                      <w:ind w:left="-57" w:right="-57"/>
                      <w:jc w:val="center"/>
                      <w:rPr>
                        <w:rFonts w:ascii="Times New Roman" w:hAnsi="Times New Roman"/>
                        <w:sz w:val="16"/>
                        <w:szCs w:val="16"/>
                      </w:rPr>
                    </w:pPr>
                    <w:r w:rsidRPr="007D6CE3">
                      <w:rPr>
                        <w:rFonts w:ascii="Times New Roman" w:hAnsi="Times New Roman"/>
                        <w:sz w:val="16"/>
                        <w:szCs w:val="16"/>
                        <w:lang w:val="uk-UA"/>
                      </w:rPr>
                      <w:t>поглиблення співпраці</w:t>
                    </w:r>
                  </w:p>
                </w:txbxContent>
              </v:textbox>
            </v:rect>
          </v:group>
        </w:pict>
      </w:r>
      <w:r w:rsidRPr="00A16840">
        <w:rPr>
          <w:rFonts w:ascii="Calibri" w:eastAsia="Times New Roman" w:hAnsi="Calibri" w:cs="Times New Roman"/>
          <w:kern w:val="0"/>
          <w:sz w:val="28"/>
          <w:szCs w:val="28"/>
          <w:lang w:val="uk-UA" w:eastAsia="en-US"/>
        </w:rPr>
        <w:pict>
          <v:shape id="_x0000_i1173" type="#_x0000_t75" style="width:503.25pt;height:558.2pt">
            <v:imagedata croptop="-65520f" cropbottom="65520f"/>
          </v:shape>
        </w:pict>
      </w:r>
    </w:p>
    <w:p w:rsidR="00A16840" w:rsidRPr="00A16840" w:rsidRDefault="00A16840" w:rsidP="00A16840">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Рис. 4. Концептуальна модель регулювання ісламського банкінгу</w:t>
      </w:r>
    </w:p>
    <w:p w:rsidR="00A16840" w:rsidRPr="00A16840" w:rsidRDefault="00A16840" w:rsidP="00A16840">
      <w:pPr>
        <w:widowControl/>
        <w:tabs>
          <w:tab w:val="clear" w:pos="709"/>
          <w:tab w:val="left" w:pos="1080"/>
        </w:tabs>
        <w:suppressAutoHyphens w:val="0"/>
        <w:spacing w:after="0" w:line="240" w:lineRule="auto"/>
        <w:ind w:left="720" w:firstLine="0"/>
        <w:contextualSpacing/>
        <w:rPr>
          <w:rFonts w:ascii="Times New Roman" w:eastAsia="Calibri" w:hAnsi="Times New Roman" w:cs="Arial"/>
          <w:kern w:val="0"/>
          <w:sz w:val="24"/>
          <w:szCs w:val="24"/>
          <w:lang w:val="uk-UA" w:eastAsia="en-US"/>
        </w:rPr>
      </w:pPr>
    </w:p>
    <w:p w:rsidR="00A16840" w:rsidRPr="00A16840" w:rsidRDefault="00A16840" w:rsidP="00A16840">
      <w:pPr>
        <w:widowControl/>
        <w:tabs>
          <w:tab w:val="clear" w:pos="709"/>
          <w:tab w:val="left" w:pos="1080"/>
        </w:tabs>
        <w:suppressAutoHyphens w:val="0"/>
        <w:spacing w:after="0" w:line="240" w:lineRule="auto"/>
        <w:contextualSpacing/>
        <w:rPr>
          <w:rFonts w:ascii="Times New Roman" w:eastAsia="Calibri" w:hAnsi="Times New Roman" w:cs="TimesNewRomanPSMT"/>
          <w:kern w:val="0"/>
          <w:sz w:val="28"/>
          <w:szCs w:val="28"/>
          <w:lang w:val="uk-UA" w:eastAsia="en-US"/>
        </w:rPr>
      </w:pPr>
      <w:r w:rsidRPr="00A16840">
        <w:rPr>
          <w:rFonts w:ascii="Times New Roman" w:eastAsia="Calibri" w:hAnsi="Times New Roman" w:cs="TimesNewRomanPSMT"/>
          <w:kern w:val="0"/>
          <w:sz w:val="28"/>
          <w:szCs w:val="28"/>
          <w:lang w:val="uk-UA" w:eastAsia="en-US"/>
        </w:rPr>
        <w:t xml:space="preserve">Прогнози за probit-моделлю демонструють подібні сценарії розвитку, зокрема, у  2014-2016 рр. прогнозується високий рівень імовірності виникнення та розвитку кризових процесів у банківському секторі України (середня оцінка нестабільності функціонування системи складає 69%, досягаючи максимального значення у 2016 р. – 88%); у 2017-2020 рр. імовірність продовження кризи оцінюється як досить низька, отже цей період можна вважати періодом стабільного функціонування системи. </w:t>
      </w:r>
    </w:p>
    <w:p w:rsidR="00A16840" w:rsidRPr="00A16840" w:rsidRDefault="00A16840" w:rsidP="00A16840">
      <w:pPr>
        <w:widowControl/>
        <w:tabs>
          <w:tab w:val="clear" w:pos="709"/>
          <w:tab w:val="left" w:pos="1080"/>
        </w:tabs>
        <w:suppressAutoHyphens w:val="0"/>
        <w:spacing w:after="0" w:line="240" w:lineRule="auto"/>
        <w:ind w:left="720" w:firstLine="0"/>
        <w:contextualSpacing/>
        <w:rPr>
          <w:rFonts w:ascii="Times New Roman" w:eastAsia="Calibri" w:hAnsi="Times New Roman" w:cs="Arial"/>
          <w:kern w:val="0"/>
          <w:sz w:val="24"/>
          <w:szCs w:val="24"/>
          <w:lang w:val="uk-UA" w:eastAsia="en-US"/>
        </w:rPr>
      </w:pPr>
    </w:p>
    <w:p w:rsidR="00A16840" w:rsidRPr="00A16840" w:rsidRDefault="00A16840" w:rsidP="00A16840">
      <w:pPr>
        <w:widowControl/>
        <w:tabs>
          <w:tab w:val="clear" w:pos="709"/>
        </w:tabs>
        <w:suppressAutoHyphens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uk-UA" w:eastAsia="en-US"/>
        </w:rPr>
      </w:pPr>
      <w:r>
        <w:rPr>
          <w:rFonts w:ascii="Calibri" w:eastAsia="Times New Roman" w:hAnsi="Calibri" w:cs="Times New Roman"/>
          <w:noProof/>
          <w:kern w:val="0"/>
          <w:lang w:eastAsia="ru-RU"/>
        </w:rPr>
        <w:drawing>
          <wp:inline distT="0" distB="0" distL="0" distR="0">
            <wp:extent cx="5113020" cy="2851150"/>
            <wp:effectExtent l="19050" t="0" r="0" b="0"/>
            <wp:docPr id="15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srcRect/>
                    <a:stretch>
                      <a:fillRect/>
                    </a:stretch>
                  </pic:blipFill>
                  <pic:spPr bwMode="auto">
                    <a:xfrm>
                      <a:off x="0" y="0"/>
                      <a:ext cx="5113020" cy="2851150"/>
                    </a:xfrm>
                    <a:prstGeom prst="rect">
                      <a:avLst/>
                    </a:prstGeom>
                    <a:noFill/>
                    <a:ln w="9525">
                      <a:noFill/>
                      <a:miter lim="800000"/>
                      <a:headEnd/>
                      <a:tailEnd/>
                    </a:ln>
                  </pic:spPr>
                </pic:pic>
              </a:graphicData>
            </a:graphic>
          </wp:inline>
        </w:drawing>
      </w:r>
    </w:p>
    <w:p w:rsidR="00A16840" w:rsidRPr="00A16840" w:rsidRDefault="00A16840" w:rsidP="00A16840">
      <w:pPr>
        <w:widowControl/>
        <w:tabs>
          <w:tab w:val="clear" w:pos="709"/>
        </w:tabs>
        <w:suppressAutoHyphens w:val="0"/>
        <w:autoSpaceDE w:val="0"/>
        <w:autoSpaceDN w:val="0"/>
        <w:adjustRightInd w:val="0"/>
        <w:spacing w:after="0" w:line="240" w:lineRule="auto"/>
        <w:ind w:firstLine="709"/>
        <w:jc w:val="center"/>
        <w:rPr>
          <w:rFonts w:ascii="Times New Roman" w:eastAsia="Times New Roman" w:hAnsi="Times New Roman" w:cs="TimesNewRomanPSMT"/>
          <w:kern w:val="0"/>
          <w:sz w:val="28"/>
          <w:szCs w:val="28"/>
          <w:lang w:val="uk-UA" w:eastAsia="en-US"/>
        </w:rPr>
      </w:pPr>
      <w:r w:rsidRPr="00A16840">
        <w:rPr>
          <w:rFonts w:ascii="Times New Roman" w:eastAsia="Times New Roman" w:hAnsi="Times New Roman" w:cs="Times New Roman"/>
          <w:b/>
          <w:kern w:val="0"/>
          <w:sz w:val="28"/>
          <w:szCs w:val="28"/>
          <w:lang w:val="uk-UA" w:eastAsia="en-US"/>
        </w:rPr>
        <w:t xml:space="preserve">Рис. 5. </w:t>
      </w:r>
      <w:r w:rsidRPr="00A16840">
        <w:rPr>
          <w:rFonts w:ascii="Times New Roman" w:eastAsia="Times New Roman" w:hAnsi="Times New Roman" w:cs="TimesNewRomanPSMT"/>
          <w:b/>
          <w:kern w:val="0"/>
          <w:sz w:val="28"/>
          <w:szCs w:val="28"/>
          <w:lang w:val="uk-UA" w:eastAsia="en-US"/>
        </w:rPr>
        <w:t>Результати прогнозування рівня імовірності виникнення банківської кризи в Україні на період 2014-2020 рр</w:t>
      </w:r>
      <w:r w:rsidRPr="00A16840">
        <w:rPr>
          <w:rFonts w:ascii="Times New Roman" w:eastAsia="Times New Roman" w:hAnsi="Times New Roman" w:cs="Times New Roman"/>
          <w:b/>
          <w:kern w:val="0"/>
          <w:sz w:val="28"/>
          <w:szCs w:val="28"/>
          <w:lang w:val="uk-UA" w:eastAsia="en-US"/>
        </w:rPr>
        <w:t>.</w:t>
      </w:r>
    </w:p>
    <w:p w:rsidR="00A16840" w:rsidRPr="00A16840" w:rsidRDefault="00A16840" w:rsidP="00A16840">
      <w:pPr>
        <w:widowControl/>
        <w:tabs>
          <w:tab w:val="clear" w:pos="709"/>
          <w:tab w:val="left" w:pos="1080"/>
        </w:tabs>
        <w:suppressAutoHyphens w:val="0"/>
        <w:spacing w:after="0" w:line="240" w:lineRule="auto"/>
        <w:ind w:firstLine="720"/>
        <w:contextualSpacing/>
        <w:rPr>
          <w:rFonts w:ascii="Times New Roman" w:eastAsia="Calibri" w:hAnsi="Times New Roman" w:cs="Arial"/>
          <w:kern w:val="0"/>
          <w:sz w:val="16"/>
          <w:szCs w:val="16"/>
          <w:vertAlign w:val="subscript"/>
          <w:lang w:val="uk-UA" w:eastAsia="en-US"/>
        </w:rPr>
      </w:pPr>
    </w:p>
    <w:p w:rsidR="00A16840" w:rsidRPr="00A16840" w:rsidRDefault="00A16840" w:rsidP="00A16840">
      <w:pPr>
        <w:widowControl/>
        <w:tabs>
          <w:tab w:val="clear" w:pos="709"/>
          <w:tab w:val="left" w:pos="1080"/>
        </w:tabs>
        <w:suppressAutoHyphens w:val="0"/>
        <w:spacing w:after="0" w:line="240" w:lineRule="auto"/>
        <w:contextualSpacing/>
        <w:rPr>
          <w:rFonts w:ascii="Times New Roman" w:eastAsia="Calibri" w:hAnsi="Times New Roman" w:cs="Arial"/>
          <w:kern w:val="0"/>
          <w:sz w:val="28"/>
          <w:szCs w:val="28"/>
          <w:lang w:val="uk-UA" w:eastAsia="en-US"/>
        </w:rPr>
      </w:pPr>
      <w:r w:rsidRPr="00A16840">
        <w:rPr>
          <w:rFonts w:ascii="Times New Roman" w:eastAsia="Calibri" w:hAnsi="Times New Roman" w:cs="Arial"/>
          <w:kern w:val="0"/>
          <w:sz w:val="28"/>
          <w:szCs w:val="28"/>
          <w:lang w:val="uk-UA" w:eastAsia="en-US"/>
        </w:rPr>
        <w:t xml:space="preserve">Визначено, що інкорпорування фінансових принципів ісламу може розглядатися як один із антикризових механізмів та напрям підвищення функціональної стабільності українських банків, зокрема: аманах, вадіах та кард хассан в сфері реалізації депозитних операцій (не ставиться за мету отримання відсоткового доходу) з метою підвищення рівня капіталізації банків, поповнення валютної ліквідності; мурабаха в сфері кредитування для зменшення  операційних, валютних та кредитних ризиків та підвищення якості активів банків; іджарах в сфері фінансового лізингу для підвищення рівня банківської ліквідності; мудараба в сфері інвестиційної діяльності (діє заборона дублювання контрактів, за якими здійснюється фінансова операція) з метою підвищення банківських прибутків та оптимізації управління витратами банку; мушарака (обмежує передачу ризиків підконтрольним фінансовим компаніям) в сфері інвестиційної діяльності, що дозволяє фінансово-кредитним інституціям здійснювати рефінансування дефолтних активів і не призводить до повного списання кредитів із банківського балансу. Залучення ісламських принципів у механізми макропруденційного регулювання та нагляду за діяльністю українських банків доцільно здійснювати у двох напрямках: підвищення рентабельності активів та оптимізації системи управління ризиками. </w:t>
      </w:r>
    </w:p>
    <w:p w:rsidR="00A16840" w:rsidRPr="00A16840" w:rsidRDefault="00A16840" w:rsidP="00A16840">
      <w:pPr>
        <w:widowControl/>
        <w:tabs>
          <w:tab w:val="clear" w:pos="709"/>
        </w:tabs>
        <w:suppressAutoHyphens w:val="0"/>
        <w:spacing w:after="0" w:line="240" w:lineRule="auto"/>
        <w:rPr>
          <w:rFonts w:ascii="Calibri" w:eastAsia="Times New Roman" w:hAnsi="Calibri" w:cs="Times New Roman"/>
          <w:i/>
          <w:iCs/>
          <w:kern w:val="0"/>
          <w:sz w:val="28"/>
          <w:lang w:val="uk-UA" w:eastAsia="en-US"/>
        </w:rPr>
      </w:pPr>
    </w:p>
    <w:p w:rsidR="00A16840" w:rsidRPr="00A16840" w:rsidRDefault="00A16840" w:rsidP="00A16840">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ВИСНОВКИ</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У дисертації представлено теоретичне узагальнення і запропоновано нове вирішення наукової задачі, що полягає у вдосконаленні теоретико-методологічних засад дослідження ісламського банкінгу та визначенні перспектив і напрямів </w:t>
      </w:r>
      <w:r w:rsidRPr="00A16840">
        <w:rPr>
          <w:rFonts w:ascii="Times New Roman" w:eastAsia="Times New Roman" w:hAnsi="Times New Roman" w:cs="Times New Roman"/>
          <w:kern w:val="0"/>
          <w:sz w:val="28"/>
          <w:szCs w:val="28"/>
          <w:lang w:val="uk-UA" w:eastAsia="ru-RU"/>
        </w:rPr>
        <w:t>імплементації його принципів у традиційні банківські системи. Результати проведеного дослідження дозволили сформулювати ряд висновків теоретичного і практичного характеру, основними з яких є:</w:t>
      </w:r>
    </w:p>
    <w:p w:rsidR="00A16840" w:rsidRPr="00A16840" w:rsidRDefault="00A16840" w:rsidP="00A16840">
      <w:pPr>
        <w:widowControl/>
        <w:numPr>
          <w:ilvl w:val="0"/>
          <w:numId w:val="28"/>
        </w:numPr>
        <w:tabs>
          <w:tab w:val="clear" w:pos="709"/>
          <w:tab w:val="num" w:pos="0"/>
          <w:tab w:val="left" w:pos="900"/>
          <w:tab w:val="left" w:pos="1080"/>
        </w:tabs>
        <w:suppressAutoHyphens w:val="0"/>
        <w:spacing w:after="0" w:line="240" w:lineRule="auto"/>
        <w:jc w:val="left"/>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bCs/>
          <w:kern w:val="0"/>
          <w:sz w:val="28"/>
          <w:szCs w:val="28"/>
          <w:lang w:val="uk-UA" w:eastAsia="en-US"/>
        </w:rPr>
        <w:t xml:space="preserve">Ісламський банкінг є складовою глобальної фінансової системи, що включає відповідні інститути, інфраструктуру, фінансові інструменти, моделі й ґрунтується на законах Шаріату, який стрімко розвиває свою діяльність не лише в мусульманських країнах, а й серед країн із традиційними банківськими системами. Основними принципами ісламського банкінгу виділено: ріба (заборона відсоткових операцій), гарар (заборона на операції в умовах невизначеності), заборона фінансування окремих секторів економіки, умови розподілу ризику отримання прибутку та збитків між клієнтом та банком, умови проведення банківських операцій на основі реальних активів. </w:t>
      </w:r>
    </w:p>
    <w:p w:rsidR="00A16840" w:rsidRPr="00A16840" w:rsidRDefault="00A16840" w:rsidP="00A16840">
      <w:pPr>
        <w:widowControl/>
        <w:numPr>
          <w:ilvl w:val="0"/>
          <w:numId w:val="28"/>
        </w:numPr>
        <w:tabs>
          <w:tab w:val="clear" w:pos="709"/>
          <w:tab w:val="num" w:pos="0"/>
          <w:tab w:val="left" w:pos="900"/>
          <w:tab w:val="left" w:pos="1080"/>
        </w:tabs>
        <w:suppressAutoHyphens w:val="0"/>
        <w:spacing w:after="0" w:line="240" w:lineRule="auto"/>
        <w:jc w:val="left"/>
        <w:rPr>
          <w:rFonts w:ascii="Times New Roman" w:eastAsia="TimesNewRoman" w:hAnsi="Times New Roman" w:cs="TimesNewRoman"/>
          <w:bCs/>
          <w:kern w:val="0"/>
          <w:sz w:val="28"/>
          <w:szCs w:val="28"/>
          <w:lang w:val="uk-UA" w:eastAsia="en-US" w:bidi="mr-IN"/>
        </w:rPr>
      </w:pPr>
      <w:r w:rsidRPr="00A16840">
        <w:rPr>
          <w:rFonts w:ascii="Times New Roman" w:eastAsia="Times New Roman" w:hAnsi="Times New Roman" w:cs="TimesNewRomanPSMT"/>
          <w:bCs/>
          <w:kern w:val="0"/>
          <w:sz w:val="28"/>
          <w:szCs w:val="28"/>
          <w:lang w:val="uk-UA" w:eastAsia="en-US" w:bidi="mr-IN"/>
        </w:rPr>
        <w:t>На основі виявлення основних моделей функціонування ісламського банкінгу</w:t>
      </w:r>
      <w:r w:rsidRPr="00A16840">
        <w:rPr>
          <w:rFonts w:ascii="Times New Roman" w:eastAsia="Times New Roman" w:hAnsi="Times New Roman" w:cs="Times New Roman"/>
          <w:bCs/>
          <w:kern w:val="0"/>
          <w:sz w:val="28"/>
          <w:szCs w:val="28"/>
          <w:lang w:val="uk-UA" w:eastAsia="en-US"/>
        </w:rPr>
        <w:t xml:space="preserve">  (мудараба  та  «двохвіконна») визначено його сутність як </w:t>
      </w:r>
      <w:r w:rsidRPr="00A16840">
        <w:rPr>
          <w:rFonts w:ascii="Times New Roman" w:eastAsia="Times New Roman" w:hAnsi="Times New Roman" w:cs="Times New Roman"/>
          <w:bCs/>
          <w:iCs/>
          <w:kern w:val="0"/>
          <w:sz w:val="28"/>
          <w:szCs w:val="28"/>
          <w:lang w:val="uk-UA" w:eastAsia="ru-RU"/>
        </w:rPr>
        <w:t xml:space="preserve">сукупності прийомів фінансового менеджменту, побудованих на </w:t>
      </w:r>
      <w:r w:rsidRPr="00A16840">
        <w:rPr>
          <w:rFonts w:ascii="Times New Roman" w:eastAsia="Times New Roman" w:hAnsi="Times New Roman" w:cs="Times New Roman"/>
          <w:kern w:val="0"/>
          <w:sz w:val="28"/>
          <w:szCs w:val="28"/>
          <w:lang w:val="uk-UA" w:eastAsia="en-US"/>
        </w:rPr>
        <w:t>засадах парадигми розподілу прибутків та витрат</w:t>
      </w:r>
      <w:r w:rsidRPr="00A16840">
        <w:rPr>
          <w:rFonts w:ascii="Times New Roman" w:eastAsia="Times New Roman" w:hAnsi="Times New Roman" w:cs="Times New Roman"/>
          <w:bCs/>
          <w:iCs/>
          <w:kern w:val="0"/>
          <w:sz w:val="28"/>
          <w:szCs w:val="28"/>
          <w:lang w:val="uk-UA" w:eastAsia="ru-RU"/>
        </w:rPr>
        <w:t xml:space="preserve"> </w:t>
      </w:r>
      <w:r w:rsidRPr="00A16840">
        <w:rPr>
          <w:rFonts w:ascii="Times New Roman" w:eastAsia="Times New Roman" w:hAnsi="Times New Roman" w:cs="Times New Roman"/>
          <w:kern w:val="0"/>
          <w:sz w:val="28"/>
          <w:szCs w:val="28"/>
          <w:lang w:val="uk-UA" w:eastAsia="en-US"/>
        </w:rPr>
        <w:t>відповідно законам Шаріату,</w:t>
      </w:r>
      <w:r w:rsidRPr="00A16840">
        <w:rPr>
          <w:rFonts w:ascii="Times New Roman" w:eastAsia="Times New Roman" w:hAnsi="Times New Roman" w:cs="Times New Roman"/>
          <w:bCs/>
          <w:iCs/>
          <w:kern w:val="0"/>
          <w:sz w:val="28"/>
          <w:szCs w:val="28"/>
          <w:lang w:val="uk-UA" w:eastAsia="ru-RU"/>
        </w:rPr>
        <w:t xml:space="preserve"> що передбачає забезпечення  стабільної прибутковості депозитів за умов високого рівня фідуціарних ризиків та максимізацію повернення вкладів у ісламську банківську систему через низькоризикованість інвестування</w:t>
      </w:r>
      <w:r w:rsidRPr="00A16840">
        <w:rPr>
          <w:rFonts w:ascii="Times New Roman" w:eastAsia="Times New Roman" w:hAnsi="Times New Roman" w:cs="Times New Roman"/>
          <w:bCs/>
          <w:kern w:val="0"/>
          <w:sz w:val="28"/>
          <w:szCs w:val="28"/>
          <w:lang w:val="uk-UA" w:eastAsia="en-US"/>
        </w:rPr>
        <w:t>.</w:t>
      </w:r>
      <w:r w:rsidRPr="00A16840">
        <w:rPr>
          <w:rFonts w:ascii="Times New Roman" w:eastAsia="MinionPro-Regular" w:hAnsi="Times New Roman" w:cs="MinionPro-Regular"/>
          <w:bCs/>
          <w:kern w:val="0"/>
          <w:sz w:val="28"/>
          <w:szCs w:val="28"/>
          <w:lang w:val="uk-UA" w:eastAsia="en-US" w:bidi="mr-IN"/>
        </w:rPr>
        <w:t xml:space="preserve"> Встановлено, що відмінність між фінансовими послугами та продуктами традиційного та ісламського банкінгу полягає у розподілі доданої вартості. </w:t>
      </w:r>
      <w:r w:rsidRPr="00A16840">
        <w:rPr>
          <w:rFonts w:ascii="Times New Roman" w:eastAsia="Times New Roman" w:hAnsi="Times New Roman" w:cs="Times New Roman"/>
          <w:bCs/>
          <w:kern w:val="0"/>
          <w:sz w:val="28"/>
          <w:szCs w:val="28"/>
          <w:lang w:val="uk-UA" w:eastAsia="en-US"/>
        </w:rPr>
        <w:t xml:space="preserve">На підставі дослідження принципів та умов регулювання </w:t>
      </w:r>
      <w:r w:rsidRPr="00A16840">
        <w:rPr>
          <w:rFonts w:ascii="Times New Roman" w:eastAsia="TimesNewRoman" w:hAnsi="Times New Roman" w:cs="TimesNewRoman"/>
          <w:bCs/>
          <w:kern w:val="0"/>
          <w:sz w:val="28"/>
          <w:szCs w:val="28"/>
          <w:lang w:val="uk-UA" w:eastAsia="en-US" w:bidi="mr-IN"/>
        </w:rPr>
        <w:t>ісламських банків виділено три основні моделі регулювання ісламського банкінгу (моністична,  дуалістична та традиційна модель).</w:t>
      </w:r>
    </w:p>
    <w:p w:rsidR="00A16840" w:rsidRPr="00A16840" w:rsidRDefault="00A16840" w:rsidP="00A16840">
      <w:pPr>
        <w:widowControl/>
        <w:numPr>
          <w:ilvl w:val="0"/>
          <w:numId w:val="28"/>
        </w:numPr>
        <w:tabs>
          <w:tab w:val="clear" w:pos="709"/>
          <w:tab w:val="num" w:pos="0"/>
          <w:tab w:val="left" w:pos="900"/>
          <w:tab w:val="left" w:pos="1080"/>
        </w:tabs>
        <w:suppressAutoHyphens w:val="0"/>
        <w:spacing w:after="0" w:line="240" w:lineRule="auto"/>
        <w:jc w:val="left"/>
        <w:rPr>
          <w:rFonts w:ascii="Times New Roman" w:eastAsia="Times New Roman" w:hAnsi="Times New Roman" w:cs="Times New Roman"/>
          <w:iCs/>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Виділено чинники, які сприяють поширенню ісламської моделі банківської діяльності, а саме: підвищення розуміння і усвідомлення переваг щодо фінансових рішень, які базуються на законах Шаріату; збільшення кількості мусульманського населення світу; зростання рівня його добробуту і підвищення економічної активності; посилення нормативно-правового забезпечення впровадження принципів ісламських фінансів; криза ліквідності, з якою зіткнулися великі традиційні банківські установи, особливо у Західній Європі; укріплення торговельних зв'язків між ключовими ісламськими фінансовими ринками та іншими країнами. Визначено, що чинниками, які стримують інтеграцію ісламського банкінгу до традиційних банківських систем, є </w:t>
      </w:r>
      <w:r w:rsidRPr="00A16840">
        <w:rPr>
          <w:rFonts w:ascii="Times New Roman" w:eastAsia="Times New Roman" w:hAnsi="Times New Roman" w:cs="Times New Roman"/>
          <w:iCs/>
          <w:kern w:val="0"/>
          <w:sz w:val="28"/>
          <w:szCs w:val="28"/>
          <w:lang w:val="uk-UA" w:eastAsia="en-US"/>
        </w:rPr>
        <w:t xml:space="preserve">проблеми безпосередньо в межах мусульманських країн (відсутність </w:t>
      </w:r>
      <w:r w:rsidRPr="00A16840">
        <w:rPr>
          <w:rFonts w:ascii="Times New Roman" w:eastAsia="Times New Roman" w:hAnsi="Times New Roman" w:cs="Times New Roman"/>
          <w:kern w:val="0"/>
          <w:sz w:val="28"/>
          <w:szCs w:val="28"/>
          <w:lang w:val="uk-UA" w:eastAsia="en-US"/>
        </w:rPr>
        <w:t xml:space="preserve">централізованих </w:t>
      </w:r>
      <w:r w:rsidRPr="00A16840">
        <w:rPr>
          <w:rFonts w:ascii="Times New Roman" w:eastAsia="Times New Roman" w:hAnsi="Times New Roman" w:cs="Times New Roman"/>
          <w:noProof/>
          <w:kern w:val="0"/>
          <w:sz w:val="28"/>
          <w:szCs w:val="28"/>
          <w:lang w:val="uk-UA" w:eastAsia="en-US"/>
        </w:rPr>
        <w:t xml:space="preserve">органів регулювання діяльності ісламських фінансових інститутів; відносно низький рівень капіталізації ісламських банків; недостатня ліквідність та відкритість ісламських ринків; обмежена кількість ісламських фінансових інструментів; </w:t>
      </w:r>
      <w:r w:rsidRPr="00A16840">
        <w:rPr>
          <w:rFonts w:ascii="Times New Roman" w:eastAsia="Times New Roman" w:hAnsi="Times New Roman" w:cs="Times New Roman"/>
          <w:kern w:val="0"/>
          <w:sz w:val="28"/>
          <w:szCs w:val="28"/>
          <w:lang w:val="uk-UA" w:eastAsia="en-US"/>
        </w:rPr>
        <w:t>залежність ісламських банків від цінової кон’юнктури ринку нафти</w:t>
      </w:r>
      <w:r w:rsidRPr="00A16840">
        <w:rPr>
          <w:rFonts w:ascii="Times New Roman" w:eastAsia="Times New Roman" w:hAnsi="Times New Roman" w:cs="Times New Roman"/>
          <w:iCs/>
          <w:kern w:val="0"/>
          <w:sz w:val="28"/>
          <w:szCs w:val="28"/>
          <w:lang w:val="uk-UA" w:eastAsia="en-US"/>
        </w:rPr>
        <w:t xml:space="preserve">) та проблеми поза їх межами (наявність культурного бар’єру впровадження ісламських принципів; </w:t>
      </w:r>
      <w:r w:rsidRPr="00A16840">
        <w:rPr>
          <w:rFonts w:ascii="Times New Roman" w:eastAsia="Times New Roman" w:hAnsi="Times New Roman" w:cs="Times New Roman"/>
          <w:kern w:val="0"/>
          <w:sz w:val="28"/>
          <w:szCs w:val="28"/>
          <w:lang w:val="uk-UA" w:eastAsia="en-US"/>
        </w:rPr>
        <w:t>обмежене визнання ісламських банківських інституцій центральними банками інших країн; негативне сприйняття ісламських банків з боку традиційних банків-конкурентів тощо</w:t>
      </w:r>
      <w:r w:rsidRPr="00A16840">
        <w:rPr>
          <w:rFonts w:ascii="Times New Roman" w:eastAsia="Times New Roman" w:hAnsi="Times New Roman" w:cs="Times New Roman"/>
          <w:iCs/>
          <w:kern w:val="0"/>
          <w:sz w:val="28"/>
          <w:szCs w:val="28"/>
          <w:lang w:val="uk-UA" w:eastAsia="en-US"/>
        </w:rPr>
        <w:t>).</w:t>
      </w:r>
    </w:p>
    <w:p w:rsidR="00A16840" w:rsidRPr="00A16840" w:rsidRDefault="00A16840" w:rsidP="00A16840">
      <w:pPr>
        <w:widowControl/>
        <w:numPr>
          <w:ilvl w:val="0"/>
          <w:numId w:val="28"/>
        </w:numPr>
        <w:tabs>
          <w:tab w:val="clear" w:pos="709"/>
          <w:tab w:val="num" w:pos="0"/>
          <w:tab w:val="left" w:pos="900"/>
          <w:tab w:val="left" w:pos="1080"/>
        </w:tabs>
        <w:suppressAutoHyphens w:val="0"/>
        <w:spacing w:after="0" w:line="240" w:lineRule="auto"/>
        <w:jc w:val="left"/>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Розроблено </w:t>
      </w:r>
      <w:r w:rsidRPr="00A16840">
        <w:rPr>
          <w:rFonts w:ascii="Times New Roman" w:eastAsia="Times New Roman" w:hAnsi="Times New Roman" w:cs="Times New Roman"/>
          <w:iCs/>
          <w:kern w:val="0"/>
          <w:sz w:val="28"/>
          <w:szCs w:val="28"/>
          <w:lang w:val="uk-UA" w:eastAsia="en-US"/>
        </w:rPr>
        <w:t>класифікацію країн світу за рівнем імплементації принципів ісламського банкінгу</w:t>
      </w:r>
      <w:r w:rsidRPr="00A16840">
        <w:rPr>
          <w:rFonts w:ascii="Times New Roman" w:eastAsia="Times New Roman" w:hAnsi="Times New Roman" w:cs="Times New Roman"/>
          <w:kern w:val="0"/>
          <w:sz w:val="28"/>
          <w:szCs w:val="28"/>
          <w:lang w:val="uk-UA" w:eastAsia="en-US"/>
        </w:rPr>
        <w:t xml:space="preserve"> у національних банківських системах, а саме: країни, банківські системи яких є повністю ісламізованими; країни, в яких функціонують змішані банківські системи зі значною часткою ісламських активів (понад 20%); країни, в яких функціонують змішані банківські системи з відносно незначною часткою ісламських активів (до 20%); країни, в яких функціонують традиційні банківські системи, де ісламські банківські установи відсутні або частка їх активів не перевищує 1%.</w:t>
      </w:r>
    </w:p>
    <w:p w:rsidR="00A16840" w:rsidRPr="00A16840" w:rsidRDefault="00A16840" w:rsidP="00A16840">
      <w:pPr>
        <w:widowControl/>
        <w:numPr>
          <w:ilvl w:val="0"/>
          <w:numId w:val="28"/>
        </w:numPr>
        <w:tabs>
          <w:tab w:val="clear" w:pos="709"/>
          <w:tab w:val="num" w:pos="0"/>
          <w:tab w:val="left" w:pos="900"/>
          <w:tab w:val="left" w:pos="993"/>
          <w:tab w:val="left" w:pos="1080"/>
        </w:tabs>
        <w:suppressAutoHyphens w:val="0"/>
        <w:spacing w:after="0" w:line="240" w:lineRule="auto"/>
        <w:jc w:val="left"/>
        <w:rPr>
          <w:rFonts w:ascii="Times New Roman" w:eastAsia="Calibri" w:hAnsi="Times New Roman" w:cs="Times New Roman"/>
          <w:kern w:val="0"/>
          <w:sz w:val="28"/>
          <w:szCs w:val="28"/>
          <w:lang w:val="uk-UA" w:eastAsia="ru-RU"/>
        </w:rPr>
      </w:pPr>
      <w:r w:rsidRPr="00A16840">
        <w:rPr>
          <w:rFonts w:ascii="Times New Roman" w:eastAsia="Calibri" w:hAnsi="Times New Roman" w:cs="Times New Roman"/>
          <w:kern w:val="0"/>
          <w:sz w:val="28"/>
          <w:szCs w:val="28"/>
          <w:lang w:val="uk-UA" w:eastAsia="ru-RU"/>
        </w:rPr>
        <w:t xml:space="preserve">Обґрунтовано, що серед існуючих підходів до оцінки ризиків та розробки ефективної системи управління ними, найбільш оптимальним для ісламських банків є саме внутрішньо-рейтинговий підхід, що передбачає визначення індексів ризикованості активів відповідно до їх якості, терміну придатності та імовірності дефолту з наступним агрегуванням показників з метою визначення сукупних вимог до капіталу, що зумовлено природою ісламських режимів фінансування, недостатнім розвитком системи управління ризиками. </w:t>
      </w:r>
      <w:r w:rsidRPr="00A16840">
        <w:rPr>
          <w:rFonts w:ascii="Times New Roman" w:eastAsia="Calibri" w:hAnsi="Times New Roman" w:cs="Times New Roman"/>
          <w:bCs/>
          <w:kern w:val="0"/>
          <w:sz w:val="28"/>
          <w:szCs w:val="28"/>
          <w:lang w:val="uk-UA" w:eastAsia="ru-RU"/>
        </w:rPr>
        <w:t>Ґрунтуючись на  дослідженні фінансової стійкості банківських систем</w:t>
      </w:r>
      <w:bookmarkStart w:id="0" w:name="_GoBack"/>
      <w:bookmarkEnd w:id="0"/>
      <w:r w:rsidRPr="00A16840">
        <w:rPr>
          <w:rFonts w:ascii="Times New Roman" w:eastAsia="Calibri" w:hAnsi="Times New Roman" w:cs="Times New Roman"/>
          <w:bCs/>
          <w:kern w:val="0"/>
          <w:sz w:val="28"/>
          <w:szCs w:val="28"/>
          <w:lang w:val="uk-UA" w:eastAsia="ru-RU"/>
        </w:rPr>
        <w:t xml:space="preserve">, запропоновано методику її оцінки, що базується на системі раннього сповіщення кризи і сигнальному підході та включає розрахунок композитного індексу банківської кризи. Визначені  економетричні моделі виникнення та розгортання кризи дозволяють отримати тестові оцінки рівня імовірності прояву кризових явищ та будувати прогнозні сценарії розвитку банківської системи в умовах фінансової нестабільності. </w:t>
      </w:r>
    </w:p>
    <w:p w:rsidR="00A16840" w:rsidRPr="00A16840" w:rsidRDefault="00A16840" w:rsidP="00A16840">
      <w:pPr>
        <w:widowControl/>
        <w:numPr>
          <w:ilvl w:val="0"/>
          <w:numId w:val="28"/>
        </w:numPr>
        <w:tabs>
          <w:tab w:val="clear" w:pos="709"/>
          <w:tab w:val="num" w:pos="0"/>
          <w:tab w:val="left" w:pos="900"/>
          <w:tab w:val="left" w:pos="993"/>
          <w:tab w:val="left" w:pos="1080"/>
        </w:tabs>
        <w:suppressAutoHyphens w:val="0"/>
        <w:spacing w:after="0" w:line="240" w:lineRule="auto"/>
        <w:jc w:val="left"/>
        <w:rPr>
          <w:rFonts w:ascii="Times New Roman" w:eastAsia="Calibri" w:hAnsi="Times New Roman" w:cs="Times New Roman"/>
          <w:kern w:val="0"/>
          <w:sz w:val="28"/>
          <w:szCs w:val="28"/>
          <w:lang w:val="uk-UA" w:eastAsia="ru-RU"/>
        </w:rPr>
      </w:pPr>
      <w:r w:rsidRPr="00A16840">
        <w:rPr>
          <w:rFonts w:ascii="Times New Roman" w:eastAsia="Calibri" w:hAnsi="Times New Roman" w:cs="Times New Roman"/>
          <w:kern w:val="0"/>
          <w:sz w:val="28"/>
          <w:szCs w:val="28"/>
          <w:lang w:val="uk-UA" w:eastAsia="ru-RU"/>
        </w:rPr>
        <w:t xml:space="preserve">Запропоновано комплексний методичний підхід до багаторівневого компаративного оцінювання рівня фінансової стійкості різних типів банківських систем, а саме – побудовано </w:t>
      </w:r>
      <w:r w:rsidRPr="00A16840">
        <w:rPr>
          <w:rFonts w:ascii="Times New Roman" w:eastAsia="Calibri" w:hAnsi="Times New Roman" w:cs="Times New Roman"/>
          <w:kern w:val="0"/>
          <w:sz w:val="28"/>
          <w:szCs w:val="28"/>
          <w:lang w:val="en-US" w:eastAsia="ru-RU"/>
        </w:rPr>
        <w:t>probit</w:t>
      </w:r>
      <w:r w:rsidRPr="00A16840">
        <w:rPr>
          <w:rFonts w:ascii="Times New Roman" w:eastAsia="Calibri" w:hAnsi="Times New Roman" w:cs="Times New Roman"/>
          <w:kern w:val="0"/>
          <w:sz w:val="28"/>
          <w:szCs w:val="28"/>
          <w:lang w:val="uk-UA" w:eastAsia="ru-RU"/>
        </w:rPr>
        <w:t xml:space="preserve">-модель імовірності банківської кризи, що базується на обґрунтуванні індикаторів стимулюючого та дестимулюючого впливу на фінансову стійкість банківських систем, визначенні волатильності індексу банківської кризи та системи індикаторів кризи, застосування якої уможливлює достовірну оцінку імовірності виникнення банківської кризи в ісламських, змішаних та традиційних банківських системах. Розроблена методика поєднує реалізацію трьох взаємопов’язаних етапів дослідження, а саме: по-перше, якісний аналіз (ідентифікація об’єктів та періоду дослідження, визначення критерію диференціації об’єктів аналізу, групування країн за типом банківських систем); по-друге, побудова системи раннього сповіщення криз (розрахунок індексу банківського кризи (ІВС) за окремими країнами та групами країн, ідентифікація епізодів кризи, проведення компаративного аналізу динаміки та волатильності ІВС різних типів банківських систем на основі розрахунку показників динаміки та описової статистики); по-третє, побудова економіко-математичних моделей кризи (формування системи індикаторів банківської кризи, оцінка взаємозв’язків між ІВС та системою індикаторів кризи, побудова </w:t>
      </w:r>
      <w:r w:rsidRPr="00A16840">
        <w:rPr>
          <w:rFonts w:ascii="Times New Roman" w:eastAsia="Calibri" w:hAnsi="Times New Roman" w:cs="Times New Roman"/>
          <w:kern w:val="0"/>
          <w:sz w:val="28"/>
          <w:szCs w:val="28"/>
          <w:lang w:val="en-US" w:eastAsia="ru-RU"/>
        </w:rPr>
        <w:t>probit</w:t>
      </w:r>
      <w:r w:rsidRPr="00A16840">
        <w:rPr>
          <w:rFonts w:ascii="Times New Roman" w:eastAsia="Calibri" w:hAnsi="Times New Roman" w:cs="Times New Roman"/>
          <w:kern w:val="0"/>
          <w:sz w:val="28"/>
          <w:szCs w:val="28"/>
          <w:lang w:val="uk-UA" w:eastAsia="ru-RU"/>
        </w:rPr>
        <w:t>-моделей імовірності банківської кризи за групами країн; компаративний аналіз та побудова прогнозних оцінок щодо імовірності виникнення банківської кризи).</w:t>
      </w:r>
    </w:p>
    <w:p w:rsidR="00A16840" w:rsidRPr="00A16840" w:rsidRDefault="00A16840" w:rsidP="00A16840">
      <w:pPr>
        <w:widowControl/>
        <w:numPr>
          <w:ilvl w:val="0"/>
          <w:numId w:val="28"/>
        </w:numPr>
        <w:tabs>
          <w:tab w:val="clear" w:pos="709"/>
          <w:tab w:val="num" w:pos="0"/>
          <w:tab w:val="left" w:pos="900"/>
          <w:tab w:val="left" w:pos="1080"/>
        </w:tabs>
        <w:suppressAutoHyphens w:val="0"/>
        <w:spacing w:after="0" w:line="240" w:lineRule="auto"/>
        <w:jc w:val="left"/>
        <w:rPr>
          <w:rFonts w:ascii="Times New Roman" w:eastAsia="Times New Roman" w:hAnsi="Times New Roman" w:cs="Times New Roman"/>
          <w:kern w:val="0"/>
          <w:sz w:val="28"/>
          <w:szCs w:val="28"/>
          <w:lang w:val="uk-UA" w:eastAsia="en-US"/>
        </w:rPr>
      </w:pPr>
      <w:r w:rsidRPr="00A16840">
        <w:rPr>
          <w:rFonts w:ascii="Times New Roman" w:eastAsia="TimesNewRoman" w:hAnsi="Times New Roman" w:cs="TimesNewRoman"/>
          <w:bCs/>
          <w:kern w:val="0"/>
          <w:sz w:val="28"/>
          <w:szCs w:val="28"/>
          <w:lang w:val="uk-UA" w:eastAsia="en-US" w:bidi="mr-IN"/>
        </w:rPr>
        <w:t xml:space="preserve">На основі дослідження </w:t>
      </w:r>
      <w:r w:rsidRPr="00A16840">
        <w:rPr>
          <w:rFonts w:ascii="Times New Roman" w:eastAsia="Times New Roman" w:hAnsi="Times New Roman" w:cs="Times New Roman"/>
          <w:kern w:val="0"/>
          <w:sz w:val="28"/>
          <w:szCs w:val="28"/>
          <w:lang w:val="uk-UA" w:eastAsia="en-US"/>
        </w:rPr>
        <w:t>механізму регламентації діяльності ісламських банків виділено чотири блоки міжнародних інституцій та ініціатив, які забезпечують: розробку нормативів і стандартів ісламської фінансової діяльності; фінансування ісламських економік та підтримку ліквідності ісламських фінансових установ; інформаційну підтримку та врегулювання суперечок між ісламськими фінансовими установами. Виявлено проблеми регулювання ісламського банкінгу, що знижують ступінь уніфікації їх діяльності та стримують взаємопроникнення традиційних та ісламських банківських систем: низький фактичний рівень стандартизації діяльності ісламських банків; недостатня імплементація міжнародних пруденційних, бухгалтерських та аудиторських стандартів у систему регулювання ісламського фінансового сектору; недостатня узгодженість між ісламськими та міжнародними фінансовими стандартами.</w:t>
      </w:r>
    </w:p>
    <w:p w:rsidR="00A16840" w:rsidRPr="00A16840" w:rsidRDefault="00A16840" w:rsidP="00A16840">
      <w:pPr>
        <w:widowControl/>
        <w:numPr>
          <w:ilvl w:val="0"/>
          <w:numId w:val="28"/>
        </w:numPr>
        <w:tabs>
          <w:tab w:val="clear" w:pos="709"/>
          <w:tab w:val="num" w:pos="0"/>
          <w:tab w:val="left" w:pos="900"/>
          <w:tab w:val="left" w:pos="1080"/>
        </w:tabs>
        <w:suppressAutoHyphens w:val="0"/>
        <w:spacing w:after="0" w:line="240" w:lineRule="auto"/>
        <w:contextualSpacing/>
        <w:jc w:val="left"/>
        <w:rPr>
          <w:rFonts w:ascii="Times New Roman" w:eastAsia="Calibri" w:hAnsi="Times New Roman" w:cs="Arial"/>
          <w:kern w:val="0"/>
          <w:sz w:val="28"/>
          <w:szCs w:val="28"/>
          <w:lang w:val="uk-UA" w:eastAsia="en-US"/>
        </w:rPr>
      </w:pPr>
      <w:r w:rsidRPr="00A16840">
        <w:rPr>
          <w:rFonts w:ascii="Times New Roman" w:eastAsia="Calibri" w:hAnsi="Times New Roman" w:cs="Arial"/>
          <w:kern w:val="0"/>
          <w:sz w:val="28"/>
          <w:szCs w:val="28"/>
          <w:lang w:val="uk-UA" w:eastAsia="en-US"/>
        </w:rPr>
        <w:t>Запропоновано концептуальну модель регулювання ісламського банкінгу, яка включає діяльність ісламських міждержавних органів на регіональному, наднаціональному та глобальному рівнях, враховує вплив на них міжнародних фінансових інституцій, дозволяє підвищити узгодженість між специфічною системою регулювання ісламської банківської діяльності й загальним механізмом регулювання світового фінансового ринку та виробити якісно нові інструменти стабілізації банківських систем, засновані на практичному досвіді у сфері протидії фінансовим кризам.</w:t>
      </w:r>
    </w:p>
    <w:p w:rsidR="00A16840" w:rsidRPr="00A16840" w:rsidRDefault="00A16840" w:rsidP="00A16840">
      <w:pPr>
        <w:widowControl/>
        <w:numPr>
          <w:ilvl w:val="0"/>
          <w:numId w:val="28"/>
        </w:numPr>
        <w:tabs>
          <w:tab w:val="clear" w:pos="709"/>
          <w:tab w:val="num" w:pos="0"/>
          <w:tab w:val="left" w:pos="900"/>
          <w:tab w:val="left" w:pos="1080"/>
        </w:tabs>
        <w:suppressAutoHyphens w:val="0"/>
        <w:spacing w:after="0" w:line="240" w:lineRule="auto"/>
        <w:contextualSpacing/>
        <w:jc w:val="left"/>
        <w:rPr>
          <w:rFonts w:ascii="Times New Roman" w:eastAsia="Calibri" w:hAnsi="Times New Roman" w:cs="TimesNewRomanPSMT"/>
          <w:kern w:val="0"/>
          <w:sz w:val="28"/>
          <w:szCs w:val="28"/>
          <w:lang w:val="uk-UA" w:eastAsia="en-US"/>
        </w:rPr>
      </w:pPr>
      <w:r w:rsidRPr="00A16840">
        <w:rPr>
          <w:rFonts w:ascii="Times New Roman" w:eastAsia="TimesNewRoman" w:hAnsi="Times New Roman" w:cs="TimesNewRoman"/>
          <w:bCs/>
          <w:kern w:val="0"/>
          <w:sz w:val="28"/>
          <w:szCs w:val="28"/>
          <w:lang w:val="uk-UA" w:eastAsia="ru-RU" w:bidi="mr-IN"/>
        </w:rPr>
        <w:t xml:space="preserve">Для визначення перспектив подальшого розвитку ісламського банкінгу обґрунтовано, </w:t>
      </w:r>
      <w:r w:rsidRPr="00A16840">
        <w:rPr>
          <w:rFonts w:ascii="Times New Roman" w:eastAsia="Calibri" w:hAnsi="Times New Roman" w:cs="Arial"/>
          <w:kern w:val="0"/>
          <w:sz w:val="28"/>
          <w:szCs w:val="28"/>
          <w:lang w:val="uk-UA" w:eastAsia="en-US"/>
        </w:rPr>
        <w:t>що взаємодія міжнародних та ісламських стандартів достатності капіталу і ліквідності банківських установ має однобічний характер (ісламські стандарти частково враховують вимоги міжнародних стандартів, однак у міжнародних нормативах різницю між ісламськими і традиційними банками не враховано), що спричиняє диференційовані наслідки впровадження вимог Базелю ІІІ у різних типах банківських установ. З підвищенням ролі ісламських банків у світовій фінансовій системі доцільним є перегляд існуючих міжнародних стандартів, що регламентують діяльність фінансових установ, у бік врахування специфіки ісламського банкінгу.</w:t>
      </w:r>
    </w:p>
    <w:p w:rsidR="00A16840" w:rsidRPr="00A16840" w:rsidRDefault="00A16840" w:rsidP="00A16840">
      <w:pPr>
        <w:widowControl/>
        <w:numPr>
          <w:ilvl w:val="0"/>
          <w:numId w:val="28"/>
        </w:numPr>
        <w:tabs>
          <w:tab w:val="clear" w:pos="709"/>
          <w:tab w:val="num" w:pos="0"/>
          <w:tab w:val="left" w:pos="900"/>
          <w:tab w:val="left" w:pos="1080"/>
        </w:tabs>
        <w:suppressAutoHyphens w:val="0"/>
        <w:spacing w:after="0" w:line="240" w:lineRule="auto"/>
        <w:jc w:val="left"/>
        <w:rPr>
          <w:rFonts w:ascii="Times New Roman" w:eastAsia="Times New Roman" w:hAnsi="Times New Roman" w:cs="Times New Roman"/>
          <w:kern w:val="0"/>
          <w:sz w:val="28"/>
          <w:szCs w:val="28"/>
          <w:lang w:val="uk-UA" w:eastAsia="en-US"/>
        </w:rPr>
      </w:pPr>
      <w:r w:rsidRPr="00A16840">
        <w:rPr>
          <w:rFonts w:ascii="Times New Roman" w:eastAsia="TimesNewRoman" w:hAnsi="Times New Roman" w:cs="TimesNewRoman"/>
          <w:bCs/>
          <w:kern w:val="0"/>
          <w:sz w:val="28"/>
          <w:szCs w:val="28"/>
          <w:lang w:val="uk-UA" w:eastAsia="en-US" w:bidi="mr-IN"/>
        </w:rPr>
        <w:t xml:space="preserve"> Запропоновано </w:t>
      </w:r>
      <w:r w:rsidRPr="00A16840">
        <w:rPr>
          <w:rFonts w:ascii="Times New Roman" w:eastAsia="Times New Roman" w:hAnsi="Times New Roman" w:cs="Times New Roman"/>
          <w:kern w:val="0"/>
          <w:sz w:val="28"/>
          <w:szCs w:val="28"/>
          <w:lang w:val="uk-UA" w:eastAsia="en-US"/>
        </w:rPr>
        <w:t>напрями імплементації принципів ісламського банкінгу у систему антикризових заходів українських банків, зокрема: аманах, вадіах та кард хассан у сфері реалізації депозитних операцій (не ставиться за мету отримання відсоткового доходу) з метою підвищення рівня капіталізації банків, поповнення валютної ліквідності; мурабаха в сфері кредитування для зменшення  операційних, валютних та кредитних ризиків та підвищення якості активів банків; іджарах в сфері фінансового лізингу для підвищення рівня банківської ліквідності; мудараба в сфері інвестиційної діяльності (діє заборона дублювання контрактів, за якими здійснюється фінансова операція) з метою підвищення банківських прибутків та оптимізації управління витратами банку; мушарака (обмежує передачу ризиків підконтрольним фінансовим компаніям) у сфері інвестиційної діяльності, що дозволяє фінансово-кредитним інституціям здійснювати рефінансування дефолтних активів і не призводить до повного списання кредитів із банківського балансу. Визначено, що інкорпорування фінансових принципів ісламу може розглядатися як один із механізмів підвищення стабільності та забезпечення низькоризикового функціонування українських банків.</w:t>
      </w:r>
    </w:p>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b/>
          <w:bCs/>
          <w:kern w:val="0"/>
          <w:sz w:val="28"/>
          <w:szCs w:val="28"/>
          <w:lang w:val="uk-UA" w:eastAsia="ru-RU"/>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Calibri" w:hAnsi="Times New Roman" w:cs="Times New Roman"/>
          <w:b/>
          <w:bCs/>
          <w:kern w:val="0"/>
          <w:sz w:val="28"/>
          <w:szCs w:val="28"/>
          <w:lang w:eastAsia="ru-RU"/>
        </w:rPr>
      </w:pPr>
      <w:r w:rsidRPr="00A16840">
        <w:rPr>
          <w:rFonts w:ascii="Times New Roman" w:eastAsia="Calibri" w:hAnsi="Times New Roman" w:cs="Times New Roman"/>
          <w:b/>
          <w:bCs/>
          <w:kern w:val="0"/>
          <w:sz w:val="28"/>
          <w:szCs w:val="28"/>
          <w:lang w:eastAsia="ru-RU"/>
        </w:rPr>
        <w:t>СПИСОК ОПУБЛІКОВАНИХ ПРАЦЬ ЗА ТЕМОЮ ДИСЕРТАЦІЇ</w:t>
      </w:r>
    </w:p>
    <w:p w:rsidR="00A16840" w:rsidRPr="00A16840" w:rsidRDefault="00A16840" w:rsidP="00A16840">
      <w:pPr>
        <w:widowControl/>
        <w:tabs>
          <w:tab w:val="clear" w:pos="709"/>
        </w:tabs>
        <w:suppressAutoHyphens w:val="0"/>
        <w:spacing w:after="0" w:line="240" w:lineRule="auto"/>
        <w:ind w:firstLine="0"/>
        <w:contextualSpacing/>
        <w:jc w:val="center"/>
        <w:rPr>
          <w:rFonts w:ascii="Times New Roman" w:eastAsia="Times New Roman" w:hAnsi="Times New Roman" w:cs="Times New Roman"/>
          <w:b/>
          <w:i/>
          <w:kern w:val="0"/>
          <w:sz w:val="28"/>
          <w:szCs w:val="28"/>
          <w:lang w:val="uk-UA" w:eastAsia="en-US"/>
        </w:rPr>
      </w:pPr>
      <w:r w:rsidRPr="00A16840">
        <w:rPr>
          <w:rFonts w:ascii="Times New Roman" w:eastAsia="Times New Roman" w:hAnsi="Times New Roman" w:cs="Times New Roman"/>
          <w:b/>
          <w:i/>
          <w:kern w:val="0"/>
          <w:sz w:val="28"/>
          <w:szCs w:val="28"/>
          <w:lang w:val="uk-UA" w:eastAsia="en-US"/>
        </w:rPr>
        <w:t>Публікації у наукових фахових виданнях:</w:t>
      </w:r>
    </w:p>
    <w:p w:rsidR="00A16840" w:rsidRPr="00A16840" w:rsidRDefault="00A16840" w:rsidP="00A16840">
      <w:pPr>
        <w:widowControl/>
        <w:numPr>
          <w:ilvl w:val="0"/>
          <w:numId w:val="11"/>
        </w:numPr>
        <w:tabs>
          <w:tab w:val="clear" w:pos="720"/>
          <w:tab w:val="num" w:pos="993"/>
        </w:tabs>
        <w:suppressAutoHyphens w:val="0"/>
        <w:spacing w:after="0" w:line="240" w:lineRule="auto"/>
        <w:ind w:left="0" w:firstLine="567"/>
        <w:jc w:val="left"/>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Гасанов М.М. </w:t>
      </w:r>
      <w:r w:rsidRPr="00A16840">
        <w:rPr>
          <w:rFonts w:ascii="Times New Roman" w:eastAsia="Times New Roman" w:hAnsi="Times New Roman" w:cs="Times New Roman"/>
          <w:bCs/>
          <w:kern w:val="0"/>
          <w:sz w:val="28"/>
          <w:szCs w:val="28"/>
          <w:lang w:val="uk-UA" w:eastAsia="en-US"/>
        </w:rPr>
        <w:t xml:space="preserve">Ісламська фінансова система в умовах інституційних викликів: проблеми регулювання </w:t>
      </w:r>
      <w:r w:rsidRPr="00A16840">
        <w:rPr>
          <w:rFonts w:ascii="Times New Roman" w:eastAsia="Times New Roman" w:hAnsi="Times New Roman" w:cs="Times New Roman"/>
          <w:kern w:val="0"/>
          <w:sz w:val="28"/>
          <w:szCs w:val="28"/>
          <w:lang w:val="uk-UA" w:eastAsia="en-US"/>
        </w:rPr>
        <w:t>/ М.М. Гасанов // Актуальні проблеми міжнародних відносин: зб. наук. пр. – К.: Інститут міжнародних відносин Київського національного університету імені Тараса Шевченка, 2013. – Випуск 114 (Ч.1).</w:t>
      </w:r>
      <w:r w:rsidRPr="00A16840">
        <w:rPr>
          <w:rFonts w:ascii="Times New Roman" w:eastAsia="Times New Roman" w:hAnsi="Times New Roman" w:cs="Times New Roman"/>
          <w:b/>
          <w:kern w:val="0"/>
          <w:sz w:val="28"/>
          <w:szCs w:val="28"/>
          <w:lang w:val="uk-UA" w:eastAsia="en-US"/>
        </w:rPr>
        <w:t xml:space="preserve"> </w:t>
      </w:r>
      <w:r w:rsidRPr="00A16840">
        <w:rPr>
          <w:rFonts w:ascii="Times New Roman" w:eastAsia="Times New Roman" w:hAnsi="Times New Roman" w:cs="Times New Roman"/>
          <w:kern w:val="0"/>
          <w:sz w:val="28"/>
          <w:szCs w:val="28"/>
          <w:lang w:val="uk-UA" w:eastAsia="en-US"/>
        </w:rPr>
        <w:t>– С.179-185 (0,5 д.а.)</w:t>
      </w:r>
    </w:p>
    <w:p w:rsidR="00A16840" w:rsidRPr="00A16840" w:rsidRDefault="00A16840" w:rsidP="00A16840">
      <w:pPr>
        <w:widowControl/>
        <w:numPr>
          <w:ilvl w:val="0"/>
          <w:numId w:val="11"/>
        </w:numPr>
        <w:tabs>
          <w:tab w:val="clear" w:pos="720"/>
          <w:tab w:val="num" w:pos="993"/>
        </w:tabs>
        <w:suppressAutoHyphens w:val="0"/>
        <w:spacing w:after="0" w:line="240" w:lineRule="auto"/>
        <w:ind w:left="0" w:firstLine="567"/>
        <w:jc w:val="left"/>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kern w:val="0"/>
          <w:sz w:val="28"/>
          <w:szCs w:val="28"/>
          <w:lang w:val="uk-UA" w:eastAsia="en-US"/>
        </w:rPr>
        <w:t>Гасанов М.М. Тенденції ісламізації міжнародного банківського капіталу / М.М. Гасанов // Проблемы развития внешнеэкономических связей и привлечения иностранных инвестиций: региональный аспект: с</w:t>
      </w:r>
      <w:r w:rsidRPr="00A16840">
        <w:rPr>
          <w:rFonts w:ascii="Times New Roman" w:eastAsia="Times New Roman" w:hAnsi="Times New Roman" w:cs="Times New Roman"/>
          <w:kern w:val="0"/>
          <w:sz w:val="28"/>
          <w:szCs w:val="28"/>
          <w:lang w:eastAsia="en-US"/>
        </w:rPr>
        <w:t>б. науч</w:t>
      </w:r>
      <w:r w:rsidRPr="00A16840">
        <w:rPr>
          <w:rFonts w:ascii="Times New Roman" w:eastAsia="Times New Roman" w:hAnsi="Times New Roman" w:cs="Times New Roman"/>
          <w:kern w:val="0"/>
          <w:sz w:val="28"/>
          <w:szCs w:val="28"/>
          <w:lang w:val="uk-UA" w:eastAsia="en-US"/>
        </w:rPr>
        <w:t>.</w:t>
      </w:r>
      <w:r w:rsidRPr="00A16840">
        <w:rPr>
          <w:rFonts w:ascii="Times New Roman" w:eastAsia="Times New Roman" w:hAnsi="Times New Roman" w:cs="Times New Roman"/>
          <w:kern w:val="0"/>
          <w:sz w:val="28"/>
          <w:szCs w:val="28"/>
          <w:lang w:eastAsia="en-US"/>
        </w:rPr>
        <w:t xml:space="preserve"> </w:t>
      </w:r>
      <w:r w:rsidRPr="00A16840">
        <w:rPr>
          <w:rFonts w:ascii="Times New Roman" w:eastAsia="Times New Roman" w:hAnsi="Times New Roman" w:cs="Times New Roman"/>
          <w:kern w:val="0"/>
          <w:sz w:val="28"/>
          <w:szCs w:val="28"/>
          <w:lang w:val="uk-UA" w:eastAsia="en-US"/>
        </w:rPr>
        <w:t>т</w:t>
      </w:r>
      <w:r w:rsidRPr="00A16840">
        <w:rPr>
          <w:rFonts w:ascii="Times New Roman" w:eastAsia="Times New Roman" w:hAnsi="Times New Roman" w:cs="Times New Roman"/>
          <w:kern w:val="0"/>
          <w:sz w:val="28"/>
          <w:szCs w:val="28"/>
          <w:lang w:eastAsia="en-US"/>
        </w:rPr>
        <w:t>р</w:t>
      </w:r>
      <w:r w:rsidRPr="00A16840">
        <w:rPr>
          <w:rFonts w:ascii="Times New Roman" w:eastAsia="Times New Roman" w:hAnsi="Times New Roman" w:cs="Times New Roman"/>
          <w:kern w:val="0"/>
          <w:sz w:val="28"/>
          <w:szCs w:val="28"/>
          <w:lang w:val="uk-UA" w:eastAsia="en-US"/>
        </w:rPr>
        <w:t xml:space="preserve">. – Донецк: ДонНУ, 2013. – Том 2. – С. 67-69 (0,5 д.а.) </w:t>
      </w:r>
      <w:r w:rsidRPr="00A16840">
        <w:rPr>
          <w:rFonts w:ascii="Times New Roman" w:eastAsia="Times New Roman" w:hAnsi="Times New Roman" w:cs="Times New Roman"/>
          <w:b/>
          <w:i/>
          <w:kern w:val="0"/>
          <w:sz w:val="28"/>
          <w:szCs w:val="28"/>
          <w:lang w:val="uk-UA" w:eastAsia="en-US"/>
        </w:rPr>
        <w:t>(видання включено до міжнародних наукометричних баз)</w:t>
      </w:r>
    </w:p>
    <w:p w:rsidR="00A16840" w:rsidRPr="00A16840" w:rsidRDefault="00A16840" w:rsidP="00A16840">
      <w:pPr>
        <w:widowControl/>
        <w:numPr>
          <w:ilvl w:val="0"/>
          <w:numId w:val="11"/>
        </w:numPr>
        <w:tabs>
          <w:tab w:val="clear" w:pos="720"/>
          <w:tab w:val="num" w:pos="993"/>
        </w:tabs>
        <w:suppressAutoHyphens w:val="0"/>
        <w:spacing w:after="0" w:line="240" w:lineRule="auto"/>
        <w:ind w:left="0" w:firstLine="567"/>
        <w:jc w:val="left"/>
        <w:rPr>
          <w:rFonts w:ascii="Times New Roman" w:eastAsia="Calibri" w:hAnsi="Times New Roman" w:cs="Times New Roman"/>
          <w:kern w:val="0"/>
          <w:sz w:val="28"/>
          <w:szCs w:val="28"/>
          <w:lang w:val="uk-UA" w:eastAsia="ru-RU"/>
        </w:rPr>
      </w:pPr>
      <w:r w:rsidRPr="00A16840">
        <w:rPr>
          <w:rFonts w:ascii="Times New Roman" w:eastAsia="Calibri" w:hAnsi="Times New Roman" w:cs="Times New Roman"/>
          <w:kern w:val="0"/>
          <w:sz w:val="28"/>
          <w:szCs w:val="28"/>
          <w:lang w:val="uk-UA" w:eastAsia="ru-RU"/>
        </w:rPr>
        <w:t xml:space="preserve">Гасанов М.М. Ісламська і традиційна банківські системи перед викликами фінансової нестабільності / М.М. Гасанов // </w:t>
      </w:r>
      <w:r w:rsidRPr="00A16840">
        <w:rPr>
          <w:rFonts w:ascii="Times New Roman" w:eastAsia="TimesNewRomanPS-BoldMT" w:hAnsi="Times New Roman" w:cs="Times New Roman"/>
          <w:kern w:val="0"/>
          <w:sz w:val="28"/>
          <w:szCs w:val="28"/>
          <w:lang w:val="uk-UA" w:eastAsia="ru-RU"/>
        </w:rPr>
        <w:t xml:space="preserve">Зовнішня торгівля: економіка, фінанси, право: наук. журнал. </w:t>
      </w:r>
      <w:r w:rsidRPr="00A16840">
        <w:rPr>
          <w:rFonts w:ascii="Times New Roman" w:eastAsia="Calibri" w:hAnsi="Times New Roman" w:cs="Times New Roman"/>
          <w:kern w:val="0"/>
          <w:sz w:val="28"/>
          <w:szCs w:val="28"/>
          <w:lang w:val="uk-UA" w:eastAsia="ru-RU"/>
        </w:rPr>
        <w:t xml:space="preserve">– 2012. – №6 (65). </w:t>
      </w:r>
      <w:r w:rsidRPr="00A16840">
        <w:rPr>
          <w:rFonts w:ascii="Times New Roman" w:eastAsia="Calibri" w:hAnsi="Times New Roman" w:cs="Times New Roman"/>
          <w:bCs/>
          <w:kern w:val="0"/>
          <w:sz w:val="28"/>
          <w:szCs w:val="28"/>
          <w:lang w:val="uk-UA" w:eastAsia="ru-RU"/>
        </w:rPr>
        <w:t>– С.113-118 (0,4 д.а.)</w:t>
      </w:r>
    </w:p>
    <w:p w:rsidR="00A16840" w:rsidRPr="00A16840" w:rsidRDefault="00A16840" w:rsidP="00A16840">
      <w:pPr>
        <w:widowControl/>
        <w:numPr>
          <w:ilvl w:val="0"/>
          <w:numId w:val="11"/>
        </w:numPr>
        <w:shd w:val="clear" w:color="auto" w:fill="FFFFFF"/>
        <w:tabs>
          <w:tab w:val="clear" w:pos="720"/>
          <w:tab w:val="num" w:pos="993"/>
        </w:tabs>
        <w:suppressAutoHyphens w:val="0"/>
        <w:spacing w:after="0" w:line="240" w:lineRule="auto"/>
        <w:ind w:left="0" w:firstLine="567"/>
        <w:jc w:val="left"/>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Гасанов М.М. Парадигма розподілу прибутків і збитків, як основа ісламського банкінгу / М.М. Гасанов // Культура народов Причерноморья: науч. журнал. – 2012. - №237. – С. 20-23 (0,4 д.а.)</w:t>
      </w:r>
    </w:p>
    <w:p w:rsidR="00A16840" w:rsidRPr="00A16840" w:rsidRDefault="00A16840" w:rsidP="00A16840">
      <w:pPr>
        <w:widowControl/>
        <w:numPr>
          <w:ilvl w:val="0"/>
          <w:numId w:val="11"/>
        </w:numPr>
        <w:shd w:val="clear" w:color="auto" w:fill="FFFFFF"/>
        <w:tabs>
          <w:tab w:val="clear" w:pos="720"/>
          <w:tab w:val="num" w:pos="993"/>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en-US"/>
        </w:rPr>
      </w:pPr>
      <w:r w:rsidRPr="00A16840">
        <w:rPr>
          <w:rFonts w:ascii="Times New Roman" w:eastAsia="Times New Roman" w:hAnsi="Times New Roman" w:cs="Times New Roman"/>
          <w:spacing w:val="-2"/>
          <w:kern w:val="0"/>
          <w:sz w:val="28"/>
          <w:szCs w:val="28"/>
          <w:lang w:val="uk-UA" w:eastAsia="en-US"/>
        </w:rPr>
        <w:t xml:space="preserve">Гасанов М.М. Роль банків у відновленні глобальної фінансової стабільності / М.М. Гасанов // Актуальні проблеми міжнародних відносин: зб. наук. пр. – К.: Інститут міжнародних відносин Київського національного університету імені Тараса Шевченка, 2012. – </w:t>
      </w:r>
      <w:r w:rsidRPr="00A16840">
        <w:rPr>
          <w:rFonts w:ascii="Times New Roman" w:eastAsia="Times New Roman" w:hAnsi="Times New Roman" w:cs="Times New Roman"/>
          <w:bCs/>
          <w:spacing w:val="-2"/>
          <w:kern w:val="0"/>
          <w:sz w:val="28"/>
          <w:szCs w:val="28"/>
          <w:lang w:val="uk-UA" w:eastAsia="en-US"/>
        </w:rPr>
        <w:t>Випуск 110 (Ч. ІI)</w:t>
      </w:r>
      <w:r w:rsidRPr="00A16840">
        <w:rPr>
          <w:rFonts w:ascii="Times New Roman" w:eastAsia="Times New Roman" w:hAnsi="Times New Roman" w:cs="Times New Roman"/>
          <w:spacing w:val="-2"/>
          <w:kern w:val="0"/>
          <w:sz w:val="28"/>
          <w:szCs w:val="28"/>
          <w:lang w:val="uk-UA" w:eastAsia="en-US"/>
        </w:rPr>
        <w:t xml:space="preserve">. </w:t>
      </w:r>
      <w:r w:rsidRPr="00A16840">
        <w:rPr>
          <w:rFonts w:ascii="Times New Roman" w:eastAsia="Times New Roman" w:hAnsi="Times New Roman" w:cs="Times New Roman"/>
          <w:bCs/>
          <w:spacing w:val="-2"/>
          <w:kern w:val="0"/>
          <w:sz w:val="28"/>
          <w:szCs w:val="28"/>
          <w:lang w:val="uk-UA" w:eastAsia="en-US"/>
        </w:rPr>
        <w:t>– С.101-103 (0,4 д.а.)</w:t>
      </w:r>
    </w:p>
    <w:p w:rsidR="00A16840" w:rsidRPr="00A16840" w:rsidRDefault="00A16840" w:rsidP="00A16840">
      <w:pPr>
        <w:widowControl/>
        <w:tabs>
          <w:tab w:val="clear" w:pos="709"/>
        </w:tabs>
        <w:suppressAutoHyphens w:val="0"/>
        <w:spacing w:after="0" w:line="240" w:lineRule="auto"/>
        <w:ind w:firstLine="0"/>
        <w:contextualSpacing/>
        <w:jc w:val="center"/>
        <w:rPr>
          <w:rFonts w:ascii="Times New Roman" w:eastAsia="Times New Roman" w:hAnsi="Times New Roman" w:cs="Times New Roman"/>
          <w:b/>
          <w:bCs/>
          <w:i/>
          <w:kern w:val="0"/>
          <w:sz w:val="28"/>
          <w:szCs w:val="28"/>
          <w:lang w:val="uk-UA" w:eastAsia="en-US"/>
        </w:rPr>
      </w:pPr>
      <w:r w:rsidRPr="00A16840">
        <w:rPr>
          <w:rFonts w:ascii="Times New Roman" w:eastAsia="Times New Roman" w:hAnsi="Times New Roman" w:cs="Times New Roman"/>
          <w:b/>
          <w:bCs/>
          <w:i/>
          <w:kern w:val="0"/>
          <w:sz w:val="28"/>
          <w:szCs w:val="28"/>
          <w:lang w:val="uk-UA" w:eastAsia="en-US"/>
        </w:rPr>
        <w:t>Статті у наукових періодичних виданнях інших держав:</w:t>
      </w:r>
    </w:p>
    <w:p w:rsidR="00A16840" w:rsidRPr="00A16840" w:rsidRDefault="00A16840" w:rsidP="00A16840">
      <w:pPr>
        <w:widowControl/>
        <w:numPr>
          <w:ilvl w:val="0"/>
          <w:numId w:val="11"/>
        </w:numPr>
        <w:shd w:val="clear" w:color="auto" w:fill="FFFFFF"/>
        <w:tabs>
          <w:tab w:val="clear" w:pos="720"/>
          <w:tab w:val="num" w:pos="0"/>
          <w:tab w:val="left" w:pos="993"/>
        </w:tabs>
        <w:suppressAutoHyphens w:val="0"/>
        <w:spacing w:after="0" w:line="240" w:lineRule="auto"/>
        <w:ind w:left="0" w:firstLine="567"/>
        <w:jc w:val="left"/>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Гасанов М.М. Системные характеристики и перспективы распространения исламского банкинга / М.М. Гасанов // Scientific Literatures (Научные труды): науч. журнал. – Баку: Институт экономики Национальной академии наук Азербайджана, 2013. – Выпуск ІІ. – С.116-121 (0,4 д.а.)</w:t>
      </w:r>
    </w:p>
    <w:p w:rsidR="00A16840" w:rsidRPr="00A16840" w:rsidRDefault="00A16840" w:rsidP="00A16840">
      <w:pPr>
        <w:widowControl/>
        <w:numPr>
          <w:ilvl w:val="0"/>
          <w:numId w:val="11"/>
        </w:numPr>
        <w:shd w:val="clear" w:color="auto" w:fill="FFFFFF"/>
        <w:tabs>
          <w:tab w:val="clear" w:pos="720"/>
          <w:tab w:val="num" w:pos="0"/>
          <w:tab w:val="left" w:pos="993"/>
        </w:tabs>
        <w:suppressAutoHyphens w:val="0"/>
        <w:spacing w:after="0" w:line="240" w:lineRule="auto"/>
        <w:ind w:left="0" w:firstLine="567"/>
        <w:jc w:val="left"/>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bCs/>
          <w:kern w:val="0"/>
          <w:sz w:val="28"/>
          <w:szCs w:val="28"/>
          <w:lang w:val="uk-UA" w:eastAsia="en-US"/>
        </w:rPr>
        <w:t xml:space="preserve">Gasanov М.М. Determinants of the Islamic banking expansion in the globalization context / М.М. Gasanov // Regionlni Razvoj I Demografski Tokovi Zemalja Jugoistocne Evrope:  Univerzitet u Nisu Trjnomiski Fakultet. – 2013. – Nis №18. – </w:t>
      </w:r>
      <w:r w:rsidRPr="00A16840">
        <w:rPr>
          <w:rFonts w:ascii="Times New Roman" w:eastAsia="Times New Roman" w:hAnsi="Times New Roman" w:cs="Times New Roman"/>
          <w:bCs/>
          <w:kern w:val="0"/>
          <w:sz w:val="28"/>
          <w:szCs w:val="28"/>
          <w:lang w:val="en-US" w:eastAsia="en-US"/>
        </w:rPr>
        <w:t>P</w:t>
      </w:r>
      <w:r w:rsidRPr="00A16840">
        <w:rPr>
          <w:rFonts w:ascii="Times New Roman" w:eastAsia="Times New Roman" w:hAnsi="Times New Roman" w:cs="Times New Roman"/>
          <w:bCs/>
          <w:kern w:val="0"/>
          <w:sz w:val="28"/>
          <w:szCs w:val="28"/>
          <w:lang w:val="uk-UA" w:eastAsia="en-US"/>
        </w:rPr>
        <w:t>. 751-757 (0,4 д.а.)</w:t>
      </w:r>
    </w:p>
    <w:p w:rsidR="00A16840" w:rsidRPr="00A16840" w:rsidRDefault="00A16840" w:rsidP="00A16840">
      <w:pPr>
        <w:widowControl/>
        <w:tabs>
          <w:tab w:val="clear" w:pos="709"/>
        </w:tabs>
        <w:suppressAutoHyphens w:val="0"/>
        <w:spacing w:after="0" w:line="240" w:lineRule="auto"/>
        <w:ind w:firstLine="0"/>
        <w:contextualSpacing/>
        <w:jc w:val="center"/>
        <w:rPr>
          <w:rFonts w:ascii="Times New Roman" w:eastAsia="Times New Roman" w:hAnsi="Times New Roman" w:cs="Times New Roman"/>
          <w:b/>
          <w:i/>
          <w:kern w:val="0"/>
          <w:sz w:val="28"/>
          <w:szCs w:val="28"/>
          <w:lang w:val="uk-UA" w:eastAsia="en-US"/>
        </w:rPr>
      </w:pPr>
      <w:r w:rsidRPr="00A16840">
        <w:rPr>
          <w:rFonts w:ascii="Times New Roman" w:eastAsia="Times New Roman" w:hAnsi="Times New Roman" w:cs="Times New Roman"/>
          <w:b/>
          <w:i/>
          <w:kern w:val="0"/>
          <w:sz w:val="28"/>
          <w:szCs w:val="28"/>
          <w:lang w:val="uk-UA" w:eastAsia="en-US"/>
        </w:rPr>
        <w:t>Інші публікації за темою дисертації:</w:t>
      </w:r>
    </w:p>
    <w:p w:rsidR="00A16840" w:rsidRPr="00A16840" w:rsidRDefault="00A16840" w:rsidP="00A16840">
      <w:pPr>
        <w:widowControl/>
        <w:numPr>
          <w:ilvl w:val="0"/>
          <w:numId w:val="11"/>
        </w:numPr>
        <w:tabs>
          <w:tab w:val="clear" w:pos="720"/>
          <w:tab w:val="num" w:pos="0"/>
          <w:tab w:val="left" w:pos="993"/>
        </w:tabs>
        <w:suppressAutoHyphens w:val="0"/>
        <w:spacing w:after="0" w:line="240" w:lineRule="auto"/>
        <w:ind w:left="0" w:firstLine="567"/>
        <w:jc w:val="left"/>
        <w:rPr>
          <w:rFonts w:ascii="Times New Roman" w:eastAsia="Times New Roman" w:hAnsi="Times New Roman" w:cs="Times New Roman"/>
          <w:b/>
          <w:bCs/>
          <w:kern w:val="0"/>
          <w:sz w:val="28"/>
          <w:szCs w:val="28"/>
          <w:lang w:val="uk-UA" w:eastAsia="en-US"/>
        </w:rPr>
      </w:pPr>
      <w:r w:rsidRPr="00A16840">
        <w:rPr>
          <w:rFonts w:ascii="Times New Roman" w:eastAsia="Times New Roman" w:hAnsi="Times New Roman" w:cs="Times New Roman"/>
          <w:kern w:val="0"/>
          <w:sz w:val="28"/>
          <w:szCs w:val="28"/>
          <w:lang w:val="uk-UA" w:eastAsia="en-US"/>
        </w:rPr>
        <w:t>Гасанов М.М. Ісламський банкінг на Близькому Сході / М.М. Гасанов // Актуальні проблеми фінансової системи України: матеріали Х міжнар. наук.-практ. конф. молодих вчених, аспірантів і студентів, 18-19 квіня 2013 р. – Черкаси: Черкаський державний технологічний університет, 2013. – С. 46-47 (0,2 д.а.)</w:t>
      </w:r>
    </w:p>
    <w:p w:rsidR="00A16840" w:rsidRPr="00A16840" w:rsidRDefault="00A16840" w:rsidP="00A16840">
      <w:pPr>
        <w:widowControl/>
        <w:numPr>
          <w:ilvl w:val="0"/>
          <w:numId w:val="11"/>
        </w:numPr>
        <w:tabs>
          <w:tab w:val="clear" w:pos="720"/>
          <w:tab w:val="num" w:pos="0"/>
          <w:tab w:val="left" w:pos="993"/>
        </w:tabs>
        <w:suppressAutoHyphens w:val="0"/>
        <w:spacing w:after="0" w:line="240" w:lineRule="auto"/>
        <w:ind w:left="0" w:firstLine="567"/>
        <w:jc w:val="left"/>
        <w:rPr>
          <w:rFonts w:ascii="Times New Roman" w:eastAsia="Times New Roman" w:hAnsi="Times New Roman" w:cs="Times New Roman"/>
          <w:b/>
          <w:bCs/>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Гасанов М.М. </w:t>
      </w:r>
      <w:r w:rsidRPr="00A16840">
        <w:rPr>
          <w:rFonts w:ascii="Times New Roman" w:eastAsia="Times-Roman" w:hAnsi="Times New Roman" w:cs="Times New Roman"/>
          <w:kern w:val="0"/>
          <w:sz w:val="28"/>
          <w:szCs w:val="28"/>
          <w:lang w:val="uk-UA" w:eastAsia="en-US"/>
        </w:rPr>
        <w:t xml:space="preserve">Проблема пошуку параметрів стабільного функціонування банківської системи </w:t>
      </w:r>
      <w:r w:rsidRPr="00A16840">
        <w:rPr>
          <w:rFonts w:ascii="Times New Roman" w:eastAsia="Times New Roman" w:hAnsi="Times New Roman" w:cs="Times New Roman"/>
          <w:kern w:val="0"/>
          <w:sz w:val="28"/>
          <w:szCs w:val="28"/>
          <w:lang w:val="uk-UA" w:eastAsia="en-US"/>
        </w:rPr>
        <w:t xml:space="preserve">/ М.М. Гасанов // </w:t>
      </w:r>
      <w:r w:rsidRPr="00A16840">
        <w:rPr>
          <w:rFonts w:ascii="Times New Roman" w:eastAsia="Times New Roman" w:hAnsi="Times New Roman" w:cs="Times New Roman"/>
          <w:caps/>
          <w:kern w:val="0"/>
          <w:sz w:val="28"/>
          <w:szCs w:val="28"/>
          <w:lang w:val="uk-UA" w:eastAsia="en-US"/>
        </w:rPr>
        <w:t>о</w:t>
      </w:r>
      <w:r w:rsidRPr="00A16840">
        <w:rPr>
          <w:rFonts w:ascii="Times New Roman" w:eastAsia="Times New Roman" w:hAnsi="Times New Roman" w:cs="Times New Roman"/>
          <w:kern w:val="0"/>
          <w:sz w:val="28"/>
          <w:szCs w:val="28"/>
          <w:lang w:val="uk-UA" w:eastAsia="en-US"/>
        </w:rPr>
        <w:t xml:space="preserve">рганизационно-экономические проблемы регионального развития в современных условиях: материалы междунар. </w:t>
      </w:r>
      <w:r w:rsidRPr="00A16840">
        <w:rPr>
          <w:rFonts w:ascii="Times New Roman" w:eastAsia="Times New Roman" w:hAnsi="Times New Roman" w:cs="Times New Roman"/>
          <w:kern w:val="0"/>
          <w:sz w:val="28"/>
          <w:szCs w:val="28"/>
          <w:lang w:eastAsia="en-US"/>
        </w:rPr>
        <w:t>н</w:t>
      </w:r>
      <w:r w:rsidRPr="00A16840">
        <w:rPr>
          <w:rFonts w:ascii="Times New Roman" w:eastAsia="Times New Roman" w:hAnsi="Times New Roman" w:cs="Times New Roman"/>
          <w:kern w:val="0"/>
          <w:sz w:val="28"/>
          <w:szCs w:val="28"/>
          <w:lang w:val="uk-UA" w:eastAsia="en-US"/>
        </w:rPr>
        <w:t>ауч.-практ. конф. молодых ученых, аспирантов и студентов, 19-20 апреля 2013 г. – Симферополь:</w:t>
      </w:r>
      <w:r w:rsidRPr="00A16840">
        <w:rPr>
          <w:rFonts w:ascii="Times New Roman" w:eastAsia="Times New Roman" w:hAnsi="Times New Roman" w:cs="Times New Roman"/>
          <w:kern w:val="0"/>
          <w:sz w:val="28"/>
          <w:szCs w:val="28"/>
          <w:shd w:val="clear" w:color="auto" w:fill="FFFFFF"/>
          <w:lang w:val="uk-UA" w:eastAsia="en-US"/>
        </w:rPr>
        <w:t xml:space="preserve"> Таврический национальный университет имени В.И. Вернадского,</w:t>
      </w:r>
      <w:r w:rsidRPr="00A16840">
        <w:rPr>
          <w:rFonts w:ascii="Times New Roman" w:eastAsia="Times New Roman" w:hAnsi="Times New Roman" w:cs="Times New Roman"/>
          <w:kern w:val="0"/>
          <w:sz w:val="28"/>
          <w:szCs w:val="28"/>
          <w:lang w:val="uk-UA" w:eastAsia="en-US"/>
        </w:rPr>
        <w:t xml:space="preserve"> 2013. – С.56-59 (0,2 д.а.)</w:t>
      </w:r>
    </w:p>
    <w:p w:rsidR="00A16840" w:rsidRPr="00A16840" w:rsidRDefault="00A16840" w:rsidP="00A16840">
      <w:pPr>
        <w:widowControl/>
        <w:numPr>
          <w:ilvl w:val="0"/>
          <w:numId w:val="11"/>
        </w:numPr>
        <w:tabs>
          <w:tab w:val="clear" w:pos="720"/>
          <w:tab w:val="num" w:pos="0"/>
          <w:tab w:val="left" w:pos="993"/>
        </w:tabs>
        <w:suppressAutoHyphens w:val="0"/>
        <w:spacing w:after="0" w:line="240" w:lineRule="auto"/>
        <w:ind w:left="0" w:firstLine="567"/>
        <w:jc w:val="left"/>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Гасанов М.М. Вплив Базель ІІІ на функціонування ісламських та традиційних банків: компаративний аналіз / М.М. Гасанов //  Дослідження міжнародної економіки: зб. наук. пр. – К.: Інститут світової економіки і міжнародних відносин Національної академії наук України, 2012. – Випуск 3(72). – С.165-172 (0,6 д.а.)</w:t>
      </w:r>
    </w:p>
    <w:p w:rsidR="00A16840" w:rsidRPr="00A16840" w:rsidRDefault="00A16840" w:rsidP="00A16840">
      <w:pPr>
        <w:widowControl/>
        <w:numPr>
          <w:ilvl w:val="0"/>
          <w:numId w:val="11"/>
        </w:numPr>
        <w:tabs>
          <w:tab w:val="clear" w:pos="720"/>
          <w:tab w:val="num" w:pos="0"/>
          <w:tab w:val="left" w:pos="993"/>
        </w:tabs>
        <w:suppressAutoHyphens w:val="0"/>
        <w:spacing w:after="0" w:line="240" w:lineRule="auto"/>
        <w:ind w:left="0" w:firstLine="567"/>
        <w:jc w:val="left"/>
        <w:rPr>
          <w:rFonts w:ascii="Times New Roman" w:eastAsia="Times New Roman" w:hAnsi="Times New Roman" w:cs="Times New Roman"/>
          <w:b/>
          <w:bCs/>
          <w:kern w:val="0"/>
          <w:sz w:val="28"/>
          <w:szCs w:val="28"/>
          <w:lang w:val="uk-UA" w:eastAsia="en-US"/>
        </w:rPr>
      </w:pPr>
      <w:r w:rsidRPr="00A16840">
        <w:rPr>
          <w:rFonts w:ascii="Times New Roman" w:eastAsia="Times New Roman" w:hAnsi="Times New Roman" w:cs="Times New Roman"/>
          <w:kern w:val="0"/>
          <w:sz w:val="28"/>
          <w:szCs w:val="28"/>
          <w:lang w:val="uk-UA" w:eastAsia="en-US"/>
        </w:rPr>
        <w:t>Гасанов М.М. Проблема регулювання банківської діяльності в умовах зростаючих ризиків / М.М. Гасанов // Теорія і практика сучасної економіки: матеріали ХІІІ міжнар. наук.-практ. конф., 10 листопада 2012 р. – Черкаси: Черкаський державний технологічний університет, 2012. – С.272- 274 (0,2 д.а.)</w:t>
      </w:r>
    </w:p>
    <w:p w:rsidR="00A16840" w:rsidRPr="00A16840" w:rsidRDefault="00A16840" w:rsidP="00A16840">
      <w:pPr>
        <w:widowControl/>
        <w:numPr>
          <w:ilvl w:val="0"/>
          <w:numId w:val="11"/>
        </w:numPr>
        <w:tabs>
          <w:tab w:val="clear" w:pos="720"/>
          <w:tab w:val="num" w:pos="0"/>
          <w:tab w:val="left" w:pos="993"/>
        </w:tabs>
        <w:suppressAutoHyphens w:val="0"/>
        <w:spacing w:after="0" w:line="240" w:lineRule="auto"/>
        <w:ind w:left="0" w:firstLine="567"/>
        <w:jc w:val="left"/>
        <w:rPr>
          <w:rFonts w:ascii="Times New Roman" w:eastAsia="Times New Roman" w:hAnsi="Times New Roman" w:cs="Times New Roman"/>
          <w:b/>
          <w:bCs/>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Гасанов М.М. Стабільність банківської системи в умовах конкуренції: проблема кредитної проциклічності / М.М. Гасанов // Интеграционные приоритеты Украины в современном геоэкономическом пространстве: материалы </w:t>
      </w:r>
      <w:r w:rsidRPr="00A16840">
        <w:rPr>
          <w:rFonts w:ascii="Times New Roman" w:eastAsia="Times New Roman" w:hAnsi="Times New Roman" w:cs="Times New Roman"/>
          <w:kern w:val="0"/>
          <w:sz w:val="28"/>
          <w:szCs w:val="28"/>
          <w:lang w:eastAsia="en-US"/>
        </w:rPr>
        <w:t>н</w:t>
      </w:r>
      <w:r w:rsidRPr="00A16840">
        <w:rPr>
          <w:rFonts w:ascii="Times New Roman" w:eastAsia="Times New Roman" w:hAnsi="Times New Roman" w:cs="Times New Roman"/>
          <w:kern w:val="0"/>
          <w:sz w:val="28"/>
          <w:szCs w:val="28"/>
          <w:lang w:val="uk-UA" w:eastAsia="en-US"/>
        </w:rPr>
        <w:t>ауч.-практ. конф., 28-29 сентября 2012 г. – Симферополь:</w:t>
      </w:r>
      <w:r w:rsidRPr="00A16840">
        <w:rPr>
          <w:rFonts w:ascii="Times New Roman" w:eastAsia="Times New Roman" w:hAnsi="Times New Roman" w:cs="Times New Roman"/>
          <w:kern w:val="0"/>
          <w:sz w:val="28"/>
          <w:szCs w:val="28"/>
          <w:shd w:val="clear" w:color="auto" w:fill="FFFFFF"/>
          <w:lang w:val="uk-UA" w:eastAsia="en-US"/>
        </w:rPr>
        <w:t xml:space="preserve"> Таврический национальный университет имени В.И. Вернадского</w:t>
      </w:r>
      <w:r w:rsidRPr="00A16840">
        <w:rPr>
          <w:rFonts w:ascii="Times New Roman" w:eastAsia="Times New Roman" w:hAnsi="Times New Roman" w:cs="Times New Roman"/>
          <w:kern w:val="0"/>
          <w:sz w:val="28"/>
          <w:szCs w:val="28"/>
          <w:lang w:val="uk-UA" w:eastAsia="en-US"/>
        </w:rPr>
        <w:t>, 2012. – С. 16-18 (0,2 д.а.).</w:t>
      </w:r>
    </w:p>
    <w:p w:rsidR="00A16840" w:rsidRPr="00A16840" w:rsidRDefault="00A16840" w:rsidP="00A16840">
      <w:pPr>
        <w:widowControl/>
        <w:tabs>
          <w:tab w:val="clear" w:pos="709"/>
          <w:tab w:val="left" w:pos="3060"/>
        </w:tabs>
        <w:suppressAutoHyphens w:val="0"/>
        <w:spacing w:after="0" w:line="240" w:lineRule="auto"/>
        <w:ind w:firstLine="0"/>
        <w:jc w:val="left"/>
        <w:rPr>
          <w:rFonts w:ascii="Times New Roman" w:eastAsia="Times New Roman" w:hAnsi="Times New Roman" w:cs="Times New Roman"/>
          <w:kern w:val="0"/>
          <w:lang w:val="uk-UA" w:eastAsia="en-US"/>
        </w:rPr>
      </w:pPr>
    </w:p>
    <w:p w:rsidR="00A16840" w:rsidRPr="00A16840" w:rsidRDefault="00A16840" w:rsidP="00A16840">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АНОТАЦІЯ</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Гасанов Магомед Магомедович. «Імплементація принципів ісламського банкінгу як напрям низькоризикового функціонування традиційних банківських систем».</w:t>
      </w:r>
      <w:r w:rsidRPr="00A16840">
        <w:rPr>
          <w:rFonts w:ascii="Times New Roman" w:eastAsia="Times New Roman" w:hAnsi="Times New Roman" w:cs="Times New Roman"/>
          <w:kern w:val="0"/>
          <w:sz w:val="28"/>
          <w:szCs w:val="28"/>
          <w:lang w:val="uk-UA" w:eastAsia="en-US"/>
        </w:rPr>
        <w:t xml:space="preserve"> – Рукопис.</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val="uk-UA" w:eastAsia="en-US"/>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 Маріупольський державний університет Міністерства освіти і науки України, м. Маріуполь, 2014.</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highlight w:val="cyan"/>
          <w:lang w:val="uk-UA" w:eastAsia="ru-RU"/>
        </w:rPr>
      </w:pPr>
      <w:r w:rsidRPr="00A16840">
        <w:rPr>
          <w:rFonts w:ascii="Times New Roman" w:eastAsia="Times New Roman" w:hAnsi="Times New Roman" w:cs="Times New Roman"/>
          <w:kern w:val="0"/>
          <w:sz w:val="28"/>
          <w:lang w:val="uk-UA" w:eastAsia="en-US"/>
        </w:rPr>
        <w:t>Дисертаційну роботу присвячено</w:t>
      </w:r>
      <w:r w:rsidRPr="00A16840">
        <w:rPr>
          <w:rFonts w:ascii="Calibri" w:eastAsia="Times New Roman" w:hAnsi="Calibri" w:cs="Times New Roman"/>
          <w:kern w:val="0"/>
          <w:sz w:val="28"/>
          <w:lang w:val="uk-UA" w:eastAsia="en-US"/>
        </w:rPr>
        <w:t xml:space="preserve"> </w:t>
      </w:r>
      <w:r w:rsidRPr="00A16840">
        <w:rPr>
          <w:rFonts w:ascii="Times New Roman" w:eastAsia="Times New Roman" w:hAnsi="Times New Roman" w:cs="Times New Roman"/>
          <w:bCs/>
          <w:kern w:val="0"/>
          <w:sz w:val="28"/>
          <w:szCs w:val="28"/>
          <w:lang w:val="uk-UA" w:eastAsia="ru-RU"/>
        </w:rPr>
        <w:t>розвитку теоретико-методоло</w:t>
      </w:r>
      <w:r w:rsidRPr="00A16840">
        <w:rPr>
          <w:rFonts w:ascii="Times New Roman" w:eastAsia="Times New Roman" w:hAnsi="Times New Roman" w:cs="Times New Roman"/>
          <w:kern w:val="0"/>
          <w:sz w:val="28"/>
          <w:szCs w:val="28"/>
          <w:lang w:val="uk-UA" w:eastAsia="ru-RU"/>
        </w:rPr>
        <w:t xml:space="preserve">гічних основ дослідження ісламського банкінгу і розробці науково-практичних рекомендацій щодо імплементації його принципів у традиційні банківські системи.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kern w:val="0"/>
          <w:sz w:val="28"/>
          <w:szCs w:val="28"/>
          <w:lang w:val="uk-UA" w:eastAsia="en-US"/>
        </w:rPr>
        <w:t xml:space="preserve">У роботі розглянуто </w:t>
      </w:r>
      <w:r w:rsidRPr="00A16840">
        <w:rPr>
          <w:rFonts w:ascii="Times New Roman" w:eastAsia="Times New Roman" w:hAnsi="Times New Roman" w:cs="Times New Roman"/>
          <w:bCs/>
          <w:kern w:val="0"/>
          <w:sz w:val="28"/>
          <w:szCs w:val="28"/>
          <w:lang w:val="uk-UA" w:eastAsia="en-US"/>
        </w:rPr>
        <w:t xml:space="preserve">методологічні основи дослідження ісламського банкінгу у контексті </w:t>
      </w:r>
      <w:r w:rsidRPr="00A16840">
        <w:rPr>
          <w:rFonts w:ascii="Times New Roman" w:eastAsia="Times New Roman" w:hAnsi="Times New Roman" w:cs="Times New Roman"/>
          <w:bCs/>
          <w:kern w:val="0"/>
          <w:sz w:val="28"/>
          <w:lang w:val="uk-UA" w:eastAsia="en-US"/>
        </w:rPr>
        <w:t xml:space="preserve">парадигми розвитку світової фінансової системи; виявлено </w:t>
      </w:r>
      <w:r w:rsidRPr="00A16840">
        <w:rPr>
          <w:rFonts w:ascii="Times New Roman" w:eastAsia="Times New Roman" w:hAnsi="Times New Roman" w:cs="Times New Roman"/>
          <w:bCs/>
          <w:kern w:val="0"/>
          <w:sz w:val="28"/>
          <w:szCs w:val="28"/>
          <w:lang w:val="uk-UA" w:eastAsia="en-US"/>
        </w:rPr>
        <w:t>п</w:t>
      </w:r>
      <w:r w:rsidRPr="00A16840">
        <w:rPr>
          <w:rFonts w:ascii="Times New Roman" w:eastAsia="Times New Roman" w:hAnsi="Times New Roman" w:cs="TimesNewRomanPSMT"/>
          <w:bCs/>
          <w:kern w:val="0"/>
          <w:sz w:val="28"/>
          <w:szCs w:val="28"/>
          <w:lang w:val="uk-UA" w:eastAsia="en-US" w:bidi="mr-IN"/>
        </w:rPr>
        <w:t>ринципи формування ісламського банкінгу та охарактеризовано його основні  моделі; визначено м</w:t>
      </w:r>
      <w:r w:rsidRPr="00A16840">
        <w:rPr>
          <w:rFonts w:ascii="Times New Roman" w:eastAsia="Times New Roman" w:hAnsi="Times New Roman" w:cs="Times New Roman"/>
          <w:bCs/>
          <w:kern w:val="0"/>
          <w:sz w:val="28"/>
          <w:szCs w:val="28"/>
          <w:lang w:val="uk-UA" w:eastAsia="en-US"/>
        </w:rPr>
        <w:t>етодичні підходи до оцінки рівня стабільності та фінансової стійкості банківського сектору.</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bCs/>
          <w:kern w:val="0"/>
          <w:sz w:val="28"/>
          <w:szCs w:val="28"/>
          <w:lang w:val="uk-UA" w:eastAsia="en-US"/>
        </w:rPr>
      </w:pPr>
      <w:r w:rsidRPr="00A16840">
        <w:rPr>
          <w:rFonts w:ascii="Times New Roman" w:eastAsia="Times New Roman" w:hAnsi="Times New Roman" w:cs="Times New Roman"/>
          <w:bCs/>
          <w:kern w:val="0"/>
          <w:sz w:val="28"/>
          <w:lang w:val="uk-UA" w:eastAsia="en-US"/>
        </w:rPr>
        <w:t xml:space="preserve">Досліджено роль та місце ісламського банкінгу у світовій фінансовій системі; проаналізовано сучасний стан </w:t>
      </w:r>
      <w:r w:rsidRPr="00A16840">
        <w:rPr>
          <w:rFonts w:ascii="Times New Roman" w:eastAsia="Times New Roman" w:hAnsi="Times New Roman" w:cs="Times New Roman"/>
          <w:bCs/>
          <w:kern w:val="0"/>
          <w:sz w:val="28"/>
          <w:szCs w:val="28"/>
          <w:lang w:val="uk-UA" w:eastAsia="en-US"/>
        </w:rPr>
        <w:t xml:space="preserve">інтеграції ісламського банкінгу у традиційні банківські системи; здійснено компаративний аналіз фінансової стійкості традиційних та ісламських банківських систем у сучасних умовах.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spacing w:val="-4"/>
          <w:kern w:val="0"/>
          <w:sz w:val="28"/>
          <w:szCs w:val="28"/>
          <w:lang w:val="uk-UA" w:eastAsia="en-US"/>
        </w:rPr>
      </w:pPr>
      <w:r w:rsidRPr="00A16840">
        <w:rPr>
          <w:rFonts w:ascii="Times New Roman" w:eastAsia="Times New Roman" w:hAnsi="Times New Roman" w:cs="Times New Roman"/>
          <w:bCs/>
          <w:spacing w:val="-4"/>
          <w:kern w:val="0"/>
          <w:sz w:val="28"/>
          <w:szCs w:val="28"/>
          <w:lang w:val="uk-UA" w:eastAsia="en-US"/>
        </w:rPr>
        <w:t xml:space="preserve">Визначено напрями розвитку національних систем регламентації ісламського банкінгу в сучасних умовах </w:t>
      </w:r>
      <w:r w:rsidRPr="00A16840">
        <w:rPr>
          <w:rFonts w:ascii="Times New Roman" w:eastAsia="Times New Roman" w:hAnsi="Times New Roman" w:cs="Times New Roman"/>
          <w:iCs/>
          <w:spacing w:val="-4"/>
          <w:kern w:val="0"/>
          <w:sz w:val="28"/>
          <w:szCs w:val="28"/>
          <w:lang w:val="uk-UA" w:eastAsia="en-US"/>
        </w:rPr>
        <w:t xml:space="preserve">функціонування </w:t>
      </w:r>
      <w:r w:rsidRPr="00A16840">
        <w:rPr>
          <w:rFonts w:ascii="Times New Roman" w:eastAsia="Times New Roman" w:hAnsi="Times New Roman" w:cs="Times New Roman"/>
          <w:bCs/>
          <w:spacing w:val="-4"/>
          <w:kern w:val="0"/>
          <w:sz w:val="28"/>
          <w:szCs w:val="28"/>
          <w:lang w:val="uk-UA" w:eastAsia="en-US"/>
        </w:rPr>
        <w:t>світової фінансової системи</w:t>
      </w:r>
      <w:r w:rsidRPr="00A16840">
        <w:rPr>
          <w:rFonts w:ascii="Times New Roman" w:eastAsia="Times New Roman" w:hAnsi="Times New Roman" w:cs="TimesNewRomanPSMT"/>
          <w:spacing w:val="-4"/>
          <w:kern w:val="0"/>
          <w:sz w:val="28"/>
          <w:szCs w:val="28"/>
          <w:lang w:val="uk-UA" w:eastAsia="en-US" w:bidi="mr-IN"/>
        </w:rPr>
        <w:t xml:space="preserve">; систематизовано </w:t>
      </w:r>
      <w:r w:rsidRPr="00A16840">
        <w:rPr>
          <w:rFonts w:ascii="Times New Roman" w:eastAsia="Times New Roman" w:hAnsi="Times New Roman" w:cs="Times New Roman"/>
          <w:iCs/>
          <w:spacing w:val="-4"/>
          <w:kern w:val="0"/>
          <w:sz w:val="28"/>
          <w:szCs w:val="28"/>
          <w:lang w:val="uk-UA" w:eastAsia="en-US"/>
        </w:rPr>
        <w:t>основні інституційно-регуляторні елементи функціонування ісламського банкінгу</w:t>
      </w:r>
      <w:r w:rsidRPr="00A16840">
        <w:rPr>
          <w:rFonts w:ascii="Times New Roman" w:eastAsia="Times New Roman" w:hAnsi="Times New Roman" w:cs="Times New Roman"/>
          <w:spacing w:val="-4"/>
          <w:kern w:val="0"/>
          <w:sz w:val="28"/>
          <w:szCs w:val="28"/>
          <w:lang w:val="uk-UA" w:eastAsia="en-US"/>
        </w:rPr>
        <w:t>; запропоновано напрямки імплементації принципів ісламського банкінгу у систему функціонування банківського сектору національної економіки.</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i/>
          <w:kern w:val="0"/>
          <w:sz w:val="28"/>
          <w:szCs w:val="28"/>
          <w:lang w:val="uk-UA" w:eastAsia="en-US"/>
        </w:rPr>
        <w:t>Ключові слова:</w:t>
      </w:r>
      <w:r w:rsidRPr="00A16840">
        <w:rPr>
          <w:rFonts w:ascii="Times New Roman" w:eastAsia="Times New Roman" w:hAnsi="Times New Roman" w:cs="Times New Roman"/>
          <w:kern w:val="0"/>
          <w:sz w:val="28"/>
          <w:szCs w:val="28"/>
          <w:lang w:val="uk-UA" w:eastAsia="en-US"/>
        </w:rPr>
        <w:t xml:space="preserve"> ісламська фінансова система, ісламський банкінг, традиційна та ісламська банківські системи, закони Шаріату, ісламські фінансові установи, банківська криза, пруденційний банківський нагляд.</w:t>
      </w:r>
    </w:p>
    <w:p w:rsidR="00A16840" w:rsidRPr="00A16840" w:rsidRDefault="00A16840" w:rsidP="00A1684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АННОТАЦИЯ</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eastAsia="en-US"/>
        </w:rPr>
      </w:pPr>
      <w:r w:rsidRPr="00A16840">
        <w:rPr>
          <w:rFonts w:ascii="Times New Roman" w:eastAsia="Times New Roman" w:hAnsi="Times New Roman" w:cs="Times New Roman"/>
          <w:b/>
          <w:kern w:val="0"/>
          <w:sz w:val="28"/>
          <w:szCs w:val="28"/>
          <w:lang w:eastAsia="en-US"/>
        </w:rPr>
        <w:t>Гасанов Магомед Магомедович. «Имплементация принципов исламского банкинга как направление низкорискового функционирования традиционных банковских систем». -</w:t>
      </w:r>
      <w:r w:rsidRPr="00A16840">
        <w:rPr>
          <w:rFonts w:ascii="Times New Roman" w:eastAsia="Times New Roman" w:hAnsi="Times New Roman" w:cs="Times New Roman"/>
          <w:kern w:val="0"/>
          <w:sz w:val="28"/>
          <w:szCs w:val="28"/>
          <w:lang w:eastAsia="en-US"/>
        </w:rPr>
        <w:t xml:space="preserve"> Рукопись.</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eastAsia="en-US"/>
        </w:rPr>
      </w:pPr>
      <w:r w:rsidRPr="00A16840">
        <w:rPr>
          <w:rFonts w:ascii="Times New Roman" w:eastAsia="Times New Roman" w:hAnsi="Times New Roman" w:cs="Times New Roman"/>
          <w:kern w:val="0"/>
          <w:sz w:val="28"/>
          <w:szCs w:val="28"/>
          <w:lang w:eastAsia="en-US"/>
        </w:rPr>
        <w:t>Диссертация на соискание ученой степени кандидата экономических наук по специальности 08.00.02 – мировое хозяйство и международные экономические отношения. – Мариупольский государственный университет Министерства образования и науки Украины, г. Мариуполь, 2014.</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kern w:val="0"/>
          <w:sz w:val="28"/>
          <w:szCs w:val="28"/>
          <w:lang w:eastAsia="en-US"/>
        </w:rPr>
        <w:t>Диссертационная работа посвящена развитию теоретико-методологических основ исследования исламского банкинга и разработке научно-практических рекомендаций по имплементации его принципов в традиционны</w:t>
      </w:r>
      <w:r w:rsidRPr="00A16840">
        <w:rPr>
          <w:rFonts w:ascii="Times New Roman" w:eastAsia="Times New Roman" w:hAnsi="Times New Roman" w:cs="Times New Roman"/>
          <w:kern w:val="0"/>
          <w:sz w:val="28"/>
          <w:szCs w:val="28"/>
          <w:lang w:val="uk-UA" w:eastAsia="en-US"/>
        </w:rPr>
        <w:t>е</w:t>
      </w:r>
      <w:r w:rsidRPr="00A16840">
        <w:rPr>
          <w:rFonts w:ascii="Times New Roman" w:eastAsia="Times New Roman" w:hAnsi="Times New Roman" w:cs="Times New Roman"/>
          <w:kern w:val="0"/>
          <w:sz w:val="28"/>
          <w:szCs w:val="28"/>
          <w:lang w:eastAsia="en-US"/>
        </w:rPr>
        <w:t xml:space="preserve"> банковские системы.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eastAsia="en-US"/>
        </w:rPr>
      </w:pPr>
      <w:r w:rsidRPr="00A16840">
        <w:rPr>
          <w:rFonts w:ascii="Times New Roman" w:eastAsia="Times New Roman" w:hAnsi="Times New Roman" w:cs="Times New Roman"/>
          <w:kern w:val="0"/>
          <w:sz w:val="28"/>
          <w:szCs w:val="28"/>
          <w:lang w:eastAsia="en-US"/>
        </w:rPr>
        <w:t xml:space="preserve">В работе рассмотрены методологические основы исследования исламского банкинга в контексте парадигмы развития мировой финансовой системы. Выявлены основные принципы формирования исламской банковской системы, а именно: принципы запретительного характера и принципы, определяющие условия осуществления банковских операций; охарактеризованы основные модели исламского банкинга; определены методические подходы к оценке уровня стабильности и финансовой устойчивости банковского сектора.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eastAsia="en-US"/>
        </w:rPr>
      </w:pPr>
      <w:r w:rsidRPr="00A16840">
        <w:rPr>
          <w:rFonts w:ascii="Times New Roman" w:eastAsia="Times New Roman" w:hAnsi="Times New Roman" w:cs="Times New Roman"/>
          <w:kern w:val="0"/>
          <w:sz w:val="28"/>
          <w:szCs w:val="28"/>
          <w:lang w:eastAsia="en-US"/>
        </w:rPr>
        <w:t xml:space="preserve">Исследованы роль и место исламского банкинга в мировой финансовой системе; проанализировано современное состояние интеграции исламского банкинга в традиционные банковские системы; выделены стимулирующие и дестимулирующие факторы интеграции исламского банкинга на рынки с традиционными банковскими системами; разработана классификация стран мира по уровню имплементации принципов исламского банкинга в национальных банковских системах.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en-US"/>
        </w:rPr>
      </w:pPr>
      <w:r w:rsidRPr="00A16840">
        <w:rPr>
          <w:rFonts w:ascii="Times New Roman" w:eastAsia="Times New Roman" w:hAnsi="Times New Roman" w:cs="Times New Roman"/>
          <w:spacing w:val="-4"/>
          <w:kern w:val="0"/>
          <w:sz w:val="28"/>
          <w:szCs w:val="28"/>
          <w:lang w:eastAsia="en-US"/>
        </w:rPr>
        <w:t>Предложен организационно-аналитический инструментарий многоуровневого компаративного оценивания уровня финансовой устойчивости</w:t>
      </w:r>
      <w:r w:rsidRPr="00A16840">
        <w:rPr>
          <w:rFonts w:ascii="Times New Roman" w:eastAsia="Times New Roman" w:hAnsi="Times New Roman" w:cs="Times New Roman"/>
          <w:kern w:val="0"/>
          <w:sz w:val="28"/>
          <w:szCs w:val="28"/>
          <w:lang w:eastAsia="en-US"/>
        </w:rPr>
        <w:t xml:space="preserve"> разных типов банковских систем на основе построенной probit-модели вероятности банковского кризиса; осуществлен компаративный анализ финансовой устойчивости традиционных и исламских банковских систем в современных условиях. </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eastAsia="en-US"/>
        </w:rPr>
      </w:pPr>
      <w:r w:rsidRPr="00A16840">
        <w:rPr>
          <w:rFonts w:ascii="Times New Roman" w:eastAsia="Times New Roman" w:hAnsi="Times New Roman" w:cs="Times New Roman"/>
          <w:kern w:val="0"/>
          <w:sz w:val="28"/>
          <w:szCs w:val="28"/>
          <w:lang w:eastAsia="en-US"/>
        </w:rPr>
        <w:t>Определены направления развития национальных систем регламентации исламского банкинга в современных условиях функционирования мировой финансовой системы; систематизированы основные институционно-регуляторные элементы функционирования исламского банкинга; разработаны направления имплементации принципов исламского банкинга в систему функционирования банковского сектора национальной экономики; выявлены возможности внедрения принципов исламского банкинга в систему антикризисных мер украинских банков.</w:t>
      </w:r>
    </w:p>
    <w:p w:rsidR="00A16840" w:rsidRPr="00A16840" w:rsidRDefault="00A16840" w:rsidP="00A16840">
      <w:pPr>
        <w:widowControl/>
        <w:tabs>
          <w:tab w:val="clear" w:pos="709"/>
        </w:tabs>
        <w:suppressAutoHyphens w:val="0"/>
        <w:spacing w:after="0" w:line="240" w:lineRule="auto"/>
        <w:rPr>
          <w:rFonts w:ascii="Times New Roman" w:eastAsia="Times New Roman" w:hAnsi="Times New Roman" w:cs="Times New Roman"/>
          <w:kern w:val="0"/>
          <w:sz w:val="28"/>
          <w:szCs w:val="28"/>
          <w:lang w:eastAsia="en-US"/>
        </w:rPr>
      </w:pPr>
      <w:r w:rsidRPr="00A16840">
        <w:rPr>
          <w:rFonts w:ascii="Times New Roman" w:eastAsia="Times New Roman" w:hAnsi="Times New Roman" w:cs="Times New Roman"/>
          <w:i/>
          <w:kern w:val="0"/>
          <w:sz w:val="28"/>
          <w:szCs w:val="28"/>
          <w:lang w:eastAsia="en-US"/>
        </w:rPr>
        <w:t>Ключевые слова:</w:t>
      </w:r>
      <w:r w:rsidRPr="00A16840">
        <w:rPr>
          <w:rFonts w:ascii="Times New Roman" w:eastAsia="Times New Roman" w:hAnsi="Times New Roman" w:cs="Times New Roman"/>
          <w:kern w:val="0"/>
          <w:sz w:val="28"/>
          <w:szCs w:val="28"/>
          <w:lang w:eastAsia="en-US"/>
        </w:rPr>
        <w:t xml:space="preserve"> исламская финансовая система, исламский банкинг, традиционная и исламская банковские системы, законы Шариата, исламские финансовые учреждения, банковский кризис, пруденциальный банковский надзор.</w:t>
      </w: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p>
    <w:p w:rsidR="00A16840" w:rsidRPr="00A16840" w:rsidRDefault="00A16840" w:rsidP="00A1684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A16840">
        <w:rPr>
          <w:rFonts w:ascii="Times New Roman" w:eastAsia="Times New Roman" w:hAnsi="Times New Roman" w:cs="Times New Roman"/>
          <w:b/>
          <w:kern w:val="0"/>
          <w:sz w:val="28"/>
          <w:szCs w:val="28"/>
          <w:lang w:val="uk-UA" w:eastAsia="en-US"/>
        </w:rPr>
        <w:t>SUMMARY</w:t>
      </w:r>
    </w:p>
    <w:p w:rsidR="00A16840" w:rsidRPr="00A16840" w:rsidRDefault="00A16840" w:rsidP="00A16840">
      <w:pPr>
        <w:widowControl/>
        <w:tabs>
          <w:tab w:val="clear" w:pos="709"/>
          <w:tab w:val="left" w:pos="960"/>
        </w:tabs>
        <w:suppressAutoHyphens w:val="0"/>
        <w:spacing w:after="0" w:line="240" w:lineRule="auto"/>
        <w:rPr>
          <w:rFonts w:ascii="Times New Roman" w:eastAsia="Times New Roman" w:hAnsi="Times New Roman" w:cs="Times New Roman"/>
          <w:kern w:val="0"/>
          <w:sz w:val="28"/>
          <w:szCs w:val="28"/>
          <w:lang w:val="en-US" w:eastAsia="en-US"/>
        </w:rPr>
      </w:pPr>
      <w:r w:rsidRPr="00A16840">
        <w:rPr>
          <w:rFonts w:ascii="Times New Roman" w:eastAsia="Times New Roman" w:hAnsi="Times New Roman" w:cs="Times New Roman"/>
          <w:b/>
          <w:kern w:val="0"/>
          <w:sz w:val="28"/>
          <w:szCs w:val="28"/>
          <w:lang w:val="en-US" w:eastAsia="en-US"/>
        </w:rPr>
        <w:t>Hasanov Magomed M. “Islamic banking principles implementation as a direction of traditional banking systems low-risk operation”. -</w:t>
      </w:r>
      <w:r w:rsidRPr="00A16840">
        <w:rPr>
          <w:rFonts w:ascii="Times New Roman" w:eastAsia="Times New Roman" w:hAnsi="Times New Roman" w:cs="Times New Roman"/>
          <w:kern w:val="0"/>
          <w:sz w:val="28"/>
          <w:szCs w:val="28"/>
          <w:lang w:val="en-US" w:eastAsia="en-US"/>
        </w:rPr>
        <w:t xml:space="preserve"> Manuscript.</w:t>
      </w:r>
    </w:p>
    <w:p w:rsidR="00A16840" w:rsidRPr="00A16840" w:rsidRDefault="00A16840" w:rsidP="00A16840">
      <w:pPr>
        <w:widowControl/>
        <w:tabs>
          <w:tab w:val="clear" w:pos="709"/>
          <w:tab w:val="left" w:pos="960"/>
        </w:tabs>
        <w:suppressAutoHyphens w:val="0"/>
        <w:spacing w:after="0" w:line="240" w:lineRule="auto"/>
        <w:rPr>
          <w:rFonts w:ascii="Times New Roman" w:eastAsia="Times New Roman" w:hAnsi="Times New Roman" w:cs="Times New Roman"/>
          <w:b/>
          <w:kern w:val="0"/>
          <w:sz w:val="28"/>
          <w:szCs w:val="28"/>
          <w:lang w:val="en-US" w:eastAsia="en-US"/>
        </w:rPr>
      </w:pPr>
      <w:r w:rsidRPr="00A16840">
        <w:rPr>
          <w:rFonts w:ascii="Times New Roman" w:eastAsia="Times New Roman" w:hAnsi="Times New Roman" w:cs="Times New Roman"/>
          <w:kern w:val="0"/>
          <w:sz w:val="28"/>
          <w:szCs w:val="28"/>
          <w:lang w:val="en-US" w:eastAsia="en-US"/>
        </w:rPr>
        <w:t>The thesis for the degree of candidate of economic sciences, specialty 08.00.02 - World Economy and International Economic Relations. – Mariupol State University of the Ministry of Education and Science of Ukraine, Mariupol, 2014.</w:t>
      </w:r>
    </w:p>
    <w:p w:rsidR="00A16840" w:rsidRPr="00A16840" w:rsidRDefault="00A16840" w:rsidP="00A16840">
      <w:pPr>
        <w:widowControl/>
        <w:tabs>
          <w:tab w:val="clear" w:pos="709"/>
          <w:tab w:val="left" w:pos="960"/>
        </w:tabs>
        <w:suppressAutoHyphens w:val="0"/>
        <w:spacing w:after="0" w:line="240" w:lineRule="auto"/>
        <w:rPr>
          <w:rFonts w:ascii="Times New Roman" w:eastAsia="Times New Roman" w:hAnsi="Times New Roman" w:cs="Times New Roman"/>
          <w:kern w:val="0"/>
          <w:sz w:val="28"/>
          <w:szCs w:val="28"/>
          <w:lang w:val="en-US" w:eastAsia="en-US"/>
        </w:rPr>
      </w:pPr>
      <w:r w:rsidRPr="00A16840">
        <w:rPr>
          <w:rFonts w:ascii="Times New Roman" w:eastAsia="Times New Roman" w:hAnsi="Times New Roman" w:cs="Times New Roman"/>
          <w:kern w:val="0"/>
          <w:sz w:val="28"/>
          <w:szCs w:val="28"/>
          <w:lang w:val="en-US" w:eastAsia="en-US"/>
        </w:rPr>
        <w:t xml:space="preserve">The thesis is devoted to the development of theoretical and methodological grounds of the Islamic banking study as well as scientific and practical recommendations towards its principles implementation in the traditional banking systems. </w:t>
      </w:r>
    </w:p>
    <w:p w:rsidR="00A16840" w:rsidRPr="00A16840" w:rsidRDefault="00A16840" w:rsidP="00A16840">
      <w:pPr>
        <w:widowControl/>
        <w:tabs>
          <w:tab w:val="clear" w:pos="709"/>
          <w:tab w:val="left" w:pos="960"/>
        </w:tabs>
        <w:suppressAutoHyphens w:val="0"/>
        <w:spacing w:after="0" w:line="240" w:lineRule="auto"/>
        <w:rPr>
          <w:rFonts w:ascii="Times New Roman" w:eastAsia="Times New Roman" w:hAnsi="Times New Roman" w:cs="Times New Roman"/>
          <w:kern w:val="0"/>
          <w:sz w:val="28"/>
          <w:szCs w:val="28"/>
          <w:lang w:val="en-US" w:eastAsia="en-US"/>
        </w:rPr>
      </w:pPr>
      <w:r w:rsidRPr="00A16840">
        <w:rPr>
          <w:rFonts w:ascii="Times New Roman" w:eastAsia="Times New Roman" w:hAnsi="Times New Roman" w:cs="Times New Roman"/>
          <w:kern w:val="0"/>
          <w:sz w:val="28"/>
          <w:szCs w:val="28"/>
          <w:lang w:val="en-US" w:eastAsia="en-US"/>
        </w:rPr>
        <w:t xml:space="preserve">In the thesis the methodological grounds of the Islamic banking study are considered in the context of the global financial system development paradigm; the principles of Islamic banking formation are defined and its basic models are characterized; methodical approaches to assessment of the level of sustainability and financial stability of the banking sector are identified. </w:t>
      </w:r>
    </w:p>
    <w:p w:rsidR="00A16840" w:rsidRPr="00A16840" w:rsidRDefault="00A16840" w:rsidP="00A16840">
      <w:pPr>
        <w:widowControl/>
        <w:tabs>
          <w:tab w:val="clear" w:pos="709"/>
          <w:tab w:val="left" w:pos="960"/>
        </w:tabs>
        <w:suppressAutoHyphens w:val="0"/>
        <w:spacing w:after="0" w:line="240" w:lineRule="auto"/>
        <w:rPr>
          <w:rFonts w:ascii="Times New Roman" w:eastAsia="Times New Roman" w:hAnsi="Times New Roman" w:cs="Times New Roman"/>
          <w:kern w:val="0"/>
          <w:sz w:val="28"/>
          <w:szCs w:val="28"/>
          <w:lang w:val="en-US" w:eastAsia="en-US"/>
        </w:rPr>
      </w:pPr>
      <w:r w:rsidRPr="00A16840">
        <w:rPr>
          <w:rFonts w:ascii="Times New Roman" w:eastAsia="Times New Roman" w:hAnsi="Times New Roman" w:cs="Times New Roman"/>
          <w:kern w:val="0"/>
          <w:sz w:val="28"/>
          <w:szCs w:val="28"/>
          <w:lang w:val="en-US" w:eastAsia="en-US"/>
        </w:rPr>
        <w:t xml:space="preserve">The role and place of the Islamic banking in the global financial system are studied; the current state of Islamic banking integration in the traditional banking systems is analyzes; a comparative analysis of financial sustainability of traditional and Islamic banking systems under modern conditions is performed. </w:t>
      </w:r>
    </w:p>
    <w:p w:rsidR="00A16840" w:rsidRPr="00A16840" w:rsidRDefault="00A16840" w:rsidP="00A16840">
      <w:pPr>
        <w:widowControl/>
        <w:tabs>
          <w:tab w:val="clear" w:pos="709"/>
          <w:tab w:val="left" w:pos="960"/>
        </w:tabs>
        <w:suppressAutoHyphens w:val="0"/>
        <w:spacing w:after="0" w:line="240" w:lineRule="auto"/>
        <w:rPr>
          <w:rFonts w:ascii="Times New Roman" w:eastAsia="Times New Roman" w:hAnsi="Times New Roman" w:cs="Times New Roman"/>
          <w:kern w:val="0"/>
          <w:sz w:val="28"/>
          <w:szCs w:val="28"/>
          <w:lang w:val="en-US" w:eastAsia="en-US"/>
        </w:rPr>
      </w:pPr>
      <w:r w:rsidRPr="00A16840">
        <w:rPr>
          <w:rFonts w:ascii="Times New Roman" w:eastAsia="Times New Roman" w:hAnsi="Times New Roman" w:cs="Times New Roman"/>
          <w:kern w:val="0"/>
          <w:sz w:val="28"/>
          <w:szCs w:val="28"/>
          <w:lang w:val="en-US" w:eastAsia="en-US"/>
        </w:rPr>
        <w:t>The directions of the Islamic banking national regulatory systems development in modern terms of the global financial system functioning are determined; the institutional and regulatory elements of Islamic banking functioning are systematized; directions of Islamic banking principles implementation</w:t>
      </w:r>
      <w:r w:rsidRPr="00A16840">
        <w:rPr>
          <w:rFonts w:ascii="Times New Roman" w:eastAsia="Times New Roman" w:hAnsi="Times New Roman" w:cs="Times New Roman"/>
          <w:b/>
          <w:kern w:val="0"/>
          <w:sz w:val="28"/>
          <w:szCs w:val="28"/>
          <w:lang w:val="en-US" w:eastAsia="en-US"/>
        </w:rPr>
        <w:t xml:space="preserve"> </w:t>
      </w:r>
      <w:r w:rsidRPr="00A16840">
        <w:rPr>
          <w:rFonts w:ascii="Times New Roman" w:eastAsia="Times New Roman" w:hAnsi="Times New Roman" w:cs="Times New Roman"/>
          <w:kern w:val="0"/>
          <w:sz w:val="28"/>
          <w:szCs w:val="28"/>
          <w:lang w:val="en-US" w:eastAsia="en-US"/>
        </w:rPr>
        <w:t>in the operation system of the national economy banking sector are offered.</w:t>
      </w:r>
    </w:p>
    <w:p w:rsidR="00A16840" w:rsidRPr="00A16840" w:rsidRDefault="00A16840" w:rsidP="00A16840">
      <w:pPr>
        <w:widowControl/>
        <w:tabs>
          <w:tab w:val="clear" w:pos="709"/>
          <w:tab w:val="left" w:pos="960"/>
        </w:tabs>
        <w:suppressAutoHyphens w:val="0"/>
        <w:spacing w:after="0" w:line="240" w:lineRule="auto"/>
        <w:rPr>
          <w:rFonts w:ascii="Times New Roman" w:eastAsia="Times New Roman" w:hAnsi="Times New Roman" w:cs="Times New Roman"/>
          <w:kern w:val="0"/>
          <w:sz w:val="28"/>
          <w:szCs w:val="28"/>
          <w:lang w:val="en-US" w:eastAsia="en-US"/>
        </w:rPr>
      </w:pPr>
      <w:r w:rsidRPr="00A16840">
        <w:rPr>
          <w:rFonts w:ascii="Times New Roman" w:eastAsia="Times New Roman" w:hAnsi="Times New Roman" w:cs="Times New Roman"/>
          <w:i/>
          <w:kern w:val="0"/>
          <w:sz w:val="28"/>
          <w:szCs w:val="28"/>
          <w:lang w:val="en-US" w:eastAsia="en-US"/>
        </w:rPr>
        <w:t>Keywords</w:t>
      </w:r>
      <w:r w:rsidRPr="00A16840">
        <w:rPr>
          <w:rFonts w:ascii="Times New Roman" w:eastAsia="Times New Roman" w:hAnsi="Times New Roman" w:cs="Times New Roman"/>
          <w:kern w:val="0"/>
          <w:sz w:val="28"/>
          <w:szCs w:val="28"/>
          <w:lang w:val="en-US" w:eastAsia="en-US"/>
        </w:rPr>
        <w:t>: Islamic financial system, Islamic banking, Islamic and traditional banking systems, the Sharia laws, Islamic financial institutions, banking crisis, banking prudential supervision.</w:t>
      </w:r>
    </w:p>
    <w:p w:rsidR="00A16840" w:rsidRPr="00A16840" w:rsidRDefault="00A16840" w:rsidP="00A16840">
      <w:pPr>
        <w:widowControl/>
        <w:tabs>
          <w:tab w:val="clear" w:pos="709"/>
          <w:tab w:val="left" w:pos="960"/>
        </w:tabs>
        <w:suppressAutoHyphens w:val="0"/>
        <w:spacing w:after="0" w:line="240" w:lineRule="auto"/>
        <w:rPr>
          <w:rFonts w:ascii="Times New Roman" w:eastAsia="Times New Roman" w:hAnsi="Times New Roman" w:cs="Times New Roman"/>
          <w:kern w:val="0"/>
          <w:sz w:val="28"/>
          <w:szCs w:val="28"/>
          <w:lang w:val="en-US" w:eastAsia="en-US"/>
        </w:rPr>
      </w:pPr>
    </w:p>
    <w:p w:rsidR="00A11521" w:rsidRPr="00A16840" w:rsidRDefault="00A11521" w:rsidP="00A16840">
      <w:pPr>
        <w:rPr>
          <w:lang w:val="en-US"/>
        </w:rPr>
      </w:pPr>
    </w:p>
    <w:sectPr w:rsidR="00A11521" w:rsidRPr="00A16840" w:rsidSect="003B4622">
      <w:headerReference w:type="even" r:id="rId29"/>
      <w:headerReference w:type="default" r:id="rId30"/>
      <w:footerReference w:type="even" r:id="rId31"/>
      <w:footerReference w:type="default" r:id="rId3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ЛОМе"/>
    <w:panose1 w:val="02010600030101010101"/>
    <w:charset w:val="86"/>
    <w:family w:val="auto"/>
    <w:pitch w:val="variable"/>
    <w:sig w:usb0="00000003" w:usb1="288F0000" w:usb2="00000016" w:usb3="00000000" w:csb0="00040001" w:csb1="00000000"/>
  </w:font>
  <w:font w:name="Batang">
    <w:altName w:val="№ЩЕБ"/>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0"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3A87" w:usb1="00000000" w:usb2="00000000" w:usb3="00000000" w:csb0="000001FF" w:csb1="00000000"/>
  </w:font>
  <w:font w:name="MinionPro-Regular">
    <w:altName w:val="Times New Roman"/>
    <w:charset w:val="00"/>
    <w:family w:val="auto"/>
    <w:pitch w:val="default"/>
    <w:sig w:usb0="00000000" w:usb1="00000000" w:usb2="00000000" w:usb3="00000000" w:csb0="00000000"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A1152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A11521">
                <w:pPr>
                  <w:spacing w:line="240" w:lineRule="auto"/>
                </w:pPr>
                <w:fldSimple w:instr=" PAGE \* MERGEFORMAT ">
                  <w:r w:rsidR="00A16840" w:rsidRPr="00A16840">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A11521">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A11521">
                  <w:pPr>
                    <w:spacing w:line="240" w:lineRule="auto"/>
                  </w:pPr>
                  <w:fldSimple w:instr=" PAGE \* MERGEFORMAT ">
                    <w:r w:rsidRPr="00863493">
                      <w:rPr>
                        <w:rStyle w:val="afffff9"/>
                        <w:b w:val="0"/>
                        <w:bCs w:val="0"/>
                        <w:noProof/>
                      </w:rPr>
                      <w:t>22</w:t>
                    </w:r>
                  </w:fldSimple>
                </w:p>
              </w:txbxContent>
            </v:textbox>
            <w10:wrap anchorx="page" anchory="page"/>
          </v:shape>
        </w:pict>
      </w:r>
    </w:p>
    <w:p w:rsidR="00A11521" w:rsidRDefault="00A11521"/>
    <w:p w:rsidR="00A11521" w:rsidRDefault="00A11521"/>
    <w:p w:rsidR="00A11521" w:rsidRDefault="00A11521">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A11521">
                  <w:pPr>
                    <w:pStyle w:val="1ffffff7"/>
                    <w:spacing w:line="240" w:lineRule="auto"/>
                  </w:pPr>
                  <w:fldSimple w:instr=" PAGE \* MERGEFORMAT ">
                    <w:r w:rsidRPr="00863493">
                      <w:rPr>
                        <w:rStyle w:val="3b"/>
                        <w:noProof/>
                      </w:rPr>
                      <w:t>22</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40" w:rsidRDefault="00A16840">
    <w:pPr>
      <w:pStyle w:val="affffffff6"/>
      <w:jc w:val="center"/>
    </w:pPr>
  </w:p>
  <w:p w:rsidR="00A16840" w:rsidRDefault="00A16840">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8EC7FE"/>
    <w:lvl w:ilvl="0">
      <w:start w:val="1"/>
      <w:numFmt w:val="decimal"/>
      <w:lvlText w:val="%1."/>
      <w:lvlJc w:val="left"/>
      <w:pPr>
        <w:tabs>
          <w:tab w:val="num" w:pos="1492"/>
        </w:tabs>
        <w:ind w:left="1492" w:hanging="360"/>
      </w:pPr>
    </w:lvl>
  </w:abstractNum>
  <w:abstractNum w:abstractNumId="1">
    <w:nsid w:val="FFFFFF7D"/>
    <w:multiLevelType w:val="singleLevel"/>
    <w:tmpl w:val="AAD41E28"/>
    <w:lvl w:ilvl="0">
      <w:start w:val="1"/>
      <w:numFmt w:val="decimal"/>
      <w:lvlText w:val="%1."/>
      <w:lvlJc w:val="left"/>
      <w:pPr>
        <w:tabs>
          <w:tab w:val="num" w:pos="1209"/>
        </w:tabs>
        <w:ind w:left="1209" w:hanging="360"/>
      </w:pPr>
    </w:lvl>
  </w:abstractNum>
  <w:abstractNum w:abstractNumId="2">
    <w:nsid w:val="FFFFFF7E"/>
    <w:multiLevelType w:val="singleLevel"/>
    <w:tmpl w:val="038E9D3E"/>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8B5CE5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E45E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BF68AB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897A10"/>
    <w:multiLevelType w:val="hybridMultilevel"/>
    <w:tmpl w:val="36D010A8"/>
    <w:lvl w:ilvl="0" w:tplc="39641BC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0">
    <w:nsid w:val="06B90EEB"/>
    <w:multiLevelType w:val="hybridMultilevel"/>
    <w:tmpl w:val="E488E674"/>
    <w:lvl w:ilvl="0" w:tplc="02082B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3663B8"/>
    <w:multiLevelType w:val="hybridMultilevel"/>
    <w:tmpl w:val="FA2400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0BF2A58"/>
    <w:multiLevelType w:val="hybridMultilevel"/>
    <w:tmpl w:val="BC021250"/>
    <w:lvl w:ilvl="0" w:tplc="13482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9">
    <w:nsid w:val="13460E67"/>
    <w:multiLevelType w:val="hybridMultilevel"/>
    <w:tmpl w:val="36D010A8"/>
    <w:lvl w:ilvl="0" w:tplc="39641BC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1">
    <w:nsid w:val="1F972B79"/>
    <w:multiLevelType w:val="hybridMultilevel"/>
    <w:tmpl w:val="37D08618"/>
    <w:lvl w:ilvl="0" w:tplc="F98AD558">
      <w:numFmt w:val="bullet"/>
      <w:lvlText w:val="-"/>
      <w:lvlJc w:val="left"/>
      <w:pPr>
        <w:ind w:left="720" w:hanging="360"/>
      </w:pPr>
      <w:rPr>
        <w:rFonts w:ascii="Times New Roman" w:eastAsia="SimSu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6DB648E"/>
    <w:multiLevelType w:val="hybridMultilevel"/>
    <w:tmpl w:val="B01471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337E2455"/>
    <w:multiLevelType w:val="hybridMultilevel"/>
    <w:tmpl w:val="18803D4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5">
    <w:nsid w:val="34B5426B"/>
    <w:multiLevelType w:val="hybridMultilevel"/>
    <w:tmpl w:val="36D010A8"/>
    <w:lvl w:ilvl="0" w:tplc="39641BC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35F9616D"/>
    <w:multiLevelType w:val="hybridMultilevel"/>
    <w:tmpl w:val="835CC4F0"/>
    <w:lvl w:ilvl="0" w:tplc="C172D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7">
    <w:nsid w:val="38111D2A"/>
    <w:multiLevelType w:val="hybridMultilevel"/>
    <w:tmpl w:val="7E0C1BA6"/>
    <w:lvl w:ilvl="0" w:tplc="1D4AFBF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9">
    <w:nsid w:val="3D4001D5"/>
    <w:multiLevelType w:val="hybridMultilevel"/>
    <w:tmpl w:val="01D83056"/>
    <w:lvl w:ilvl="0" w:tplc="13482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0">
    <w:nsid w:val="42377BFF"/>
    <w:multiLevelType w:val="hybridMultilevel"/>
    <w:tmpl w:val="36D010A8"/>
    <w:lvl w:ilvl="0" w:tplc="39641BC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nsid w:val="4489768F"/>
    <w:multiLevelType w:val="hybridMultilevel"/>
    <w:tmpl w:val="30AEDF2E"/>
    <w:lvl w:ilvl="0" w:tplc="BF8869A2">
      <w:start w:val="1"/>
      <w:numFmt w:val="decimal"/>
      <w:lvlText w:val="%1."/>
      <w:lvlJc w:val="left"/>
      <w:pPr>
        <w:tabs>
          <w:tab w:val="num" w:pos="900"/>
        </w:tabs>
        <w:ind w:left="90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47DF6F66"/>
    <w:multiLevelType w:val="hybridMultilevel"/>
    <w:tmpl w:val="36D010A8"/>
    <w:lvl w:ilvl="0" w:tplc="39641BC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nsid w:val="563D3C28"/>
    <w:multiLevelType w:val="hybridMultilevel"/>
    <w:tmpl w:val="03B82526"/>
    <w:lvl w:ilvl="0" w:tplc="BF8869A2">
      <w:start w:val="1"/>
      <w:numFmt w:val="decimal"/>
      <w:lvlText w:val="%1."/>
      <w:lvlJc w:val="left"/>
      <w:pPr>
        <w:tabs>
          <w:tab w:val="num" w:pos="1609"/>
        </w:tabs>
        <w:ind w:left="1609"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4">
    <w:nsid w:val="67BE29BC"/>
    <w:multiLevelType w:val="hybridMultilevel"/>
    <w:tmpl w:val="7876BCEE"/>
    <w:lvl w:ilvl="0" w:tplc="4BCAE3F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68804FFA"/>
    <w:multiLevelType w:val="hybridMultilevel"/>
    <w:tmpl w:val="D3E6A6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7">
    <w:nsid w:val="782D38E0"/>
    <w:multiLevelType w:val="hybridMultilevel"/>
    <w:tmpl w:val="39E6AD0E"/>
    <w:lvl w:ilvl="0" w:tplc="BF8869A2">
      <w:start w:val="1"/>
      <w:numFmt w:val="decimal"/>
      <w:lvlText w:val="%1."/>
      <w:lvlJc w:val="left"/>
      <w:pPr>
        <w:tabs>
          <w:tab w:val="num" w:pos="1609"/>
        </w:tabs>
        <w:ind w:left="1609"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93"/>
  </w:num>
  <w:num w:numId="7">
    <w:abstractNumId w:val="94"/>
  </w:num>
  <w:num w:numId="8">
    <w:abstractNumId w:val="105"/>
  </w:num>
  <w:num w:numId="9">
    <w:abstractNumId w:val="97"/>
  </w:num>
  <w:num w:numId="10">
    <w:abstractNumId w:val="91"/>
  </w:num>
  <w:num w:numId="11">
    <w:abstractNumId w:val="89"/>
  </w:num>
  <w:num w:numId="12">
    <w:abstractNumId w:val="83"/>
  </w:num>
  <w:num w:numId="13">
    <w:abstractNumId w:val="96"/>
  </w:num>
  <w:num w:numId="14">
    <w:abstractNumId w:val="80"/>
  </w:num>
  <w:num w:numId="15">
    <w:abstractNumId w:val="7"/>
  </w:num>
  <w:num w:numId="16">
    <w:abstractNumId w:val="5"/>
  </w:num>
  <w:num w:numId="17">
    <w:abstractNumId w:val="4"/>
  </w:num>
  <w:num w:numId="18">
    <w:abstractNumId w:val="8"/>
  </w:num>
  <w:num w:numId="19">
    <w:abstractNumId w:val="2"/>
  </w:num>
  <w:num w:numId="20">
    <w:abstractNumId w:val="1"/>
  </w:num>
  <w:num w:numId="21">
    <w:abstractNumId w:val="0"/>
  </w:num>
  <w:num w:numId="22">
    <w:abstractNumId w:val="106"/>
  </w:num>
  <w:num w:numId="23">
    <w:abstractNumId w:val="104"/>
  </w:num>
  <w:num w:numId="24">
    <w:abstractNumId w:val="101"/>
  </w:num>
  <w:num w:numId="25">
    <w:abstractNumId w:val="86"/>
  </w:num>
  <w:num w:numId="26">
    <w:abstractNumId w:val="99"/>
  </w:num>
  <w:num w:numId="27">
    <w:abstractNumId w:val="107"/>
  </w:num>
  <w:num w:numId="28">
    <w:abstractNumId w:val="103"/>
  </w:num>
  <w:num w:numId="29">
    <w:abstractNumId w:val="78"/>
  </w:num>
  <w:num w:numId="30">
    <w:abstractNumId w:val="100"/>
  </w:num>
  <w:num w:numId="31">
    <w:abstractNumId w:val="102"/>
  </w:num>
  <w:num w:numId="32">
    <w:abstractNumId w:val="9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0"/>
    <o:shapelayout v:ext="edit">
      <o:idmap v:ext="edit" data="1"/>
      <o:rules v:ext="edit">
        <o:r id="V:Rule1" type="connector" idref="#_x0000_s1144">
          <o:proxy start="" idref="#_x0000_s1143" connectloc="0"/>
          <o:proxy end="" idref="#_x0000_s1138" connectloc="2"/>
        </o:r>
        <o:r id="V:Rule2" type="connector" idref="#_x0000_s1145">
          <o:proxy start="" idref="#_x0000_s1141" connectloc="0"/>
          <o:proxy end="" idref="#_x0000_s1138" connectloc="2"/>
        </o:r>
        <o:r id="V:Rule3" type="connector" idref="#_x0000_s1146">
          <o:proxy start="" idref="#_x0000_s1139" connectloc="0"/>
          <o:proxy end="" idref="#_x0000_s1138" connectloc="2"/>
        </o:r>
        <o:r id="V:Rule4" type="connector" idref="#_x0000_s1147">
          <o:proxy start="" idref="#_x0000_s1142" connectloc="0"/>
          <o:proxy end="" idref="#_x0000_s1138" connectloc="2"/>
        </o:r>
        <o:r id="V:Rule5" type="connector" idref="#_x0000_s1148">
          <o:proxy start="" idref="#_x0000_s1138" connectloc="2"/>
          <o:proxy end="" idref="#_x0000_s1140" connectloc="0"/>
        </o:r>
        <o:r id="V:Rule6" type="connector" idref="#_x0000_s1183"/>
        <o:r id="V:Rule7" type="connector" idref="#_x0000_s1184"/>
        <o:r id="V:Rule8" type="connector" idref="#_x0000_s1192"/>
        <o:r id="V:Rule9" type="connector" idref="#_x0000_s1193"/>
        <o:r id="V:Rule10" type="connector" idref="#_x0000_s1194"/>
        <o:r id="V:Rule11" type="connector" idref="#_x0000_s1195"/>
        <o:r id="V:Rule12" type="connector" idref="#_x0000_s1196"/>
        <o:r id="V:Rule13" type="connector" idref="#_x0000_s1257">
          <o:proxy start="" idref="#_x0000_s1256" connectloc="0"/>
          <o:proxy end="" idref="#_x0000_s1251" connectloc="2"/>
        </o:r>
        <o:r id="V:Rule14" type="connector" idref="#_x0000_s1258">
          <o:proxy start="" idref="#_x0000_s1254" connectloc="0"/>
          <o:proxy end="" idref="#_x0000_s1251" connectloc="2"/>
        </o:r>
        <o:r id="V:Rule15" type="connector" idref="#_x0000_s1259">
          <o:proxy start="" idref="#_x0000_s1252" connectloc="0"/>
          <o:proxy end="" idref="#_x0000_s1251" connectloc="2"/>
        </o:r>
        <o:r id="V:Rule16" type="connector" idref="#_x0000_s1260">
          <o:proxy start="" idref="#_x0000_s1255" connectloc="0"/>
          <o:proxy end="" idref="#_x0000_s1251" connectloc="2"/>
        </o:r>
        <o:r id="V:Rule17" type="connector" idref="#_x0000_s1261">
          <o:proxy start="" idref="#_x0000_s1251" connectloc="2"/>
          <o:proxy end="" idref="#_x0000_s1253" connectloc="0"/>
        </o:r>
        <o:r id="V:Rule18" type="connector" idref="#_x0000_s1296"/>
        <o:r id="V:Rule19" type="connector" idref="#_x0000_s1297"/>
        <o:r id="V:Rule20" type="connector" idref="#_x0000_s1305"/>
        <o:r id="V:Rule21" type="connector" idref="#_x0000_s1306"/>
        <o:r id="V:Rule22" type="connector" idref="#_x0000_s1307"/>
        <o:r id="V:Rule23" type="connector" idref="#_x0000_s1308"/>
        <o:r id="V:Rule24" type="connector" idref="#_x0000_s13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f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png"/><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049723756906076"/>
          <c:y val="5.3571428571428562E-2"/>
          <c:w val="0.81215469613259683"/>
          <c:h val="0.65625000000000011"/>
        </c:manualLayout>
      </c:layout>
      <c:barChart>
        <c:barDir val="col"/>
        <c:grouping val="clustered"/>
        <c:ser>
          <c:idx val="1"/>
          <c:order val="0"/>
          <c:tx>
            <c:strRef>
              <c:f>Sheet1!$A$2</c:f>
              <c:strCache>
                <c:ptCount val="1"/>
                <c:pt idx="0">
                  <c:v>Ісламські фінансові активи</c:v>
                </c:pt>
              </c:strCache>
            </c:strRef>
          </c:tx>
          <c:spPr>
            <a:gradFill rotWithShape="0">
              <a:gsLst>
                <a:gs pos="0">
                  <a:srgbClr val="969696"/>
                </a:gs>
                <a:gs pos="100000">
                  <a:srgbClr val="969696">
                    <a:gamma/>
                    <a:shade val="66275"/>
                    <a:invGamma/>
                  </a:srgbClr>
                </a:gs>
              </a:gsLst>
              <a:lin ang="0" scaled="1"/>
            </a:gradFill>
            <a:ln w="12706">
              <a:solidFill>
                <a:srgbClr val="000000"/>
              </a:solidFill>
              <a:prstDash val="solid"/>
            </a:ln>
          </c:spPr>
          <c:cat>
            <c:numRef>
              <c:f>Sheet1!$B$1:$K$1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Sheet1!$B$2:$K$2</c:f>
              <c:numCache>
                <c:formatCode>General</c:formatCode>
                <c:ptCount val="10"/>
                <c:pt idx="0">
                  <c:v>250</c:v>
                </c:pt>
                <c:pt idx="1">
                  <c:v>500</c:v>
                </c:pt>
                <c:pt idx="2">
                  <c:v>750</c:v>
                </c:pt>
                <c:pt idx="3">
                  <c:v>639</c:v>
                </c:pt>
                <c:pt idx="4">
                  <c:v>822</c:v>
                </c:pt>
                <c:pt idx="5">
                  <c:v>1036</c:v>
                </c:pt>
                <c:pt idx="6">
                  <c:v>1139</c:v>
                </c:pt>
                <c:pt idx="7">
                  <c:v>1357</c:v>
                </c:pt>
                <c:pt idx="8">
                  <c:v>1631</c:v>
                </c:pt>
                <c:pt idx="9">
                  <c:v>1813</c:v>
                </c:pt>
              </c:numCache>
            </c:numRef>
          </c:val>
        </c:ser>
        <c:axId val="132587520"/>
        <c:axId val="132590976"/>
      </c:barChart>
      <c:lineChart>
        <c:grouping val="standard"/>
        <c:ser>
          <c:idx val="0"/>
          <c:order val="1"/>
          <c:tx>
            <c:strRef>
              <c:f>Sheet1!$A$3</c:f>
              <c:strCache>
                <c:ptCount val="1"/>
                <c:pt idx="0">
                  <c:v>Частка у глобальних фінансових активах</c:v>
                </c:pt>
              </c:strCache>
            </c:strRef>
          </c:tx>
          <c:spPr>
            <a:ln w="28589">
              <a:noFill/>
            </a:ln>
          </c:spPr>
          <c:marker>
            <c:symbol val="diamond"/>
            <c:size val="7"/>
            <c:spPr>
              <a:solidFill>
                <a:srgbClr val="000000"/>
              </a:solidFill>
              <a:ln>
                <a:solidFill>
                  <a:srgbClr val="000000"/>
                </a:solidFill>
                <a:prstDash val="solid"/>
              </a:ln>
            </c:spPr>
          </c:marker>
          <c:dLbls>
            <c:dLbl>
              <c:idx val="0"/>
              <c:layout>
                <c:manualLayout>
                  <c:x val="-4.5222585901523775E-2"/>
                  <c:y val="-9.6462651227984753E-2"/>
                </c:manualLayout>
              </c:layout>
              <c:dLblPos val="r"/>
              <c:showVal val="1"/>
            </c:dLbl>
            <c:dLbl>
              <c:idx val="1"/>
              <c:layout>
                <c:manualLayout>
                  <c:x val="-4.5406831310964534E-2"/>
                  <c:y val="-8.93196820792138E-2"/>
                </c:manualLayout>
              </c:layout>
              <c:dLblPos val="r"/>
              <c:showVal val="1"/>
            </c:dLbl>
            <c:dLbl>
              <c:idx val="2"/>
              <c:layout>
                <c:manualLayout>
                  <c:x val="-4.1907835468103227E-2"/>
                  <c:y val="-9.5569864088823828E-2"/>
                </c:manualLayout>
              </c:layout>
              <c:dLblPos val="r"/>
              <c:showVal val="1"/>
            </c:dLbl>
            <c:dLbl>
              <c:idx val="3"/>
              <c:layout>
                <c:manualLayout>
                  <c:x val="-4.9458373623966385E-2"/>
                  <c:y val="-8.7087910241660627E-2"/>
                </c:manualLayout>
              </c:layout>
              <c:dLblPos val="r"/>
              <c:showVal val="1"/>
            </c:dLbl>
            <c:dLbl>
              <c:idx val="4"/>
              <c:layout>
                <c:manualLayout>
                  <c:x val="-5.1484239659558236E-2"/>
                  <c:y val="-8.2623330511851015E-2"/>
                </c:manualLayout>
              </c:layout>
              <c:dLblPos val="r"/>
              <c:showVal val="1"/>
            </c:dLbl>
            <c:dLbl>
              <c:idx val="5"/>
              <c:layout>
                <c:manualLayout>
                  <c:x val="-4.7985054058515123E-2"/>
                  <c:y val="-9.2891474669862542E-2"/>
                </c:manualLayout>
              </c:layout>
              <c:dLblPos val="r"/>
              <c:showVal val="1"/>
            </c:dLbl>
            <c:dLbl>
              <c:idx val="6"/>
              <c:layout>
                <c:manualLayout>
                  <c:x val="-5.001092009410698E-2"/>
                  <c:y val="-0.10137327450889402"/>
                </c:manualLayout>
              </c:layout>
              <c:dLblPos val="r"/>
              <c:showVal val="1"/>
            </c:dLbl>
            <c:dLbl>
              <c:idx val="7"/>
              <c:layout>
                <c:manualLayout>
                  <c:x val="-5.2036786129698608E-2"/>
                  <c:y val="-9.869488508993271E-2"/>
                </c:manualLayout>
              </c:layout>
              <c:dLblPos val="r"/>
              <c:showVal val="1"/>
            </c:dLbl>
            <c:dLbl>
              <c:idx val="8"/>
              <c:layout>
                <c:manualLayout>
                  <c:x val="-4.3012738650202637E-2"/>
                  <c:y val="-6.3873400515547227E-2"/>
                </c:manualLayout>
              </c:layout>
              <c:dLblPos val="r"/>
              <c:showVal val="1"/>
            </c:dLbl>
            <c:dLbl>
              <c:idx val="9"/>
              <c:layout>
                <c:manualLayout>
                  <c:x val="-4.5038604685794605E-2"/>
                  <c:y val="-5.3159086799783033E-2"/>
                </c:manualLayout>
              </c:layout>
              <c:dLblPos val="r"/>
              <c:showVal val="1"/>
            </c:dLbl>
            <c:spPr>
              <a:noFill/>
              <a:ln w="25412">
                <a:noFill/>
              </a:ln>
            </c:spPr>
            <c:txPr>
              <a:bodyPr/>
              <a:lstStyle/>
              <a:p>
                <a:pPr>
                  <a:defRPr sz="925" b="0" i="0" u="none" strike="noStrike" baseline="0">
                    <a:solidFill>
                      <a:srgbClr val="000000"/>
                    </a:solidFill>
                    <a:latin typeface="Times New Roman"/>
                    <a:ea typeface="Times New Roman"/>
                    <a:cs typeface="Times New Roman"/>
                  </a:defRPr>
                </a:pPr>
                <a:endParaRPr lang="ru-RU"/>
              </a:p>
            </c:txPr>
            <c:showVal val="1"/>
          </c:dLbls>
          <c:cat>
            <c:numRef>
              <c:f>Sheet1!$B$1:$K$1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Sheet1!$B$3:$K$3</c:f>
              <c:numCache>
                <c:formatCode>0.00</c:formatCode>
                <c:ptCount val="10"/>
                <c:pt idx="0">
                  <c:v>0.17</c:v>
                </c:pt>
                <c:pt idx="1">
                  <c:v>0.33000000000000007</c:v>
                </c:pt>
                <c:pt idx="2">
                  <c:v>0.39000000000000007</c:v>
                </c:pt>
                <c:pt idx="3">
                  <c:v>0.28000000000000008</c:v>
                </c:pt>
                <c:pt idx="4">
                  <c:v>0.38000000000000006</c:v>
                </c:pt>
                <c:pt idx="5">
                  <c:v>0.45</c:v>
                </c:pt>
                <c:pt idx="6">
                  <c:v>0.46</c:v>
                </c:pt>
                <c:pt idx="7">
                  <c:v>0.52</c:v>
                </c:pt>
                <c:pt idx="8">
                  <c:v>0.60000000000000009</c:v>
                </c:pt>
                <c:pt idx="9">
                  <c:v>0.64000000000000012</c:v>
                </c:pt>
              </c:numCache>
            </c:numRef>
          </c:val>
        </c:ser>
        <c:marker val="1"/>
        <c:axId val="134285568"/>
        <c:axId val="145328384"/>
      </c:lineChart>
      <c:catAx>
        <c:axId val="132587520"/>
        <c:scaling>
          <c:orientation val="minMax"/>
        </c:scaling>
        <c:axPos val="b"/>
        <c:numFmt formatCode="General" sourceLinked="1"/>
        <c:majorTickMark val="cross"/>
        <c:tickLblPos val="nextTo"/>
        <c:spPr>
          <a:ln w="3177">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132590976"/>
        <c:crosses val="autoZero"/>
        <c:lblAlgn val="ctr"/>
        <c:lblOffset val="100"/>
        <c:tickLblSkip val="1"/>
        <c:tickMarkSkip val="1"/>
      </c:catAx>
      <c:valAx>
        <c:axId val="132590976"/>
        <c:scaling>
          <c:orientation val="minMax"/>
        </c:scaling>
        <c:axPos val="l"/>
        <c:title>
          <c:tx>
            <c:rich>
              <a:bodyPr/>
              <a:lstStyle/>
              <a:p>
                <a:pPr>
                  <a:defRPr sz="975" b="0" i="0" u="none" strike="noStrike" baseline="0">
                    <a:solidFill>
                      <a:srgbClr val="000000"/>
                    </a:solidFill>
                    <a:latin typeface="Times New Roman"/>
                    <a:ea typeface="Times New Roman"/>
                    <a:cs typeface="Times New Roman"/>
                  </a:defRPr>
                </a:pPr>
                <a:r>
                  <a:rPr lang="ru-RU"/>
                  <a:t>млрд.дол.</a:t>
                </a:r>
              </a:p>
            </c:rich>
          </c:tx>
          <c:layout>
            <c:manualLayout>
              <c:xMode val="edge"/>
              <c:yMode val="edge"/>
              <c:x val="0"/>
              <c:y val="0.25"/>
            </c:manualLayout>
          </c:layout>
          <c:spPr>
            <a:noFill/>
            <a:ln w="25412">
              <a:noFill/>
            </a:ln>
          </c:spPr>
        </c:title>
        <c:numFmt formatCode="General" sourceLinked="1"/>
        <c:majorTickMark val="cross"/>
        <c:tickLblPos val="nextTo"/>
        <c:spPr>
          <a:ln w="3177">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132587520"/>
        <c:crosses val="autoZero"/>
        <c:crossBetween val="between"/>
      </c:valAx>
      <c:catAx>
        <c:axId val="134285568"/>
        <c:scaling>
          <c:orientation val="minMax"/>
        </c:scaling>
        <c:delete val="1"/>
        <c:axPos val="b"/>
        <c:numFmt formatCode="General" sourceLinked="1"/>
        <c:tickLblPos val="none"/>
        <c:crossAx val="145328384"/>
        <c:crosses val="autoZero"/>
        <c:lblAlgn val="ctr"/>
        <c:lblOffset val="100"/>
      </c:catAx>
      <c:valAx>
        <c:axId val="145328384"/>
        <c:scaling>
          <c:orientation val="minMax"/>
        </c:scaling>
        <c:axPos val="r"/>
        <c:title>
          <c:tx>
            <c:rich>
              <a:bodyPr/>
              <a:lstStyle/>
              <a:p>
                <a:pPr>
                  <a:defRPr sz="975" b="0" i="0" u="none" strike="noStrike" baseline="0">
                    <a:solidFill>
                      <a:srgbClr val="000000"/>
                    </a:solidFill>
                    <a:latin typeface="Times New Roman"/>
                    <a:ea typeface="Times New Roman"/>
                    <a:cs typeface="Times New Roman"/>
                  </a:defRPr>
                </a:pPr>
                <a:r>
                  <a:rPr lang="ru-RU"/>
                  <a:t>%</a:t>
                </a:r>
              </a:p>
            </c:rich>
          </c:tx>
          <c:layout>
            <c:manualLayout>
              <c:xMode val="edge"/>
              <c:yMode val="edge"/>
              <c:x val="0.95764272559852681"/>
              <c:y val="0.34375"/>
            </c:manualLayout>
          </c:layout>
          <c:spPr>
            <a:noFill/>
            <a:ln w="25412">
              <a:noFill/>
            </a:ln>
          </c:spPr>
        </c:title>
        <c:numFmt formatCode="0.0" sourceLinked="0"/>
        <c:majorTickMark val="cross"/>
        <c:tickLblPos val="nextTo"/>
        <c:spPr>
          <a:ln w="3177">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134285568"/>
        <c:crosses val="max"/>
        <c:crossBetween val="between"/>
      </c:valAx>
      <c:spPr>
        <a:solidFill>
          <a:srgbClr val="FFFFFF"/>
        </a:solidFill>
        <a:ln w="12706">
          <a:solidFill>
            <a:srgbClr val="808080"/>
          </a:solidFill>
          <a:prstDash val="solid"/>
        </a:ln>
      </c:spPr>
    </c:plotArea>
    <c:legend>
      <c:legendPos val="b"/>
      <c:layout>
        <c:manualLayout>
          <c:xMode val="edge"/>
          <c:yMode val="edge"/>
          <c:x val="0.14732965009208104"/>
          <c:y val="0.87946428571428559"/>
          <c:w val="0.69613259668508298"/>
          <c:h val="0.10267857142857144"/>
        </c:manualLayout>
      </c:layout>
      <c:spPr>
        <a:solidFill>
          <a:srgbClr val="FFFFFF"/>
        </a:solidFill>
        <a:ln w="3177">
          <a:solidFill>
            <a:srgbClr val="000000"/>
          </a:solidFill>
          <a:prstDash val="solid"/>
        </a:ln>
      </c:spPr>
      <c:txPr>
        <a:bodyPr/>
        <a:lstStyle/>
        <a:p>
          <a:pPr>
            <a:defRPr sz="82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53C9C-DD65-4B1A-9A92-8B838D97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29</Pages>
  <Words>9536</Words>
  <Characters>54358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2021-06-11T12:37:00Z</dcterms:created>
  <dcterms:modified xsi:type="dcterms:W3CDTF">2021-06-11T14:52:00Z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