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64D73" w:rsidRPr="00A64D73" w:rsidRDefault="00A64D73" w:rsidP="00A64D73">
      <w:pPr>
        <w:spacing w:after="0" w:line="360" w:lineRule="auto"/>
        <w:jc w:val="center"/>
        <w:rPr>
          <w:rFonts w:ascii="Times New Roman" w:hAnsi="Times New Roman"/>
          <w:b/>
          <w:sz w:val="28"/>
          <w:szCs w:val="28"/>
        </w:rPr>
      </w:pPr>
      <w:bookmarkStart w:id="0" w:name="_Hlt522973996"/>
      <w:bookmarkEnd w:id="0"/>
      <w:r>
        <w:rPr>
          <w:rFonts w:ascii="Times New Roman" w:hAnsi="Times New Roman"/>
          <w:b/>
          <w:sz w:val="28"/>
          <w:szCs w:val="28"/>
          <w:lang w:val="uk-UA"/>
        </w:rPr>
        <w:t xml:space="preserve">ДЕРЖАВНА УСТАНОВА «ІНСТИТУТ ЕПІДЕМІОЛОГІЇ </w:t>
      </w: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rPr>
        <w:t>ТА</w:t>
      </w:r>
      <w:r w:rsidRPr="00A64D73">
        <w:rPr>
          <w:rFonts w:ascii="Times New Roman" w:hAnsi="Times New Roman"/>
          <w:b/>
          <w:sz w:val="28"/>
          <w:szCs w:val="28"/>
        </w:rPr>
        <w:t xml:space="preserve"> </w:t>
      </w:r>
      <w:r>
        <w:rPr>
          <w:rFonts w:ascii="Times New Roman" w:hAnsi="Times New Roman"/>
          <w:b/>
          <w:sz w:val="28"/>
          <w:szCs w:val="28"/>
        </w:rPr>
        <w:t>ІНФЕКЦІЙНИХ</w:t>
      </w:r>
      <w:r w:rsidRPr="00A64D73">
        <w:rPr>
          <w:rFonts w:ascii="Times New Roman" w:hAnsi="Times New Roman"/>
          <w:b/>
          <w:sz w:val="28"/>
          <w:szCs w:val="28"/>
        </w:rPr>
        <w:t xml:space="preserve"> </w:t>
      </w:r>
      <w:r>
        <w:rPr>
          <w:rFonts w:ascii="Times New Roman" w:hAnsi="Times New Roman"/>
          <w:b/>
          <w:sz w:val="28"/>
          <w:szCs w:val="28"/>
        </w:rPr>
        <w:t>ХВОРОБ</w:t>
      </w:r>
      <w:r>
        <w:rPr>
          <w:rFonts w:ascii="Times New Roman" w:hAnsi="Times New Roman"/>
          <w:b/>
          <w:sz w:val="28"/>
          <w:szCs w:val="28"/>
          <w:lang w:val="uk-UA"/>
        </w:rPr>
        <w:t xml:space="preserve"> </w:t>
      </w:r>
      <w:r>
        <w:rPr>
          <w:rFonts w:ascii="Times New Roman" w:hAnsi="Times New Roman"/>
          <w:b/>
          <w:sz w:val="28"/>
          <w:szCs w:val="28"/>
        </w:rPr>
        <w:t>ім</w:t>
      </w:r>
      <w:r w:rsidRPr="00A64D73">
        <w:rPr>
          <w:rFonts w:ascii="Times New Roman" w:hAnsi="Times New Roman"/>
          <w:b/>
          <w:sz w:val="28"/>
          <w:szCs w:val="28"/>
        </w:rPr>
        <w:t xml:space="preserve">. </w:t>
      </w:r>
      <w:r>
        <w:rPr>
          <w:rFonts w:ascii="Times New Roman" w:hAnsi="Times New Roman"/>
          <w:b/>
          <w:sz w:val="28"/>
          <w:szCs w:val="28"/>
        </w:rPr>
        <w:t xml:space="preserve">Л.В. ГРОМАШЕВСЬКОГО </w:t>
      </w:r>
    </w:p>
    <w:p w:rsidR="00A64D73" w:rsidRDefault="00A64D73" w:rsidP="00A64D73">
      <w:pPr>
        <w:pStyle w:val="af8"/>
        <w:spacing w:line="360" w:lineRule="auto"/>
      </w:pPr>
      <w:r>
        <w:t>АКАДЕМІЇ МЕДИЧНИХ НАУК УКРАЇНИ»</w:t>
      </w:r>
    </w:p>
    <w:p w:rsidR="00A64D73" w:rsidRDefault="00A64D73" w:rsidP="00A64D73">
      <w:pPr>
        <w:spacing w:after="0" w:line="360" w:lineRule="auto"/>
        <w:jc w:val="center"/>
        <w:rPr>
          <w:rFonts w:ascii="Times New Roman" w:hAnsi="Times New Roman"/>
          <w:b/>
          <w:lang w:val="uk-UA"/>
        </w:rPr>
      </w:pPr>
    </w:p>
    <w:p w:rsidR="00A64D73" w:rsidRDefault="00A64D73" w:rsidP="00A64D73">
      <w:pPr>
        <w:spacing w:after="0" w:line="360" w:lineRule="auto"/>
        <w:jc w:val="center"/>
        <w:rPr>
          <w:rFonts w:ascii="Times New Roman" w:hAnsi="Times New Roman"/>
          <w:lang w:val="uk-UA"/>
        </w:rPr>
      </w:pPr>
    </w:p>
    <w:p w:rsidR="00A64D73" w:rsidRDefault="00A64D73" w:rsidP="00A64D73">
      <w:pPr>
        <w:spacing w:after="0" w:line="360" w:lineRule="auto"/>
        <w:jc w:val="center"/>
        <w:rPr>
          <w:rFonts w:ascii="Times New Roman" w:hAnsi="Times New Roman"/>
          <w:sz w:val="28"/>
          <w:szCs w:val="28"/>
          <w:lang w:val="uk-UA"/>
        </w:rPr>
      </w:pPr>
    </w:p>
    <w:p w:rsidR="00A64D73" w:rsidRDefault="00A64D73" w:rsidP="00A64D73">
      <w:pPr>
        <w:spacing w:after="0" w:line="360" w:lineRule="auto"/>
        <w:jc w:val="center"/>
        <w:rPr>
          <w:rFonts w:ascii="Times New Roman" w:hAnsi="Times New Roman"/>
          <w:sz w:val="28"/>
          <w:szCs w:val="28"/>
          <w:lang w:val="uk-UA"/>
        </w:rPr>
      </w:pPr>
    </w:p>
    <w:p w:rsidR="00A64D73" w:rsidRDefault="00A64D73" w:rsidP="00A64D73">
      <w:pPr>
        <w:spacing w:after="0" w:line="360" w:lineRule="auto"/>
        <w:rPr>
          <w:rFonts w:ascii="Times New Roman" w:hAnsi="Times New Roman"/>
          <w:sz w:val="28"/>
          <w:szCs w:val="28"/>
          <w:lang w:val="uk-UA"/>
        </w:rPr>
      </w:pP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ОЛІПЕР ОЛЕНА АНАТОЛІЇВНА</w:t>
      </w:r>
    </w:p>
    <w:p w:rsidR="00A64D73" w:rsidRDefault="00A64D73" w:rsidP="00A64D73">
      <w:pPr>
        <w:spacing w:after="0" w:line="360" w:lineRule="auto"/>
        <w:jc w:val="center"/>
        <w:rPr>
          <w:rFonts w:ascii="Times New Roman" w:hAnsi="Times New Roman"/>
          <w:b/>
          <w:sz w:val="28"/>
          <w:szCs w:val="28"/>
          <w:lang w:val="uk-UA"/>
        </w:rPr>
      </w:pPr>
    </w:p>
    <w:p w:rsidR="00A64D73" w:rsidRDefault="00A64D73" w:rsidP="00A64D73">
      <w:pPr>
        <w:spacing w:after="0" w:line="360" w:lineRule="auto"/>
        <w:jc w:val="center"/>
        <w:rPr>
          <w:rFonts w:ascii="Times New Roman" w:hAnsi="Times New Roman"/>
          <w:b/>
          <w:sz w:val="28"/>
          <w:szCs w:val="28"/>
          <w:lang w:val="uk-UA"/>
        </w:rPr>
      </w:pPr>
    </w:p>
    <w:p w:rsidR="00A64D73" w:rsidRDefault="00A64D73" w:rsidP="00A64D73">
      <w:pPr>
        <w:spacing w:after="0" w:line="360" w:lineRule="auto"/>
        <w:jc w:val="right"/>
        <w:rPr>
          <w:rFonts w:ascii="Times New Roman" w:hAnsi="Times New Roman"/>
          <w:sz w:val="28"/>
          <w:szCs w:val="28"/>
          <w:lang w:val="uk-UA"/>
        </w:rPr>
      </w:pPr>
      <w:r>
        <w:rPr>
          <w:rFonts w:ascii="Times New Roman" w:hAnsi="Times New Roman"/>
          <w:sz w:val="28"/>
          <w:szCs w:val="28"/>
          <w:lang w:val="uk-UA"/>
        </w:rPr>
        <w:t>УДК 616-071:572.7:616.36-002:61-002</w:t>
      </w: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КЛІНІКО-МОРФОЛОГІЧНІ ОСОБЛИВОСТІ ПЕРЕБІГУ </w:t>
      </w: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ХРОНІЧНОГО ГЕПАТИТУ С У НОН-РЕСПОНДЕРІВ ТА МЕТОДИ ЙОГО МЕДИКАМЕНТОЗНОЇ КОРЕКЦІЇ</w:t>
      </w:r>
    </w:p>
    <w:p w:rsidR="00A64D73" w:rsidRDefault="00A64D73" w:rsidP="00A64D73">
      <w:pPr>
        <w:spacing w:after="0" w:line="360" w:lineRule="auto"/>
        <w:jc w:val="center"/>
        <w:rPr>
          <w:rFonts w:ascii="Times New Roman" w:hAnsi="Times New Roman"/>
          <w:b/>
          <w:sz w:val="28"/>
          <w:szCs w:val="28"/>
          <w:lang w:val="uk-UA"/>
        </w:rPr>
      </w:pP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14.01.13 – інфекційні хвороби</w:t>
      </w:r>
    </w:p>
    <w:p w:rsidR="00A64D73" w:rsidRDefault="00A64D73" w:rsidP="00A64D73">
      <w:pPr>
        <w:spacing w:after="0" w:line="360" w:lineRule="auto"/>
        <w:jc w:val="center"/>
        <w:rPr>
          <w:rFonts w:ascii="Times New Roman" w:hAnsi="Times New Roman"/>
          <w:b/>
          <w:sz w:val="28"/>
          <w:szCs w:val="28"/>
          <w:lang w:val="uk-UA"/>
        </w:rPr>
      </w:pP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Автореферат</w:t>
      </w: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дисертації на здобуття наукового ступеня</w:t>
      </w:r>
    </w:p>
    <w:p w:rsidR="00A64D73" w:rsidRDefault="00A64D73" w:rsidP="00A64D7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кандидата медичних наук</w:t>
      </w:r>
    </w:p>
    <w:p w:rsidR="00A64D73" w:rsidRDefault="00A64D73" w:rsidP="00A64D73">
      <w:pPr>
        <w:spacing w:after="0" w:line="360" w:lineRule="auto"/>
        <w:jc w:val="both"/>
        <w:rPr>
          <w:rFonts w:ascii="Times New Roman" w:hAnsi="Times New Roman"/>
          <w:b/>
          <w:sz w:val="28"/>
          <w:szCs w:val="28"/>
          <w:lang w:val="uk-UA"/>
        </w:rPr>
      </w:pP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both"/>
        <w:rPr>
          <w:rFonts w:ascii="Times New Roman" w:hAnsi="Times New Roman"/>
          <w:sz w:val="28"/>
          <w:szCs w:val="28"/>
          <w:lang w:val="uk-UA"/>
        </w:rPr>
      </w:pPr>
    </w:p>
    <w:p w:rsidR="00A64D73" w:rsidRDefault="00A64D73" w:rsidP="00A64D73">
      <w:pPr>
        <w:spacing w:after="0" w:line="360" w:lineRule="auto"/>
        <w:jc w:val="center"/>
        <w:rPr>
          <w:rFonts w:ascii="Times New Roman" w:hAnsi="Times New Roman"/>
          <w:sz w:val="28"/>
          <w:szCs w:val="28"/>
          <w:lang w:val="uk-UA"/>
        </w:rPr>
      </w:pPr>
      <w:r>
        <w:rPr>
          <w:rFonts w:ascii="Times New Roman" w:hAnsi="Times New Roman"/>
          <w:sz w:val="28"/>
          <w:szCs w:val="28"/>
          <w:lang w:val="uk-UA"/>
        </w:rPr>
        <w:t>Київ – 2009</w:t>
      </w:r>
    </w:p>
    <w:p w:rsidR="00A64D73" w:rsidRDefault="00A64D73" w:rsidP="00A64D73">
      <w:pPr>
        <w:spacing w:after="0"/>
        <w:jc w:val="both"/>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sz w:val="28"/>
          <w:szCs w:val="28"/>
          <w:lang w:val="uk-UA"/>
        </w:rPr>
        <w:lastRenderedPageBreak/>
        <w:t>Дисертацією є рукопис.</w:t>
      </w:r>
    </w:p>
    <w:p w:rsidR="00A64D73" w:rsidRDefault="00A64D73" w:rsidP="00A64D73">
      <w:pPr>
        <w:spacing w:after="0"/>
        <w:jc w:val="both"/>
        <w:rPr>
          <w:rFonts w:ascii="Times New Roman" w:hAnsi="Times New Roman"/>
          <w:sz w:val="28"/>
          <w:szCs w:val="28"/>
          <w:lang w:val="uk-UA"/>
        </w:rPr>
      </w:pPr>
      <w:r>
        <w:rPr>
          <w:rFonts w:ascii="Times New Roman" w:hAnsi="Times New Roman"/>
          <w:sz w:val="28"/>
          <w:szCs w:val="28"/>
          <w:lang w:val="uk-UA"/>
        </w:rPr>
        <w:t xml:space="preserve">Робота виконана у Вінницькому національному медичному університеті </w:t>
      </w:r>
      <w:r>
        <w:rPr>
          <w:rFonts w:ascii="Times New Roman" w:hAnsi="Times New Roman"/>
          <w:sz w:val="28"/>
          <w:szCs w:val="28"/>
          <w:lang w:val="uk-UA"/>
        </w:rPr>
        <w:br/>
        <w:t>ім. М.І. Пирогова МОЗ України.</w:t>
      </w:r>
    </w:p>
    <w:p w:rsidR="00A64D73" w:rsidRDefault="00A64D73" w:rsidP="00A64D73">
      <w:pPr>
        <w:pStyle w:val="aff"/>
        <w:spacing w:line="360" w:lineRule="exact"/>
        <w:jc w:val="both"/>
        <w:rPr>
          <w:lang w:val="uk-UA"/>
        </w:rPr>
      </w:pPr>
    </w:p>
    <w:p w:rsidR="00A64D73" w:rsidRDefault="00A64D73" w:rsidP="00A64D73">
      <w:pPr>
        <w:pStyle w:val="aff"/>
        <w:spacing w:line="360" w:lineRule="exact"/>
        <w:jc w:val="both"/>
        <w:rPr>
          <w:lang w:val="uk-UA"/>
        </w:rPr>
      </w:pPr>
    </w:p>
    <w:p w:rsidR="00A64D73" w:rsidRDefault="00A64D73" w:rsidP="00A64D73">
      <w:pPr>
        <w:spacing w:after="0" w:line="360" w:lineRule="exact"/>
        <w:ind w:left="2835" w:hanging="2835"/>
        <w:jc w:val="both"/>
        <w:rPr>
          <w:rFonts w:ascii="Times New Roman" w:hAnsi="Times New Roman"/>
          <w:sz w:val="28"/>
          <w:szCs w:val="28"/>
          <w:lang w:val="uk-UA"/>
        </w:rPr>
      </w:pPr>
      <w:r>
        <w:rPr>
          <w:rFonts w:ascii="Times New Roman" w:hAnsi="Times New Roman"/>
          <w:b/>
          <w:sz w:val="28"/>
          <w:szCs w:val="28"/>
          <w:lang w:val="uk-UA"/>
        </w:rPr>
        <w:t>Науковий керівник:</w:t>
      </w:r>
      <w:r>
        <w:rPr>
          <w:rFonts w:ascii="Times New Roman" w:hAnsi="Times New Roman"/>
          <w:b/>
          <w:sz w:val="28"/>
          <w:szCs w:val="28"/>
          <w:lang w:val="uk-UA"/>
        </w:rPr>
        <w:tab/>
      </w:r>
      <w:r>
        <w:rPr>
          <w:rFonts w:ascii="Times New Roman" w:hAnsi="Times New Roman"/>
          <w:sz w:val="28"/>
          <w:szCs w:val="28"/>
          <w:lang w:val="uk-UA"/>
        </w:rPr>
        <w:t xml:space="preserve">доктор медичних наук, професор </w:t>
      </w:r>
      <w:r>
        <w:rPr>
          <w:rFonts w:ascii="Times New Roman" w:hAnsi="Times New Roman"/>
          <w:b/>
          <w:sz w:val="28"/>
          <w:szCs w:val="28"/>
          <w:lang w:val="uk-UA"/>
        </w:rPr>
        <w:t>Мороз Лариса Василівна</w:t>
      </w:r>
      <w:r>
        <w:rPr>
          <w:rFonts w:ascii="Times New Roman" w:hAnsi="Times New Roman"/>
          <w:sz w:val="28"/>
          <w:szCs w:val="28"/>
          <w:lang w:val="uk-UA"/>
        </w:rPr>
        <w:t>, Вінницький національний медичний університет ім. М.І. Пирогова МОЗ України, завідувач кафедри інфекційних хвороб з курсом епідеміології, Заслужений лікар України.</w:t>
      </w:r>
    </w:p>
    <w:p w:rsidR="00A64D73" w:rsidRDefault="00A64D73" w:rsidP="00A64D73">
      <w:pPr>
        <w:pStyle w:val="aff"/>
        <w:spacing w:line="360" w:lineRule="exact"/>
        <w:jc w:val="both"/>
        <w:rPr>
          <w:lang w:val="uk-UA"/>
        </w:rPr>
      </w:pPr>
    </w:p>
    <w:p w:rsidR="00A64D73" w:rsidRDefault="00A64D73" w:rsidP="00A64D73">
      <w:pPr>
        <w:pStyle w:val="aff"/>
        <w:spacing w:line="360" w:lineRule="exact"/>
        <w:jc w:val="both"/>
        <w:rPr>
          <w:lang w:val="uk-UA"/>
        </w:rPr>
      </w:pP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b/>
          <w:sz w:val="28"/>
          <w:szCs w:val="28"/>
          <w:lang w:val="uk-UA"/>
        </w:rPr>
        <w:t>Офіційні опоненти:</w:t>
      </w:r>
      <w:r>
        <w:rPr>
          <w:rFonts w:ascii="Times New Roman" w:hAnsi="Times New Roman"/>
          <w:sz w:val="28"/>
          <w:szCs w:val="28"/>
          <w:lang w:val="uk-UA"/>
        </w:rPr>
        <w:tab/>
      </w:r>
    </w:p>
    <w:p w:rsidR="00A64D73" w:rsidRDefault="00A64D73" w:rsidP="00A12470">
      <w:pPr>
        <w:numPr>
          <w:ilvl w:val="2"/>
          <w:numId w:val="41"/>
        </w:numPr>
        <w:autoSpaceDE w:val="0"/>
        <w:autoSpaceDN w:val="0"/>
        <w:spacing w:after="0" w:line="360" w:lineRule="exact"/>
        <w:ind w:left="709" w:hanging="709"/>
        <w:jc w:val="both"/>
        <w:rPr>
          <w:rFonts w:ascii="Times New Roman" w:hAnsi="Times New Roman"/>
          <w:sz w:val="28"/>
          <w:szCs w:val="28"/>
          <w:lang w:val="uk-UA"/>
        </w:rPr>
      </w:pPr>
      <w:r>
        <w:rPr>
          <w:rFonts w:ascii="Times New Roman" w:hAnsi="Times New Roman"/>
          <w:sz w:val="28"/>
          <w:szCs w:val="28"/>
          <w:lang w:val="uk-UA"/>
        </w:rPr>
        <w:t xml:space="preserve">доктор медичних наук, професор </w:t>
      </w:r>
      <w:r>
        <w:rPr>
          <w:rFonts w:ascii="Times New Roman" w:hAnsi="Times New Roman"/>
          <w:b/>
          <w:sz w:val="28"/>
          <w:szCs w:val="28"/>
          <w:lang w:val="uk-UA"/>
        </w:rPr>
        <w:t>Дубинська Галина Михайлівна</w:t>
      </w:r>
      <w:r>
        <w:rPr>
          <w:rFonts w:ascii="Times New Roman" w:hAnsi="Times New Roman"/>
          <w:sz w:val="28"/>
          <w:szCs w:val="28"/>
          <w:lang w:val="uk-UA"/>
        </w:rPr>
        <w:t>, ВДНЗ України «Українська стоматологічна медична академія» МОЗ України, завідувач кафедри інфекційних хвороб і епідеміології;</w:t>
      </w:r>
    </w:p>
    <w:p w:rsidR="00A64D73" w:rsidRDefault="00A64D73" w:rsidP="00A12470">
      <w:pPr>
        <w:numPr>
          <w:ilvl w:val="2"/>
          <w:numId w:val="41"/>
        </w:numPr>
        <w:autoSpaceDE w:val="0"/>
        <w:autoSpaceDN w:val="0"/>
        <w:spacing w:after="0" w:line="360" w:lineRule="exact"/>
        <w:ind w:left="709" w:hanging="709"/>
        <w:jc w:val="both"/>
        <w:rPr>
          <w:rFonts w:ascii="Times New Roman" w:hAnsi="Times New Roman"/>
          <w:sz w:val="28"/>
          <w:szCs w:val="28"/>
          <w:lang w:val="uk-UA"/>
        </w:rPr>
      </w:pPr>
      <w:r>
        <w:rPr>
          <w:rFonts w:ascii="Times New Roman" w:hAnsi="Times New Roman"/>
          <w:sz w:val="28"/>
          <w:szCs w:val="28"/>
          <w:lang w:val="uk-UA"/>
        </w:rPr>
        <w:t xml:space="preserve">кандидат медичних наук, старший науковий співробітник </w:t>
      </w:r>
      <w:r>
        <w:rPr>
          <w:rFonts w:ascii="Times New Roman" w:hAnsi="Times New Roman"/>
          <w:b/>
          <w:sz w:val="28"/>
          <w:szCs w:val="28"/>
          <w:lang w:val="uk-UA"/>
        </w:rPr>
        <w:t>Боброва</w:t>
      </w:r>
      <w:r>
        <w:rPr>
          <w:rFonts w:ascii="Times New Roman" w:hAnsi="Times New Roman"/>
          <w:sz w:val="28"/>
          <w:szCs w:val="28"/>
          <w:lang w:val="uk-UA"/>
        </w:rPr>
        <w:t xml:space="preserve"> </w:t>
      </w:r>
      <w:r>
        <w:rPr>
          <w:rFonts w:ascii="Times New Roman" w:hAnsi="Times New Roman"/>
          <w:b/>
          <w:sz w:val="28"/>
          <w:szCs w:val="28"/>
          <w:lang w:val="uk-UA"/>
        </w:rPr>
        <w:t>Ірина Анатоліївна</w:t>
      </w:r>
      <w:r>
        <w:rPr>
          <w:rFonts w:ascii="Times New Roman" w:hAnsi="Times New Roman"/>
          <w:sz w:val="28"/>
          <w:szCs w:val="28"/>
          <w:lang w:val="uk-UA"/>
        </w:rPr>
        <w:t xml:space="preserve">, ДУ «Інститут епідеміології та інфекційних хвороб </w:t>
      </w:r>
      <w:r>
        <w:rPr>
          <w:rFonts w:ascii="Times New Roman" w:hAnsi="Times New Roman"/>
          <w:sz w:val="28"/>
          <w:szCs w:val="28"/>
          <w:lang w:val="uk-UA"/>
        </w:rPr>
        <w:br/>
        <w:t>ім. Л.В. Громашевського АМН України», завідувач консультативною поліклінікою.</w:t>
      </w:r>
    </w:p>
    <w:p w:rsidR="00A64D73" w:rsidRDefault="00A64D73" w:rsidP="00A64D73">
      <w:pPr>
        <w:spacing w:after="0" w:line="360" w:lineRule="exact"/>
        <w:ind w:left="709"/>
        <w:jc w:val="both"/>
        <w:rPr>
          <w:rFonts w:ascii="Times New Roman" w:hAnsi="Times New Roman"/>
          <w:sz w:val="28"/>
          <w:szCs w:val="28"/>
          <w:lang w:val="uk-UA"/>
        </w:rPr>
      </w:pP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Захист відбудеться «_04_» грудня 2009 р. о «11» годині на засіданні спеціалізованої вченої ради Д.26.614.01 при ДУ «Інститут епідеміології та інфекційних хвороб ім. Л.В. Громашевського АМН України» за адресою: 03038, м.Київ, вул. М. Амосова, 5.</w:t>
      </w:r>
    </w:p>
    <w:p w:rsidR="00A64D73" w:rsidRDefault="00A64D73" w:rsidP="00A64D73">
      <w:pPr>
        <w:spacing w:after="0" w:line="360" w:lineRule="exact"/>
        <w:ind w:firstLine="709"/>
        <w:jc w:val="both"/>
        <w:rPr>
          <w:rFonts w:ascii="Times New Roman" w:hAnsi="Times New Roman"/>
          <w:sz w:val="28"/>
          <w:szCs w:val="28"/>
          <w:lang w:val="uk-UA"/>
        </w:rPr>
      </w:pP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З дисертацією можна ознайомитись в бібліотеці ДУ «Інститут епідеміології та інфекційних хвороб ім. Л.В. Громашевського АМН України» за адресою: 03038, м. Київ, вул. М. Амосова, 5.</w:t>
      </w:r>
    </w:p>
    <w:p w:rsidR="00A64D73" w:rsidRDefault="00A64D73" w:rsidP="00A64D73">
      <w:pPr>
        <w:spacing w:after="0" w:line="360" w:lineRule="exact"/>
        <w:ind w:left="360"/>
        <w:jc w:val="center"/>
        <w:rPr>
          <w:rFonts w:ascii="Times New Roman" w:hAnsi="Times New Roman"/>
          <w:sz w:val="28"/>
          <w:szCs w:val="28"/>
          <w:lang w:val="uk-UA"/>
        </w:rPr>
      </w:pPr>
    </w:p>
    <w:p w:rsidR="00A64D73" w:rsidRDefault="00A64D73" w:rsidP="00A64D73">
      <w:pPr>
        <w:spacing w:after="0" w:line="360" w:lineRule="exact"/>
        <w:ind w:left="709"/>
        <w:rPr>
          <w:rFonts w:ascii="Times New Roman" w:hAnsi="Times New Roman"/>
          <w:sz w:val="28"/>
          <w:szCs w:val="28"/>
          <w:lang w:val="uk-UA"/>
        </w:rPr>
      </w:pPr>
      <w:r>
        <w:rPr>
          <w:rFonts w:ascii="Times New Roman" w:hAnsi="Times New Roman"/>
          <w:sz w:val="28"/>
          <w:szCs w:val="28"/>
          <w:lang w:val="uk-UA"/>
        </w:rPr>
        <w:t xml:space="preserve">Автореферат розісланий </w:t>
      </w:r>
      <w:r>
        <w:rPr>
          <w:rFonts w:ascii="Times New Roman" w:hAnsi="Times New Roman"/>
          <w:sz w:val="28"/>
          <w:szCs w:val="28"/>
          <w:u w:val="single"/>
          <w:lang w:val="uk-UA"/>
        </w:rPr>
        <w:t>«</w:t>
      </w:r>
      <w:r w:rsidRPr="00A64D73">
        <w:rPr>
          <w:rFonts w:ascii="Times New Roman" w:hAnsi="Times New Roman"/>
          <w:sz w:val="28"/>
          <w:szCs w:val="28"/>
          <w:u w:val="single"/>
        </w:rPr>
        <w:t>3</w:t>
      </w:r>
      <w:r>
        <w:rPr>
          <w:rFonts w:ascii="Times New Roman" w:hAnsi="Times New Roman"/>
          <w:sz w:val="28"/>
          <w:szCs w:val="28"/>
          <w:u w:val="single"/>
          <w:lang w:val="uk-UA"/>
        </w:rPr>
        <w:t>»</w:t>
      </w:r>
      <w:r>
        <w:rPr>
          <w:rFonts w:ascii="Times New Roman" w:hAnsi="Times New Roman"/>
          <w:sz w:val="28"/>
          <w:szCs w:val="28"/>
          <w:lang w:val="uk-UA"/>
        </w:rPr>
        <w:t xml:space="preserve"> </w:t>
      </w:r>
      <w:r>
        <w:rPr>
          <w:rFonts w:ascii="Times New Roman" w:hAnsi="Times New Roman"/>
          <w:sz w:val="28"/>
          <w:szCs w:val="28"/>
          <w:u w:val="single"/>
          <w:lang w:val="uk-UA"/>
        </w:rPr>
        <w:t>листопада</w:t>
      </w:r>
      <w:r>
        <w:rPr>
          <w:rFonts w:ascii="Times New Roman" w:hAnsi="Times New Roman"/>
          <w:sz w:val="28"/>
          <w:szCs w:val="28"/>
          <w:lang w:val="uk-UA"/>
        </w:rPr>
        <w:t xml:space="preserve"> 2009 р</w:t>
      </w:r>
    </w:p>
    <w:p w:rsidR="00A64D73" w:rsidRDefault="00A64D73" w:rsidP="00A64D73">
      <w:pPr>
        <w:tabs>
          <w:tab w:val="left" w:pos="0"/>
        </w:tabs>
        <w:spacing w:after="0" w:line="360" w:lineRule="exact"/>
        <w:jc w:val="both"/>
        <w:rPr>
          <w:rFonts w:ascii="Times New Roman" w:hAnsi="Times New Roman"/>
          <w:b/>
          <w:sz w:val="32"/>
          <w:szCs w:val="32"/>
          <w:lang w:val="uk-UA"/>
        </w:rPr>
      </w:pPr>
    </w:p>
    <w:p w:rsidR="00A64D73" w:rsidRDefault="00A64D73" w:rsidP="00A64D73">
      <w:pPr>
        <w:tabs>
          <w:tab w:val="left" w:pos="0"/>
        </w:tabs>
        <w:spacing w:after="0" w:line="360" w:lineRule="exact"/>
        <w:jc w:val="both"/>
        <w:rPr>
          <w:rFonts w:ascii="Times New Roman" w:hAnsi="Times New Roman"/>
          <w:b/>
          <w:sz w:val="32"/>
          <w:szCs w:val="32"/>
          <w:lang w:val="uk-UA"/>
        </w:rPr>
      </w:pPr>
    </w:p>
    <w:p w:rsidR="00A64D73" w:rsidRDefault="00A64D73" w:rsidP="00A64D73">
      <w:pPr>
        <w:tabs>
          <w:tab w:val="left" w:pos="0"/>
        </w:tabs>
        <w:spacing w:after="0" w:line="360" w:lineRule="exact"/>
        <w:jc w:val="both"/>
        <w:rPr>
          <w:rFonts w:ascii="Times New Roman" w:hAnsi="Times New Roman"/>
          <w:b/>
          <w:sz w:val="28"/>
          <w:szCs w:val="28"/>
          <w:lang w:val="uk-UA"/>
        </w:rPr>
      </w:pPr>
      <w:r>
        <w:rPr>
          <w:rFonts w:ascii="Times New Roman" w:hAnsi="Times New Roman"/>
          <w:b/>
          <w:sz w:val="28"/>
          <w:szCs w:val="28"/>
          <w:lang w:val="uk-UA"/>
        </w:rPr>
        <w:t>Вчений секретар</w:t>
      </w:r>
    </w:p>
    <w:p w:rsidR="00A64D73" w:rsidRDefault="00A64D73" w:rsidP="00A64D73">
      <w:pPr>
        <w:tabs>
          <w:tab w:val="left" w:pos="0"/>
        </w:tabs>
        <w:spacing w:after="0" w:line="360" w:lineRule="exact"/>
        <w:jc w:val="both"/>
        <w:rPr>
          <w:rFonts w:ascii="Times New Roman" w:hAnsi="Times New Roman"/>
          <w:b/>
          <w:sz w:val="28"/>
          <w:szCs w:val="28"/>
        </w:rPr>
      </w:pPr>
      <w:r>
        <w:rPr>
          <w:noProof/>
          <w:sz w:val="20"/>
          <w:lang w:eastAsia="ru-RU"/>
        </w:rPr>
        <w:drawing>
          <wp:anchor distT="0" distB="0" distL="114300" distR="114300" simplePos="0" relativeHeight="251661312" behindDoc="0" locked="0" layoutInCell="1" allowOverlap="1">
            <wp:simplePos x="0" y="0"/>
            <wp:positionH relativeFrom="column">
              <wp:posOffset>2804160</wp:posOffset>
            </wp:positionH>
            <wp:positionV relativeFrom="paragraph">
              <wp:posOffset>2540</wp:posOffset>
            </wp:positionV>
            <wp:extent cx="853440" cy="568960"/>
            <wp:effectExtent l="0" t="0" r="3810" b="2540"/>
            <wp:wrapNone/>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85344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lang w:val="uk-UA"/>
        </w:rPr>
        <w:t>спеціалізованої вченої ради</w:t>
      </w:r>
    </w:p>
    <w:p w:rsidR="00A64D73" w:rsidRDefault="00A64D73" w:rsidP="00A64D73">
      <w:pPr>
        <w:rPr>
          <w:rFonts w:ascii="Times New Roman" w:hAnsi="Times New Roman"/>
          <w:b/>
          <w:sz w:val="32"/>
          <w:szCs w:val="32"/>
        </w:rPr>
        <w:sectPr w:rsidR="00A64D73">
          <w:pgSz w:w="11906" w:h="16838" w:code="9"/>
          <w:pgMar w:top="1418" w:right="1134" w:bottom="1077" w:left="1134" w:header="964" w:footer="0" w:gutter="0"/>
          <w:pgNumType w:start="1"/>
          <w:cols w:space="708"/>
          <w:docGrid w:linePitch="360"/>
        </w:sectPr>
      </w:pPr>
      <w:r>
        <w:rPr>
          <w:rFonts w:ascii="Times New Roman" w:hAnsi="Times New Roman"/>
          <w:b/>
          <w:sz w:val="28"/>
          <w:szCs w:val="28"/>
          <w:lang w:val="uk-UA"/>
        </w:rPr>
        <w:t xml:space="preserve">кандидат медичних наук </w:t>
      </w:r>
      <w:r>
        <w:rPr>
          <w:rFonts w:ascii="Times New Roman" w:hAnsi="Times New Roman"/>
          <w:b/>
          <w:sz w:val="28"/>
          <w:szCs w:val="28"/>
        </w:rPr>
        <w:t xml:space="preserve">                                                   </w:t>
      </w:r>
      <w:r>
        <w:rPr>
          <w:rFonts w:ascii="Times New Roman" w:hAnsi="Times New Roman"/>
          <w:b/>
          <w:sz w:val="28"/>
          <w:szCs w:val="28"/>
          <w:lang w:val="uk-UA"/>
        </w:rPr>
        <w:t>О.Л. Панасюк</w:t>
      </w:r>
    </w:p>
    <w:p w:rsidR="00A64D73" w:rsidRDefault="00A64D73" w:rsidP="00A64D73">
      <w:pPr>
        <w:pStyle w:val="af8"/>
        <w:spacing w:line="340" w:lineRule="exact"/>
        <w:rPr>
          <w:bCs/>
        </w:rPr>
      </w:pPr>
      <w:r>
        <w:lastRenderedPageBreak/>
        <w:t>ЗАГАЛЬНА ХАРАКТЕРИСТИКА РОБОТИ</w:t>
      </w:r>
    </w:p>
    <w:p w:rsidR="00A64D73" w:rsidRDefault="00A64D73" w:rsidP="00A64D73">
      <w:pPr>
        <w:tabs>
          <w:tab w:val="left" w:pos="5355"/>
        </w:tabs>
        <w:jc w:val="both"/>
        <w:rPr>
          <w:rFonts w:ascii="Times New Roman" w:hAnsi="Times New Roman"/>
          <w:b/>
          <w:sz w:val="28"/>
          <w:szCs w:val="28"/>
          <w:lang w:val="uk-UA"/>
        </w:rPr>
      </w:pPr>
    </w:p>
    <w:p w:rsidR="00A64D73" w:rsidRDefault="00A64D73" w:rsidP="00A64D73">
      <w:pPr>
        <w:tabs>
          <w:tab w:val="left" w:pos="5355"/>
        </w:tabs>
        <w:spacing w:after="0"/>
        <w:ind w:firstLine="709"/>
        <w:jc w:val="both"/>
        <w:rPr>
          <w:rFonts w:ascii="Times New Roman" w:hAnsi="Times New Roman"/>
          <w:sz w:val="28"/>
          <w:szCs w:val="28"/>
          <w:lang w:val="uk-UA"/>
        </w:rPr>
      </w:pPr>
      <w:r>
        <w:rPr>
          <w:rFonts w:ascii="Times New Roman" w:hAnsi="Times New Roman"/>
          <w:b/>
          <w:sz w:val="28"/>
          <w:szCs w:val="28"/>
          <w:lang w:val="uk-UA"/>
        </w:rPr>
        <w:t>Актуальність теми</w:t>
      </w:r>
      <w:r>
        <w:rPr>
          <w:sz w:val="28"/>
          <w:szCs w:val="28"/>
          <w:lang w:val="uk-UA"/>
        </w:rPr>
        <w:t xml:space="preserve">. </w:t>
      </w:r>
      <w:r>
        <w:rPr>
          <w:rFonts w:ascii="Times New Roman" w:hAnsi="Times New Roman"/>
          <w:sz w:val="28"/>
          <w:szCs w:val="28"/>
          <w:lang w:val="uk-UA"/>
        </w:rPr>
        <w:t>HCV-інфекція залишається однією з основних проблем сучасної гепатології та є чинником розвитку хронічного гепатиту, цирозу печінки і первинної гепатоцелюлярної карциноми. За останніми даними ВООЗ в світі інфіковано майже 3 % населення, що складає понад 170 млн. людей (Возіанова Ж.І., 2005,</w:t>
      </w:r>
      <w:r>
        <w:rPr>
          <w:sz w:val="28"/>
          <w:szCs w:val="28"/>
          <w:lang w:val="uk-UA"/>
        </w:rPr>
        <w:t xml:space="preserve"> </w:t>
      </w:r>
      <w:r>
        <w:rPr>
          <w:rFonts w:ascii="Times New Roman" w:hAnsi="Times New Roman"/>
          <w:sz w:val="28"/>
          <w:szCs w:val="28"/>
          <w:lang w:val="uk-UA"/>
        </w:rPr>
        <w:t>Марієвський В.Ф., 2007, Кулырова</w:t>
      </w:r>
      <w:r>
        <w:rPr>
          <w:sz w:val="28"/>
          <w:lang w:val="uk-UA"/>
        </w:rPr>
        <w:t xml:space="preserve"> </w:t>
      </w:r>
      <w:r>
        <w:rPr>
          <w:rFonts w:ascii="Times New Roman" w:hAnsi="Times New Roman"/>
          <w:sz w:val="28"/>
          <w:lang w:val="uk-UA"/>
        </w:rPr>
        <w:t>Б.М.,</w:t>
      </w:r>
      <w:r>
        <w:rPr>
          <w:rFonts w:ascii="Times New Roman" w:hAnsi="Times New Roman"/>
          <w:sz w:val="28"/>
          <w:szCs w:val="28"/>
          <w:lang w:val="uk-UA"/>
        </w:rPr>
        <w:t xml:space="preserve"> 2007, Гураль А.Л., 2007, Ахминеєва</w:t>
      </w:r>
      <w:r>
        <w:rPr>
          <w:sz w:val="28"/>
          <w:szCs w:val="28"/>
          <w:lang w:val="uk-UA"/>
        </w:rPr>
        <w:t xml:space="preserve"> </w:t>
      </w:r>
      <w:r>
        <w:rPr>
          <w:rFonts w:ascii="Times New Roman" w:hAnsi="Times New Roman"/>
          <w:sz w:val="28"/>
          <w:szCs w:val="28"/>
          <w:lang w:val="uk-UA"/>
        </w:rPr>
        <w:t xml:space="preserve">А.Х., 2008). </w:t>
      </w:r>
      <w:r>
        <w:rPr>
          <w:rFonts w:ascii="Times New Roman" w:hAnsi="Times New Roman"/>
          <w:sz w:val="28"/>
          <w:lang w:val="uk-UA"/>
        </w:rPr>
        <w:t>При ХГС прогноз захворювання обумовлений, насамперед, швидкістю формування цирозу печінки, а саме: темпами фіброзування печінкової тканини.</w:t>
      </w:r>
      <w:r>
        <w:rPr>
          <w:rFonts w:ascii="Times New Roman" w:hAnsi="Times New Roman"/>
          <w:sz w:val="28"/>
          <w:szCs w:val="28"/>
          <w:lang w:val="uk-UA"/>
        </w:rPr>
        <w:t xml:space="preserve"> З цієї точки зору HCV-інфекція може розглядатися в якості захворювання, основними характеристиками якого слугують вираженість запалення та фіброзування печінкової тканини.</w:t>
      </w:r>
    </w:p>
    <w:p w:rsidR="00A64D73" w:rsidRDefault="00A64D73" w:rsidP="00A64D73">
      <w:pPr>
        <w:tabs>
          <w:tab w:val="left" w:pos="4680"/>
        </w:tabs>
        <w:spacing w:after="0"/>
        <w:ind w:firstLine="720"/>
        <w:jc w:val="both"/>
        <w:rPr>
          <w:rFonts w:ascii="Times New Roman" w:hAnsi="Times New Roman"/>
          <w:sz w:val="28"/>
          <w:szCs w:val="28"/>
          <w:lang w:val="uk-UA"/>
        </w:rPr>
      </w:pPr>
      <w:r>
        <w:rPr>
          <w:rFonts w:ascii="Times New Roman" w:hAnsi="Times New Roman"/>
          <w:sz w:val="28"/>
          <w:lang w:val="uk-UA"/>
        </w:rPr>
        <w:t>За даними регістраційних клінічних досліджень частота відсутності відповіді на сучасну противірусну терапію пегельованим інтерфероном-α та рибавірином складає 31-35</w:t>
      </w:r>
      <w:r w:rsidRPr="00A64D73">
        <w:rPr>
          <w:rFonts w:ascii="Times New Roman" w:hAnsi="Times New Roman"/>
          <w:sz w:val="28"/>
          <w:lang w:val="uk-UA"/>
        </w:rPr>
        <w:t xml:space="preserve"> </w:t>
      </w:r>
      <w:r>
        <w:rPr>
          <w:rFonts w:ascii="Times New Roman" w:hAnsi="Times New Roman"/>
          <w:sz w:val="28"/>
          <w:lang w:val="uk-UA"/>
        </w:rPr>
        <w:t>%, частота рецидивів протягом 24 тижнів спостереження після закінчення лікування - 11-13 %</w:t>
      </w:r>
      <w:r>
        <w:rPr>
          <w:sz w:val="28"/>
          <w:szCs w:val="28"/>
          <w:lang w:val="uk-UA"/>
        </w:rPr>
        <w:t xml:space="preserve"> (</w:t>
      </w:r>
      <w:r>
        <w:rPr>
          <w:rFonts w:ascii="Times New Roman" w:hAnsi="Times New Roman"/>
          <w:sz w:val="28"/>
          <w:szCs w:val="28"/>
          <w:lang w:val="uk-UA"/>
        </w:rPr>
        <w:t xml:space="preserve">Hadziyannis S. et al., 2004, </w:t>
      </w:r>
      <w:r>
        <w:rPr>
          <w:rFonts w:ascii="Times New Roman" w:hAnsi="Times New Roman"/>
          <w:sz w:val="28"/>
          <w:szCs w:val="28"/>
        </w:rPr>
        <w:t>Zeuzem</w:t>
      </w:r>
      <w:r w:rsidRPr="00A64D73">
        <w:rPr>
          <w:rFonts w:ascii="Times New Roman" w:hAnsi="Times New Roman"/>
          <w:sz w:val="28"/>
          <w:szCs w:val="28"/>
          <w:lang w:val="uk-UA"/>
        </w:rPr>
        <w:t xml:space="preserve"> </w:t>
      </w:r>
      <w:r>
        <w:rPr>
          <w:rFonts w:ascii="Times New Roman" w:hAnsi="Times New Roman"/>
          <w:sz w:val="28"/>
          <w:szCs w:val="28"/>
        </w:rPr>
        <w:t>S</w:t>
      </w:r>
      <w:r w:rsidRPr="00A64D73">
        <w:rPr>
          <w:rFonts w:ascii="Times New Roman" w:hAnsi="Times New Roman"/>
          <w:sz w:val="28"/>
          <w:szCs w:val="28"/>
          <w:lang w:val="uk-UA"/>
        </w:rPr>
        <w:t>.</w:t>
      </w:r>
      <w:r>
        <w:rPr>
          <w:rFonts w:ascii="Times New Roman" w:hAnsi="Times New Roman"/>
          <w:sz w:val="28"/>
          <w:szCs w:val="28"/>
          <w:lang w:val="uk-UA"/>
        </w:rPr>
        <w:t>, 2005, Боброва</w:t>
      </w:r>
      <w:r>
        <w:rPr>
          <w:rFonts w:ascii="Times New Roman" w:hAnsi="Times New Roman"/>
          <w:sz w:val="28"/>
          <w:lang w:val="uk-UA"/>
        </w:rPr>
        <w:t xml:space="preserve"> И.А., 2006, </w:t>
      </w:r>
      <w:r>
        <w:rPr>
          <w:rFonts w:ascii="Times New Roman" w:hAnsi="Times New Roman"/>
          <w:sz w:val="28"/>
          <w:szCs w:val="28"/>
          <w:lang w:val="en-US"/>
        </w:rPr>
        <w:t>C</w:t>
      </w:r>
      <w:r w:rsidRPr="00A64D73">
        <w:rPr>
          <w:rFonts w:ascii="Times New Roman" w:hAnsi="Times New Roman"/>
          <w:sz w:val="28"/>
          <w:szCs w:val="28"/>
          <w:lang w:val="uk-UA"/>
        </w:rPr>
        <w:t xml:space="preserve">. </w:t>
      </w:r>
      <w:r>
        <w:rPr>
          <w:rFonts w:ascii="Times New Roman" w:hAnsi="Times New Roman"/>
          <w:sz w:val="28"/>
          <w:szCs w:val="28"/>
          <w:lang w:val="en-US"/>
        </w:rPr>
        <w:t>Baleriola</w:t>
      </w:r>
      <w:r w:rsidRPr="00A64D73">
        <w:rPr>
          <w:rFonts w:ascii="Times New Roman" w:hAnsi="Times New Roman"/>
          <w:sz w:val="28"/>
          <w:szCs w:val="28"/>
          <w:lang w:val="uk-UA"/>
        </w:rPr>
        <w:t>, 2009</w:t>
      </w:r>
      <w:r>
        <w:rPr>
          <w:rFonts w:ascii="Times New Roman" w:hAnsi="Times New Roman"/>
          <w:sz w:val="28"/>
          <w:szCs w:val="28"/>
          <w:lang w:val="uk-UA"/>
        </w:rPr>
        <w:t>)</w:t>
      </w:r>
      <w:r>
        <w:rPr>
          <w:rFonts w:ascii="Times New Roman" w:hAnsi="Times New Roman"/>
          <w:sz w:val="28"/>
          <w:lang w:val="uk-UA"/>
        </w:rPr>
        <w:t>. Згідно з прогнозами до 2015 року кількість хворих, які не відповіли або продемонстрували рецидив після сучасної комбінованої ПВТ, зрівняється з кількістю первинних хворих на ХГС, котрі раніше не отримували лікування. В останні роки розробляються алгоритми індивідуалізації ПВТ, що дозволяють в ряді випадків скоротити термін лікування за умови збереження високого шансу на виліковування або, навпаки, пролонгувати з метою підвищення частоти досягнення вірусологічної відповіді. У лікуванні хворих, які не відповіли на попередній курс терапії, або з рецидивом після нього, активно вивчаються комбінації інгібіторів протеази або полімерази з комбінованою ПВТ.</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Незважаючи на успіхи в проведені ПВТ</w:t>
      </w:r>
      <w:r>
        <w:rPr>
          <w:rFonts w:ascii="Times New Roman" w:hAnsi="Times New Roman"/>
          <w:sz w:val="28"/>
          <w:szCs w:val="28"/>
        </w:rPr>
        <w:t>,</w:t>
      </w:r>
      <w:r>
        <w:rPr>
          <w:rFonts w:ascii="Times New Roman" w:hAnsi="Times New Roman"/>
          <w:sz w:val="28"/>
          <w:szCs w:val="28"/>
          <w:lang w:val="uk-UA"/>
        </w:rPr>
        <w:t xml:space="preserve"> у хворих на ХГС залишаються невирішеними питання пошуків предикторів її ефективності. При регресійному аналізі всієї популяції хворих, які отримували комбіновану ПВТ, до підтверджених несприятливих факторів досягнення стійкої вірусологічної відповіді віднесено 1-й генотип вірусу, негроїдну расу пацієнтів, стеатоз печінки (Poynard T., 2003, Thomopoulos K.C., 2005</w:t>
      </w:r>
      <w:r w:rsidRPr="00A64D73">
        <w:rPr>
          <w:rFonts w:ascii="Times New Roman" w:hAnsi="Times New Roman"/>
          <w:sz w:val="28"/>
          <w:szCs w:val="28"/>
          <w:lang w:val="uk-UA"/>
        </w:rPr>
        <w:t xml:space="preserve">, </w:t>
      </w:r>
      <w:r>
        <w:rPr>
          <w:rFonts w:ascii="Times New Roman" w:hAnsi="Times New Roman"/>
          <w:sz w:val="28"/>
          <w:szCs w:val="28"/>
          <w:lang w:val="en-US"/>
        </w:rPr>
        <w:t>Marcellin</w:t>
      </w:r>
      <w:r>
        <w:rPr>
          <w:rFonts w:ascii="Times New Roman" w:hAnsi="Times New Roman"/>
          <w:sz w:val="28"/>
          <w:szCs w:val="28"/>
          <w:lang w:val="uk-UA"/>
        </w:rPr>
        <w:t xml:space="preserve"> </w:t>
      </w:r>
      <w:r>
        <w:rPr>
          <w:rFonts w:ascii="Times New Roman" w:hAnsi="Times New Roman"/>
          <w:sz w:val="28"/>
          <w:szCs w:val="28"/>
          <w:lang w:val="en-US"/>
        </w:rPr>
        <w:t>P</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2007). Роль інших факторів у відсутності вірусологічної відповіді на лікування в даний час дискутується.</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 xml:space="preserve">Рутинними показниками ефективності ПВТ слугують нормалізація активності печінкових ферментів та елімінація вірусної РНК з сироватки. Однак з урахуванням важливості морфологічної перебудови тканини печінки, особливу актуальність набуває дослідження біоптатів печінки та оцінка динаміки гістологічних показників на фоні ПВТ. У зв’язку з великим значенням процесу фіброзування в розвитку ураження печінки при ХГС важливим є моніторування </w:t>
      </w:r>
      <w:r>
        <w:rPr>
          <w:rFonts w:ascii="Times New Roman" w:hAnsi="Times New Roman"/>
          <w:sz w:val="28"/>
          <w:szCs w:val="28"/>
          <w:lang w:val="uk-UA"/>
        </w:rPr>
        <w:lastRenderedPageBreak/>
        <w:t>фіброгенезу. Пункційна біопсія печінки, залишаючись «золотим стандартом» діагностики ХГС, не завжди може використовуватись на етапах моніторування перебігу хвороби та ефективності лікування через травматичність процедури, можливість виникнення ускладнень, а також через необхідність кваліфікованих морфологів. Саме з цієї причини багато уваги приділяється розробці різноманітних неінвазивних маркерів для оцінки фіброзу, що володіють специфічністю до тканини печінки. Серед останніх розглядаються матриксні металопротеїнази, що відіграють провідну роль у перетворенні позаклітинного матриксу (Соболева Г.М., 2007</w:t>
      </w:r>
      <w:r w:rsidRPr="00A64D73">
        <w:rPr>
          <w:rFonts w:ascii="Times New Roman" w:hAnsi="Times New Roman"/>
          <w:sz w:val="28"/>
          <w:szCs w:val="28"/>
        </w:rPr>
        <w:t xml:space="preserve">, </w:t>
      </w:r>
      <w:r>
        <w:rPr>
          <w:rFonts w:ascii="Times New Roman" w:hAnsi="Times New Roman"/>
          <w:sz w:val="28"/>
          <w:szCs w:val="28"/>
          <w:lang w:val="en-US"/>
        </w:rPr>
        <w:t>Eisele</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2008). Роль ММП в процесах фіброзоутворення підтверджена в нечисленних експериментальних роботах, однак зовсім мало відомо стосовно їх ролі в формуванні фіброзу печінки при ХГС (</w:t>
      </w:r>
      <w:r>
        <w:rPr>
          <w:rFonts w:ascii="Times New Roman" w:hAnsi="Times New Roman"/>
          <w:iCs/>
          <w:sz w:val="28"/>
          <w:szCs w:val="28"/>
          <w:lang w:val="en-GB"/>
        </w:rPr>
        <w:t>Lebensztejn</w:t>
      </w:r>
      <w:r>
        <w:rPr>
          <w:rFonts w:ascii="Times New Roman" w:hAnsi="Times New Roman"/>
          <w:iCs/>
          <w:sz w:val="28"/>
          <w:szCs w:val="28"/>
          <w:lang w:val="uk-UA"/>
        </w:rPr>
        <w:t xml:space="preserve"> </w:t>
      </w:r>
      <w:r>
        <w:rPr>
          <w:rFonts w:ascii="Times New Roman" w:hAnsi="Times New Roman"/>
          <w:iCs/>
          <w:sz w:val="28"/>
          <w:szCs w:val="28"/>
          <w:lang w:val="en-GB"/>
        </w:rPr>
        <w:t>DM</w:t>
      </w:r>
      <w:r>
        <w:rPr>
          <w:rFonts w:ascii="Times New Roman" w:hAnsi="Times New Roman"/>
          <w:iCs/>
          <w:sz w:val="28"/>
          <w:szCs w:val="28"/>
          <w:lang w:val="uk-UA"/>
        </w:rPr>
        <w:t xml:space="preserve">. </w:t>
      </w:r>
      <w:r>
        <w:rPr>
          <w:rFonts w:ascii="Times New Roman" w:hAnsi="Times New Roman"/>
          <w:iCs/>
          <w:sz w:val="28"/>
          <w:szCs w:val="28"/>
          <w:lang w:val="en-US"/>
        </w:rPr>
        <w:t>et</w:t>
      </w:r>
      <w:r>
        <w:rPr>
          <w:rFonts w:ascii="Times New Roman" w:hAnsi="Times New Roman"/>
          <w:iCs/>
          <w:sz w:val="28"/>
          <w:szCs w:val="28"/>
          <w:lang w:val="uk-UA"/>
        </w:rPr>
        <w:t xml:space="preserve"> </w:t>
      </w:r>
      <w:r>
        <w:rPr>
          <w:rFonts w:ascii="Times New Roman" w:hAnsi="Times New Roman"/>
          <w:iCs/>
          <w:sz w:val="28"/>
          <w:szCs w:val="28"/>
          <w:lang w:val="en-US"/>
        </w:rPr>
        <w:t>al</w:t>
      </w:r>
      <w:r>
        <w:rPr>
          <w:rFonts w:ascii="Times New Roman" w:hAnsi="Times New Roman"/>
          <w:iCs/>
          <w:sz w:val="28"/>
          <w:szCs w:val="28"/>
          <w:lang w:val="uk-UA"/>
        </w:rPr>
        <w:t>., 2007,</w:t>
      </w:r>
      <w:r>
        <w:rPr>
          <w:rFonts w:ascii="TimesNewRomanPS-ItalicMT" w:hAnsi="TimesNewRomanPS-ItalicMT" w:cs="TimesNewRomanPS-ItalicMT"/>
          <w:i/>
          <w:iCs/>
          <w:lang w:val="uk-UA"/>
        </w:rPr>
        <w:t xml:space="preserve"> </w:t>
      </w:r>
      <w:hyperlink r:id="rId9" w:history="1">
        <w:r>
          <w:rPr>
            <w:rFonts w:ascii="Times New Roman" w:hAnsi="Times New Roman"/>
            <w:bCs/>
            <w:sz w:val="28"/>
            <w:szCs w:val="28"/>
          </w:rPr>
          <w:t>Tseng</w:t>
        </w:r>
        <w:r>
          <w:rPr>
            <w:rFonts w:ascii="Times New Roman" w:hAnsi="Times New Roman"/>
            <w:bCs/>
            <w:sz w:val="28"/>
            <w:szCs w:val="28"/>
            <w:lang w:val="uk-UA"/>
          </w:rPr>
          <w:t xml:space="preserve"> </w:t>
        </w:r>
        <w:r>
          <w:rPr>
            <w:rFonts w:ascii="Times New Roman" w:hAnsi="Times New Roman"/>
            <w:bCs/>
            <w:sz w:val="28"/>
            <w:szCs w:val="28"/>
          </w:rPr>
          <w:t>GC</w:t>
        </w:r>
      </w:hyperlink>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2008).</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При застосування комбінованої ПВТ, в тому числі у випадках відсутності стійкої вірусологічної відповіді, у більшості хворих спостерігається зменшення ступеня активності запальної інфільтрації, некрозів та стабілізація або регрес фіброзу печінки (Блохина Н.П., 2003, Rubin R. et al., 2008). Однак згідно з сучасними консенсусами з лікування ХГС, відсутність відповіді на ПВТ є критерієм його припинення і нагальною стає проблема пошуку ефективних антифібротичних засобів (Koike K., 2006, Lee K.S., 2006). Інгібування ренін-ангіотензинової системи, можливо, є найбільш перспективною стратегією в лікуванні фіброзу печінки. Антагоністи рецепторів ангіотензину ІІ широко застосовуються в якості антифібротичних засобів у пацієнтів з хронічними захворюваннями нирок і серця та є достатньо безпечними при довготривалому призначенні (Colmenero J. et al., 2007</w:t>
      </w:r>
      <w:r w:rsidRPr="00A64D73">
        <w:rPr>
          <w:rFonts w:ascii="Times New Roman" w:hAnsi="Times New Roman"/>
          <w:sz w:val="28"/>
          <w:szCs w:val="28"/>
          <w:lang w:val="uk-UA"/>
        </w:rPr>
        <w:t>,</w:t>
      </w:r>
      <w:r>
        <w:rPr>
          <w:rFonts w:ascii="Times New Roman" w:hAnsi="Times New Roman"/>
          <w:sz w:val="28"/>
          <w:szCs w:val="28"/>
          <w:lang w:val="uk-UA"/>
        </w:rPr>
        <w:t xml:space="preserve"> Kim M.Y., 2008). На даний момент існує мало інформації у відношенні застосування цих засобів у пацієнтів з хронічними захворюваннями печінки. Попередні пілотні дослідження у пацієнтів з ХГС підтверджують, що антагоністи рецепторів ангіотензину ІІ можуть здійснювати істотний вплив на прогресування фіброзу (</w:t>
      </w:r>
      <w:hyperlink r:id="rId10" w:history="1">
        <w:r>
          <w:rPr>
            <w:rFonts w:ascii="Times New Roman" w:hAnsi="Times New Roman"/>
            <w:bCs/>
            <w:sz w:val="28"/>
            <w:szCs w:val="28"/>
            <w:lang w:val="uk-UA" w:eastAsia="ru-RU"/>
          </w:rPr>
          <w:t>Gatsura SV</w:t>
        </w:r>
      </w:hyperlink>
      <w:r>
        <w:rPr>
          <w:rFonts w:ascii="Times New Roman" w:hAnsi="Times New Roman"/>
          <w:sz w:val="28"/>
          <w:szCs w:val="28"/>
          <w:lang w:val="uk-UA"/>
        </w:rPr>
        <w:t xml:space="preserve">., 2004, </w:t>
      </w:r>
      <w:hyperlink r:id="rId11" w:history="1">
        <w:r>
          <w:rPr>
            <w:rFonts w:ascii="Times New Roman" w:hAnsi="Times New Roman"/>
            <w:bCs/>
            <w:sz w:val="28"/>
            <w:szCs w:val="28"/>
            <w:lang w:val="uk-UA" w:eastAsia="ru-RU"/>
          </w:rPr>
          <w:t>Renke M</w:t>
        </w:r>
      </w:hyperlink>
      <w:r>
        <w:rPr>
          <w:rFonts w:ascii="Times New Roman" w:hAnsi="Times New Roman"/>
          <w:sz w:val="28"/>
          <w:szCs w:val="28"/>
          <w:lang w:val="uk-UA"/>
        </w:rPr>
        <w:t xml:space="preserve">. et al., 2008). Саме з цієї причини існує необхідність визначення ролі антагоністів рецепторів ангіотензину ІІ в якості можливого антифібротичного засобу при ХГС. </w:t>
      </w:r>
    </w:p>
    <w:p w:rsidR="00A64D73" w:rsidRDefault="00A64D73" w:rsidP="00A64D73">
      <w:pPr>
        <w:spacing w:after="0" w:line="360" w:lineRule="exact"/>
        <w:ind w:firstLine="720"/>
        <w:jc w:val="both"/>
        <w:rPr>
          <w:rFonts w:ascii="Times New Roman" w:hAnsi="Times New Roman"/>
          <w:bCs/>
          <w:sz w:val="28"/>
          <w:szCs w:val="28"/>
          <w:lang w:val="uk-UA"/>
        </w:rPr>
      </w:pPr>
      <w:r>
        <w:rPr>
          <w:rStyle w:val="rvts8"/>
          <w:color w:val="000000"/>
          <w:szCs w:val="28"/>
        </w:rPr>
        <w:t>Зв</w:t>
      </w:r>
      <w:r>
        <w:rPr>
          <w:rStyle w:val="rvts13"/>
          <w:color w:val="000000"/>
        </w:rPr>
        <w:t>’</w:t>
      </w:r>
      <w:r>
        <w:rPr>
          <w:rStyle w:val="rvts8"/>
          <w:color w:val="000000"/>
          <w:szCs w:val="28"/>
        </w:rPr>
        <w:t>язок роботи з науковими програмами, планами, темами</w:t>
      </w:r>
      <w:r>
        <w:rPr>
          <w:sz w:val="28"/>
          <w:szCs w:val="28"/>
          <w:lang w:val="uk-UA"/>
        </w:rPr>
        <w:t xml:space="preserve">. </w:t>
      </w:r>
      <w:r>
        <w:rPr>
          <w:rFonts w:ascii="Times New Roman" w:hAnsi="Times New Roman"/>
          <w:sz w:val="28"/>
          <w:szCs w:val="28"/>
          <w:lang w:val="uk-UA"/>
        </w:rPr>
        <w:t xml:space="preserve">Робота виконана на кафедрі інфекційних хвороб ВНМУ ім. М.І. Пирогова, що безпосередньо займається проблемою вірусних гепатитів і є фрагментом науково-дослідної роботи кафедри </w:t>
      </w:r>
      <w:r>
        <w:rPr>
          <w:rFonts w:ascii="Times New Roman" w:hAnsi="Times New Roman"/>
          <w:bCs/>
          <w:sz w:val="28"/>
          <w:szCs w:val="28"/>
          <w:lang w:val="uk-UA"/>
        </w:rPr>
        <w:t xml:space="preserve">“Вивчення взаємозв’язку вірусних, генетичних та метаболічних факторів з особливостями перебігу хронічних вірусних гепатитів В та С” (№ держреєстрації 0104U003541). </w:t>
      </w:r>
    </w:p>
    <w:p w:rsidR="00A64D73" w:rsidRDefault="00A64D73" w:rsidP="00A64D73">
      <w:pPr>
        <w:pStyle w:val="rvps10"/>
        <w:spacing w:line="360" w:lineRule="exact"/>
        <w:rPr>
          <w:bCs/>
          <w:sz w:val="28"/>
          <w:lang w:val="uk-UA"/>
        </w:rPr>
      </w:pPr>
      <w:r w:rsidRPr="00A64D73">
        <w:rPr>
          <w:rStyle w:val="rvts8"/>
          <w:rFonts w:eastAsia="MS Mincho"/>
          <w:color w:val="000000"/>
          <w:szCs w:val="28"/>
          <w:lang w:val="uk-UA"/>
        </w:rPr>
        <w:t xml:space="preserve">Мета дослідження: </w:t>
      </w:r>
      <w:r>
        <w:rPr>
          <w:bCs/>
          <w:sz w:val="28"/>
          <w:lang w:val="uk-UA"/>
        </w:rPr>
        <w:t xml:space="preserve">визначити особливості перебігу ХГС у хворих, які не відповіли на ПВТ, на основі оцінки клініко-біохімічних та морфологічних показників </w:t>
      </w:r>
      <w:r>
        <w:rPr>
          <w:bCs/>
          <w:sz w:val="28"/>
          <w:lang w:val="uk-UA"/>
        </w:rPr>
        <w:lastRenderedPageBreak/>
        <w:t>прогресування фіброзу печінки та удосконалити засоби антифібротичної корекції.</w:t>
      </w:r>
    </w:p>
    <w:p w:rsidR="00A64D73" w:rsidRDefault="00A64D73" w:rsidP="00A64D73">
      <w:pPr>
        <w:spacing w:after="0" w:line="360" w:lineRule="exact"/>
        <w:ind w:firstLine="720"/>
        <w:jc w:val="both"/>
        <w:rPr>
          <w:rFonts w:ascii="Times New Roman" w:hAnsi="Times New Roman"/>
          <w:b/>
          <w:sz w:val="28"/>
          <w:szCs w:val="28"/>
          <w:lang w:val="uk-UA"/>
        </w:rPr>
      </w:pPr>
      <w:r>
        <w:rPr>
          <w:rFonts w:ascii="Times New Roman" w:hAnsi="Times New Roman"/>
          <w:b/>
          <w:sz w:val="28"/>
          <w:szCs w:val="28"/>
          <w:lang w:val="uk-UA"/>
        </w:rPr>
        <w:t>Завдання дослідження:</w:t>
      </w:r>
    </w:p>
    <w:p w:rsidR="00A64D73" w:rsidRDefault="00A64D73" w:rsidP="00A12470">
      <w:pPr>
        <w:numPr>
          <w:ilvl w:val="0"/>
          <w:numId w:val="39"/>
        </w:numPr>
        <w:spacing w:after="0" w:line="360" w:lineRule="exact"/>
        <w:ind w:left="0" w:firstLine="720"/>
        <w:jc w:val="both"/>
        <w:rPr>
          <w:rFonts w:ascii="Times New Roman" w:hAnsi="Times New Roman"/>
          <w:sz w:val="28"/>
          <w:szCs w:val="28"/>
          <w:lang w:val="uk-UA"/>
        </w:rPr>
      </w:pPr>
      <w:r>
        <w:rPr>
          <w:rFonts w:ascii="Times New Roman" w:hAnsi="Times New Roman"/>
          <w:sz w:val="28"/>
          <w:szCs w:val="28"/>
          <w:lang w:val="uk-UA"/>
        </w:rPr>
        <w:t>Оцінити особливості клінічного перебігу ХГС у пацієнтів з 1в генотипом, які не відповіли на противірусну терапію.</w:t>
      </w:r>
    </w:p>
    <w:p w:rsidR="00A64D73" w:rsidRDefault="00A64D73" w:rsidP="00A12470">
      <w:pPr>
        <w:numPr>
          <w:ilvl w:val="0"/>
          <w:numId w:val="39"/>
        </w:numPr>
        <w:tabs>
          <w:tab w:val="clear" w:pos="720"/>
          <w:tab w:val="num" w:pos="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Встановити характер змін біохімічних показників активності запального процесу у хворих на ХГС, які не відповіли на противірусну терапію.</w:t>
      </w:r>
    </w:p>
    <w:p w:rsidR="00A64D73" w:rsidRDefault="00A64D73" w:rsidP="00A12470">
      <w:pPr>
        <w:numPr>
          <w:ilvl w:val="0"/>
          <w:numId w:val="39"/>
        </w:numPr>
        <w:spacing w:after="0" w:line="360" w:lineRule="exact"/>
        <w:ind w:left="0" w:firstLine="720"/>
        <w:jc w:val="both"/>
        <w:rPr>
          <w:rFonts w:ascii="Times New Roman" w:hAnsi="Times New Roman"/>
          <w:sz w:val="28"/>
          <w:szCs w:val="28"/>
          <w:lang w:val="uk-UA"/>
        </w:rPr>
      </w:pPr>
      <w:r>
        <w:rPr>
          <w:rFonts w:ascii="Times New Roman" w:hAnsi="Times New Roman"/>
          <w:sz w:val="28"/>
          <w:szCs w:val="28"/>
          <w:lang w:val="uk-UA"/>
        </w:rPr>
        <w:t xml:space="preserve">Визначити ступінь фібротичних змін у хворих на ХГС з 1в генотипом, які не відповіли на противірусну терапію </w:t>
      </w:r>
    </w:p>
    <w:p w:rsidR="00A64D73" w:rsidRDefault="00A64D73" w:rsidP="00A12470">
      <w:pPr>
        <w:numPr>
          <w:ilvl w:val="0"/>
          <w:numId w:val="39"/>
        </w:numPr>
        <w:spacing w:after="0" w:line="360" w:lineRule="exact"/>
        <w:ind w:left="0" w:firstLine="720"/>
        <w:jc w:val="both"/>
        <w:rPr>
          <w:rFonts w:ascii="Times New Roman" w:hAnsi="Times New Roman"/>
          <w:sz w:val="28"/>
          <w:szCs w:val="28"/>
          <w:lang w:val="uk-UA"/>
        </w:rPr>
      </w:pPr>
      <w:r>
        <w:rPr>
          <w:rFonts w:ascii="Times New Roman" w:hAnsi="Times New Roman"/>
          <w:sz w:val="28"/>
          <w:szCs w:val="28"/>
          <w:lang w:val="uk-UA"/>
        </w:rPr>
        <w:t>Оцінити діагностичну цінність змін вмісту металопротеїнази -2 в сироватці крові хворих на ХГС для визначення ступеня фіброзу.</w:t>
      </w:r>
    </w:p>
    <w:p w:rsidR="00A64D73" w:rsidRDefault="00A64D73" w:rsidP="00A12470">
      <w:pPr>
        <w:numPr>
          <w:ilvl w:val="0"/>
          <w:numId w:val="39"/>
        </w:numPr>
        <w:spacing w:after="0" w:line="360" w:lineRule="exact"/>
        <w:ind w:left="0" w:firstLine="720"/>
        <w:jc w:val="both"/>
        <w:rPr>
          <w:rFonts w:ascii="Times New Roman" w:hAnsi="Times New Roman"/>
          <w:sz w:val="28"/>
          <w:szCs w:val="28"/>
          <w:lang w:val="uk-UA"/>
        </w:rPr>
      </w:pPr>
      <w:r>
        <w:rPr>
          <w:rFonts w:ascii="Times New Roman" w:hAnsi="Times New Roman"/>
          <w:sz w:val="28"/>
          <w:szCs w:val="28"/>
          <w:lang w:val="uk-UA"/>
        </w:rPr>
        <w:t>Визначити антифібротичну дію лозартану у пацієнтів з ХГС 1в генотипу, які не відповіли на противірусну терапію.</w:t>
      </w:r>
    </w:p>
    <w:p w:rsidR="00A64D73" w:rsidRDefault="00A64D73" w:rsidP="00A64D73">
      <w:pPr>
        <w:pStyle w:val="rvps10"/>
        <w:spacing w:line="360" w:lineRule="exact"/>
        <w:rPr>
          <w:rStyle w:val="rvts8"/>
          <w:rFonts w:eastAsia="MS Mincho"/>
          <w:b/>
          <w:color w:val="000000"/>
          <w:szCs w:val="28"/>
        </w:rPr>
      </w:pPr>
      <w:r>
        <w:rPr>
          <w:rStyle w:val="rvts8"/>
          <w:rFonts w:eastAsia="MS Mincho"/>
          <w:b/>
          <w:i/>
          <w:color w:val="000000"/>
          <w:szCs w:val="28"/>
        </w:rPr>
        <w:t xml:space="preserve">Об’єкт дослідження - </w:t>
      </w:r>
      <w:r>
        <w:rPr>
          <w:rStyle w:val="rvts8"/>
          <w:rFonts w:eastAsia="MS Mincho"/>
          <w:b/>
          <w:color w:val="000000"/>
          <w:szCs w:val="28"/>
        </w:rPr>
        <w:t>хронічний вірусний гепатит С у хворих з 1в генотипом, які не відповіли на противірусну терапію.</w:t>
      </w:r>
    </w:p>
    <w:p w:rsidR="00A64D73" w:rsidRDefault="00A64D73" w:rsidP="00A64D73">
      <w:pPr>
        <w:pStyle w:val="rvps10"/>
        <w:spacing w:line="360" w:lineRule="exact"/>
        <w:rPr>
          <w:rStyle w:val="rvts8"/>
          <w:rFonts w:eastAsia="MS Mincho"/>
          <w:b/>
          <w:color w:val="000000"/>
          <w:szCs w:val="28"/>
        </w:rPr>
      </w:pPr>
      <w:r>
        <w:rPr>
          <w:rStyle w:val="rvts8"/>
          <w:rFonts w:eastAsia="MS Mincho"/>
          <w:b/>
          <w:i/>
          <w:color w:val="000000"/>
          <w:szCs w:val="28"/>
        </w:rPr>
        <w:t xml:space="preserve">Предмет дослідження - </w:t>
      </w:r>
      <w:r>
        <w:rPr>
          <w:rStyle w:val="rvts8"/>
          <w:rFonts w:eastAsia="MS Mincho"/>
          <w:b/>
          <w:color w:val="000000"/>
          <w:szCs w:val="28"/>
        </w:rPr>
        <w:t>клініко-біохімічні показники, серологічні та вірусологічні тести, морфологічні зміни в печінці у хворих на ХГС.</w:t>
      </w:r>
    </w:p>
    <w:p w:rsidR="00A64D73" w:rsidRDefault="00A64D73" w:rsidP="00A64D73">
      <w:pPr>
        <w:pStyle w:val="rvps10"/>
        <w:spacing w:line="360" w:lineRule="exact"/>
        <w:rPr>
          <w:sz w:val="28"/>
          <w:szCs w:val="28"/>
          <w:lang w:val="uk-UA"/>
        </w:rPr>
      </w:pPr>
      <w:r>
        <w:rPr>
          <w:rStyle w:val="rvts8"/>
          <w:rFonts w:eastAsia="MS Mincho"/>
          <w:b/>
          <w:i/>
          <w:color w:val="000000"/>
          <w:szCs w:val="28"/>
        </w:rPr>
        <w:t>Методи дослідження:</w:t>
      </w:r>
      <w:r>
        <w:rPr>
          <w:rStyle w:val="rvts8"/>
          <w:rFonts w:eastAsia="MS Mincho"/>
          <w:color w:val="000000"/>
          <w:szCs w:val="28"/>
        </w:rPr>
        <w:t xml:space="preserve"> </w:t>
      </w:r>
      <w:r>
        <w:rPr>
          <w:sz w:val="28"/>
          <w:szCs w:val="28"/>
          <w:lang w:val="uk-UA"/>
        </w:rPr>
        <w:t>в роботі використані епідеміологічні, клінічні, біохімічні, серологічні, інструментальні, морфологічні методи дослідження. Статистична обробка отриманих результатів проводилась за допомогою пакету програм SPSS 12 та «STATISTICA 5,5», а також застосовувався кагортний профільний аналіз</w:t>
      </w:r>
      <w:r>
        <w:rPr>
          <w:lang w:val="uk-UA"/>
        </w:rPr>
        <w:t xml:space="preserve"> </w:t>
      </w:r>
      <w:r>
        <w:rPr>
          <w:sz w:val="28"/>
          <w:szCs w:val="28"/>
          <w:lang w:val="uk-UA"/>
        </w:rPr>
        <w:t>клінічної ефективності схем лікування хворих на ХГС.</w:t>
      </w:r>
    </w:p>
    <w:p w:rsidR="00A64D73" w:rsidRDefault="00A64D73" w:rsidP="00A64D73">
      <w:pPr>
        <w:pStyle w:val="rvps10"/>
        <w:spacing w:line="360" w:lineRule="exact"/>
        <w:rPr>
          <w:sz w:val="28"/>
          <w:szCs w:val="28"/>
          <w:lang w:val="uk-UA"/>
        </w:rPr>
      </w:pPr>
      <w:r w:rsidRPr="00A64D73">
        <w:rPr>
          <w:rStyle w:val="rvts8"/>
          <w:rFonts w:eastAsia="MS Mincho"/>
          <w:color w:val="000000"/>
          <w:szCs w:val="28"/>
          <w:lang w:val="uk-UA"/>
        </w:rPr>
        <w:t>Наукова новизна одержаних результатів.</w:t>
      </w:r>
      <w:r>
        <w:rPr>
          <w:color w:val="000000"/>
          <w:sz w:val="28"/>
          <w:szCs w:val="28"/>
          <w:lang w:val="uk-UA"/>
        </w:rPr>
        <w:t xml:space="preserve"> </w:t>
      </w:r>
      <w:r w:rsidRPr="00A64D73">
        <w:rPr>
          <w:rStyle w:val="rvts8"/>
          <w:rFonts w:eastAsia="MS Mincho"/>
          <w:b/>
          <w:color w:val="000000"/>
          <w:szCs w:val="28"/>
          <w:lang w:val="uk-UA"/>
        </w:rPr>
        <w:t>Вперше на основі</w:t>
      </w:r>
      <w:r>
        <w:rPr>
          <w:sz w:val="28"/>
          <w:szCs w:val="28"/>
          <w:lang w:val="uk-UA"/>
        </w:rPr>
        <w:t xml:space="preserve"> комплексного дослідження встановлена частота відсутності відповіді на комбіновану ПВТ у хворих на ХГС, які інфіковані 1-м генотипом вірусу та визначені особливості перебігу захворювання у даної категорії пацієнтів.</w:t>
      </w:r>
    </w:p>
    <w:p w:rsidR="00A64D73" w:rsidRDefault="00A64D73" w:rsidP="00A64D73">
      <w:pPr>
        <w:widowControl w:val="0"/>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Зазначено, що у обстежених нами хворих на ХГС предикторами неефективності ПВТ є високий рівень вірусного навантаження при незмінних сироваткових показниках цитолізу.</w:t>
      </w:r>
    </w:p>
    <w:p w:rsidR="00A64D73" w:rsidRDefault="00A64D73" w:rsidP="00A64D73">
      <w:pPr>
        <w:pStyle w:val="rvps10"/>
        <w:widowControl w:val="0"/>
        <w:spacing w:line="360" w:lineRule="exact"/>
        <w:rPr>
          <w:sz w:val="28"/>
          <w:szCs w:val="28"/>
          <w:lang w:val="uk-UA"/>
        </w:rPr>
      </w:pPr>
      <w:r>
        <w:rPr>
          <w:sz w:val="28"/>
          <w:szCs w:val="28"/>
          <w:lang w:val="uk-UA"/>
        </w:rPr>
        <w:t>Вперше визначена роль ММП-2 як сироваткового маркеру фібротичних змін в тканині печінки.</w:t>
      </w:r>
    </w:p>
    <w:p w:rsidR="00A64D73" w:rsidRDefault="00A64D73" w:rsidP="00A64D73">
      <w:pPr>
        <w:widowControl w:val="0"/>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Встановлено, що морфологічні зміни в тканині печінки у хворих нон-респондерів специфічні для даного захворювання, однак, характеризуються значними запальними змінами, явищами гемосидерозу та вираженим фіброзом.</w:t>
      </w:r>
    </w:p>
    <w:p w:rsidR="00A64D73" w:rsidRDefault="00A64D73" w:rsidP="00A64D73">
      <w:pPr>
        <w:pStyle w:val="dis"/>
        <w:widowControl w:val="0"/>
        <w:spacing w:line="360" w:lineRule="exact"/>
        <w:ind w:firstLine="709"/>
        <w:rPr>
          <w:lang w:val="uk-UA"/>
        </w:rPr>
      </w:pPr>
      <w:r>
        <w:rPr>
          <w:lang w:val="uk-UA"/>
        </w:rPr>
        <w:t xml:space="preserve">Вперше за допомогою когортного профільного аналізу доведений антифібротичний ефект застосування антагоністу рецепторів ангіотензину ІІ лозартану в комплексній терапії хворих на ХГС, які не відповіли на попередню ПВТ. </w:t>
      </w:r>
    </w:p>
    <w:p w:rsidR="00A64D73" w:rsidRPr="00A64D73" w:rsidRDefault="00A64D73" w:rsidP="00A64D73">
      <w:pPr>
        <w:pStyle w:val="rvps10"/>
        <w:spacing w:line="360" w:lineRule="exact"/>
        <w:ind w:firstLine="709"/>
        <w:rPr>
          <w:rStyle w:val="rvts8"/>
          <w:rFonts w:eastAsia="MS Mincho"/>
          <w:b/>
          <w:color w:val="000000"/>
          <w:szCs w:val="28"/>
          <w:lang w:val="uk-UA"/>
        </w:rPr>
      </w:pPr>
      <w:r w:rsidRPr="00A64D73">
        <w:rPr>
          <w:rStyle w:val="rvts8"/>
          <w:rFonts w:eastAsia="MS Mincho"/>
          <w:color w:val="000000"/>
          <w:szCs w:val="28"/>
          <w:lang w:val="uk-UA"/>
        </w:rPr>
        <w:lastRenderedPageBreak/>
        <w:t>Практичне значення роботи.</w:t>
      </w:r>
      <w:r>
        <w:rPr>
          <w:color w:val="000000"/>
          <w:sz w:val="28"/>
          <w:szCs w:val="28"/>
          <w:lang w:val="uk-UA"/>
        </w:rPr>
        <w:t xml:space="preserve"> </w:t>
      </w:r>
      <w:r w:rsidRPr="00A64D73">
        <w:rPr>
          <w:rStyle w:val="rvts8"/>
          <w:rFonts w:eastAsia="MS Mincho"/>
          <w:b/>
          <w:color w:val="000000"/>
          <w:szCs w:val="28"/>
          <w:lang w:val="uk-UA"/>
        </w:rPr>
        <w:t>Виявлені основні предиктори ефективності проведення ПВТ у хворих на ХГС, які інфіковані 1-м генотипом вірусу, що полягають в поєднанні клінічних, біохімічних, вірусологічних та морфологічних показників.</w:t>
      </w:r>
    </w:p>
    <w:p w:rsidR="00A64D73" w:rsidRDefault="00A64D73" w:rsidP="00A64D73">
      <w:pPr>
        <w:pStyle w:val="rvps10"/>
        <w:spacing w:line="360" w:lineRule="exact"/>
        <w:ind w:firstLine="709"/>
        <w:rPr>
          <w:color w:val="000000"/>
          <w:sz w:val="28"/>
          <w:szCs w:val="28"/>
          <w:lang w:val="uk-UA"/>
        </w:rPr>
      </w:pPr>
      <w:r>
        <w:rPr>
          <w:rStyle w:val="rvts8"/>
          <w:rFonts w:eastAsia="MS Mincho"/>
          <w:b/>
          <w:color w:val="000000"/>
          <w:szCs w:val="28"/>
        </w:rPr>
        <w:t>Запропонований неінвазивний сироватковий маркер ММП-2, що відображає ступінь фібротичних змін в тканині печінки хворих на ХГС.</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Розроблена система лікувальних заходів, що спрямована на уповільнення процесів фіброзоутворення у хворих на ХГС, які не відповіли на ПВТ з застосуванням комбінованої гепатопротекторної та антифібротичної терапії.</w:t>
      </w:r>
    </w:p>
    <w:p w:rsidR="00A64D73" w:rsidRDefault="00A64D73" w:rsidP="00A64D73">
      <w:pPr>
        <w:pStyle w:val="afff"/>
        <w:spacing w:line="360" w:lineRule="exact"/>
        <w:ind w:firstLine="709"/>
        <w:rPr>
          <w:b/>
          <w:spacing w:val="-4"/>
        </w:rPr>
      </w:pPr>
      <w:r>
        <w:rPr>
          <w:bCs/>
          <w:spacing w:val="-4"/>
        </w:rPr>
        <w:t>Впровадження результатів дослідження в практику.</w:t>
      </w:r>
      <w:r>
        <w:rPr>
          <w:b/>
          <w:spacing w:val="-4"/>
        </w:rPr>
        <w:t xml:space="preserve"> Результати дослідження впроваджені в практику роботи Вінницького міського гепатологічного центру МКЛ №1, гастроентерологічного відділення Вінницької клінічної обласної лікарні ім. М.І. Пирогова, інфекційного відділення Хмільницької районної лікарні, Київської міської клінічної лікарні №5, обласної інфекційної лікарні м. Хмельницького.</w:t>
      </w:r>
    </w:p>
    <w:p w:rsidR="00A64D73" w:rsidRDefault="00A64D73" w:rsidP="00A64D73">
      <w:pPr>
        <w:pStyle w:val="afff"/>
        <w:spacing w:line="360" w:lineRule="exact"/>
        <w:ind w:firstLine="709"/>
        <w:rPr>
          <w:b/>
          <w:bCs/>
        </w:rPr>
      </w:pPr>
      <w:r>
        <w:rPr>
          <w:b/>
          <w:spacing w:val="-4"/>
        </w:rPr>
        <w:t>Наукові за матеріалами дисертації використовуються в навчальному процесі кафедр інфекційних хвороб та дитячих інфекційних хвороб</w:t>
      </w:r>
      <w:r>
        <w:rPr>
          <w:b/>
          <w:color w:val="FF0000"/>
          <w:spacing w:val="-4"/>
        </w:rPr>
        <w:t xml:space="preserve"> </w:t>
      </w:r>
      <w:r>
        <w:rPr>
          <w:b/>
          <w:bCs/>
        </w:rPr>
        <w:t>Вінницького національного медичного університету ім. М.І. Пирогова МОЗ України.</w:t>
      </w:r>
    </w:p>
    <w:p w:rsidR="00A64D73" w:rsidRDefault="00A64D73" w:rsidP="00A64D73">
      <w:pPr>
        <w:pStyle w:val="afff"/>
        <w:spacing w:line="360" w:lineRule="exact"/>
        <w:ind w:firstLine="709"/>
      </w:pPr>
      <w:r>
        <w:rPr>
          <w:bCs/>
        </w:rPr>
        <w:t xml:space="preserve">Особистий внесок здобувача. </w:t>
      </w:r>
      <w:r>
        <w:rPr>
          <w:b/>
        </w:rPr>
        <w:t xml:space="preserve">Дисертаційна робота виконана на кафедрі інфекційних хвороб з курсом епідеміології Вінницького національного медичного університету ім. М.І. Пирогова </w:t>
      </w:r>
      <w:r>
        <w:rPr>
          <w:b/>
          <w:bCs/>
        </w:rPr>
        <w:t>МОЗ України</w:t>
      </w:r>
      <w:r>
        <w:rPr>
          <w:b/>
        </w:rPr>
        <w:t xml:space="preserve">. </w:t>
      </w:r>
      <w:r>
        <w:rPr>
          <w:rStyle w:val="rvts7"/>
          <w:b/>
        </w:rPr>
        <w:t>Автором</w:t>
      </w:r>
      <w:r>
        <w:rPr>
          <w:b/>
        </w:rPr>
        <w:t xml:space="preserve"> </w:t>
      </w:r>
      <w:r>
        <w:rPr>
          <w:rStyle w:val="rvts7"/>
          <w:b/>
        </w:rPr>
        <w:t xml:space="preserve">персонально проаналізована наукова література з досліджуваної проблеми, проведений </w:t>
      </w:r>
      <w:r>
        <w:rPr>
          <w:b/>
        </w:rPr>
        <w:t>патентно-</w:t>
      </w:r>
      <w:r>
        <w:rPr>
          <w:rStyle w:val="rvts7"/>
          <w:b/>
        </w:rPr>
        <w:t>інформаційний пошук.</w:t>
      </w:r>
      <w:r>
        <w:rPr>
          <w:b/>
        </w:rPr>
        <w:t xml:space="preserve"> Розроблено реєстраційну карту хворих Вінницького гепатологічного центру на базі МКЛ №1.</w:t>
      </w:r>
      <w:r>
        <w:t xml:space="preserve"> </w:t>
      </w:r>
      <w:r>
        <w:rPr>
          <w:b/>
        </w:rPr>
        <w:t>Автором проведений комплексний аналіз, систематизація, інтерпретація отриманих результатів дослідження та їх статистична обробка,</w:t>
      </w:r>
      <w:r>
        <w:rPr>
          <w:rStyle w:val="rvts7"/>
          <w:b/>
          <w:color w:val="000000"/>
        </w:rPr>
        <w:t xml:space="preserve"> проаналізовані дані лабораторних та інструментальних досліджень, написані всі розділи роботи. </w:t>
      </w:r>
      <w:r>
        <w:rPr>
          <w:b/>
        </w:rPr>
        <w:t>Дисертант оволоділа методиками і приймала участь в проведенні клінічних та біохімічних досліджень, що проводились в лабораторії кафедри інфекційних хвороб ВНМУ ім. М.І. Пирогова.</w:t>
      </w:r>
      <w:r>
        <w:rPr>
          <w:rStyle w:val="rvts7"/>
          <w:b/>
          <w:color w:val="000000"/>
        </w:rPr>
        <w:t xml:space="preserve"> </w:t>
      </w:r>
      <w:r>
        <w:rPr>
          <w:b/>
        </w:rPr>
        <w:t xml:space="preserve">Морфологічне дослідження біоптатів печінки проводилось на кафедрі патологічної анатомії ВНМУ ім. М.І. Пирогова </w:t>
      </w:r>
      <w:r>
        <w:rPr>
          <w:b/>
          <w:bCs/>
        </w:rPr>
        <w:t>МОЗ України</w:t>
      </w:r>
      <w:r>
        <w:rPr>
          <w:b/>
        </w:rPr>
        <w:t xml:space="preserve">. </w:t>
      </w:r>
      <w:r>
        <w:rPr>
          <w:rStyle w:val="rvts7"/>
          <w:b/>
        </w:rPr>
        <w:t xml:space="preserve">Статистична обробка результатів досліджень проводилась дисертантом </w:t>
      </w:r>
      <w:r>
        <w:rPr>
          <w:rStyle w:val="rvts7"/>
          <w:b/>
        </w:rPr>
        <w:lastRenderedPageBreak/>
        <w:t>на кафедрі соціальної медицини та організації охорони здоров’я ВНМУ ім. М.І. Пирогова МОЗ України під керівництвом професора О.М. Очередька.</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b/>
          <w:sz w:val="28"/>
          <w:szCs w:val="28"/>
          <w:lang w:val="uk-UA"/>
        </w:rPr>
        <w:t xml:space="preserve">Апробація результатів дисертації. </w:t>
      </w:r>
      <w:r>
        <w:rPr>
          <w:rFonts w:ascii="Times New Roman" w:hAnsi="Times New Roman"/>
          <w:sz w:val="28"/>
          <w:szCs w:val="28"/>
          <w:lang w:val="uk-UA"/>
        </w:rPr>
        <w:t>Основні положення дисертаційної роботи висвітлені на</w:t>
      </w:r>
      <w:r>
        <w:rPr>
          <w:rFonts w:ascii="Times New Roman" w:hAnsi="Times New Roman"/>
          <w:szCs w:val="28"/>
          <w:lang w:val="uk-UA"/>
        </w:rPr>
        <w:t xml:space="preserve"> </w:t>
      </w:r>
      <w:r>
        <w:rPr>
          <w:rFonts w:ascii="Times New Roman" w:hAnsi="Times New Roman"/>
          <w:sz w:val="28"/>
          <w:szCs w:val="28"/>
          <w:lang w:val="uk-UA"/>
        </w:rPr>
        <w:t>наукових засіданнях кафедри інфекційних хвороб (Вінниця, 2007, 2008, 2009), науково-практичній конференції «Актуальні питання фармакотерапії у загальній практиці – сімейній медицині» (Вінниця, 2007), науково-практичній конференції з участю міжнародних спеціалістів «Сучасні підходи до діагностики та лікування у клінічній інфектології» (Харків, 2007), науково-практичному семінарі «Актуальні питання лікування пацієнтів з хронічним вірусним гепатитом С» (Вінниця, 2008), науково-практичній конференції з міжнародною участю і пленуму Асоціації інфекціоністів України «Інфекційні хвороби у клінічній та епідеміологічній практиці» (Львів, 2009), науково-практичній конференції «Гастроентерологія сьогодні: успіхи, проблеми та шляхи їх вирішення» (Дніпропетровськ, 2009), конференції товариства інфекціоністів Вінницької області «Основні питання сучасної інфектології» (Вінниця, 2009), науково-практичній конференції «Сучасні напрямки розвитку дитячої гастроентерології» (Вінниця, 2009).</w:t>
      </w:r>
    </w:p>
    <w:p w:rsidR="00A64D73" w:rsidRDefault="00A64D73" w:rsidP="00A64D73">
      <w:pPr>
        <w:pStyle w:val="BodyTextIndent0"/>
        <w:spacing w:line="360" w:lineRule="exact"/>
        <w:ind w:left="0" w:firstLine="709"/>
        <w:jc w:val="both"/>
        <w:rPr>
          <w:szCs w:val="28"/>
        </w:rPr>
      </w:pPr>
      <w:r>
        <w:rPr>
          <w:b/>
          <w:szCs w:val="28"/>
        </w:rPr>
        <w:t xml:space="preserve">Публікації. </w:t>
      </w:r>
      <w:r>
        <w:rPr>
          <w:szCs w:val="28"/>
        </w:rPr>
        <w:t>За матеріалами дисертації опубліковано 9 наукових робіт, з них 4 в фахових журналах, затверджених ВАК України, та 5 в збірниках матеріалів науково-практичних конференцій та з'їздів.</w:t>
      </w:r>
    </w:p>
    <w:p w:rsidR="00A64D73" w:rsidRDefault="00A64D73" w:rsidP="00A64D73">
      <w:pPr>
        <w:pStyle w:val="BodyTextIndent0"/>
        <w:spacing w:line="360" w:lineRule="exact"/>
        <w:ind w:left="0" w:firstLine="709"/>
        <w:jc w:val="both"/>
        <w:rPr>
          <w:szCs w:val="28"/>
        </w:rPr>
      </w:pPr>
      <w:r>
        <w:rPr>
          <w:b/>
        </w:rPr>
        <w:t xml:space="preserve">Об'єм та структура дисертації. </w:t>
      </w:r>
      <w:r>
        <w:t xml:space="preserve">Роботу виконано за загальноприйнятою формою на </w:t>
      </w:r>
      <w:r>
        <w:rPr>
          <w:lang w:val="ru-RU"/>
        </w:rPr>
        <w:t>152</w:t>
      </w:r>
      <w:r>
        <w:t xml:space="preserve"> сторінках машинописного тексту. Дисертація складається зі вступу, огляду літератури, розділу "Матеріали та методи", 3-х розділів власних досліджень, аналізу та обговорення отриманих результатів, висновків, практичних рекомендацій та списку використаних літературних джерел. Список використаних джерел викладено на </w:t>
      </w:r>
      <w:r>
        <w:rPr>
          <w:lang w:val="ru-RU"/>
        </w:rPr>
        <w:t>27</w:t>
      </w:r>
      <w:r>
        <w:t xml:space="preserve"> сторінках та включає </w:t>
      </w:r>
      <w:r>
        <w:rPr>
          <w:lang w:val="ru-RU"/>
        </w:rPr>
        <w:t>108</w:t>
      </w:r>
      <w:r>
        <w:t xml:space="preserve"> джерел вітчизняних та</w:t>
      </w:r>
      <w:r>
        <w:rPr>
          <w:lang w:val="ru-RU"/>
        </w:rPr>
        <w:t xml:space="preserve"> 132</w:t>
      </w:r>
      <w:r>
        <w:t xml:space="preserve"> зарубіжних авторів. </w:t>
      </w:r>
      <w:r>
        <w:rPr>
          <w:szCs w:val="28"/>
        </w:rPr>
        <w:t>Дисертація ілюстрована 43 таблицями та 16 рисунками.</w:t>
      </w:r>
    </w:p>
    <w:p w:rsidR="00A64D73" w:rsidRDefault="00A64D73" w:rsidP="00A64D73">
      <w:pPr>
        <w:pStyle w:val="BodyTextIndent0"/>
        <w:spacing w:line="360" w:lineRule="exact"/>
        <w:ind w:left="0" w:firstLine="709"/>
        <w:jc w:val="both"/>
        <w:rPr>
          <w:szCs w:val="28"/>
        </w:rPr>
      </w:pPr>
    </w:p>
    <w:p w:rsidR="00A64D73" w:rsidRDefault="00A64D73" w:rsidP="00A64D73">
      <w:pPr>
        <w:spacing w:after="0" w:line="360" w:lineRule="exact"/>
        <w:jc w:val="center"/>
        <w:rPr>
          <w:rFonts w:ascii="Times New Roman" w:hAnsi="Times New Roman"/>
          <w:b/>
          <w:sz w:val="28"/>
          <w:szCs w:val="28"/>
          <w:lang w:val="uk-UA"/>
        </w:rPr>
      </w:pPr>
      <w:r>
        <w:rPr>
          <w:rFonts w:ascii="Times New Roman" w:hAnsi="Times New Roman"/>
          <w:b/>
          <w:sz w:val="28"/>
          <w:szCs w:val="28"/>
          <w:lang w:val="uk-UA"/>
        </w:rPr>
        <w:t>ОСНОВНИЙ ЗМІСТ РОБОТИ</w:t>
      </w:r>
    </w:p>
    <w:p w:rsidR="00A64D73" w:rsidRDefault="00A64D73" w:rsidP="00A64D73">
      <w:pPr>
        <w:pStyle w:val="af8"/>
        <w:widowControl w:val="0"/>
        <w:spacing w:line="360" w:lineRule="exact"/>
        <w:ind w:firstLine="720"/>
        <w:jc w:val="both"/>
        <w:rPr>
          <w:b w:val="0"/>
          <w:bCs/>
          <w:spacing w:val="-4"/>
        </w:rPr>
      </w:pPr>
      <w:r>
        <w:rPr>
          <w:bCs/>
        </w:rPr>
        <w:t xml:space="preserve">Матеріали та методи дослідження. </w:t>
      </w:r>
      <w:r>
        <w:rPr>
          <w:b w:val="0"/>
          <w:bCs/>
        </w:rPr>
        <w:t>Під</w:t>
      </w:r>
      <w:r>
        <w:rPr>
          <w:b w:val="0"/>
          <w:bCs/>
          <w:spacing w:val="-4"/>
        </w:rPr>
        <w:t xml:space="preserve"> спостереженням на першому етапі дослідження знаходилось 210 хворих на ХГС, інфікованих 1в генотипом вірусу, які отримували комбіновану ПВТ. Серед обстежених чоловіків було 125 (59,5 %), жінок 85 (40,5 %), середній вік пацієнтів склав 37 ± 9,8 років. </w:t>
      </w:r>
    </w:p>
    <w:p w:rsidR="00A64D73" w:rsidRDefault="00A64D73" w:rsidP="00A64D73">
      <w:pPr>
        <w:pStyle w:val="af8"/>
        <w:widowControl w:val="0"/>
        <w:spacing w:line="360" w:lineRule="exact"/>
        <w:ind w:firstLine="720"/>
        <w:jc w:val="both"/>
        <w:rPr>
          <w:b w:val="0"/>
          <w:bCs/>
        </w:rPr>
      </w:pPr>
      <w:r>
        <w:rPr>
          <w:b w:val="0"/>
          <w:bCs/>
          <w:spacing w:val="-4"/>
        </w:rPr>
        <w:t xml:space="preserve">Всі хворі знаходились на стаціонарному або амбулаторному лікуванні в Вінницькому міському гепатологічному центрі (інфекційне відділення №2, МКЛ №1 м. Вінниці), Рівненському міському гепатологічному центрі, в гепатологічних відділеннях м. Києва та Полтави. </w:t>
      </w:r>
      <w:r>
        <w:rPr>
          <w:b w:val="0"/>
          <w:bCs/>
        </w:rPr>
        <w:t xml:space="preserve">Групу співставлення склали 31 практично здорових жителів Подільського регіону, відбір яких проводився на базі науково-дослідного центру Вінницького </w:t>
      </w:r>
      <w:r>
        <w:rPr>
          <w:b w:val="0"/>
          <w:bCs/>
        </w:rPr>
        <w:lastRenderedPageBreak/>
        <w:t>національного медичного університету ім. М.І. Пирогова МОЗ України. Середній вік їх становив 35,8±1,9 років.</w:t>
      </w:r>
    </w:p>
    <w:p w:rsidR="00A64D73" w:rsidRDefault="00A64D73" w:rsidP="00A64D73">
      <w:pPr>
        <w:widowControl w:val="0"/>
        <w:spacing w:after="0" w:line="360" w:lineRule="exact"/>
        <w:ind w:firstLine="708"/>
        <w:jc w:val="both"/>
        <w:rPr>
          <w:rFonts w:ascii="Times New Roman" w:hAnsi="Times New Roman"/>
          <w:bCs/>
          <w:sz w:val="28"/>
          <w:szCs w:val="28"/>
          <w:lang w:val="uk-UA"/>
        </w:rPr>
      </w:pPr>
      <w:r>
        <w:rPr>
          <w:rFonts w:ascii="Times New Roman" w:hAnsi="Times New Roman"/>
          <w:bCs/>
          <w:sz w:val="28"/>
          <w:szCs w:val="28"/>
          <w:lang w:val="uk-UA"/>
        </w:rPr>
        <w:t>Верифікація діагнозу проводилась на основі вивчення епідеміологічного анамнезу, фізикального обстеження хворих (зокрема, визначення індексу маси тіла), комплексу загальноклінічних, біохімічних, імунологічних, молекулярно-біологічних, інструментальних та морфологічних методів досліджень.</w:t>
      </w:r>
      <w:r>
        <w:rPr>
          <w:rFonts w:ascii="Times New Roman" w:hAnsi="Times New Roman"/>
          <w:sz w:val="28"/>
          <w:szCs w:val="28"/>
          <w:lang w:val="uk-UA"/>
        </w:rPr>
        <w:t xml:space="preserve"> Діагноз ХГС був підтверджений виявленням HCV-RNA в сироватці крові хворих </w:t>
      </w:r>
      <w:r>
        <w:rPr>
          <w:rFonts w:ascii="Times New Roman" w:hAnsi="Times New Roman"/>
          <w:bCs/>
          <w:sz w:val="28"/>
          <w:szCs w:val="28"/>
          <w:lang w:val="uk-UA"/>
        </w:rPr>
        <w:t>на тест- системах фірми АмплиСенс (Росія).</w:t>
      </w:r>
      <w:r>
        <w:rPr>
          <w:rFonts w:ascii="Times New Roman" w:hAnsi="Times New Roman"/>
          <w:sz w:val="28"/>
          <w:szCs w:val="28"/>
          <w:lang w:val="uk-UA"/>
        </w:rPr>
        <w:t xml:space="preserve"> Всім хворим на ХГС проводилось дослідження вірусного навантаження (низьке вірусне навантаження - </w:t>
      </w:r>
      <w:r>
        <w:rPr>
          <w:rFonts w:ascii="Times New Roman" w:hAnsi="Times New Roman"/>
          <w:sz w:val="28"/>
          <w:szCs w:val="28"/>
          <w:lang w:val="uk-UA"/>
        </w:rPr>
        <w:br/>
        <w:t>≤600000 МЕ/мл, високе вірусне навантаження – &gt;600000 МЕ/мл) на початку та на 12-му тижні ПВТ, на діагностичних тест-системах НПФ "ДНК-Технология" (Росія).</w:t>
      </w:r>
      <w:r>
        <w:rPr>
          <w:rFonts w:ascii="Times New Roman" w:hAnsi="Times New Roman"/>
          <w:bCs/>
          <w:sz w:val="28"/>
          <w:szCs w:val="28"/>
          <w:lang w:val="uk-UA"/>
        </w:rPr>
        <w:t xml:space="preserve"> Дослідження здійснювались в Українському лікувально-діагнос-тичному центрі (м. Київ).</w:t>
      </w:r>
    </w:p>
    <w:p w:rsidR="00A64D73" w:rsidRDefault="00A64D73" w:rsidP="00A64D73">
      <w:pPr>
        <w:widowControl w:val="0"/>
        <w:spacing w:after="0" w:line="360" w:lineRule="exact"/>
        <w:ind w:firstLine="708"/>
        <w:jc w:val="both"/>
        <w:rPr>
          <w:rFonts w:ascii="Times New Roman" w:hAnsi="Times New Roman"/>
          <w:sz w:val="28"/>
          <w:szCs w:val="28"/>
          <w:lang w:val="uk-UA"/>
        </w:rPr>
      </w:pPr>
      <w:r>
        <w:rPr>
          <w:rFonts w:ascii="Times New Roman" w:hAnsi="Times New Roman"/>
          <w:sz w:val="28"/>
          <w:szCs w:val="28"/>
          <w:lang w:val="uk-UA"/>
        </w:rPr>
        <w:t xml:space="preserve">У всіх хворих проводилась оцінка основних біохімічних синдромів: цитолізу, холестазу, печінково-клітинної недостатності загальноприйнятими методами. Ступінь біохімічної активності патологічного процесу згідно з міжнародною класифікацією захворювань печінки (Лос-Анджелес, 1994) встановлювали за рівнем підвищення активності АЛТ. Синдром цитолізу оцінювали шляхом визначення активності АЛТ та АСТ уніфікованими методами Райтмана-Френкеля (Меншиков В.В., 1987), синдром холестазу оцінювали визначенням активності ЛФ, ГГТП за швидкістю вивільнення 4-нiтроанiлiну з </w:t>
      </w:r>
      <w:r>
        <w:rPr>
          <w:rFonts w:ascii="Times New Roman" w:hAnsi="Times New Roman"/>
          <w:sz w:val="28"/>
          <w:szCs w:val="28"/>
          <w:lang w:val="uk-UA"/>
        </w:rPr>
        <w:sym w:font="Symbol" w:char="F067"/>
      </w:r>
      <w:r>
        <w:rPr>
          <w:rFonts w:ascii="Times New Roman" w:hAnsi="Times New Roman"/>
          <w:sz w:val="28"/>
          <w:szCs w:val="28"/>
          <w:lang w:val="uk-UA"/>
        </w:rPr>
        <w:t xml:space="preserve">-глутамiлнiтроанiлiду та вмістом білірубіну, який визначали уніфікованим методом Єндрасика-Грофа (Меншиков В.В., 1987), синдром печінково-клітинної недостатності оцінювали уніфікованими методами за вмістом загального білку (мікробіуретовий метод), альбуміну, холестерину та величину протромбінового індексу уніфікованим методом Ілька. </w:t>
      </w:r>
    </w:p>
    <w:p w:rsidR="00A64D73" w:rsidRDefault="00A64D73" w:rsidP="00A64D73">
      <w:pPr>
        <w:widowControl w:val="0"/>
        <w:spacing w:after="0" w:line="360" w:lineRule="exact"/>
        <w:ind w:firstLine="708"/>
        <w:jc w:val="both"/>
        <w:rPr>
          <w:rFonts w:ascii="Times New Roman" w:hAnsi="Times New Roman"/>
          <w:sz w:val="28"/>
          <w:szCs w:val="28"/>
          <w:lang w:val="uk-UA"/>
        </w:rPr>
      </w:pPr>
      <w:r>
        <w:rPr>
          <w:rFonts w:ascii="Times New Roman" w:hAnsi="Times New Roman"/>
          <w:sz w:val="28"/>
          <w:szCs w:val="28"/>
          <w:lang w:val="uk-UA"/>
        </w:rPr>
        <w:t>Для оцінки наявності і вираженості аутоімунного компоненту застосовували визначення антинуклеарних антитіл (ANA) в сироватці крові методом ІФА</w:t>
      </w:r>
      <w:r>
        <w:rPr>
          <w:rFonts w:ascii="Times New Roman" w:hAnsi="Times New Roman"/>
          <w:bCs/>
          <w:sz w:val="28"/>
          <w:szCs w:val="28"/>
          <w:lang w:val="uk-UA"/>
        </w:rPr>
        <w:t xml:space="preserve"> на тест системах Трініті Біотех (США)</w:t>
      </w:r>
      <w:r>
        <w:rPr>
          <w:rFonts w:ascii="Times New Roman" w:hAnsi="Times New Roman"/>
          <w:sz w:val="28"/>
          <w:szCs w:val="28"/>
          <w:lang w:val="uk-UA"/>
        </w:rPr>
        <w:t xml:space="preserve">. Вміст α-фетопротеїну для оцінки ризику виникнення ГЦК визначали методом ІФА. </w:t>
      </w:r>
    </w:p>
    <w:p w:rsidR="00A64D73" w:rsidRDefault="00A64D73" w:rsidP="00A64D73">
      <w:pPr>
        <w:widowControl w:val="0"/>
        <w:spacing w:after="0" w:line="360" w:lineRule="exact"/>
        <w:ind w:firstLine="708"/>
        <w:jc w:val="both"/>
        <w:rPr>
          <w:rFonts w:ascii="Times New Roman" w:hAnsi="Times New Roman"/>
          <w:bCs/>
          <w:spacing w:val="-4"/>
          <w:sz w:val="28"/>
          <w:szCs w:val="28"/>
          <w:lang w:val="uk-UA"/>
        </w:rPr>
      </w:pPr>
      <w:r>
        <w:rPr>
          <w:rFonts w:ascii="Times New Roman" w:hAnsi="Times New Roman"/>
          <w:spacing w:val="-4"/>
          <w:sz w:val="28"/>
          <w:szCs w:val="28"/>
          <w:lang w:val="uk-UA"/>
        </w:rPr>
        <w:t>Вміст ММП-2 сироватці крові 84 хворих на ХГС нон-респондерів визначали  методом ІФА на тест-системах Quantikine (R &amp; D Systems, США) в лабораторії Вінницького обласного центру профілактики та боротьби зі СНІДом.</w:t>
      </w:r>
    </w:p>
    <w:p w:rsidR="00A64D73" w:rsidRDefault="00A64D73" w:rsidP="00A64D73">
      <w:pPr>
        <w:widowControl w:val="0"/>
        <w:spacing w:after="0" w:line="360" w:lineRule="exact"/>
        <w:ind w:firstLine="709"/>
        <w:jc w:val="both"/>
        <w:rPr>
          <w:rFonts w:ascii="Times New Roman" w:hAnsi="Times New Roman"/>
          <w:bCs/>
          <w:sz w:val="28"/>
          <w:szCs w:val="28"/>
          <w:lang w:val="uk-UA"/>
        </w:rPr>
      </w:pPr>
      <w:r>
        <w:rPr>
          <w:rFonts w:ascii="Times New Roman" w:hAnsi="Times New Roman"/>
          <w:bCs/>
          <w:sz w:val="28"/>
          <w:szCs w:val="28"/>
          <w:lang w:val="uk-UA"/>
        </w:rPr>
        <w:t>УЗ-обстеження органів черевної порожнини виконувались на УЗ сканері "Toshiba SSA-220A" (Японія) конвексним датчиком 3,75 МГц.</w:t>
      </w:r>
    </w:p>
    <w:p w:rsidR="00A64D73" w:rsidRDefault="00A64D73" w:rsidP="00A64D73">
      <w:pPr>
        <w:spacing w:after="0" w:line="360" w:lineRule="exact"/>
        <w:ind w:firstLine="709"/>
        <w:jc w:val="both"/>
        <w:rPr>
          <w:rFonts w:ascii="Times New Roman" w:hAnsi="Times New Roman"/>
          <w:bCs/>
          <w:sz w:val="28"/>
          <w:szCs w:val="28"/>
          <w:lang w:val="uk-UA"/>
        </w:rPr>
      </w:pPr>
      <w:r>
        <w:rPr>
          <w:rFonts w:ascii="Times New Roman" w:hAnsi="Times New Roman"/>
          <w:sz w:val="28"/>
          <w:szCs w:val="28"/>
          <w:lang w:val="uk-UA"/>
        </w:rPr>
        <w:t xml:space="preserve">З метою оцінки активності запальних процесів та стадії фіброзу печінки 136 хворим на ХГС (84 нон-респондери та 52 респондери), проводилась черезшкірна пункційна біопсія міжреберним доступом, зрізаючою голкою типу "UNICUT G 16" фірми "Bard" (Німеччина). Матеріал фіксували у 10% буферному </w:t>
      </w:r>
      <w:r>
        <w:rPr>
          <w:rFonts w:ascii="Times New Roman" w:hAnsi="Times New Roman"/>
          <w:sz w:val="28"/>
          <w:szCs w:val="28"/>
          <w:lang w:val="uk-UA"/>
        </w:rPr>
        <w:lastRenderedPageBreak/>
        <w:t>розчині формаліну. Використовували загальногістологічні методики фарбування: гематоксилін-еозином, пікрофуксином по Ван-Гізону, фарбування за Перлсом. Оцінку активності некрозо-запального процесу та стадії фіброзу здійснювали за системою МETAVIR (Франція, 1994) на кафедрі патологічної анатомії Вінницького національного медичного університету ім. М.І.</w:t>
      </w:r>
      <w:r>
        <w:rPr>
          <w:rFonts w:ascii="Times New Roman" w:hAnsi="Times New Roman"/>
          <w:sz w:val="28"/>
          <w:szCs w:val="28"/>
          <w:lang w:val="en-US"/>
        </w:rPr>
        <w:t xml:space="preserve"> </w:t>
      </w:r>
      <w:r>
        <w:rPr>
          <w:rFonts w:ascii="Times New Roman" w:hAnsi="Times New Roman"/>
          <w:sz w:val="28"/>
          <w:szCs w:val="28"/>
          <w:lang w:val="uk-UA"/>
        </w:rPr>
        <w:t>Пирогова.</w:t>
      </w:r>
    </w:p>
    <w:p w:rsidR="00A64D73" w:rsidRDefault="00A64D73" w:rsidP="00A64D73">
      <w:pPr>
        <w:pStyle w:val="af8"/>
        <w:widowControl w:val="0"/>
        <w:spacing w:line="360" w:lineRule="exact"/>
        <w:ind w:firstLine="720"/>
        <w:jc w:val="both"/>
        <w:rPr>
          <w:b w:val="0"/>
          <w:bCs/>
        </w:rPr>
      </w:pPr>
      <w:r>
        <w:rPr>
          <w:b w:val="0"/>
        </w:rPr>
        <w:t>Всім 210 хворим на ХГС, які були інфіковані 1 генотипом вірусу, на першому етапі призначалась комбінована ПВТ згідно Європейського консенсусу 2002 р. Вона включала в себе застосування пегельованого інтерферону альфа-2а по 180 мкг/тиждень або пегельованого інтерферону альфа-2в в дозі залежно від маси тіла хворого підшкірно та рибавірину в залежності від маси тіла щоденно.</w:t>
      </w:r>
      <w:r>
        <w:rPr>
          <w:b w:val="0"/>
          <w:bCs/>
        </w:rPr>
        <w:t xml:space="preserve"> </w:t>
      </w:r>
    </w:p>
    <w:p w:rsidR="00A64D73" w:rsidRDefault="00A64D73" w:rsidP="00A64D73">
      <w:pPr>
        <w:spacing w:after="0" w:line="360" w:lineRule="exact"/>
        <w:ind w:firstLine="709"/>
        <w:jc w:val="both"/>
        <w:rPr>
          <w:rFonts w:ascii="Times New Roman" w:hAnsi="Times New Roman"/>
          <w:spacing w:val="-4"/>
          <w:sz w:val="28"/>
          <w:szCs w:val="28"/>
          <w:lang w:val="uk-UA"/>
        </w:rPr>
      </w:pPr>
      <w:r>
        <w:rPr>
          <w:rFonts w:ascii="Times New Roman" w:hAnsi="Times New Roman"/>
          <w:spacing w:val="-4"/>
          <w:sz w:val="28"/>
          <w:szCs w:val="28"/>
          <w:lang w:val="uk-UA"/>
        </w:rPr>
        <w:t>Наступним кроком нашого дослідження було виявлення хворих, які не відповіли на ПВТ. Критерієм включення хворих в основну групу дослідження був негативний результат лікування, а саме позитивна ПЛР-HCV через 12 тижнів від початку комбінованої ПВТ</w:t>
      </w:r>
      <w:r>
        <w:rPr>
          <w:spacing w:val="-4"/>
          <w:sz w:val="28"/>
          <w:szCs w:val="28"/>
          <w:lang w:val="uk-UA"/>
        </w:rPr>
        <w:t xml:space="preserve">. </w:t>
      </w:r>
      <w:r>
        <w:rPr>
          <w:rFonts w:ascii="Times New Roman" w:hAnsi="Times New Roman"/>
          <w:spacing w:val="-4"/>
          <w:sz w:val="28"/>
          <w:szCs w:val="28"/>
          <w:lang w:val="uk-UA"/>
        </w:rPr>
        <w:t>У відповідності до визначення ефективності фармакотерапії були сформовані 2 групи хворих в залежності від застосованих препаратів для терапії.</w:t>
      </w:r>
      <w:r>
        <w:rPr>
          <w:rFonts w:ascii="Times New Roman" w:hAnsi="Times New Roman"/>
          <w:i/>
          <w:spacing w:val="-4"/>
          <w:sz w:val="28"/>
          <w:szCs w:val="28"/>
          <w:lang w:val="uk-UA"/>
        </w:rPr>
        <w:t xml:space="preserve"> </w:t>
      </w:r>
      <w:r>
        <w:rPr>
          <w:rFonts w:ascii="Times New Roman" w:hAnsi="Times New Roman"/>
          <w:spacing w:val="-4"/>
          <w:sz w:val="28"/>
          <w:szCs w:val="28"/>
          <w:lang w:val="uk-UA"/>
        </w:rPr>
        <w:t xml:space="preserve"> 38 хворих першої групи отримували гепатопротекторну терапію (урсодезоксихолієву кислоту) в середньодобовій дозі 10 мг/кг/д. В другу групу увійшли 46 пацієнтів, які отримували гепатопротекторну терапію (урсодезоксихолієву кислоту) в середній дозі 10 мг/кг/д та антифібротичну терапію (лозартан) в добовій дозі 50 мг щоденно. Період контрольованого лікування засобами терапії тривав 52 тижні. </w:t>
      </w:r>
      <w:r>
        <w:rPr>
          <w:rFonts w:ascii="Times New Roman" w:hAnsi="Times New Roman"/>
          <w:color w:val="000000"/>
          <w:spacing w:val="-4"/>
          <w:sz w:val="28"/>
          <w:szCs w:val="28"/>
          <w:lang w:val="uk-UA"/>
        </w:rPr>
        <w:t xml:space="preserve">Ефективність лікування </w:t>
      </w:r>
      <w:r>
        <w:rPr>
          <w:rFonts w:ascii="Times New Roman" w:hAnsi="Times New Roman"/>
          <w:spacing w:val="-4"/>
          <w:sz w:val="28"/>
          <w:szCs w:val="28"/>
          <w:lang w:val="uk-UA"/>
        </w:rPr>
        <w:t>контролювали,</w:t>
      </w:r>
      <w:r>
        <w:rPr>
          <w:rFonts w:ascii="Times New Roman" w:hAnsi="Times New Roman"/>
          <w:color w:val="000000"/>
          <w:spacing w:val="-4"/>
          <w:sz w:val="28"/>
          <w:szCs w:val="28"/>
          <w:lang w:val="uk-UA"/>
        </w:rPr>
        <w:t xml:space="preserve"> як за динамікою основних клінічних синдромів, так і за наведеними вище лабораторними показниками</w:t>
      </w:r>
      <w:r>
        <w:rPr>
          <w:rFonts w:ascii="Times New Roman" w:hAnsi="Times New Roman"/>
          <w:spacing w:val="-4"/>
          <w:sz w:val="28"/>
          <w:szCs w:val="28"/>
          <w:lang w:val="uk-UA"/>
        </w:rPr>
        <w:t>.</w:t>
      </w:r>
      <w:r>
        <w:rPr>
          <w:rFonts w:ascii="Times New Roman" w:hAnsi="Times New Roman"/>
          <w:color w:val="000000"/>
          <w:spacing w:val="-4"/>
          <w:sz w:val="28"/>
          <w:szCs w:val="28"/>
          <w:lang w:val="uk-UA"/>
        </w:rPr>
        <w:t xml:space="preserve"> Лабораторні показники визначались на початку та через 52 тижнів лікування. </w:t>
      </w:r>
      <w:r>
        <w:rPr>
          <w:rFonts w:ascii="Times New Roman" w:hAnsi="Times New Roman"/>
          <w:spacing w:val="-4"/>
          <w:sz w:val="28"/>
          <w:szCs w:val="28"/>
          <w:lang w:val="uk-UA"/>
        </w:rPr>
        <w:t>Статистична обробка отриманих результатів проводилась за допомогою пакету програм SPSS 12 (ліцензійний номер 9593869, належить кафедрі інфекційних хвороб Вінницького національного медичного університету ім. М.І. Пирогова МОЗ України)</w:t>
      </w:r>
      <w:r>
        <w:rPr>
          <w:rFonts w:ascii="Times New Roman" w:hAnsi="Times New Roman"/>
          <w:b/>
          <w:iCs/>
          <w:spacing w:val="-4"/>
          <w:sz w:val="28"/>
          <w:szCs w:val="28"/>
          <w:lang w:val="uk-UA"/>
        </w:rPr>
        <w:t xml:space="preserve"> </w:t>
      </w:r>
      <w:r>
        <w:rPr>
          <w:rFonts w:ascii="Times New Roman" w:hAnsi="Times New Roman"/>
          <w:iCs/>
          <w:spacing w:val="-4"/>
          <w:sz w:val="28"/>
          <w:szCs w:val="28"/>
          <w:lang w:val="uk-UA"/>
        </w:rPr>
        <w:t>та «STATISTICA 5,5» (належить ЦНІТ ім. М.І. Пирогова, ліцензійний № АХХR910A374605FA).</w:t>
      </w:r>
      <w:r>
        <w:rPr>
          <w:rFonts w:ascii="Times New Roman" w:hAnsi="Times New Roman"/>
          <w:spacing w:val="-4"/>
          <w:sz w:val="28"/>
          <w:szCs w:val="28"/>
          <w:lang w:val="uk-UA"/>
        </w:rPr>
        <w:t xml:space="preserve"> Оформлення та друк роботи виконувались в текстовому редакторі Word (Вороненко Ю.В., Москаленко В.Ф., 2000).</w:t>
      </w:r>
    </w:p>
    <w:p w:rsidR="00A64D73" w:rsidRDefault="00A64D73" w:rsidP="00A64D73">
      <w:pPr>
        <w:tabs>
          <w:tab w:val="left" w:pos="3210"/>
        </w:tabs>
        <w:spacing w:after="0" w:line="360" w:lineRule="exact"/>
        <w:ind w:firstLine="709"/>
        <w:rPr>
          <w:rFonts w:ascii="Times New Roman" w:hAnsi="Times New Roman"/>
          <w:b/>
          <w:sz w:val="28"/>
          <w:szCs w:val="28"/>
          <w:lang w:val="uk-UA" w:eastAsia="ru-RU"/>
        </w:rPr>
      </w:pPr>
      <w:r>
        <w:rPr>
          <w:rFonts w:ascii="Times New Roman" w:hAnsi="Times New Roman"/>
          <w:b/>
          <w:sz w:val="28"/>
          <w:szCs w:val="28"/>
          <w:lang w:val="uk-UA" w:eastAsia="ru-RU"/>
        </w:rPr>
        <w:t>Результати досліджень та їх обговорення</w:t>
      </w:r>
    </w:p>
    <w:p w:rsidR="00A64D73" w:rsidRDefault="00A64D73" w:rsidP="00A64D73">
      <w:pPr>
        <w:pStyle w:val="af8"/>
        <w:spacing w:line="360" w:lineRule="exact"/>
        <w:ind w:firstLine="709"/>
        <w:jc w:val="both"/>
        <w:rPr>
          <w:b w:val="0"/>
        </w:rPr>
      </w:pPr>
      <w:r>
        <w:rPr>
          <w:b w:val="0"/>
        </w:rPr>
        <w:t xml:space="preserve">Згідно отриманим нами даним відсутність відповіді на комбіновану ПВТ (позитивна ПЛР на 12 тижні лікування) спостерігалась у 84 (40 %) хворих на ХГС (рис. 1). Серед хворих нон-респондерів було 54 (64,29 %) чоловіка та 30 (35,71 %) жінок. Аналіз розподілу пацієнтів обох груп за віком встановив, що серед хворих нон-респондерів переважали особи старшого віку. Більше половини хворих нон-респондерів було в віці старше 40 років - 60,71 %, а в групі більше 50 років хворих нон-респондерів, було в 5 разів більше, ніж пацієнтів респондерів (33,33 % та 6,35 % відповідно). Середній вік хворих з групи нон-респондерів складав 43,88±1,29 років та був вищий, ніж у пацієнтів респондерів, де даний </w:t>
      </w:r>
      <w:r>
        <w:rPr>
          <w:b w:val="0"/>
        </w:rPr>
        <w:lastRenderedPageBreak/>
        <w:t>показник становив 34,16±1,35 років (р</w:t>
      </w:r>
      <w:r>
        <w:t>&lt;</w:t>
      </w:r>
      <w:r>
        <w:rPr>
          <w:b w:val="0"/>
        </w:rPr>
        <w:t>0,001</w:t>
      </w:r>
      <w:r>
        <w:t>)</w:t>
      </w:r>
      <w:r>
        <w:rPr>
          <w:b w:val="0"/>
        </w:rPr>
        <w:t>. Хворі на ХГС, які не відповіли на ПВТ, мали індекс маси тіла 29,9±0,05 кг/м</w:t>
      </w:r>
      <w:r>
        <w:rPr>
          <w:b w:val="0"/>
          <w:vertAlign w:val="superscript"/>
        </w:rPr>
        <w:t>2</w:t>
      </w:r>
      <w:r>
        <w:rPr>
          <w:b w:val="0"/>
        </w:rPr>
        <w:t>, що був вищим, ніж у хворих респондерів, у яких він становив 23,4±0,2 кг/м</w:t>
      </w:r>
      <w:r>
        <w:rPr>
          <w:b w:val="0"/>
          <w:vertAlign w:val="superscript"/>
        </w:rPr>
        <w:t xml:space="preserve">2   </w:t>
      </w:r>
      <w:r>
        <w:rPr>
          <w:b w:val="0"/>
        </w:rPr>
        <w:t xml:space="preserve"> (р&lt;0,001).</w:t>
      </w:r>
    </w:p>
    <w:p w:rsidR="00A64D73" w:rsidRDefault="00A64D73" w:rsidP="00A64D73">
      <w:pPr>
        <w:pStyle w:val="af8"/>
        <w:spacing w:line="360" w:lineRule="exact"/>
        <w:ind w:firstLine="540"/>
        <w:jc w:val="both"/>
      </w:pPr>
    </w:p>
    <w:p w:rsidR="00A64D73" w:rsidRDefault="00A64D73" w:rsidP="00A64D73">
      <w:pPr>
        <w:pStyle w:val="af8"/>
        <w:rPr>
          <w:b w:val="0"/>
        </w:rPr>
      </w:pPr>
      <w:r>
        <w:rPr>
          <w:b w:val="0"/>
          <w:noProof/>
        </w:rPr>
        <w:drawing>
          <wp:inline distT="0" distB="0" distL="0" distR="0">
            <wp:extent cx="3893185" cy="2105660"/>
            <wp:effectExtent l="0" t="0" r="0" b="8890"/>
            <wp:docPr id="461" name="Рисунок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2">
                      <a:extLst>
                        <a:ext uri="{28A0092B-C50C-407E-A947-70E740481C1C}">
                          <a14:useLocalDpi xmlns:a14="http://schemas.microsoft.com/office/drawing/2010/main" val="0"/>
                        </a:ext>
                      </a:extLst>
                    </a:blip>
                    <a:srcRect l="7947" t="11209" r="6693" b="11465"/>
                    <a:stretch>
                      <a:fillRect/>
                    </a:stretch>
                  </pic:blipFill>
                  <pic:spPr bwMode="auto">
                    <a:xfrm>
                      <a:off x="0" y="0"/>
                      <a:ext cx="3893185" cy="2105660"/>
                    </a:xfrm>
                    <a:prstGeom prst="rect">
                      <a:avLst/>
                    </a:prstGeom>
                    <a:noFill/>
                    <a:ln>
                      <a:noFill/>
                    </a:ln>
                  </pic:spPr>
                </pic:pic>
              </a:graphicData>
            </a:graphic>
          </wp:inline>
        </w:drawing>
      </w:r>
    </w:p>
    <w:p w:rsidR="00A64D73" w:rsidRDefault="00A64D73" w:rsidP="00A64D73">
      <w:pPr>
        <w:spacing w:after="0" w:line="360" w:lineRule="exact"/>
        <w:ind w:firstLine="851"/>
        <w:jc w:val="both"/>
        <w:rPr>
          <w:rFonts w:ascii="Times New Roman" w:hAnsi="Times New Roman"/>
          <w:sz w:val="28"/>
          <w:szCs w:val="28"/>
          <w:lang w:val="uk-UA"/>
        </w:rPr>
      </w:pPr>
      <w:r>
        <w:rPr>
          <w:rFonts w:ascii="Times New Roman" w:hAnsi="Times New Roman"/>
          <w:sz w:val="28"/>
          <w:szCs w:val="28"/>
          <w:lang w:val="uk-UA"/>
        </w:rPr>
        <w:t>Рис. 1. Розподіл хворих в залежності від їх відповіді на ПВТ.</w:t>
      </w:r>
    </w:p>
    <w:p w:rsidR="00A64D73" w:rsidRDefault="00A64D73" w:rsidP="00A64D73">
      <w:pPr>
        <w:pStyle w:val="af8"/>
        <w:spacing w:line="360" w:lineRule="exact"/>
        <w:ind w:firstLine="540"/>
        <w:jc w:val="both"/>
        <w:rPr>
          <w:b w:val="0"/>
        </w:rPr>
      </w:pP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Найбільша кількість хворих обох груп інфікувалась під час різноманітних парентеральних маніпуляцій. На даний шлях інфікування вказували 45,24 % респондерів та 39,29 % нон-респондерів. Гемотрансфузії в анамнезі були виявлені у 28,57 % пацієнтів з групи, які не відповіли на ПВТ, що було в 2,5 рази частіше, ніж серед хворих, які відповіли на терапію (15,08 %).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Співставлення рівнів вірусного навантаження в групах хворих на ХГС, які відповіли або не відповіли на лікування, виявило, що серед останніх в 1,3 рази частіше фіксувались особи з високим вірусним навантаженням.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Серед хворих нон-респондерів переважали особи з тривалістю хвороби більше 5 років (69,05 %), тоді як серед респондерів їх було 38,89 %. Середня тривалість ХГС в групі нон- респондерів складала 6,38±1,17</w:t>
      </w:r>
      <w:r>
        <w:rPr>
          <w:sz w:val="28"/>
          <w:szCs w:val="28"/>
          <w:lang w:val="uk-UA"/>
        </w:rPr>
        <w:t xml:space="preserve"> </w:t>
      </w:r>
      <w:r>
        <w:rPr>
          <w:rFonts w:ascii="Times New Roman" w:hAnsi="Times New Roman"/>
          <w:sz w:val="28"/>
          <w:szCs w:val="28"/>
          <w:lang w:val="uk-UA"/>
        </w:rPr>
        <w:t>років, тоді як серед респондерів 4,67±0,67</w:t>
      </w:r>
      <w:r>
        <w:rPr>
          <w:sz w:val="28"/>
          <w:szCs w:val="28"/>
          <w:lang w:val="uk-UA"/>
        </w:rPr>
        <w:t xml:space="preserve"> </w:t>
      </w:r>
      <w:r>
        <w:rPr>
          <w:rFonts w:ascii="Times New Roman" w:hAnsi="Times New Roman"/>
          <w:sz w:val="28"/>
          <w:szCs w:val="28"/>
          <w:lang w:val="uk-UA"/>
        </w:rPr>
        <w:t>років.</w:t>
      </w:r>
    </w:p>
    <w:p w:rsidR="00A64D73" w:rsidRDefault="00A64D73" w:rsidP="00A64D73">
      <w:pPr>
        <w:pStyle w:val="24"/>
        <w:spacing w:after="0" w:line="360" w:lineRule="exact"/>
        <w:ind w:left="0" w:firstLine="709"/>
        <w:jc w:val="both"/>
        <w:rPr>
          <w:sz w:val="28"/>
          <w:szCs w:val="28"/>
          <w:lang w:val="uk-UA"/>
        </w:rPr>
      </w:pPr>
      <w:r>
        <w:rPr>
          <w:sz w:val="28"/>
          <w:szCs w:val="28"/>
          <w:lang w:val="uk-UA"/>
        </w:rPr>
        <w:t xml:space="preserve">Клінічне обстеження пацієнтів з ХГС встановило, що незалежно від відповіді на попередню ПВТ у хворих обох груп найчастіше спостерігались ознаки астено-вегетативного синдрому. Так, скарги на підвищену втомлюваністю були у 92,06 % хворих з групи респондерів та 91,67 % нон-респондерів. Загальне нездужання турбувало 81,75 % пацієнтів, які відповіли на терапію та 80,95 % хворих, які на відповіли на ПВТ. Переважна кількість хворих на ХГС відмічала наявність симптомів диспепсичного синдрому, при цьому найбільш частими скаргами у них були відчуття важкості в правому підребер’ї у 67,46 % пацієнтів, які відповіли на терапію та 66,67 % хворих, які не відповіли на ПВТ. Ознаки артралгічного синдрому були виявлені у 16,67 % хворих з групи респондерів та у 16,66 % пацієнтів нон-респондерів. </w:t>
      </w:r>
    </w:p>
    <w:p w:rsidR="00A64D73" w:rsidRDefault="00A64D73" w:rsidP="00A64D73">
      <w:pPr>
        <w:pStyle w:val="24"/>
        <w:widowControl w:val="0"/>
        <w:spacing w:after="0" w:line="360" w:lineRule="exact"/>
        <w:ind w:left="0" w:firstLine="709"/>
        <w:jc w:val="both"/>
        <w:rPr>
          <w:sz w:val="28"/>
          <w:szCs w:val="28"/>
          <w:lang w:val="uk-UA"/>
        </w:rPr>
      </w:pPr>
      <w:r>
        <w:rPr>
          <w:sz w:val="28"/>
          <w:szCs w:val="28"/>
          <w:lang w:val="uk-UA"/>
        </w:rPr>
        <w:t xml:space="preserve">Нами було достовірно частіше виявлено ознаки жовтяниці у вигляді </w:t>
      </w:r>
      <w:r>
        <w:rPr>
          <w:sz w:val="28"/>
          <w:szCs w:val="28"/>
          <w:lang w:val="uk-UA"/>
        </w:rPr>
        <w:lastRenderedPageBreak/>
        <w:t xml:space="preserve">субіктеричності склер та видимих слизових при фізикальному обстеженні пацієнтів з групи, які не відповіли на ПВТ. Так, жовтяниця спостерігалась у 9,52 % нон-респондерів, в той же час дана ознака була лише у 3,17 % пацієнтів з групи респондерів (р &lt;0,01). </w:t>
      </w:r>
    </w:p>
    <w:p w:rsidR="00A64D73" w:rsidRDefault="00A64D73" w:rsidP="00A64D73">
      <w:pPr>
        <w:pStyle w:val="24"/>
        <w:spacing w:after="0" w:line="360" w:lineRule="exact"/>
        <w:ind w:left="0" w:firstLine="709"/>
        <w:jc w:val="both"/>
        <w:rPr>
          <w:sz w:val="28"/>
          <w:szCs w:val="28"/>
          <w:lang w:val="uk-UA"/>
        </w:rPr>
      </w:pPr>
      <w:r>
        <w:rPr>
          <w:sz w:val="28"/>
          <w:szCs w:val="28"/>
          <w:lang w:val="uk-UA"/>
        </w:rPr>
        <w:t xml:space="preserve">Достовірно частіше виявилось збільшення розмірів печінки за результатами фізикального обстеження та УЗ-дослідження органів черевної порожнини у хворих з групи нон-респондерів порівняно з пацієнтами, які відповіли на терапію. За отриманими нами даними гепатомегалія визначалась у 86,90 % хворих нон-респондерів, тоді як даний симптом спостерігався у тільки у 74,60 % респондерів. Спленомегалія фіксувалась відповідно у 36,90 % та 19,84 % обстежених пацієнтів. </w:t>
      </w:r>
    </w:p>
    <w:p w:rsidR="00A64D73" w:rsidRDefault="00A64D73" w:rsidP="00A64D73">
      <w:pPr>
        <w:pStyle w:val="24"/>
        <w:spacing w:after="0" w:line="360" w:lineRule="exact"/>
        <w:ind w:left="0" w:firstLine="709"/>
        <w:jc w:val="both"/>
        <w:rPr>
          <w:sz w:val="28"/>
          <w:szCs w:val="28"/>
          <w:lang w:val="uk-UA"/>
        </w:rPr>
      </w:pPr>
      <w:r>
        <w:rPr>
          <w:sz w:val="28"/>
          <w:szCs w:val="28"/>
          <w:lang w:val="uk-UA"/>
        </w:rPr>
        <w:t>Незначна частина хворих обох груп мала супутню патологію, при чому кількість таких хворих в групах достовірно не відрізнялась між собою. Лише у хворих на ХГС, які не відповіли на терапію, нами був встановлений компенсований цукровий діабет (4,76 %).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Нами була виявлена суттєва різниця в зміні показників синдрому цитолізу в залежності від відповіді на лікування. У хворих нон-респондерів відповідно в 6,5 та 3,9 рази частіше зустрічались особи з нормальним рівнем АлАт та АсАТ в сироватці крові порівняно з групою хворих на ХГС, які відповіли на терапію. </w:t>
      </w:r>
      <w:r>
        <w:rPr>
          <w:rFonts w:ascii="Times New Roman" w:hAnsi="Times New Roman"/>
          <w:sz w:val="28"/>
          <w:szCs w:val="28"/>
          <w:lang w:val="uk-UA" w:eastAsia="uk-UA"/>
        </w:rPr>
        <w:t xml:space="preserve">Підвищені рівні ЛФ та ГГТ в 4 рази частіше виявлялись в групі хворих нон-респондерів.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Рівень α-фетопротеїну в групі нон-респондерів в 3,6 разів перевищував рівень у здорових людей, в той же час його підвищення в групі респондерів було в 1,9 разів. В цілому рівень α-фетопротеїну у хворих, які відповіли на терапію, був в 1,8 разів вищим в порівнянні з групою респондерів.</w:t>
      </w:r>
    </w:p>
    <w:p w:rsidR="00A64D73" w:rsidRDefault="00A64D73" w:rsidP="00A64D73">
      <w:pPr>
        <w:spacing w:after="0" w:line="360" w:lineRule="exact"/>
        <w:ind w:firstLine="709"/>
        <w:jc w:val="both"/>
        <w:rPr>
          <w:rFonts w:ascii="Times New Roman" w:hAnsi="Times New Roman"/>
          <w:b/>
          <w:sz w:val="28"/>
          <w:szCs w:val="28"/>
          <w:lang w:val="uk-UA"/>
        </w:rPr>
      </w:pPr>
      <w:r>
        <w:rPr>
          <w:rFonts w:ascii="Times New Roman" w:hAnsi="Times New Roman"/>
          <w:sz w:val="28"/>
          <w:szCs w:val="28"/>
          <w:lang w:val="uk-UA"/>
        </w:rPr>
        <w:t xml:space="preserve">Спостерігалось зниження рівня гемоглобіну в 2,5 рази частіше у хворих, які не відповіли на ПВТ, в порівнянні з групою пацієнтів, які відповіли на терапію. Зниження кількості еритроцитів достовірно частіше, в 1,5 рази зустрічалась в групі нон-респондерів. Найбільша різниця спостерігалось відносно кількості тромбоцитів, їх зниження було виявлено в 3 рази частіше у хворих, які не відповіли на терапію.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Було виявлено підвищення рівня ММП-2 в сироватці крові хворих на ХГС порівняно зі здоровими особами в 4,5 рази, що достовірно залежало від стадії фіброзу печінки (табл. 1). Так, у хворих з наявністю F1 рівень ММП-2 підвищувався в 1,6 рази, F2 – майже втричі, F3 - в 4,8 рази у порівнянні зі здоровими людьми. Однак найбільш суттєві зміни рівня ММП-2 були зафіксовані в групі хворих з наявністю морфологічних ознак цирозу печінки (F4), де його підвищення сягнуло більше ніж в 7 разів.</w:t>
      </w:r>
    </w:p>
    <w:p w:rsidR="00A64D73" w:rsidRDefault="00A64D73" w:rsidP="00A64D73">
      <w:pPr>
        <w:spacing w:after="0" w:line="360" w:lineRule="exact"/>
        <w:ind w:firstLine="720"/>
        <w:jc w:val="both"/>
        <w:rPr>
          <w:rFonts w:ascii="Times New Roman" w:hAnsi="Times New Roman"/>
          <w:b/>
          <w:sz w:val="28"/>
          <w:szCs w:val="28"/>
          <w:lang w:val="uk-UA"/>
        </w:rPr>
      </w:pPr>
      <w:r>
        <w:rPr>
          <w:rFonts w:ascii="Times New Roman" w:hAnsi="Times New Roman"/>
          <w:sz w:val="28"/>
          <w:szCs w:val="28"/>
          <w:lang w:val="uk-UA"/>
        </w:rPr>
        <w:lastRenderedPageBreak/>
        <w:t>Показано, що чинником, котрий істотно впливає на рівень ММП-2 в сироватці крові хворих на ХГС, є ступінь фіброзу печінки. Наведене положення доводить той факт, що при F2, F3 та F4 вміст ММП-2 в сироватці крові достовірно зростав відповідно в 1,78, 2,90 та 4,32 рази.</w:t>
      </w:r>
    </w:p>
    <w:p w:rsidR="00A64D73" w:rsidRDefault="00A64D73" w:rsidP="00A64D73">
      <w:pPr>
        <w:spacing w:after="0" w:line="360" w:lineRule="exact"/>
        <w:jc w:val="right"/>
        <w:rPr>
          <w:rFonts w:ascii="Times New Roman" w:hAnsi="Times New Roman"/>
          <w:i/>
          <w:sz w:val="28"/>
          <w:szCs w:val="28"/>
          <w:lang w:val="uk-UA"/>
        </w:rPr>
      </w:pPr>
      <w:r>
        <w:rPr>
          <w:rFonts w:ascii="Times New Roman" w:hAnsi="Times New Roman"/>
          <w:i/>
          <w:sz w:val="28"/>
          <w:szCs w:val="28"/>
          <w:lang w:val="uk-UA"/>
        </w:rPr>
        <w:t xml:space="preserve">Таблиця 1  </w:t>
      </w:r>
    </w:p>
    <w:p w:rsidR="00A64D73" w:rsidRDefault="00A64D73" w:rsidP="00A64D73">
      <w:pPr>
        <w:spacing w:after="0" w:line="360" w:lineRule="exact"/>
        <w:jc w:val="center"/>
        <w:rPr>
          <w:rFonts w:ascii="Times New Roman" w:hAnsi="Times New Roman"/>
          <w:b/>
          <w:sz w:val="28"/>
          <w:szCs w:val="28"/>
          <w:lang w:val="uk-UA"/>
        </w:rPr>
      </w:pPr>
      <w:r>
        <w:rPr>
          <w:rFonts w:ascii="Times New Roman" w:hAnsi="Times New Roman"/>
          <w:b/>
          <w:sz w:val="28"/>
          <w:szCs w:val="28"/>
          <w:lang w:val="uk-UA"/>
        </w:rPr>
        <w:t>Рівень ММП-2 в сироватці хворих на ХГС в залежності від ступеня фіброзу за METAVIR</w:t>
      </w:r>
    </w:p>
    <w:tbl>
      <w:tblPr>
        <w:tblW w:w="45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760"/>
      </w:tblGrid>
      <w:tr w:rsidR="00A64D73" w:rsidTr="00A46E66">
        <w:trPr>
          <w:trHeight w:val="20"/>
        </w:trPr>
        <w:tc>
          <w:tcPr>
            <w:tcW w:w="2876" w:type="pct"/>
            <w:tcBorders>
              <w:top w:val="single" w:sz="4" w:space="0" w:color="auto"/>
              <w:left w:val="single" w:sz="4" w:space="0" w:color="auto"/>
              <w:bottom w:val="single" w:sz="4" w:space="0" w:color="auto"/>
              <w:right w:val="single" w:sz="4" w:space="0" w:color="auto"/>
              <w:tl2br w:val="single" w:sz="4" w:space="0" w:color="auto"/>
            </w:tcBorders>
            <w:vAlign w:val="center"/>
          </w:tcPr>
          <w:p w:rsidR="00A64D73" w:rsidRDefault="00A64D73" w:rsidP="00A46E66">
            <w:pPr>
              <w:spacing w:after="0" w:line="360" w:lineRule="exact"/>
              <w:jc w:val="right"/>
              <w:rPr>
                <w:rFonts w:ascii="Times New Roman" w:hAnsi="Times New Roman"/>
                <w:sz w:val="28"/>
                <w:szCs w:val="28"/>
                <w:lang w:val="uk-UA"/>
              </w:rPr>
            </w:pPr>
            <w:r>
              <w:rPr>
                <w:rFonts w:ascii="Times New Roman" w:hAnsi="Times New Roman"/>
                <w:sz w:val="28"/>
                <w:szCs w:val="28"/>
                <w:lang w:val="uk-UA"/>
              </w:rPr>
              <w:t>Показники</w:t>
            </w:r>
          </w:p>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Стадія фіброзу</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ММП-2 (нг/мл)</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Здорові особи (n=31)</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175,15±5,38</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Хворі на ХГС (n=84)</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790,59±36,2*</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F1 (n=10)</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288,7±6,93*</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F2 (n=23)</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514,8±2,43*</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F3 (n=29)</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836,48±2,48*</w:t>
            </w:r>
          </w:p>
        </w:tc>
      </w:tr>
      <w:tr w:rsidR="00A64D73" w:rsidTr="00A46E66">
        <w:trPr>
          <w:trHeight w:val="20"/>
        </w:trPr>
        <w:tc>
          <w:tcPr>
            <w:tcW w:w="2876"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rPr>
                <w:rFonts w:ascii="Times New Roman" w:hAnsi="Times New Roman"/>
                <w:sz w:val="28"/>
                <w:szCs w:val="28"/>
                <w:lang w:val="uk-UA"/>
              </w:rPr>
            </w:pPr>
            <w:r>
              <w:rPr>
                <w:rFonts w:ascii="Times New Roman" w:hAnsi="Times New Roman"/>
                <w:sz w:val="28"/>
                <w:szCs w:val="28"/>
                <w:lang w:val="uk-UA"/>
              </w:rPr>
              <w:t>F4 (n=22)</w:t>
            </w:r>
          </w:p>
        </w:tc>
        <w:tc>
          <w:tcPr>
            <w:tcW w:w="2124"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1247,9±3,19*</w:t>
            </w:r>
          </w:p>
        </w:tc>
      </w:tr>
    </w:tbl>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i/>
          <w:sz w:val="28"/>
          <w:szCs w:val="28"/>
          <w:lang w:val="uk-UA"/>
        </w:rPr>
        <w:t>Примітка</w:t>
      </w:r>
      <w:r>
        <w:rPr>
          <w:rFonts w:ascii="Times New Roman" w:hAnsi="Times New Roman"/>
          <w:sz w:val="28"/>
          <w:szCs w:val="28"/>
          <w:lang w:val="uk-UA"/>
        </w:rPr>
        <w:t>. * - p&lt;0,001 - різниця достовірна між групами здорових та хворих на ХГС, які не відповіли на противірусну терапію.</w:t>
      </w:r>
    </w:p>
    <w:p w:rsidR="00A64D73" w:rsidRDefault="00A64D73" w:rsidP="00A64D73">
      <w:pPr>
        <w:spacing w:after="0" w:line="360" w:lineRule="exact"/>
        <w:ind w:firstLine="720"/>
        <w:jc w:val="both"/>
        <w:rPr>
          <w:rFonts w:ascii="Times New Roman" w:hAnsi="Times New Roman"/>
          <w:sz w:val="28"/>
          <w:szCs w:val="28"/>
          <w:lang w:val="uk-UA"/>
        </w:rPr>
      </w:pPr>
    </w:p>
    <w:p w:rsidR="00A64D73" w:rsidRDefault="00A64D73" w:rsidP="00A64D73">
      <w:pPr>
        <w:widowControl w:val="0"/>
        <w:spacing w:after="0" w:line="360" w:lineRule="exact"/>
        <w:ind w:firstLine="720"/>
        <w:jc w:val="both"/>
        <w:rPr>
          <w:rFonts w:ascii="Times New Roman" w:hAnsi="Times New Roman"/>
          <w:spacing w:val="-4"/>
          <w:sz w:val="28"/>
          <w:szCs w:val="28"/>
          <w:lang w:val="uk-UA"/>
        </w:rPr>
      </w:pPr>
      <w:r>
        <w:rPr>
          <w:rFonts w:ascii="Times New Roman" w:hAnsi="Times New Roman"/>
          <w:spacing w:val="-4"/>
          <w:sz w:val="28"/>
          <w:szCs w:val="28"/>
          <w:lang w:val="uk-UA"/>
        </w:rPr>
        <w:t xml:space="preserve">Наступним кроком нашого дослідження був пошук специфічних морфоло-гічних відмінностей в тканині печінки у хворих в залежності від їх відповіді на лікування. Дослідження гепатобіоптатів хворих на ХГС, які не відповіли на ПВТ, встановило наявність надзвичайної варіабельності морфологічних змін, що відображають ступінь активності запально-некротичних процесів, фіброгенезу та їх співвідношення. У частини пацієнтів при відносно помірній інфільтрації портальних трактів лімфоцитами, гістіоцитами, фібробластами спостерігались широкі поля внутрічасточкового некрозу, обмеженого незначною кількістю клітин запального характеру, що свідчило про високий ступінь активності запального процесу (А3) у даної групи пацієнтів, які не відповіли на лікування. </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В біоптатах печінки хворих виявлялось або розрідження позаклітинного матриксу набряковою рідиною, або його нерівномірне ущільнення через присутність в ньому неструктурованих глибчастих, іноді з тенденцією до утворення фібрілярних мас. На фоні набряку та розширення просторів Діссе клітини Купфера набухали і десквамувалися в просвіті синусоїдів. Іноді синусоїдальні клітини (ендотеліоцити, клітини Купфера) витягувались і нагадували гладеньком’язові волокна, що прилягали до зовнішньої мембрани гепатоцитів та імітували перицелюлярний фіброз.</w:t>
      </w:r>
    </w:p>
    <w:p w:rsidR="00A64D73" w:rsidRDefault="00A64D73" w:rsidP="00A64D73">
      <w:pPr>
        <w:widowControl w:val="0"/>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 xml:space="preserve">Ознаки стеатозу печінки у хворих нон-респондерів практично завжди поєднувався з гідропічною дистрофією. Дрібно- та крупнокрапельна жирова дистрофія, як правило, носила осередковий характер. Для високоактивних форм </w:t>
      </w:r>
      <w:r>
        <w:rPr>
          <w:rFonts w:ascii="Times New Roman" w:hAnsi="Times New Roman"/>
          <w:sz w:val="28"/>
          <w:szCs w:val="28"/>
          <w:lang w:val="uk-UA"/>
        </w:rPr>
        <w:lastRenderedPageBreak/>
        <w:t xml:space="preserve">ХГС у хворих, які не відповіли на ПВТ, характерним був кілінг гепатоцитів. </w:t>
      </w:r>
    </w:p>
    <w:p w:rsidR="00A64D73" w:rsidRDefault="00A64D73" w:rsidP="00A64D73">
      <w:pPr>
        <w:widowControl w:val="0"/>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Високий ступінь активності патологічного процесу в тканині печінки у хворих нон-респондерів іноді поєднувався із осередковим, але досить значним гемосидерозом переважно пери портальних ділянок часточок. Перевантаження органу гемосидерином визначалось навіть при фарбуванні зрізів гематоксилін-еозином і спостерігалось як в макрофагах, так і в гепатоцитах.</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У більшості хворих з групи нон-респондерів в тканині печінки при морфологічному дослідженні була виявлена або тенденція до формування цирозу печінки (F3), або наявність уже сформованого цирозу печінки (F4).</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У значної кількості хворих на ХГС, які не відповіли на терапію, спостерігалося істотне порушення гістоархітектоніки печінки, виявлялись ознаки портального фіброзу тканини печінки, що відповідало F3-F4. При цьому портальні тракти були розширені, серед клітинних елементів переважали фібробласти та колагенові волокна при значно зменшеній кількості лімфоцитів та макрофагів та зруйнованій термінальній пластинці.</w:t>
      </w:r>
    </w:p>
    <w:p w:rsidR="00A64D73" w:rsidRDefault="00A64D73" w:rsidP="00A64D73">
      <w:pPr>
        <w:tabs>
          <w:tab w:val="left" w:pos="540"/>
        </w:tabs>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Морфологічне дослідження біоптатів тканини печінки хворих на ХГС встановило, що мінімальні запальні зміни (А1) були зареєстровані у 15,39 % хворих, які відповіли на ПВТ, та у 10,71 % пацієнтів нон-респондерів. У найбільшого відсотку хворих обох груп була виявлена помірна активність запального процесу в печінці (А2), що спостерігалась у 61,54 % респондерів та у 46,43 % нон-респондерів. В той же час, зміни, що відповідали ступеню активності запалення А3, в 1,9 рази частіше виявлялись при морфологічному дослідженні біоптатів печінки хворих на ХГС, які не відповіли на терапію порівняно з респондерами (42,86 % проти 23,07 %).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Аналіз розподілу хворих на ХГС в залежності від ступеня фіброзу встановив, що відсутність морфологічних ознак фіброзу печінки (F0) спостерігалась лише у хворих-респондерів на ПВТ, яких було 5,77 %. Початкова стадія фіброзу печінки (F1) зустрічалась у третини хворих з групи респондерів - 30,77 % та лише у 11,90 % пацієнтів нон-респондерів. Кількість хворих з фібротичними змінами, що відповідали F2 була відповідно 40,39 % в групі респондерів та 27,38 % у нон-респондерів. В той же час кількість пацієнтів з ознаками F3 в групі хворих, які не відповіли на ПВТ, становила 34,53 % та в 2,2 рази перевищувала кількість хворих респондерів - 15,38 %. Ще більша різниця була зафіксована при визначенні морфологічної картини цирозу печінки (F4), що спостерігалася в 3,4 рази частіше серед хворих на ХГС нон-респондерів - 26,19% порівняно з групою пацієнтів респондерів - 7,69 %. </w:t>
      </w:r>
    </w:p>
    <w:p w:rsidR="00A64D73" w:rsidRDefault="00A64D73" w:rsidP="00A64D73">
      <w:pPr>
        <w:spacing w:after="0" w:line="360" w:lineRule="exact"/>
        <w:ind w:firstLine="709"/>
        <w:jc w:val="both"/>
        <w:rPr>
          <w:rFonts w:ascii="Times New Roman" w:hAnsi="Times New Roman"/>
          <w:spacing w:val="-4"/>
          <w:sz w:val="28"/>
          <w:szCs w:val="28"/>
          <w:lang w:val="uk-UA"/>
        </w:rPr>
      </w:pPr>
      <w:r>
        <w:rPr>
          <w:rFonts w:ascii="Times New Roman" w:hAnsi="Times New Roman"/>
          <w:spacing w:val="-4"/>
          <w:sz w:val="28"/>
          <w:szCs w:val="28"/>
          <w:lang w:val="uk-UA"/>
        </w:rPr>
        <w:t xml:space="preserve">Проведене дослідження встановило наявність різниці в перевантаженні тканини печінки залізом в залежності від відповіді на проведену ПВТ. Ознаки гемосидерозу печінки при гістологічному дослідженні були виявлені у 60,71 % </w:t>
      </w:r>
      <w:r>
        <w:rPr>
          <w:rFonts w:ascii="Times New Roman" w:hAnsi="Times New Roman"/>
          <w:spacing w:val="-4"/>
          <w:sz w:val="28"/>
          <w:szCs w:val="28"/>
          <w:lang w:val="uk-UA"/>
        </w:rPr>
        <w:lastRenderedPageBreak/>
        <w:t xml:space="preserve">хворих нон- респондерів, що було достовірно частіше, ніж в групі респондерів, серед яких дана ознака спостерігалась у 34,62 %. Переважна кількість хворих з групи нон-респондерів 70,59 % мала виражений гемосидероз III- IV ступенів, тоді як у пацієнтів респондерів гемосидероз III- IV ступенів зустрічався лише в 21,15 % випадків.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У незначної кількості хворих обох груп був виявлений стеатоз печінки, що спостерігався у 28,57 % пацієнтів нон-респондерів та 23,07 % респондерів. В жодному випадку нами не було визначено вираженого стеатозу печінки з жировою інфільтрацією понад 60 % гепатоцитів. В біоптатах хворих з ознаками стеатозу печінки нами був виявлений переважно перипортальний фіброз.</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В процесі дослідження отримано дані, що свідчать про ефективність лікування фібротичних змін в печінці протягом 52-х тижнів у хворих на ХГС. З усіх показників цитолізу відбувалось зниження рівню ЛДГ в сироватці крові в 1,5 рази, що було в більшій мірі виражено в групі хворих при комбінованій терапії з застосуванням лозартану.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Нами був виявлений суттєвий вплив лікування на динаміку показників холестазу, особливо в групі хворих, які отримували комбіновану терапію з застосуванням лозартану. Так, рівні ЛФ та ГГТ сироватки крові в цій групі знизились відповідно в 1,3 та 1,6 разів порівняно з початком лікування.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В групі хворих, які отримували лише гепатопротекторну терапію, спостерігалось зростання рівню ММП-2 в сироватці крові протягом 52 тижнів при всіх стадіях фіброзу печінки в 1,1 рази порівняно з початком лікування.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Протилежна картина спостерігалася в групі хворих, які отримували лозартан. В цілому спостерігалося зниження рівня цього показника в 1,2-1,3 рази. Рівень ММП-2 був вірогідно нижчий у групі хворих, які отримували лозартан, порівняно з пацієнтами, лікування яких проводилось лише гепатопротекторами, при всіх стадіях фіброзу (табл. 2).</w:t>
      </w:r>
    </w:p>
    <w:p w:rsidR="00A64D73" w:rsidRDefault="00A64D73" w:rsidP="00A64D73">
      <w:pPr>
        <w:spacing w:after="0" w:line="360" w:lineRule="exact"/>
        <w:ind w:firstLine="709"/>
        <w:jc w:val="both"/>
        <w:rPr>
          <w:rFonts w:ascii="Times New Roman" w:hAnsi="Times New Roman"/>
          <w:sz w:val="28"/>
          <w:szCs w:val="28"/>
          <w:lang w:val="uk-UA"/>
        </w:rPr>
      </w:pPr>
    </w:p>
    <w:p w:rsidR="00A64D73" w:rsidRDefault="00A64D73" w:rsidP="00A64D73">
      <w:pPr>
        <w:spacing w:after="0" w:line="360" w:lineRule="exact"/>
        <w:jc w:val="right"/>
        <w:rPr>
          <w:rFonts w:ascii="Times New Roman" w:hAnsi="Times New Roman"/>
          <w:i/>
          <w:sz w:val="28"/>
          <w:szCs w:val="28"/>
          <w:lang w:val="uk-UA"/>
        </w:rPr>
      </w:pPr>
      <w:r>
        <w:rPr>
          <w:rFonts w:ascii="Times New Roman" w:hAnsi="Times New Roman"/>
          <w:i/>
          <w:sz w:val="28"/>
          <w:szCs w:val="28"/>
          <w:lang w:val="uk-UA"/>
        </w:rPr>
        <w:t>Таблиця 2</w:t>
      </w:r>
    </w:p>
    <w:p w:rsidR="00A64D73" w:rsidRDefault="00A64D73" w:rsidP="00A64D73">
      <w:pPr>
        <w:spacing w:after="0" w:line="360" w:lineRule="exact"/>
        <w:jc w:val="center"/>
        <w:rPr>
          <w:rFonts w:ascii="Times New Roman" w:hAnsi="Times New Roman"/>
          <w:b/>
          <w:sz w:val="28"/>
          <w:szCs w:val="28"/>
          <w:lang w:val="uk-UA"/>
        </w:rPr>
      </w:pPr>
      <w:r>
        <w:rPr>
          <w:rFonts w:ascii="Times New Roman" w:hAnsi="Times New Roman"/>
          <w:b/>
          <w:sz w:val="28"/>
          <w:szCs w:val="28"/>
          <w:lang w:val="uk-UA"/>
        </w:rPr>
        <w:t>Динаміка рівня ММП-2 у хворих на ХГС під впливом гепатопротектерної та антифібротичної терапії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3812"/>
        <w:gridCol w:w="3390"/>
      </w:tblGrid>
      <w:tr w:rsidR="00A64D73" w:rsidTr="00A46E66">
        <w:trPr>
          <w:cantSplit/>
          <w:trHeight w:val="429"/>
          <w:jc w:val="center"/>
        </w:trPr>
        <w:tc>
          <w:tcPr>
            <w:tcW w:w="1978" w:type="dxa"/>
            <w:vMerge w:val="restart"/>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Ступінь фіброзу</w:t>
            </w:r>
          </w:p>
        </w:tc>
        <w:tc>
          <w:tcPr>
            <w:tcW w:w="7202" w:type="dxa"/>
            <w:gridSpan w:val="2"/>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Рівень ММП-2 в сироватці крові, нг/мл</w:t>
            </w:r>
          </w:p>
        </w:tc>
      </w:tr>
      <w:tr w:rsidR="00A64D73" w:rsidTr="00A46E66">
        <w:trPr>
          <w:cantSplit/>
          <w:trHeight w:val="413"/>
          <w:jc w:val="center"/>
        </w:trPr>
        <w:tc>
          <w:tcPr>
            <w:tcW w:w="1978" w:type="dxa"/>
            <w:vMerge/>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до лікування</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після лікування</w:t>
            </w:r>
          </w:p>
        </w:tc>
      </w:tr>
      <w:tr w:rsidR="00A64D73" w:rsidTr="00A46E66">
        <w:trPr>
          <w:jc w:val="center"/>
        </w:trPr>
        <w:tc>
          <w:tcPr>
            <w:tcW w:w="1978"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F1 n=5</w:t>
            </w: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295,80±9,80</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250,8±16,40*</w:t>
            </w:r>
          </w:p>
        </w:tc>
      </w:tr>
      <w:tr w:rsidR="00A64D73" w:rsidTr="00A46E66">
        <w:trPr>
          <w:jc w:val="center"/>
        </w:trPr>
        <w:tc>
          <w:tcPr>
            <w:tcW w:w="1978"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F2 n=13</w:t>
            </w: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520,45±3,09</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405,60±1,87*</w:t>
            </w:r>
          </w:p>
        </w:tc>
      </w:tr>
      <w:tr w:rsidR="00A64D73" w:rsidTr="00A46E66">
        <w:trPr>
          <w:jc w:val="center"/>
        </w:trPr>
        <w:tc>
          <w:tcPr>
            <w:tcW w:w="1978"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F3 n=16</w:t>
            </w: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840,16±3,51</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697,50±1,54*</w:t>
            </w:r>
          </w:p>
        </w:tc>
      </w:tr>
      <w:tr w:rsidR="00A64D73" w:rsidTr="00A46E66">
        <w:trPr>
          <w:jc w:val="center"/>
        </w:trPr>
        <w:tc>
          <w:tcPr>
            <w:tcW w:w="1978"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F4 n=12</w:t>
            </w: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1248,15±3,47</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1008,52±0,89*</w:t>
            </w:r>
          </w:p>
        </w:tc>
      </w:tr>
      <w:tr w:rsidR="00A64D73" w:rsidTr="00A46E66">
        <w:trPr>
          <w:jc w:val="center"/>
        </w:trPr>
        <w:tc>
          <w:tcPr>
            <w:tcW w:w="1978"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Всі хворі n=46</w:t>
            </w:r>
          </w:p>
        </w:tc>
        <w:tc>
          <w:tcPr>
            <w:tcW w:w="3812"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802,00±49,60</w:t>
            </w:r>
          </w:p>
        </w:tc>
        <w:tc>
          <w:tcPr>
            <w:tcW w:w="3390" w:type="dxa"/>
            <w:tcBorders>
              <w:top w:val="single" w:sz="4" w:space="0" w:color="auto"/>
              <w:left w:val="single" w:sz="4" w:space="0" w:color="auto"/>
              <w:bottom w:val="single" w:sz="4" w:space="0" w:color="auto"/>
              <w:right w:val="single" w:sz="4" w:space="0" w:color="auto"/>
            </w:tcBorders>
            <w:vAlign w:val="center"/>
          </w:tcPr>
          <w:p w:rsidR="00A64D73" w:rsidRDefault="00A64D73" w:rsidP="00A46E66">
            <w:pPr>
              <w:spacing w:after="0" w:line="360" w:lineRule="exact"/>
              <w:jc w:val="center"/>
              <w:rPr>
                <w:rFonts w:ascii="Times New Roman" w:hAnsi="Times New Roman"/>
                <w:sz w:val="28"/>
                <w:szCs w:val="28"/>
                <w:lang w:val="uk-UA"/>
              </w:rPr>
            </w:pPr>
            <w:r>
              <w:rPr>
                <w:rFonts w:ascii="Times New Roman" w:hAnsi="Times New Roman"/>
                <w:sz w:val="28"/>
                <w:szCs w:val="28"/>
                <w:lang w:val="uk-UA"/>
              </w:rPr>
              <w:t>647,50±39,07*</w:t>
            </w:r>
          </w:p>
        </w:tc>
      </w:tr>
    </w:tbl>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i/>
          <w:sz w:val="28"/>
          <w:szCs w:val="28"/>
          <w:lang w:val="uk-UA"/>
        </w:rPr>
        <w:lastRenderedPageBreak/>
        <w:t>Примітка.</w:t>
      </w:r>
      <w:r>
        <w:rPr>
          <w:rFonts w:ascii="Times New Roman" w:hAnsi="Times New Roman"/>
          <w:sz w:val="28"/>
          <w:szCs w:val="28"/>
          <w:lang w:val="uk-UA"/>
        </w:rPr>
        <w:t xml:space="preserve"> * - p&lt;0,001 - різниця достовірна між групами до та після лікування. </w:t>
      </w:r>
    </w:p>
    <w:p w:rsidR="00A64D73" w:rsidRDefault="00A64D73" w:rsidP="00A64D73">
      <w:pPr>
        <w:pStyle w:val="dis"/>
        <w:spacing w:line="360" w:lineRule="exact"/>
        <w:ind w:firstLine="709"/>
        <w:rPr>
          <w:lang w:val="uk-UA"/>
        </w:rPr>
      </w:pPr>
    </w:p>
    <w:p w:rsidR="00A64D73" w:rsidRDefault="00A64D73" w:rsidP="00A64D73">
      <w:pPr>
        <w:pStyle w:val="dis"/>
        <w:spacing w:line="360" w:lineRule="exact"/>
        <w:ind w:firstLine="709"/>
        <w:rPr>
          <w:lang w:val="uk-UA"/>
        </w:rPr>
      </w:pPr>
      <w:r>
        <w:rPr>
          <w:lang w:val="uk-UA"/>
        </w:rPr>
        <w:t xml:space="preserve">При застосуванні </w:t>
      </w:r>
      <w:r>
        <w:rPr>
          <w:szCs w:val="16"/>
          <w:lang w:val="uk-UA"/>
        </w:rPr>
        <w:t>когортного профільного аналізу б</w:t>
      </w:r>
      <w:r>
        <w:rPr>
          <w:lang w:val="uk-UA"/>
        </w:rPr>
        <w:t xml:space="preserve">уло встановлено достовірне зниження рівнів показника циротичних змін ММП-2 внаслідок лікування схемою з лозартаном (WL=0,9253 р=0,0269), більш інтенсивне лікування з лозартаном достовірно швидше (WL=0,9310 р=0,0230) зменшує рівні ММП-2 порівняно з стандартною терапією та ефект зниження ММП-2 призначення схеми з лозартаном порівняно з гепатопротекторною терапією ще достовірно виразніший у пацієнтів з підвищеною вагою тіла (WL=0,9475 р=0,0490) (табл. 3). </w:t>
      </w:r>
    </w:p>
    <w:p w:rsidR="00A64D73" w:rsidRDefault="00A64D73" w:rsidP="00A64D73">
      <w:pPr>
        <w:pStyle w:val="dis"/>
        <w:spacing w:line="360" w:lineRule="exact"/>
        <w:ind w:firstLine="709"/>
        <w:rPr>
          <w:lang w:val="uk-UA"/>
        </w:rPr>
      </w:pPr>
    </w:p>
    <w:p w:rsidR="00A64D73" w:rsidRDefault="00A64D73" w:rsidP="00A64D73">
      <w:pPr>
        <w:keepNext/>
        <w:adjustRightInd w:val="0"/>
        <w:spacing w:after="0" w:line="360" w:lineRule="exact"/>
        <w:jc w:val="right"/>
        <w:rPr>
          <w:rFonts w:ascii="Times New Roman" w:hAnsi="Times New Roman"/>
          <w:i/>
          <w:color w:val="000000"/>
          <w:sz w:val="28"/>
          <w:lang w:val="uk-UA"/>
        </w:rPr>
      </w:pPr>
      <w:r>
        <w:rPr>
          <w:rFonts w:ascii="Times New Roman" w:hAnsi="Times New Roman"/>
          <w:i/>
          <w:color w:val="000000"/>
          <w:sz w:val="28"/>
          <w:lang w:val="uk-UA"/>
        </w:rPr>
        <w:t>Таблиця 3</w:t>
      </w:r>
    </w:p>
    <w:p w:rsidR="00A64D73" w:rsidRDefault="00A64D73" w:rsidP="00A64D73">
      <w:pPr>
        <w:pStyle w:val="dis"/>
        <w:spacing w:line="360" w:lineRule="exact"/>
        <w:ind w:firstLine="0"/>
        <w:jc w:val="center"/>
        <w:rPr>
          <w:b/>
          <w:szCs w:val="22"/>
          <w:lang w:val="uk-UA"/>
        </w:rPr>
      </w:pPr>
      <w:r>
        <w:rPr>
          <w:b/>
          <w:szCs w:val="22"/>
          <w:lang w:val="uk-UA"/>
        </w:rPr>
        <w:t xml:space="preserve">Парціальні середні показника </w:t>
      </w:r>
      <w:r>
        <w:rPr>
          <w:b/>
          <w:lang w:val="uk-UA"/>
        </w:rPr>
        <w:t>ММП-2</w:t>
      </w:r>
      <w:r>
        <w:rPr>
          <w:b/>
          <w:szCs w:val="22"/>
          <w:lang w:val="uk-UA"/>
        </w:rPr>
        <w:t xml:space="preserve"> в динаміці лікування хворих</w:t>
      </w:r>
    </w:p>
    <w:p w:rsidR="00A64D73" w:rsidRDefault="00A64D73" w:rsidP="00A64D73">
      <w:pPr>
        <w:pStyle w:val="dis"/>
        <w:spacing w:line="360" w:lineRule="exact"/>
        <w:ind w:firstLine="0"/>
        <w:jc w:val="center"/>
        <w:rPr>
          <w:b/>
          <w:lang w:val="uk-UA"/>
        </w:rPr>
      </w:pPr>
      <w:r>
        <w:rPr>
          <w:b/>
          <w:szCs w:val="22"/>
          <w:lang w:val="uk-UA"/>
        </w:rPr>
        <w:t xml:space="preserve"> нон-респондерів на гепатит С</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513"/>
        <w:gridCol w:w="3456"/>
        <w:gridCol w:w="3457"/>
      </w:tblGrid>
      <w:tr w:rsidR="00A64D73" w:rsidTr="00A46E66">
        <w:tblPrEx>
          <w:tblCellMar>
            <w:top w:w="0" w:type="dxa"/>
            <w:bottom w:w="0" w:type="dxa"/>
          </w:tblCellMar>
        </w:tblPrEx>
        <w:trPr>
          <w:cantSplit/>
          <w:tblHeader/>
          <w:jc w:val="center"/>
        </w:trPr>
        <w:tc>
          <w:tcPr>
            <w:tcW w:w="13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bCs/>
                <w:color w:val="000000"/>
                <w:sz w:val="28"/>
                <w:szCs w:val="28"/>
                <w:lang w:val="uk-UA"/>
              </w:rPr>
            </w:pPr>
            <w:r>
              <w:rPr>
                <w:rFonts w:ascii="Times New Roman" w:hAnsi="Times New Roman"/>
                <w:bCs/>
                <w:color w:val="000000"/>
                <w:sz w:val="28"/>
                <w:szCs w:val="28"/>
                <w:lang w:val="uk-UA"/>
              </w:rPr>
              <w:t>Схема лікування</w:t>
            </w:r>
          </w:p>
        </w:tc>
        <w:tc>
          <w:tcPr>
            <w:tcW w:w="18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bCs/>
                <w:color w:val="000000"/>
                <w:sz w:val="28"/>
                <w:szCs w:val="28"/>
                <w:lang w:val="uk-UA"/>
              </w:rPr>
            </w:pPr>
            <w:r>
              <w:rPr>
                <w:rFonts w:ascii="Times New Roman" w:hAnsi="Times New Roman"/>
                <w:bCs/>
                <w:color w:val="000000"/>
                <w:sz w:val="28"/>
                <w:szCs w:val="28"/>
                <w:lang w:val="uk-UA"/>
              </w:rPr>
              <w:t>ММП-2 до лікування</w:t>
            </w:r>
          </w:p>
        </w:tc>
        <w:tc>
          <w:tcPr>
            <w:tcW w:w="1835"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bCs/>
                <w:color w:val="000000"/>
                <w:sz w:val="28"/>
                <w:szCs w:val="28"/>
                <w:lang w:val="uk-UA"/>
              </w:rPr>
            </w:pPr>
            <w:r>
              <w:rPr>
                <w:rFonts w:ascii="Times New Roman" w:hAnsi="Times New Roman"/>
                <w:bCs/>
                <w:color w:val="000000"/>
                <w:sz w:val="28"/>
                <w:szCs w:val="28"/>
                <w:lang w:val="uk-UA"/>
              </w:rPr>
              <w:t>ММП-2 після лікування</w:t>
            </w:r>
          </w:p>
        </w:tc>
      </w:tr>
      <w:tr w:rsidR="00A64D73" w:rsidTr="00A46E66">
        <w:tblPrEx>
          <w:tblCellMar>
            <w:top w:w="0" w:type="dxa"/>
            <w:bottom w:w="0" w:type="dxa"/>
          </w:tblCellMar>
        </w:tblPrEx>
        <w:trPr>
          <w:cantSplit/>
          <w:jc w:val="center"/>
        </w:trPr>
        <w:tc>
          <w:tcPr>
            <w:tcW w:w="13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bCs/>
                <w:color w:val="000000"/>
                <w:sz w:val="28"/>
                <w:szCs w:val="28"/>
                <w:lang w:val="uk-UA"/>
              </w:rPr>
            </w:pPr>
            <w:r>
              <w:rPr>
                <w:rFonts w:ascii="Times New Roman" w:hAnsi="Times New Roman"/>
                <w:bCs/>
                <w:sz w:val="28"/>
                <w:szCs w:val="28"/>
                <w:lang w:val="uk-UA"/>
              </w:rPr>
              <w:t>без лозартану</w:t>
            </w:r>
          </w:p>
        </w:tc>
        <w:tc>
          <w:tcPr>
            <w:tcW w:w="18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color w:val="000000"/>
                <w:sz w:val="28"/>
                <w:szCs w:val="28"/>
                <w:lang w:val="uk-UA"/>
              </w:rPr>
            </w:pPr>
            <w:r>
              <w:rPr>
                <w:rFonts w:ascii="Times New Roman" w:hAnsi="Times New Roman"/>
                <w:color w:val="000000"/>
                <w:sz w:val="28"/>
                <w:szCs w:val="28"/>
                <w:lang w:val="uk-UA"/>
              </w:rPr>
              <w:t>538,69</w:t>
            </w:r>
          </w:p>
        </w:tc>
        <w:tc>
          <w:tcPr>
            <w:tcW w:w="1835"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color w:val="000000"/>
                <w:sz w:val="28"/>
                <w:szCs w:val="28"/>
                <w:lang w:val="uk-UA"/>
              </w:rPr>
            </w:pPr>
            <w:r>
              <w:rPr>
                <w:rFonts w:ascii="Times New Roman" w:hAnsi="Times New Roman"/>
                <w:color w:val="000000"/>
                <w:sz w:val="28"/>
                <w:szCs w:val="28"/>
                <w:lang w:val="uk-UA"/>
              </w:rPr>
              <w:t>562,39</w:t>
            </w:r>
          </w:p>
        </w:tc>
      </w:tr>
      <w:tr w:rsidR="00A64D73" w:rsidTr="00A46E66">
        <w:tblPrEx>
          <w:tblCellMar>
            <w:top w:w="0" w:type="dxa"/>
            <w:bottom w:w="0" w:type="dxa"/>
          </w:tblCellMar>
        </w:tblPrEx>
        <w:trPr>
          <w:cantSplit/>
          <w:jc w:val="center"/>
        </w:trPr>
        <w:tc>
          <w:tcPr>
            <w:tcW w:w="13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bCs/>
                <w:color w:val="000000"/>
                <w:sz w:val="28"/>
                <w:szCs w:val="28"/>
                <w:lang w:val="uk-UA"/>
              </w:rPr>
            </w:pPr>
            <w:r>
              <w:rPr>
                <w:rFonts w:ascii="Times New Roman" w:hAnsi="Times New Roman"/>
                <w:bCs/>
                <w:sz w:val="28"/>
                <w:szCs w:val="28"/>
                <w:lang w:val="uk-UA"/>
              </w:rPr>
              <w:t>з лозартаном</w:t>
            </w:r>
          </w:p>
        </w:tc>
        <w:tc>
          <w:tcPr>
            <w:tcW w:w="1833"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color w:val="000000"/>
                <w:sz w:val="28"/>
                <w:szCs w:val="28"/>
                <w:lang w:val="uk-UA"/>
              </w:rPr>
            </w:pPr>
            <w:r>
              <w:rPr>
                <w:rFonts w:ascii="Times New Roman" w:hAnsi="Times New Roman"/>
                <w:color w:val="000000"/>
                <w:sz w:val="28"/>
                <w:szCs w:val="28"/>
                <w:lang w:val="uk-UA"/>
              </w:rPr>
              <w:t>751,00</w:t>
            </w:r>
          </w:p>
        </w:tc>
        <w:tc>
          <w:tcPr>
            <w:tcW w:w="1835" w:type="pct"/>
            <w:tcBorders>
              <w:top w:val="single" w:sz="4" w:space="0" w:color="auto"/>
              <w:left w:val="single" w:sz="4" w:space="0" w:color="auto"/>
              <w:bottom w:val="single" w:sz="4" w:space="0" w:color="auto"/>
              <w:right w:val="single" w:sz="4" w:space="0" w:color="auto"/>
            </w:tcBorders>
            <w:vAlign w:val="center"/>
          </w:tcPr>
          <w:p w:rsidR="00A64D73" w:rsidRDefault="00A64D73" w:rsidP="00A46E66">
            <w:pPr>
              <w:keepNext/>
              <w:adjustRightInd w:val="0"/>
              <w:spacing w:after="0" w:line="360" w:lineRule="exact"/>
              <w:jc w:val="center"/>
              <w:rPr>
                <w:rFonts w:ascii="Times New Roman" w:hAnsi="Times New Roman"/>
                <w:color w:val="000000"/>
                <w:sz w:val="28"/>
                <w:szCs w:val="28"/>
                <w:lang w:val="uk-UA"/>
              </w:rPr>
            </w:pPr>
            <w:r>
              <w:rPr>
                <w:rFonts w:ascii="Times New Roman" w:hAnsi="Times New Roman"/>
                <w:color w:val="000000"/>
                <w:sz w:val="28"/>
                <w:szCs w:val="28"/>
                <w:lang w:val="uk-UA"/>
              </w:rPr>
              <w:t>593,70</w:t>
            </w:r>
          </w:p>
        </w:tc>
      </w:tr>
    </w:tbl>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Лікування з застосуванням гепатопротекторної та антифібротичної терапії з лозартаном не впливало на рівень вірусного навантаження та при цьому не спостерігалося різниці в індексі гістологічної активності.</w:t>
      </w:r>
    </w:p>
    <w:p w:rsidR="00A64D73" w:rsidRDefault="00A64D73" w:rsidP="00A64D73">
      <w:pPr>
        <w:spacing w:after="0" w:line="360" w:lineRule="exact"/>
        <w:jc w:val="center"/>
        <w:rPr>
          <w:rFonts w:ascii="Times New Roman" w:hAnsi="Times New Roman"/>
          <w:b/>
          <w:sz w:val="28"/>
          <w:szCs w:val="28"/>
          <w:lang w:val="uk-UA" w:eastAsia="ru-RU"/>
        </w:rPr>
      </w:pPr>
    </w:p>
    <w:p w:rsidR="00A64D73" w:rsidRDefault="00A64D73" w:rsidP="00A64D73">
      <w:pPr>
        <w:spacing w:after="0" w:line="360" w:lineRule="exact"/>
        <w:jc w:val="center"/>
        <w:rPr>
          <w:rFonts w:ascii="Times New Roman" w:hAnsi="Times New Roman"/>
          <w:b/>
          <w:sz w:val="28"/>
          <w:szCs w:val="28"/>
          <w:lang w:val="uk-UA" w:eastAsia="ru-RU"/>
        </w:rPr>
      </w:pPr>
      <w:r>
        <w:rPr>
          <w:rFonts w:ascii="Times New Roman" w:hAnsi="Times New Roman"/>
          <w:b/>
          <w:sz w:val="28"/>
          <w:szCs w:val="28"/>
          <w:lang w:val="uk-UA" w:eastAsia="ru-RU"/>
        </w:rPr>
        <w:t>ВИСНОВКИ</w:t>
      </w:r>
    </w:p>
    <w:p w:rsidR="00A64D73" w:rsidRDefault="00A64D73" w:rsidP="00A64D73">
      <w:pPr>
        <w:widowControl w:val="0"/>
        <w:spacing w:after="0" w:line="360" w:lineRule="exact"/>
        <w:ind w:firstLine="709"/>
        <w:jc w:val="both"/>
        <w:rPr>
          <w:rFonts w:ascii="Times New Roman" w:hAnsi="Times New Roman"/>
          <w:spacing w:val="-4"/>
          <w:sz w:val="28"/>
          <w:szCs w:val="28"/>
          <w:lang w:val="uk-UA"/>
        </w:rPr>
      </w:pPr>
      <w:r>
        <w:rPr>
          <w:rFonts w:ascii="Times New Roman" w:hAnsi="Times New Roman"/>
          <w:spacing w:val="-4"/>
          <w:sz w:val="28"/>
          <w:szCs w:val="28"/>
          <w:lang w:val="uk-UA"/>
        </w:rPr>
        <w:t xml:space="preserve">У дисертаційній </w:t>
      </w:r>
      <w:r>
        <w:rPr>
          <w:rFonts w:ascii="Times New Roman" w:hAnsi="Times New Roman"/>
          <w:sz w:val="28"/>
          <w:szCs w:val="28"/>
          <w:lang w:val="uk-UA"/>
        </w:rPr>
        <w:t>роботі наведено теоретичне узагальнення і нове вирішення актуальної наукової задачі, що полягає у</w:t>
      </w:r>
      <w:r>
        <w:rPr>
          <w:rFonts w:ascii="Times New Roman" w:hAnsi="Times New Roman"/>
          <w:spacing w:val="-4"/>
          <w:sz w:val="28"/>
          <w:szCs w:val="28"/>
          <w:lang w:val="uk-UA"/>
        </w:rPr>
        <w:t xml:space="preserve"> вивченні особливостей перебігу ХГС у хворих, які не відповіли на противірусну терапію, характер змін біохімічних показників активності запального процесу та ступінь фібротичних змін в печінці. З залученням широкого комплексу біохімічних, імуноферментних, інструментальних і морфологічних методів встановлено діагностичну цінність матриксної металопротеїнази-2 в сироватці крові для визначення ступеня фіброзу та вирішено завдання патогенетичного лікування шляхом удосконалення діагностики та фармакологічної корекції.</w:t>
      </w:r>
    </w:p>
    <w:p w:rsidR="00A64D73" w:rsidRDefault="00A64D73" w:rsidP="00A64D73">
      <w:pPr>
        <w:widowControl w:val="0"/>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1. Проведене дослідження встановило, що серед обстежених хворих на ХГС з 1-м генотипом вірусу у 40 % пацієнтів спостерігалась відсутність відповіді на проведену противірусну терапію на кінець 12 тижня лікування. Серед хворих нон-респондерів переважали особи в віці старше 40 років </w:t>
      </w:r>
      <w:r>
        <w:rPr>
          <w:rFonts w:ascii="Times New Roman" w:hAnsi="Times New Roman"/>
          <w:sz w:val="28"/>
          <w:szCs w:val="28"/>
          <w:lang w:val="uk-UA"/>
        </w:rPr>
        <w:br/>
        <w:t xml:space="preserve">(60,71 %) та тривалістю хвороби більше 5 років (69,05 %). Окрім того, хворі нон-респондери мали індекс маси тіла та високе вірусне навантаження в 1,3 рази </w:t>
      </w:r>
      <w:r>
        <w:rPr>
          <w:rFonts w:ascii="Times New Roman" w:hAnsi="Times New Roman"/>
          <w:sz w:val="28"/>
          <w:szCs w:val="28"/>
          <w:lang w:val="uk-UA"/>
        </w:rPr>
        <w:lastRenderedPageBreak/>
        <w:t>більші порівняно з хворими респондерами.</w:t>
      </w:r>
    </w:p>
    <w:p w:rsidR="00A64D73" w:rsidRDefault="00A64D73" w:rsidP="00A64D73">
      <w:pPr>
        <w:widowControl w:val="0"/>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2. Клінічний перебіг ХГС у хворих нон-респондерів супроводжувався переважанням жовтяниці та гепатомегалії у порівнянні з групою респондерів (відповідно, на 6,35 % та 12,3 %), крім того, в 6,4 та 3,9 рази частіше зустрічались особи з нормальним рівнем АлАт та АсАТ в сироватці крові. </w:t>
      </w:r>
      <w:r>
        <w:rPr>
          <w:rFonts w:ascii="Times New Roman" w:hAnsi="Times New Roman"/>
          <w:sz w:val="28"/>
          <w:szCs w:val="28"/>
          <w:lang w:val="uk-UA" w:eastAsia="uk-UA"/>
        </w:rPr>
        <w:t>Підвищені рівні ЛФ та ГГТ в 4 рази частіше виявлялись в групі хворих нон-респондерів.</w:t>
      </w:r>
    </w:p>
    <w:p w:rsidR="00A64D73" w:rsidRDefault="00A64D73" w:rsidP="00A64D73">
      <w:pPr>
        <w:spacing w:after="0" w:line="360" w:lineRule="exact"/>
        <w:ind w:firstLine="709"/>
        <w:jc w:val="both"/>
        <w:rPr>
          <w:rFonts w:ascii="Times New Roman" w:hAnsi="Times New Roman"/>
          <w:lang w:val="uk-UA"/>
        </w:rPr>
      </w:pPr>
      <w:r>
        <w:rPr>
          <w:rFonts w:ascii="Times New Roman" w:hAnsi="Times New Roman"/>
          <w:sz w:val="28"/>
          <w:szCs w:val="28"/>
          <w:lang w:val="uk-UA"/>
        </w:rPr>
        <w:t xml:space="preserve">3. Морфологічне дослідження біоптатів печінки хворих на ХГС виявило гістологічні ознаки, характерні для HCV-інфекції: </w:t>
      </w:r>
      <w:r>
        <w:rPr>
          <w:rFonts w:ascii="Times New Roman" w:hAnsi="Times New Roman"/>
          <w:spacing w:val="-4"/>
          <w:sz w:val="28"/>
          <w:szCs w:val="28"/>
          <w:lang w:val="uk-UA"/>
        </w:rPr>
        <w:t>некрозодистрофічні, запальні та фібропластичні.</w:t>
      </w:r>
      <w:r>
        <w:rPr>
          <w:rFonts w:ascii="Times New Roman" w:hAnsi="Times New Roman"/>
          <w:sz w:val="28"/>
          <w:szCs w:val="28"/>
          <w:lang w:val="uk-UA"/>
        </w:rPr>
        <w:t xml:space="preserve"> Характерним була лімфоцитарно-макрофагальна інфільтрація портальних трактів, утворення тілець Каунсильмена, поява кілінгових некрозів. В той же час серед хворих нон-респондерів була виявлена достовірно більша кількість осіб зі значними запальними змінами в печінці (89,3 %) та вираженим фіброзом (60,7 %), більше половини пацієнтів нон-респондерів при гістохімічному дослідженні за реакцією Перлса мали ознаки вираженого гемосидерозу III- IV ступенів.</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z w:val="28"/>
          <w:szCs w:val="28"/>
          <w:lang w:val="uk-UA"/>
        </w:rPr>
        <w:t xml:space="preserve">4. В залежності від ступеня фіброзу (F2, F3 і F4) рівень ММП-2 в сироватці крові хворих достовірно зростав, відповідно, від 1,78 до 2,90 і 4,32 рази. Таким чином, вміст ММП-2 в сироватці крові хворих на ХГС об’єктивно віддзеркалює ступінь фібротичних змін в тканині печінки. </w:t>
      </w:r>
    </w:p>
    <w:p w:rsidR="00A64D73" w:rsidRDefault="00A64D73" w:rsidP="00A64D73">
      <w:pPr>
        <w:spacing w:after="0" w:line="360" w:lineRule="exact"/>
        <w:ind w:firstLine="709"/>
        <w:jc w:val="both"/>
        <w:rPr>
          <w:rFonts w:ascii="Times New Roman" w:hAnsi="Times New Roman"/>
          <w:sz w:val="28"/>
          <w:szCs w:val="28"/>
          <w:lang w:val="uk-UA"/>
        </w:rPr>
      </w:pPr>
      <w:r>
        <w:rPr>
          <w:rFonts w:ascii="Times New Roman" w:hAnsi="Times New Roman"/>
          <w:spacing w:val="-4"/>
          <w:sz w:val="28"/>
          <w:szCs w:val="28"/>
          <w:lang w:val="uk-UA"/>
        </w:rPr>
        <w:t xml:space="preserve">5. Комплексна фармакотерапія хворих на ХГС нон-респондерів з застосу-ванням </w:t>
      </w:r>
      <w:r>
        <w:rPr>
          <w:rFonts w:ascii="Times New Roman" w:hAnsi="Times New Roman"/>
          <w:sz w:val="28"/>
          <w:szCs w:val="28"/>
          <w:lang w:val="uk-UA"/>
        </w:rPr>
        <w:t xml:space="preserve">гепатопротекторної та антифібротичної терапії </w:t>
      </w:r>
      <w:r>
        <w:rPr>
          <w:rFonts w:ascii="Times New Roman" w:hAnsi="Times New Roman"/>
          <w:spacing w:val="-4"/>
          <w:sz w:val="28"/>
          <w:szCs w:val="28"/>
          <w:lang w:val="uk-UA"/>
        </w:rPr>
        <w:t>дозволила протягом 52-тижневого терміну досягти</w:t>
      </w:r>
      <w:r>
        <w:rPr>
          <w:rFonts w:ascii="Times New Roman" w:hAnsi="Times New Roman"/>
          <w:sz w:val="28"/>
          <w:szCs w:val="28"/>
          <w:lang w:val="uk-UA"/>
        </w:rPr>
        <w:t xml:space="preserve"> покращення клінічних та лабораторних проявів захворювання (зниження рівня лактатдегідрогенази, лужної фосфатази та гамаглутамілтрансферази в 1,5, 1,3 та 1,6 рази відповідно) порівняно з початком лікування. Крім того, відбувалося вірогідне зниження рівня ММП-2 в сироватці крові в 1,2-1,3 рази, що може вказувати на уповільнення фіброзоутворення та покращення гістологічної картини в печінці. </w:t>
      </w:r>
    </w:p>
    <w:p w:rsidR="00A64D73" w:rsidRDefault="00A64D73" w:rsidP="00A64D73">
      <w:pPr>
        <w:spacing w:after="0" w:line="360" w:lineRule="exact"/>
        <w:ind w:firstLine="709"/>
        <w:jc w:val="both"/>
        <w:rPr>
          <w:rFonts w:ascii="Times New Roman" w:hAnsi="Times New Roman"/>
          <w:spacing w:val="-4"/>
          <w:szCs w:val="28"/>
          <w:lang w:val="uk-UA"/>
        </w:rPr>
      </w:pPr>
      <w:r>
        <w:rPr>
          <w:rFonts w:ascii="Times New Roman" w:hAnsi="Times New Roman"/>
          <w:spacing w:val="-4"/>
          <w:sz w:val="28"/>
          <w:szCs w:val="28"/>
          <w:lang w:val="uk-UA"/>
        </w:rPr>
        <w:t xml:space="preserve">6. Дослідження ефективності комбінованої фармакотерапії за когортним профільним аналізом показало істотну перевагу лікування із застосуванням гепатопротекторної та антифібротичної терапії, що призвело до достовірного зниження показників холестазу та цитолізу (WL=0,85649 р=0,0178) за рахунок змін рівнів білірубіну і ЛДГ (F=4,32 p=0,042; F=5,61 p=0,021), а також показника циротичних змін - ММП-2 (WL=0,9253 р=0,0269), що було достовірно виразнішим у пацієнтів з підвищеною вагою тіла (WL=0,9475 р=0,0490). </w:t>
      </w:r>
    </w:p>
    <w:p w:rsidR="00A64D73" w:rsidRDefault="00A64D73" w:rsidP="00A64D73">
      <w:pPr>
        <w:pStyle w:val="af4"/>
        <w:spacing w:after="0" w:line="360" w:lineRule="exact"/>
        <w:jc w:val="center"/>
        <w:rPr>
          <w:b/>
          <w:color w:val="000000"/>
          <w:szCs w:val="28"/>
          <w:lang w:val="en-US"/>
        </w:rPr>
      </w:pPr>
    </w:p>
    <w:p w:rsidR="00A64D73" w:rsidRDefault="00A64D73" w:rsidP="00A64D73">
      <w:pPr>
        <w:pStyle w:val="af4"/>
        <w:spacing w:after="0" w:line="360" w:lineRule="exact"/>
        <w:jc w:val="center"/>
        <w:rPr>
          <w:b/>
          <w:color w:val="000000"/>
          <w:szCs w:val="28"/>
          <w:lang w:val="uk-UA"/>
        </w:rPr>
      </w:pPr>
      <w:r>
        <w:rPr>
          <w:b/>
          <w:color w:val="000000"/>
          <w:szCs w:val="28"/>
          <w:lang w:val="uk-UA"/>
        </w:rPr>
        <w:t>ПРАКТИЧНІ РЕКОМЕНДАЦІЇ</w:t>
      </w:r>
    </w:p>
    <w:p w:rsidR="00A64D73" w:rsidRDefault="00A64D73" w:rsidP="00A12470">
      <w:pPr>
        <w:pStyle w:val="af4"/>
        <w:numPr>
          <w:ilvl w:val="0"/>
          <w:numId w:val="40"/>
        </w:numPr>
        <w:suppressAutoHyphens w:val="0"/>
        <w:spacing w:after="0" w:line="360" w:lineRule="exact"/>
        <w:ind w:left="0" w:firstLine="709"/>
        <w:jc w:val="both"/>
        <w:rPr>
          <w:szCs w:val="28"/>
          <w:lang w:val="uk-UA"/>
        </w:rPr>
      </w:pPr>
      <w:r>
        <w:rPr>
          <w:szCs w:val="28"/>
          <w:lang w:val="uk-UA"/>
        </w:rPr>
        <w:t xml:space="preserve">В практичній діяльності лікаря-інфекціоніста та гастроентеролога слід враховувати, що підвищений індекс маси тіла пацієнтів, хворих на ХГС, вік понад 40 років, тривалість захворювання більше 5 років, високе вірусне навантаження, </w:t>
      </w:r>
      <w:r>
        <w:rPr>
          <w:szCs w:val="28"/>
          <w:lang w:val="uk-UA"/>
        </w:rPr>
        <w:lastRenderedPageBreak/>
        <w:t>незмінені рівні активності ферментів цитолізу, наявність високої активності та виражених фібротичних змін в тканині печінки можуть бути предикторами неефективності комбінованої противірусної терапії.</w:t>
      </w:r>
    </w:p>
    <w:p w:rsidR="00A64D73" w:rsidRDefault="00A64D73" w:rsidP="00A12470">
      <w:pPr>
        <w:pStyle w:val="af4"/>
        <w:numPr>
          <w:ilvl w:val="0"/>
          <w:numId w:val="40"/>
        </w:numPr>
        <w:suppressAutoHyphens w:val="0"/>
        <w:spacing w:after="0" w:line="360" w:lineRule="exact"/>
        <w:ind w:left="0" w:firstLine="709"/>
        <w:jc w:val="both"/>
        <w:rPr>
          <w:szCs w:val="28"/>
          <w:lang w:val="uk-UA"/>
        </w:rPr>
      </w:pPr>
      <w:r>
        <w:rPr>
          <w:szCs w:val="28"/>
          <w:lang w:val="uk-UA"/>
        </w:rPr>
        <w:t xml:space="preserve">Підвищений вміст ММП-2 в сироватці крові хворих на ХГС є фактором, котрий ускладнює перебіг захворювання та зменшує ефективність фармакотерапії. Комплекс лабораторних тестів для оцінки стану фібротичних змін в печінці повинен включати визначення рівня ММП-2 в якості сироваткового маркеру фіброзу. </w:t>
      </w:r>
    </w:p>
    <w:p w:rsidR="00A64D73" w:rsidRDefault="00A64D73" w:rsidP="00A12470">
      <w:pPr>
        <w:pStyle w:val="af4"/>
        <w:numPr>
          <w:ilvl w:val="0"/>
          <w:numId w:val="40"/>
        </w:numPr>
        <w:suppressAutoHyphens w:val="0"/>
        <w:spacing w:after="0" w:line="360" w:lineRule="exact"/>
        <w:ind w:left="0" w:firstLine="709"/>
        <w:jc w:val="both"/>
        <w:rPr>
          <w:szCs w:val="28"/>
          <w:lang w:val="uk-UA"/>
        </w:rPr>
      </w:pPr>
      <w:r>
        <w:rPr>
          <w:szCs w:val="28"/>
          <w:lang w:val="uk-UA"/>
        </w:rPr>
        <w:t xml:space="preserve">Програма лікування хворих на ХГС при відсутності відповіді на противірусну терапію протягом 12 тижнів має включати застосування комбінованої гепатопротекторної та антифібротичної терапії впродовж 52 тижнів. В якості антифібротичного засобу може бути рекомендований препарат лозартан в дозі 50 мг., що призводить до вірогідного зниження рівня ММП-2 в сироватці крові внаслідок уповільнення фіброзування тканини печінці та покращення якості життя пацієнтів. </w:t>
      </w:r>
    </w:p>
    <w:p w:rsidR="00A64D73" w:rsidRDefault="00A64D73" w:rsidP="00A64D73">
      <w:pPr>
        <w:spacing w:after="0" w:line="360" w:lineRule="exact"/>
        <w:ind w:left="360"/>
        <w:jc w:val="center"/>
        <w:rPr>
          <w:rFonts w:ascii="Times New Roman" w:hAnsi="Times New Roman"/>
          <w:b/>
          <w:sz w:val="28"/>
          <w:szCs w:val="28"/>
          <w:lang w:val="uk-UA"/>
        </w:rPr>
      </w:pPr>
    </w:p>
    <w:p w:rsidR="00A64D73" w:rsidRDefault="00A64D73" w:rsidP="00A64D73">
      <w:pPr>
        <w:spacing w:after="0" w:line="360" w:lineRule="exact"/>
        <w:ind w:left="360"/>
        <w:jc w:val="center"/>
        <w:rPr>
          <w:rFonts w:ascii="Times New Roman" w:hAnsi="Times New Roman"/>
          <w:b/>
          <w:sz w:val="28"/>
          <w:szCs w:val="28"/>
          <w:lang w:val="uk-UA"/>
        </w:rPr>
      </w:pPr>
      <w:r>
        <w:rPr>
          <w:rFonts w:ascii="Times New Roman" w:hAnsi="Times New Roman"/>
          <w:b/>
          <w:sz w:val="28"/>
          <w:szCs w:val="28"/>
          <w:lang w:val="uk-UA"/>
        </w:rPr>
        <w:t>СПИСОК РОБІТ, ОПУБЛІКОВАНИХ ЗА ТЕМОЮ ДИСЕРТАЦІЇ</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pacing w:val="-4"/>
          <w:sz w:val="28"/>
          <w:szCs w:val="28"/>
          <w:lang w:val="uk-UA" w:eastAsia="ru-RU"/>
        </w:rPr>
        <w:t>Мороз Л. В. Особливості формування фіброзу печінки при хроніч-ному гепатиті С та методи його лікування / Л. В. Мороз, О. А. Оліпер // Вісник Вінницького національного медичного університету. - 2008. - №12(2). - С. 477-480 (</w:t>
      </w:r>
      <w:r>
        <w:rPr>
          <w:rFonts w:ascii="Times New Roman" w:hAnsi="Times New Roman"/>
          <w:i/>
          <w:spacing w:val="-4"/>
          <w:sz w:val="28"/>
          <w:szCs w:val="28"/>
          <w:lang w:val="uk-UA" w:eastAsia="ru-RU"/>
        </w:rPr>
        <w:t>Особистий внесок – дисертантом вивчені дані сучасної світової літератури, здійснено пошук літературних джерел. Підготовка роботи до друку</w:t>
      </w:r>
      <w:r>
        <w:rPr>
          <w:rFonts w:ascii="Times New Roman" w:hAnsi="Times New Roman"/>
          <w:spacing w:val="-4"/>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Рівень матриксної металопротеїнази-2 – сироватковий маркер фіброзу у хворих на хронічний гепатит С / Л. В. Мороз, О. А. Оліпер // Сучасні інфекції. - 2009. - №1. - С. 82-84 (</w:t>
      </w:r>
      <w:r>
        <w:rPr>
          <w:rFonts w:ascii="Times New Roman" w:hAnsi="Times New Roman"/>
          <w:i/>
          <w:sz w:val="28"/>
          <w:szCs w:val="28"/>
          <w:lang w:val="uk-UA" w:eastAsia="ru-RU"/>
        </w:rPr>
        <w:t>Особистий внесок – зібрання матеріалу щодо даної теми, часткове проведення дослідження на визначення матриксної металопротеїнази-2 в сироватці крові у 84 хворих на ХГС, статистичне опрацювання динаміки змін показника ММП-2, що показує ступінь фіброзу в печінці</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Оцінка антифібротичної дії лозартану при лікуванні хворих на хронічний гепатит С, які не відповіли на противірусну терапію / Л. В. Мороз, О. А. Оліпер // Сучасна гастроентерологія. - 2009. - №1(45). - С. 83-85 (</w:t>
      </w:r>
      <w:r>
        <w:rPr>
          <w:rFonts w:ascii="Times New Roman" w:hAnsi="Times New Roman"/>
          <w:i/>
          <w:sz w:val="28"/>
          <w:szCs w:val="28"/>
          <w:lang w:val="uk-UA" w:eastAsia="ru-RU"/>
        </w:rPr>
        <w:t>Особистий внесок – пошук літератури, опрацювання та узагальнення результатів антифібротичної дії препарату лозартану, підготовка статті до друку</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Гемосидероз печінки у хворих на хронічний гепатит С / // Л. В. Мороз, О. Ф. Турський, О. А. Оліпер, Д. П. Іпатова // Вісник морфології. - 2009. - №15(1). - С. 107-110 (</w:t>
      </w:r>
      <w:r>
        <w:rPr>
          <w:rFonts w:ascii="Times New Roman" w:hAnsi="Times New Roman"/>
          <w:i/>
          <w:sz w:val="28"/>
          <w:szCs w:val="28"/>
          <w:lang w:val="uk-UA" w:eastAsia="ru-RU"/>
        </w:rPr>
        <w:t>Особистий внесок – статистична обробка отриманих результатів. Підготовка роботи до друку</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Оліпер О. А. Досвід застосування комбінованої противірусної терапії у хворих на хронічний гепатит С / О. А. Оліпер // ХІІІ університетська (ХХХХІІІ вузівська) науково-практична конференція молодих вчених та фахівців: тези доп. – Вінниця, 2007. - С. 30-31.</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Досвід застосування комбінованої противірусної терапії у хворих на хронічний гепатит / Л. В. Мороз, О. А. Оліпер //Сучасні підходи до діагностики та лікування у клінічній інфектології : матеріали наук.-практ. конф. з участю міжнародних спеціалістів, 14 лист. 2007 г. – Харків, 2007. - С. 107-108. (</w:t>
      </w:r>
      <w:r>
        <w:rPr>
          <w:rFonts w:ascii="Times New Roman" w:hAnsi="Times New Roman"/>
          <w:i/>
          <w:sz w:val="28"/>
          <w:szCs w:val="28"/>
          <w:lang w:val="uk-UA" w:eastAsia="ru-RU"/>
        </w:rPr>
        <w:t>Особистий внесок –пошук літератури, опрацювання та узагальнення результатів комбінованої противірусної терапії, підготовка статті до друку</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Эффективность противовирусной терапии хронического гепатита С / Л. В. Мороз, Е. А. Олипер // Материалы четырнадцатой Российской гастроэнтерологической недели, 6-8 окт. 2008 г. – Москва, 2008. - С. 99. (</w:t>
      </w:r>
      <w:r>
        <w:rPr>
          <w:rFonts w:ascii="Times New Roman" w:hAnsi="Times New Roman"/>
          <w:i/>
          <w:sz w:val="28"/>
          <w:szCs w:val="28"/>
          <w:lang w:val="uk-UA" w:eastAsia="ru-RU"/>
        </w:rPr>
        <w:t>Особистий внесок – статистична обробка отриманих результатів. Підготовка роботи до друку</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Мороз Л. В. Клініко-лабораторна характеристика хворих на хронічний гепатит С, які не відповіли на противірусну терапію / Л. В. Мороз, О. А. Оліпер //Досягнення і проблеми клінічної інфектології : матеріали наук.-практ. конф., 21-22 тр. 2008 р. : тези доп. – Тернопіль, 2008. – С. 69-70. (</w:t>
      </w:r>
      <w:r>
        <w:rPr>
          <w:rFonts w:ascii="Times New Roman" w:hAnsi="Times New Roman"/>
          <w:i/>
          <w:sz w:val="28"/>
          <w:szCs w:val="28"/>
          <w:lang w:val="uk-UA" w:eastAsia="ru-RU"/>
        </w:rPr>
        <w:t>Особистий внесок – зібрання матеріалу по даній темі, опрацювання та узагальнення результатів комбінованої противірусної терапії, підготовка статті до друку</w:t>
      </w:r>
      <w:r>
        <w:rPr>
          <w:rFonts w:ascii="Times New Roman" w:hAnsi="Times New Roman"/>
          <w:sz w:val="28"/>
          <w:szCs w:val="28"/>
          <w:lang w:val="uk-UA" w:eastAsia="ru-RU"/>
        </w:rPr>
        <w:t>).</w:t>
      </w:r>
    </w:p>
    <w:p w:rsidR="00A64D73" w:rsidRDefault="00A64D73" w:rsidP="00A12470">
      <w:pPr>
        <w:numPr>
          <w:ilvl w:val="0"/>
          <w:numId w:val="42"/>
        </w:numPr>
        <w:tabs>
          <w:tab w:val="clear" w:pos="720"/>
        </w:tabs>
        <w:spacing w:after="0" w:line="360" w:lineRule="exact"/>
        <w:ind w:left="0" w:firstLine="709"/>
        <w:jc w:val="both"/>
        <w:rPr>
          <w:rFonts w:ascii="Times New Roman" w:hAnsi="Times New Roman"/>
          <w:spacing w:val="-4"/>
          <w:sz w:val="28"/>
          <w:szCs w:val="28"/>
          <w:lang w:val="uk-UA" w:eastAsia="ru-RU"/>
        </w:rPr>
      </w:pPr>
      <w:r>
        <w:rPr>
          <w:rFonts w:ascii="Times New Roman" w:hAnsi="Times New Roman"/>
          <w:spacing w:val="-4"/>
          <w:sz w:val="28"/>
          <w:szCs w:val="28"/>
          <w:lang w:val="uk-UA" w:eastAsia="ru-RU"/>
        </w:rPr>
        <w:t>Мороз Л. В. Оцінка антифібротичної дії лозартану при лікуванні хворих на хронічний гепатит С, які не відповіли на противірусну терапію / Л. В. Мороз, В. М. Дудник, О. А. Оліпер // Інфекційні хвороби у клінічній та епідеміологічній практиці : мат. наук.-практ. конф., 21-22 тр. 2009 р. : тези доп. – Львів, 2009. – С. 26-28. (</w:t>
      </w:r>
      <w:r>
        <w:rPr>
          <w:rFonts w:ascii="Times New Roman" w:hAnsi="Times New Roman"/>
          <w:i/>
          <w:spacing w:val="-4"/>
          <w:sz w:val="28"/>
          <w:szCs w:val="28"/>
          <w:lang w:val="uk-UA" w:eastAsia="ru-RU"/>
        </w:rPr>
        <w:t>Особистий внесок – пошук літератури, опрацювання та узагальнення результатів антифібротичної дії препарату лозартану</w:t>
      </w:r>
      <w:r>
        <w:rPr>
          <w:rFonts w:ascii="Times New Roman" w:hAnsi="Times New Roman"/>
          <w:spacing w:val="-4"/>
          <w:sz w:val="28"/>
          <w:szCs w:val="28"/>
          <w:lang w:val="uk-UA" w:eastAsia="ru-RU"/>
        </w:rPr>
        <w:t>).</w:t>
      </w:r>
    </w:p>
    <w:p w:rsidR="00A64D73" w:rsidRDefault="00A64D73" w:rsidP="00A64D73">
      <w:pPr>
        <w:pStyle w:val="15"/>
        <w:spacing w:line="360" w:lineRule="exact"/>
        <w:ind w:firstLine="0"/>
        <w:jc w:val="center"/>
      </w:pPr>
    </w:p>
    <w:p w:rsidR="00A64D73" w:rsidRDefault="00A64D73" w:rsidP="00A64D73">
      <w:pPr>
        <w:pStyle w:val="15"/>
        <w:spacing w:line="360" w:lineRule="exact"/>
        <w:ind w:firstLine="0"/>
        <w:jc w:val="center"/>
      </w:pPr>
      <w:r>
        <w:t>АНОТАЦІЯ</w:t>
      </w:r>
    </w:p>
    <w:p w:rsidR="00A64D73" w:rsidRDefault="00A64D73" w:rsidP="00A64D73">
      <w:pPr>
        <w:pStyle w:val="BodyTextIndent0"/>
        <w:spacing w:line="360" w:lineRule="exact"/>
        <w:ind w:left="0" w:firstLine="720"/>
        <w:jc w:val="both"/>
      </w:pPr>
      <w:r>
        <w:rPr>
          <w:b/>
        </w:rPr>
        <w:t>Оліпер О.А. Клініко-морфологічні особливості перебігу хронічного гепатиту С у нон-респондерів та методи його медикаментозної корекції.</w:t>
      </w:r>
      <w:r>
        <w:t xml:space="preserve"> – Рукопис.</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Дисертація на здобуття наукового ступеня кандидата медичних наук за спеціальністю 14.01.13 – інфекційні хвороби. – ДУ «Інститут епідеміології та інфекційних хвороб ім. Л.В. Громашевського АМН України», Київ, 2009.</w:t>
      </w:r>
    </w:p>
    <w:p w:rsidR="00A64D73" w:rsidRDefault="00A64D73" w:rsidP="00A64D73">
      <w:pPr>
        <w:spacing w:after="0" w:line="360" w:lineRule="exact"/>
        <w:ind w:firstLine="720"/>
        <w:jc w:val="both"/>
        <w:rPr>
          <w:rFonts w:ascii="Times New Roman" w:hAnsi="Times New Roman"/>
          <w:spacing w:val="-4"/>
          <w:sz w:val="28"/>
          <w:szCs w:val="28"/>
          <w:lang w:val="uk-UA"/>
        </w:rPr>
      </w:pPr>
      <w:r>
        <w:rPr>
          <w:rFonts w:ascii="Times New Roman" w:hAnsi="Times New Roman"/>
          <w:spacing w:val="-4"/>
          <w:sz w:val="28"/>
          <w:szCs w:val="28"/>
          <w:lang w:val="uk-UA"/>
        </w:rPr>
        <w:t>В дисертації проведена оцінка особливостей клінічного перебігу у хворих</w:t>
      </w:r>
      <w:r>
        <w:rPr>
          <w:spacing w:val="-4"/>
          <w:lang w:val="uk-UA"/>
        </w:rPr>
        <w:t xml:space="preserve"> </w:t>
      </w:r>
      <w:r>
        <w:rPr>
          <w:rFonts w:ascii="Times New Roman" w:hAnsi="Times New Roman"/>
          <w:spacing w:val="-4"/>
          <w:sz w:val="28"/>
          <w:szCs w:val="28"/>
          <w:lang w:val="uk-UA"/>
        </w:rPr>
        <w:t xml:space="preserve">ХГС з 1в генотипом, які не відповіли на противірусну терапію. Визначено ступінь фібротичних змін у хворих нон-респондерів та досліджено в їх сироватці крові </w:t>
      </w:r>
      <w:r>
        <w:rPr>
          <w:rFonts w:ascii="Times New Roman" w:hAnsi="Times New Roman"/>
          <w:spacing w:val="-4"/>
          <w:sz w:val="28"/>
          <w:szCs w:val="28"/>
          <w:lang w:val="uk-UA"/>
        </w:rPr>
        <w:lastRenderedPageBreak/>
        <w:t>вмісту матриксної-металопротеїнази-2. Доведена антифібротична дія антагоністу рецептора ангіотензину-ІІ лозартана.</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sz w:val="28"/>
          <w:szCs w:val="28"/>
          <w:lang w:val="uk-UA"/>
        </w:rPr>
        <w:t>Встановлено, що нон-респондери мали індекс маси тіла та високе вірусне навантаження в 1,3 рази більшe порівняно з хворими респондерами.</w:t>
      </w:r>
    </w:p>
    <w:p w:rsidR="00A64D73" w:rsidRDefault="00A64D73" w:rsidP="00A64D73">
      <w:pPr>
        <w:spacing w:after="0" w:line="360" w:lineRule="exact"/>
        <w:ind w:firstLine="720"/>
        <w:jc w:val="both"/>
        <w:rPr>
          <w:rFonts w:ascii="Times New Roman" w:hAnsi="Times New Roman"/>
          <w:spacing w:val="-4"/>
          <w:lang w:val="uk-UA"/>
        </w:rPr>
      </w:pPr>
      <w:r>
        <w:rPr>
          <w:rFonts w:ascii="Times New Roman" w:hAnsi="Times New Roman"/>
          <w:spacing w:val="-4"/>
          <w:sz w:val="28"/>
          <w:szCs w:val="28"/>
          <w:lang w:val="uk-UA"/>
        </w:rPr>
        <w:t>Виявлена достовірна більша кількість осіб нон-респондерів зі значними запальними змінами в печінці та вираженим фіброзом, які при гістохімічному дослідженні за реакцією Перлса мали ознаки вираженого гемосидерозу III- IV ступенів.</w:t>
      </w:r>
    </w:p>
    <w:p w:rsidR="00A64D73" w:rsidRDefault="00A64D73" w:rsidP="00A64D73">
      <w:pPr>
        <w:spacing w:after="0" w:line="360" w:lineRule="exact"/>
        <w:ind w:firstLine="720"/>
        <w:jc w:val="both"/>
        <w:rPr>
          <w:rFonts w:ascii="Times New Roman" w:hAnsi="Times New Roman"/>
          <w:b/>
          <w:sz w:val="28"/>
          <w:szCs w:val="28"/>
          <w:lang w:val="uk-UA"/>
        </w:rPr>
      </w:pPr>
      <w:r>
        <w:rPr>
          <w:rFonts w:ascii="Times New Roman" w:hAnsi="Times New Roman"/>
          <w:sz w:val="28"/>
          <w:szCs w:val="28"/>
          <w:lang w:val="uk-UA"/>
        </w:rPr>
        <w:t>Встановлено, достовірне зростання в залежності від ступеня фіброзу рівня ММП-2 в сироватці крові хворих, які не відповіли на ПВТ.</w:t>
      </w:r>
      <w:r>
        <w:rPr>
          <w:lang w:val="uk-UA"/>
        </w:rPr>
        <w:t xml:space="preserve"> </w:t>
      </w:r>
    </w:p>
    <w:p w:rsidR="00A64D73" w:rsidRDefault="00A64D73" w:rsidP="00A64D73">
      <w:pPr>
        <w:tabs>
          <w:tab w:val="num" w:pos="0"/>
          <w:tab w:val="left" w:pos="765"/>
        </w:tabs>
        <w:spacing w:after="0" w:line="360" w:lineRule="exact"/>
        <w:ind w:firstLine="720"/>
        <w:jc w:val="both"/>
        <w:rPr>
          <w:rFonts w:ascii="Times New Roman" w:hAnsi="Times New Roman"/>
          <w:spacing w:val="-4"/>
          <w:sz w:val="28"/>
          <w:szCs w:val="28"/>
          <w:lang w:val="uk-UA"/>
        </w:rPr>
      </w:pPr>
      <w:r>
        <w:rPr>
          <w:rFonts w:ascii="Times New Roman" w:hAnsi="Times New Roman"/>
          <w:spacing w:val="-4"/>
          <w:sz w:val="28"/>
          <w:szCs w:val="28"/>
          <w:lang w:val="uk-UA"/>
        </w:rPr>
        <w:t xml:space="preserve">Показано істотну перевагу лікування із застосуванням гепатопротекторної та антифібротичної терапії, що призвело до достовірного зниження показників холестазу та цитолізу, особливо виразного у пацієнтів з підвищеною вагою тіла. </w:t>
      </w:r>
    </w:p>
    <w:p w:rsidR="00A64D73" w:rsidRDefault="00A64D73" w:rsidP="00A64D73">
      <w:pPr>
        <w:spacing w:after="0" w:line="360" w:lineRule="exact"/>
        <w:ind w:firstLine="720"/>
        <w:jc w:val="both"/>
        <w:rPr>
          <w:rFonts w:ascii="Times New Roman" w:hAnsi="Times New Roman"/>
          <w:sz w:val="28"/>
          <w:szCs w:val="28"/>
          <w:lang w:val="uk-UA"/>
        </w:rPr>
      </w:pPr>
      <w:r>
        <w:rPr>
          <w:rFonts w:ascii="Times New Roman" w:hAnsi="Times New Roman"/>
          <w:b/>
          <w:sz w:val="28"/>
          <w:szCs w:val="28"/>
          <w:lang w:val="uk-UA"/>
        </w:rPr>
        <w:t>Ключові слова:</w:t>
      </w:r>
      <w:r>
        <w:rPr>
          <w:rFonts w:ascii="Times New Roman" w:hAnsi="Times New Roman"/>
          <w:sz w:val="28"/>
          <w:szCs w:val="28"/>
          <w:lang w:val="uk-UA"/>
        </w:rPr>
        <w:t xml:space="preserve"> хронічний гепатит С, нон-респондери, матриксна металопротеїназа-2, фіброз, лозартан.</w:t>
      </w:r>
    </w:p>
    <w:p w:rsidR="00A64D73" w:rsidRDefault="00A64D73" w:rsidP="00A64D73">
      <w:pPr>
        <w:tabs>
          <w:tab w:val="num" w:pos="0"/>
          <w:tab w:val="left" w:pos="435"/>
        </w:tabs>
        <w:spacing w:after="0" w:line="360" w:lineRule="exact"/>
        <w:rPr>
          <w:rFonts w:ascii="Times New Roman" w:hAnsi="Times New Roman"/>
          <w:b/>
          <w:sz w:val="28"/>
          <w:szCs w:val="28"/>
          <w:lang w:val="uk-UA"/>
        </w:rPr>
      </w:pPr>
    </w:p>
    <w:p w:rsidR="00A64D73" w:rsidRDefault="00A64D73" w:rsidP="00A64D73">
      <w:pPr>
        <w:pStyle w:val="af8"/>
        <w:spacing w:line="360" w:lineRule="exact"/>
      </w:pPr>
      <w:r>
        <w:t>АННОТАЦИЯ</w:t>
      </w:r>
    </w:p>
    <w:p w:rsidR="00A64D73" w:rsidRDefault="00A64D73" w:rsidP="00A64D73">
      <w:pPr>
        <w:pStyle w:val="BodyTextIndent0"/>
        <w:spacing w:line="360" w:lineRule="exact"/>
        <w:ind w:left="0" w:firstLine="720"/>
        <w:jc w:val="both"/>
        <w:rPr>
          <w:lang w:val="ru-RU"/>
        </w:rPr>
      </w:pPr>
      <w:r>
        <w:rPr>
          <w:b/>
          <w:lang w:val="ru-RU"/>
        </w:rPr>
        <w:t>Олипер Е.А. Клинико-морфологические особенности течения хронического гепатита С у нон-респондеров и методы его медикаментозной коррекции.</w:t>
      </w:r>
      <w:r>
        <w:rPr>
          <w:lang w:val="ru-RU"/>
        </w:rPr>
        <w:t>– Рукопись.</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t xml:space="preserve">Диссертация на соискание ученой степени кандидата медицинских наук по специальности 14.01.13 – инфекционные болезни. – </w:t>
      </w:r>
      <w:r>
        <w:rPr>
          <w:rFonts w:ascii="Times New Roman" w:hAnsi="Times New Roman"/>
          <w:sz w:val="28"/>
          <w:szCs w:val="28"/>
          <w:lang w:val="uk-UA"/>
        </w:rPr>
        <w:t>ГУ «</w:t>
      </w:r>
      <w:r>
        <w:rPr>
          <w:rFonts w:ascii="Times New Roman" w:hAnsi="Times New Roman"/>
          <w:sz w:val="28"/>
          <w:szCs w:val="28"/>
        </w:rPr>
        <w:t>Институт эпидемиологии и инфекционных болезней им. Л.В. Громашевского АМН Украины</w:t>
      </w:r>
      <w:r>
        <w:rPr>
          <w:rFonts w:ascii="Times New Roman" w:hAnsi="Times New Roman"/>
          <w:sz w:val="28"/>
          <w:szCs w:val="28"/>
          <w:lang w:val="uk-UA"/>
        </w:rPr>
        <w:t>»</w:t>
      </w:r>
      <w:r>
        <w:rPr>
          <w:rFonts w:ascii="Times New Roman" w:hAnsi="Times New Roman"/>
          <w:sz w:val="28"/>
          <w:szCs w:val="28"/>
        </w:rPr>
        <w:t>, Киев, 2009.</w:t>
      </w:r>
    </w:p>
    <w:p w:rsidR="00A64D73" w:rsidRDefault="00A64D73" w:rsidP="00A64D73">
      <w:pPr>
        <w:spacing w:after="0" w:line="360" w:lineRule="exact"/>
        <w:ind w:firstLine="720"/>
        <w:jc w:val="both"/>
        <w:rPr>
          <w:rFonts w:ascii="Times New Roman" w:hAnsi="Times New Roman"/>
          <w:spacing w:val="-4"/>
          <w:sz w:val="28"/>
          <w:szCs w:val="28"/>
          <w:lang w:val="uk-UA"/>
        </w:rPr>
      </w:pPr>
      <w:r>
        <w:rPr>
          <w:rFonts w:ascii="Times New Roman" w:hAnsi="Times New Roman"/>
          <w:spacing w:val="-4"/>
          <w:sz w:val="28"/>
          <w:szCs w:val="28"/>
        </w:rPr>
        <w:t xml:space="preserve">В диссертационной работе представлены результаты клинического и лабораторного обследования 210 больных ХГС с 1в генотипом, которые получали ПВТ. </w:t>
      </w:r>
    </w:p>
    <w:p w:rsidR="00A64D73" w:rsidRDefault="00A64D73" w:rsidP="00A64D73">
      <w:pPr>
        <w:spacing w:after="0" w:line="360" w:lineRule="exact"/>
        <w:ind w:firstLine="720"/>
        <w:jc w:val="both"/>
        <w:rPr>
          <w:rFonts w:ascii="Times New Roman" w:hAnsi="Times New Roman"/>
          <w:spacing w:val="-4"/>
          <w:sz w:val="28"/>
          <w:szCs w:val="28"/>
        </w:rPr>
      </w:pPr>
      <w:r>
        <w:rPr>
          <w:rFonts w:ascii="Times New Roman" w:hAnsi="Times New Roman"/>
          <w:spacing w:val="-4"/>
          <w:sz w:val="28"/>
          <w:szCs w:val="28"/>
        </w:rPr>
        <w:t>Клиническая часть роботы включала изучение эпидемиологического анамнеза, физикального обследования больных, комплекса общеклинических, биохимических, иммунологических, молекулярно-биологических, инстру-ментальных и морфологических методов исследований.</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t>Выявлено, что у 40 % пациентов с ХГС, инфицированных 1-в генотипом вируса, наблюдалось отсутствие ответа на проведенную ПВТ на 12 неделе лечения. Среди нон-респондеров преобладают люди в возрасте старше 40 лет (60,71 %) и длительностью заболевания больше 5 лет (69,05 %).</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t>Установлено, что нон-респондеры имели высокий индекс массы тела и повышенную вирусную нагрузку в 1,3 раза больше в сравнении с больными респондерами.</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lastRenderedPageBreak/>
        <w:t>Наибольшее число пациентов в группах респондеров и нон-респондеров инфицировалась при различных парентеральных манипуляциях.</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t xml:space="preserve">Клиническое течение ХГС у больных нон-респондеров сопровождалось преобладанием желтухи и гепатомегалии в сравнении с группой больных респондеров. </w:t>
      </w:r>
    </w:p>
    <w:p w:rsidR="00A64D73" w:rsidRDefault="00A64D73" w:rsidP="00A64D73">
      <w:pPr>
        <w:spacing w:after="0" w:line="240" w:lineRule="auto"/>
        <w:ind w:firstLine="709"/>
        <w:jc w:val="both"/>
        <w:rPr>
          <w:rFonts w:ascii="Times New Roman" w:hAnsi="Times New Roman"/>
          <w:sz w:val="28"/>
          <w:szCs w:val="28"/>
        </w:rPr>
      </w:pPr>
      <w:r>
        <w:rPr>
          <w:rFonts w:ascii="Times New Roman" w:hAnsi="Times New Roman"/>
          <w:sz w:val="28"/>
          <w:szCs w:val="28"/>
        </w:rPr>
        <w:t>Показано достоверное, в зависимости от степени фиброза, увеличение уровня сывороточной ММП-2 у больных ХГС.</w:t>
      </w:r>
      <w:r>
        <w:t xml:space="preserve"> </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sz w:val="28"/>
          <w:szCs w:val="28"/>
        </w:rPr>
        <w:t xml:space="preserve">Морфологическое исследование биоптатов печени больных ХГС опре-делило гистологические признаки, которые характерны для HCV-инфекции, а именно, некрозодистрофические, воспалительные и фибропластические. </w:t>
      </w:r>
    </w:p>
    <w:p w:rsidR="00A64D73" w:rsidRDefault="00A64D73" w:rsidP="00A64D73">
      <w:pPr>
        <w:spacing w:after="0" w:line="360" w:lineRule="exact"/>
        <w:ind w:firstLine="720"/>
        <w:jc w:val="both"/>
        <w:rPr>
          <w:rFonts w:ascii="Times New Roman" w:hAnsi="Times New Roman"/>
          <w:b/>
          <w:sz w:val="28"/>
          <w:szCs w:val="28"/>
        </w:rPr>
      </w:pPr>
      <w:r>
        <w:rPr>
          <w:rFonts w:ascii="Times New Roman" w:hAnsi="Times New Roman"/>
          <w:sz w:val="28"/>
          <w:szCs w:val="28"/>
        </w:rPr>
        <w:t xml:space="preserve">Выявлено достоверно большее количество пациентов с ХГС нон-респондеров со значительными некровоспалительными изменениями в ткани печени, гемосидерозом III- IV степени и выраженным фиброзом. </w:t>
      </w:r>
    </w:p>
    <w:p w:rsidR="00A64D73" w:rsidRDefault="00A64D73" w:rsidP="00A64D73">
      <w:pPr>
        <w:spacing w:after="0" w:line="360" w:lineRule="exact"/>
        <w:ind w:firstLine="709"/>
        <w:jc w:val="both"/>
        <w:rPr>
          <w:rFonts w:ascii="Times New Roman" w:hAnsi="Times New Roman"/>
          <w:sz w:val="28"/>
          <w:szCs w:val="28"/>
        </w:rPr>
      </w:pPr>
      <w:r>
        <w:rPr>
          <w:rFonts w:ascii="Times New Roman" w:hAnsi="Times New Roman"/>
          <w:sz w:val="28"/>
          <w:szCs w:val="28"/>
        </w:rPr>
        <w:t>Установлена эффективность комбинированной гепатопротекторной и антифибротической терапии с применением рецептора ангиотензина-ІІ лозартана</w:t>
      </w:r>
      <w:r>
        <w:rPr>
          <w:rFonts w:ascii="Times New Roman" w:hAnsi="Times New Roman"/>
          <w:sz w:val="28"/>
          <w:szCs w:val="28"/>
          <w:lang w:val="uk-UA"/>
        </w:rPr>
        <w:t>,</w:t>
      </w:r>
      <w:r>
        <w:rPr>
          <w:rFonts w:ascii="Times New Roman" w:hAnsi="Times New Roman"/>
          <w:sz w:val="28"/>
          <w:szCs w:val="28"/>
        </w:rPr>
        <w:t xml:space="preserve"> что приводит к достоверному снижению показателей холестаза, цитолиза при 52-х недельном курсе терапии, особенно у пациентов с повышенной массой тела.</w:t>
      </w:r>
    </w:p>
    <w:p w:rsidR="00A64D73" w:rsidRDefault="00A64D73" w:rsidP="00A64D73">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группе больных, которые получали только гепатопротекторную терапию, фиксировалось увеличение уровня ММП-2 в сыворотке крови на протяжении 52 недель терапии при всех стадиях фиброза печени в 1,1 раза по сравнению с началом лечения. </w:t>
      </w:r>
    </w:p>
    <w:p w:rsidR="00A64D73" w:rsidRDefault="00A64D73" w:rsidP="00A64D73">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Противоположная картина отмечалась в группе больных, получавших лозартан. В целом  снижение уровня ММП-2 в сыворотке крови наблюдалось в 1,2-1,3 раза. Уровень ММП-2 был достоверно ниже </w:t>
      </w:r>
      <w:r>
        <w:rPr>
          <w:rFonts w:ascii="Times New Roman" w:hAnsi="Times New Roman"/>
          <w:sz w:val="28"/>
          <w:szCs w:val="28"/>
          <w:lang w:val="uk-UA"/>
        </w:rPr>
        <w:t>в</w:t>
      </w:r>
      <w:r>
        <w:rPr>
          <w:rFonts w:ascii="Times New Roman" w:hAnsi="Times New Roman"/>
          <w:sz w:val="28"/>
          <w:szCs w:val="28"/>
        </w:rPr>
        <w:t xml:space="preserve"> группе больных, получавших лозартан, по сравнению с пациентами, лечение которых проводилось только гепатопротекторами, при всех стадиях фиброза.</w:t>
      </w:r>
    </w:p>
    <w:p w:rsidR="00A64D73" w:rsidRDefault="00A64D73" w:rsidP="00A64D73">
      <w:pPr>
        <w:spacing w:after="0" w:line="360" w:lineRule="exact"/>
        <w:ind w:firstLine="720"/>
        <w:jc w:val="both"/>
        <w:rPr>
          <w:rFonts w:ascii="Times New Roman" w:hAnsi="Times New Roman"/>
          <w:sz w:val="28"/>
          <w:szCs w:val="28"/>
        </w:rPr>
      </w:pPr>
      <w:r>
        <w:rPr>
          <w:rFonts w:ascii="Times New Roman" w:hAnsi="Times New Roman"/>
          <w:b/>
          <w:sz w:val="28"/>
          <w:szCs w:val="28"/>
        </w:rPr>
        <w:t xml:space="preserve">Ключевые слова: </w:t>
      </w:r>
      <w:r>
        <w:rPr>
          <w:rFonts w:ascii="Times New Roman" w:hAnsi="Times New Roman"/>
          <w:sz w:val="28"/>
          <w:szCs w:val="28"/>
        </w:rPr>
        <w:t>хронический гепатит С, нон-респондеры, матриксная металлопротеиназа-2, фиброз, лозартан.</w:t>
      </w:r>
    </w:p>
    <w:p w:rsidR="00A64D73" w:rsidRDefault="00A64D73" w:rsidP="00A64D73">
      <w:pPr>
        <w:tabs>
          <w:tab w:val="num" w:pos="0"/>
          <w:tab w:val="left" w:pos="435"/>
        </w:tabs>
        <w:spacing w:after="0" w:line="360" w:lineRule="exact"/>
        <w:rPr>
          <w:rFonts w:ascii="Times New Roman" w:hAnsi="Times New Roman"/>
          <w:b/>
          <w:sz w:val="28"/>
          <w:szCs w:val="28"/>
        </w:rPr>
      </w:pPr>
    </w:p>
    <w:p w:rsidR="00A64D73" w:rsidRDefault="00A64D73" w:rsidP="00A64D73">
      <w:pPr>
        <w:adjustRightInd w:val="0"/>
        <w:spacing w:after="0" w:line="360" w:lineRule="exact"/>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t>summary</w:t>
      </w:r>
    </w:p>
    <w:p w:rsidR="00A64D73" w:rsidRDefault="00A64D73" w:rsidP="00A64D73">
      <w:pPr>
        <w:adjustRightInd w:val="0"/>
        <w:spacing w:after="0"/>
        <w:ind w:firstLine="708"/>
        <w:jc w:val="both"/>
        <w:rPr>
          <w:rFonts w:ascii="Times New Roman" w:hAnsi="Times New Roman"/>
          <w:color w:val="000000"/>
          <w:sz w:val="28"/>
          <w:szCs w:val="28"/>
          <w:lang w:val="uk-UA"/>
        </w:rPr>
      </w:pPr>
      <w:r>
        <w:rPr>
          <w:rFonts w:ascii="Times New Roman" w:hAnsi="Times New Roman"/>
          <w:b/>
          <w:caps/>
          <w:color w:val="000000"/>
          <w:sz w:val="28"/>
          <w:szCs w:val="28"/>
          <w:lang w:val="uk-UA"/>
        </w:rPr>
        <w:t xml:space="preserve">Oliper O.A. </w:t>
      </w:r>
      <w:r>
        <w:rPr>
          <w:rFonts w:ascii="Times New Roman" w:hAnsi="Times New Roman"/>
          <w:b/>
          <w:sz w:val="28"/>
          <w:szCs w:val="28"/>
          <w:lang w:val="en-GB"/>
        </w:rPr>
        <w:t>Clinical and morphological features of chronic hepatitis C in non-respondents and methods of its drug treatment.</w:t>
      </w:r>
      <w:r>
        <w:rPr>
          <w:rFonts w:ascii="Times New Roman" w:hAnsi="Times New Roman"/>
          <w:color w:val="000000"/>
          <w:sz w:val="28"/>
          <w:szCs w:val="28"/>
          <w:lang w:val="en-US"/>
        </w:rPr>
        <w:t>-</w:t>
      </w:r>
      <w:r>
        <w:rPr>
          <w:rFonts w:ascii="Times New Roman" w:hAnsi="Times New Roman"/>
          <w:color w:val="000000"/>
          <w:sz w:val="28"/>
          <w:szCs w:val="28"/>
          <w:lang w:val="uk-UA"/>
        </w:rPr>
        <w:t>The Manuscript.</w:t>
      </w:r>
    </w:p>
    <w:p w:rsidR="00A64D73" w:rsidRDefault="00A64D73" w:rsidP="00A64D73">
      <w:pPr>
        <w:adjustRightInd w:val="0"/>
        <w:spacing w:after="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The thesis on the competition of the scientific degree of candidate of the medical sciences on specialty 14.01.13 – Infectious Diseases. Institute of Epidemiology and Infectious Diseases named after L.V. Gromashevskiy of Academy of Medical </w:t>
      </w:r>
      <w:r>
        <w:rPr>
          <w:rFonts w:ascii="Times New Roman" w:hAnsi="Times New Roman"/>
          <w:caps/>
          <w:color w:val="000000"/>
          <w:sz w:val="28"/>
          <w:szCs w:val="28"/>
          <w:lang w:val="uk-UA"/>
        </w:rPr>
        <w:t>s</w:t>
      </w:r>
      <w:r>
        <w:rPr>
          <w:rFonts w:ascii="Times New Roman" w:hAnsi="Times New Roman"/>
          <w:color w:val="000000"/>
          <w:sz w:val="28"/>
          <w:szCs w:val="28"/>
          <w:lang w:val="uk-UA"/>
        </w:rPr>
        <w:t>ciences of Ukraine, Kiev, 2009.</w:t>
      </w:r>
    </w:p>
    <w:p w:rsidR="00A64D73" w:rsidRDefault="00A64D73" w:rsidP="00A64D73">
      <w:pPr>
        <w:spacing w:after="0"/>
        <w:ind w:firstLine="708"/>
        <w:jc w:val="both"/>
        <w:rPr>
          <w:rFonts w:ascii="Times New Roman" w:hAnsi="Times New Roman"/>
          <w:sz w:val="28"/>
          <w:szCs w:val="28"/>
          <w:lang w:val="en-GB"/>
        </w:rPr>
      </w:pPr>
      <w:r>
        <w:rPr>
          <w:rFonts w:ascii="Times New Roman" w:hAnsi="Times New Roman"/>
          <w:sz w:val="28"/>
          <w:szCs w:val="28"/>
          <w:lang w:val="en-GB"/>
        </w:rPr>
        <w:t>The thesis is dedicated to evaluation of clinical course peculiarities in HCV patients with genotype 1b who did not respond to antiviral therapy. Degree of antifibrotic changes in non-respondents has been defined and matrix-</w:t>
      </w:r>
      <w:r>
        <w:rPr>
          <w:rFonts w:ascii="Times New Roman" w:hAnsi="Times New Roman"/>
          <w:sz w:val="28"/>
          <w:szCs w:val="28"/>
          <w:lang w:val="en-GB"/>
        </w:rPr>
        <w:lastRenderedPageBreak/>
        <w:t>metalloprotainase-2 contents in patients’ blood serum investigated. Antifibrotic effect of losartan which is an antagonist of angiotensin-</w:t>
      </w:r>
      <w:r>
        <w:rPr>
          <w:rFonts w:ascii="Times New Roman" w:hAnsi="Times New Roman"/>
          <w:sz w:val="28"/>
          <w:szCs w:val="28"/>
          <w:lang w:val="uk-UA"/>
        </w:rPr>
        <w:t>ІІ</w:t>
      </w:r>
      <w:r>
        <w:rPr>
          <w:rFonts w:ascii="Times New Roman" w:hAnsi="Times New Roman"/>
          <w:sz w:val="28"/>
          <w:szCs w:val="28"/>
          <w:lang w:val="en-GB"/>
        </w:rPr>
        <w:t xml:space="preserve"> receptor has been proved.</w:t>
      </w:r>
    </w:p>
    <w:p w:rsidR="00A64D73" w:rsidRDefault="00A64D73" w:rsidP="00A64D73">
      <w:pPr>
        <w:spacing w:after="0"/>
        <w:ind w:firstLine="708"/>
        <w:jc w:val="both"/>
        <w:rPr>
          <w:rFonts w:ascii="Times New Roman" w:hAnsi="Times New Roman"/>
          <w:sz w:val="28"/>
          <w:szCs w:val="28"/>
          <w:lang w:val="en-GB"/>
        </w:rPr>
      </w:pPr>
      <w:r>
        <w:rPr>
          <w:rFonts w:ascii="Times New Roman" w:hAnsi="Times New Roman"/>
          <w:sz w:val="28"/>
          <w:szCs w:val="28"/>
          <w:lang w:val="en-GB"/>
        </w:rPr>
        <w:t>It was determined that non-respondents had 1.3 times higher body weight index and high viral load in comparison with sick patients.</w:t>
      </w:r>
    </w:p>
    <w:p w:rsidR="00A64D73" w:rsidRDefault="00A64D73" w:rsidP="00A64D73">
      <w:pPr>
        <w:spacing w:after="0"/>
        <w:ind w:firstLine="708"/>
        <w:jc w:val="both"/>
        <w:rPr>
          <w:rFonts w:ascii="Times New Roman" w:hAnsi="Times New Roman"/>
          <w:sz w:val="28"/>
          <w:szCs w:val="28"/>
          <w:lang w:val="en-GB"/>
        </w:rPr>
      </w:pPr>
      <w:r>
        <w:rPr>
          <w:rFonts w:ascii="Times New Roman" w:hAnsi="Times New Roman"/>
          <w:sz w:val="28"/>
          <w:szCs w:val="28"/>
          <w:lang w:val="en-GB"/>
        </w:rPr>
        <w:t>Serious inflammation changes in liver and strongly marked fibrosis have been found in non-respondents who showed the signs of  hemosiderosis of III-IV stages, which were revealed at histochemical investigation by Perls reaction.</w:t>
      </w:r>
    </w:p>
    <w:p w:rsidR="00A64D73" w:rsidRDefault="00A64D73" w:rsidP="00A64D73">
      <w:pPr>
        <w:tabs>
          <w:tab w:val="left" w:pos="720"/>
        </w:tabs>
        <w:spacing w:after="0"/>
        <w:ind w:firstLine="708"/>
        <w:jc w:val="both"/>
        <w:rPr>
          <w:rFonts w:ascii="Times New Roman" w:hAnsi="Times New Roman"/>
          <w:sz w:val="28"/>
          <w:szCs w:val="28"/>
          <w:lang w:val="en-GB"/>
        </w:rPr>
      </w:pPr>
      <w:r>
        <w:rPr>
          <w:rFonts w:ascii="Times New Roman" w:hAnsi="Times New Roman"/>
          <w:sz w:val="28"/>
          <w:szCs w:val="28"/>
          <w:lang w:val="en-GB"/>
        </w:rPr>
        <w:t>It was proved that valid MMP-2 increase in patients’ blood serum who didn’t respond to antiviral therapy depends on fibrosis level.</w:t>
      </w:r>
    </w:p>
    <w:p w:rsidR="00A64D73" w:rsidRDefault="00A64D73" w:rsidP="00A64D73">
      <w:pPr>
        <w:spacing w:after="0"/>
        <w:ind w:firstLine="708"/>
        <w:jc w:val="both"/>
        <w:rPr>
          <w:rFonts w:ascii="Times New Roman" w:hAnsi="Times New Roman"/>
          <w:sz w:val="28"/>
          <w:szCs w:val="28"/>
          <w:lang w:val="en-GB"/>
        </w:rPr>
      </w:pPr>
      <w:r>
        <w:rPr>
          <w:rFonts w:ascii="Times New Roman" w:hAnsi="Times New Roman"/>
          <w:sz w:val="28"/>
          <w:szCs w:val="28"/>
          <w:lang w:val="en-GB"/>
        </w:rPr>
        <w:t>The survey showed essential advantage of hepatoprotective and antifibrotic therapy in treatment of patients with high weight which led to substantial  decrease of cholestasis and cytolysis indexes.</w:t>
      </w:r>
    </w:p>
    <w:p w:rsidR="00A64D73" w:rsidRDefault="00A64D73" w:rsidP="00A64D73">
      <w:pPr>
        <w:ind w:firstLine="708"/>
        <w:jc w:val="both"/>
        <w:rPr>
          <w:rFonts w:ascii="Times New Roman" w:hAnsi="Times New Roman"/>
          <w:sz w:val="28"/>
          <w:szCs w:val="28"/>
          <w:lang w:val="en-GB"/>
        </w:rPr>
      </w:pPr>
      <w:r>
        <w:rPr>
          <w:rFonts w:ascii="Times New Roman" w:hAnsi="Times New Roman"/>
          <w:b/>
          <w:sz w:val="28"/>
          <w:szCs w:val="28"/>
          <w:lang w:val="en-GB"/>
        </w:rPr>
        <w:t>Key words</w:t>
      </w:r>
      <w:r>
        <w:rPr>
          <w:rFonts w:ascii="Times New Roman" w:hAnsi="Times New Roman"/>
          <w:b/>
          <w:i/>
          <w:sz w:val="28"/>
          <w:szCs w:val="28"/>
          <w:lang w:val="en-GB"/>
        </w:rPr>
        <w:t xml:space="preserve"> </w:t>
      </w:r>
      <w:r>
        <w:rPr>
          <w:rFonts w:ascii="Times New Roman" w:hAnsi="Times New Roman"/>
          <w:sz w:val="28"/>
          <w:szCs w:val="28"/>
          <w:lang w:val="en-GB"/>
        </w:rPr>
        <w:t>: chronic hepatitis C, non-respondent, matrix-metalloprotainase-2, fibrosis, losartan.</w:t>
      </w:r>
    </w:p>
    <w:p w:rsidR="00A64D73" w:rsidRDefault="00A64D73" w:rsidP="00A64D73">
      <w:pPr>
        <w:tabs>
          <w:tab w:val="num" w:pos="0"/>
          <w:tab w:val="left" w:pos="1860"/>
        </w:tabs>
        <w:spacing w:after="0" w:line="360" w:lineRule="exact"/>
        <w:rPr>
          <w:rFonts w:ascii="Times New Roman" w:hAnsi="Times New Roman"/>
          <w:b/>
          <w:sz w:val="28"/>
          <w:szCs w:val="28"/>
          <w:lang w:val="uk-UA"/>
        </w:rPr>
      </w:pPr>
    </w:p>
    <w:p w:rsidR="00A64D73" w:rsidRDefault="00A64D73" w:rsidP="00A64D73">
      <w:pPr>
        <w:tabs>
          <w:tab w:val="num" w:pos="0"/>
        </w:tabs>
        <w:spacing w:after="0" w:line="360" w:lineRule="exact"/>
        <w:jc w:val="center"/>
        <w:rPr>
          <w:rFonts w:ascii="Times New Roman" w:hAnsi="Times New Roman"/>
          <w:b/>
          <w:sz w:val="28"/>
          <w:szCs w:val="28"/>
          <w:lang w:val="uk-UA"/>
        </w:rPr>
      </w:pPr>
    </w:p>
    <w:p w:rsidR="00A64D73" w:rsidRDefault="00A64D73" w:rsidP="00A64D73">
      <w:pPr>
        <w:tabs>
          <w:tab w:val="num" w:pos="0"/>
        </w:tabs>
        <w:spacing w:after="0" w:line="360" w:lineRule="exact"/>
        <w:jc w:val="center"/>
        <w:rPr>
          <w:rFonts w:ascii="Times New Roman" w:hAnsi="Times New Roman"/>
          <w:sz w:val="28"/>
          <w:szCs w:val="28"/>
          <w:lang w:val="uk-UA"/>
        </w:rPr>
      </w:pPr>
      <w:r>
        <w:rPr>
          <w:rFonts w:ascii="Times New Roman" w:hAnsi="Times New Roman"/>
          <w:b/>
          <w:sz w:val="28"/>
          <w:szCs w:val="28"/>
          <w:lang w:val="uk-UA"/>
        </w:rPr>
        <w:t>ПЕРЕЛІК УМОВНИХ СКОРОЧЕНЬ</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ANA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антинуклеарні антитіла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HCV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вірус гепатиту С</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HCV-RNA </w:t>
      </w:r>
      <w:r>
        <w:rPr>
          <w:rFonts w:ascii="Times New Roman" w:hAnsi="Times New Roman"/>
          <w:sz w:val="28"/>
          <w:szCs w:val="28"/>
          <w:lang w:val="uk-UA"/>
        </w:rPr>
        <w:tab/>
      </w:r>
      <w:r>
        <w:rPr>
          <w:rFonts w:ascii="Times New Roman" w:hAnsi="Times New Roman"/>
          <w:sz w:val="28"/>
          <w:szCs w:val="28"/>
          <w:lang w:val="uk-UA"/>
        </w:rPr>
        <w:tab/>
        <w:t>– рибонуклеїнова кислота вірусу гепатиту С</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MMP-2</w:t>
      </w:r>
      <w:r>
        <w:rPr>
          <w:rFonts w:ascii="Times New Roman" w:hAnsi="Times New Roman"/>
          <w:sz w:val="28"/>
          <w:szCs w:val="28"/>
          <w:lang w:val="uk-UA"/>
        </w:rPr>
        <w:tab/>
      </w:r>
      <w:r>
        <w:rPr>
          <w:rFonts w:ascii="Times New Roman" w:hAnsi="Times New Roman"/>
          <w:sz w:val="28"/>
          <w:szCs w:val="28"/>
          <w:lang w:val="uk-UA"/>
        </w:rPr>
        <w:tab/>
        <w:t>– матриксна металопротеїназа -2</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АлАт</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аланінамінотрансфераза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АсАт </w:t>
      </w:r>
      <w:r>
        <w:rPr>
          <w:rFonts w:ascii="Times New Roman" w:hAnsi="Times New Roman"/>
          <w:sz w:val="28"/>
          <w:szCs w:val="28"/>
          <w:lang w:val="uk-UA"/>
        </w:rPr>
        <w:tab/>
      </w:r>
      <w:r>
        <w:rPr>
          <w:rFonts w:ascii="Times New Roman" w:hAnsi="Times New Roman"/>
          <w:sz w:val="28"/>
          <w:szCs w:val="28"/>
          <w:lang w:val="uk-UA"/>
        </w:rPr>
        <w:tab/>
        <w:t>– аспартатамінотрансфераза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ГГТ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гамаглутамілтрансфераза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ІФА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імуноферментний аналіз</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ЛДГ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лактатдегідрогеназа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ЛФ</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лужна фосфатаза</w:t>
      </w:r>
    </w:p>
    <w:p w:rsidR="00A64D73" w:rsidRDefault="00A64D73" w:rsidP="00A64D73">
      <w:pPr>
        <w:tabs>
          <w:tab w:val="left" w:pos="2115"/>
        </w:tabs>
        <w:spacing w:after="0" w:line="360" w:lineRule="exact"/>
        <w:jc w:val="both"/>
        <w:rPr>
          <w:rFonts w:ascii="Times New Roman" w:hAnsi="Times New Roman"/>
          <w:sz w:val="28"/>
          <w:szCs w:val="28"/>
          <w:lang w:val="uk-UA"/>
        </w:rPr>
      </w:pPr>
      <w:r>
        <w:rPr>
          <w:rFonts w:ascii="Times New Roman" w:hAnsi="Times New Roman"/>
          <w:sz w:val="28"/>
          <w:szCs w:val="28"/>
          <w:lang w:val="uk-UA"/>
        </w:rPr>
        <w:t>ММП-2</w:t>
      </w:r>
      <w:r>
        <w:rPr>
          <w:rFonts w:ascii="Times New Roman" w:hAnsi="Times New Roman"/>
          <w:sz w:val="28"/>
          <w:szCs w:val="28"/>
          <w:lang w:val="uk-UA"/>
        </w:rPr>
        <w:tab/>
        <w:t xml:space="preserve">– матриксна металопротеїназа -2 </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ПБП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пункційна біопсія печінки</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ПЛР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полімеразна ланцюгова реакція</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ПВТ</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противірусна терапія</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РНК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рибонуклеїнова кислота</w:t>
      </w:r>
    </w:p>
    <w:p w:rsidR="00A64D73" w:rsidRDefault="00A64D73" w:rsidP="00A64D73">
      <w:pPr>
        <w:spacing w:after="0" w:line="360" w:lineRule="exact"/>
        <w:jc w:val="both"/>
        <w:rPr>
          <w:rFonts w:ascii="Times New Roman" w:hAnsi="Times New Roman"/>
          <w:sz w:val="28"/>
          <w:szCs w:val="28"/>
          <w:lang w:val="uk-UA"/>
        </w:rPr>
      </w:pPr>
      <w:r>
        <w:rPr>
          <w:rFonts w:ascii="Times New Roman" w:hAnsi="Times New Roman"/>
          <w:sz w:val="28"/>
          <w:szCs w:val="28"/>
          <w:lang w:val="uk-UA"/>
        </w:rPr>
        <w:t xml:space="preserve">УЗД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ультразвукове дослідження</w:t>
      </w: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jc w:val="both"/>
        <w:rPr>
          <w:rFonts w:ascii="Times New Roman" w:hAnsi="Times New Roman"/>
          <w:sz w:val="28"/>
          <w:szCs w:val="28"/>
          <w:lang w:val="uk-UA"/>
        </w:rPr>
      </w:pPr>
    </w:p>
    <w:p w:rsidR="00A64D73" w:rsidRDefault="00A64D73" w:rsidP="00A64D73">
      <w:pPr>
        <w:spacing w:after="0" w:line="360" w:lineRule="exact"/>
        <w:rPr>
          <w:rFonts w:ascii="Times New Roman" w:hAnsi="Times New Roman"/>
          <w:sz w:val="28"/>
          <w:szCs w:val="28"/>
          <w:lang w:val="uk-UA" w:eastAsia="ru-RU"/>
        </w:rPr>
        <w:sectPr w:rsidR="00A64D73">
          <w:headerReference w:type="default" r:id="rId13"/>
          <w:pgSz w:w="11906" w:h="16838" w:code="9"/>
          <w:pgMar w:top="1418" w:right="1134" w:bottom="1077" w:left="1134" w:header="964" w:footer="0" w:gutter="0"/>
          <w:pgNumType w:start="1"/>
          <w:cols w:space="708"/>
          <w:docGrid w:linePitch="360"/>
        </w:sect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spacing w:after="0" w:line="360" w:lineRule="exact"/>
        <w:rPr>
          <w:rFonts w:ascii="Times New Roman" w:hAnsi="Times New Roman"/>
          <w:sz w:val="28"/>
          <w:szCs w:val="28"/>
          <w:lang w:val="uk-UA" w:eastAsia="ru-RU"/>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jc w:val="center"/>
        <w:rPr>
          <w:rFonts w:ascii="Times New Roman" w:hAnsi="Times New Roman"/>
          <w:sz w:val="28"/>
          <w:szCs w:val="28"/>
          <w:lang w:val="uk-UA"/>
        </w:rPr>
      </w:pPr>
      <w:r>
        <w:rPr>
          <w:noProof/>
          <w:sz w:val="20"/>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114935</wp:posOffset>
                </wp:positionV>
                <wp:extent cx="6087745" cy="635"/>
                <wp:effectExtent l="8255" t="6985" r="9525" b="1143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49444" id="Прямая соединительная линия 4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05pt" to="480.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" o:allowincell="f" strokeweight="1pt"/>
            </w:pict>
          </mc:Fallback>
        </mc:AlternateContent>
      </w:r>
    </w:p>
    <w:p w:rsidR="00A64D73" w:rsidRDefault="00A64D73" w:rsidP="00A64D73">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Підписано до друку 27.10.2009 р. Замовл. № 1304</w:t>
      </w:r>
    </w:p>
    <w:p w:rsidR="00A64D73" w:rsidRDefault="00A64D73" w:rsidP="00A64D73">
      <w:pPr>
        <w:pStyle w:val="af4"/>
        <w:widowControl w:val="0"/>
        <w:spacing w:after="0"/>
        <w:jc w:val="center"/>
        <w:rPr>
          <w:szCs w:val="28"/>
        </w:rPr>
      </w:pPr>
      <w:r>
        <w:rPr>
          <w:szCs w:val="28"/>
        </w:rPr>
        <w:t>Формат 60х90 1/16 ум. Друк. арк. 0,8 друк офсетний.</w:t>
      </w:r>
    </w:p>
    <w:p w:rsidR="00A64D73" w:rsidRDefault="00A64D73" w:rsidP="00A64D73">
      <w:pPr>
        <w:pStyle w:val="af4"/>
        <w:widowControl w:val="0"/>
        <w:spacing w:after="0"/>
        <w:jc w:val="center"/>
        <w:rPr>
          <w:szCs w:val="28"/>
        </w:rPr>
      </w:pPr>
      <w:r>
        <w:rPr>
          <w:szCs w:val="28"/>
        </w:rPr>
        <w:t>Наклад 100 примірників.</w:t>
      </w:r>
    </w:p>
    <w:p w:rsidR="00A64D73" w:rsidRDefault="00A64D73" w:rsidP="00A64D73">
      <w:pPr>
        <w:pStyle w:val="af4"/>
        <w:widowControl w:val="0"/>
        <w:spacing w:after="0"/>
        <w:jc w:val="center"/>
        <w:rPr>
          <w:szCs w:val="28"/>
        </w:rPr>
      </w:pP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087745" cy="0"/>
                <wp:effectExtent l="8255" t="11430" r="9525" b="762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FE359" id="Прямая соединительная линия 4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80.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" o:allowincell="f" strokeweight="1pt"/>
            </w:pict>
          </mc:Fallback>
        </mc:AlternateContent>
      </w:r>
    </w:p>
    <w:p w:rsidR="00A64D73" w:rsidRDefault="00A64D73" w:rsidP="00A64D73">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Вінниця. Друкарня ВНМУ ім. М.І.Пирогова, Пирогова, 56.</w:t>
      </w:r>
    </w:p>
    <w:p w:rsidR="00A64D73" w:rsidRDefault="00A64D73" w:rsidP="00A64D73">
      <w:pPr>
        <w:widowControl w:val="0"/>
        <w:spacing w:after="0" w:line="240" w:lineRule="auto"/>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widowControl w:val="0"/>
        <w:spacing w:after="0" w:line="240" w:lineRule="auto"/>
        <w:ind w:firstLine="709"/>
        <w:jc w:val="center"/>
        <w:rPr>
          <w:rFonts w:ascii="Times New Roman" w:hAnsi="Times New Roman"/>
          <w:sz w:val="28"/>
          <w:szCs w:val="28"/>
          <w:lang w:val="uk-UA"/>
        </w:rPr>
      </w:pPr>
    </w:p>
    <w:p w:rsidR="00A64D73" w:rsidRDefault="00A64D73" w:rsidP="00A64D73">
      <w:pPr>
        <w:spacing w:after="0" w:line="240" w:lineRule="auto"/>
        <w:jc w:val="center"/>
        <w:rPr>
          <w:rFonts w:ascii="Times New Roman" w:hAnsi="Times New Roman"/>
          <w:b/>
          <w:lang w:val="uk-UA"/>
        </w:rPr>
      </w:pPr>
    </w:p>
    <w:p w:rsidR="00804CAB" w:rsidRPr="00160786" w:rsidRDefault="00804CAB" w:rsidP="00E01E18">
      <w:pPr>
        <w:spacing w:line="360" w:lineRule="auto"/>
        <w:jc w:val="center"/>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14"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70" w:rsidRDefault="00A12470">
      <w:pPr>
        <w:spacing w:after="0" w:line="240" w:lineRule="auto"/>
      </w:pPr>
      <w:r>
        <w:separator/>
      </w:r>
    </w:p>
  </w:endnote>
  <w:endnote w:type="continuationSeparator" w:id="0">
    <w:p w:rsidR="00A12470" w:rsidRDefault="00A1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1247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64D73">
      <w:rPr>
        <w:rStyle w:val="aff1"/>
        <w:rFonts w:eastAsia="Garamond"/>
        <w:noProof/>
      </w:rPr>
      <w:t>22</w:t>
    </w:r>
    <w:r>
      <w:rPr>
        <w:rStyle w:val="aff1"/>
        <w:rFonts w:eastAsia="Garamond"/>
      </w:rPr>
      <w:fldChar w:fldCharType="end"/>
    </w:r>
  </w:p>
  <w:p w:rsidR="009335CF" w:rsidRDefault="00A1247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70" w:rsidRDefault="00A12470">
      <w:pPr>
        <w:spacing w:after="0" w:line="240" w:lineRule="auto"/>
      </w:pPr>
      <w:r>
        <w:separator/>
      </w:r>
    </w:p>
  </w:footnote>
  <w:footnote w:type="continuationSeparator" w:id="0">
    <w:p w:rsidR="00A12470" w:rsidRDefault="00A12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73" w:rsidRDefault="00A64D73">
    <w:pPr>
      <w:pStyle w:val="aff"/>
      <w:jc w:val="center"/>
    </w:pPr>
    <w:r>
      <w:fldChar w:fldCharType="begin"/>
    </w:r>
    <w:r>
      <w:instrText xml:space="preserve"> PAGE   \* MERGEFORMAT </w:instrText>
    </w:r>
    <w:r>
      <w:fldChar w:fldCharType="separate"/>
    </w:r>
    <w:r>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12470">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12470">
    <w:pPr>
      <w:pStyle w:val="aff"/>
      <w:framePr w:wrap="around" w:vAnchor="text" w:hAnchor="margin" w:xAlign="right" w:y="1"/>
      <w:rPr>
        <w:rStyle w:val="aff1"/>
        <w:lang w:val="uk-UA"/>
      </w:rPr>
    </w:pPr>
  </w:p>
  <w:p w:rsidR="009335CF" w:rsidRDefault="00A1247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6F333F7"/>
    <w:multiLevelType w:val="hybridMultilevel"/>
    <w:tmpl w:val="3B5A3DD6"/>
    <w:lvl w:ilvl="0" w:tplc="82740C3C">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2323471"/>
    <w:multiLevelType w:val="hybridMultilevel"/>
    <w:tmpl w:val="4198CB7A"/>
    <w:lvl w:ilvl="0" w:tplc="82740C3C">
      <w:start w:val="1"/>
      <w:numFmt w:val="decimal"/>
      <w:lvlText w:val="%1."/>
      <w:lvlJc w:val="left"/>
      <w:pPr>
        <w:tabs>
          <w:tab w:val="num" w:pos="720"/>
        </w:tabs>
        <w:ind w:left="720" w:hanging="360"/>
      </w:pPr>
      <w:rPr>
        <w:rFonts w:ascii="Times New Roman" w:hAnsi="Times New Roman" w:cs="Times New Roman"/>
        <w:b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AD72DEE"/>
    <w:multiLevelType w:val="hybridMultilevel"/>
    <w:tmpl w:val="CE74C6F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5F5E2DBA">
      <w:start w:val="2"/>
      <w:numFmt w:val="bullet"/>
      <w:lvlText w:val="-"/>
      <w:lvlJc w:val="left"/>
      <w:pPr>
        <w:ind w:left="2340" w:hanging="360"/>
      </w:pPr>
      <w:rPr>
        <w:rFonts w:ascii="Times New Roman" w:eastAsia="Times New Roman" w:hAnsi="Times New Roman" w:hint="default"/>
        <w:color w:val="auto"/>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5B343227"/>
    <w:multiLevelType w:val="hybridMultilevel"/>
    <w:tmpl w:val="BD8652A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37"/>
  </w:num>
  <w:num w:numId="7">
    <w:abstractNumId w:val="24"/>
  </w:num>
  <w:num w:numId="8">
    <w:abstractNumId w:val="60"/>
  </w:num>
  <w:num w:numId="9">
    <w:abstractNumId w:val="35"/>
  </w:num>
  <w:num w:numId="10">
    <w:abstractNumId w:val="40"/>
  </w:num>
  <w:num w:numId="11">
    <w:abstractNumId w:val="65"/>
  </w:num>
  <w:num w:numId="12">
    <w:abstractNumId w:val="44"/>
  </w:num>
  <w:num w:numId="13">
    <w:abstractNumId w:val="53"/>
  </w:num>
  <w:num w:numId="14">
    <w:abstractNumId w:val="41"/>
  </w:num>
  <w:num w:numId="15">
    <w:abstractNumId w:val="32"/>
  </w:num>
  <w:num w:numId="16">
    <w:abstractNumId w:val="39"/>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2"/>
  </w:num>
  <w:num w:numId="23">
    <w:abstractNumId w:val="26"/>
  </w:num>
  <w:num w:numId="24">
    <w:abstractNumId w:val="52"/>
    <w:lvlOverride w:ilvl="0">
      <w:startOverride w:val="1"/>
    </w:lvlOverride>
  </w:num>
  <w:num w:numId="25">
    <w:abstractNumId w:val="47"/>
  </w:num>
  <w:num w:numId="26">
    <w:abstractNumId w:val="64"/>
  </w:num>
  <w:num w:numId="27">
    <w:abstractNumId w:val="28"/>
  </w:num>
  <w:num w:numId="28">
    <w:abstractNumId w:val="34"/>
  </w:num>
  <w:num w:numId="29">
    <w:abstractNumId w:val="48"/>
  </w:num>
  <w:num w:numId="30">
    <w:abstractNumId w:val="54"/>
  </w:num>
  <w:num w:numId="31">
    <w:abstractNumId w:val="61"/>
  </w:num>
  <w:num w:numId="32">
    <w:abstractNumId w:val="31"/>
  </w:num>
  <w:num w:numId="33">
    <w:abstractNumId w:val="56"/>
  </w:num>
  <w:num w:numId="34">
    <w:abstractNumId w:val="57"/>
  </w:num>
  <w:num w:numId="35">
    <w:abstractNumId w:val="46"/>
  </w:num>
  <w:num w:numId="36">
    <w:abstractNumId w:val="63"/>
  </w:num>
  <w:num w:numId="37">
    <w:abstractNumId w:val="43"/>
    <w:lvlOverride w:ilvl="0">
      <w:startOverride w:val="1"/>
    </w:lvlOverride>
  </w:num>
  <w:num w:numId="38">
    <w:abstractNumId w:val="23"/>
  </w:num>
  <w:num w:numId="39">
    <w:abstractNumId w:val="50"/>
  </w:num>
  <w:num w:numId="40">
    <w:abstractNumId w:val="38"/>
  </w:num>
  <w:num w:numId="41">
    <w:abstractNumId w:val="49"/>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385"/>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2470"/>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Renke%20M%22%5BAuthor%5D&amp;itool=EntrezSystem2.PEntrez.Pubmed.Pubmed_ResultsPanel.Pubmed_DiscoveryPanel.Pubmed_RVAbstractPl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cbi.nlm.nih.gov/sites/entrez?Db=pubmed&amp;Cmd=Search&amp;Term=%22Gatsura%20SV%22%5BAuthor%5D&amp;itool=EntrezSystem2.PEntrez.Pubmed.Pubmed_ResultsPanel.Pubmed_RVAbstr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sites/entrez?Db=pubmed&amp;Cmd=Search&amp;Term=%22Tseng%20GC%22%5BAuthor%5D&amp;itool=EntrezSystem2.PEntrez.Pubmed.Pubmed_ResultsPanel.Pubmed_DiscoveryPanel.Pubmed_RVAbstractPlus"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2057</TotalTime>
  <Pages>25</Pages>
  <Words>7235</Words>
  <Characters>41244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1029</cp:revision>
  <dcterms:created xsi:type="dcterms:W3CDTF">2015-05-26T12:20:00Z</dcterms:created>
  <dcterms:modified xsi:type="dcterms:W3CDTF">2015-06-05T09:41:00Z</dcterms:modified>
</cp:coreProperties>
</file>