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D14A0F" w:rsidRPr="003378FE" w:rsidRDefault="00D14A0F" w:rsidP="00D14A0F">
      <w:pPr>
        <w:jc w:val="center"/>
      </w:pPr>
      <w:bookmarkStart w:id="0" w:name="_Hlt522973996"/>
      <w:bookmarkEnd w:id="0"/>
      <w:r w:rsidRPr="003378FE">
        <w:t>МІНІСТЕРСТВО ОХОРОНИ ЗДОРОВ’Я УКРАЇНИ</w:t>
      </w:r>
    </w:p>
    <w:p w:rsidR="00D14A0F" w:rsidRPr="003378FE" w:rsidRDefault="00D14A0F" w:rsidP="00D14A0F">
      <w:pPr>
        <w:jc w:val="center"/>
        <w:rPr>
          <w:b/>
        </w:rPr>
      </w:pPr>
      <w:r>
        <w:t>ІВАНО-ФРАНКІВСЬКИЙ НАЦІОНАЛЬ</w:t>
      </w:r>
      <w:r w:rsidRPr="003378FE">
        <w:t>НИЙ МЕДИЧНИЙ УНІВЕРСИТЕТ</w:t>
      </w:r>
    </w:p>
    <w:p w:rsidR="00D14A0F" w:rsidRPr="003378FE" w:rsidRDefault="00D14A0F" w:rsidP="00D14A0F">
      <w:pPr>
        <w:spacing w:line="360" w:lineRule="auto"/>
        <w:jc w:val="center"/>
        <w:rPr>
          <w:b/>
        </w:rPr>
      </w:pPr>
    </w:p>
    <w:p w:rsidR="00D14A0F" w:rsidRPr="00877FB1" w:rsidRDefault="00D14A0F" w:rsidP="00D14A0F">
      <w:pPr>
        <w:spacing w:line="360" w:lineRule="auto"/>
        <w:jc w:val="center"/>
      </w:pPr>
    </w:p>
    <w:p w:rsidR="00D14A0F" w:rsidRPr="00877FB1" w:rsidRDefault="00D14A0F" w:rsidP="00D14A0F">
      <w:pPr>
        <w:spacing w:line="360" w:lineRule="auto"/>
        <w:jc w:val="center"/>
      </w:pPr>
    </w:p>
    <w:p w:rsidR="00D14A0F" w:rsidRPr="00877FB1" w:rsidRDefault="00D14A0F" w:rsidP="00D14A0F">
      <w:pPr>
        <w:spacing w:line="360" w:lineRule="auto"/>
        <w:jc w:val="center"/>
      </w:pPr>
    </w:p>
    <w:p w:rsidR="00D14A0F" w:rsidRPr="003378FE" w:rsidRDefault="00D14A0F" w:rsidP="00D14A0F">
      <w:pPr>
        <w:spacing w:line="360" w:lineRule="auto"/>
        <w:jc w:val="center"/>
        <w:rPr>
          <w:b/>
        </w:rPr>
      </w:pPr>
      <w:r>
        <w:rPr>
          <w:b/>
        </w:rPr>
        <w:t>БАЛАН Уляна Володимирі</w:t>
      </w:r>
      <w:r w:rsidRPr="003378FE">
        <w:rPr>
          <w:b/>
        </w:rPr>
        <w:t>вна</w:t>
      </w:r>
    </w:p>
    <w:p w:rsidR="00D14A0F" w:rsidRPr="003378FE" w:rsidRDefault="00D14A0F" w:rsidP="00D14A0F">
      <w:pPr>
        <w:spacing w:line="360" w:lineRule="auto"/>
        <w:jc w:val="center"/>
        <w:rPr>
          <w:b/>
        </w:rPr>
      </w:pPr>
    </w:p>
    <w:p w:rsidR="00D14A0F" w:rsidRPr="003378FE" w:rsidRDefault="00D14A0F" w:rsidP="00D14A0F">
      <w:pPr>
        <w:spacing w:line="360" w:lineRule="auto"/>
        <w:jc w:val="center"/>
        <w:rPr>
          <w:b/>
        </w:rPr>
      </w:pPr>
    </w:p>
    <w:p w:rsidR="00D14A0F" w:rsidRPr="00DB1D85" w:rsidRDefault="00D14A0F" w:rsidP="00D14A0F">
      <w:pPr>
        <w:spacing w:line="360" w:lineRule="auto"/>
        <w:jc w:val="right"/>
        <w:rPr>
          <w:sz w:val="28"/>
          <w:szCs w:val="28"/>
        </w:rPr>
      </w:pPr>
      <w:r w:rsidRPr="00DB1D85">
        <w:t>УДК 616-071+616-092+616-08+616.366-002</w:t>
      </w:r>
    </w:p>
    <w:p w:rsidR="00D14A0F" w:rsidRPr="00DB1D85" w:rsidRDefault="00D14A0F" w:rsidP="00D14A0F">
      <w:pPr>
        <w:spacing w:line="360" w:lineRule="auto"/>
        <w:jc w:val="center"/>
        <w:rPr>
          <w:sz w:val="28"/>
          <w:szCs w:val="28"/>
        </w:rPr>
      </w:pPr>
    </w:p>
    <w:p w:rsidR="00D14A0F" w:rsidRPr="00DB1D85" w:rsidRDefault="00D14A0F" w:rsidP="00D14A0F">
      <w:pPr>
        <w:spacing w:line="360" w:lineRule="auto"/>
        <w:jc w:val="center"/>
        <w:rPr>
          <w:b/>
          <w:sz w:val="28"/>
          <w:szCs w:val="28"/>
        </w:rPr>
      </w:pPr>
    </w:p>
    <w:p w:rsidR="00D14A0F" w:rsidRPr="008838A8" w:rsidRDefault="00D14A0F" w:rsidP="00D14A0F">
      <w:pPr>
        <w:spacing w:line="360" w:lineRule="auto"/>
        <w:jc w:val="center"/>
        <w:rPr>
          <w:b/>
          <w:sz w:val="28"/>
          <w:szCs w:val="28"/>
        </w:rPr>
      </w:pPr>
      <w:r>
        <w:rPr>
          <w:b/>
          <w:sz w:val="28"/>
          <w:szCs w:val="28"/>
        </w:rPr>
        <w:t>КЛІНІКО-ПАТОГЕНЕТИЧНІ</w:t>
      </w:r>
      <w:r w:rsidRPr="008838A8">
        <w:rPr>
          <w:b/>
          <w:sz w:val="28"/>
          <w:szCs w:val="28"/>
        </w:rPr>
        <w:t xml:space="preserve"> </w:t>
      </w:r>
      <w:r>
        <w:rPr>
          <w:b/>
          <w:sz w:val="28"/>
          <w:szCs w:val="28"/>
        </w:rPr>
        <w:t xml:space="preserve">ОСОБЛИВОСТІ КОМПЛЕКСНОГО ЛІКУВАННЯ ХРОНІЧНИХ НЕКАМЕНЕВИХ ХОЛЕЦИСТИТІВ </w:t>
      </w:r>
    </w:p>
    <w:p w:rsidR="00D14A0F" w:rsidRPr="008838A8" w:rsidRDefault="00D14A0F" w:rsidP="00D14A0F">
      <w:pPr>
        <w:spacing w:line="360" w:lineRule="auto"/>
        <w:jc w:val="center"/>
      </w:pPr>
    </w:p>
    <w:p w:rsidR="00D14A0F" w:rsidRDefault="00D14A0F" w:rsidP="00D14A0F">
      <w:pPr>
        <w:spacing w:line="360" w:lineRule="auto"/>
        <w:jc w:val="center"/>
      </w:pPr>
    </w:p>
    <w:p w:rsidR="00D14A0F" w:rsidRDefault="00D14A0F" w:rsidP="00D14A0F">
      <w:pPr>
        <w:spacing w:line="360" w:lineRule="auto"/>
        <w:jc w:val="center"/>
      </w:pPr>
    </w:p>
    <w:p w:rsidR="00D14A0F" w:rsidRPr="003378FE" w:rsidRDefault="00D14A0F" w:rsidP="00D14A0F">
      <w:pPr>
        <w:spacing w:line="360" w:lineRule="auto"/>
        <w:jc w:val="center"/>
      </w:pPr>
      <w:r w:rsidRPr="003378FE">
        <w:t>14.01.36 – гастроентерологія</w:t>
      </w:r>
    </w:p>
    <w:p w:rsidR="00D14A0F" w:rsidRDefault="00D14A0F" w:rsidP="00D14A0F">
      <w:pPr>
        <w:spacing w:line="360" w:lineRule="auto"/>
        <w:jc w:val="center"/>
      </w:pPr>
    </w:p>
    <w:p w:rsidR="00D14A0F" w:rsidRDefault="00D14A0F" w:rsidP="00D14A0F">
      <w:pPr>
        <w:spacing w:line="360" w:lineRule="auto"/>
        <w:jc w:val="center"/>
      </w:pPr>
    </w:p>
    <w:p w:rsidR="00D14A0F" w:rsidRPr="003378FE" w:rsidRDefault="00D14A0F" w:rsidP="00D14A0F">
      <w:pPr>
        <w:spacing w:line="360" w:lineRule="auto"/>
        <w:jc w:val="center"/>
      </w:pPr>
    </w:p>
    <w:p w:rsidR="00D14A0F" w:rsidRPr="003378FE" w:rsidRDefault="00D14A0F" w:rsidP="00D14A0F">
      <w:pPr>
        <w:spacing w:line="360" w:lineRule="auto"/>
        <w:jc w:val="center"/>
      </w:pPr>
    </w:p>
    <w:p w:rsidR="00D14A0F" w:rsidRPr="003378FE" w:rsidRDefault="00D14A0F" w:rsidP="00D14A0F">
      <w:pPr>
        <w:spacing w:line="360" w:lineRule="auto"/>
        <w:jc w:val="center"/>
      </w:pPr>
    </w:p>
    <w:p w:rsidR="00D14A0F" w:rsidRPr="003378FE" w:rsidRDefault="00D14A0F" w:rsidP="00D14A0F">
      <w:pPr>
        <w:spacing w:line="360" w:lineRule="auto"/>
        <w:jc w:val="center"/>
        <w:rPr>
          <w:b/>
        </w:rPr>
      </w:pPr>
      <w:r w:rsidRPr="003378FE">
        <w:rPr>
          <w:b/>
        </w:rPr>
        <w:t>АВТОРЕФЕРАТ</w:t>
      </w:r>
    </w:p>
    <w:p w:rsidR="00D14A0F" w:rsidRPr="003378FE" w:rsidRDefault="00D14A0F" w:rsidP="00D14A0F">
      <w:pPr>
        <w:spacing w:line="360" w:lineRule="auto"/>
        <w:jc w:val="center"/>
      </w:pPr>
      <w:r w:rsidRPr="003378FE">
        <w:lastRenderedPageBreak/>
        <w:t xml:space="preserve">дисертації на здобуття наукового ступеня </w:t>
      </w:r>
    </w:p>
    <w:p w:rsidR="00D14A0F" w:rsidRPr="003378FE" w:rsidRDefault="00D14A0F" w:rsidP="00D14A0F">
      <w:pPr>
        <w:spacing w:line="360" w:lineRule="auto"/>
        <w:jc w:val="center"/>
        <w:rPr>
          <w:b/>
        </w:rPr>
      </w:pPr>
      <w:r w:rsidRPr="003378FE">
        <w:t>кандидата медичних наук</w:t>
      </w:r>
    </w:p>
    <w:p w:rsidR="00D14A0F" w:rsidRPr="003378FE" w:rsidRDefault="00D14A0F" w:rsidP="00D14A0F">
      <w:pPr>
        <w:spacing w:line="360" w:lineRule="auto"/>
        <w:jc w:val="center"/>
      </w:pPr>
    </w:p>
    <w:p w:rsidR="00D14A0F" w:rsidRDefault="00D14A0F" w:rsidP="00D14A0F">
      <w:pPr>
        <w:spacing w:line="360" w:lineRule="auto"/>
        <w:jc w:val="center"/>
      </w:pPr>
    </w:p>
    <w:p w:rsidR="00D14A0F" w:rsidRDefault="00D14A0F" w:rsidP="00D14A0F">
      <w:pPr>
        <w:spacing w:line="360" w:lineRule="auto"/>
        <w:jc w:val="center"/>
      </w:pPr>
    </w:p>
    <w:p w:rsidR="00D14A0F" w:rsidRDefault="00D14A0F" w:rsidP="00D14A0F">
      <w:pPr>
        <w:spacing w:line="360" w:lineRule="auto"/>
        <w:jc w:val="center"/>
      </w:pPr>
    </w:p>
    <w:p w:rsidR="00D14A0F" w:rsidRDefault="00D14A0F" w:rsidP="00D14A0F">
      <w:pPr>
        <w:spacing w:line="360" w:lineRule="auto"/>
        <w:jc w:val="center"/>
      </w:pPr>
    </w:p>
    <w:p w:rsidR="00D14A0F" w:rsidRPr="003378FE" w:rsidRDefault="00D14A0F" w:rsidP="00D14A0F">
      <w:pPr>
        <w:spacing w:line="360" w:lineRule="auto"/>
        <w:jc w:val="center"/>
      </w:pPr>
    </w:p>
    <w:p w:rsidR="00D14A0F" w:rsidRPr="003378FE" w:rsidRDefault="00D14A0F" w:rsidP="00D14A0F">
      <w:pPr>
        <w:spacing w:line="360" w:lineRule="auto"/>
        <w:jc w:val="center"/>
      </w:pPr>
    </w:p>
    <w:p w:rsidR="00D14A0F" w:rsidRDefault="00D14A0F" w:rsidP="00D14A0F">
      <w:pPr>
        <w:spacing w:line="360" w:lineRule="auto"/>
        <w:jc w:val="center"/>
        <w:rPr>
          <w:sz w:val="28"/>
          <w:szCs w:val="28"/>
        </w:rPr>
      </w:pPr>
      <w:r>
        <w:t>Івано-Франківськ – 2009</w:t>
      </w:r>
    </w:p>
    <w:p w:rsidR="00D14A0F" w:rsidRDefault="00D14A0F" w:rsidP="00D14A0F">
      <w:pPr>
        <w:spacing w:line="360" w:lineRule="auto"/>
        <w:jc w:val="center"/>
        <w:rPr>
          <w:sz w:val="28"/>
          <w:szCs w:val="28"/>
        </w:rPr>
      </w:pPr>
    </w:p>
    <w:p w:rsidR="00D14A0F" w:rsidRDefault="00D14A0F" w:rsidP="00D14A0F">
      <w:pPr>
        <w:pStyle w:val="34"/>
        <w:tabs>
          <w:tab w:val="left" w:pos="1080"/>
        </w:tabs>
      </w:pPr>
      <w:r>
        <w:t>Дисертацією є рукопис.</w:t>
      </w:r>
    </w:p>
    <w:p w:rsidR="00D14A0F" w:rsidRDefault="00D14A0F" w:rsidP="00D14A0F">
      <w:pPr>
        <w:tabs>
          <w:tab w:val="left" w:pos="1080"/>
        </w:tabs>
        <w:ind w:firstLine="540"/>
        <w:jc w:val="both"/>
        <w:rPr>
          <w:kern w:val="28"/>
        </w:rPr>
      </w:pPr>
    </w:p>
    <w:p w:rsidR="00D14A0F" w:rsidRDefault="00D14A0F" w:rsidP="00D14A0F">
      <w:pPr>
        <w:tabs>
          <w:tab w:val="left" w:pos="1080"/>
        </w:tabs>
        <w:jc w:val="both"/>
        <w:rPr>
          <w:kern w:val="28"/>
        </w:rPr>
      </w:pPr>
      <w:r>
        <w:rPr>
          <w:kern w:val="28"/>
        </w:rPr>
        <w:t xml:space="preserve">Робота виконана в Івано-Франківському національному медичному університеті </w:t>
      </w:r>
    </w:p>
    <w:p w:rsidR="00D14A0F" w:rsidRDefault="00D14A0F" w:rsidP="00D14A0F">
      <w:pPr>
        <w:tabs>
          <w:tab w:val="left" w:pos="1080"/>
        </w:tabs>
        <w:jc w:val="both"/>
        <w:rPr>
          <w:kern w:val="28"/>
        </w:rPr>
      </w:pPr>
      <w:r>
        <w:rPr>
          <w:kern w:val="28"/>
        </w:rPr>
        <w:t>МОЗ України.</w:t>
      </w:r>
    </w:p>
    <w:p w:rsidR="00D14A0F" w:rsidRDefault="00D14A0F" w:rsidP="00D14A0F">
      <w:pPr>
        <w:tabs>
          <w:tab w:val="left" w:pos="1080"/>
        </w:tabs>
        <w:ind w:firstLine="540"/>
        <w:jc w:val="both"/>
        <w:rPr>
          <w:kern w:val="28"/>
        </w:rPr>
      </w:pPr>
    </w:p>
    <w:p w:rsidR="00D14A0F" w:rsidRDefault="00D14A0F" w:rsidP="00D14A0F">
      <w:pPr>
        <w:tabs>
          <w:tab w:val="left" w:pos="1080"/>
        </w:tabs>
        <w:ind w:firstLine="540"/>
        <w:jc w:val="both"/>
        <w:rPr>
          <w:kern w:val="28"/>
        </w:rPr>
      </w:pPr>
    </w:p>
    <w:p w:rsidR="00D14A0F" w:rsidRDefault="00D14A0F" w:rsidP="00D14A0F">
      <w:pPr>
        <w:tabs>
          <w:tab w:val="left" w:pos="1080"/>
        </w:tabs>
        <w:jc w:val="both"/>
        <w:rPr>
          <w:b/>
          <w:bCs/>
        </w:rPr>
      </w:pPr>
      <w:r>
        <w:rPr>
          <w:b/>
          <w:bCs/>
          <w:kern w:val="28"/>
        </w:rPr>
        <w:t xml:space="preserve">Науковий керівник: </w:t>
      </w:r>
      <w:r>
        <w:t>академік АМН України, доктор медичних наук, професор</w:t>
      </w:r>
    </w:p>
    <w:p w:rsidR="00D14A0F" w:rsidRDefault="00D14A0F" w:rsidP="00D14A0F">
      <w:pPr>
        <w:tabs>
          <w:tab w:val="left" w:pos="2160"/>
        </w:tabs>
        <w:ind w:left="2160"/>
        <w:jc w:val="both"/>
        <w:rPr>
          <w:b/>
          <w:bCs/>
        </w:rPr>
      </w:pPr>
      <w:r>
        <w:rPr>
          <w:b/>
          <w:bCs/>
        </w:rPr>
        <w:t>НЕЙКО Євген Михайлович,</w:t>
      </w:r>
    </w:p>
    <w:p w:rsidR="00D14A0F" w:rsidRDefault="00D14A0F" w:rsidP="00D14A0F">
      <w:pPr>
        <w:tabs>
          <w:tab w:val="left" w:pos="2160"/>
        </w:tabs>
        <w:ind w:left="2160"/>
        <w:jc w:val="both"/>
      </w:pPr>
      <w:r>
        <w:t>Івано-Франківський національний медичний університет МОЗ України,</w:t>
      </w:r>
    </w:p>
    <w:p w:rsidR="00D14A0F" w:rsidRDefault="00D14A0F" w:rsidP="00D14A0F">
      <w:pPr>
        <w:tabs>
          <w:tab w:val="left" w:pos="2160"/>
        </w:tabs>
        <w:ind w:left="2160"/>
        <w:jc w:val="both"/>
      </w:pPr>
      <w:r>
        <w:t>кафедра внутрішньої медицини №1, завідувач кафедри</w:t>
      </w:r>
    </w:p>
    <w:p w:rsidR="00D14A0F" w:rsidRDefault="00D14A0F" w:rsidP="00D14A0F">
      <w:pPr>
        <w:tabs>
          <w:tab w:val="left" w:pos="2160"/>
        </w:tabs>
        <w:ind w:firstLine="540"/>
        <w:jc w:val="both"/>
        <w:rPr>
          <w:kern w:val="28"/>
        </w:rPr>
      </w:pPr>
    </w:p>
    <w:p w:rsidR="00D14A0F" w:rsidRDefault="00D14A0F" w:rsidP="00D14A0F">
      <w:pPr>
        <w:tabs>
          <w:tab w:val="left" w:pos="2160"/>
        </w:tabs>
        <w:ind w:firstLine="540"/>
        <w:jc w:val="both"/>
        <w:rPr>
          <w:kern w:val="28"/>
        </w:rPr>
      </w:pPr>
    </w:p>
    <w:p w:rsidR="00D14A0F" w:rsidRDefault="00D14A0F" w:rsidP="00D14A0F">
      <w:pPr>
        <w:tabs>
          <w:tab w:val="left" w:pos="2160"/>
        </w:tabs>
        <w:ind w:left="2160" w:hanging="2160"/>
        <w:jc w:val="both"/>
        <w:rPr>
          <w:kern w:val="28"/>
        </w:rPr>
      </w:pPr>
      <w:r>
        <w:rPr>
          <w:b/>
          <w:bCs/>
          <w:kern w:val="28"/>
        </w:rPr>
        <w:t xml:space="preserve">Офіційні опоненти: </w:t>
      </w:r>
      <w:r>
        <w:rPr>
          <w:kern w:val="28"/>
        </w:rPr>
        <w:t xml:space="preserve">доктор медичних наук, професор </w:t>
      </w:r>
      <w:r>
        <w:rPr>
          <w:b/>
          <w:kern w:val="28"/>
        </w:rPr>
        <w:t>МІЩУК Василь Григорович</w:t>
      </w:r>
      <w:r>
        <w:rPr>
          <w:kern w:val="28"/>
        </w:rPr>
        <w:t xml:space="preserve">, </w:t>
      </w:r>
    </w:p>
    <w:p w:rsidR="00D14A0F" w:rsidRDefault="00D14A0F" w:rsidP="00D14A0F">
      <w:pPr>
        <w:ind w:left="2160"/>
        <w:jc w:val="both"/>
        <w:rPr>
          <w:kern w:val="28"/>
        </w:rPr>
      </w:pPr>
      <w:r>
        <w:rPr>
          <w:kern w:val="28"/>
        </w:rPr>
        <w:t xml:space="preserve">Івано-Франківський національний медичний університет МОЗ України,  </w:t>
      </w:r>
    </w:p>
    <w:p w:rsidR="00D14A0F" w:rsidRDefault="00D14A0F" w:rsidP="00D14A0F">
      <w:pPr>
        <w:ind w:left="2160"/>
        <w:jc w:val="both"/>
        <w:rPr>
          <w:kern w:val="28"/>
        </w:rPr>
      </w:pPr>
      <w:r>
        <w:rPr>
          <w:kern w:val="28"/>
        </w:rPr>
        <w:t xml:space="preserve">кафедра терапії і сімейної медицини факультету </w:t>
      </w:r>
    </w:p>
    <w:p w:rsidR="00D14A0F" w:rsidRDefault="00D14A0F" w:rsidP="00D14A0F">
      <w:pPr>
        <w:ind w:left="2160"/>
        <w:jc w:val="both"/>
        <w:rPr>
          <w:kern w:val="28"/>
        </w:rPr>
      </w:pPr>
      <w:r>
        <w:rPr>
          <w:kern w:val="28"/>
        </w:rPr>
        <w:t>післядипломної освіти, професор кафедри</w:t>
      </w:r>
    </w:p>
    <w:p w:rsidR="00D14A0F" w:rsidRDefault="00D14A0F" w:rsidP="00D14A0F">
      <w:pPr>
        <w:ind w:left="2160" w:firstLine="540"/>
        <w:jc w:val="both"/>
        <w:rPr>
          <w:kern w:val="28"/>
        </w:rPr>
      </w:pPr>
    </w:p>
    <w:p w:rsidR="00D14A0F" w:rsidRDefault="00D14A0F" w:rsidP="00D14A0F">
      <w:pPr>
        <w:tabs>
          <w:tab w:val="left" w:pos="2160"/>
        </w:tabs>
        <w:ind w:left="2160"/>
        <w:jc w:val="both"/>
      </w:pPr>
      <w:r>
        <w:t xml:space="preserve">доктор медичних наук, професор </w:t>
      </w:r>
      <w:r>
        <w:rPr>
          <w:b/>
          <w:bCs/>
        </w:rPr>
        <w:t>ДУТКА Роман Ярославович</w:t>
      </w:r>
      <w:r>
        <w:t>,</w:t>
      </w:r>
    </w:p>
    <w:p w:rsidR="00D14A0F" w:rsidRDefault="00D14A0F" w:rsidP="00D14A0F">
      <w:pPr>
        <w:tabs>
          <w:tab w:val="left" w:pos="2160"/>
        </w:tabs>
        <w:ind w:left="2160"/>
        <w:jc w:val="both"/>
      </w:pPr>
      <w:r>
        <w:rPr>
          <w:bCs/>
        </w:rPr>
        <w:t>Львівський національний медичний університет</w:t>
      </w:r>
    </w:p>
    <w:p w:rsidR="00D14A0F" w:rsidRDefault="00D14A0F" w:rsidP="00D14A0F">
      <w:pPr>
        <w:tabs>
          <w:tab w:val="left" w:pos="2160"/>
        </w:tabs>
        <w:ind w:left="2160"/>
        <w:jc w:val="both"/>
      </w:pPr>
      <w:r>
        <w:rPr>
          <w:bCs/>
        </w:rPr>
        <w:lastRenderedPageBreak/>
        <w:t xml:space="preserve">імені Данила Галицького </w:t>
      </w:r>
      <w:r>
        <w:t>МОЗ України,</w:t>
      </w:r>
    </w:p>
    <w:p w:rsidR="00D14A0F" w:rsidRDefault="00D14A0F" w:rsidP="00D14A0F">
      <w:pPr>
        <w:tabs>
          <w:tab w:val="left" w:pos="2160"/>
        </w:tabs>
        <w:ind w:left="2160"/>
        <w:jc w:val="both"/>
      </w:pPr>
      <w:r>
        <w:t>кафедра</w:t>
      </w:r>
      <w:r>
        <w:rPr>
          <w:bCs/>
        </w:rPr>
        <w:t xml:space="preserve"> пропедевтики внутрішньої медицини №1,</w:t>
      </w:r>
      <w:r>
        <w:t xml:space="preserve"> завідувач кафедри</w:t>
      </w:r>
    </w:p>
    <w:p w:rsidR="00D14A0F" w:rsidRDefault="00D14A0F" w:rsidP="00D14A0F">
      <w:pPr>
        <w:tabs>
          <w:tab w:val="left" w:pos="1080"/>
        </w:tabs>
        <w:ind w:firstLine="540"/>
        <w:jc w:val="both"/>
        <w:rPr>
          <w:kern w:val="28"/>
        </w:rPr>
      </w:pPr>
    </w:p>
    <w:p w:rsidR="00D14A0F" w:rsidRDefault="00D14A0F" w:rsidP="00D14A0F">
      <w:pPr>
        <w:tabs>
          <w:tab w:val="left" w:pos="1080"/>
        </w:tabs>
        <w:ind w:firstLine="540"/>
        <w:jc w:val="both"/>
        <w:rPr>
          <w:kern w:val="28"/>
        </w:rPr>
      </w:pPr>
    </w:p>
    <w:p w:rsidR="00D14A0F" w:rsidRDefault="00D14A0F" w:rsidP="00D14A0F">
      <w:pPr>
        <w:tabs>
          <w:tab w:val="left" w:pos="1080"/>
        </w:tabs>
        <w:ind w:firstLine="540"/>
        <w:jc w:val="both"/>
        <w:rPr>
          <w:kern w:val="28"/>
        </w:rPr>
      </w:pPr>
    </w:p>
    <w:p w:rsidR="00D14A0F" w:rsidRDefault="00D14A0F" w:rsidP="00D14A0F">
      <w:pPr>
        <w:tabs>
          <w:tab w:val="left" w:pos="1080"/>
        </w:tabs>
        <w:ind w:firstLine="540"/>
        <w:jc w:val="both"/>
        <w:rPr>
          <w:kern w:val="28"/>
        </w:rPr>
      </w:pPr>
    </w:p>
    <w:p w:rsidR="00D14A0F" w:rsidRDefault="00D14A0F" w:rsidP="00D14A0F">
      <w:pPr>
        <w:tabs>
          <w:tab w:val="left" w:pos="1080"/>
        </w:tabs>
        <w:ind w:firstLine="540"/>
        <w:jc w:val="both"/>
        <w:rPr>
          <w:kern w:val="28"/>
        </w:rPr>
      </w:pPr>
    </w:p>
    <w:p w:rsidR="00D14A0F" w:rsidRDefault="00D14A0F" w:rsidP="00D14A0F">
      <w:pPr>
        <w:tabs>
          <w:tab w:val="left" w:pos="1080"/>
        </w:tabs>
        <w:ind w:firstLine="567"/>
        <w:jc w:val="both"/>
        <w:rPr>
          <w:kern w:val="28"/>
        </w:rPr>
      </w:pPr>
      <w:r>
        <w:rPr>
          <w:kern w:val="28"/>
        </w:rPr>
        <w:t>Захист дисертації відбудеться</w:t>
      </w:r>
      <w:r w:rsidRPr="00A16A67">
        <w:rPr>
          <w:kern w:val="28"/>
        </w:rPr>
        <w:t xml:space="preserve"> 11 </w:t>
      </w:r>
      <w:r>
        <w:rPr>
          <w:kern w:val="28"/>
        </w:rPr>
        <w:t xml:space="preserve">грудня 2009 року о </w:t>
      </w:r>
      <w:r w:rsidRPr="00A16A67">
        <w:rPr>
          <w:kern w:val="28"/>
        </w:rPr>
        <w:t>11</w:t>
      </w:r>
      <w:r w:rsidRPr="000F1E67">
        <w:rPr>
          <w:kern w:val="28"/>
        </w:rPr>
        <w:t xml:space="preserve"> </w:t>
      </w:r>
      <w:r>
        <w:rPr>
          <w:kern w:val="28"/>
        </w:rPr>
        <w:t xml:space="preserve"> годині на засіданні спеціалізованої вченої ради Д 20.601.01 при Івано-Франківському національному медичному університеті за адресою: </w:t>
      </w:r>
      <w:smartTag w:uri="urn:schemas-microsoft-com:office:smarttags" w:element="metricconverter">
        <w:smartTagPr>
          <w:attr w:name="ProductID" w:val="76018, м"/>
        </w:smartTagPr>
        <w:r>
          <w:rPr>
            <w:kern w:val="28"/>
          </w:rPr>
          <w:t>76018, м</w:t>
        </w:r>
      </w:smartTag>
      <w:r>
        <w:rPr>
          <w:kern w:val="28"/>
        </w:rPr>
        <w:t>. Івано-Франківськ, вул. Галицька, 2.</w:t>
      </w:r>
    </w:p>
    <w:p w:rsidR="00D14A0F" w:rsidRDefault="00D14A0F" w:rsidP="00D14A0F">
      <w:pPr>
        <w:tabs>
          <w:tab w:val="left" w:pos="1080"/>
        </w:tabs>
        <w:ind w:firstLine="567"/>
        <w:jc w:val="both"/>
        <w:rPr>
          <w:kern w:val="28"/>
        </w:rPr>
      </w:pPr>
    </w:p>
    <w:p w:rsidR="00D14A0F" w:rsidRDefault="00D14A0F" w:rsidP="00D14A0F">
      <w:pPr>
        <w:tabs>
          <w:tab w:val="left" w:pos="1080"/>
        </w:tabs>
        <w:ind w:firstLine="567"/>
        <w:jc w:val="both"/>
        <w:rPr>
          <w:kern w:val="28"/>
        </w:rPr>
      </w:pPr>
    </w:p>
    <w:p w:rsidR="00D14A0F" w:rsidRDefault="00D14A0F" w:rsidP="00D14A0F">
      <w:pPr>
        <w:tabs>
          <w:tab w:val="left" w:pos="1080"/>
        </w:tabs>
        <w:ind w:firstLine="567"/>
        <w:jc w:val="both"/>
        <w:rPr>
          <w:kern w:val="28"/>
        </w:rPr>
      </w:pPr>
      <w:r>
        <w:rPr>
          <w:kern w:val="28"/>
        </w:rPr>
        <w:t xml:space="preserve">Із дисертацією можна ознайомитись у бібліотеці Івано-Франківського національного медичного університету за адресою: </w:t>
      </w:r>
      <w:smartTag w:uri="urn:schemas-microsoft-com:office:smarttags" w:element="metricconverter">
        <w:smartTagPr>
          <w:attr w:name="ProductID" w:val="76018, м"/>
        </w:smartTagPr>
        <w:r>
          <w:rPr>
            <w:kern w:val="28"/>
          </w:rPr>
          <w:t>76018, м</w:t>
        </w:r>
      </w:smartTag>
      <w:r>
        <w:rPr>
          <w:kern w:val="28"/>
        </w:rPr>
        <w:t>. Івано-Франківськ, вул. Галицька, 7.</w:t>
      </w:r>
    </w:p>
    <w:p w:rsidR="00D14A0F" w:rsidRDefault="00D14A0F" w:rsidP="00D14A0F">
      <w:pPr>
        <w:tabs>
          <w:tab w:val="left" w:pos="1080"/>
        </w:tabs>
        <w:ind w:firstLine="540"/>
        <w:jc w:val="both"/>
        <w:rPr>
          <w:kern w:val="28"/>
        </w:rPr>
      </w:pPr>
    </w:p>
    <w:p w:rsidR="00D14A0F" w:rsidRDefault="00D14A0F" w:rsidP="00D14A0F">
      <w:pPr>
        <w:tabs>
          <w:tab w:val="left" w:pos="1080"/>
        </w:tabs>
        <w:ind w:firstLine="540"/>
        <w:jc w:val="both"/>
        <w:rPr>
          <w:kern w:val="28"/>
        </w:rPr>
      </w:pPr>
    </w:p>
    <w:p w:rsidR="00D14A0F" w:rsidRDefault="00D14A0F" w:rsidP="00D14A0F">
      <w:pPr>
        <w:tabs>
          <w:tab w:val="left" w:pos="1080"/>
        </w:tabs>
        <w:jc w:val="both"/>
        <w:rPr>
          <w:kern w:val="28"/>
        </w:rPr>
      </w:pPr>
      <w:r w:rsidRPr="002479DD">
        <w:rPr>
          <w:kern w:val="28"/>
        </w:rPr>
        <w:tab/>
      </w:r>
      <w:r>
        <w:rPr>
          <w:kern w:val="28"/>
        </w:rPr>
        <w:t>Автореферат розісланий “</w:t>
      </w:r>
      <w:r>
        <w:rPr>
          <w:kern w:val="28"/>
          <w:lang w:val="en-US"/>
        </w:rPr>
        <w:t>9</w:t>
      </w:r>
      <w:r>
        <w:rPr>
          <w:kern w:val="28"/>
        </w:rPr>
        <w:t>”листопада 2009 року.</w:t>
      </w:r>
    </w:p>
    <w:p w:rsidR="00D14A0F" w:rsidRDefault="00D14A0F" w:rsidP="00D14A0F">
      <w:pPr>
        <w:tabs>
          <w:tab w:val="left" w:pos="1080"/>
        </w:tabs>
        <w:ind w:firstLine="540"/>
        <w:jc w:val="both"/>
        <w:rPr>
          <w:kern w:val="28"/>
        </w:rPr>
      </w:pPr>
    </w:p>
    <w:p w:rsidR="00D14A0F" w:rsidRDefault="00D14A0F" w:rsidP="00D14A0F">
      <w:pPr>
        <w:tabs>
          <w:tab w:val="left" w:pos="1080"/>
        </w:tabs>
        <w:ind w:firstLine="540"/>
        <w:jc w:val="both"/>
        <w:rPr>
          <w:kern w:val="28"/>
        </w:rPr>
      </w:pPr>
    </w:p>
    <w:p w:rsidR="00D14A0F" w:rsidRDefault="00D14A0F" w:rsidP="00D14A0F">
      <w:pPr>
        <w:tabs>
          <w:tab w:val="left" w:pos="1080"/>
        </w:tabs>
        <w:ind w:firstLine="540"/>
        <w:jc w:val="both"/>
        <w:rPr>
          <w:kern w:val="28"/>
        </w:rPr>
      </w:pPr>
    </w:p>
    <w:p w:rsidR="00D14A0F" w:rsidRDefault="00D14A0F" w:rsidP="00D14A0F">
      <w:pPr>
        <w:tabs>
          <w:tab w:val="left" w:pos="1080"/>
        </w:tabs>
        <w:ind w:firstLine="540"/>
        <w:jc w:val="both"/>
        <w:rPr>
          <w:kern w:val="28"/>
        </w:rPr>
      </w:pPr>
    </w:p>
    <w:p w:rsidR="00D14A0F" w:rsidRDefault="00D14A0F" w:rsidP="00D14A0F">
      <w:pPr>
        <w:tabs>
          <w:tab w:val="left" w:pos="1080"/>
        </w:tabs>
        <w:ind w:firstLine="540"/>
        <w:jc w:val="both"/>
        <w:rPr>
          <w:kern w:val="28"/>
        </w:rPr>
      </w:pPr>
    </w:p>
    <w:p w:rsidR="00D14A0F" w:rsidRDefault="00D14A0F" w:rsidP="00D14A0F">
      <w:pPr>
        <w:tabs>
          <w:tab w:val="left" w:pos="1080"/>
        </w:tabs>
        <w:ind w:firstLine="540"/>
        <w:jc w:val="both"/>
        <w:rPr>
          <w:kern w:val="28"/>
        </w:rPr>
      </w:pPr>
    </w:p>
    <w:p w:rsidR="00D14A0F" w:rsidRDefault="00D14A0F" w:rsidP="00D14A0F">
      <w:pPr>
        <w:tabs>
          <w:tab w:val="left" w:pos="1080"/>
        </w:tabs>
        <w:ind w:firstLine="540"/>
        <w:jc w:val="both"/>
        <w:rPr>
          <w:kern w:val="28"/>
        </w:rPr>
      </w:pPr>
    </w:p>
    <w:p w:rsidR="00D14A0F" w:rsidRDefault="00D14A0F" w:rsidP="00D14A0F">
      <w:pPr>
        <w:tabs>
          <w:tab w:val="left" w:pos="1080"/>
        </w:tabs>
        <w:ind w:firstLine="540"/>
        <w:jc w:val="both"/>
        <w:rPr>
          <w:kern w:val="28"/>
        </w:rPr>
      </w:pPr>
    </w:p>
    <w:p w:rsidR="00D14A0F" w:rsidRDefault="00D14A0F" w:rsidP="00D14A0F">
      <w:pPr>
        <w:tabs>
          <w:tab w:val="left" w:pos="1080"/>
        </w:tabs>
        <w:ind w:firstLine="540"/>
        <w:jc w:val="both"/>
        <w:rPr>
          <w:kern w:val="28"/>
        </w:rPr>
      </w:pPr>
    </w:p>
    <w:p w:rsidR="00D14A0F" w:rsidRDefault="00D14A0F" w:rsidP="00D14A0F">
      <w:pPr>
        <w:tabs>
          <w:tab w:val="left" w:pos="1080"/>
        </w:tabs>
        <w:ind w:firstLine="540"/>
        <w:jc w:val="both"/>
        <w:rPr>
          <w:kern w:val="28"/>
        </w:rPr>
      </w:pPr>
    </w:p>
    <w:p w:rsidR="00D14A0F" w:rsidRDefault="00D14A0F" w:rsidP="00D14A0F">
      <w:pPr>
        <w:tabs>
          <w:tab w:val="left" w:pos="1080"/>
        </w:tabs>
        <w:jc w:val="both"/>
        <w:rPr>
          <w:kern w:val="28"/>
        </w:rPr>
      </w:pPr>
      <w:r>
        <w:rPr>
          <w:kern w:val="28"/>
        </w:rPr>
        <w:t xml:space="preserve">Вчений секретар спеціалізованої </w:t>
      </w:r>
    </w:p>
    <w:p w:rsidR="00D14A0F" w:rsidRDefault="00D14A0F" w:rsidP="00D14A0F">
      <w:pPr>
        <w:tabs>
          <w:tab w:val="left" w:pos="1080"/>
        </w:tabs>
        <w:jc w:val="both"/>
        <w:rPr>
          <w:kern w:val="28"/>
        </w:rPr>
      </w:pPr>
      <w:r>
        <w:rPr>
          <w:kern w:val="28"/>
        </w:rPr>
        <w:t>вченої ради Д 20.601.01,</w:t>
      </w:r>
    </w:p>
    <w:p w:rsidR="00D14A0F" w:rsidRDefault="00D14A0F" w:rsidP="00D14A0F">
      <w:pPr>
        <w:tabs>
          <w:tab w:val="left" w:pos="1080"/>
        </w:tabs>
        <w:rPr>
          <w:caps/>
          <w:kern w:val="28"/>
        </w:rPr>
      </w:pPr>
      <w:r>
        <w:rPr>
          <w:kern w:val="28"/>
        </w:rPr>
        <w:t xml:space="preserve">доктор медичних наук, професор                                                                  </w:t>
      </w:r>
      <w:r>
        <w:rPr>
          <w:b/>
          <w:caps/>
          <w:kern w:val="28"/>
        </w:rPr>
        <w:t xml:space="preserve">О. І. </w:t>
      </w:r>
      <w:r>
        <w:rPr>
          <w:b/>
          <w:kern w:val="28"/>
        </w:rPr>
        <w:t>Дєльцова</w:t>
      </w:r>
      <w:r>
        <w:rPr>
          <w:caps/>
          <w:kern w:val="28"/>
        </w:rPr>
        <w:t xml:space="preserve"> </w:t>
      </w:r>
    </w:p>
    <w:p w:rsidR="00D14A0F" w:rsidRDefault="00D14A0F" w:rsidP="00D14A0F">
      <w:pPr>
        <w:spacing w:line="360" w:lineRule="auto"/>
        <w:jc w:val="both"/>
        <w:rPr>
          <w:sz w:val="28"/>
          <w:szCs w:val="28"/>
        </w:rPr>
      </w:pPr>
    </w:p>
    <w:p w:rsidR="00D14A0F" w:rsidRDefault="00D14A0F" w:rsidP="00D14A0F">
      <w:pPr>
        <w:pStyle w:val="2"/>
        <w:ind w:firstLine="540"/>
        <w:jc w:val="center"/>
        <w:rPr>
          <w:i/>
          <w:sz w:val="24"/>
          <w:szCs w:val="24"/>
        </w:rPr>
      </w:pPr>
      <w:r>
        <w:rPr>
          <w:i/>
          <w:sz w:val="24"/>
          <w:szCs w:val="24"/>
        </w:rPr>
        <w:t>ЗАГАЛЬНА ХАРАКТЕРИСТИКА РОБОТИ</w:t>
      </w:r>
    </w:p>
    <w:p w:rsidR="00D14A0F" w:rsidRPr="004205B0" w:rsidRDefault="00D14A0F" w:rsidP="00D14A0F">
      <w:pPr>
        <w:widowControl w:val="0"/>
        <w:spacing w:line="360" w:lineRule="auto"/>
        <w:ind w:firstLine="709"/>
        <w:jc w:val="both"/>
        <w:rPr>
          <w:bCs/>
        </w:rPr>
      </w:pPr>
      <w:r>
        <w:rPr>
          <w:b/>
        </w:rPr>
        <w:t xml:space="preserve">Актуальність теми. </w:t>
      </w:r>
      <w:r w:rsidRPr="004205B0">
        <w:rPr>
          <w:bCs/>
        </w:rPr>
        <w:t xml:space="preserve">За останні роки рівень первинної захворюваності та розповсюдженості </w:t>
      </w:r>
      <w:r w:rsidRPr="004205B0">
        <w:rPr>
          <w:bCs/>
        </w:rPr>
        <w:lastRenderedPageBreak/>
        <w:t xml:space="preserve">хвороб органів травлення, зокрема захворювань гепатобіліарної системи, значно зріс. Високий рівень цивілізації </w:t>
      </w:r>
      <w:r>
        <w:rPr>
          <w:bCs/>
        </w:rPr>
        <w:t>зу</w:t>
      </w:r>
      <w:r w:rsidRPr="004205B0">
        <w:rPr>
          <w:bCs/>
        </w:rPr>
        <w:t>мовив ріст патології жовчного міхура (ЖМ) і ж</w:t>
      </w:r>
      <w:r>
        <w:rPr>
          <w:bCs/>
        </w:rPr>
        <w:t>овчовивідних шляхів (ЖВШ)</w:t>
      </w:r>
      <w:r w:rsidRPr="004205B0">
        <w:rPr>
          <w:bCs/>
        </w:rPr>
        <w:t>. Питома вага захворювань ЖМ і ЖВШ серед захворювань органів травлення досягла 36,1</w:t>
      </w:r>
      <w:r w:rsidRPr="004205B0">
        <w:rPr>
          <w:kern w:val="56"/>
        </w:rPr>
        <w:t xml:space="preserve">-38,7% </w:t>
      </w:r>
      <w:r>
        <w:rPr>
          <w:kern w:val="56"/>
        </w:rPr>
        <w:t>(</w:t>
      </w:r>
      <w:r w:rsidRPr="004205B0">
        <w:rPr>
          <w:kern w:val="56"/>
        </w:rPr>
        <w:t>Бурдум</w:t>
      </w:r>
      <w:r w:rsidRPr="00072776">
        <w:rPr>
          <w:kern w:val="56"/>
        </w:rPr>
        <w:t xml:space="preserve"> </w:t>
      </w:r>
      <w:r>
        <w:rPr>
          <w:kern w:val="56"/>
        </w:rPr>
        <w:t>Н. М.,</w:t>
      </w:r>
      <w:r w:rsidRPr="004205B0">
        <w:rPr>
          <w:kern w:val="56"/>
        </w:rPr>
        <w:t xml:space="preserve"> Ронюк</w:t>
      </w:r>
      <w:r w:rsidRPr="00072776">
        <w:rPr>
          <w:kern w:val="56"/>
        </w:rPr>
        <w:t xml:space="preserve"> </w:t>
      </w:r>
      <w:r w:rsidRPr="004205B0">
        <w:rPr>
          <w:kern w:val="56"/>
        </w:rPr>
        <w:t>Л. Г</w:t>
      </w:r>
      <w:r>
        <w:rPr>
          <w:kern w:val="56"/>
        </w:rPr>
        <w:t>.</w:t>
      </w:r>
      <w:r w:rsidRPr="004205B0">
        <w:rPr>
          <w:kern w:val="56"/>
        </w:rPr>
        <w:t>, 2009</w:t>
      </w:r>
      <w:r w:rsidRPr="00CA78A8">
        <w:rPr>
          <w:kern w:val="56"/>
        </w:rPr>
        <w:t>)</w:t>
      </w:r>
      <w:r>
        <w:rPr>
          <w:kern w:val="56"/>
        </w:rPr>
        <w:t>.</w:t>
      </w:r>
      <w:r w:rsidRPr="004205B0">
        <w:rPr>
          <w:bCs/>
        </w:rPr>
        <w:t xml:space="preserve"> </w:t>
      </w:r>
    </w:p>
    <w:p w:rsidR="00D14A0F" w:rsidRPr="004205B0" w:rsidRDefault="00D14A0F" w:rsidP="00D14A0F">
      <w:pPr>
        <w:widowControl w:val="0"/>
        <w:spacing w:line="360" w:lineRule="auto"/>
        <w:ind w:firstLine="709"/>
        <w:jc w:val="both"/>
        <w:rPr>
          <w:b/>
          <w:bCs/>
          <w:u w:val="single"/>
        </w:rPr>
      </w:pPr>
      <w:r w:rsidRPr="004205B0">
        <w:rPr>
          <w:bCs/>
        </w:rPr>
        <w:t>Хронічний некаменевий холецистит (ХНХ) є найбільш розповсюдженим захворюванням серед патологічних станів гепатобіліарної зони. Хворі на ХНХ</w:t>
      </w:r>
      <w:r>
        <w:rPr>
          <w:bCs/>
        </w:rPr>
        <w:t>,</w:t>
      </w:r>
      <w:r w:rsidRPr="004205B0">
        <w:rPr>
          <w:bCs/>
        </w:rPr>
        <w:t xml:space="preserve"> за д</w:t>
      </w:r>
      <w:r>
        <w:rPr>
          <w:bCs/>
        </w:rPr>
        <w:t xml:space="preserve">аними різних авторів, </w:t>
      </w:r>
      <w:r w:rsidRPr="004205B0">
        <w:rPr>
          <w:bCs/>
        </w:rPr>
        <w:t xml:space="preserve">становлять 17-19%, а в індустріально розвинутих країнах </w:t>
      </w:r>
      <w:r w:rsidRPr="004205B0">
        <w:rPr>
          <w:kern w:val="56"/>
        </w:rPr>
        <w:t xml:space="preserve">– до 20% </w:t>
      </w:r>
      <w:r>
        <w:rPr>
          <w:bCs/>
        </w:rPr>
        <w:t>(</w:t>
      </w:r>
      <w:r w:rsidRPr="004205B0">
        <w:rPr>
          <w:bCs/>
        </w:rPr>
        <w:t>Решетников О. В</w:t>
      </w:r>
      <w:r>
        <w:rPr>
          <w:bCs/>
        </w:rPr>
        <w:t>.</w:t>
      </w:r>
      <w:r w:rsidRPr="004205B0">
        <w:rPr>
          <w:bCs/>
        </w:rPr>
        <w:t xml:space="preserve"> и соавт., 2004; </w:t>
      </w:r>
      <w:r>
        <w:rPr>
          <w:bCs/>
        </w:rPr>
        <w:t>Скворцов</w:t>
      </w:r>
      <w:r w:rsidRPr="00072776">
        <w:rPr>
          <w:bCs/>
        </w:rPr>
        <w:t xml:space="preserve"> </w:t>
      </w:r>
      <w:r w:rsidRPr="004205B0">
        <w:rPr>
          <w:bCs/>
        </w:rPr>
        <w:t>В. В.</w:t>
      </w:r>
      <w:r>
        <w:rPr>
          <w:bCs/>
        </w:rPr>
        <w:t>, Тумаренко</w:t>
      </w:r>
      <w:r w:rsidRPr="00072776">
        <w:rPr>
          <w:bCs/>
        </w:rPr>
        <w:t xml:space="preserve"> </w:t>
      </w:r>
      <w:r>
        <w:rPr>
          <w:bCs/>
        </w:rPr>
        <w:t>А. В., 2009)</w:t>
      </w:r>
      <w:r w:rsidRPr="004205B0">
        <w:rPr>
          <w:bCs/>
        </w:rPr>
        <w:t>. Уражаючи людей працездатного віку, ХНХ має схильність до рецидивів. Необхідність постійного диспансерного спостереження, частого обстеження, тривалих повторних курсів лікування обумовлює не тільк</w:t>
      </w:r>
      <w:r>
        <w:rPr>
          <w:bCs/>
        </w:rPr>
        <w:t>и</w:t>
      </w:r>
      <w:r w:rsidRPr="004205B0">
        <w:rPr>
          <w:bCs/>
        </w:rPr>
        <w:t xml:space="preserve"> </w:t>
      </w:r>
      <w:r>
        <w:rPr>
          <w:bCs/>
        </w:rPr>
        <w:t>його</w:t>
      </w:r>
      <w:r w:rsidRPr="004205B0">
        <w:rPr>
          <w:bCs/>
        </w:rPr>
        <w:t xml:space="preserve"> медичне, а й соціальне значення. Крім того, спостерігається тенденція до зростання кількості ускладнень</w:t>
      </w:r>
      <w:r>
        <w:rPr>
          <w:bCs/>
        </w:rPr>
        <w:t xml:space="preserve"> ХНХ</w:t>
      </w:r>
      <w:r w:rsidRPr="004205B0">
        <w:rPr>
          <w:bCs/>
        </w:rPr>
        <w:t xml:space="preserve">, а саме жовчокам'яної хвороби </w:t>
      </w:r>
      <w:r>
        <w:rPr>
          <w:bCs/>
        </w:rPr>
        <w:t>(</w:t>
      </w:r>
      <w:r w:rsidRPr="00F93D8C">
        <w:rPr>
          <w:bCs/>
        </w:rPr>
        <w:t>Харченко Н. В., Анохіна, Г. А., Харченко В. В., 2004</w:t>
      </w:r>
      <w:r w:rsidRPr="00FA6178">
        <w:rPr>
          <w:bCs/>
        </w:rPr>
        <w:t>;</w:t>
      </w:r>
      <w:r>
        <w:rPr>
          <w:bCs/>
        </w:rPr>
        <w:t xml:space="preserve"> Дейнеко</w:t>
      </w:r>
      <w:r w:rsidRPr="006F2931">
        <w:rPr>
          <w:bCs/>
        </w:rPr>
        <w:t xml:space="preserve"> </w:t>
      </w:r>
      <w:r>
        <w:rPr>
          <w:bCs/>
        </w:rPr>
        <w:t>Н. Ф., 2002)</w:t>
      </w:r>
      <w:r w:rsidRPr="004205B0">
        <w:rPr>
          <w:bCs/>
        </w:rPr>
        <w:t>.</w:t>
      </w:r>
      <w:r>
        <w:rPr>
          <w:bCs/>
        </w:rPr>
        <w:t xml:space="preserve"> З</w:t>
      </w:r>
      <w:r w:rsidRPr="004205B0">
        <w:rPr>
          <w:bCs/>
        </w:rPr>
        <w:t xml:space="preserve">олотим стандартом </w:t>
      </w:r>
      <w:r>
        <w:rPr>
          <w:bCs/>
        </w:rPr>
        <w:t xml:space="preserve">її </w:t>
      </w:r>
      <w:r w:rsidRPr="004205B0">
        <w:rPr>
          <w:bCs/>
        </w:rPr>
        <w:t>лікування вва</w:t>
      </w:r>
      <w:r>
        <w:rPr>
          <w:bCs/>
        </w:rPr>
        <w:t>жається холецистектомія (</w:t>
      </w:r>
      <w:r w:rsidRPr="004205B0">
        <w:rPr>
          <w:bCs/>
        </w:rPr>
        <w:t>Ильченко</w:t>
      </w:r>
      <w:r w:rsidRPr="006F2931">
        <w:rPr>
          <w:bCs/>
        </w:rPr>
        <w:t xml:space="preserve"> </w:t>
      </w:r>
      <w:r w:rsidRPr="004205B0">
        <w:rPr>
          <w:bCs/>
        </w:rPr>
        <w:t>А. А., 2004</w:t>
      </w:r>
      <w:r>
        <w:rPr>
          <w:bCs/>
        </w:rPr>
        <w:t>)</w:t>
      </w:r>
      <w:r w:rsidRPr="004205B0">
        <w:rPr>
          <w:bCs/>
        </w:rPr>
        <w:t>. Однак, враховуючи, що патологія ЖВШ схильна до хронічного, рецидивуючого перебігу, а патогенетичні основи формування каменів у ЖМ не кор</w:t>
      </w:r>
      <w:r w:rsidRPr="00F93D8C">
        <w:rPr>
          <w:bCs/>
        </w:rPr>
        <w:t>и</w:t>
      </w:r>
      <w:r w:rsidRPr="004205B0">
        <w:rPr>
          <w:bCs/>
        </w:rPr>
        <w:t xml:space="preserve">гуються оперативними втручаннями, проведення холецистектомії не вирішує проблеми </w:t>
      </w:r>
      <w:r>
        <w:rPr>
          <w:bCs/>
        </w:rPr>
        <w:t>(</w:t>
      </w:r>
      <w:r w:rsidRPr="004205B0">
        <w:rPr>
          <w:bCs/>
        </w:rPr>
        <w:t>Лейшнер</w:t>
      </w:r>
      <w:r w:rsidRPr="006F2931">
        <w:rPr>
          <w:bCs/>
        </w:rPr>
        <w:t xml:space="preserve"> </w:t>
      </w:r>
      <w:r w:rsidRPr="004205B0">
        <w:rPr>
          <w:bCs/>
        </w:rPr>
        <w:t>У., 2001;</w:t>
      </w:r>
      <w:r>
        <w:rPr>
          <w:bCs/>
        </w:rPr>
        <w:t xml:space="preserve"> Звягінцева Т. Д., 2008)</w:t>
      </w:r>
      <w:r w:rsidRPr="004205B0">
        <w:rPr>
          <w:bCs/>
        </w:rPr>
        <w:t xml:space="preserve">. </w:t>
      </w:r>
    </w:p>
    <w:p w:rsidR="00D14A0F" w:rsidRPr="00EC498C" w:rsidRDefault="00D14A0F" w:rsidP="00D14A0F">
      <w:pPr>
        <w:widowControl w:val="0"/>
        <w:spacing w:line="360" w:lineRule="auto"/>
        <w:ind w:firstLine="709"/>
        <w:jc w:val="both"/>
        <w:rPr>
          <w:bCs/>
        </w:rPr>
      </w:pPr>
      <w:r w:rsidRPr="00534AB5">
        <w:rPr>
          <w:bCs/>
        </w:rPr>
        <w:t xml:space="preserve"> Велику увагу науковці надають вивченню</w:t>
      </w:r>
      <w:r>
        <w:rPr>
          <w:bCs/>
        </w:rPr>
        <w:t xml:space="preserve"> патогенетичних ланок ХНХ (</w:t>
      </w:r>
      <w:r w:rsidRPr="00F93D8C">
        <w:rPr>
          <w:bCs/>
        </w:rPr>
        <w:t>Пасиешвили Л. М., Власенко Е. В., 2004). Початок захворювання пов'язують із порушенням мото</w:t>
      </w:r>
      <w:r w:rsidRPr="00534AB5">
        <w:rPr>
          <w:bCs/>
        </w:rPr>
        <w:t xml:space="preserve">рної функції </w:t>
      </w:r>
      <w:r w:rsidRPr="004205B0">
        <w:rPr>
          <w:bCs/>
        </w:rPr>
        <w:t>ЖМ</w:t>
      </w:r>
      <w:r w:rsidRPr="00534AB5">
        <w:rPr>
          <w:bCs/>
        </w:rPr>
        <w:t xml:space="preserve">, особливо </w:t>
      </w:r>
      <w:r>
        <w:rPr>
          <w:bCs/>
        </w:rPr>
        <w:t xml:space="preserve">в </w:t>
      </w:r>
      <w:r w:rsidRPr="00534AB5">
        <w:rPr>
          <w:bCs/>
        </w:rPr>
        <w:t>поєднанні з дисхолією, що сприяє розвитку асептичного</w:t>
      </w:r>
      <w:r w:rsidRPr="00EC498C">
        <w:rPr>
          <w:bCs/>
        </w:rPr>
        <w:t xml:space="preserve"> запале</w:t>
      </w:r>
      <w:r>
        <w:rPr>
          <w:bCs/>
        </w:rPr>
        <w:t>ння в слизовій оболонці (Дегтярьова</w:t>
      </w:r>
      <w:r w:rsidRPr="006F2931">
        <w:rPr>
          <w:bCs/>
        </w:rPr>
        <w:t xml:space="preserve"> </w:t>
      </w:r>
      <w:r w:rsidRPr="00DB1D85">
        <w:rPr>
          <w:bCs/>
        </w:rPr>
        <w:t>І. І.</w:t>
      </w:r>
      <w:r>
        <w:rPr>
          <w:bCs/>
        </w:rPr>
        <w:t xml:space="preserve">, </w:t>
      </w:r>
      <w:r w:rsidRPr="003C307C">
        <w:rPr>
          <w:bCs/>
        </w:rPr>
        <w:t>2003</w:t>
      </w:r>
      <w:r>
        <w:rPr>
          <w:bCs/>
        </w:rPr>
        <w:t>)</w:t>
      </w:r>
      <w:r w:rsidRPr="003C307C">
        <w:rPr>
          <w:bCs/>
        </w:rPr>
        <w:t>.</w:t>
      </w:r>
      <w:r>
        <w:rPr>
          <w:bCs/>
        </w:rPr>
        <w:t xml:space="preserve"> У подал</w:t>
      </w:r>
      <w:r w:rsidRPr="00EC498C">
        <w:rPr>
          <w:bCs/>
        </w:rPr>
        <w:t>ьшому приєднується інфекція</w:t>
      </w:r>
      <w:r>
        <w:rPr>
          <w:bCs/>
        </w:rPr>
        <w:t>, р</w:t>
      </w:r>
      <w:r w:rsidRPr="00EC498C">
        <w:rPr>
          <w:bCs/>
        </w:rPr>
        <w:t>озвивається хронічний запальний проц</w:t>
      </w:r>
      <w:r>
        <w:rPr>
          <w:bCs/>
        </w:rPr>
        <w:t>ес, що локалізується не тільки в</w:t>
      </w:r>
      <w:r w:rsidRPr="00EC498C">
        <w:rPr>
          <w:bCs/>
        </w:rPr>
        <w:t xml:space="preserve"> </w:t>
      </w:r>
      <w:r w:rsidRPr="004205B0">
        <w:rPr>
          <w:bCs/>
        </w:rPr>
        <w:t>ЖМ,</w:t>
      </w:r>
      <w:r w:rsidRPr="00EC498C">
        <w:rPr>
          <w:bCs/>
        </w:rPr>
        <w:t xml:space="preserve"> але й охоплює жовчні протоки. Зміни фізико-хімічних властивостей та біохімічної структури жовчі сприяють підтриманню запалення та каменеутворе</w:t>
      </w:r>
      <w:r>
        <w:rPr>
          <w:bCs/>
        </w:rPr>
        <w:t>ння в</w:t>
      </w:r>
      <w:r w:rsidRPr="00EC498C">
        <w:rPr>
          <w:bCs/>
        </w:rPr>
        <w:t xml:space="preserve"> </w:t>
      </w:r>
      <w:r>
        <w:rPr>
          <w:bCs/>
        </w:rPr>
        <w:t>ЖМ</w:t>
      </w:r>
      <w:r w:rsidRPr="00EC498C">
        <w:rPr>
          <w:bCs/>
        </w:rPr>
        <w:t>.</w:t>
      </w:r>
      <w:r w:rsidRPr="00BF1B13">
        <w:rPr>
          <w:bCs/>
        </w:rPr>
        <w:t xml:space="preserve"> </w:t>
      </w:r>
      <w:r>
        <w:rPr>
          <w:bCs/>
        </w:rPr>
        <w:t>(Міщук В. Г., 2008)</w:t>
      </w:r>
      <w:r w:rsidRPr="00EC498C">
        <w:rPr>
          <w:bCs/>
        </w:rPr>
        <w:t>. Тому дослідження дискін</w:t>
      </w:r>
      <w:r>
        <w:rPr>
          <w:bCs/>
        </w:rPr>
        <w:t>езії ЖВШ</w:t>
      </w:r>
      <w:r w:rsidRPr="00EC498C">
        <w:rPr>
          <w:bCs/>
        </w:rPr>
        <w:t xml:space="preserve">, вивчення феномену біліарного сладжу надзвичайно важливе для розуміння проблеми </w:t>
      </w:r>
      <w:r>
        <w:rPr>
          <w:bCs/>
        </w:rPr>
        <w:t>ХНХ</w:t>
      </w:r>
      <w:r w:rsidRPr="00EC498C">
        <w:rPr>
          <w:bCs/>
        </w:rPr>
        <w:t>.</w:t>
      </w:r>
    </w:p>
    <w:p w:rsidR="00D14A0F" w:rsidRDefault="00D14A0F" w:rsidP="00D14A0F">
      <w:pPr>
        <w:widowControl w:val="0"/>
        <w:spacing w:line="360" w:lineRule="auto"/>
        <w:ind w:firstLine="709"/>
        <w:jc w:val="both"/>
        <w:rPr>
          <w:bCs/>
        </w:rPr>
      </w:pPr>
      <w:r w:rsidRPr="00EC498C">
        <w:rPr>
          <w:bCs/>
        </w:rPr>
        <w:t xml:space="preserve">У розвитку запального процесу важливе місце </w:t>
      </w:r>
      <w:r>
        <w:rPr>
          <w:bCs/>
        </w:rPr>
        <w:t>належить</w:t>
      </w:r>
      <w:r w:rsidRPr="00EC498C">
        <w:rPr>
          <w:bCs/>
        </w:rPr>
        <w:t xml:space="preserve"> порушення</w:t>
      </w:r>
      <w:r>
        <w:rPr>
          <w:bCs/>
        </w:rPr>
        <w:t>м</w:t>
      </w:r>
      <w:r w:rsidRPr="00EC498C">
        <w:rPr>
          <w:bCs/>
        </w:rPr>
        <w:t xml:space="preserve"> функціонування імунної системи та системи захисту організму від пошкоджуючих агентів. Недостатнє висвітлення ролі цитокінів, перекисного окислення ліпідів</w:t>
      </w:r>
      <w:r>
        <w:rPr>
          <w:bCs/>
        </w:rPr>
        <w:t xml:space="preserve"> (ПОЛ)</w:t>
      </w:r>
      <w:r w:rsidRPr="00EC498C">
        <w:rPr>
          <w:bCs/>
        </w:rPr>
        <w:t xml:space="preserve"> та системи антиоксидантного захисту</w:t>
      </w:r>
      <w:r>
        <w:rPr>
          <w:bCs/>
        </w:rPr>
        <w:t xml:space="preserve"> (АОЗ)</w:t>
      </w:r>
      <w:r w:rsidRPr="00EC498C">
        <w:rPr>
          <w:bCs/>
        </w:rPr>
        <w:t xml:space="preserve"> у розвитку </w:t>
      </w:r>
      <w:r>
        <w:rPr>
          <w:bCs/>
        </w:rPr>
        <w:t>ХНХ</w:t>
      </w:r>
      <w:r w:rsidRPr="00EC498C">
        <w:rPr>
          <w:bCs/>
        </w:rPr>
        <w:t xml:space="preserve"> зумовлює актуальність вивчення їх ролі при хронічній патології </w:t>
      </w:r>
      <w:r>
        <w:rPr>
          <w:bCs/>
        </w:rPr>
        <w:t>ЖВШ.</w:t>
      </w:r>
    </w:p>
    <w:p w:rsidR="00D14A0F" w:rsidRDefault="00D14A0F" w:rsidP="00D14A0F">
      <w:pPr>
        <w:widowControl w:val="0"/>
        <w:spacing w:line="360" w:lineRule="auto"/>
        <w:ind w:firstLine="709"/>
        <w:jc w:val="both"/>
        <w:rPr>
          <w:bCs/>
        </w:rPr>
      </w:pPr>
      <w:r w:rsidRPr="00EC498C">
        <w:rPr>
          <w:bCs/>
        </w:rPr>
        <w:t xml:space="preserve">Одночасно з вивченням патогенетичних ланок захворювання актуальним залишається й пошук нових комплексів лікарських засобів, які б могли позитивно вплинути на згадані механізми розвитку та перебігу ХНХ. </w:t>
      </w:r>
    </w:p>
    <w:p w:rsidR="00D14A0F" w:rsidRDefault="00D14A0F" w:rsidP="00D14A0F">
      <w:pPr>
        <w:widowControl w:val="0"/>
        <w:spacing w:line="360" w:lineRule="auto"/>
        <w:ind w:firstLine="709"/>
        <w:jc w:val="both"/>
        <w:rPr>
          <w:bCs/>
        </w:rPr>
      </w:pPr>
    </w:p>
    <w:p w:rsidR="00D14A0F" w:rsidRPr="00EC498C" w:rsidRDefault="00D14A0F" w:rsidP="00D14A0F">
      <w:pPr>
        <w:widowControl w:val="0"/>
        <w:spacing w:line="360" w:lineRule="auto"/>
        <w:ind w:firstLine="709"/>
        <w:jc w:val="both"/>
        <w:rPr>
          <w:bCs/>
        </w:rPr>
      </w:pPr>
    </w:p>
    <w:p w:rsidR="00D14A0F" w:rsidRPr="00EC498C" w:rsidRDefault="00D14A0F" w:rsidP="00D14A0F">
      <w:pPr>
        <w:widowControl w:val="0"/>
        <w:spacing w:line="360" w:lineRule="auto"/>
        <w:ind w:firstLine="709"/>
        <w:jc w:val="both"/>
        <w:rPr>
          <w:bCs/>
        </w:rPr>
      </w:pPr>
      <w:r w:rsidRPr="00E32016">
        <w:rPr>
          <w:b/>
        </w:rPr>
        <w:lastRenderedPageBreak/>
        <w:t>Зв'язок роботи з науковими програмами,  планами, темами.</w:t>
      </w:r>
      <w:r>
        <w:rPr>
          <w:b/>
        </w:rPr>
        <w:t xml:space="preserve"> </w:t>
      </w:r>
    </w:p>
    <w:p w:rsidR="00D14A0F" w:rsidRPr="00186B04" w:rsidRDefault="00D14A0F" w:rsidP="00D14A0F">
      <w:pPr>
        <w:spacing w:line="360" w:lineRule="auto"/>
        <w:ind w:firstLine="720"/>
        <w:jc w:val="both"/>
      </w:pPr>
      <w:r w:rsidRPr="00940FD4">
        <w:t>Матеріали дисертації є фрагментом комплексної науково-дослідної роботи ”Перебіг та лікування захворювань шлунково-кишкового тракту в умовах впливу модифікуючих чинників та поєднаної патології</w:t>
      </w:r>
      <w:r w:rsidRPr="00F93D8C">
        <w:t>” (№ держреєстрації 0108</w:t>
      </w:r>
      <w:r w:rsidRPr="00F93D8C">
        <w:rPr>
          <w:lang w:val="en-US"/>
        </w:rPr>
        <w:t>U</w:t>
      </w:r>
      <w:r w:rsidRPr="00F93D8C">
        <w:t>003987),</w:t>
      </w:r>
      <w:r w:rsidRPr="00940FD4">
        <w:t xml:space="preserve"> що виконується в Івано-Франківському національному медичному університеті. </w:t>
      </w:r>
    </w:p>
    <w:p w:rsidR="00D14A0F" w:rsidRPr="006F2931" w:rsidRDefault="00D14A0F" w:rsidP="00D14A0F">
      <w:pPr>
        <w:widowControl w:val="0"/>
        <w:spacing w:line="360" w:lineRule="auto"/>
        <w:ind w:firstLine="709"/>
        <w:jc w:val="both"/>
        <w:rPr>
          <w:bCs/>
        </w:rPr>
      </w:pPr>
      <w:r w:rsidRPr="00E32016">
        <w:rPr>
          <w:b/>
        </w:rPr>
        <w:t xml:space="preserve">Мета </w:t>
      </w:r>
      <w:r w:rsidRPr="00F245C8">
        <w:rPr>
          <w:b/>
        </w:rPr>
        <w:t xml:space="preserve">дослідження: </w:t>
      </w:r>
      <w:r w:rsidRPr="00940FD4">
        <w:rPr>
          <w:bCs/>
        </w:rPr>
        <w:t>підвищення</w:t>
      </w:r>
      <w:r w:rsidRPr="006F2931">
        <w:rPr>
          <w:bCs/>
        </w:rPr>
        <w:t xml:space="preserve"> </w:t>
      </w:r>
      <w:r w:rsidRPr="00940FD4">
        <w:rPr>
          <w:bCs/>
        </w:rPr>
        <w:t>ефективності</w:t>
      </w:r>
      <w:r w:rsidRPr="006F2931">
        <w:rPr>
          <w:bCs/>
        </w:rPr>
        <w:t xml:space="preserve"> </w:t>
      </w:r>
      <w:r w:rsidRPr="00940FD4">
        <w:rPr>
          <w:bCs/>
        </w:rPr>
        <w:t>лікування</w:t>
      </w:r>
      <w:r w:rsidRPr="006F2931">
        <w:rPr>
          <w:bCs/>
        </w:rPr>
        <w:t xml:space="preserve"> </w:t>
      </w:r>
      <w:r w:rsidRPr="00940FD4">
        <w:rPr>
          <w:bCs/>
        </w:rPr>
        <w:t>хворих</w:t>
      </w:r>
      <w:r w:rsidRPr="006F2931">
        <w:rPr>
          <w:bCs/>
        </w:rPr>
        <w:t xml:space="preserve"> </w:t>
      </w:r>
      <w:r w:rsidRPr="00940FD4">
        <w:rPr>
          <w:bCs/>
        </w:rPr>
        <w:t>на</w:t>
      </w:r>
      <w:r w:rsidRPr="006F2931">
        <w:rPr>
          <w:bCs/>
        </w:rPr>
        <w:t xml:space="preserve"> </w:t>
      </w:r>
      <w:r>
        <w:rPr>
          <w:bCs/>
        </w:rPr>
        <w:t>ХНХ</w:t>
      </w:r>
      <w:r w:rsidRPr="006F2931">
        <w:rPr>
          <w:bCs/>
        </w:rPr>
        <w:t xml:space="preserve"> </w:t>
      </w:r>
      <w:r w:rsidRPr="00940FD4">
        <w:rPr>
          <w:bCs/>
        </w:rPr>
        <w:t>на</w:t>
      </w:r>
      <w:r w:rsidRPr="006F2931">
        <w:rPr>
          <w:bCs/>
        </w:rPr>
        <w:t xml:space="preserve"> </w:t>
      </w:r>
      <w:r w:rsidRPr="00940FD4">
        <w:rPr>
          <w:bCs/>
        </w:rPr>
        <w:t>основі</w:t>
      </w:r>
      <w:r w:rsidRPr="006F2931">
        <w:rPr>
          <w:bCs/>
        </w:rPr>
        <w:t xml:space="preserve"> </w:t>
      </w:r>
      <w:r w:rsidRPr="00940FD4">
        <w:rPr>
          <w:bCs/>
        </w:rPr>
        <w:t>вивчення</w:t>
      </w:r>
      <w:r w:rsidRPr="006F2931">
        <w:rPr>
          <w:bCs/>
        </w:rPr>
        <w:t xml:space="preserve"> </w:t>
      </w:r>
      <w:r w:rsidRPr="00940FD4">
        <w:rPr>
          <w:bCs/>
        </w:rPr>
        <w:t>клінічного</w:t>
      </w:r>
      <w:r w:rsidRPr="006F2931">
        <w:rPr>
          <w:bCs/>
        </w:rPr>
        <w:t xml:space="preserve"> </w:t>
      </w:r>
      <w:r w:rsidRPr="00940FD4">
        <w:rPr>
          <w:bCs/>
        </w:rPr>
        <w:t>перебігу</w:t>
      </w:r>
      <w:r w:rsidRPr="006F2931">
        <w:rPr>
          <w:bCs/>
        </w:rPr>
        <w:t xml:space="preserve"> </w:t>
      </w:r>
      <w:r w:rsidRPr="00940FD4">
        <w:rPr>
          <w:bCs/>
        </w:rPr>
        <w:t>захворювання</w:t>
      </w:r>
      <w:r w:rsidRPr="006F2931">
        <w:rPr>
          <w:bCs/>
        </w:rPr>
        <w:t xml:space="preserve">, </w:t>
      </w:r>
      <w:r w:rsidRPr="00940FD4">
        <w:rPr>
          <w:bCs/>
        </w:rPr>
        <w:t>патогенетичних</w:t>
      </w:r>
      <w:r w:rsidRPr="006F2931">
        <w:rPr>
          <w:bCs/>
        </w:rPr>
        <w:t xml:space="preserve"> </w:t>
      </w:r>
      <w:r w:rsidRPr="00940FD4">
        <w:rPr>
          <w:bCs/>
        </w:rPr>
        <w:t>механізмів</w:t>
      </w:r>
      <w:r w:rsidRPr="006F2931">
        <w:rPr>
          <w:bCs/>
        </w:rPr>
        <w:t xml:space="preserve"> </w:t>
      </w:r>
      <w:r w:rsidRPr="00940FD4">
        <w:rPr>
          <w:bCs/>
        </w:rPr>
        <w:t>розвитку</w:t>
      </w:r>
      <w:r w:rsidRPr="006F2931">
        <w:rPr>
          <w:bCs/>
        </w:rPr>
        <w:t xml:space="preserve"> </w:t>
      </w:r>
      <w:r w:rsidRPr="00940FD4">
        <w:rPr>
          <w:bCs/>
        </w:rPr>
        <w:t>і</w:t>
      </w:r>
      <w:r w:rsidRPr="006F2931">
        <w:rPr>
          <w:bCs/>
        </w:rPr>
        <w:t xml:space="preserve"> </w:t>
      </w:r>
      <w:r w:rsidRPr="00940FD4">
        <w:rPr>
          <w:bCs/>
        </w:rPr>
        <w:t>прогресування</w:t>
      </w:r>
      <w:r w:rsidRPr="006F2931">
        <w:rPr>
          <w:bCs/>
        </w:rPr>
        <w:t xml:space="preserve"> </w:t>
      </w:r>
      <w:r w:rsidRPr="00940FD4">
        <w:rPr>
          <w:bCs/>
        </w:rPr>
        <w:t>та</w:t>
      </w:r>
      <w:r w:rsidRPr="006F2931">
        <w:rPr>
          <w:bCs/>
        </w:rPr>
        <w:t xml:space="preserve"> </w:t>
      </w:r>
      <w:r w:rsidRPr="00940FD4">
        <w:rPr>
          <w:bCs/>
        </w:rPr>
        <w:t>обґрунтування</w:t>
      </w:r>
      <w:r w:rsidRPr="006F2931">
        <w:rPr>
          <w:bCs/>
        </w:rPr>
        <w:t xml:space="preserve"> </w:t>
      </w:r>
      <w:r w:rsidRPr="00940FD4">
        <w:rPr>
          <w:bCs/>
        </w:rPr>
        <w:t>застосування</w:t>
      </w:r>
      <w:r w:rsidRPr="006F2931">
        <w:rPr>
          <w:bCs/>
        </w:rPr>
        <w:t xml:space="preserve"> </w:t>
      </w:r>
      <w:r>
        <w:rPr>
          <w:bCs/>
        </w:rPr>
        <w:t>в</w:t>
      </w:r>
      <w:r w:rsidRPr="006F2931">
        <w:rPr>
          <w:bCs/>
        </w:rPr>
        <w:t xml:space="preserve"> </w:t>
      </w:r>
      <w:r w:rsidRPr="00940FD4">
        <w:rPr>
          <w:bCs/>
        </w:rPr>
        <w:t>комплексному</w:t>
      </w:r>
      <w:r w:rsidRPr="006F2931">
        <w:rPr>
          <w:bCs/>
        </w:rPr>
        <w:t xml:space="preserve"> </w:t>
      </w:r>
      <w:r w:rsidRPr="00940FD4">
        <w:rPr>
          <w:bCs/>
        </w:rPr>
        <w:t>лікуванні</w:t>
      </w:r>
      <w:r w:rsidRPr="006F2931">
        <w:rPr>
          <w:bCs/>
        </w:rPr>
        <w:t xml:space="preserve">  </w:t>
      </w:r>
      <w:r w:rsidRPr="00940FD4">
        <w:rPr>
          <w:bCs/>
        </w:rPr>
        <w:t>глутаргіну</w:t>
      </w:r>
      <w:r w:rsidRPr="006F2931">
        <w:rPr>
          <w:bCs/>
        </w:rPr>
        <w:t xml:space="preserve"> </w:t>
      </w:r>
      <w:r w:rsidRPr="00940FD4">
        <w:rPr>
          <w:bCs/>
        </w:rPr>
        <w:t>та</w:t>
      </w:r>
      <w:r w:rsidRPr="006F2931">
        <w:rPr>
          <w:bCs/>
        </w:rPr>
        <w:t xml:space="preserve"> </w:t>
      </w:r>
      <w:r>
        <w:rPr>
          <w:bCs/>
        </w:rPr>
        <w:t>урсодезоксихолевої кислоти (УДХК).</w:t>
      </w:r>
    </w:p>
    <w:p w:rsidR="00D14A0F" w:rsidRPr="0067054E" w:rsidRDefault="00D14A0F" w:rsidP="00D14A0F">
      <w:pPr>
        <w:spacing w:line="360" w:lineRule="auto"/>
        <w:ind w:firstLine="720"/>
        <w:jc w:val="both"/>
      </w:pPr>
      <w:r>
        <w:rPr>
          <w:b/>
        </w:rPr>
        <w:t>З</w:t>
      </w:r>
      <w:r w:rsidRPr="00E32016">
        <w:rPr>
          <w:b/>
        </w:rPr>
        <w:t>авдання</w:t>
      </w:r>
      <w:r>
        <w:rPr>
          <w:b/>
        </w:rPr>
        <w:t xml:space="preserve"> дослідження</w:t>
      </w:r>
      <w:r w:rsidRPr="00E32016">
        <w:t>:</w:t>
      </w:r>
    </w:p>
    <w:p w:rsidR="00D14A0F" w:rsidRPr="0002789C" w:rsidRDefault="00D14A0F" w:rsidP="00415715">
      <w:pPr>
        <w:numPr>
          <w:ilvl w:val="0"/>
          <w:numId w:val="39"/>
        </w:numPr>
        <w:tabs>
          <w:tab w:val="clear" w:pos="1069"/>
          <w:tab w:val="num" w:pos="360"/>
          <w:tab w:val="num" w:pos="540"/>
        </w:tabs>
        <w:spacing w:after="0" w:line="360" w:lineRule="auto"/>
        <w:ind w:left="360"/>
        <w:jc w:val="both"/>
      </w:pPr>
      <w:r w:rsidRPr="0002789C">
        <w:t xml:space="preserve">Вивчити клініко-лабораторні особливості перебігу ХНХ з врахуванням кінетики </w:t>
      </w:r>
      <w:r>
        <w:rPr>
          <w:bCs/>
        </w:rPr>
        <w:t>ЖВШ та</w:t>
      </w:r>
      <w:r w:rsidRPr="0002789C">
        <w:t xml:space="preserve"> біохімічного складу жовчі.</w:t>
      </w:r>
    </w:p>
    <w:p w:rsidR="00D14A0F" w:rsidRPr="0002789C" w:rsidRDefault="00D14A0F" w:rsidP="00415715">
      <w:pPr>
        <w:numPr>
          <w:ilvl w:val="0"/>
          <w:numId w:val="39"/>
        </w:numPr>
        <w:tabs>
          <w:tab w:val="clear" w:pos="1069"/>
          <w:tab w:val="num" w:pos="360"/>
          <w:tab w:val="num" w:pos="540"/>
        </w:tabs>
        <w:spacing w:after="0" w:line="360" w:lineRule="auto"/>
        <w:ind w:left="360"/>
        <w:jc w:val="both"/>
      </w:pPr>
      <w:r w:rsidRPr="0002789C">
        <w:t>Дослідити рівень</w:t>
      </w:r>
      <w:r>
        <w:t xml:space="preserve"> окремих цитокінів (</w:t>
      </w:r>
      <w:r w:rsidRPr="0002789C">
        <w:t>фактора некрозу пухлини-α</w:t>
      </w:r>
      <w:r>
        <w:t>, ФНП-α;</w:t>
      </w:r>
      <w:r w:rsidRPr="0002789C">
        <w:t xml:space="preserve"> інтерлейкіну-1β</w:t>
      </w:r>
      <w:r>
        <w:t>, ІЛ-</w:t>
      </w:r>
      <w:r w:rsidRPr="0002789C">
        <w:t>1β та інтерлейкіну-10</w:t>
      </w:r>
      <w:r>
        <w:t>, ІЛ-10</w:t>
      </w:r>
      <w:r w:rsidRPr="00D40921">
        <w:t>)</w:t>
      </w:r>
      <w:r>
        <w:t xml:space="preserve"> у хворих на ХНХ та ступінь взаємозв’язку між ними.</w:t>
      </w:r>
    </w:p>
    <w:p w:rsidR="00D14A0F" w:rsidRDefault="00D14A0F" w:rsidP="00415715">
      <w:pPr>
        <w:numPr>
          <w:ilvl w:val="0"/>
          <w:numId w:val="39"/>
        </w:numPr>
        <w:tabs>
          <w:tab w:val="clear" w:pos="1069"/>
          <w:tab w:val="num" w:pos="360"/>
        </w:tabs>
        <w:spacing w:after="0" w:line="360" w:lineRule="auto"/>
        <w:ind w:left="360"/>
        <w:jc w:val="both"/>
      </w:pPr>
      <w:r>
        <w:t>Оцінити стан процесів вільнорадикального окислення та АОЗ у хворих на ХНХ.</w:t>
      </w:r>
    </w:p>
    <w:p w:rsidR="00D14A0F" w:rsidRPr="0002789C" w:rsidRDefault="00D14A0F" w:rsidP="00415715">
      <w:pPr>
        <w:numPr>
          <w:ilvl w:val="0"/>
          <w:numId w:val="39"/>
        </w:numPr>
        <w:tabs>
          <w:tab w:val="clear" w:pos="1069"/>
          <w:tab w:val="num" w:pos="360"/>
        </w:tabs>
        <w:spacing w:after="0" w:line="360" w:lineRule="auto"/>
        <w:ind w:left="360"/>
        <w:jc w:val="both"/>
      </w:pPr>
      <w:r>
        <w:t>Вивчити вміст заліза, міді, магнію, кальцію та цинку в еритроцитах у хворих на ХНХ</w:t>
      </w:r>
      <w:r w:rsidRPr="00CA78A8">
        <w:t xml:space="preserve"> </w:t>
      </w:r>
      <w:r>
        <w:t>та встановити зв’язки між ними  та проявами патології.</w:t>
      </w:r>
    </w:p>
    <w:p w:rsidR="00D14A0F" w:rsidRPr="0002789C" w:rsidRDefault="00D14A0F" w:rsidP="00415715">
      <w:pPr>
        <w:numPr>
          <w:ilvl w:val="0"/>
          <w:numId w:val="39"/>
        </w:numPr>
        <w:tabs>
          <w:tab w:val="clear" w:pos="1069"/>
          <w:tab w:val="num" w:pos="360"/>
          <w:tab w:val="num" w:pos="540"/>
        </w:tabs>
        <w:spacing w:after="0" w:line="360" w:lineRule="auto"/>
        <w:ind w:left="360"/>
        <w:jc w:val="both"/>
      </w:pPr>
      <w:bookmarkStart w:id="1" w:name="OLE_LINK1"/>
      <w:bookmarkStart w:id="2" w:name="OLE_LINK2"/>
      <w:r>
        <w:t xml:space="preserve">Розробити та оцінити ефективність терапевтичного комплексу </w:t>
      </w:r>
      <w:r w:rsidRPr="0002789C">
        <w:t>з застосуванням глутаргіну та УДХК</w:t>
      </w:r>
      <w:r>
        <w:t xml:space="preserve"> за його впливом на клінічні, біохімічні та імунологічні показники</w:t>
      </w:r>
      <w:r w:rsidRPr="00480D7A">
        <w:t xml:space="preserve"> </w:t>
      </w:r>
      <w:r>
        <w:t>в лікуванні хворих на ХНХ</w:t>
      </w:r>
      <w:r w:rsidRPr="0002789C">
        <w:t>.</w:t>
      </w:r>
    </w:p>
    <w:bookmarkEnd w:id="1"/>
    <w:bookmarkEnd w:id="2"/>
    <w:p w:rsidR="00D14A0F" w:rsidRPr="00EA3FDD" w:rsidRDefault="00D14A0F" w:rsidP="00415715">
      <w:pPr>
        <w:numPr>
          <w:ilvl w:val="0"/>
          <w:numId w:val="39"/>
        </w:numPr>
        <w:tabs>
          <w:tab w:val="clear" w:pos="1069"/>
          <w:tab w:val="num" w:pos="360"/>
          <w:tab w:val="num" w:pos="540"/>
        </w:tabs>
        <w:spacing w:after="0" w:line="360" w:lineRule="auto"/>
        <w:ind w:left="360"/>
        <w:jc w:val="both"/>
      </w:pPr>
      <w:r w:rsidRPr="00EA3FDD">
        <w:t>Проаналізувати клінічний перебіг ХНХ впродовж 6 місяців спостереження після курсу запропонованої терапії.</w:t>
      </w:r>
    </w:p>
    <w:p w:rsidR="00D14A0F" w:rsidRPr="004E36A0" w:rsidRDefault="00D14A0F" w:rsidP="00D14A0F">
      <w:pPr>
        <w:spacing w:line="360" w:lineRule="auto"/>
        <w:ind w:firstLine="709"/>
        <w:jc w:val="both"/>
        <w:rPr>
          <w:sz w:val="28"/>
          <w:szCs w:val="28"/>
        </w:rPr>
      </w:pPr>
      <w:r w:rsidRPr="00871464">
        <w:rPr>
          <w:i/>
        </w:rPr>
        <w:t>Об’єкт дослідження:</w:t>
      </w:r>
      <w:r w:rsidRPr="00E32016">
        <w:t xml:space="preserve"> </w:t>
      </w:r>
      <w:r w:rsidRPr="000C6720">
        <w:t>хронічний некаменевий холецистит.</w:t>
      </w:r>
    </w:p>
    <w:p w:rsidR="00D14A0F" w:rsidRPr="005B13A8" w:rsidRDefault="00D14A0F" w:rsidP="00D14A0F">
      <w:pPr>
        <w:spacing w:line="360" w:lineRule="auto"/>
        <w:ind w:firstLine="709"/>
        <w:jc w:val="both"/>
        <w:rPr>
          <w:kern w:val="56"/>
        </w:rPr>
      </w:pPr>
      <w:r w:rsidRPr="00871464">
        <w:rPr>
          <w:i/>
        </w:rPr>
        <w:t>Предмет дослідження:</w:t>
      </w:r>
      <w:r w:rsidRPr="00E32016">
        <w:t xml:space="preserve"> </w:t>
      </w:r>
      <w:r w:rsidRPr="005B13A8">
        <w:rPr>
          <w:kern w:val="56"/>
        </w:rPr>
        <w:t>клініко-патогенетичні особливості ХНХ та ефективність його лікування.</w:t>
      </w:r>
    </w:p>
    <w:p w:rsidR="00D14A0F" w:rsidRPr="00417E78" w:rsidRDefault="00D14A0F" w:rsidP="00D14A0F">
      <w:pPr>
        <w:spacing w:line="360" w:lineRule="auto"/>
        <w:ind w:firstLine="709"/>
        <w:jc w:val="both"/>
      </w:pPr>
      <w:r w:rsidRPr="00871464">
        <w:rPr>
          <w:i/>
        </w:rPr>
        <w:t>Методи дослідження</w:t>
      </w:r>
      <w:r>
        <w:rPr>
          <w:kern w:val="56"/>
        </w:rPr>
        <w:t>.</w:t>
      </w:r>
      <w:r>
        <w:t xml:space="preserve"> З</w:t>
      </w:r>
      <w:r w:rsidRPr="0016738E">
        <w:t>агаль</w:t>
      </w:r>
      <w:r>
        <w:t xml:space="preserve">но-клінічне обстеження хворого; </w:t>
      </w:r>
      <w:r w:rsidRPr="0016738E">
        <w:t>багатомоментне фракційне дуоденальне зондування</w:t>
      </w:r>
      <w:r>
        <w:t xml:space="preserve"> з реєстрацією </w:t>
      </w:r>
      <w:r w:rsidRPr="00F93D8C">
        <w:t xml:space="preserve">часу </w:t>
      </w:r>
      <w:r>
        <w:t>закритого сфінктера Одді, часу виділення і об’єму отриманої жовчі</w:t>
      </w:r>
      <w:r w:rsidRPr="0016738E">
        <w:t xml:space="preserve"> </w:t>
      </w:r>
      <w:r>
        <w:rPr>
          <w:kern w:val="56"/>
        </w:rPr>
        <w:t>з наступним мікроскопічним,</w:t>
      </w:r>
      <w:r w:rsidRPr="0016738E">
        <w:rPr>
          <w:kern w:val="56"/>
        </w:rPr>
        <w:t xml:space="preserve"> бактеріологічним та біохімічним дослідженням порцій жовчі</w:t>
      </w:r>
      <w:r>
        <w:rPr>
          <w:kern w:val="56"/>
        </w:rPr>
        <w:t xml:space="preserve"> В та С, яке включало визначення рівня жовчних кислот, білірубіну, холестерину та обчислення холато-холестеринового коефіцієнта (ХХК)</w:t>
      </w:r>
      <w:r>
        <w:t>;</w:t>
      </w:r>
      <w:r w:rsidRPr="0016738E">
        <w:t xml:space="preserve"> </w:t>
      </w:r>
      <w:r>
        <w:t>ультразвукове дослідження (</w:t>
      </w:r>
      <w:r w:rsidRPr="0016738E">
        <w:t>УЗД</w:t>
      </w:r>
      <w:r>
        <w:t>)</w:t>
      </w:r>
      <w:r w:rsidRPr="0016738E">
        <w:t xml:space="preserve"> органів гепато-</w:t>
      </w:r>
      <w:r>
        <w:t>біліарної зони;</w:t>
      </w:r>
      <w:r w:rsidRPr="0016738E">
        <w:t xml:space="preserve"> визначення активності запального синдрому за </w:t>
      </w:r>
      <w:r>
        <w:t>показниками лейкограми периферій</w:t>
      </w:r>
      <w:r w:rsidRPr="0016738E">
        <w:t xml:space="preserve">ної крові, ШОЕ, </w:t>
      </w:r>
      <w:r>
        <w:t>інтерлейкінів ФНП-α, ІЛ-1β та ІЛ-10;</w:t>
      </w:r>
      <w:r w:rsidRPr="00CA6B2F">
        <w:t xml:space="preserve"> вивчення біохімічних по</w:t>
      </w:r>
      <w:r w:rsidRPr="0016738E">
        <w:t>казників</w:t>
      </w:r>
      <w:r>
        <w:t xml:space="preserve"> </w:t>
      </w:r>
      <w:r w:rsidRPr="0016738E">
        <w:rPr>
          <w:kern w:val="56"/>
        </w:rPr>
        <w:t>–</w:t>
      </w:r>
      <w:r>
        <w:rPr>
          <w:kern w:val="56"/>
        </w:rPr>
        <w:t xml:space="preserve"> загального</w:t>
      </w:r>
      <w:r w:rsidRPr="0016738E">
        <w:rPr>
          <w:kern w:val="56"/>
        </w:rPr>
        <w:t xml:space="preserve"> білірубіну,</w:t>
      </w:r>
      <w:r>
        <w:rPr>
          <w:kern w:val="56"/>
        </w:rPr>
        <w:t xml:space="preserve"> протеїнограми, активності трансаміназ, гаммаглутаміл</w:t>
      </w:r>
      <w:r w:rsidRPr="0016738E">
        <w:rPr>
          <w:kern w:val="56"/>
        </w:rPr>
        <w:t>транспептидази</w:t>
      </w:r>
      <w:r>
        <w:rPr>
          <w:kern w:val="56"/>
        </w:rPr>
        <w:t xml:space="preserve"> (ГГТП)</w:t>
      </w:r>
      <w:r w:rsidRPr="0016738E">
        <w:rPr>
          <w:kern w:val="56"/>
        </w:rPr>
        <w:t>, лужної фосфатази</w:t>
      </w:r>
      <w:r>
        <w:rPr>
          <w:kern w:val="56"/>
        </w:rPr>
        <w:t xml:space="preserve"> (ЛФ)</w:t>
      </w:r>
      <w:r w:rsidRPr="0016738E">
        <w:rPr>
          <w:kern w:val="56"/>
        </w:rPr>
        <w:t>, тимолової проби,</w:t>
      </w:r>
      <w:r>
        <w:rPr>
          <w:kern w:val="56"/>
        </w:rPr>
        <w:t xml:space="preserve"> холестерину,</w:t>
      </w:r>
      <w:r w:rsidRPr="0016738E">
        <w:rPr>
          <w:kern w:val="56"/>
        </w:rPr>
        <w:t xml:space="preserve"> активності </w:t>
      </w:r>
      <w:r>
        <w:t>α-амілази;</w:t>
      </w:r>
      <w:r w:rsidRPr="0016738E">
        <w:rPr>
          <w:kern w:val="56"/>
        </w:rPr>
        <w:t xml:space="preserve"> </w:t>
      </w:r>
      <w:r w:rsidRPr="0016738E">
        <w:t>проводилася оцінка е</w:t>
      </w:r>
      <w:r>
        <w:t>ндотоксемії за вмістом середньо</w:t>
      </w:r>
      <w:r w:rsidRPr="0016738E">
        <w:t>молекулярних пептидів (</w:t>
      </w:r>
      <w:r w:rsidRPr="0016738E">
        <w:rPr>
          <w:lang w:val="en-US"/>
        </w:rPr>
        <w:t>C</w:t>
      </w:r>
      <w:r w:rsidRPr="0016738E">
        <w:t xml:space="preserve">МП) двох класів </w:t>
      </w:r>
      <w:r w:rsidRPr="0016738E">
        <w:rPr>
          <w:kern w:val="56"/>
        </w:rPr>
        <w:t>– СМП</w:t>
      </w:r>
      <w:r w:rsidRPr="0016738E">
        <w:rPr>
          <w:kern w:val="56"/>
          <w:vertAlign w:val="subscript"/>
        </w:rPr>
        <w:t xml:space="preserve">254 </w:t>
      </w:r>
      <w:r w:rsidRPr="0016738E">
        <w:t>та СМП</w:t>
      </w:r>
      <w:r>
        <w:rPr>
          <w:vertAlign w:val="subscript"/>
        </w:rPr>
        <w:t>280</w:t>
      </w:r>
      <w:r>
        <w:t xml:space="preserve">; </w:t>
      </w:r>
      <w:r>
        <w:lastRenderedPageBreak/>
        <w:t>процесів ПОЛ</w:t>
      </w:r>
      <w:r w:rsidRPr="003220EB">
        <w:rPr>
          <w:kern w:val="56"/>
        </w:rPr>
        <w:t xml:space="preserve"> </w:t>
      </w:r>
      <w:r w:rsidRPr="0016738E">
        <w:rPr>
          <w:kern w:val="56"/>
        </w:rPr>
        <w:t xml:space="preserve">– </w:t>
      </w:r>
      <w:r>
        <w:rPr>
          <w:kern w:val="56"/>
        </w:rPr>
        <w:t xml:space="preserve">за показниками рівня в крові малонового альдегіду (МА) та дієнових кон’югатів (ДК); стану АОЗ </w:t>
      </w:r>
      <w:r w:rsidRPr="0016738E">
        <w:rPr>
          <w:kern w:val="56"/>
        </w:rPr>
        <w:t>–</w:t>
      </w:r>
      <w:r>
        <w:rPr>
          <w:kern w:val="56"/>
        </w:rPr>
        <w:t xml:space="preserve"> за</w:t>
      </w:r>
      <w:r>
        <w:t xml:space="preserve"> активністю церулоплазміну (</w:t>
      </w:r>
      <w:r w:rsidRPr="0016738E">
        <w:t>Цп</w:t>
      </w:r>
      <w:r>
        <w:t>),</w:t>
      </w:r>
      <w:r w:rsidRPr="0016738E">
        <w:t xml:space="preserve"> </w:t>
      </w:r>
      <w:r w:rsidRPr="00417E78">
        <w:t>насиченням</w:t>
      </w:r>
      <w:r>
        <w:t xml:space="preserve"> трансферину (</w:t>
      </w:r>
      <w:r w:rsidRPr="0016738E">
        <w:t>Тф</w:t>
      </w:r>
      <w:r>
        <w:t>)</w:t>
      </w:r>
      <w:r w:rsidRPr="0016738E">
        <w:t xml:space="preserve"> залізом</w:t>
      </w:r>
      <w:r>
        <w:t>;</w:t>
      </w:r>
      <w:r w:rsidRPr="0016738E">
        <w:t xml:space="preserve"> </w:t>
      </w:r>
      <w:r>
        <w:t xml:space="preserve">вивчався вміст </w:t>
      </w:r>
      <w:r w:rsidRPr="0016738E">
        <w:t xml:space="preserve">заліза, міді, </w:t>
      </w:r>
      <w:r w:rsidRPr="00417E78">
        <w:t xml:space="preserve">цинку, магнію та кальцію в еритроцитах. </w:t>
      </w:r>
    </w:p>
    <w:p w:rsidR="00D14A0F" w:rsidRPr="00B93602" w:rsidRDefault="00D14A0F" w:rsidP="00D14A0F">
      <w:pPr>
        <w:spacing w:line="360" w:lineRule="auto"/>
        <w:ind w:firstLine="720"/>
        <w:jc w:val="both"/>
      </w:pPr>
      <w:r w:rsidRPr="00417E78">
        <w:rPr>
          <w:b/>
        </w:rPr>
        <w:t xml:space="preserve">Наукова новизна отриманих результатів. </w:t>
      </w:r>
      <w:r w:rsidRPr="00B93602">
        <w:t xml:space="preserve">Доповнено дані про імунні та неімунні механізми розвитку запального процесу в стінці </w:t>
      </w:r>
      <w:r w:rsidRPr="00B93602">
        <w:rPr>
          <w:bCs/>
        </w:rPr>
        <w:t>ЖМ</w:t>
      </w:r>
      <w:r w:rsidRPr="00B93602">
        <w:t xml:space="preserve">. Уперше доведено, що при ХНХ спостерігається розбалансування роботи цитокінової системи, зокрема значне підвищення продукції прозапальних цитокінів (ФНП-α, ІЛ-1β) та зниження продукції протизапального </w:t>
      </w:r>
      <w:r>
        <w:t xml:space="preserve">цитокіну ІЛ-10. </w:t>
      </w:r>
    </w:p>
    <w:p w:rsidR="00D14A0F" w:rsidRPr="00B93602" w:rsidRDefault="00D14A0F" w:rsidP="00D14A0F">
      <w:pPr>
        <w:spacing w:line="360" w:lineRule="auto"/>
        <w:ind w:firstLine="720"/>
        <w:jc w:val="both"/>
      </w:pPr>
      <w:r w:rsidRPr="00B93602">
        <w:t>Встановлено наявність дисбалансу між процесами ПОЛ і системи АОЗ у хворих на ХНХ, що проявляється зменшенням показника насиченості Тф залізом з одноча</w:t>
      </w:r>
      <w:r>
        <w:t>сним підвищенням активності Цп у</w:t>
      </w:r>
      <w:r w:rsidRPr="00B93602">
        <w:t xml:space="preserve"> сироватці крові та збільшенням рівня</w:t>
      </w:r>
      <w:r>
        <w:t xml:space="preserve"> </w:t>
      </w:r>
      <w:r w:rsidRPr="00B93602">
        <w:t>(МА) та (ДК). Уперше виявлено порушення мікроелементного балансу у хворих на ХНХ</w:t>
      </w:r>
      <w:r>
        <w:t>,</w:t>
      </w:r>
      <w:r w:rsidRPr="00B93602">
        <w:t xml:space="preserve"> які проявлялись зменшенням вмісту в еритроцитах заліза, магнію, цинку, кальцію та зростанням рівня міді та вивчено зміни вмісту цих макро- і мікроелементів </w:t>
      </w:r>
      <w:r>
        <w:t>у</w:t>
      </w:r>
      <w:r w:rsidRPr="00B93602">
        <w:t xml:space="preserve"> процесі лікування.</w:t>
      </w:r>
    </w:p>
    <w:p w:rsidR="00D14A0F" w:rsidRDefault="00D14A0F" w:rsidP="00D14A0F">
      <w:pPr>
        <w:spacing w:line="360" w:lineRule="auto"/>
        <w:ind w:firstLine="708"/>
        <w:jc w:val="both"/>
      </w:pPr>
      <w:r w:rsidRPr="00B93602">
        <w:t>На підставі встановлених закономірностей формування та перебігу ХНХ обґрунтовано доцільність включення до комплексної терапії цього захворювання УДХК та глутаргіну</w:t>
      </w:r>
      <w:r>
        <w:t>.</w:t>
      </w:r>
    </w:p>
    <w:p w:rsidR="00D14A0F" w:rsidRPr="00B20E54" w:rsidRDefault="00D14A0F" w:rsidP="00D14A0F">
      <w:pPr>
        <w:spacing w:line="360" w:lineRule="auto"/>
        <w:ind w:firstLine="708"/>
        <w:jc w:val="both"/>
      </w:pPr>
      <w:r>
        <w:rPr>
          <w:b/>
        </w:rPr>
        <w:t>Практичне значення отриманих</w:t>
      </w:r>
      <w:r w:rsidRPr="00E32016">
        <w:rPr>
          <w:b/>
        </w:rPr>
        <w:t xml:space="preserve"> результатів.</w:t>
      </w:r>
      <w:r>
        <w:rPr>
          <w:b/>
        </w:rPr>
        <w:t xml:space="preserve"> </w:t>
      </w:r>
      <w:r w:rsidRPr="00B20E54">
        <w:t>Запропоновано з метою оцінки активності запального процесу при ХНХ визначати вміст у сироватці крові прозапальних (ФНП-α, ІЛ-1β)  і протизапального (ІЛ-10) цитокінів.</w:t>
      </w:r>
    </w:p>
    <w:p w:rsidR="00D14A0F" w:rsidRPr="00B20E54" w:rsidRDefault="00D14A0F" w:rsidP="00D14A0F">
      <w:pPr>
        <w:spacing w:line="360" w:lineRule="auto"/>
        <w:ind w:firstLine="709"/>
        <w:jc w:val="both"/>
      </w:pPr>
      <w:r w:rsidRPr="00B20E54">
        <w:t xml:space="preserve"> На основі комплексного вивчення показників багатомоментного фракційного дуоденального зондування з наступним мікроскопічним, біохі</w:t>
      </w:r>
      <w:r>
        <w:t>мічним та бактеріологічним дослід</w:t>
      </w:r>
      <w:r w:rsidRPr="00B20E54">
        <w:t xml:space="preserve">женням жовчі, даних УЗД органів </w:t>
      </w:r>
      <w:r>
        <w:t>гепато</w:t>
      </w:r>
      <w:r w:rsidRPr="00EC2212">
        <w:t>біліарної</w:t>
      </w:r>
      <w:r w:rsidRPr="00B20E54">
        <w:t xml:space="preserve"> з</w:t>
      </w:r>
      <w:r>
        <w:t>они у взаємозв’язку зі змінами в</w:t>
      </w:r>
      <w:r w:rsidRPr="00B20E54">
        <w:t xml:space="preserve"> системі показників запалення, ендогенної</w:t>
      </w:r>
      <w:r>
        <w:t xml:space="preserve"> інтоксикації та АОЗ розроблено</w:t>
      </w:r>
      <w:r w:rsidRPr="00B20E54">
        <w:t xml:space="preserve"> диференційовані підходи до вибору адекватної терапії. </w:t>
      </w:r>
    </w:p>
    <w:p w:rsidR="00D14A0F" w:rsidRPr="00B20E54" w:rsidRDefault="00D14A0F" w:rsidP="00D14A0F">
      <w:pPr>
        <w:spacing w:line="360" w:lineRule="auto"/>
        <w:ind w:firstLine="709"/>
        <w:jc w:val="both"/>
      </w:pPr>
      <w:r w:rsidRPr="00B20E54">
        <w:t xml:space="preserve">Хворим на ХНХ з проявами запального та цитолітичного синдромів, ознаками ендотоксемії доцільним є призначення глутаргіну, а пацієнтам </w:t>
      </w:r>
      <w:r>
        <w:t xml:space="preserve">із  </w:t>
      </w:r>
      <w:r w:rsidRPr="00B20E54">
        <w:t xml:space="preserve">порушеннями колоїдальної стабільності жовчі, ознаками холестазу та ДЖВШ </w:t>
      </w:r>
      <w:r w:rsidRPr="00B20E54">
        <w:rPr>
          <w:kern w:val="56"/>
        </w:rPr>
        <w:t xml:space="preserve">– </w:t>
      </w:r>
      <w:r w:rsidRPr="00B20E54">
        <w:t>УДХК</w:t>
      </w:r>
      <w:r w:rsidRPr="00B20E54">
        <w:rPr>
          <w:kern w:val="56"/>
        </w:rPr>
        <w:t xml:space="preserve">. </w:t>
      </w:r>
    </w:p>
    <w:p w:rsidR="00D14A0F" w:rsidRDefault="00D14A0F" w:rsidP="00D14A0F">
      <w:pPr>
        <w:spacing w:line="360" w:lineRule="auto"/>
        <w:ind w:firstLine="720"/>
        <w:jc w:val="both"/>
      </w:pPr>
      <w:r w:rsidRPr="006526BE">
        <w:rPr>
          <w:b/>
        </w:rPr>
        <w:t>Впровадження результатів дослідження</w:t>
      </w:r>
      <w:r w:rsidRPr="00773524">
        <w:rPr>
          <w:b/>
        </w:rPr>
        <w:t xml:space="preserve"> в практику </w:t>
      </w:r>
      <w:r w:rsidRPr="006526BE">
        <w:rPr>
          <w:b/>
        </w:rPr>
        <w:t>охорони здоров'я</w:t>
      </w:r>
      <w:r w:rsidRPr="00773524">
        <w:rPr>
          <w:b/>
        </w:rPr>
        <w:t xml:space="preserve">. </w:t>
      </w:r>
      <w:r w:rsidRPr="006526BE">
        <w:t>Результати дослідження впроваджено в роботу гастроентерологічного відділення Івано-Франківської обласної клінічної лікарні, терапевтичного відділення №2 центральної міської лікарні</w:t>
      </w:r>
      <w:r>
        <w:t xml:space="preserve"> м. Івано-Франківська</w:t>
      </w:r>
      <w:r w:rsidRPr="006526BE">
        <w:t>,  гастроентерологічного відділен</w:t>
      </w:r>
      <w:r>
        <w:t>ня</w:t>
      </w:r>
      <w:r w:rsidRPr="006526BE">
        <w:t xml:space="preserve"> міської лікарні №1</w:t>
      </w:r>
      <w:r>
        <w:t xml:space="preserve"> м. Івано-Франківська</w:t>
      </w:r>
      <w:r w:rsidRPr="006526BE">
        <w:t>,</w:t>
      </w:r>
      <w:r>
        <w:t xml:space="preserve"> терапевтичного відділення Яблунівської районної</w:t>
      </w:r>
      <w:r w:rsidRPr="006526BE">
        <w:t xml:space="preserve"> </w:t>
      </w:r>
      <w:r>
        <w:t xml:space="preserve">лікарні, гастроентерологічного відділення Обласної комунальної установи «Лікарня швидкої медичної допомоги» м. Чернівці, </w:t>
      </w:r>
      <w:r w:rsidRPr="0038470A">
        <w:t>гастроентерологічного відділення міської лікарні  м. Хмельницьк</w:t>
      </w:r>
      <w:r>
        <w:t>ого</w:t>
      </w:r>
      <w:r w:rsidRPr="0038470A">
        <w:t>.</w:t>
      </w:r>
    </w:p>
    <w:p w:rsidR="00D14A0F" w:rsidRDefault="00D14A0F" w:rsidP="00D14A0F">
      <w:pPr>
        <w:spacing w:line="360" w:lineRule="auto"/>
        <w:ind w:firstLine="720"/>
        <w:jc w:val="both"/>
      </w:pPr>
      <w:r>
        <w:lastRenderedPageBreak/>
        <w:t>Матеріали дослідження використовуються в навчальному процесі кафедри внутрішньої медицини №1 Івано-Франківського національного медичного університету.</w:t>
      </w:r>
    </w:p>
    <w:p w:rsidR="00D14A0F" w:rsidRDefault="00D14A0F" w:rsidP="00D14A0F">
      <w:pPr>
        <w:spacing w:line="360" w:lineRule="auto"/>
        <w:ind w:firstLine="720"/>
        <w:jc w:val="both"/>
      </w:pPr>
      <w:r w:rsidRPr="006526BE">
        <w:rPr>
          <w:b/>
        </w:rPr>
        <w:t xml:space="preserve">Особистий внесок здобувача. </w:t>
      </w:r>
      <w:r w:rsidRPr="009D0E7F">
        <w:t>Кандидатська дисертація є самості</w:t>
      </w:r>
      <w:r>
        <w:t>йною науковою працею здобувача. Дисертантом проведено л</w:t>
      </w:r>
      <w:r w:rsidRPr="009D0E7F">
        <w:t xml:space="preserve">ітературний та патентний пошук, </w:t>
      </w:r>
      <w:r>
        <w:t>що дозволило визначити напрямок дослідження. Разом із науковим керівником сформульовані мета, завдання і висновки дослідження. Автором самостійно проведено п</w:t>
      </w:r>
      <w:r w:rsidRPr="009D0E7F">
        <w:t xml:space="preserve">ідбір тематичних хворих, поділ </w:t>
      </w:r>
      <w:r>
        <w:t xml:space="preserve">їх </w:t>
      </w:r>
      <w:r w:rsidRPr="009D0E7F">
        <w:t>на групи</w:t>
      </w:r>
      <w:r>
        <w:t>. Кл</w:t>
      </w:r>
      <w:r w:rsidRPr="009D0E7F">
        <w:t>інічн</w:t>
      </w:r>
      <w:r>
        <w:t>е</w:t>
      </w:r>
      <w:r w:rsidRPr="009D0E7F">
        <w:t>, біохімічн</w:t>
      </w:r>
      <w:r>
        <w:t>е</w:t>
      </w:r>
      <w:r w:rsidRPr="009D0E7F">
        <w:t>, імунологічн</w:t>
      </w:r>
      <w:r>
        <w:t>е</w:t>
      </w:r>
      <w:r w:rsidRPr="009D0E7F">
        <w:t xml:space="preserve"> обстеження </w:t>
      </w:r>
      <w:r>
        <w:t xml:space="preserve">відібраних </w:t>
      </w:r>
      <w:r w:rsidRPr="009D0E7F">
        <w:t>хворих, оцінка ефективності терапії, статистична обробка</w:t>
      </w:r>
      <w:r>
        <w:t xml:space="preserve"> та</w:t>
      </w:r>
      <w:r w:rsidRPr="009D0E7F">
        <w:t xml:space="preserve"> інтерпретація отриманих даних, узагальнення результатів, оформлення</w:t>
      </w:r>
      <w:r>
        <w:t>,</w:t>
      </w:r>
      <w:r w:rsidRPr="009D0E7F">
        <w:t xml:space="preserve"> підготовка до друку</w:t>
      </w:r>
      <w:r>
        <w:t xml:space="preserve"> дисертаційної роботи та друкованих праць</w:t>
      </w:r>
      <w:r w:rsidRPr="009D0E7F">
        <w:t xml:space="preserve"> виконані самостійно </w:t>
      </w:r>
      <w:r>
        <w:t>здобувачем</w:t>
      </w:r>
      <w:r w:rsidRPr="009D0E7F">
        <w:t>.</w:t>
      </w:r>
      <w:r w:rsidRPr="006526BE">
        <w:t xml:space="preserve"> </w:t>
      </w:r>
    </w:p>
    <w:p w:rsidR="00D14A0F" w:rsidRDefault="00D14A0F" w:rsidP="00D14A0F">
      <w:pPr>
        <w:spacing w:line="360" w:lineRule="auto"/>
        <w:ind w:firstLine="720"/>
        <w:jc w:val="both"/>
      </w:pPr>
      <w:r w:rsidRPr="006526BE">
        <w:rPr>
          <w:b/>
        </w:rPr>
        <w:t>Апробація результатів роботи.</w:t>
      </w:r>
      <w:r>
        <w:rPr>
          <w:b/>
        </w:rPr>
        <w:t xml:space="preserve"> </w:t>
      </w:r>
      <w:r w:rsidRPr="006D4044">
        <w:t xml:space="preserve">Основні результати дослідження обговорювалися на науково-практичній конференції </w:t>
      </w:r>
      <w:r w:rsidRPr="006D4044">
        <w:rPr>
          <w:szCs w:val="28"/>
        </w:rPr>
        <w:t xml:space="preserve">з міжнародною участю </w:t>
      </w:r>
      <w:r w:rsidRPr="006D4044">
        <w:t>”Хвороби печінки в прак</w:t>
      </w:r>
      <w:r>
        <w:t xml:space="preserve">тиці клініциста”, (Харків, 2007) та </w:t>
      </w:r>
      <w:r w:rsidRPr="006D4044">
        <w:rPr>
          <w:spacing w:val="-4"/>
        </w:rPr>
        <w:t xml:space="preserve">науково-практичній конференції </w:t>
      </w:r>
      <w:r w:rsidRPr="006D4044">
        <w:rPr>
          <w:szCs w:val="28"/>
        </w:rPr>
        <w:t xml:space="preserve">”Медична наука: сучасні досягнення та інновації” </w:t>
      </w:r>
      <w:r>
        <w:rPr>
          <w:szCs w:val="28"/>
        </w:rPr>
        <w:t>(</w:t>
      </w:r>
      <w:r w:rsidRPr="006D4044">
        <w:rPr>
          <w:szCs w:val="28"/>
        </w:rPr>
        <w:t>Харків</w:t>
      </w:r>
      <w:r>
        <w:rPr>
          <w:szCs w:val="28"/>
        </w:rPr>
        <w:t xml:space="preserve">, </w:t>
      </w:r>
      <w:r w:rsidRPr="006D4044">
        <w:rPr>
          <w:szCs w:val="28"/>
        </w:rPr>
        <w:t>2007)</w:t>
      </w:r>
      <w:r>
        <w:rPr>
          <w:szCs w:val="28"/>
        </w:rPr>
        <w:t>.</w:t>
      </w:r>
    </w:p>
    <w:p w:rsidR="00D14A0F" w:rsidRPr="00CB4900" w:rsidRDefault="00D14A0F" w:rsidP="00D14A0F">
      <w:pPr>
        <w:spacing w:line="360" w:lineRule="auto"/>
        <w:ind w:firstLine="709"/>
        <w:jc w:val="both"/>
      </w:pPr>
      <w:r w:rsidRPr="006526BE">
        <w:rPr>
          <w:b/>
        </w:rPr>
        <w:t>Публікації.</w:t>
      </w:r>
      <w:r w:rsidRPr="006526BE">
        <w:t xml:space="preserve"> </w:t>
      </w:r>
      <w:r w:rsidRPr="00CB4900">
        <w:t>За</w:t>
      </w:r>
      <w:r w:rsidRPr="00CB4900">
        <w:rPr>
          <w:b/>
        </w:rPr>
        <w:t xml:space="preserve"> </w:t>
      </w:r>
      <w:r w:rsidRPr="00CB4900">
        <w:t xml:space="preserve">матеріалами дисертації опубліковано 6 друкованих праць, у тому числі 4 статті (3 </w:t>
      </w:r>
      <w:r w:rsidRPr="00CB4900">
        <w:rPr>
          <w:kern w:val="56"/>
        </w:rPr>
        <w:t>– одноособові)</w:t>
      </w:r>
      <w:r w:rsidRPr="00CB4900">
        <w:t xml:space="preserve"> у фахових виданнях, рекомендован</w:t>
      </w:r>
      <w:r>
        <w:t>их ВАК України, 2 тез</w:t>
      </w:r>
      <w:r w:rsidRPr="00CB4900">
        <w:t xml:space="preserve"> у матеріалах науково-практичних конференцій.</w:t>
      </w:r>
    </w:p>
    <w:p w:rsidR="00D14A0F" w:rsidRPr="006526BE" w:rsidRDefault="00D14A0F" w:rsidP="00D14A0F">
      <w:pPr>
        <w:spacing w:line="360" w:lineRule="auto"/>
        <w:ind w:firstLine="720"/>
        <w:jc w:val="both"/>
        <w:rPr>
          <w:b/>
        </w:rPr>
      </w:pPr>
      <w:r w:rsidRPr="006526BE">
        <w:rPr>
          <w:b/>
        </w:rPr>
        <w:t>Обсяг і структура дисертації.</w:t>
      </w:r>
      <w:r>
        <w:rPr>
          <w:b/>
        </w:rPr>
        <w:t xml:space="preserve"> </w:t>
      </w:r>
      <w:r>
        <w:t>Дисертація викладена на 116</w:t>
      </w:r>
      <w:r w:rsidRPr="001A4311">
        <w:t xml:space="preserve"> сторінках основного тексту. Робота складається зі вступу, огляду літера</w:t>
      </w:r>
      <w:r>
        <w:t>тури, описання об’єкту і методів</w:t>
      </w:r>
      <w:r w:rsidRPr="001A4311">
        <w:t xml:space="preserve"> дослідження, 2 розділів власних досліджень, аналізу </w:t>
      </w:r>
      <w:r>
        <w:t>та</w:t>
      </w:r>
      <w:r w:rsidRPr="001A4311">
        <w:t xml:space="preserve"> узагальнен</w:t>
      </w:r>
      <w:r>
        <w:t>ня</w:t>
      </w:r>
      <w:r w:rsidRPr="001A4311">
        <w:t xml:space="preserve"> результатів</w:t>
      </w:r>
      <w:r>
        <w:t xml:space="preserve">, </w:t>
      </w:r>
      <w:r w:rsidRPr="001A4311">
        <w:t>висновків</w:t>
      </w:r>
      <w:r>
        <w:t xml:space="preserve"> та</w:t>
      </w:r>
      <w:r w:rsidRPr="001A4311">
        <w:t xml:space="preserve"> практичних р</w:t>
      </w:r>
      <w:r>
        <w:t>екомендацій. Робота ілюстрована</w:t>
      </w:r>
      <w:r>
        <w:rPr>
          <w:lang w:val="en-US"/>
        </w:rPr>
        <w:t xml:space="preserve"> 23</w:t>
      </w:r>
      <w:r>
        <w:t xml:space="preserve"> таблицями,</w:t>
      </w:r>
      <w:r>
        <w:rPr>
          <w:lang w:val="en-US"/>
        </w:rPr>
        <w:t xml:space="preserve"> 22 </w:t>
      </w:r>
      <w:r w:rsidRPr="001A4311">
        <w:t>рисунками. Покажчик літератури включає</w:t>
      </w:r>
      <w:r>
        <w:t xml:space="preserve"> </w:t>
      </w:r>
      <w:r w:rsidRPr="00535DF4">
        <w:t>23</w:t>
      </w:r>
      <w:r w:rsidRPr="0053272D">
        <w:t>0</w:t>
      </w:r>
      <w:r w:rsidRPr="00535DF4">
        <w:t xml:space="preserve"> джерел, із них 1</w:t>
      </w:r>
      <w:r w:rsidRPr="0053272D">
        <w:t>57</w:t>
      </w:r>
      <w:r w:rsidRPr="00535DF4">
        <w:t xml:space="preserve"> кирилицею, </w:t>
      </w:r>
      <w:r w:rsidRPr="0053272D">
        <w:t>73</w:t>
      </w:r>
      <w:r w:rsidRPr="00535DF4">
        <w:t xml:space="preserve"> – латиницею</w:t>
      </w:r>
      <w:r w:rsidRPr="001A4311">
        <w:t>.</w:t>
      </w:r>
    </w:p>
    <w:p w:rsidR="00D14A0F" w:rsidRDefault="00D14A0F" w:rsidP="00D14A0F">
      <w:pPr>
        <w:spacing w:line="360" w:lineRule="auto"/>
        <w:ind w:firstLine="720"/>
        <w:jc w:val="center"/>
        <w:rPr>
          <w:b/>
        </w:rPr>
      </w:pPr>
    </w:p>
    <w:p w:rsidR="00D14A0F" w:rsidRDefault="00D14A0F" w:rsidP="00D14A0F">
      <w:pPr>
        <w:spacing w:line="360" w:lineRule="auto"/>
        <w:ind w:firstLine="720"/>
        <w:jc w:val="center"/>
        <w:rPr>
          <w:b/>
        </w:rPr>
      </w:pPr>
      <w:r>
        <w:rPr>
          <w:b/>
        </w:rPr>
        <w:t>ОСНОВНИЙ ЗМІСТ РОБОТИ</w:t>
      </w:r>
    </w:p>
    <w:p w:rsidR="00D14A0F" w:rsidRPr="007436A6" w:rsidRDefault="00D14A0F" w:rsidP="00D14A0F">
      <w:pPr>
        <w:spacing w:line="360" w:lineRule="auto"/>
        <w:ind w:firstLine="720"/>
        <w:jc w:val="both"/>
      </w:pPr>
      <w:r>
        <w:rPr>
          <w:b/>
        </w:rPr>
        <w:t xml:space="preserve">Матеріали та методи дослідження. </w:t>
      </w:r>
      <w:r>
        <w:t>У</w:t>
      </w:r>
      <w:r w:rsidRPr="007436A6">
        <w:t xml:space="preserve"> роботі наведені результати клінічного, лабораторно-інструменталь</w:t>
      </w:r>
      <w:r>
        <w:t>ного обстеження та лікування 1</w:t>
      </w:r>
      <w:r w:rsidRPr="00FC2A1E">
        <w:t>20</w:t>
      </w:r>
      <w:r>
        <w:t xml:space="preserve"> хворих на ХНХ</w:t>
      </w:r>
      <w:r w:rsidRPr="007436A6">
        <w:t xml:space="preserve">, які </w:t>
      </w:r>
      <w:r>
        <w:t>перебували</w:t>
      </w:r>
      <w:r w:rsidRPr="007436A6">
        <w:t xml:space="preserve"> на стаціонарному лікуванні в гастроентерологічному </w:t>
      </w:r>
      <w:r w:rsidRPr="0053272D">
        <w:t>відділенні Івано-Франківської обласної клінічної лікарні, міської клінічної лікарні №1 м. Івано-Франківська та санаторію «Дністер»</w:t>
      </w:r>
      <w:r>
        <w:t xml:space="preserve"> </w:t>
      </w:r>
      <w:r w:rsidRPr="0053272D">
        <w:t>м.</w:t>
      </w:r>
      <w:r>
        <w:t xml:space="preserve"> </w:t>
      </w:r>
      <w:r w:rsidRPr="0053272D">
        <w:t xml:space="preserve">Моршин. Паралельно </w:t>
      </w:r>
      <w:r>
        <w:t xml:space="preserve">нами </w:t>
      </w:r>
      <w:r w:rsidRPr="0053272D">
        <w:t>обстежено 15 практично здорових осіб. Діагноз</w:t>
      </w:r>
      <w:r w:rsidRPr="007436A6">
        <w:t xml:space="preserve"> виставлявся згідно Наказу МОЗ України № 271 від 13.06.2005 ”Про затвердження протоколів надання медичної допомоги за спеціальністю ”Гастроентерологія”. </w:t>
      </w:r>
    </w:p>
    <w:p w:rsidR="00D14A0F" w:rsidRDefault="00D14A0F" w:rsidP="00D14A0F">
      <w:pPr>
        <w:adjustRightInd w:val="0"/>
        <w:snapToGrid w:val="0"/>
        <w:spacing w:line="360" w:lineRule="auto"/>
        <w:ind w:firstLine="709"/>
        <w:jc w:val="both"/>
      </w:pPr>
      <w:r w:rsidRPr="00C27561">
        <w:t>Критерії включення: типова клінічна к</w:t>
      </w:r>
      <w:r>
        <w:t>артина недуги (больовий, диспепс</w:t>
      </w:r>
      <w:r w:rsidRPr="00C27561">
        <w:t>ичний синдром), дані об’єктивного обстеження (позитивні міхурові симптоми), даних клініко-</w:t>
      </w:r>
      <w:r>
        <w:t>лабораторних (дослідження крові та</w:t>
      </w:r>
      <w:r w:rsidRPr="00C27561">
        <w:t xml:space="preserve"> жовчі) та інструментальних (ультразвукове обстеження ЖВШ) методів </w:t>
      </w:r>
      <w:r w:rsidRPr="00C27561">
        <w:lastRenderedPageBreak/>
        <w:t>дослідження.</w:t>
      </w:r>
      <w:r>
        <w:t xml:space="preserve"> </w:t>
      </w:r>
      <w:r w:rsidRPr="00BE607A">
        <w:t>Критерії виключення</w:t>
      </w:r>
      <w:r>
        <w:t>:</w:t>
      </w:r>
      <w:r w:rsidRPr="00BE607A">
        <w:rPr>
          <w:sz w:val="28"/>
          <w:szCs w:val="28"/>
        </w:rPr>
        <w:t xml:space="preserve"> </w:t>
      </w:r>
      <w:r w:rsidRPr="00BE607A">
        <w:t>наявність конкрементів ЖМ, постхолецистектомічний синдром, паразитарна інвазія, наявність важкої супутньої патології, яка б могла вплинути на інтерпретацію результатів дослідження.</w:t>
      </w:r>
    </w:p>
    <w:p w:rsidR="00D14A0F" w:rsidRPr="009472A0" w:rsidRDefault="00D14A0F" w:rsidP="00D14A0F">
      <w:pPr>
        <w:adjustRightInd w:val="0"/>
        <w:snapToGrid w:val="0"/>
        <w:spacing w:line="360" w:lineRule="auto"/>
        <w:ind w:firstLine="709"/>
        <w:jc w:val="both"/>
      </w:pPr>
      <w:r>
        <w:t xml:space="preserve">У відповідності до застосованої терапії хворі були розподілені на 4 групи. </w:t>
      </w:r>
      <w:r w:rsidRPr="009472A0">
        <w:t xml:space="preserve">Хворі І групи (30 осіб) отримували стандартне лікування згідно існуючих в Україні протоколів надання медичної допомоги (спазмолітик </w:t>
      </w:r>
      <w:r w:rsidRPr="009472A0">
        <w:rPr>
          <w:kern w:val="56"/>
        </w:rPr>
        <w:t xml:space="preserve">– </w:t>
      </w:r>
      <w:r w:rsidRPr="009472A0">
        <w:t xml:space="preserve">мебеверину гідрохлорид 200 мг 1 </w:t>
      </w:r>
      <w:r>
        <w:t>капсула двічі</w:t>
      </w:r>
      <w:r w:rsidRPr="009472A0">
        <w:t xml:space="preserve"> на день </w:t>
      </w:r>
      <w:r>
        <w:t xml:space="preserve">упродовж </w:t>
      </w:r>
      <w:r w:rsidRPr="009472A0">
        <w:t xml:space="preserve">10 днів, жовчогінний препарат </w:t>
      </w:r>
      <w:r w:rsidRPr="009472A0">
        <w:rPr>
          <w:kern w:val="56"/>
        </w:rPr>
        <w:t xml:space="preserve">– екстракт артишоку 200 мг 2 драже </w:t>
      </w:r>
      <w:r>
        <w:rPr>
          <w:kern w:val="56"/>
        </w:rPr>
        <w:t>тричі</w:t>
      </w:r>
      <w:r w:rsidRPr="009472A0">
        <w:rPr>
          <w:kern w:val="56"/>
        </w:rPr>
        <w:t xml:space="preserve"> на день 10 днів</w:t>
      </w:r>
      <w:r w:rsidRPr="009472A0">
        <w:t xml:space="preserve">, антибактеріальний середник </w:t>
      </w:r>
      <w:r w:rsidRPr="009472A0">
        <w:rPr>
          <w:kern w:val="56"/>
        </w:rPr>
        <w:t xml:space="preserve">– роксітроміцин </w:t>
      </w:r>
      <w:r>
        <w:rPr>
          <w:kern w:val="56"/>
        </w:rPr>
        <w:t>по 150 мг двічі</w:t>
      </w:r>
      <w:r w:rsidRPr="009472A0">
        <w:rPr>
          <w:kern w:val="56"/>
        </w:rPr>
        <w:t xml:space="preserve"> на день </w:t>
      </w:r>
      <w:r>
        <w:rPr>
          <w:kern w:val="56"/>
        </w:rPr>
        <w:t xml:space="preserve">протягом </w:t>
      </w:r>
      <w:r w:rsidRPr="009472A0">
        <w:rPr>
          <w:kern w:val="56"/>
        </w:rPr>
        <w:t>10 днів</w:t>
      </w:r>
      <w:r w:rsidRPr="009472A0">
        <w:t xml:space="preserve">). </w:t>
      </w:r>
    </w:p>
    <w:p w:rsidR="00D14A0F" w:rsidRDefault="00D14A0F" w:rsidP="00D14A0F">
      <w:pPr>
        <w:adjustRightInd w:val="0"/>
        <w:snapToGrid w:val="0"/>
        <w:spacing w:line="360" w:lineRule="auto"/>
        <w:ind w:firstLine="709"/>
        <w:jc w:val="both"/>
      </w:pPr>
      <w:r w:rsidRPr="009472A0">
        <w:t xml:space="preserve">У хворих ІІ групи (30 осіб) стандартне лікування поєднували з використанням глутаргіну (фармацевтична компанія «Здоров’я», Україна) у перші 5 днів </w:t>
      </w:r>
      <w:r w:rsidRPr="009472A0">
        <w:rPr>
          <w:kern w:val="56"/>
        </w:rPr>
        <w:t>–</w:t>
      </w:r>
      <w:r w:rsidRPr="009472A0">
        <w:t xml:space="preserve"> довенно крапельно по 5 мл 40% р-ну (свідоцтво про </w:t>
      </w:r>
      <w:r w:rsidRPr="000B4B9B">
        <w:t>держреєстрацію № Р.06.03/07054 від 19.06.2003 до 19.06.2008</w:t>
      </w:r>
      <w:r>
        <w:t xml:space="preserve"> та </w:t>
      </w:r>
      <w:r w:rsidRPr="00EB1565">
        <w:t xml:space="preserve">№ </w:t>
      </w:r>
      <w:r w:rsidRPr="00EB1565">
        <w:rPr>
          <w:lang w:val="en-US"/>
        </w:rPr>
        <w:t>UA</w:t>
      </w:r>
      <w:r w:rsidRPr="00EB1565">
        <w:t>/4022/03/01 від 18.03.2008 до 18.03.2013)</w:t>
      </w:r>
      <w:r w:rsidRPr="009472A0">
        <w:t xml:space="preserve"> з 200 мл фізіологічного р-ну двічі на добу, наступні 5 днів </w:t>
      </w:r>
      <w:r>
        <w:t xml:space="preserve">перорально </w:t>
      </w:r>
      <w:r w:rsidRPr="009472A0">
        <w:t xml:space="preserve">по </w:t>
      </w:r>
      <w:smartTag w:uri="urn:schemas-microsoft-com:office:smarttags" w:element="metricconverter">
        <w:smartTagPr>
          <w:attr w:name="ProductID" w:val="0,75 г"/>
        </w:smartTagPr>
        <w:r w:rsidRPr="009472A0">
          <w:t>0,75 г</w:t>
        </w:r>
      </w:smartTag>
      <w:r w:rsidRPr="009472A0">
        <w:t xml:space="preserve"> тричі на добу (свідоцтво про держреєстрацію №</w:t>
      </w:r>
      <w:r>
        <w:t xml:space="preserve"> </w:t>
      </w:r>
      <w:r w:rsidRPr="009472A0">
        <w:t xml:space="preserve">Р.02.01/02790 від 22.02.2001 до 22.02.2006 та № </w:t>
      </w:r>
      <w:r w:rsidRPr="009472A0">
        <w:rPr>
          <w:lang w:val="en-US"/>
        </w:rPr>
        <w:t>UA</w:t>
      </w:r>
      <w:r w:rsidRPr="009472A0">
        <w:t>/4022/02/01/ від</w:t>
      </w:r>
      <w:r>
        <w:t xml:space="preserve"> </w:t>
      </w:r>
      <w:r w:rsidRPr="009472A0">
        <w:t>23.01.06 до 23.01.</w:t>
      </w:r>
      <w:r>
        <w:t>20</w:t>
      </w:r>
      <w:r w:rsidRPr="009472A0">
        <w:t xml:space="preserve">11.). </w:t>
      </w:r>
    </w:p>
    <w:p w:rsidR="00D14A0F" w:rsidRPr="009472A0" w:rsidRDefault="00D14A0F" w:rsidP="00D14A0F">
      <w:pPr>
        <w:adjustRightInd w:val="0"/>
        <w:snapToGrid w:val="0"/>
        <w:spacing w:line="360" w:lineRule="auto"/>
        <w:ind w:firstLine="709"/>
        <w:jc w:val="both"/>
      </w:pPr>
      <w:r>
        <w:t>Хворим</w:t>
      </w:r>
      <w:r w:rsidRPr="009472A0">
        <w:t xml:space="preserve"> ІІІ групи (30 осіб) стандартне лікування поєднували з використанням УДХК («Урсохол» фармацевтичної фірми «Дарниця», Україна,</w:t>
      </w:r>
      <w:r>
        <w:t xml:space="preserve"> свідоцтво про держреєстрацію №</w:t>
      </w:r>
      <w:r w:rsidRPr="009472A0">
        <w:t>Р</w:t>
      </w:r>
      <w:r w:rsidRPr="000B4B9B">
        <w:t xml:space="preserve">.10.03/07467 від 04.10.2003 до 14.10.2008 та № </w:t>
      </w:r>
      <w:r w:rsidRPr="000B4B9B">
        <w:rPr>
          <w:lang w:val="en-US"/>
        </w:rPr>
        <w:t>UA</w:t>
      </w:r>
      <w:r w:rsidRPr="009472A0">
        <w:t>/</w:t>
      </w:r>
      <w:r>
        <w:t>9018</w:t>
      </w:r>
      <w:r w:rsidRPr="009472A0">
        <w:t>/0</w:t>
      </w:r>
      <w:r>
        <w:t>1</w:t>
      </w:r>
      <w:r w:rsidRPr="009472A0">
        <w:t>/01/ від</w:t>
      </w:r>
      <w:r>
        <w:t xml:space="preserve"> 08</w:t>
      </w:r>
      <w:r w:rsidRPr="009472A0">
        <w:t>.</w:t>
      </w:r>
      <w:r>
        <w:t>1</w:t>
      </w:r>
      <w:r w:rsidRPr="009472A0">
        <w:t>0.</w:t>
      </w:r>
      <w:r>
        <w:t>2008</w:t>
      </w:r>
      <w:r w:rsidRPr="009472A0">
        <w:t xml:space="preserve"> до </w:t>
      </w:r>
      <w:r>
        <w:t>08</w:t>
      </w:r>
      <w:r w:rsidRPr="009472A0">
        <w:t>.</w:t>
      </w:r>
      <w:r>
        <w:t>1</w:t>
      </w:r>
      <w:r w:rsidRPr="009472A0">
        <w:t>0.</w:t>
      </w:r>
      <w:r>
        <w:t>20</w:t>
      </w:r>
      <w:r w:rsidRPr="009472A0">
        <w:t>1</w:t>
      </w:r>
      <w:r>
        <w:t>3) з розрахунку</w:t>
      </w:r>
      <w:r w:rsidRPr="009472A0">
        <w:t xml:space="preserve"> 10 мг/кг/добу всередину</w:t>
      </w:r>
      <w:r w:rsidRPr="00783255">
        <w:t xml:space="preserve"> </w:t>
      </w:r>
      <w:r>
        <w:t>упродовж</w:t>
      </w:r>
      <w:r w:rsidRPr="009472A0">
        <w:t xml:space="preserve"> 10 днів. </w:t>
      </w:r>
    </w:p>
    <w:p w:rsidR="00D14A0F" w:rsidRDefault="00D14A0F" w:rsidP="00D14A0F">
      <w:pPr>
        <w:adjustRightInd w:val="0"/>
        <w:snapToGrid w:val="0"/>
        <w:spacing w:line="360" w:lineRule="auto"/>
        <w:ind w:firstLine="709"/>
        <w:jc w:val="both"/>
        <w:rPr>
          <w:sz w:val="28"/>
          <w:szCs w:val="28"/>
        </w:rPr>
      </w:pPr>
      <w:r w:rsidRPr="009472A0">
        <w:t>Хворим І</w:t>
      </w:r>
      <w:r w:rsidRPr="009472A0">
        <w:rPr>
          <w:lang w:val="en-US"/>
        </w:rPr>
        <w:t>V</w:t>
      </w:r>
      <w:r w:rsidRPr="009472A0">
        <w:t xml:space="preserve"> групи (3</w:t>
      </w:r>
      <w:r>
        <w:t>0 чоловік) на фоні</w:t>
      </w:r>
      <w:r w:rsidRPr="009472A0">
        <w:t xml:space="preserve"> стандартного лікування </w:t>
      </w:r>
      <w:r>
        <w:t xml:space="preserve">застосовували </w:t>
      </w:r>
      <w:r w:rsidRPr="009472A0">
        <w:t>глутаргін та УДХ</w:t>
      </w:r>
      <w:r>
        <w:t>К у вказаних дозуваннях упродовж</w:t>
      </w:r>
      <w:r w:rsidRPr="009472A0">
        <w:t xml:space="preserve"> 10 днів.</w:t>
      </w:r>
    </w:p>
    <w:p w:rsidR="00D14A0F" w:rsidRDefault="00D14A0F" w:rsidP="00D14A0F">
      <w:pPr>
        <w:adjustRightInd w:val="0"/>
        <w:snapToGrid w:val="0"/>
        <w:spacing w:line="360" w:lineRule="auto"/>
        <w:ind w:firstLine="709"/>
        <w:jc w:val="both"/>
      </w:pPr>
      <w:r w:rsidRPr="00451E5E">
        <w:t>Після</w:t>
      </w:r>
      <w:r>
        <w:t xml:space="preserve"> виписки зі стаціонару пацієнти кожної з груп продовжували</w:t>
      </w:r>
      <w:r w:rsidRPr="00451E5E">
        <w:t xml:space="preserve"> прийом глутаргіну </w:t>
      </w:r>
      <w:r>
        <w:t>по 0,75 мг 3 рази на день та</w:t>
      </w:r>
      <w:r w:rsidRPr="00451E5E">
        <w:t xml:space="preserve"> УДХК по 10 мг/кг/добу всередину до 30 днів.</w:t>
      </w:r>
    </w:p>
    <w:p w:rsidR="00D14A0F" w:rsidRPr="00451E5E" w:rsidRDefault="00D14A0F" w:rsidP="00D14A0F">
      <w:pPr>
        <w:adjustRightInd w:val="0"/>
        <w:snapToGrid w:val="0"/>
        <w:spacing w:line="360" w:lineRule="auto"/>
        <w:ind w:firstLine="709"/>
        <w:jc w:val="both"/>
      </w:pPr>
      <w:r>
        <w:t>У</w:t>
      </w:r>
      <w:r w:rsidRPr="00451E5E">
        <w:t>сі обстеження проводили перед початком лікування</w:t>
      </w:r>
      <w:r w:rsidRPr="009472A0">
        <w:t>,</w:t>
      </w:r>
      <w:r w:rsidRPr="00451E5E">
        <w:t xml:space="preserve"> через 10 днів</w:t>
      </w:r>
      <w:r w:rsidRPr="009472A0">
        <w:t xml:space="preserve"> терапії, а також оцінювали клінічний перебіг захворювання через 6</w:t>
      </w:r>
      <w:r>
        <w:t xml:space="preserve"> </w:t>
      </w:r>
      <w:r w:rsidRPr="009472A0">
        <w:t>місяців після проведеного лікування.</w:t>
      </w:r>
      <w:r w:rsidRPr="00451E5E">
        <w:t xml:space="preserve"> </w:t>
      </w:r>
    </w:p>
    <w:p w:rsidR="00D14A0F" w:rsidRDefault="00D14A0F" w:rsidP="00D14A0F">
      <w:pPr>
        <w:spacing w:line="360" w:lineRule="auto"/>
        <w:ind w:firstLine="720"/>
        <w:jc w:val="both"/>
      </w:pPr>
      <w:r w:rsidRPr="009472A0">
        <w:t xml:space="preserve">Обстеження хворих включало збір скарг, анамнезу хвороби, життя, об’єктивний огляд, лабораторне та інструментальне обстеження. </w:t>
      </w:r>
    </w:p>
    <w:p w:rsidR="00D14A0F" w:rsidRPr="0048132D" w:rsidRDefault="00D14A0F" w:rsidP="00D14A0F">
      <w:pPr>
        <w:spacing w:line="360" w:lineRule="auto"/>
        <w:ind w:firstLine="720"/>
        <w:jc w:val="both"/>
      </w:pPr>
      <w:r w:rsidRPr="00454ED7">
        <w:t>Для оцінки функціонального стану печінки досліджували активність аланінамінотрансферази (АлТ), аспартатамінотрансферази (АсТ), ЛФ, ГГТП у крові, визначали активність α-амілази, рівень холестерину (ХС), загального білірубіну</w:t>
      </w:r>
      <w:r>
        <w:t>,</w:t>
      </w:r>
      <w:r w:rsidRPr="00454ED7">
        <w:t xml:space="preserve"> тимолової проби в сироватці крові, </w:t>
      </w:r>
      <w:r>
        <w:t xml:space="preserve">показники </w:t>
      </w:r>
      <w:r w:rsidRPr="00454ED7">
        <w:t>протеїнограм</w:t>
      </w:r>
      <w:r>
        <w:t>и</w:t>
      </w:r>
      <w:r w:rsidRPr="00454ED7">
        <w:t>. Тонус і кінетику жовчовивідних шляхів вивчали за допомогою багатомоментного фракційного дуоденального зондування</w:t>
      </w:r>
      <w:r>
        <w:t xml:space="preserve"> </w:t>
      </w:r>
      <w:r w:rsidRPr="00454ED7">
        <w:t xml:space="preserve">з реєстрацією </w:t>
      </w:r>
      <w:r>
        <w:t xml:space="preserve">часу закритого сфінктера Одді, </w:t>
      </w:r>
      <w:r w:rsidRPr="00454ED7">
        <w:t>часу</w:t>
      </w:r>
      <w:r>
        <w:t xml:space="preserve"> виділення</w:t>
      </w:r>
      <w:r w:rsidRPr="00454ED7">
        <w:t xml:space="preserve"> і</w:t>
      </w:r>
      <w:r>
        <w:t xml:space="preserve"> об’єму отриманої</w:t>
      </w:r>
      <w:r w:rsidRPr="00454ED7">
        <w:t xml:space="preserve"> жовчі </w:t>
      </w:r>
      <w:r>
        <w:t>з</w:t>
      </w:r>
      <w:r w:rsidRPr="00454ED7">
        <w:t xml:space="preserve"> наступним </w:t>
      </w:r>
      <w:r>
        <w:t xml:space="preserve">мікроскопічним, </w:t>
      </w:r>
      <w:r w:rsidRPr="00454ED7">
        <w:t>бактеріологічним та біохімічним дослідженням жовчі порці</w:t>
      </w:r>
      <w:r>
        <w:t>й</w:t>
      </w:r>
      <w:r w:rsidRPr="00454ED7">
        <w:t xml:space="preserve"> В та </w:t>
      </w:r>
      <w:r w:rsidRPr="00116FA2">
        <w:t>С (Денисюк В. Г., Ганджа І. М.</w:t>
      </w:r>
      <w:r>
        <w:t>,1992</w:t>
      </w:r>
      <w:r w:rsidRPr="00116FA2">
        <w:t xml:space="preserve"> ).</w:t>
      </w:r>
    </w:p>
    <w:p w:rsidR="00D14A0F" w:rsidRPr="00E17FFC" w:rsidRDefault="00D14A0F" w:rsidP="00D14A0F">
      <w:pPr>
        <w:spacing w:line="360" w:lineRule="auto"/>
        <w:ind w:firstLine="720"/>
        <w:jc w:val="both"/>
      </w:pPr>
      <w:r>
        <w:lastRenderedPageBreak/>
        <w:t xml:space="preserve">Літогенні властивості жовчі оцінювали за кількістю загального ХС </w:t>
      </w:r>
      <w:r w:rsidRPr="00000505">
        <w:t>(метод Ілька</w:t>
      </w:r>
      <w:r>
        <w:t>, 1988), жовчних кислот (ЖК) (метод</w:t>
      </w:r>
      <w:r w:rsidRPr="00116FA2">
        <w:t>,</w:t>
      </w:r>
      <w:r w:rsidRPr="009658F7">
        <w:t xml:space="preserve"> </w:t>
      </w:r>
      <w:r>
        <w:rPr>
          <w:lang w:val="en-US"/>
        </w:rPr>
        <w:t>Reinhold</w:t>
      </w:r>
      <w:r w:rsidRPr="009658F7">
        <w:t xml:space="preserve"> </w:t>
      </w:r>
      <w:r>
        <w:rPr>
          <w:lang w:val="en-US"/>
        </w:rPr>
        <w:t>J</w:t>
      </w:r>
      <w:r w:rsidRPr="009658F7">
        <w:t>.</w:t>
      </w:r>
      <w:r>
        <w:rPr>
          <w:lang w:val="en-US"/>
        </w:rPr>
        <w:t>G</w:t>
      </w:r>
      <w:r w:rsidRPr="009658F7">
        <w:t xml:space="preserve">., </w:t>
      </w:r>
      <w:r>
        <w:rPr>
          <w:lang w:val="en-US"/>
        </w:rPr>
        <w:t>Wilson</w:t>
      </w:r>
      <w:r w:rsidRPr="009658F7">
        <w:t xml:space="preserve"> </w:t>
      </w:r>
      <w:r>
        <w:rPr>
          <w:lang w:val="en-US"/>
        </w:rPr>
        <w:t>D</w:t>
      </w:r>
      <w:r w:rsidRPr="009658F7">
        <w:t>.</w:t>
      </w:r>
      <w:r>
        <w:rPr>
          <w:lang w:val="en-US"/>
        </w:rPr>
        <w:t>W</w:t>
      </w:r>
      <w:r w:rsidRPr="009658F7">
        <w:t>.,</w:t>
      </w:r>
      <w:r w:rsidRPr="00116FA2">
        <w:t xml:space="preserve"> 1988), білірубіну (метод Ієндрашика, 1988). Бактеріологічне дослідження жовчі проводили  шляхом посіву нативної жовчі на кров’яний агар для виділення аеробної флори та на тіогліколеве середовище для виділення анаеробної флори</w:t>
      </w:r>
      <w:r>
        <w:t xml:space="preserve"> згідно наказу МОЗ СРСР №538 від 22. 04.1985р.</w:t>
      </w:r>
    </w:p>
    <w:p w:rsidR="00D14A0F" w:rsidRDefault="00D14A0F" w:rsidP="00D14A0F">
      <w:pPr>
        <w:spacing w:line="360" w:lineRule="auto"/>
        <w:ind w:left="-57" w:firstLine="720"/>
        <w:jc w:val="both"/>
      </w:pPr>
      <w:r w:rsidRPr="00F458C0">
        <w:t>Для характеристики запального синдрому вивчалися вміст лейкоцитів у периферійній крові,  показник ШОЕ</w:t>
      </w:r>
      <w:r>
        <w:t xml:space="preserve"> (Лебедев К. А., Понякина И. Д., 1990)</w:t>
      </w:r>
      <w:r w:rsidRPr="00F458C0">
        <w:t xml:space="preserve">, </w:t>
      </w:r>
      <w:r>
        <w:t xml:space="preserve">а також </w:t>
      </w:r>
      <w:r w:rsidRPr="00F458C0">
        <w:t>ІЛ-1β, ФНП-α</w:t>
      </w:r>
      <w:r>
        <w:t xml:space="preserve">, ІЛ-10 </w:t>
      </w:r>
      <w:r w:rsidRPr="00F458C0">
        <w:t>у сироватці крові (методом імуноферментного аналізу на аналізаторі “</w:t>
      </w:r>
      <w:r w:rsidRPr="00F458C0">
        <w:rPr>
          <w:lang w:val="en-US"/>
        </w:rPr>
        <w:t>Stat</w:t>
      </w:r>
      <w:r w:rsidRPr="00F458C0">
        <w:t xml:space="preserve"> </w:t>
      </w:r>
      <w:r w:rsidRPr="00F458C0">
        <w:rPr>
          <w:lang w:val="en-US"/>
        </w:rPr>
        <w:t>Fax</w:t>
      </w:r>
      <w:r w:rsidRPr="00F458C0">
        <w:t xml:space="preserve"> 303 </w:t>
      </w:r>
      <w:r w:rsidRPr="00F458C0">
        <w:rPr>
          <w:lang w:val="en-US"/>
        </w:rPr>
        <w:t>Plus</w:t>
      </w:r>
      <w:r w:rsidRPr="00F458C0">
        <w:t xml:space="preserve">” (США) </w:t>
      </w:r>
      <w:r>
        <w:t>і</w:t>
      </w:r>
      <w:r w:rsidRPr="00F458C0">
        <w:t>з використанням реагентів “</w:t>
      </w:r>
      <w:r w:rsidRPr="00F458C0">
        <w:rPr>
          <w:lang w:val="en-US"/>
        </w:rPr>
        <w:t>IL</w:t>
      </w:r>
      <w:r w:rsidRPr="00F458C0">
        <w:t xml:space="preserve">-1β </w:t>
      </w:r>
      <w:r w:rsidRPr="00F458C0">
        <w:rPr>
          <w:lang w:val="en-US"/>
        </w:rPr>
        <w:t>ELISA</w:t>
      </w:r>
      <w:r w:rsidRPr="00F458C0">
        <w:t xml:space="preserve"> </w:t>
      </w:r>
      <w:r w:rsidRPr="00F458C0">
        <w:rPr>
          <w:lang w:val="en-US"/>
        </w:rPr>
        <w:t>test</w:t>
      </w:r>
      <w:r w:rsidRPr="00F458C0">
        <w:t xml:space="preserve"> </w:t>
      </w:r>
      <w:r w:rsidRPr="00F458C0">
        <w:rPr>
          <w:lang w:val="en-US"/>
        </w:rPr>
        <w:t>kit</w:t>
      </w:r>
      <w:r w:rsidRPr="00F458C0">
        <w:t xml:space="preserve">”, “ФНП-α </w:t>
      </w:r>
      <w:r w:rsidRPr="00F458C0">
        <w:rPr>
          <w:lang w:val="en-US"/>
        </w:rPr>
        <w:t>ELISA</w:t>
      </w:r>
      <w:r w:rsidRPr="00F458C0">
        <w:t xml:space="preserve"> </w:t>
      </w:r>
      <w:r w:rsidRPr="00F458C0">
        <w:rPr>
          <w:lang w:val="en-US"/>
        </w:rPr>
        <w:t>test</w:t>
      </w:r>
      <w:r w:rsidRPr="00F458C0">
        <w:t xml:space="preserve"> </w:t>
      </w:r>
      <w:r w:rsidRPr="00F458C0">
        <w:rPr>
          <w:lang w:val="en-US"/>
        </w:rPr>
        <w:t>kit</w:t>
      </w:r>
      <w:r w:rsidRPr="00F458C0">
        <w:t>”</w:t>
      </w:r>
      <w:r>
        <w:t>,</w:t>
      </w:r>
      <w:r w:rsidRPr="00F458C0">
        <w:t>“</w:t>
      </w:r>
      <w:r w:rsidRPr="00F458C0">
        <w:rPr>
          <w:lang w:val="en-US"/>
        </w:rPr>
        <w:t>IL</w:t>
      </w:r>
      <w:r w:rsidRPr="00F458C0">
        <w:t>-</w:t>
      </w:r>
      <w:r>
        <w:t>10</w:t>
      </w:r>
      <w:r w:rsidRPr="00F458C0">
        <w:t xml:space="preserve"> </w:t>
      </w:r>
      <w:r w:rsidRPr="00F458C0">
        <w:rPr>
          <w:lang w:val="en-US"/>
        </w:rPr>
        <w:t>ELISA</w:t>
      </w:r>
      <w:r w:rsidRPr="00F458C0">
        <w:t xml:space="preserve"> </w:t>
      </w:r>
      <w:r w:rsidRPr="00F458C0">
        <w:rPr>
          <w:lang w:val="en-US"/>
        </w:rPr>
        <w:t>test</w:t>
      </w:r>
      <w:r w:rsidRPr="00F458C0">
        <w:t xml:space="preserve"> </w:t>
      </w:r>
      <w:r w:rsidRPr="00F458C0">
        <w:rPr>
          <w:lang w:val="en-US"/>
        </w:rPr>
        <w:t>kit</w:t>
      </w:r>
      <w:r w:rsidRPr="00F458C0">
        <w:t>”,</w:t>
      </w:r>
      <w:r>
        <w:t xml:space="preserve"> </w:t>
      </w:r>
      <w:r w:rsidRPr="00F458C0">
        <w:rPr>
          <w:lang w:val="en-US"/>
        </w:rPr>
        <w:t>DIACLONE</w:t>
      </w:r>
      <w:r w:rsidRPr="00F458C0">
        <w:t xml:space="preserve">, Франція). </w:t>
      </w:r>
    </w:p>
    <w:p w:rsidR="00D14A0F" w:rsidRPr="00F458C0" w:rsidRDefault="00D14A0F" w:rsidP="00D14A0F">
      <w:pPr>
        <w:spacing w:line="360" w:lineRule="auto"/>
        <w:ind w:left="-57" w:firstLine="720"/>
        <w:jc w:val="both"/>
      </w:pPr>
      <w:r w:rsidRPr="00F458C0">
        <w:t>Вміст СМП в плазмі крові визначався за методом Н.І.</w:t>
      </w:r>
      <w:r>
        <w:t xml:space="preserve"> </w:t>
      </w:r>
      <w:r w:rsidRPr="00F458C0">
        <w:t>Габріелян та співав</w:t>
      </w:r>
      <w:r>
        <w:t>т</w:t>
      </w:r>
      <w:r w:rsidRPr="00F458C0">
        <w:t xml:space="preserve">. (1981). </w:t>
      </w:r>
    </w:p>
    <w:p w:rsidR="00D14A0F" w:rsidRPr="00CB1CE1" w:rsidRDefault="00D14A0F" w:rsidP="00D14A0F">
      <w:pPr>
        <w:spacing w:line="360" w:lineRule="auto"/>
        <w:ind w:left="-57" w:firstLine="720"/>
        <w:jc w:val="both"/>
      </w:pPr>
      <w:r w:rsidRPr="00F458C0">
        <w:t>Вміст заліза, магнію, цинку, кальцію та міді в еритроцитах визначали методом атомно-сорбційної спектрофотометрії, насиченість Тф залізом та активність Цп в сироватці крові –</w:t>
      </w:r>
      <w:r>
        <w:t xml:space="preserve"> метода</w:t>
      </w:r>
      <w:r w:rsidRPr="00F458C0">
        <w:t>м</w:t>
      </w:r>
      <w:r>
        <w:t>и</w:t>
      </w:r>
      <w:r w:rsidRPr="00F458C0">
        <w:t xml:space="preserve"> Г.О. Бабенка (1999</w:t>
      </w:r>
      <w:r>
        <w:t>), вивчення інтенсивності процесів ПОЛ проводили за показниками вмісту в сироватці крові МА за</w:t>
      </w:r>
      <w:r>
        <w:rPr>
          <w:kern w:val="56"/>
        </w:rPr>
        <w:t xml:space="preserve"> </w:t>
      </w:r>
      <w:r w:rsidRPr="00CB1CE1">
        <w:t>методом Т.Л. Темир</w:t>
      </w:r>
      <w:r>
        <w:t>булатова, С.А. Селезньова (1988)</w:t>
      </w:r>
      <w:r w:rsidRPr="00CB1CE1">
        <w:t xml:space="preserve"> та ДК (</w:t>
      </w:r>
      <w:r>
        <w:t xml:space="preserve">за </w:t>
      </w:r>
      <w:r w:rsidRPr="00000505">
        <w:t xml:space="preserve">Гавриловим В.Б. та </w:t>
      </w:r>
      <w:r>
        <w:t>спіавт</w:t>
      </w:r>
      <w:r w:rsidRPr="00FB4F03">
        <w:t>.</w:t>
      </w:r>
      <w:r>
        <w:t>, 1988</w:t>
      </w:r>
      <w:r w:rsidRPr="00FB4F03">
        <w:t>).</w:t>
      </w:r>
    </w:p>
    <w:p w:rsidR="00D14A0F" w:rsidRPr="00D07ABC" w:rsidRDefault="00D14A0F" w:rsidP="00D14A0F">
      <w:pPr>
        <w:spacing w:line="360" w:lineRule="auto"/>
        <w:ind w:firstLine="900"/>
        <w:jc w:val="both"/>
      </w:pPr>
      <w:r w:rsidRPr="005C0B23">
        <w:t>Ультразвуковими критеріями діагнозу ХНХ служили такі ознаки, як товщина стінки ЖМ, наявність деформацій ЖМ (перегини, перетяжки), відсутність рухомості</w:t>
      </w:r>
      <w:r w:rsidRPr="00D07ABC">
        <w:t xml:space="preserve"> </w:t>
      </w:r>
      <w:r w:rsidRPr="00FC1971">
        <w:t>внаслідок</w:t>
      </w:r>
      <w:r w:rsidRPr="00D07ABC">
        <w:t xml:space="preserve"> </w:t>
      </w:r>
      <w:r w:rsidRPr="00FC1971">
        <w:t>перихолециститу</w:t>
      </w:r>
      <w:r w:rsidRPr="00D07ABC">
        <w:t>,</w:t>
      </w:r>
      <w:r>
        <w:t xml:space="preserve"> позитивний сонографічний симптом Мерфі, структура жовчі</w:t>
      </w:r>
      <w:r w:rsidRPr="00E87F41">
        <w:t>, жовчний осад,</w:t>
      </w:r>
      <w:r w:rsidRPr="00D07ABC">
        <w:t xml:space="preserve"> </w:t>
      </w:r>
      <w:r w:rsidRPr="00FC1971">
        <w:t>холестероз</w:t>
      </w:r>
      <w:r w:rsidRPr="00D07ABC">
        <w:t xml:space="preserve"> </w:t>
      </w:r>
      <w:r w:rsidRPr="00FC1971">
        <w:t>стінки</w:t>
      </w:r>
      <w:r w:rsidRPr="00D07ABC">
        <w:t xml:space="preserve">, </w:t>
      </w:r>
      <w:r w:rsidRPr="00FC1971">
        <w:t>об</w:t>
      </w:r>
      <w:r w:rsidRPr="00D07ABC">
        <w:t>’</w:t>
      </w:r>
      <w:r w:rsidRPr="00FC1971">
        <w:t>єм</w:t>
      </w:r>
      <w:r w:rsidRPr="00D07ABC">
        <w:t xml:space="preserve"> </w:t>
      </w:r>
      <w:r w:rsidRPr="00FC1971">
        <w:t>ЖМ</w:t>
      </w:r>
      <w:r w:rsidRPr="00D07ABC">
        <w:t xml:space="preserve">. </w:t>
      </w:r>
    </w:p>
    <w:p w:rsidR="00D14A0F" w:rsidRPr="00FF4B65" w:rsidRDefault="00D14A0F" w:rsidP="00D14A0F">
      <w:pPr>
        <w:spacing w:line="360" w:lineRule="auto"/>
        <w:ind w:firstLine="900"/>
        <w:jc w:val="both"/>
      </w:pPr>
      <w:r>
        <w:t xml:space="preserve"> Статистичний аналіз проводився з використання пакету програм «</w:t>
      </w:r>
      <w:r>
        <w:rPr>
          <w:lang w:val="en-US"/>
        </w:rPr>
        <w:t>Microsoft</w:t>
      </w:r>
      <w:r w:rsidRPr="00D051CF">
        <w:t xml:space="preserve"> </w:t>
      </w:r>
      <w:r>
        <w:rPr>
          <w:lang w:val="en-US"/>
        </w:rPr>
        <w:t>Ex</w:t>
      </w:r>
      <w:r>
        <w:t>с</w:t>
      </w:r>
      <w:r>
        <w:rPr>
          <w:lang w:val="en-US"/>
        </w:rPr>
        <w:t>el</w:t>
      </w:r>
      <w:r>
        <w:t>». Для аналізу взаємозв'язків між показниками проводили кореляційний аналіз із обрахунком коефіцієнта кореляції Пірсона (</w:t>
      </w:r>
      <w:r>
        <w:rPr>
          <w:lang w:val="en-US"/>
        </w:rPr>
        <w:t>r</w:t>
      </w:r>
      <w:r>
        <w:t>).</w:t>
      </w:r>
    </w:p>
    <w:p w:rsidR="00D14A0F" w:rsidRDefault="00D14A0F" w:rsidP="00D14A0F">
      <w:pPr>
        <w:adjustRightInd w:val="0"/>
        <w:snapToGrid w:val="0"/>
        <w:spacing w:line="360" w:lineRule="auto"/>
        <w:ind w:firstLine="709"/>
        <w:jc w:val="both"/>
      </w:pPr>
      <w:r w:rsidRPr="00885A0B">
        <w:rPr>
          <w:b/>
        </w:rPr>
        <w:t>Результати дослідження та їх аналіз.</w:t>
      </w:r>
      <w:r w:rsidRPr="00885A0B">
        <w:t xml:space="preserve"> </w:t>
      </w:r>
      <w:r w:rsidRPr="0053272D">
        <w:t xml:space="preserve">Серед обстежених </w:t>
      </w:r>
      <w:r>
        <w:t xml:space="preserve">120 </w:t>
      </w:r>
      <w:r w:rsidRPr="0053272D">
        <w:t xml:space="preserve">хворих переважали жінки, які становили 63,3%, вік пацієнтів коливався від 18 до 72 років, у середньому </w:t>
      </w:r>
      <w:r>
        <w:t>(</w:t>
      </w:r>
      <w:r w:rsidRPr="0053272D">
        <w:t>41,45±6,23</w:t>
      </w:r>
      <w:r>
        <w:t>)</w:t>
      </w:r>
      <w:r w:rsidRPr="0053272D">
        <w:t>роки.</w:t>
      </w:r>
      <w:r w:rsidRPr="00954672">
        <w:t xml:space="preserve"> </w:t>
      </w:r>
      <w:r w:rsidRPr="00885A0B">
        <w:t xml:space="preserve">Аналіз клінічних особливостей </w:t>
      </w:r>
      <w:r>
        <w:t>виявив в 98,3% пацієнтів</w:t>
      </w:r>
      <w:r w:rsidRPr="00885A0B">
        <w:t xml:space="preserve"> </w:t>
      </w:r>
      <w:r>
        <w:t>прояви</w:t>
      </w:r>
      <w:r w:rsidRPr="00885A0B">
        <w:t xml:space="preserve"> больового</w:t>
      </w:r>
      <w:r>
        <w:t xml:space="preserve">, у </w:t>
      </w:r>
      <w:r w:rsidRPr="007E7A71">
        <w:t>100</w:t>
      </w:r>
      <w:r>
        <w:t>,0</w:t>
      </w:r>
      <w:r w:rsidRPr="007E7A71">
        <w:t>%</w:t>
      </w:r>
      <w:r>
        <w:t xml:space="preserve"> </w:t>
      </w:r>
      <w:r w:rsidRPr="00885A0B">
        <w:t>диспепсичного та</w:t>
      </w:r>
      <w:r>
        <w:t xml:space="preserve"> в 62,5% </w:t>
      </w:r>
      <w:r w:rsidRPr="00885A0B">
        <w:t>астено-вегетативного синдромів</w:t>
      </w:r>
      <w:r>
        <w:t xml:space="preserve">. Серед особливостей больового синдрому слід виділити локалізацію болю у 88,3% у правому підребір'ї, а в 10,0% </w:t>
      </w:r>
      <w:r>
        <w:rPr>
          <w:kern w:val="56"/>
        </w:rPr>
        <w:t xml:space="preserve">– </w:t>
      </w:r>
      <w:r>
        <w:t xml:space="preserve">в епігастральній ділянці. Позитивні міхурові симптоми </w:t>
      </w:r>
      <w:r w:rsidRPr="00EF05EB">
        <w:t>(Кера, Ортнера,</w:t>
      </w:r>
      <w:r>
        <w:t xml:space="preserve"> </w:t>
      </w:r>
      <w:r w:rsidRPr="00EF05EB">
        <w:t>Мюсі-Георгієвського</w:t>
      </w:r>
      <w:r>
        <w:t>) виявляли в</w:t>
      </w:r>
      <w:r w:rsidRPr="00FB0051">
        <w:t xml:space="preserve"> </w:t>
      </w:r>
      <w:r>
        <w:t xml:space="preserve">95,0% </w:t>
      </w:r>
      <w:r w:rsidRPr="00FB0051">
        <w:t>обстежених хворих</w:t>
      </w:r>
      <w:r>
        <w:t>, на закрепи страждали 64,0% пацієнтів, у 18,3% випадків, навпаки, відмічався пронос.</w:t>
      </w:r>
    </w:p>
    <w:p w:rsidR="00D14A0F" w:rsidRDefault="00D14A0F" w:rsidP="00D14A0F">
      <w:pPr>
        <w:spacing w:line="360" w:lineRule="auto"/>
        <w:ind w:firstLine="720"/>
        <w:jc w:val="both"/>
      </w:pPr>
      <w:r w:rsidRPr="00144CC9">
        <w:t xml:space="preserve">За даними показників лейкограми </w:t>
      </w:r>
      <w:r>
        <w:t>у хворих на ХНХ спостерігалося</w:t>
      </w:r>
      <w:r w:rsidRPr="00144CC9">
        <w:t xml:space="preserve"> </w:t>
      </w:r>
      <w:r>
        <w:t>помірне зростанням кількості</w:t>
      </w:r>
      <w:r w:rsidRPr="00144CC9">
        <w:t xml:space="preserve"> лейкоцитів</w:t>
      </w:r>
      <w:r w:rsidRPr="006E6FCA">
        <w:t xml:space="preserve"> </w:t>
      </w:r>
      <w:r>
        <w:t xml:space="preserve">у 37,0% хворих до </w:t>
      </w:r>
      <w:r w:rsidRPr="009948C5">
        <w:t>(9,51±0,18)∙10</w:t>
      </w:r>
      <w:r w:rsidRPr="009948C5">
        <w:rPr>
          <w:vertAlign w:val="superscript"/>
        </w:rPr>
        <w:t>9</w:t>
      </w:r>
      <w:r w:rsidRPr="00144CC9">
        <w:t xml:space="preserve">/л </w:t>
      </w:r>
      <w:r>
        <w:t>проти (4,37±0,19</w:t>
      </w:r>
      <w:r w:rsidRPr="00624FAD">
        <w:t>)∙</w:t>
      </w:r>
      <w:r w:rsidRPr="009948C5">
        <w:t>10</w:t>
      </w:r>
      <w:r w:rsidRPr="009948C5">
        <w:rPr>
          <w:vertAlign w:val="superscript"/>
        </w:rPr>
        <w:t>9</w:t>
      </w:r>
      <w:r w:rsidRPr="00144CC9">
        <w:t>/л</w:t>
      </w:r>
      <w:r>
        <w:rPr>
          <w:vertAlign w:val="superscript"/>
        </w:rPr>
        <w:t xml:space="preserve"> </w:t>
      </w:r>
      <w:r>
        <w:t xml:space="preserve">у здорових </w:t>
      </w:r>
      <w:r w:rsidRPr="00144CC9">
        <w:t xml:space="preserve">та </w:t>
      </w:r>
      <w:r>
        <w:t xml:space="preserve">підвищенням ШОЕ до (16,75±0,65) </w:t>
      </w:r>
      <w:r w:rsidRPr="00144CC9">
        <w:t>мм/год</w:t>
      </w:r>
      <w:r>
        <w:t xml:space="preserve"> проти (8,86</w:t>
      </w:r>
      <w:r w:rsidRPr="00144CC9">
        <w:t>±</w:t>
      </w:r>
      <w:r>
        <w:t>0,63)</w:t>
      </w:r>
      <w:r w:rsidRPr="00624FAD">
        <w:t xml:space="preserve"> </w:t>
      </w:r>
      <w:r w:rsidRPr="00144CC9">
        <w:t>мм/год</w:t>
      </w:r>
      <w:r>
        <w:t xml:space="preserve"> </w:t>
      </w:r>
      <w:r w:rsidRPr="00144CC9">
        <w:t>(</w:t>
      </w:r>
      <w:r w:rsidRPr="00144CC9">
        <w:rPr>
          <w:lang w:val="en-US"/>
        </w:rPr>
        <w:t>p</w:t>
      </w:r>
      <w:r>
        <w:t>&lt;0,001)</w:t>
      </w:r>
      <w:r>
        <w:rPr>
          <w:sz w:val="28"/>
          <w:szCs w:val="28"/>
        </w:rPr>
        <w:t xml:space="preserve"> </w:t>
      </w:r>
      <w:r>
        <w:t xml:space="preserve">у здорових. </w:t>
      </w:r>
      <w:r w:rsidRPr="00144CC9">
        <w:t xml:space="preserve">Поряд </w:t>
      </w:r>
      <w:r>
        <w:t>і</w:t>
      </w:r>
      <w:r w:rsidRPr="00144CC9">
        <w:t xml:space="preserve">з </w:t>
      </w:r>
      <w:r>
        <w:t>цими явищами констатували</w:t>
      </w:r>
      <w:r w:rsidRPr="00144CC9">
        <w:t xml:space="preserve"> вірогідне</w:t>
      </w:r>
      <w:r>
        <w:t xml:space="preserve"> зниження рівня альбуміну і зростання</w:t>
      </w:r>
      <w:r w:rsidRPr="00144CC9">
        <w:t xml:space="preserve"> вмісту глобулінів </w:t>
      </w:r>
      <w:r w:rsidRPr="00144CC9">
        <w:rPr>
          <w:kern w:val="56"/>
        </w:rPr>
        <w:t>–</w:t>
      </w:r>
      <w:r>
        <w:t xml:space="preserve"> </w:t>
      </w:r>
      <w:r>
        <w:lastRenderedPageBreak/>
        <w:t>відповідно до (48,94±2,25)% і до (51,04±2,35)% проти (58,96±2,49)% і (41,03±2</w:t>
      </w:r>
      <w:r w:rsidRPr="00144CC9">
        <w:t>,48)% у здорових (</w:t>
      </w:r>
      <w:r w:rsidRPr="00144CC9">
        <w:rPr>
          <w:lang w:val="en-US"/>
        </w:rPr>
        <w:t>p</w:t>
      </w:r>
      <w:r>
        <w:t>&lt;0,0</w:t>
      </w:r>
      <w:r w:rsidRPr="00144CC9">
        <w:t>1). За таких умов мав мі</w:t>
      </w:r>
      <w:r>
        <w:t>сце вірогідний приріст у</w:t>
      </w:r>
      <w:r w:rsidRPr="00144CC9">
        <w:t>сіх фракцій глобулінів та вірогідне зниження альбумін-глобулі</w:t>
      </w:r>
      <w:r>
        <w:t>нового коефіцієнту до (0,95±0,04</w:t>
      </w:r>
      <w:r w:rsidRPr="00144CC9">
        <w:t xml:space="preserve">) у </w:t>
      </w:r>
      <w:r w:rsidRPr="00266E34">
        <w:t>порів</w:t>
      </w:r>
      <w:r>
        <w:t>нянні зі здоровими (1,44±0,08</w:t>
      </w:r>
      <w:r w:rsidRPr="00266E34">
        <w:t>) (</w:t>
      </w:r>
      <w:r w:rsidRPr="00266E34">
        <w:rPr>
          <w:lang w:val="en-US"/>
        </w:rPr>
        <w:t>p</w:t>
      </w:r>
      <w:r w:rsidRPr="00266E34">
        <w:t>&lt;0,001).</w:t>
      </w:r>
    </w:p>
    <w:p w:rsidR="00D14A0F" w:rsidRDefault="00D14A0F" w:rsidP="00D14A0F">
      <w:pPr>
        <w:spacing w:line="360" w:lineRule="auto"/>
        <w:ind w:firstLine="720"/>
        <w:jc w:val="both"/>
      </w:pPr>
      <w:r>
        <w:t xml:space="preserve">Розвиток ХНХ супроводжувався зростанням рівня білірубіну сироватки крові до </w:t>
      </w:r>
      <w:r w:rsidRPr="00EC2212">
        <w:t>(23,84±1,85</w:t>
      </w:r>
      <w:r>
        <w:t>)мкмоль/л та ХС до до (7,02±0,25</w:t>
      </w:r>
      <w:r w:rsidRPr="00266E34">
        <w:t>) ммоль/л (</w:t>
      </w:r>
      <w:r w:rsidRPr="00266E34">
        <w:rPr>
          <w:lang w:val="en-US"/>
        </w:rPr>
        <w:t>p</w:t>
      </w:r>
      <w:r w:rsidRPr="00266E34">
        <w:t>&lt;0,001)</w:t>
      </w:r>
      <w:r>
        <w:t xml:space="preserve">. Відзначено також вірогідне зростання </w:t>
      </w:r>
      <w:r w:rsidRPr="00F275E2">
        <w:t xml:space="preserve">активності ряду ферментів. Зокрема, активність </w:t>
      </w:r>
      <w:r>
        <w:t>АсТ склала (0,61±0,06</w:t>
      </w:r>
      <w:r w:rsidRPr="00F275E2">
        <w:t>) ммоль/л∙год (</w:t>
      </w:r>
      <w:r w:rsidRPr="00F275E2">
        <w:rPr>
          <w:lang w:val="en-US"/>
        </w:rPr>
        <w:t>p</w:t>
      </w:r>
      <w:r>
        <w:t>&lt;0,05), АлТ – (0,82±0,07</w:t>
      </w:r>
      <w:r w:rsidRPr="00F275E2">
        <w:t>) ммоль/л∙год (</w:t>
      </w:r>
      <w:r w:rsidRPr="00F275E2">
        <w:rPr>
          <w:lang w:val="en-US"/>
        </w:rPr>
        <w:t>p</w:t>
      </w:r>
      <w:r>
        <w:t>&lt;0,0</w:t>
      </w:r>
      <w:r w:rsidRPr="00F275E2">
        <w:t xml:space="preserve">1), </w:t>
      </w:r>
      <w:r>
        <w:t>ЛФ</w:t>
      </w:r>
      <w:r w:rsidRPr="00F275E2">
        <w:t xml:space="preserve"> – (2144</w:t>
      </w:r>
      <w:r>
        <w:t>,1</w:t>
      </w:r>
      <w:r w:rsidRPr="00F275E2">
        <w:t>±83,9</w:t>
      </w:r>
      <w:r>
        <w:t>1</w:t>
      </w:r>
      <w:r w:rsidRPr="00F275E2">
        <w:t>) ммоль/л∙сек (</w:t>
      </w:r>
      <w:r w:rsidRPr="00F275E2">
        <w:rPr>
          <w:lang w:val="en-US"/>
        </w:rPr>
        <w:t>p</w:t>
      </w:r>
      <w:r w:rsidRPr="00F275E2">
        <w:t xml:space="preserve">&lt;0,001). Поряд </w:t>
      </w:r>
      <w:r>
        <w:t>і</w:t>
      </w:r>
      <w:r w:rsidRPr="00F275E2">
        <w:t>з цим, відмічали підвищення</w:t>
      </w:r>
      <w:r>
        <w:t xml:space="preserve"> активно</w:t>
      </w:r>
      <w:r w:rsidRPr="00F275E2">
        <w:t>ст</w:t>
      </w:r>
      <w:r>
        <w:t>і</w:t>
      </w:r>
      <w:r w:rsidRPr="00F275E2">
        <w:t xml:space="preserve"> α-амілази</w:t>
      </w:r>
      <w:r>
        <w:t xml:space="preserve"> в 1,4 рази</w:t>
      </w:r>
      <w:r w:rsidRPr="00F275E2">
        <w:t xml:space="preserve"> і </w:t>
      </w:r>
      <w:r>
        <w:t xml:space="preserve">рівня </w:t>
      </w:r>
      <w:r w:rsidRPr="00F275E2">
        <w:t>ГГТП</w:t>
      </w:r>
      <w:r>
        <w:t xml:space="preserve"> в 2,1 рази в порівнянні зі здоровими </w:t>
      </w:r>
      <w:r w:rsidRPr="00266E34">
        <w:t>(</w:t>
      </w:r>
      <w:r w:rsidRPr="00266E34">
        <w:rPr>
          <w:lang w:val="en-US"/>
        </w:rPr>
        <w:t>p</w:t>
      </w:r>
      <w:r w:rsidRPr="00266E34">
        <w:t>&lt;0,001)</w:t>
      </w:r>
      <w:r>
        <w:t>.</w:t>
      </w:r>
    </w:p>
    <w:p w:rsidR="00D14A0F" w:rsidRDefault="00D14A0F" w:rsidP="00D14A0F">
      <w:pPr>
        <w:spacing w:line="360" w:lineRule="auto"/>
        <w:ind w:firstLine="709"/>
        <w:jc w:val="both"/>
      </w:pPr>
      <w:r w:rsidRPr="00695346">
        <w:t>Оцінюючи кінетику ЖМ</w:t>
      </w:r>
      <w:r>
        <w:t>,</w:t>
      </w:r>
      <w:r w:rsidRPr="00695346">
        <w:t xml:space="preserve"> </w:t>
      </w:r>
      <w:r>
        <w:t>у 60,9% хворих конс</w:t>
      </w:r>
      <w:r w:rsidRPr="00695346">
        <w:t>татовано подовження часу закритого сфінктер</w:t>
      </w:r>
      <w:r>
        <w:t>а</w:t>
      </w:r>
      <w:r w:rsidRPr="00695346">
        <w:t xml:space="preserve"> Одді</w:t>
      </w:r>
      <w:r>
        <w:t xml:space="preserve">, у 89,0% </w:t>
      </w:r>
      <w:r w:rsidRPr="000D7B28">
        <w:t>–</w:t>
      </w:r>
      <w:r>
        <w:t xml:space="preserve"> зростання часу появи міхурової жовчі та в 78,0% – збільшення її об’єму.</w:t>
      </w:r>
      <w:r>
        <w:rPr>
          <w:sz w:val="28"/>
          <w:szCs w:val="28"/>
        </w:rPr>
        <w:t xml:space="preserve"> </w:t>
      </w:r>
      <w:r w:rsidRPr="009F55B8">
        <w:t>Відсутність змін кінетичних властивостей ЖМ відмічено лише у 2 хворих (2,4%).</w:t>
      </w:r>
    </w:p>
    <w:p w:rsidR="00D14A0F" w:rsidRDefault="00D14A0F" w:rsidP="00D14A0F">
      <w:pPr>
        <w:spacing w:line="360" w:lineRule="auto"/>
        <w:ind w:firstLine="709"/>
        <w:jc w:val="both"/>
      </w:pPr>
      <w:r>
        <w:t>При</w:t>
      </w:r>
      <w:r w:rsidRPr="007E2E57">
        <w:t xml:space="preserve"> ХНХ у жовчі хворих зменшувався вміст ЖК</w:t>
      </w:r>
      <w:r>
        <w:t>, особливо в порції В – (28,08±1,7) ммоль/л проти (42,70±2</w:t>
      </w:r>
      <w:r w:rsidRPr="007E2E57">
        <w:t xml:space="preserve">,81) </w:t>
      </w:r>
      <w:r>
        <w:t xml:space="preserve">ммоль/л у здорових </w:t>
      </w:r>
      <w:r w:rsidRPr="007E2E57">
        <w:t>(</w:t>
      </w:r>
      <w:r w:rsidRPr="007E2E57">
        <w:rPr>
          <w:lang w:val="en-US"/>
        </w:rPr>
        <w:t>p</w:t>
      </w:r>
      <w:r w:rsidRPr="007E2E57">
        <w:t xml:space="preserve">&lt;0,001). Поряд </w:t>
      </w:r>
      <w:r>
        <w:t>і</w:t>
      </w:r>
      <w:r w:rsidRPr="007E2E57">
        <w:t xml:space="preserve">з цим мало місце зростання концентрації білірубіну до (951,96±36,59) мкмоль/л у порції В порівняно зі здоровими </w:t>
      </w:r>
      <w:r>
        <w:rPr>
          <w:kern w:val="56"/>
        </w:rPr>
        <w:t>–</w:t>
      </w:r>
      <w:r w:rsidRPr="007E2E57">
        <w:t xml:space="preserve"> (606,74±6,49) мкмоль/л (</w:t>
      </w:r>
      <w:r w:rsidRPr="007E2E57">
        <w:rPr>
          <w:lang w:val="en-US"/>
        </w:rPr>
        <w:t>p</w:t>
      </w:r>
      <w:r w:rsidRPr="007E2E57">
        <w:t>&lt;0,001) і</w:t>
      </w:r>
      <w:r>
        <w:t>, навпаки, зниження його рівня в</w:t>
      </w:r>
      <w:r w:rsidRPr="007E2E57">
        <w:t xml:space="preserve"> порції С до (220,86±10,68) мкмоль/л проти (309,08±5,87) </w:t>
      </w:r>
      <w:r>
        <w:t xml:space="preserve">мкмоль/л </w:t>
      </w:r>
      <w:r w:rsidRPr="007E2E57">
        <w:t>(</w:t>
      </w:r>
      <w:r w:rsidRPr="007E2E57">
        <w:rPr>
          <w:lang w:val="en-US"/>
        </w:rPr>
        <w:t>p</w:t>
      </w:r>
      <w:r w:rsidRPr="007E2E57">
        <w:t>&lt;0,001)</w:t>
      </w:r>
      <w:r>
        <w:t xml:space="preserve"> у здорових</w:t>
      </w:r>
      <w:r w:rsidRPr="007E2E57">
        <w:t>. Відмічено зростання р</w:t>
      </w:r>
      <w:r>
        <w:t xml:space="preserve">івня ХС жовчі в порції В та С </w:t>
      </w:r>
      <w:r w:rsidRPr="007E2E57">
        <w:t>відповідно до (9,75±0,45) ммоль/л та (4,87±0,26) ммоль/л проти (3,71±0,22) ммоль/л і (</w:t>
      </w:r>
      <w:r>
        <w:t>1,96±5,87) ммоль/л у здорових осіб.</w:t>
      </w:r>
    </w:p>
    <w:p w:rsidR="00D14A0F" w:rsidRDefault="00D14A0F" w:rsidP="00D14A0F">
      <w:pPr>
        <w:spacing w:line="360" w:lineRule="auto"/>
        <w:ind w:firstLine="720"/>
        <w:jc w:val="both"/>
      </w:pPr>
      <w:r>
        <w:t xml:space="preserve">Крім того, </w:t>
      </w:r>
      <w:r w:rsidRPr="00A336E9">
        <w:t xml:space="preserve">ХХК вірогідно зменшувався як у порції В </w:t>
      </w:r>
      <w:r>
        <w:rPr>
          <w:kern w:val="56"/>
        </w:rPr>
        <w:t xml:space="preserve">– </w:t>
      </w:r>
      <w:r w:rsidRPr="00A336E9">
        <w:t>до (3,38±0,21) проти (11,76±0,52) у здорових (</w:t>
      </w:r>
      <w:r w:rsidRPr="00A336E9">
        <w:rPr>
          <w:lang w:val="en-US"/>
        </w:rPr>
        <w:t>p</w:t>
      </w:r>
      <w:r w:rsidRPr="00A336E9">
        <w:t>&lt;0,001</w:t>
      </w:r>
      <w:r>
        <w:t>), так і в</w:t>
      </w:r>
      <w:r w:rsidRPr="00A336E9">
        <w:t xml:space="preserve"> порції С – (3,92±0,29) проти (10,91±0,10) (</w:t>
      </w:r>
      <w:r w:rsidRPr="00A336E9">
        <w:rPr>
          <w:lang w:val="en-US"/>
        </w:rPr>
        <w:t>p</w:t>
      </w:r>
      <w:r w:rsidRPr="00A336E9">
        <w:t>&lt;0,001).</w:t>
      </w:r>
    </w:p>
    <w:p w:rsidR="00D14A0F" w:rsidRDefault="00D14A0F" w:rsidP="00D14A0F">
      <w:pPr>
        <w:spacing w:line="360" w:lineRule="auto"/>
        <w:ind w:firstLine="720"/>
        <w:jc w:val="both"/>
      </w:pPr>
      <w:r w:rsidRPr="00D84876">
        <w:t xml:space="preserve">Вивчаючи </w:t>
      </w:r>
      <w:r>
        <w:t xml:space="preserve">дані </w:t>
      </w:r>
      <w:r w:rsidRPr="00D84876">
        <w:t>мікроскопічн</w:t>
      </w:r>
      <w:r>
        <w:t>ого</w:t>
      </w:r>
      <w:r w:rsidRPr="00D84876">
        <w:t xml:space="preserve"> дослідження центрифугату жовчі, у 85,4% </w:t>
      </w:r>
      <w:r>
        <w:t>виявлено у всьому полі зору клітини циліндричного епітелію та лейкоцити, а також значну кількість крис</w:t>
      </w:r>
      <w:r w:rsidRPr="00D84876">
        <w:t>талів ХС та білірубінату кальцію, що свідчит</w:t>
      </w:r>
      <w:r>
        <w:t>ь про запалення та</w:t>
      </w:r>
      <w:r w:rsidRPr="00561420">
        <w:t xml:space="preserve"> </w:t>
      </w:r>
      <w:r>
        <w:t>порушення колоїдальної стабільності жовчі.</w:t>
      </w:r>
    </w:p>
    <w:p w:rsidR="00D14A0F" w:rsidRDefault="00D14A0F" w:rsidP="00D14A0F">
      <w:pPr>
        <w:spacing w:line="360" w:lineRule="auto"/>
        <w:ind w:firstLine="708"/>
        <w:jc w:val="both"/>
      </w:pPr>
      <w:r w:rsidRPr="00D84876">
        <w:t>При бактер</w:t>
      </w:r>
      <w:r>
        <w:t>іологічному дослідженні жовчі в</w:t>
      </w:r>
      <w:r w:rsidRPr="00D84876">
        <w:t xml:space="preserve"> 47,6%</w:t>
      </w:r>
      <w:r>
        <w:t xml:space="preserve"> </w:t>
      </w:r>
      <w:r w:rsidRPr="00D84876">
        <w:t xml:space="preserve">пацієнтів було виділено анаеробну флору, </w:t>
      </w:r>
      <w:r w:rsidRPr="00FC0206">
        <w:t xml:space="preserve">представлену </w:t>
      </w:r>
      <w:r w:rsidRPr="00FC0206">
        <w:rPr>
          <w:lang w:val="en-US"/>
        </w:rPr>
        <w:t>Bacillus</w:t>
      </w:r>
      <w:r w:rsidRPr="00FC0206">
        <w:t xml:space="preserve"> </w:t>
      </w:r>
      <w:r w:rsidRPr="00FC0206">
        <w:rPr>
          <w:lang w:val="en-US"/>
        </w:rPr>
        <w:t>fragilis</w:t>
      </w:r>
      <w:r w:rsidRPr="00FC0206">
        <w:t xml:space="preserve"> та Рер</w:t>
      </w:r>
      <w:r w:rsidRPr="00FC0206">
        <w:rPr>
          <w:lang w:val="en-US"/>
        </w:rPr>
        <w:t>t</w:t>
      </w:r>
      <w:r w:rsidRPr="00FC0206">
        <w:t>о</w:t>
      </w:r>
      <w:r w:rsidRPr="00FC0206">
        <w:rPr>
          <w:lang w:val="en-US"/>
        </w:rPr>
        <w:t>streptococus</w:t>
      </w:r>
      <w:r w:rsidRPr="00FC0206">
        <w:t xml:space="preserve"> у 2,4% хворих </w:t>
      </w:r>
      <w:r w:rsidRPr="00FC0206">
        <w:rPr>
          <w:kern w:val="56"/>
        </w:rPr>
        <w:t>–</w:t>
      </w:r>
      <w:r w:rsidRPr="00FC0206">
        <w:t xml:space="preserve"> </w:t>
      </w:r>
      <w:r>
        <w:rPr>
          <w:lang w:val="en-US"/>
        </w:rPr>
        <w:t>E</w:t>
      </w:r>
      <w:r w:rsidRPr="00FC0206">
        <w:t xml:space="preserve">. </w:t>
      </w:r>
      <w:r>
        <w:rPr>
          <w:lang w:val="en-US"/>
        </w:rPr>
        <w:t>coli</w:t>
      </w:r>
      <w:r>
        <w:t>, а в 50,0%</w:t>
      </w:r>
      <w:r w:rsidRPr="00D84876">
        <w:t xml:space="preserve"> обстежених пацієнтів не було відмічено росту патогенної флори, що </w:t>
      </w:r>
      <w:r>
        <w:t xml:space="preserve">вірогідно </w:t>
      </w:r>
      <w:r w:rsidRPr="00D84876">
        <w:t>вказує на а</w:t>
      </w:r>
      <w:r>
        <w:t>в</w:t>
      </w:r>
      <w:r w:rsidRPr="00D84876">
        <w:t>тоімунний механізм запалення в ЖМ.</w:t>
      </w:r>
    </w:p>
    <w:p w:rsidR="00D14A0F" w:rsidRDefault="00D14A0F" w:rsidP="00D14A0F">
      <w:pPr>
        <w:spacing w:line="360" w:lineRule="auto"/>
        <w:ind w:firstLine="708"/>
        <w:jc w:val="both"/>
      </w:pPr>
      <w:r w:rsidRPr="00D84876">
        <w:t>Проведення УЗД дозволило констатувати збільшення розмірів та об’єму</w:t>
      </w:r>
      <w:r w:rsidRPr="00762D4B">
        <w:t xml:space="preserve"> </w:t>
      </w:r>
      <w:r w:rsidRPr="00D84876">
        <w:t>ЖМ</w:t>
      </w:r>
      <w:r>
        <w:t xml:space="preserve"> у 78,0% хворих. При цьому збільшувалась</w:t>
      </w:r>
      <w:r w:rsidRPr="001B4F3C">
        <w:t xml:space="preserve"> як його довжина (</w:t>
      </w:r>
      <w:r>
        <w:t>в 1,5 рази</w:t>
      </w:r>
      <w:r w:rsidRPr="001B4F3C">
        <w:t xml:space="preserve">, </w:t>
      </w:r>
      <w:r w:rsidRPr="001B4F3C">
        <w:rPr>
          <w:lang w:val="en-US"/>
        </w:rPr>
        <w:t>p</w:t>
      </w:r>
      <w:r w:rsidRPr="001B4F3C">
        <w:t>&lt;0,001), так</w:t>
      </w:r>
      <w:r>
        <w:t xml:space="preserve"> і ширина (у 2,03 рази, </w:t>
      </w:r>
      <w:r w:rsidRPr="00FC0206">
        <w:rPr>
          <w:lang w:val="en-US"/>
        </w:rPr>
        <w:t>p</w:t>
      </w:r>
      <w:r w:rsidRPr="00D57380">
        <w:t>&lt;0,001</w:t>
      </w:r>
      <w:r>
        <w:t>)</w:t>
      </w:r>
      <w:r w:rsidRPr="00D57380">
        <w:rPr>
          <w:sz w:val="28"/>
          <w:szCs w:val="28"/>
        </w:rPr>
        <w:t>.</w:t>
      </w:r>
      <w:r>
        <w:rPr>
          <w:sz w:val="28"/>
          <w:szCs w:val="28"/>
        </w:rPr>
        <w:t xml:space="preserve"> </w:t>
      </w:r>
      <w:r w:rsidRPr="00D84876">
        <w:t xml:space="preserve">Окрім того, спостерігали суттєве </w:t>
      </w:r>
      <w:r w:rsidRPr="00D84876">
        <w:rPr>
          <w:kern w:val="56"/>
        </w:rPr>
        <w:t>–</w:t>
      </w:r>
      <w:r>
        <w:t xml:space="preserve"> в</w:t>
      </w:r>
      <w:r w:rsidRPr="00D84876">
        <w:t xml:space="preserve"> </w:t>
      </w:r>
      <w:r>
        <w:t>1,95</w:t>
      </w:r>
      <w:r w:rsidRPr="00D84876">
        <w:t xml:space="preserve"> рази </w:t>
      </w:r>
      <w:r w:rsidRPr="00D84876">
        <w:rPr>
          <w:kern w:val="56"/>
        </w:rPr>
        <w:t>–</w:t>
      </w:r>
      <w:r w:rsidRPr="00D84876">
        <w:t xml:space="preserve"> потовщення стінки ЖМ</w:t>
      </w:r>
      <w:r>
        <w:t>, у 88,3</w:t>
      </w:r>
      <w:r w:rsidRPr="00D84876">
        <w:t>%</w:t>
      </w:r>
      <w:r>
        <w:t xml:space="preserve"> хворих</w:t>
      </w:r>
      <w:r w:rsidRPr="00D84876">
        <w:t xml:space="preserve"> ви</w:t>
      </w:r>
      <w:r>
        <w:t>явлено</w:t>
      </w:r>
      <w:r w:rsidRPr="00D84876">
        <w:t xml:space="preserve"> його деформаці</w:t>
      </w:r>
      <w:r>
        <w:t>ю</w:t>
      </w:r>
      <w:r w:rsidRPr="00D84876">
        <w:t xml:space="preserve">. У </w:t>
      </w:r>
      <w:r>
        <w:t>90,0%</w:t>
      </w:r>
      <w:r w:rsidRPr="00D84876">
        <w:t xml:space="preserve"> хворих такі структурні та об’ємні зміни супроводжувалися сладжем жовчі.</w:t>
      </w:r>
    </w:p>
    <w:p w:rsidR="00D14A0F" w:rsidRPr="00413B57" w:rsidRDefault="00D14A0F" w:rsidP="00D14A0F">
      <w:pPr>
        <w:spacing w:line="360" w:lineRule="auto"/>
        <w:ind w:firstLine="708"/>
        <w:jc w:val="both"/>
      </w:pPr>
      <w:r w:rsidRPr="003642B8">
        <w:lastRenderedPageBreak/>
        <w:t>Перебіг з</w:t>
      </w:r>
      <w:r>
        <w:t>апального процесу в ЖМ характериз</w:t>
      </w:r>
      <w:r w:rsidRPr="003642B8">
        <w:t>увався вірогідним з</w:t>
      </w:r>
      <w:r>
        <w:t>ростанням рівня СМП</w:t>
      </w:r>
      <w:r w:rsidRPr="003642B8">
        <w:t xml:space="preserve"> різних класів (</w:t>
      </w:r>
      <w:r w:rsidRPr="003642B8">
        <w:rPr>
          <w:lang w:val="en-US"/>
        </w:rPr>
        <w:t>p</w:t>
      </w:r>
      <w:r>
        <w:t>&lt;</w:t>
      </w:r>
      <w:r w:rsidRPr="003642B8">
        <w:t>0,001), а також зміна</w:t>
      </w:r>
      <w:r>
        <w:t>ми в</w:t>
      </w:r>
      <w:r w:rsidRPr="003642B8">
        <w:t xml:space="preserve"> системі ПОЛ</w:t>
      </w:r>
      <w:r>
        <w:t xml:space="preserve"> та АОЗ</w:t>
      </w:r>
      <w:r w:rsidRPr="003642B8">
        <w:t>. Так концентрація СМП</w:t>
      </w:r>
      <w:r w:rsidRPr="003642B8">
        <w:rPr>
          <w:vertAlign w:val="subscript"/>
        </w:rPr>
        <w:t>254</w:t>
      </w:r>
      <w:r>
        <w:t xml:space="preserve"> зросла в  1,59 рази, а</w:t>
      </w:r>
      <w:r w:rsidRPr="00450A99">
        <w:t xml:space="preserve"> </w:t>
      </w:r>
      <w:r w:rsidRPr="003642B8">
        <w:t>СМП</w:t>
      </w:r>
      <w:r>
        <w:rPr>
          <w:vertAlign w:val="subscript"/>
        </w:rPr>
        <w:t xml:space="preserve">280 </w:t>
      </w:r>
      <w:r>
        <w:t xml:space="preserve">– в 1,36 рази </w:t>
      </w:r>
      <w:r w:rsidRPr="003642B8">
        <w:t>(</w:t>
      </w:r>
      <w:r w:rsidRPr="003642B8">
        <w:rPr>
          <w:lang w:val="en-US"/>
        </w:rPr>
        <w:t>p</w:t>
      </w:r>
      <w:r>
        <w:rPr>
          <w:vertAlign w:val="subscript"/>
        </w:rPr>
        <w:t>1,2</w:t>
      </w:r>
      <w:r>
        <w:t>&lt;</w:t>
      </w:r>
      <w:r w:rsidRPr="003642B8">
        <w:t>0,001)</w:t>
      </w:r>
      <w:r>
        <w:t xml:space="preserve">. </w:t>
      </w:r>
      <w:r w:rsidRPr="00450A99">
        <w:t>Констатовано зменшення показника насиченості Тф залізом до (0,16</w:t>
      </w:r>
      <w:r>
        <w:t>6±0,002) ум. од. проти (0,182±0,</w:t>
      </w:r>
      <w:r w:rsidRPr="00450A99">
        <w:t xml:space="preserve">002) </w:t>
      </w:r>
      <w:r>
        <w:t>ум. од.</w:t>
      </w:r>
      <w:r w:rsidRPr="00450A99">
        <w:t xml:space="preserve"> у здорових з одночасним підвищення</w:t>
      </w:r>
      <w:r>
        <w:t>м</w:t>
      </w:r>
      <w:r w:rsidRPr="00450A99">
        <w:t xml:space="preserve"> активності Цп у сироватці крові </w:t>
      </w:r>
      <w:r>
        <w:t xml:space="preserve">в 1,79 рази в порівнянні зі здоровими </w:t>
      </w:r>
      <w:r w:rsidRPr="0058358B">
        <w:t>(</w:t>
      </w:r>
      <w:r w:rsidRPr="003642B8">
        <w:rPr>
          <w:lang w:val="en-US"/>
        </w:rPr>
        <w:t>p</w:t>
      </w:r>
      <w:r>
        <w:t>&lt;0,001). Крім того, рівень МА був</w:t>
      </w:r>
      <w:r w:rsidRPr="003642B8">
        <w:t xml:space="preserve"> </w:t>
      </w:r>
      <w:r>
        <w:t xml:space="preserve">в 1,71 рази, а вміст ДК – в 1,5 рази більшим </w:t>
      </w:r>
      <w:r w:rsidRPr="003642B8">
        <w:t>у хворих</w:t>
      </w:r>
      <w:r>
        <w:t>, ніж у</w:t>
      </w:r>
      <w:r w:rsidRPr="003642B8">
        <w:t xml:space="preserve"> здорових</w:t>
      </w:r>
      <w:r>
        <w:t xml:space="preserve"> осіб (для обох показників </w:t>
      </w:r>
      <w:r>
        <w:rPr>
          <w:lang w:val="en-US"/>
        </w:rPr>
        <w:t>p</w:t>
      </w:r>
      <w:r>
        <w:t>&lt;0,001).</w:t>
      </w:r>
    </w:p>
    <w:p w:rsidR="00D14A0F" w:rsidRPr="00632E0A" w:rsidRDefault="00D14A0F" w:rsidP="00D14A0F">
      <w:pPr>
        <w:spacing w:line="360" w:lineRule="auto"/>
        <w:ind w:firstLine="709"/>
        <w:jc w:val="both"/>
      </w:pPr>
      <w:r>
        <w:t>Вивчаючи</w:t>
      </w:r>
      <w:r w:rsidRPr="00976B0C">
        <w:t xml:space="preserve"> цитокіновий профіль у пацієнтів на ХНХ</w:t>
      </w:r>
      <w:r>
        <w:t>,</w:t>
      </w:r>
      <w:r w:rsidRPr="00976B0C">
        <w:t xml:space="preserve"> виявлено чіткі закономірності</w:t>
      </w:r>
      <w:r>
        <w:t>:</w:t>
      </w:r>
      <w:r w:rsidRPr="00976B0C">
        <w:t xml:space="preserve"> </w:t>
      </w:r>
      <w:r>
        <w:t>р</w:t>
      </w:r>
      <w:r w:rsidRPr="00632E0A">
        <w:t>івень ТНФ-α у хворих на ХНХ вірогідно</w:t>
      </w:r>
      <w:r>
        <w:t xml:space="preserve"> зростав до (34,35±0,81) пг/мл у</w:t>
      </w:r>
      <w:r w:rsidRPr="00632E0A">
        <w:t xml:space="preserve"> порівнянні зі здоровими</w:t>
      </w:r>
      <w:r>
        <w:t xml:space="preserve"> </w:t>
      </w:r>
      <w:r w:rsidRPr="00632E0A">
        <w:t>(20,32±1,24) пг/мл (</w:t>
      </w:r>
      <w:r w:rsidRPr="00632E0A">
        <w:rPr>
          <w:lang w:val="en-US"/>
        </w:rPr>
        <w:t>p</w:t>
      </w:r>
      <w:r w:rsidRPr="00632E0A">
        <w:t xml:space="preserve">&lt;0,001). </w:t>
      </w:r>
      <w:r w:rsidRPr="00005BA0">
        <w:t xml:space="preserve">При цьому рівень </w:t>
      </w:r>
      <w:r>
        <w:t>ІЛ-1β був значно вищим</w:t>
      </w:r>
      <w:r w:rsidRPr="00632E0A">
        <w:t xml:space="preserve"> </w:t>
      </w:r>
      <w:r>
        <w:t>–</w:t>
      </w:r>
      <w:r w:rsidRPr="00632E0A">
        <w:t xml:space="preserve"> (130,41 ± 7,82) пг/мл, а ІЛ-10, навпаки, </w:t>
      </w:r>
      <w:r>
        <w:t>нижчим</w:t>
      </w:r>
      <w:r w:rsidRPr="00632E0A">
        <w:t xml:space="preserve"> </w:t>
      </w:r>
      <w:r>
        <w:t>–</w:t>
      </w:r>
      <w:r w:rsidRPr="00632E0A">
        <w:t xml:space="preserve"> (</w:t>
      </w:r>
      <w:r>
        <w:t>8,00±1,30) пг/мл – проти показників у</w:t>
      </w:r>
      <w:r w:rsidRPr="00632E0A">
        <w:t xml:space="preserve"> здорових осіб відповідно (19,09 ±3,22) пг/мл і (17,84 ±1,30) пг/мл.</w:t>
      </w:r>
    </w:p>
    <w:p w:rsidR="00D14A0F" w:rsidRDefault="00D14A0F" w:rsidP="00D14A0F">
      <w:pPr>
        <w:spacing w:line="360" w:lineRule="auto"/>
        <w:ind w:firstLine="720"/>
        <w:jc w:val="both"/>
      </w:pPr>
      <w:r>
        <w:t>Мікроелементний склад еритроцитів у хворих на ХНХ характеризувався вірогідним зменшенням вмісту заліза, магнію, цинку,</w:t>
      </w:r>
      <w:r w:rsidRPr="00ED4ABC">
        <w:t xml:space="preserve"> </w:t>
      </w:r>
      <w:r>
        <w:t>кальцію та достовірним зростанням міді.</w:t>
      </w:r>
      <w:r w:rsidRPr="004738DF">
        <w:rPr>
          <w:sz w:val="28"/>
          <w:szCs w:val="28"/>
        </w:rPr>
        <w:t xml:space="preserve"> </w:t>
      </w:r>
      <w:r w:rsidRPr="00057E7B">
        <w:t xml:space="preserve">Вміст заліза в еритроцитах у хворих на ХНХ був у 2,6 раз </w:t>
      </w:r>
      <w:r>
        <w:t>меншим,</w:t>
      </w:r>
      <w:r w:rsidRPr="00FA6CFA">
        <w:rPr>
          <w:kern w:val="56"/>
        </w:rPr>
        <w:t xml:space="preserve"> </w:t>
      </w:r>
      <w:r w:rsidRPr="00057E7B">
        <w:t xml:space="preserve">ніж у здорових осіб </w:t>
      </w:r>
      <w:r>
        <w:t>(р&lt;0,001)</w:t>
      </w:r>
      <w:r w:rsidRPr="00057E7B">
        <w:t xml:space="preserve">. При цьому концентрація </w:t>
      </w:r>
      <w:r>
        <w:t>магнію</w:t>
      </w:r>
      <w:r w:rsidRPr="00057E7B">
        <w:t xml:space="preserve"> в крові хворих </w:t>
      </w:r>
      <w:r>
        <w:t xml:space="preserve">була на 18,7%, </w:t>
      </w:r>
      <w:r w:rsidRPr="00057E7B">
        <w:t xml:space="preserve">кальцію </w:t>
      </w:r>
      <w:r>
        <w:t>–</w:t>
      </w:r>
      <w:r w:rsidRPr="00057E7B">
        <w:t xml:space="preserve"> </w:t>
      </w:r>
      <w:r>
        <w:t>в 1,37 рази, цинку –</w:t>
      </w:r>
      <w:r w:rsidRPr="00057E7B">
        <w:t xml:space="preserve"> </w:t>
      </w:r>
      <w:r>
        <w:t xml:space="preserve">на 7,9% нижча, ніж відповідні показники у здорових осіб (для всіх </w:t>
      </w:r>
      <w:r>
        <w:rPr>
          <w:lang w:val="en-US"/>
        </w:rPr>
        <w:t>p</w:t>
      </w:r>
      <w:r>
        <w:t>&lt;0,001). Вміст міді у хворих на ХНХ перевищував його в здорових у 2,14 рази (</w:t>
      </w:r>
      <w:r>
        <w:rPr>
          <w:lang w:val="en-US"/>
        </w:rPr>
        <w:t>p</w:t>
      </w:r>
      <w:r>
        <w:t>&lt;0,001). Крім того, виявлено прямий середньої сили,  кореляційний зв'язок між рівнем</w:t>
      </w:r>
      <w:r w:rsidRPr="005F7718">
        <w:t xml:space="preserve"> </w:t>
      </w:r>
      <w:r>
        <w:t>заліза в еритроцитах і насиченістю Тф залізом (</w:t>
      </w:r>
      <w:r w:rsidRPr="007015D3">
        <w:rPr>
          <w:lang w:val="en-US"/>
        </w:rPr>
        <w:t>r</w:t>
      </w:r>
      <w:r w:rsidRPr="007015D3">
        <w:t>=</w:t>
      </w:r>
      <w:r>
        <w:t>0,34; р&lt;0,01</w:t>
      </w:r>
      <w:r w:rsidRPr="007015D3">
        <w:t>)</w:t>
      </w:r>
      <w:r>
        <w:t xml:space="preserve">, а також між вмістом </w:t>
      </w:r>
      <w:r>
        <w:rPr>
          <w:kern w:val="56"/>
        </w:rPr>
        <w:t xml:space="preserve">ІЛ-1β та міді в еритроцитах </w:t>
      </w:r>
      <w:r>
        <w:t>(</w:t>
      </w:r>
      <w:r w:rsidRPr="007015D3">
        <w:rPr>
          <w:lang w:val="en-US"/>
        </w:rPr>
        <w:t>r</w:t>
      </w:r>
      <w:r w:rsidRPr="007015D3">
        <w:t>=</w:t>
      </w:r>
      <w:r>
        <w:t>0,48; р&lt;0,001</w:t>
      </w:r>
      <w:r w:rsidRPr="007015D3">
        <w:t>)</w:t>
      </w:r>
      <w:r>
        <w:t>.</w:t>
      </w:r>
    </w:p>
    <w:p w:rsidR="00D14A0F" w:rsidRDefault="00D14A0F" w:rsidP="00D14A0F">
      <w:pPr>
        <w:spacing w:line="360" w:lineRule="auto"/>
        <w:ind w:firstLine="708"/>
        <w:jc w:val="both"/>
      </w:pPr>
      <w:r w:rsidRPr="00D13145">
        <w:t>Нами вперше виявлено прямий</w:t>
      </w:r>
      <w:r>
        <w:t>,</w:t>
      </w:r>
      <w:r w:rsidRPr="00D13145">
        <w:t xml:space="preserve"> сильний</w:t>
      </w:r>
      <w:r>
        <w:t>,</w:t>
      </w:r>
      <w:r w:rsidRPr="00D13145">
        <w:t xml:space="preserve"> достовірний кореляційний зв'язок між вмістом прозапальних цитокінів ФНП-α та ІЛ-1β (</w:t>
      </w:r>
      <w:r w:rsidRPr="00D13145">
        <w:rPr>
          <w:lang w:val="en-US"/>
        </w:rPr>
        <w:t>r</w:t>
      </w:r>
      <w:r w:rsidRPr="00D13145">
        <w:t xml:space="preserve">=0,79; р&lt;0,001), тоді як між рівнем ФНП-α та ІЛ-10 </w:t>
      </w:r>
      <w:r w:rsidRPr="00D13145">
        <w:rPr>
          <w:kern w:val="56"/>
        </w:rPr>
        <w:t xml:space="preserve">встановлений </w:t>
      </w:r>
      <w:r>
        <w:t>зворотни</w:t>
      </w:r>
      <w:r w:rsidRPr="00D13145">
        <w:t>й</w:t>
      </w:r>
      <w:r>
        <w:t xml:space="preserve"> достовірний </w:t>
      </w:r>
      <w:r w:rsidRPr="00D13145">
        <w:t>зв'язок (</w:t>
      </w:r>
      <w:r w:rsidRPr="00D13145">
        <w:rPr>
          <w:lang w:val="en-US"/>
        </w:rPr>
        <w:t>r</w:t>
      </w:r>
      <w:r w:rsidRPr="00D13145">
        <w:t xml:space="preserve">=-0,31; р&lt;0,05). </w:t>
      </w:r>
      <w:r>
        <w:t>Вияв</w:t>
      </w:r>
      <w:r w:rsidRPr="00D13145">
        <w:t>лен</w:t>
      </w:r>
      <w:r>
        <w:t>і</w:t>
      </w:r>
      <w:r w:rsidRPr="00D13145">
        <w:t xml:space="preserve"> агоністичні та антагоніс</w:t>
      </w:r>
      <w:r>
        <w:t xml:space="preserve">тичні взаємозв’язки між </w:t>
      </w:r>
      <w:r w:rsidRPr="00253803">
        <w:t>досліджуваними</w:t>
      </w:r>
      <w:r w:rsidRPr="00D13145">
        <w:t xml:space="preserve"> медіаторами </w:t>
      </w:r>
      <w:r>
        <w:t>п</w:t>
      </w:r>
      <w:r w:rsidRPr="00D13145">
        <w:t>ідтверджують їх роль</w:t>
      </w:r>
      <w:r>
        <w:t xml:space="preserve"> у розвитку запального процесу</w:t>
      </w:r>
      <w:r w:rsidRPr="00D13145">
        <w:t xml:space="preserve"> (Крилова</w:t>
      </w:r>
      <w:r w:rsidRPr="00767612">
        <w:t xml:space="preserve"> </w:t>
      </w:r>
      <w:r w:rsidRPr="00D13145">
        <w:t>Е.А., 2001)</w:t>
      </w:r>
      <w:r>
        <w:t xml:space="preserve">. </w:t>
      </w:r>
    </w:p>
    <w:p w:rsidR="00D14A0F" w:rsidRDefault="00D14A0F" w:rsidP="00D14A0F">
      <w:pPr>
        <w:spacing w:line="360" w:lineRule="auto"/>
        <w:ind w:firstLine="708"/>
        <w:jc w:val="both"/>
      </w:pPr>
      <w:r w:rsidRPr="00253803">
        <w:t>На увагу заслуговує й кореляційна залежність між прозапальними цитокінами, показниками ендогенної інтоксикації та показниками ПОЛ. Встановлено</w:t>
      </w:r>
      <w:r>
        <w:t xml:space="preserve"> прямий</w:t>
      </w:r>
      <w:r w:rsidRPr="00253803">
        <w:t xml:space="preserve"> сильний достовірний зв'язок між ФНП-α та СМП</w:t>
      </w:r>
      <w:r w:rsidRPr="00253803">
        <w:rPr>
          <w:vertAlign w:val="subscript"/>
        </w:rPr>
        <w:t xml:space="preserve">280 </w:t>
      </w:r>
      <w:r w:rsidRPr="00253803">
        <w:t>(</w:t>
      </w:r>
      <w:r w:rsidRPr="00253803">
        <w:rPr>
          <w:lang w:val="en-US"/>
        </w:rPr>
        <w:t>r</w:t>
      </w:r>
      <w:r w:rsidRPr="00253803">
        <w:t>=0,71; р&lt;0,001), і недостовірний – між ФНП-α та СМП</w:t>
      </w:r>
      <w:r w:rsidRPr="00253803">
        <w:rPr>
          <w:vertAlign w:val="subscript"/>
        </w:rPr>
        <w:t xml:space="preserve">254 </w:t>
      </w:r>
      <w:r w:rsidRPr="00253803">
        <w:t xml:space="preserve"> (</w:t>
      </w:r>
      <w:r w:rsidRPr="00253803">
        <w:rPr>
          <w:lang w:val="en-US"/>
        </w:rPr>
        <w:t>r</w:t>
      </w:r>
      <w:r w:rsidRPr="00253803">
        <w:t>=0,30; р</w:t>
      </w:r>
      <w:r w:rsidRPr="00253803">
        <w:rPr>
          <w:sz w:val="26"/>
          <w:szCs w:val="26"/>
        </w:rPr>
        <w:t>&gt;</w:t>
      </w:r>
      <w:r w:rsidRPr="00253803">
        <w:t>0,05). Середньої сили, достовірний кореляційний зв'язок відмітили між вмістом ІЛ-1β і СМП</w:t>
      </w:r>
      <w:r w:rsidRPr="00253803">
        <w:rPr>
          <w:vertAlign w:val="subscript"/>
        </w:rPr>
        <w:t xml:space="preserve">254 </w:t>
      </w:r>
      <w:r w:rsidRPr="00253803">
        <w:rPr>
          <w:kern w:val="56"/>
        </w:rPr>
        <w:t xml:space="preserve"> (</w:t>
      </w:r>
      <w:r w:rsidRPr="00253803">
        <w:rPr>
          <w:lang w:val="en-US"/>
        </w:rPr>
        <w:t>r</w:t>
      </w:r>
      <w:r w:rsidRPr="00253803">
        <w:t>=0,41; р&lt;0,01) та ІЛ-1β і СМП</w:t>
      </w:r>
      <w:r w:rsidRPr="00253803">
        <w:rPr>
          <w:vertAlign w:val="subscript"/>
        </w:rPr>
        <w:t>280</w:t>
      </w:r>
      <w:r w:rsidRPr="00253803">
        <w:t xml:space="preserve"> (</w:t>
      </w:r>
      <w:r w:rsidRPr="00253803">
        <w:rPr>
          <w:lang w:val="en-US"/>
        </w:rPr>
        <w:t>r</w:t>
      </w:r>
      <w:r w:rsidRPr="00253803">
        <w:t>=0,33 при р&lt;0,05). Крім того, встановлено сильний, достовірний кореляційний зв'язок між ІЛ-1β та ДК (</w:t>
      </w:r>
      <w:r w:rsidRPr="00253803">
        <w:rPr>
          <w:lang w:val="en-US"/>
        </w:rPr>
        <w:t>r</w:t>
      </w:r>
      <w:r w:rsidRPr="00253803">
        <w:t>=0,73; р&lt;0,001). Також відмічено</w:t>
      </w:r>
      <w:r>
        <w:t xml:space="preserve"> прямий</w:t>
      </w:r>
      <w:r w:rsidRPr="00253803">
        <w:t xml:space="preserve"> середньої сили кореляційний зв'язок між ІЛ-10 та рівнем насиченості Тф залізом (</w:t>
      </w:r>
      <w:r w:rsidRPr="00253803">
        <w:rPr>
          <w:lang w:val="en-US"/>
        </w:rPr>
        <w:t>r</w:t>
      </w:r>
      <w:r w:rsidRPr="00253803">
        <w:t>=0,50; р&lt;0,001) та зворотний середній достовірний зв'язок між ІЛ-10 та показником активності Цп (</w:t>
      </w:r>
      <w:r w:rsidRPr="00253803">
        <w:rPr>
          <w:lang w:val="en-US"/>
        </w:rPr>
        <w:t>r</w:t>
      </w:r>
      <w:r w:rsidRPr="00253803">
        <w:t>=- 0,31; р&lt;0,001).</w:t>
      </w:r>
    </w:p>
    <w:p w:rsidR="00D14A0F" w:rsidRDefault="00D14A0F" w:rsidP="00D14A0F">
      <w:pPr>
        <w:spacing w:line="360" w:lineRule="auto"/>
        <w:ind w:firstLine="720"/>
        <w:jc w:val="both"/>
      </w:pPr>
      <w:r>
        <w:lastRenderedPageBreak/>
        <w:t xml:space="preserve">У процесі лікування хворих на ХНХ спостерігалася позитивна динаміка більшості клінічних ознак захворювання. Водночас ефективність лікування залежала від обраного нами медикаментозного підходу. </w:t>
      </w:r>
      <w:r w:rsidRPr="00A55174">
        <w:t>Найбільш значним було зменшення клінічних ознак ХНХ після лікування хворих при поєднанні стандартної терапії з глутаргіном та УДХК, про що свідчило зникнення больового синдрому у всіх хворих</w:t>
      </w:r>
      <w:r>
        <w:t>, тоді як у хворих І групи біль зник лише в 50,0%, у пацієнтів ІІ і ІІІ груп відповідно у 80,0%</w:t>
      </w:r>
      <w:r w:rsidRPr="00A55174">
        <w:t xml:space="preserve"> </w:t>
      </w:r>
      <w:r>
        <w:t>та 73,3%.</w:t>
      </w:r>
    </w:p>
    <w:p w:rsidR="00D14A0F" w:rsidRDefault="00D14A0F" w:rsidP="00D14A0F">
      <w:pPr>
        <w:spacing w:line="360" w:lineRule="auto"/>
        <w:ind w:firstLine="720"/>
        <w:jc w:val="both"/>
      </w:pPr>
      <w:r w:rsidRPr="0002629A">
        <w:t>На нудоту натще</w:t>
      </w:r>
      <w:r>
        <w:t>, як на найбільш поширений прояв диспепсичного синдрому,</w:t>
      </w:r>
      <w:r w:rsidRPr="0002629A">
        <w:t xml:space="preserve"> скаржилися на початку лікування 80,0% пацієнтів І та ІІ групи,</w:t>
      </w:r>
      <w:r>
        <w:t xml:space="preserve"> </w:t>
      </w:r>
      <w:r w:rsidRPr="0002629A">
        <w:t>а після л</w:t>
      </w:r>
      <w:r>
        <w:t xml:space="preserve">ікування відповідно 20,0% </w:t>
      </w:r>
      <w:r w:rsidRPr="0002629A">
        <w:t>та 16,7% обстежених</w:t>
      </w:r>
      <w:r>
        <w:t xml:space="preserve">. Серед </w:t>
      </w:r>
      <w:r w:rsidRPr="0002629A">
        <w:t>пацієнт</w:t>
      </w:r>
      <w:r>
        <w:t>ів</w:t>
      </w:r>
      <w:r w:rsidRPr="0002629A">
        <w:t xml:space="preserve"> ІІІ групи цю скаргу відмічали до лікування 83,3%</w:t>
      </w:r>
      <w:r>
        <w:t xml:space="preserve"> осіб</w:t>
      </w:r>
      <w:r w:rsidRPr="0002629A">
        <w:t xml:space="preserve">, а після </w:t>
      </w:r>
      <w:r>
        <w:t>–</w:t>
      </w:r>
      <w:r w:rsidRPr="0002629A">
        <w:t>16,7%</w:t>
      </w:r>
      <w:r>
        <w:t xml:space="preserve">. </w:t>
      </w:r>
      <w:r w:rsidRPr="0002629A">
        <w:t>У хворих ІV групи вона реєструвалась до лікування у 86,7%, а після лікування її не відмічав жодний пацієнт.</w:t>
      </w:r>
      <w:r>
        <w:t xml:space="preserve"> </w:t>
      </w:r>
    </w:p>
    <w:p w:rsidR="00D14A0F" w:rsidRPr="00DF1E29" w:rsidRDefault="00D14A0F" w:rsidP="00D14A0F">
      <w:pPr>
        <w:spacing w:line="360" w:lineRule="auto"/>
        <w:ind w:firstLine="720"/>
        <w:jc w:val="both"/>
      </w:pPr>
      <w:r w:rsidRPr="00D53767">
        <w:t>П</w:t>
      </w:r>
      <w:r w:rsidRPr="00DF1E29">
        <w:t>ослаблення стільця, яке мало місце майже у чверті хворих до лікування, після лікування глутаргіном</w:t>
      </w:r>
      <w:r>
        <w:t xml:space="preserve"> та</w:t>
      </w:r>
      <w:r w:rsidRPr="00DF1E29">
        <w:t xml:space="preserve"> </w:t>
      </w:r>
      <w:r>
        <w:t>УДХК</w:t>
      </w:r>
      <w:r w:rsidRPr="00DF1E29">
        <w:t xml:space="preserve"> не спостерігали.</w:t>
      </w:r>
      <w:r>
        <w:t xml:space="preserve"> Частота </w:t>
      </w:r>
      <w:r w:rsidRPr="00DF1E29">
        <w:t>закрепів</w:t>
      </w:r>
      <w:r>
        <w:t xml:space="preserve"> зменшилася </w:t>
      </w:r>
      <w:r w:rsidRPr="00DF1E29">
        <w:t xml:space="preserve">з 63,3% до 26,7% </w:t>
      </w:r>
      <w:r>
        <w:t xml:space="preserve">випадків </w:t>
      </w:r>
      <w:r w:rsidRPr="00DF1E29">
        <w:t xml:space="preserve">у хворих </w:t>
      </w:r>
      <w:r>
        <w:t>І</w:t>
      </w:r>
      <w:r w:rsidRPr="00DF1E29">
        <w:t xml:space="preserve"> групи, </w:t>
      </w:r>
      <w:r>
        <w:t>і</w:t>
      </w:r>
      <w:r w:rsidRPr="00DF1E29">
        <w:t>з 63,3% до 16,7% хворих при за</w:t>
      </w:r>
      <w:r>
        <w:t>стосуванні глутаргіну, із 60,0% до</w:t>
      </w:r>
      <w:r w:rsidRPr="00DF1E29">
        <w:t xml:space="preserve"> 16,7% </w:t>
      </w:r>
      <w:r>
        <w:t xml:space="preserve">серед </w:t>
      </w:r>
      <w:r w:rsidRPr="00DF1E29">
        <w:t>осіб</w:t>
      </w:r>
      <w:r>
        <w:t>,</w:t>
      </w:r>
      <w:r w:rsidRPr="00DF1E29">
        <w:t xml:space="preserve"> лікованих УДХК</w:t>
      </w:r>
      <w:r>
        <w:t>,</w:t>
      </w:r>
      <w:r w:rsidRPr="00DF1E29">
        <w:t xml:space="preserve"> і з 66,7% до 6,7% пацієнтів групи поєднаного лікування. </w:t>
      </w:r>
    </w:p>
    <w:p w:rsidR="00D14A0F" w:rsidRPr="00C3390C" w:rsidRDefault="00D14A0F" w:rsidP="00D14A0F">
      <w:pPr>
        <w:spacing w:line="360" w:lineRule="auto"/>
        <w:ind w:firstLine="720"/>
        <w:jc w:val="both"/>
      </w:pPr>
      <w:r>
        <w:t>З</w:t>
      </w:r>
      <w:r w:rsidRPr="00D53767">
        <w:t>агальн</w:t>
      </w:r>
      <w:r>
        <w:t>а</w:t>
      </w:r>
      <w:r w:rsidRPr="00D53767">
        <w:t xml:space="preserve"> слабк</w:t>
      </w:r>
      <w:r>
        <w:t>і</w:t>
      </w:r>
      <w:r w:rsidRPr="00D53767">
        <w:t>ст</w:t>
      </w:r>
      <w:r>
        <w:t>ь</w:t>
      </w:r>
      <w:r w:rsidRPr="00D53767">
        <w:t>, як</w:t>
      </w:r>
      <w:r>
        <w:t>у</w:t>
      </w:r>
      <w:r w:rsidRPr="00D53767">
        <w:t xml:space="preserve"> відмічали 66,6% хворих </w:t>
      </w:r>
      <w:r>
        <w:t xml:space="preserve">І </w:t>
      </w:r>
      <w:r w:rsidRPr="00D53767">
        <w:t>групи до початку терапії, через 10 дн</w:t>
      </w:r>
      <w:r>
        <w:t>ів спостерігала</w:t>
      </w:r>
      <w:r w:rsidRPr="00D53767">
        <w:t xml:space="preserve">ся лише у чверті </w:t>
      </w:r>
      <w:r>
        <w:t>осіб</w:t>
      </w:r>
      <w:r w:rsidRPr="00D53767">
        <w:t xml:space="preserve"> (26,7%). У </w:t>
      </w:r>
      <w:r>
        <w:t xml:space="preserve">ІІ </w:t>
      </w:r>
      <w:r w:rsidRPr="00D53767">
        <w:t xml:space="preserve">групі хворих цей відсоток зменшився з 63,3 % до 13,3 %, </w:t>
      </w:r>
      <w:r>
        <w:t>у ІІІ групі</w:t>
      </w:r>
      <w:r w:rsidRPr="00D53767">
        <w:t xml:space="preserve"> – </w:t>
      </w:r>
      <w:r>
        <w:t>і</w:t>
      </w:r>
      <w:r w:rsidRPr="00D53767">
        <w:t xml:space="preserve">з 60,0% до 20,0%. Найбільш значне зменшення ознак </w:t>
      </w:r>
      <w:r>
        <w:t>астено-вегетативного синдрому</w:t>
      </w:r>
      <w:r w:rsidRPr="00D53767">
        <w:t xml:space="preserve"> відмічено </w:t>
      </w:r>
      <w:r>
        <w:t>в ІV групі</w:t>
      </w:r>
      <w:r w:rsidRPr="00D53767">
        <w:t>,</w:t>
      </w:r>
      <w:r>
        <w:t xml:space="preserve"> про що свідчить зникнення загальної слабкості в 53,3% хворих.</w:t>
      </w:r>
      <w:r w:rsidRPr="00D53767">
        <w:t xml:space="preserve"> </w:t>
      </w:r>
    </w:p>
    <w:p w:rsidR="00D14A0F" w:rsidRDefault="00D14A0F" w:rsidP="00D14A0F">
      <w:pPr>
        <w:spacing w:line="360" w:lineRule="auto"/>
        <w:ind w:firstLine="720"/>
        <w:jc w:val="both"/>
      </w:pPr>
      <w:r w:rsidRPr="00D13145">
        <w:t>Позитивні міхурові си</w:t>
      </w:r>
      <w:r>
        <w:t>мптоми мали місце до лікування в</w:t>
      </w:r>
      <w:r w:rsidRPr="00D13145">
        <w:t xml:space="preserve"> І групі пацієнтів у 93,3%, ІІ групі</w:t>
      </w:r>
      <w:r>
        <w:t xml:space="preserve"> –</w:t>
      </w:r>
      <w:r w:rsidRPr="00D13145">
        <w:t xml:space="preserve"> 96,7%, ІІІ групі</w:t>
      </w:r>
      <w:r>
        <w:t xml:space="preserve"> –</w:t>
      </w:r>
      <w:r w:rsidRPr="00D13145">
        <w:t xml:space="preserve"> 96,7%, ІV групи </w:t>
      </w:r>
      <w:r>
        <w:t>–</w:t>
      </w:r>
      <w:r w:rsidRPr="00D13145">
        <w:t xml:space="preserve"> у 100</w:t>
      </w:r>
      <w:r>
        <w:t>,0</w:t>
      </w:r>
      <w:r w:rsidRPr="00D13145">
        <w:t>% хворих. У ІV досліджуваній групі ці прояви після терапії не визначались,</w:t>
      </w:r>
      <w:r>
        <w:t xml:space="preserve"> </w:t>
      </w:r>
      <w:r w:rsidRPr="00D13145">
        <w:t xml:space="preserve">а у </w:t>
      </w:r>
      <w:r>
        <w:t>І, ІІ та ІІІ групах виявлялися,</w:t>
      </w:r>
      <w:r w:rsidRPr="00D13145">
        <w:t xml:space="preserve"> відповідно</w:t>
      </w:r>
      <w:r>
        <w:t>,</w:t>
      </w:r>
      <w:r w:rsidRPr="00D13145">
        <w:t xml:space="preserve"> у 23,3%,16,7% та 16,7%.</w:t>
      </w:r>
    </w:p>
    <w:p w:rsidR="00D14A0F" w:rsidRPr="00537DF7" w:rsidRDefault="00D14A0F" w:rsidP="00D14A0F">
      <w:pPr>
        <w:spacing w:line="360" w:lineRule="auto"/>
        <w:ind w:firstLine="720"/>
        <w:jc w:val="both"/>
      </w:pPr>
      <w:r>
        <w:t>Таким чином, вказані дані свідчать, що найбільш виражена динаміка клінічних проявів ХНХ спостерігалася у групі хворих комплексного лікування.</w:t>
      </w:r>
    </w:p>
    <w:p w:rsidR="00D14A0F" w:rsidRPr="001154B4" w:rsidRDefault="00D14A0F" w:rsidP="00D14A0F">
      <w:pPr>
        <w:spacing w:line="360" w:lineRule="auto"/>
        <w:ind w:firstLine="720"/>
        <w:jc w:val="both"/>
      </w:pPr>
      <w:r>
        <w:t>Під впливом лікування у всіх групах відмічали зниження інтенсивності запалення про що свідчить зменшення рівня лейкоцитів, зниження ШОЕ, тимолової проби, нормалізація активності печінкових ферментів. У</w:t>
      </w:r>
      <w:r w:rsidRPr="00BD2D98">
        <w:t xml:space="preserve"> </w:t>
      </w:r>
      <w:r>
        <w:t xml:space="preserve">І </w:t>
      </w:r>
      <w:r w:rsidRPr="00BD2D98">
        <w:t>групі хворих</w:t>
      </w:r>
      <w:r>
        <w:t xml:space="preserve"> активність ГГТП зменшилася</w:t>
      </w:r>
      <w:r w:rsidRPr="00BD2D98">
        <w:t xml:space="preserve"> з (5,39±0,49) ммоль/л·го</w:t>
      </w:r>
      <w:r>
        <w:t>д до (4,64±0,05) ммоль/л·год,</w:t>
      </w:r>
      <w:r w:rsidRPr="00BD2D98">
        <w:t xml:space="preserve"> </w:t>
      </w:r>
      <w:r>
        <w:t>у ІІ групі</w:t>
      </w:r>
      <w:r w:rsidRPr="00BD2D98">
        <w:t xml:space="preserve"> – з (5,59±0,47) мкмоль/л·год до (4,01±0,32) ммоль/л·год (р&lt;0,05), </w:t>
      </w:r>
      <w:r>
        <w:t>у ІІІ групі</w:t>
      </w:r>
      <w:r w:rsidRPr="00BD2D98">
        <w:t xml:space="preserve"> – з (5,29±0,35) ммоль/л·год до (3,48±0,31) мкмоль/л·год (р&lt;0,001)</w:t>
      </w:r>
      <w:r>
        <w:t>, у ІV групі</w:t>
      </w:r>
      <w:r w:rsidRPr="00BD2D98">
        <w:t xml:space="preserve"> </w:t>
      </w:r>
      <w:r>
        <w:rPr>
          <w:kern w:val="56"/>
        </w:rPr>
        <w:t>–</w:t>
      </w:r>
      <w:r w:rsidRPr="00BD2D98">
        <w:t xml:space="preserve"> з (5,29±0,33) ммоль/л·год до (2,86±0,26) ммоль/л·год</w:t>
      </w:r>
      <w:r>
        <w:t xml:space="preserve"> (р&lt;0,001)</w:t>
      </w:r>
      <w:r w:rsidRPr="00BD2D98">
        <w:t xml:space="preserve">, тобто </w:t>
      </w:r>
      <w:r>
        <w:t>нормалізувалася (у здорових</w:t>
      </w:r>
      <w:r w:rsidRPr="00BD2D98">
        <w:t xml:space="preserve"> </w:t>
      </w:r>
      <w:r>
        <w:t>–(</w:t>
      </w:r>
      <w:r w:rsidRPr="00BD2D98">
        <w:t>2,71±0,18</w:t>
      </w:r>
      <w:r>
        <w:t>)</w:t>
      </w:r>
      <w:r w:rsidRPr="00BD2D98">
        <w:t xml:space="preserve"> ммоль/л·год).</w:t>
      </w:r>
      <w:r>
        <w:t xml:space="preserve"> </w:t>
      </w:r>
      <w:r w:rsidRPr="00286060">
        <w:t xml:space="preserve">Активність ЛФ у </w:t>
      </w:r>
      <w:r>
        <w:t>ІІІ та ІV групі пацієнтів зменшилася</w:t>
      </w:r>
      <w:r w:rsidRPr="00286060">
        <w:t xml:space="preserve"> </w:t>
      </w:r>
      <w:r>
        <w:t>в 1,44 та в 1,62 рази</w:t>
      </w:r>
      <w:r w:rsidRPr="00145DD1">
        <w:t xml:space="preserve"> </w:t>
      </w:r>
      <w:r>
        <w:t>(для обох р&lt;0,001), тобто наблизилася</w:t>
      </w:r>
      <w:r w:rsidRPr="00A64D6F">
        <w:t xml:space="preserve"> до рівня у здорових, тоді як </w:t>
      </w:r>
      <w:r>
        <w:t>у ІІ групі</w:t>
      </w:r>
      <w:r w:rsidRPr="00286060">
        <w:t xml:space="preserve"> </w:t>
      </w:r>
      <w:r>
        <w:t xml:space="preserve">це </w:t>
      </w:r>
      <w:r w:rsidRPr="00286060">
        <w:t>зниження було менш значним</w:t>
      </w:r>
      <w:r>
        <w:t>, а в</w:t>
      </w:r>
      <w:r w:rsidRPr="00A64D6F">
        <w:t xml:space="preserve"> І групі </w:t>
      </w:r>
      <w:r>
        <w:t>спостерігалася</w:t>
      </w:r>
      <w:r w:rsidRPr="00A64D6F">
        <w:t xml:space="preserve"> лиш</w:t>
      </w:r>
      <w:r w:rsidRPr="00286060">
        <w:t>е тенденція до нормалізації</w:t>
      </w:r>
      <w:r>
        <w:t>.</w:t>
      </w:r>
      <w:r w:rsidRPr="00286060">
        <w:t xml:space="preserve"> </w:t>
      </w:r>
    </w:p>
    <w:p w:rsidR="00D14A0F" w:rsidRPr="002547BC" w:rsidRDefault="00D14A0F" w:rsidP="00D14A0F">
      <w:pPr>
        <w:spacing w:line="360" w:lineRule="auto"/>
        <w:ind w:firstLine="720"/>
        <w:jc w:val="both"/>
        <w:rPr>
          <w:sz w:val="28"/>
          <w:szCs w:val="28"/>
        </w:rPr>
      </w:pPr>
      <w:r w:rsidRPr="00685005">
        <w:lastRenderedPageBreak/>
        <w:t xml:space="preserve">Після проведення курсу лікування </w:t>
      </w:r>
      <w:r>
        <w:t xml:space="preserve">відмічено підвищення рівня альбуміну та зниження рівня глобулінів у </w:t>
      </w:r>
      <w:r w:rsidRPr="00685005">
        <w:t>сироватці крові</w:t>
      </w:r>
      <w:r>
        <w:t>. Зокрема, якщо в</w:t>
      </w:r>
      <w:r w:rsidRPr="00685005">
        <w:t xml:space="preserve"> </w:t>
      </w:r>
      <w:r>
        <w:t>І групі хворих відсоток альбуміну</w:t>
      </w:r>
      <w:r w:rsidRPr="00685005">
        <w:t xml:space="preserve"> зріс </w:t>
      </w:r>
      <w:r>
        <w:t>і</w:t>
      </w:r>
      <w:r w:rsidRPr="00685005">
        <w:t xml:space="preserve">з (48,9±0,35)% до (50,74±0,38)%, а глобулінів зменшився з (51,05±0,34)% до (49,25±0,38)%, то </w:t>
      </w:r>
      <w:r>
        <w:t>в ІV групі</w:t>
      </w:r>
      <w:r w:rsidRPr="00685005">
        <w:t xml:space="preserve"> в</w:t>
      </w:r>
      <w:r>
        <w:t>ін</w:t>
      </w:r>
      <w:r w:rsidRPr="00685005">
        <w:t xml:space="preserve"> зр</w:t>
      </w:r>
      <w:r>
        <w:t>іс</w:t>
      </w:r>
      <w:r w:rsidRPr="00685005">
        <w:t xml:space="preserve"> </w:t>
      </w:r>
      <w:r>
        <w:t>і</w:t>
      </w:r>
      <w:r w:rsidRPr="00685005">
        <w:t>з (49,16±0,57)% до (55,16±0,97)% стосовно альбуміну і з</w:t>
      </w:r>
      <w:r>
        <w:t>низився</w:t>
      </w:r>
      <w:r w:rsidRPr="00685005">
        <w:t xml:space="preserve"> з (50,82±0,56)% до (</w:t>
      </w:r>
      <w:r>
        <w:t>44,83</w:t>
      </w:r>
      <w:r w:rsidRPr="00685005">
        <w:t>±0,97)% (р&lt;0,001) стосовно глобуліну. В інших двох групах відмічали аналог</w:t>
      </w:r>
      <w:r>
        <w:t xml:space="preserve">ічні закономірності. </w:t>
      </w:r>
      <w:r w:rsidRPr="00685005">
        <w:t>Найбільш значне підвищення</w:t>
      </w:r>
      <w:r>
        <w:t xml:space="preserve"> альбуміно-глобулінового коефіцієнта мало місце в</w:t>
      </w:r>
      <w:r w:rsidRPr="00685005">
        <w:t xml:space="preserve"> </w:t>
      </w:r>
      <w:r>
        <w:t>ІV</w:t>
      </w:r>
      <w:r w:rsidRPr="00685005">
        <w:t xml:space="preserve"> групі– з </w:t>
      </w:r>
      <w:r>
        <w:t>(</w:t>
      </w:r>
      <w:r w:rsidRPr="00685005">
        <w:t>0,96±0,02</w:t>
      </w:r>
      <w:r>
        <w:t>)</w:t>
      </w:r>
      <w:r w:rsidRPr="00685005">
        <w:t xml:space="preserve"> до </w:t>
      </w:r>
      <w:r>
        <w:t>(</w:t>
      </w:r>
      <w:r w:rsidRPr="00685005">
        <w:t>1,2</w:t>
      </w:r>
      <w:r>
        <w:t>4±0,05) проти (1,44±0,05)</w:t>
      </w:r>
      <w:r w:rsidRPr="00685005">
        <w:t xml:space="preserve"> у здорових осіб</w:t>
      </w:r>
      <w:r>
        <w:t xml:space="preserve"> (р&lt;0,001)</w:t>
      </w:r>
      <w:r w:rsidRPr="00685005">
        <w:t>.</w:t>
      </w:r>
    </w:p>
    <w:p w:rsidR="00D14A0F" w:rsidRDefault="00D14A0F" w:rsidP="00D14A0F">
      <w:pPr>
        <w:spacing w:line="360" w:lineRule="auto"/>
        <w:ind w:firstLine="720"/>
        <w:jc w:val="both"/>
      </w:pPr>
      <w:r>
        <w:t>Зниження активності</w:t>
      </w:r>
      <w:r w:rsidRPr="00E87CF8">
        <w:t xml:space="preserve"> α-амілази кр</w:t>
      </w:r>
      <w:r>
        <w:t xml:space="preserve">ові виявлено </w:t>
      </w:r>
      <w:r w:rsidRPr="00E87CF8">
        <w:t>у всіх групах, однак найбільш</w:t>
      </w:r>
      <w:r>
        <w:t xml:space="preserve"> значима динаміка відмічалася в</w:t>
      </w:r>
      <w:r w:rsidRPr="00E87CF8">
        <w:t xml:space="preserve"> пацієнтів ІV</w:t>
      </w:r>
      <w:r>
        <w:t xml:space="preserve"> групи</w:t>
      </w:r>
      <w:r w:rsidRPr="00E87CF8">
        <w:rPr>
          <w:sz w:val="28"/>
          <w:szCs w:val="28"/>
        </w:rPr>
        <w:t xml:space="preserve"> </w:t>
      </w:r>
      <w:r w:rsidRPr="00E87CF8">
        <w:t>із</w:t>
      </w:r>
      <w:r w:rsidRPr="00E87CF8">
        <w:rPr>
          <w:sz w:val="28"/>
          <w:szCs w:val="28"/>
        </w:rPr>
        <w:t xml:space="preserve"> </w:t>
      </w:r>
      <w:r w:rsidRPr="00E87CF8">
        <w:t>(27,70±1,31) г/л</w:t>
      </w:r>
      <w:r w:rsidRPr="00A4679E">
        <w:t>∙</w:t>
      </w:r>
      <w:r w:rsidRPr="00E87CF8">
        <w:t>год до (19,63±1,05) г/л</w:t>
      </w:r>
      <w:r w:rsidRPr="00A4679E">
        <w:t>∙</w:t>
      </w:r>
      <w:r w:rsidRPr="00E87CF8">
        <w:t>год</w:t>
      </w:r>
      <w:r>
        <w:t xml:space="preserve"> (р</w:t>
      </w:r>
      <w:r w:rsidRPr="001B4F3C">
        <w:t>&lt;</w:t>
      </w:r>
      <w:r w:rsidRPr="00D74F78">
        <w:t>0,001)</w:t>
      </w:r>
      <w:r>
        <w:t>, що наближалося до показника в</w:t>
      </w:r>
      <w:r w:rsidRPr="00E87CF8">
        <w:t xml:space="preserve"> здорових – (19,02±0,91) г/л</w:t>
      </w:r>
      <w:r w:rsidRPr="00A4679E">
        <w:t>∙</w:t>
      </w:r>
      <w:r w:rsidRPr="00E87CF8">
        <w:t xml:space="preserve">год. </w:t>
      </w:r>
    </w:p>
    <w:p w:rsidR="00D14A0F" w:rsidRDefault="00D14A0F" w:rsidP="00D14A0F">
      <w:pPr>
        <w:spacing w:line="360" w:lineRule="auto"/>
        <w:ind w:firstLine="720"/>
        <w:jc w:val="both"/>
      </w:pPr>
      <w:r w:rsidRPr="00A4679E">
        <w:t xml:space="preserve">Рівень ХС в сироватці крові обстежених осіб під впливом лікування знижувався, причому ступінь </w:t>
      </w:r>
      <w:r>
        <w:t>цих змін залежав від способу</w:t>
      </w:r>
      <w:r w:rsidRPr="00A4679E">
        <w:t xml:space="preserve"> лікування. </w:t>
      </w:r>
      <w:r>
        <w:t>Так,</w:t>
      </w:r>
      <w:r w:rsidRPr="001B4F3C">
        <w:t xml:space="preserve"> у хворих</w:t>
      </w:r>
      <w:r>
        <w:t xml:space="preserve"> І та ІІ груп, вміст</w:t>
      </w:r>
      <w:r w:rsidRPr="001B4F3C">
        <w:t xml:space="preserve"> ХС після лікування, незважаючи на його вірогідне зниження, залишався підвищеним, то в інших двох групах хворих, він нормалізувався</w:t>
      </w:r>
      <w:r>
        <w:t xml:space="preserve"> (р</w:t>
      </w:r>
      <w:r w:rsidRPr="001B4F3C">
        <w:t>&lt;</w:t>
      </w:r>
      <w:r w:rsidRPr="00D74F78">
        <w:t>0,001)</w:t>
      </w:r>
      <w:r>
        <w:t>.</w:t>
      </w:r>
    </w:p>
    <w:p w:rsidR="00D14A0F" w:rsidRDefault="00D14A0F" w:rsidP="00D14A0F">
      <w:pPr>
        <w:spacing w:line="360" w:lineRule="auto"/>
        <w:ind w:firstLine="720"/>
        <w:jc w:val="both"/>
      </w:pPr>
      <w:r>
        <w:t xml:space="preserve">При вивченні показників кінетики ЖМ після лікування виявлено нормалізацію часу закритого сфінктеру Одді в 31,8% хворих І групи, у 42,1% – ІІ групи, у 30,0% – ІІІ групи та в 54,8% – ІV групи. </w:t>
      </w:r>
    </w:p>
    <w:p w:rsidR="00D14A0F" w:rsidRPr="00D857C8" w:rsidRDefault="00D14A0F" w:rsidP="00D14A0F">
      <w:pPr>
        <w:spacing w:line="360" w:lineRule="auto"/>
        <w:ind w:firstLine="720"/>
        <w:jc w:val="both"/>
      </w:pPr>
      <w:r w:rsidRPr="00D857C8">
        <w:t xml:space="preserve">Аналізуючи результати біохімічного дослідження жовчі </w:t>
      </w:r>
      <w:r>
        <w:t>в</w:t>
      </w:r>
      <w:r w:rsidRPr="00D857C8">
        <w:t xml:space="preserve"> процесі лікування, нами констатовано вірогідне збільшення концентрації ЖК</w:t>
      </w:r>
      <w:r>
        <w:t>,</w:t>
      </w:r>
      <w:r w:rsidRPr="00D857C8">
        <w:t xml:space="preserve"> </w:t>
      </w:r>
      <w:r>
        <w:t>зменшення білірубіну та ХС</w:t>
      </w:r>
      <w:r w:rsidRPr="00D857C8">
        <w:t xml:space="preserve"> у порції В у І групі хворих</w:t>
      </w:r>
      <w:r>
        <w:t>.</w:t>
      </w:r>
      <w:r w:rsidRPr="00D857C8">
        <w:t xml:space="preserve"> </w:t>
      </w:r>
      <w:r>
        <w:t>У</w:t>
      </w:r>
      <w:r w:rsidRPr="00D857C8">
        <w:t xml:space="preserve"> ІІ групі рівень ЖК збільшився з (27,31±1,35) ммоль/л до (35,59±0,99) ммоль/л у ІІІ групі з (28,40±0,81) до (40,21±0,85) ммоль/л. </w:t>
      </w:r>
      <w:r>
        <w:t>З</w:t>
      </w:r>
      <w:r w:rsidRPr="00D857C8">
        <w:t>астосування глутаргіну та УДХК у ІV групі хворих сприяло нормаліз</w:t>
      </w:r>
      <w:r>
        <w:t>ації рівня ЖК –</w:t>
      </w:r>
      <w:r w:rsidRPr="00D857C8">
        <w:t xml:space="preserve"> з (27,37±1,38) ммоль/л до (42,27±0,55) ммоль/л (р&lt;0,001)</w:t>
      </w:r>
      <w:r>
        <w:t xml:space="preserve"> проти (42,70</w:t>
      </w:r>
      <w:r w:rsidRPr="00D857C8">
        <w:t>±</w:t>
      </w:r>
      <w:r>
        <w:t>0,81)</w:t>
      </w:r>
      <w:r w:rsidRPr="004E032D">
        <w:t xml:space="preserve"> </w:t>
      </w:r>
      <w:r>
        <w:t>ммоль/л у здорових.</w:t>
      </w:r>
    </w:p>
    <w:p w:rsidR="00D14A0F" w:rsidRPr="00D857C8" w:rsidRDefault="00D14A0F" w:rsidP="00D14A0F">
      <w:pPr>
        <w:spacing w:line="360" w:lineRule="auto"/>
        <w:ind w:firstLine="708"/>
        <w:jc w:val="both"/>
      </w:pPr>
      <w:r w:rsidRPr="00D857C8">
        <w:t>Рівень ХС навпаки зменшувався у всіх групах хворих, проте лише у хворих ІV групи – на відміну від пацієнтів інших груп – він нормалізувався і склав (3,84±0,6</w:t>
      </w:r>
      <w:r>
        <w:t>1) ммоль/л при показнику (3,71</w:t>
      </w:r>
      <w:r w:rsidRPr="004E032D">
        <w:t xml:space="preserve"> </w:t>
      </w:r>
      <w:r>
        <w:t>±0,22)</w:t>
      </w:r>
      <w:r w:rsidRPr="004E032D">
        <w:t xml:space="preserve"> </w:t>
      </w:r>
      <w:r>
        <w:t>ммоль/л у здорових.</w:t>
      </w:r>
    </w:p>
    <w:p w:rsidR="00D14A0F" w:rsidRPr="00D857C8" w:rsidRDefault="00D14A0F" w:rsidP="00D14A0F">
      <w:pPr>
        <w:spacing w:line="360" w:lineRule="auto"/>
        <w:ind w:firstLine="720"/>
        <w:jc w:val="both"/>
      </w:pPr>
      <w:r>
        <w:t xml:space="preserve">Одночасно спостерігали різне </w:t>
      </w:r>
      <w:r w:rsidRPr="00D857C8">
        <w:t xml:space="preserve">за вираженістю зростання ХХК. Так, якщо у групі хворих стандартного лікування він зріс лише з </w:t>
      </w:r>
      <w:r>
        <w:t>(</w:t>
      </w:r>
      <w:r w:rsidRPr="00D857C8">
        <w:t>3,55±0,49</w:t>
      </w:r>
      <w:r>
        <w:t>)</w:t>
      </w:r>
      <w:r w:rsidRPr="00D857C8">
        <w:t xml:space="preserve"> до </w:t>
      </w:r>
      <w:r>
        <w:t>(</w:t>
      </w:r>
      <w:r w:rsidRPr="00D857C8">
        <w:t>4,51±0,51</w:t>
      </w:r>
      <w:r>
        <w:t>)</w:t>
      </w:r>
      <w:r w:rsidRPr="00D857C8">
        <w:t xml:space="preserve"> (</w:t>
      </w:r>
      <w:r w:rsidRPr="00D857C8">
        <w:rPr>
          <w:lang w:val="en-US"/>
        </w:rPr>
        <w:t>p</w:t>
      </w:r>
      <w:r w:rsidRPr="00D857C8">
        <w:t xml:space="preserve">&lt;0,05), під впливом лікування глутаргіном – з </w:t>
      </w:r>
      <w:r>
        <w:t>(</w:t>
      </w:r>
      <w:r w:rsidRPr="00D857C8">
        <w:t>3,01±0,36</w:t>
      </w:r>
      <w:r>
        <w:t>)</w:t>
      </w:r>
      <w:r w:rsidRPr="00D857C8">
        <w:t xml:space="preserve"> до </w:t>
      </w:r>
      <w:r>
        <w:t>(</w:t>
      </w:r>
      <w:r w:rsidRPr="00D857C8">
        <w:t>5,10±0,55</w:t>
      </w:r>
      <w:r>
        <w:t>)</w:t>
      </w:r>
      <w:r w:rsidRPr="00D857C8">
        <w:t xml:space="preserve"> (</w:t>
      </w:r>
      <w:r w:rsidRPr="00D857C8">
        <w:rPr>
          <w:lang w:val="en-US"/>
        </w:rPr>
        <w:t>p</w:t>
      </w:r>
      <w:r w:rsidRPr="00D857C8">
        <w:t>&lt;0,0</w:t>
      </w:r>
      <w:r>
        <w:t>1), то в</w:t>
      </w:r>
      <w:r w:rsidRPr="00D857C8">
        <w:t xml:space="preserve"> групі хворих, що ліковані УДХК, зростання цього показника було більш значним – </w:t>
      </w:r>
      <w:r>
        <w:t>і</w:t>
      </w:r>
      <w:r w:rsidRPr="00D857C8">
        <w:t xml:space="preserve">з </w:t>
      </w:r>
      <w:r>
        <w:t>(</w:t>
      </w:r>
      <w:r w:rsidRPr="00D857C8">
        <w:t>3,24±0,39</w:t>
      </w:r>
      <w:r>
        <w:t>)</w:t>
      </w:r>
      <w:r w:rsidRPr="00D857C8">
        <w:t xml:space="preserve"> до </w:t>
      </w:r>
      <w:r>
        <w:t>(</w:t>
      </w:r>
      <w:r w:rsidRPr="00D857C8">
        <w:t>7,47±0,63</w:t>
      </w:r>
      <w:r>
        <w:t xml:space="preserve">) при </w:t>
      </w:r>
      <w:r w:rsidRPr="00D857C8">
        <w:t>(</w:t>
      </w:r>
      <w:r w:rsidRPr="00D857C8">
        <w:rPr>
          <w:lang w:val="en-US"/>
        </w:rPr>
        <w:t>p</w:t>
      </w:r>
      <w:r w:rsidRPr="00D857C8">
        <w:t>&lt;0,001)</w:t>
      </w:r>
      <w:r>
        <w:t>, хоча він і не досяг рівня в</w:t>
      </w:r>
      <w:r w:rsidRPr="00D857C8">
        <w:t xml:space="preserve"> здорових</w:t>
      </w:r>
      <w:r>
        <w:t>. Нормалізацію ХХК відмічали</w:t>
      </w:r>
      <w:r w:rsidRPr="00D857C8">
        <w:t xml:space="preserve"> лише під впливом лікування глутаргіном і УДХК: після терапії він складав </w:t>
      </w:r>
      <w:r>
        <w:t>(</w:t>
      </w:r>
      <w:r w:rsidRPr="00D857C8">
        <w:t>11,77±1,03</w:t>
      </w:r>
      <w:r>
        <w:t>)</w:t>
      </w:r>
      <w:r w:rsidRPr="00D857C8">
        <w:t xml:space="preserve">, що відповідало </w:t>
      </w:r>
      <w:r>
        <w:t>такому в</w:t>
      </w:r>
      <w:r w:rsidRPr="00D857C8">
        <w:t xml:space="preserve"> здорових осіб – </w:t>
      </w:r>
      <w:r>
        <w:t>(</w:t>
      </w:r>
      <w:r w:rsidRPr="00D857C8">
        <w:t>11,76±0,52</w:t>
      </w:r>
      <w:r>
        <w:t>) (</w:t>
      </w:r>
      <w:r w:rsidRPr="00D857C8">
        <w:rPr>
          <w:lang w:val="en-US"/>
        </w:rPr>
        <w:t>p</w:t>
      </w:r>
      <w:r w:rsidRPr="00D857C8">
        <w:t>&lt;0,001</w:t>
      </w:r>
      <w:r>
        <w:t>)</w:t>
      </w:r>
      <w:r w:rsidRPr="00D857C8">
        <w:t>.</w:t>
      </w:r>
    </w:p>
    <w:p w:rsidR="00D14A0F" w:rsidRPr="00D857C8" w:rsidRDefault="00D14A0F" w:rsidP="00D14A0F">
      <w:pPr>
        <w:spacing w:line="360" w:lineRule="auto"/>
        <w:ind w:firstLine="720"/>
        <w:jc w:val="both"/>
      </w:pPr>
      <w:r w:rsidRPr="00D857C8">
        <w:lastRenderedPageBreak/>
        <w:t>Позитивний ефект лікування підтверджу</w:t>
      </w:r>
      <w:r>
        <w:t>вав</w:t>
      </w:r>
      <w:r w:rsidRPr="00D857C8">
        <w:t>ся і динамікою показників мікроскопі</w:t>
      </w:r>
      <w:r>
        <w:t xml:space="preserve">чного та </w:t>
      </w:r>
      <w:r w:rsidRPr="00D857C8">
        <w:t xml:space="preserve">бактеріологічного </w:t>
      </w:r>
      <w:r>
        <w:t>дослідження жовчі</w:t>
      </w:r>
      <w:r w:rsidRPr="00D857C8">
        <w:t>.</w:t>
      </w:r>
      <w:r w:rsidRPr="00D857C8">
        <w:rPr>
          <w:sz w:val="28"/>
          <w:szCs w:val="28"/>
        </w:rPr>
        <w:t xml:space="preserve"> </w:t>
      </w:r>
      <w:r w:rsidRPr="00D857C8">
        <w:t xml:space="preserve">Проведене лікування сприяло збільшенню кількості осіб, </w:t>
      </w:r>
      <w:r>
        <w:t>в</w:t>
      </w:r>
      <w:r w:rsidRPr="00D857C8">
        <w:t xml:space="preserve"> яких у центрифугаті жовчі </w:t>
      </w:r>
      <w:r>
        <w:t>зустрічалися</w:t>
      </w:r>
      <w:r w:rsidRPr="00D857C8">
        <w:t xml:space="preserve"> лише поодинокі </w:t>
      </w:r>
      <w:r>
        <w:t>клітини циліндричного епітелію та лейкоцити</w:t>
      </w:r>
      <w:r w:rsidRPr="00D857C8">
        <w:t xml:space="preserve">. Зокрема, після стандартного лікування </w:t>
      </w:r>
      <w:r>
        <w:t>клітинні елементи не візуалізувались у</w:t>
      </w:r>
      <w:r w:rsidRPr="00D857C8">
        <w:t xml:space="preserve"> 18,2% хворих, після лікування УДХК</w:t>
      </w:r>
      <w:r>
        <w:t xml:space="preserve"> –</w:t>
      </w:r>
      <w:r w:rsidRPr="00D857C8">
        <w:t xml:space="preserve"> </w:t>
      </w:r>
      <w:r>
        <w:t xml:space="preserve">у </w:t>
      </w:r>
      <w:r w:rsidRPr="00D857C8">
        <w:t>40</w:t>
      </w:r>
      <w:r>
        <w:t>,0</w:t>
      </w:r>
      <w:r w:rsidRPr="00D857C8">
        <w:t xml:space="preserve">% осіб, при застосуванні глутаргіну </w:t>
      </w:r>
      <w:r>
        <w:t xml:space="preserve">– в </w:t>
      </w:r>
      <w:r w:rsidRPr="00D857C8">
        <w:t xml:space="preserve">47,4% і </w:t>
      </w:r>
      <w:r>
        <w:t xml:space="preserve">у </w:t>
      </w:r>
      <w:r w:rsidRPr="00D857C8">
        <w:t>хворих при комбінованому лікуванні</w:t>
      </w:r>
      <w:r>
        <w:t xml:space="preserve"> – у</w:t>
      </w:r>
      <w:r w:rsidRPr="00562920">
        <w:t xml:space="preserve"> </w:t>
      </w:r>
      <w:r w:rsidRPr="00D857C8">
        <w:t>93,2%</w:t>
      </w:r>
      <w:r>
        <w:t>.</w:t>
      </w:r>
    </w:p>
    <w:p w:rsidR="00D14A0F" w:rsidRPr="00D857C8" w:rsidRDefault="00D14A0F" w:rsidP="00D14A0F">
      <w:pPr>
        <w:spacing w:line="360" w:lineRule="auto"/>
        <w:ind w:firstLine="720"/>
        <w:jc w:val="both"/>
      </w:pPr>
      <w:r>
        <w:t>Встановлено, що в</w:t>
      </w:r>
      <w:r w:rsidRPr="00465544">
        <w:t xml:space="preserve"> </w:t>
      </w:r>
      <w:r>
        <w:t>ІІ групі хворих</w:t>
      </w:r>
      <w:r w:rsidRPr="00465544">
        <w:t xml:space="preserve"> патогенна </w:t>
      </w:r>
      <w:r>
        <w:t xml:space="preserve">флора після лікування виділена </w:t>
      </w:r>
      <w:r w:rsidRPr="00AC3EAE">
        <w:t>в 21,0% хворих (</w:t>
      </w:r>
      <w:r w:rsidRPr="00AC3EAE">
        <w:rPr>
          <w:lang w:val="en-US"/>
        </w:rPr>
        <w:t>Bacillus</w:t>
      </w:r>
      <w:r w:rsidRPr="00AC3EAE">
        <w:t xml:space="preserve"> </w:t>
      </w:r>
      <w:r w:rsidRPr="00AC3EAE">
        <w:rPr>
          <w:lang w:val="en-US"/>
        </w:rPr>
        <w:t>fragilis</w:t>
      </w:r>
      <w:r w:rsidRPr="00AC3EAE">
        <w:t xml:space="preserve"> – 10,5%, Рер</w:t>
      </w:r>
      <w:r w:rsidRPr="00AC3EAE">
        <w:rPr>
          <w:lang w:val="en-US"/>
        </w:rPr>
        <w:t>t</w:t>
      </w:r>
      <w:r w:rsidRPr="00AC3EAE">
        <w:t>о</w:t>
      </w:r>
      <w:r w:rsidRPr="00AC3EAE">
        <w:rPr>
          <w:lang w:val="en-US"/>
        </w:rPr>
        <w:t>streptococus</w:t>
      </w:r>
      <w:r w:rsidRPr="00AC3EAE">
        <w:t xml:space="preserve"> – 10,5%) проти 47,4% до лікування (</w:t>
      </w:r>
      <w:r w:rsidRPr="00AC3EAE">
        <w:rPr>
          <w:lang w:val="en-US"/>
        </w:rPr>
        <w:t>Bacillus</w:t>
      </w:r>
      <w:r w:rsidRPr="00AC3EAE">
        <w:t xml:space="preserve"> </w:t>
      </w:r>
      <w:r w:rsidRPr="00AC3EAE">
        <w:rPr>
          <w:lang w:val="en-US"/>
        </w:rPr>
        <w:t>fragilis</w:t>
      </w:r>
      <w:r w:rsidRPr="00AC3EAE">
        <w:t xml:space="preserve"> – 21,1%, Рер</w:t>
      </w:r>
      <w:r w:rsidRPr="00AC3EAE">
        <w:rPr>
          <w:lang w:val="en-US"/>
        </w:rPr>
        <w:t>t</w:t>
      </w:r>
      <w:r w:rsidRPr="00AC3EAE">
        <w:t>о</w:t>
      </w:r>
      <w:r w:rsidRPr="00AC3EAE">
        <w:rPr>
          <w:lang w:val="en-US"/>
        </w:rPr>
        <w:t>streptococus</w:t>
      </w:r>
      <w:r w:rsidRPr="00AC3EAE">
        <w:t xml:space="preserve"> – 26,3%)</w:t>
      </w:r>
      <w:r>
        <w:t>, у</w:t>
      </w:r>
      <w:r w:rsidRPr="00AC3EAE">
        <w:t xml:space="preserve"> </w:t>
      </w:r>
      <w:r>
        <w:t xml:space="preserve">ІІІ </w:t>
      </w:r>
      <w:r w:rsidRPr="00AC3EAE">
        <w:t xml:space="preserve">групі </w:t>
      </w:r>
      <w:r>
        <w:t>–</w:t>
      </w:r>
      <w:r w:rsidRPr="00AC3EAE">
        <w:t xml:space="preserve"> в 25,0</w:t>
      </w:r>
      <w:r w:rsidRPr="00465544">
        <w:t xml:space="preserve">% </w:t>
      </w:r>
      <w:r>
        <w:t xml:space="preserve">після лікування </w:t>
      </w:r>
      <w:r w:rsidRPr="00465544">
        <w:t>(</w:t>
      </w:r>
      <w:r w:rsidRPr="00465544">
        <w:rPr>
          <w:lang w:val="en-US"/>
        </w:rPr>
        <w:t>Bacillus</w:t>
      </w:r>
      <w:r w:rsidRPr="00465544">
        <w:t xml:space="preserve"> </w:t>
      </w:r>
      <w:r w:rsidRPr="00465544">
        <w:rPr>
          <w:lang w:val="en-US"/>
        </w:rPr>
        <w:t>fragilis</w:t>
      </w:r>
      <w:r>
        <w:t xml:space="preserve"> – </w:t>
      </w:r>
      <w:r w:rsidRPr="00465544">
        <w:t xml:space="preserve"> </w:t>
      </w:r>
      <w:r>
        <w:t>10,0%</w:t>
      </w:r>
      <w:r w:rsidRPr="00465544">
        <w:t>, Рер</w:t>
      </w:r>
      <w:r w:rsidRPr="00465544">
        <w:rPr>
          <w:lang w:val="en-US"/>
        </w:rPr>
        <w:t>t</w:t>
      </w:r>
      <w:r w:rsidRPr="00465544">
        <w:t>о</w:t>
      </w:r>
      <w:r w:rsidRPr="00465544">
        <w:rPr>
          <w:lang w:val="en-US"/>
        </w:rPr>
        <w:t>streptococus</w:t>
      </w:r>
      <w:r>
        <w:t xml:space="preserve"> – 15,0</w:t>
      </w:r>
      <w:r w:rsidRPr="00465544">
        <w:t>%)</w:t>
      </w:r>
      <w:r>
        <w:t xml:space="preserve"> проти 50,0% до лікування </w:t>
      </w:r>
      <w:r w:rsidRPr="00465544">
        <w:t>(</w:t>
      </w:r>
      <w:r w:rsidRPr="00465544">
        <w:rPr>
          <w:lang w:val="en-US"/>
        </w:rPr>
        <w:t>Bacillus</w:t>
      </w:r>
      <w:r w:rsidRPr="00465544">
        <w:t xml:space="preserve"> </w:t>
      </w:r>
      <w:r w:rsidRPr="00465544">
        <w:rPr>
          <w:lang w:val="en-US"/>
        </w:rPr>
        <w:t>fragilis</w:t>
      </w:r>
      <w:r>
        <w:t xml:space="preserve"> – 25,0</w:t>
      </w:r>
      <w:r w:rsidRPr="00465544">
        <w:t>%, Рер</w:t>
      </w:r>
      <w:r w:rsidRPr="00465544">
        <w:rPr>
          <w:lang w:val="en-US"/>
        </w:rPr>
        <w:t>t</w:t>
      </w:r>
      <w:r w:rsidRPr="00465544">
        <w:t>о</w:t>
      </w:r>
      <w:r w:rsidRPr="00465544">
        <w:rPr>
          <w:lang w:val="en-US"/>
        </w:rPr>
        <w:t>streptococus</w:t>
      </w:r>
      <w:r>
        <w:t xml:space="preserve"> – 25,0</w:t>
      </w:r>
      <w:r w:rsidRPr="00465544">
        <w:t>%).</w:t>
      </w:r>
      <w:r>
        <w:t xml:space="preserve"> С</w:t>
      </w:r>
      <w:r w:rsidRPr="00D857C8">
        <w:t xml:space="preserve">еред пацієнтів, які отримували </w:t>
      </w:r>
      <w:r>
        <w:t xml:space="preserve">глутаргін і УДХК, після лікування з жовчі патогенну флору </w:t>
      </w:r>
      <w:r w:rsidRPr="00890EB4">
        <w:t>(</w:t>
      </w:r>
      <w:r w:rsidRPr="00890EB4">
        <w:rPr>
          <w:lang w:val="en-US"/>
        </w:rPr>
        <w:t>Bacillus</w:t>
      </w:r>
      <w:r w:rsidRPr="00890EB4">
        <w:t xml:space="preserve"> </w:t>
      </w:r>
      <w:r w:rsidRPr="00890EB4">
        <w:rPr>
          <w:lang w:val="en-US"/>
        </w:rPr>
        <w:t>fragilis</w:t>
      </w:r>
      <w:r w:rsidRPr="00890EB4">
        <w:t>)</w:t>
      </w:r>
      <w:r>
        <w:t xml:space="preserve"> виділено лише в</w:t>
      </w:r>
      <w:r w:rsidRPr="00D857C8">
        <w:t xml:space="preserve"> 4,8% випадків, що свідчить про значне підвищення бактерицидних властивостей жовчі за умови покращення її реологічних властивостей та нормалізації відтоку. Тобто, комплексна терапія створила сприятливі умови для усунення інфекційного чинника при ХНХ.</w:t>
      </w:r>
    </w:p>
    <w:p w:rsidR="00D14A0F" w:rsidRPr="00890EB4" w:rsidRDefault="00D14A0F" w:rsidP="00D14A0F">
      <w:pPr>
        <w:spacing w:line="360" w:lineRule="auto"/>
        <w:ind w:firstLine="720"/>
        <w:jc w:val="both"/>
      </w:pPr>
      <w:r w:rsidRPr="00D857C8">
        <w:t xml:space="preserve">При вивченні динаміки </w:t>
      </w:r>
      <w:r>
        <w:t>рівня СМП</w:t>
      </w:r>
      <w:r w:rsidRPr="00D857C8">
        <w:t xml:space="preserve"> у крові хворих на ХНХ нами встановлено вірогідне зменшення їх вмісту </w:t>
      </w:r>
      <w:r>
        <w:t>у</w:t>
      </w:r>
      <w:r w:rsidRPr="00D857C8">
        <w:t xml:space="preserve"> хворих</w:t>
      </w:r>
      <w:r w:rsidRPr="00B239B7">
        <w:t xml:space="preserve"> </w:t>
      </w:r>
      <w:r w:rsidRPr="00D857C8">
        <w:t xml:space="preserve">всіх груп. Найбільш суттєвим воно було </w:t>
      </w:r>
      <w:r w:rsidRPr="00B239B7">
        <w:t>в</w:t>
      </w:r>
      <w:r w:rsidRPr="00D857C8">
        <w:t xml:space="preserve"> хворих, що отримували комплексну терапію з використанням двох препаратів, і менш вираженим – в інших </w:t>
      </w:r>
      <w:r w:rsidRPr="00890EB4">
        <w:t>групах хворих. Зокрема, рівень СМП</w:t>
      </w:r>
      <w:r w:rsidRPr="00890EB4">
        <w:rPr>
          <w:vertAlign w:val="subscript"/>
        </w:rPr>
        <w:t>254</w:t>
      </w:r>
      <w:r w:rsidRPr="00890EB4">
        <w:t xml:space="preserve"> </w:t>
      </w:r>
      <w:r>
        <w:t>у ІV</w:t>
      </w:r>
      <w:r w:rsidRPr="00890EB4">
        <w:t xml:space="preserve"> групі хворих</w:t>
      </w:r>
      <w:r>
        <w:t xml:space="preserve"> </w:t>
      </w:r>
      <w:r w:rsidRPr="00890EB4">
        <w:t>зменшився з (0,309±0,008) ум. од. до (0,213±0,006) ум. од. (</w:t>
      </w:r>
      <w:r w:rsidRPr="00890EB4">
        <w:rPr>
          <w:lang w:val="en-US"/>
        </w:rPr>
        <w:t>p</w:t>
      </w:r>
      <w:r w:rsidRPr="00890EB4">
        <w:t xml:space="preserve">&lt;0,001), тоді як </w:t>
      </w:r>
      <w:r w:rsidRPr="00B239B7">
        <w:t>у</w:t>
      </w:r>
      <w:r w:rsidRPr="00890EB4">
        <w:t xml:space="preserve"> </w:t>
      </w:r>
      <w:r>
        <w:t xml:space="preserve">І </w:t>
      </w:r>
      <w:r w:rsidRPr="00890EB4">
        <w:t>групі– лише з (0,314±0,009) ум. од. до (0,273±0,06) ум. од. (</w:t>
      </w:r>
      <w:r w:rsidRPr="00890EB4">
        <w:rPr>
          <w:lang w:val="en-US"/>
        </w:rPr>
        <w:t>p</w:t>
      </w:r>
      <w:r w:rsidRPr="00890EB4">
        <w:t xml:space="preserve">&lt;0,01). </w:t>
      </w:r>
    </w:p>
    <w:p w:rsidR="00D14A0F" w:rsidRDefault="00D14A0F" w:rsidP="00D14A0F">
      <w:pPr>
        <w:spacing w:line="360" w:lineRule="auto"/>
        <w:ind w:firstLine="720"/>
        <w:jc w:val="both"/>
      </w:pPr>
      <w:r w:rsidRPr="00656563">
        <w:t>Відмічено</w:t>
      </w:r>
      <w:r>
        <w:t xml:space="preserve"> вірогідне</w:t>
      </w:r>
      <w:r w:rsidRPr="00656563">
        <w:t xml:space="preserve"> зменшення рівня СМП</w:t>
      </w:r>
      <w:r w:rsidRPr="00656563">
        <w:rPr>
          <w:vertAlign w:val="subscript"/>
        </w:rPr>
        <w:t>280</w:t>
      </w:r>
      <w:r>
        <w:t xml:space="preserve"> </w:t>
      </w:r>
      <w:r w:rsidRPr="00B239B7">
        <w:t>у</w:t>
      </w:r>
      <w:r>
        <w:t xml:space="preserve"> всіх групах хворих і нормалізацію – у пацієнтів, яким призначали комбінацію глутаргіну та УДХК.</w:t>
      </w:r>
      <w:r w:rsidRPr="00656563">
        <w:t xml:space="preserve"> У </w:t>
      </w:r>
      <w:r>
        <w:t xml:space="preserve">цій </w:t>
      </w:r>
      <w:r w:rsidRPr="00656563">
        <w:t>групі</w:t>
      </w:r>
      <w:r>
        <w:t xml:space="preserve"> динаміка рівня </w:t>
      </w:r>
      <w:r w:rsidRPr="00656563">
        <w:t>СМП</w:t>
      </w:r>
      <w:r w:rsidRPr="00656563">
        <w:rPr>
          <w:vertAlign w:val="subscript"/>
        </w:rPr>
        <w:t>280</w:t>
      </w:r>
      <w:r w:rsidRPr="00656563">
        <w:t xml:space="preserve"> </w:t>
      </w:r>
      <w:r>
        <w:t>була найбільш значимою про що свідчить зменшення цього показника з (0,368±0,009) ум. од. до (0,266±0,009)</w:t>
      </w:r>
      <w:r w:rsidRPr="00656563">
        <w:t xml:space="preserve"> </w:t>
      </w:r>
      <w:r>
        <w:t>ум. од</w:t>
      </w:r>
      <w:r w:rsidRPr="00656563">
        <w:t xml:space="preserve"> </w:t>
      </w:r>
      <w:r>
        <w:t>проти (0,269±0,003)</w:t>
      </w:r>
      <w:r w:rsidRPr="00656563">
        <w:t xml:space="preserve"> </w:t>
      </w:r>
      <w:r>
        <w:t>ум. од.</w:t>
      </w:r>
      <w:r w:rsidRPr="00B239B7">
        <w:t xml:space="preserve"> </w:t>
      </w:r>
      <w:r>
        <w:t>у здорових (</w:t>
      </w:r>
      <w:r>
        <w:rPr>
          <w:lang w:val="en-US"/>
        </w:rPr>
        <w:t>p</w:t>
      </w:r>
      <w:r>
        <w:t>&lt;0,001). Зниження рівня СМП</w:t>
      </w:r>
      <w:r>
        <w:rPr>
          <w:vertAlign w:val="subscript"/>
        </w:rPr>
        <w:t>280</w:t>
      </w:r>
      <w:r>
        <w:t xml:space="preserve"> у сироватці крові також відмічено у пацієнтів ІІ групи  – від (0,373±0,011)</w:t>
      </w:r>
      <w:r w:rsidRPr="00BF73CD">
        <w:t xml:space="preserve"> </w:t>
      </w:r>
      <w:r>
        <w:t>ум. од. до (0,289±0,011)</w:t>
      </w:r>
      <w:r w:rsidRPr="00BF73CD">
        <w:t xml:space="preserve"> </w:t>
      </w:r>
      <w:r>
        <w:t>ум. од. (р&lt;0,001), та ІІІ групи –</w:t>
      </w:r>
      <w:r w:rsidRPr="00BF73CD">
        <w:t xml:space="preserve"> </w:t>
      </w:r>
      <w:r>
        <w:t>від (0,382±0,021)</w:t>
      </w:r>
      <w:r w:rsidRPr="00BF73CD">
        <w:t xml:space="preserve"> </w:t>
      </w:r>
      <w:r>
        <w:t>ум. од. до (0,290±0,011)</w:t>
      </w:r>
      <w:r w:rsidRPr="00BF73CD">
        <w:t xml:space="preserve"> </w:t>
      </w:r>
      <w:r>
        <w:t>ум. од.</w:t>
      </w:r>
      <w:r w:rsidRPr="00EA1468">
        <w:t xml:space="preserve"> </w:t>
      </w:r>
      <w:r>
        <w:t>(р&lt;0,001). При стандартному лікуванні</w:t>
      </w:r>
      <w:r w:rsidRPr="00656563">
        <w:t xml:space="preserve"> </w:t>
      </w:r>
      <w:r>
        <w:t>рівень СМП</w:t>
      </w:r>
      <w:r>
        <w:rPr>
          <w:vertAlign w:val="subscript"/>
        </w:rPr>
        <w:t xml:space="preserve">280 </w:t>
      </w:r>
      <w:r>
        <w:t>знизився з (0,345±0,015)</w:t>
      </w:r>
      <w:r w:rsidRPr="00BF73CD">
        <w:t xml:space="preserve"> </w:t>
      </w:r>
      <w:r>
        <w:t>ум. од. до (0,292±0,014)</w:t>
      </w:r>
      <w:r w:rsidRPr="005C6B80">
        <w:t xml:space="preserve"> </w:t>
      </w:r>
      <w:r>
        <w:t>ум. од.  (</w:t>
      </w:r>
      <w:r>
        <w:rPr>
          <w:lang w:val="en-US"/>
        </w:rPr>
        <w:t>p</w:t>
      </w:r>
      <w:r>
        <w:t>&lt;0,05).</w:t>
      </w:r>
    </w:p>
    <w:p w:rsidR="00D14A0F" w:rsidRPr="00890EB4" w:rsidRDefault="00D14A0F" w:rsidP="00D14A0F">
      <w:pPr>
        <w:spacing w:line="360" w:lineRule="auto"/>
        <w:ind w:firstLine="720"/>
        <w:jc w:val="both"/>
      </w:pPr>
      <w:r>
        <w:t xml:space="preserve">Рівень МА вірогідно зменшився: в І групі хворих </w:t>
      </w:r>
      <w:r w:rsidRPr="00EA1468">
        <w:t xml:space="preserve">з (124,15±3,89) </w:t>
      </w:r>
      <w:r w:rsidRPr="001155DC">
        <w:t>мкмоль/л до (104,53±3,79) мкмоль/л (</w:t>
      </w:r>
      <w:r w:rsidRPr="001155DC">
        <w:rPr>
          <w:lang w:val="en-US"/>
        </w:rPr>
        <w:t>p</w:t>
      </w:r>
      <w:r w:rsidRPr="001155DC">
        <w:t xml:space="preserve">&lt;0,01), </w:t>
      </w:r>
      <w:r>
        <w:t>у ІІ групі</w:t>
      </w:r>
      <w:r w:rsidRPr="001155DC">
        <w:t xml:space="preserve"> – з (134,74±3,54) мкмоль/л до (98,63±3,73) мкмоль/л (</w:t>
      </w:r>
      <w:r w:rsidRPr="001155DC">
        <w:rPr>
          <w:lang w:val="en-US"/>
        </w:rPr>
        <w:t>p</w:t>
      </w:r>
      <w:r w:rsidRPr="001155DC">
        <w:t xml:space="preserve">&lt;0,001), </w:t>
      </w:r>
      <w:r>
        <w:t>у ІІІ групі</w:t>
      </w:r>
      <w:r w:rsidRPr="001155DC">
        <w:t xml:space="preserve"> – з (136,72±3,45) мкмоль/л до (98,14±4,26)</w:t>
      </w:r>
      <w:r w:rsidRPr="005C6B80">
        <w:t xml:space="preserve"> </w:t>
      </w:r>
      <w:r w:rsidRPr="001155DC">
        <w:t>мкмоль/л (</w:t>
      </w:r>
      <w:r w:rsidRPr="001155DC">
        <w:rPr>
          <w:lang w:val="en-US"/>
        </w:rPr>
        <w:t>p</w:t>
      </w:r>
      <w:r w:rsidRPr="001155DC">
        <w:t xml:space="preserve">&lt;0,001). </w:t>
      </w:r>
      <w:r>
        <w:t>Проте,</w:t>
      </w:r>
      <w:r w:rsidRPr="001155DC">
        <w:t xml:space="preserve"> у </w:t>
      </w:r>
      <w:r>
        <w:t xml:space="preserve">жодній із цих </w:t>
      </w:r>
      <w:r w:rsidRPr="001155DC">
        <w:t xml:space="preserve">груп </w:t>
      </w:r>
      <w:r>
        <w:t>він</w:t>
      </w:r>
      <w:r w:rsidRPr="001155DC">
        <w:t xml:space="preserve"> після лікування не досягав рівня (77,39±2,20) мкмоль/л</w:t>
      </w:r>
      <w:r w:rsidRPr="00115F0E">
        <w:t xml:space="preserve"> </w:t>
      </w:r>
      <w:r w:rsidRPr="001155DC">
        <w:t>у здорових осіб</w:t>
      </w:r>
      <w:r>
        <w:t>.</w:t>
      </w:r>
      <w:r w:rsidRPr="001155DC">
        <w:t xml:space="preserve"> Лише під впливом комбінованої терапії цей показник</w:t>
      </w:r>
      <w:r>
        <w:t xml:space="preserve"> нормалізувався – він зменшився з </w:t>
      </w:r>
      <w:r w:rsidRPr="00165052">
        <w:t xml:space="preserve">(132,30±4,29) мкмоль/л до </w:t>
      </w:r>
      <w:r>
        <w:t>(</w:t>
      </w:r>
      <w:r w:rsidRPr="00165052">
        <w:t>71,30±3,89) мкмоль/л</w:t>
      </w:r>
      <w:r>
        <w:t xml:space="preserve"> </w:t>
      </w:r>
      <w:r w:rsidRPr="00165052">
        <w:t>(</w:t>
      </w:r>
      <w:r w:rsidRPr="00165052">
        <w:rPr>
          <w:lang w:val="en-US"/>
        </w:rPr>
        <w:t>p</w:t>
      </w:r>
      <w:r w:rsidRPr="00165052">
        <w:t xml:space="preserve">&lt;0,001). </w:t>
      </w:r>
      <w:r>
        <w:t>У процесі лікування виявлено</w:t>
      </w:r>
      <w:r w:rsidRPr="00165052">
        <w:t xml:space="preserve"> зміни рівня ДК. Так, якщо у І групі </w:t>
      </w:r>
      <w:r>
        <w:t>він</w:t>
      </w:r>
      <w:r w:rsidRPr="00165052">
        <w:t xml:space="preserve"> знизився </w:t>
      </w:r>
      <w:r w:rsidRPr="00165052">
        <w:lastRenderedPageBreak/>
        <w:t>лише з (2,74±0,12) ум.од. до (2,14±0,11) ум.од., то у ІV групі – з (2,49±0,10) ум.од. до (1,49±0,05) ум.од.</w:t>
      </w:r>
      <w:r>
        <w:t xml:space="preserve"> </w:t>
      </w:r>
      <w:r w:rsidRPr="001155DC">
        <w:t>(</w:t>
      </w:r>
      <w:r w:rsidRPr="001155DC">
        <w:rPr>
          <w:lang w:val="en-US"/>
        </w:rPr>
        <w:t>p</w:t>
      </w:r>
      <w:r w:rsidRPr="001155DC">
        <w:t>&lt;0,001)</w:t>
      </w:r>
      <w:r>
        <w:t xml:space="preserve"> при </w:t>
      </w:r>
      <w:r w:rsidRPr="00165052">
        <w:t>рівн</w:t>
      </w:r>
      <w:r>
        <w:t>і</w:t>
      </w:r>
      <w:r w:rsidRPr="00165052">
        <w:t xml:space="preserve"> у здорових </w:t>
      </w:r>
      <w:r>
        <w:t>осіб</w:t>
      </w:r>
      <w:r w:rsidRPr="00165052">
        <w:t xml:space="preserve"> (1,57±0,06) </w:t>
      </w:r>
      <w:r w:rsidRPr="00890EB4">
        <w:t>ум.од.</w:t>
      </w:r>
      <w:r>
        <w:t xml:space="preserve"> </w:t>
      </w:r>
    </w:p>
    <w:p w:rsidR="00D14A0F" w:rsidRPr="00890EB4" w:rsidRDefault="00D14A0F" w:rsidP="00D14A0F">
      <w:pPr>
        <w:spacing w:line="360" w:lineRule="auto"/>
        <w:ind w:firstLine="720"/>
        <w:jc w:val="both"/>
      </w:pPr>
      <w:r w:rsidRPr="00890EB4">
        <w:t xml:space="preserve">Показник насиченості Тф залізом вірогідно не змінився </w:t>
      </w:r>
      <w:r w:rsidRPr="00934582">
        <w:t>в</w:t>
      </w:r>
      <w:r>
        <w:t xml:space="preserve"> І </w:t>
      </w:r>
      <w:r w:rsidRPr="00890EB4">
        <w:t>групі, зріс у</w:t>
      </w:r>
      <w:r>
        <w:t xml:space="preserve"> хворих під впливом глутаргіну,</w:t>
      </w:r>
      <w:r w:rsidRPr="00890EB4">
        <w:t xml:space="preserve"> УДХК і практично нормалізувався при застосуванні комбінації препаратів.</w:t>
      </w:r>
    </w:p>
    <w:p w:rsidR="00D14A0F" w:rsidRDefault="00D14A0F" w:rsidP="00D14A0F">
      <w:pPr>
        <w:spacing w:line="360" w:lineRule="auto"/>
        <w:ind w:firstLine="720"/>
        <w:jc w:val="both"/>
      </w:pPr>
      <w:r w:rsidRPr="00890EB4">
        <w:t xml:space="preserve">Активність Цп </w:t>
      </w:r>
      <w:r>
        <w:t>у хворих І групи знизилася</w:t>
      </w:r>
      <w:r w:rsidRPr="00890EB4">
        <w:t xml:space="preserve"> з (60,99±1,99) ум.од. до (41,86±2,18) ум.од. (</w:t>
      </w:r>
      <w:r w:rsidRPr="00890EB4">
        <w:rPr>
          <w:lang w:val="en-US"/>
        </w:rPr>
        <w:t>p</w:t>
      </w:r>
      <w:r w:rsidRPr="00890EB4">
        <w:t>&lt;0,001). Вірогідн</w:t>
      </w:r>
      <w:r>
        <w:t>е</w:t>
      </w:r>
      <w:r w:rsidRPr="00890EB4">
        <w:t xml:space="preserve"> зменше</w:t>
      </w:r>
      <w:r>
        <w:t>ння цього показника констатовано</w:t>
      </w:r>
      <w:r w:rsidRPr="00890EB4">
        <w:t xml:space="preserve"> при використанні глутаргіну, і</w:t>
      </w:r>
      <w:r>
        <w:t xml:space="preserve"> дещо менш виражене – у ІІІ</w:t>
      </w:r>
      <w:r w:rsidRPr="00890EB4">
        <w:t xml:space="preserve"> групі хворих. У групі комбінованого лікування </w:t>
      </w:r>
      <w:r>
        <w:t>активність Цп</w:t>
      </w:r>
      <w:r w:rsidRPr="00890EB4">
        <w:t xml:space="preserve"> </w:t>
      </w:r>
      <w:r>
        <w:t xml:space="preserve">знизилась до (31,47±1,37) ум.од. проти </w:t>
      </w:r>
      <w:r w:rsidRPr="00890EB4">
        <w:t>(30,63±0,78) ум.од.</w:t>
      </w:r>
      <w:r>
        <w:t xml:space="preserve"> у здорових осіб.</w:t>
      </w:r>
    </w:p>
    <w:p w:rsidR="00D14A0F" w:rsidRPr="005450E4" w:rsidRDefault="00D14A0F" w:rsidP="00D14A0F">
      <w:pPr>
        <w:spacing w:line="360" w:lineRule="auto"/>
        <w:ind w:firstLine="720"/>
        <w:jc w:val="both"/>
      </w:pPr>
      <w:r w:rsidRPr="00890EB4">
        <w:t>Таким чином, вивчення впливу терапії на показники ПОЛ-АОЗ</w:t>
      </w:r>
      <w:r>
        <w:t xml:space="preserve"> дозволяє</w:t>
      </w:r>
      <w:r w:rsidRPr="00890EB4">
        <w:t xml:space="preserve"> </w:t>
      </w:r>
      <w:r>
        <w:t xml:space="preserve">стверджувати, що у запропонованих схем лікування є наявні антиоксидантні властивості.  </w:t>
      </w:r>
      <w:r w:rsidRPr="00890EB4">
        <w:t>Нами встановлено, що найбільш виражен</w:t>
      </w:r>
      <w:r>
        <w:t>ий</w:t>
      </w:r>
      <w:r w:rsidRPr="00890EB4">
        <w:t xml:space="preserve"> антиоксидантн</w:t>
      </w:r>
      <w:r>
        <w:t>ий</w:t>
      </w:r>
      <w:r w:rsidRPr="00890EB4">
        <w:t xml:space="preserve"> </w:t>
      </w:r>
      <w:r>
        <w:t>ефект</w:t>
      </w:r>
      <w:r w:rsidRPr="00890EB4">
        <w:t xml:space="preserve"> має комплекс із поєднаним використанням глутаргіну та УДХК</w:t>
      </w:r>
      <w:r>
        <w:t>.</w:t>
      </w:r>
    </w:p>
    <w:p w:rsidR="00D14A0F" w:rsidRPr="00890EB4" w:rsidRDefault="00D14A0F" w:rsidP="00D14A0F">
      <w:pPr>
        <w:spacing w:line="360" w:lineRule="auto"/>
        <w:ind w:firstLine="720"/>
        <w:jc w:val="both"/>
      </w:pPr>
      <w:r>
        <w:t xml:space="preserve">Рівень </w:t>
      </w:r>
      <w:r w:rsidRPr="00890EB4">
        <w:t>ФНП-α</w:t>
      </w:r>
      <w:r>
        <w:t xml:space="preserve"> після проведеного лікування в сироватці крові хворих </w:t>
      </w:r>
      <w:r w:rsidRPr="00890EB4">
        <w:t xml:space="preserve">І, ІІ та ІІІ </w:t>
      </w:r>
      <w:r>
        <w:t>груп</w:t>
      </w:r>
      <w:r w:rsidRPr="00890EB4">
        <w:t xml:space="preserve"> вірогідно з</w:t>
      </w:r>
      <w:r>
        <w:t>нижувався</w:t>
      </w:r>
      <w:r w:rsidRPr="00890EB4">
        <w:t xml:space="preserve">, але залишався суттєво вищим </w:t>
      </w:r>
      <w:r>
        <w:t>від показників у здорових – (20,32±1,24) пг/мл</w:t>
      </w:r>
      <w:r w:rsidRPr="00890EB4">
        <w:t>. Нормалізація рівня ФНП-α була констатована після поєднаної терапії</w:t>
      </w:r>
      <w:r>
        <w:t xml:space="preserve"> обома препаратами,</w:t>
      </w:r>
      <w:r w:rsidRPr="00890EB4">
        <w:t xml:space="preserve"> </w:t>
      </w:r>
      <w:r>
        <w:t>про що свідчить його зниження</w:t>
      </w:r>
      <w:r w:rsidRPr="00890EB4">
        <w:t xml:space="preserve"> з (35,31±1,81) пг/мл до (22,07±2,43) пг/мл (р&lt;0,00</w:t>
      </w:r>
      <w:r>
        <w:t>1).</w:t>
      </w:r>
    </w:p>
    <w:p w:rsidR="00D14A0F" w:rsidRPr="00890EB4" w:rsidRDefault="00D14A0F" w:rsidP="00D14A0F">
      <w:pPr>
        <w:spacing w:line="360" w:lineRule="auto"/>
        <w:ind w:firstLine="720"/>
        <w:jc w:val="both"/>
      </w:pPr>
      <w:r w:rsidRPr="00890EB4">
        <w:t xml:space="preserve">Аналіз вмісту ІЛ-1β </w:t>
      </w:r>
      <w:r>
        <w:t>у сироватці крові після проведеного курсу лікування</w:t>
      </w:r>
      <w:r w:rsidRPr="00890EB4">
        <w:t xml:space="preserve"> </w:t>
      </w:r>
      <w:r>
        <w:t>показав</w:t>
      </w:r>
      <w:r w:rsidRPr="00890EB4">
        <w:t xml:space="preserve"> зменш</w:t>
      </w:r>
      <w:r>
        <w:t xml:space="preserve">ення </w:t>
      </w:r>
      <w:r w:rsidRPr="00890EB4">
        <w:t>його висок</w:t>
      </w:r>
      <w:r>
        <w:t>их</w:t>
      </w:r>
      <w:r w:rsidRPr="00890EB4">
        <w:t xml:space="preserve"> вихідн</w:t>
      </w:r>
      <w:r>
        <w:t>их</w:t>
      </w:r>
      <w:r w:rsidRPr="00890EB4">
        <w:t xml:space="preserve"> показник</w:t>
      </w:r>
      <w:r>
        <w:t>ів</w:t>
      </w:r>
      <w:r w:rsidRPr="00890EB4">
        <w:t xml:space="preserve">. </w:t>
      </w:r>
      <w:r>
        <w:t>Лікування поєднаним комплексом</w:t>
      </w:r>
      <w:r w:rsidRPr="00890EB4">
        <w:t xml:space="preserve"> </w:t>
      </w:r>
      <w:r>
        <w:t>сприяло</w:t>
      </w:r>
      <w:r w:rsidRPr="00890EB4">
        <w:t xml:space="preserve"> зменшенн</w:t>
      </w:r>
      <w:r>
        <w:t>ю</w:t>
      </w:r>
      <w:r w:rsidRPr="00890EB4">
        <w:t xml:space="preserve"> рівня ІЛ-1β з (129,22±11,89) пг/мл до (32,70±4,96) пг/мл, тобто в 3,95 рази (р&lt;0,001)</w:t>
      </w:r>
      <w:r>
        <w:t xml:space="preserve"> при показнику </w:t>
      </w:r>
      <w:r w:rsidRPr="00890EB4">
        <w:t>(19,09±3,22) пг/мл</w:t>
      </w:r>
      <w:r>
        <w:t xml:space="preserve"> у здорових.</w:t>
      </w:r>
      <w:r w:rsidRPr="00890EB4">
        <w:t xml:space="preserve"> Слід зазначити, що навіть після курсу лікування цей показник </w:t>
      </w:r>
      <w:r>
        <w:t>продовжував залишатися дещо підвищеним</w:t>
      </w:r>
      <w:r w:rsidRPr="00890EB4">
        <w:t xml:space="preserve"> у всіх групах спостереження.</w:t>
      </w:r>
    </w:p>
    <w:p w:rsidR="00D14A0F" w:rsidRDefault="00D14A0F" w:rsidP="00D14A0F">
      <w:pPr>
        <w:spacing w:line="360" w:lineRule="auto"/>
        <w:ind w:firstLine="720"/>
        <w:jc w:val="both"/>
        <w:rPr>
          <w:lang w:val="en-US"/>
        </w:rPr>
      </w:pPr>
      <w:r w:rsidRPr="00890EB4">
        <w:t>Рівень ІЛ-10, який є медіатором протизапальної дії, мав протилежну динаміку</w:t>
      </w:r>
      <w:r>
        <w:t xml:space="preserve"> і зростав у</w:t>
      </w:r>
      <w:r w:rsidRPr="00890EB4">
        <w:t xml:space="preserve"> процесі лікування (найбільш значно </w:t>
      </w:r>
      <w:r w:rsidRPr="00890EB4">
        <w:rPr>
          <w:kern w:val="56"/>
        </w:rPr>
        <w:t xml:space="preserve">– </w:t>
      </w:r>
      <w:r w:rsidRPr="00890EB4">
        <w:t>у групі</w:t>
      </w:r>
      <w:r>
        <w:t>, що отримувала глутаргін та УДХК</w:t>
      </w:r>
      <w:r w:rsidRPr="00890EB4">
        <w:t>). Важливо відмітити, що повної нормалізації рівня ІЛ-10</w:t>
      </w:r>
      <w:r>
        <w:t xml:space="preserve"> теж</w:t>
      </w:r>
      <w:r w:rsidRPr="00890EB4">
        <w:t xml:space="preserve"> не </w:t>
      </w:r>
      <w:r>
        <w:t xml:space="preserve">наступило </w:t>
      </w:r>
      <w:r w:rsidRPr="00B76BD7">
        <w:t>в</w:t>
      </w:r>
      <w:r w:rsidRPr="00890EB4">
        <w:t xml:space="preserve"> жодній групі спостереження.</w:t>
      </w:r>
      <w:r w:rsidRPr="001154B4">
        <w:t xml:space="preserve"> </w:t>
      </w:r>
    </w:p>
    <w:p w:rsidR="00D14A0F" w:rsidRDefault="00D14A0F" w:rsidP="00D14A0F">
      <w:pPr>
        <w:spacing w:line="360" w:lineRule="auto"/>
        <w:ind w:firstLine="720"/>
        <w:jc w:val="both"/>
      </w:pPr>
      <w:r>
        <w:t>Усе вище в</w:t>
      </w:r>
      <w:r w:rsidRPr="00B76BD7">
        <w:t>казане дозволяє стверджувати про наявність у застосованих комплексів терапії імуномодулюючих властивостей, які найбільш вираженими були у ІV групі пацієнтів, тобто при поєднаному використанні глутаргіну та УДХК.</w:t>
      </w:r>
    </w:p>
    <w:p w:rsidR="00D14A0F" w:rsidRPr="00890EB4" w:rsidRDefault="00D14A0F" w:rsidP="00D14A0F">
      <w:pPr>
        <w:spacing w:line="360" w:lineRule="auto"/>
        <w:ind w:firstLine="720"/>
        <w:jc w:val="both"/>
      </w:pPr>
      <w:r w:rsidRPr="000C0654">
        <w:t xml:space="preserve">Під впливом терапії відмічалося зростання вмісту заліза в еритроцитах. Найменш значним воно було у І групі </w:t>
      </w:r>
      <w:r w:rsidRPr="000C0654">
        <w:rPr>
          <w:kern w:val="56"/>
        </w:rPr>
        <w:t xml:space="preserve">– </w:t>
      </w:r>
      <w:r>
        <w:rPr>
          <w:kern w:val="56"/>
        </w:rPr>
        <w:t>з (1761,0</w:t>
      </w:r>
      <w:r>
        <w:t>±131,6)</w:t>
      </w:r>
      <w:r w:rsidRPr="000C0654">
        <w:t xml:space="preserve"> мг%</w:t>
      </w:r>
      <w:r>
        <w:t xml:space="preserve"> до (2521,1±175,9)</w:t>
      </w:r>
      <w:r w:rsidRPr="000C0654">
        <w:t xml:space="preserve"> </w:t>
      </w:r>
      <w:r>
        <w:t>мг%</w:t>
      </w:r>
      <w:r w:rsidRPr="000C0654">
        <w:t xml:space="preserve"> </w:t>
      </w:r>
      <w:r>
        <w:t>(</w:t>
      </w:r>
      <w:r>
        <w:rPr>
          <w:lang w:val="en-US"/>
        </w:rPr>
        <w:t>p</w:t>
      </w:r>
      <w:r>
        <w:t>&lt;0,001),</w:t>
      </w:r>
      <w:r w:rsidRPr="000C0654">
        <w:t xml:space="preserve"> </w:t>
      </w:r>
      <w:r>
        <w:t xml:space="preserve">дещо більшим – </w:t>
      </w:r>
      <w:r w:rsidRPr="000C0654">
        <w:t xml:space="preserve">у ІІ та ІІІ групі </w:t>
      </w:r>
      <w:r>
        <w:t>(</w:t>
      </w:r>
      <w:r w:rsidRPr="000C0654">
        <w:t>р</w:t>
      </w:r>
      <w:r>
        <w:rPr>
          <w:vertAlign w:val="subscript"/>
        </w:rPr>
        <w:t>1,2</w:t>
      </w:r>
      <w:r w:rsidRPr="000C0654">
        <w:t>&lt;0,001)</w:t>
      </w:r>
      <w:r>
        <w:t>. Використання в</w:t>
      </w:r>
      <w:r w:rsidRPr="000C0654">
        <w:t xml:space="preserve"> комплексі глутаргіну та УДХК сприяло зростанню вмісту заліза в еритроцитах до (3</w:t>
      </w:r>
      <w:r>
        <w:t>505,7±196,6) мг%, тобто на 98,1</w:t>
      </w:r>
      <w:r w:rsidRPr="000C0654">
        <w:t>%, що було н</w:t>
      </w:r>
      <w:r>
        <w:t xml:space="preserve">айбільш значним серед усіх груп. </w:t>
      </w:r>
      <w:r w:rsidRPr="00EA7306">
        <w:t>Зворотна динаміка (зниження рівня в процесі лікування) виявлена при вивче</w:t>
      </w:r>
      <w:r>
        <w:t>нні вмісту міді в еритроцитах. У</w:t>
      </w:r>
      <w:r w:rsidRPr="00EA7306">
        <w:t xml:space="preserve"> І групі рівень міді знизився з</w:t>
      </w:r>
      <w:r>
        <w:t xml:space="preserve"> </w:t>
      </w:r>
      <w:r w:rsidRPr="00EA7306">
        <w:t>(20,20±2,29) мг% до (14,72±2,35) мг% (</w:t>
      </w:r>
      <w:r w:rsidRPr="00EA7306">
        <w:rPr>
          <w:lang w:val="en-US"/>
        </w:rPr>
        <w:t>p</w:t>
      </w:r>
      <w:r w:rsidRPr="00EA7306">
        <w:t xml:space="preserve">&lt;0,05), у ІІ та ІІІ </w:t>
      </w:r>
      <w:r w:rsidRPr="00EA7306">
        <w:lastRenderedPageBreak/>
        <w:t xml:space="preserve">групі динаміка була дещо більшою </w:t>
      </w:r>
      <w:r>
        <w:t>– і</w:t>
      </w:r>
      <w:r w:rsidRPr="00EA7306">
        <w:t>з (20,60±1,61) мг% до (11,83±1,67) мг% та з (20,56±1,31) мг% до (11,03±1,66) мг% відповідно (</w:t>
      </w:r>
      <w:r w:rsidRPr="00EA7306">
        <w:rPr>
          <w:lang w:val="en-US"/>
        </w:rPr>
        <w:t>p</w:t>
      </w:r>
      <w:r w:rsidRPr="00EA7306">
        <w:rPr>
          <w:vertAlign w:val="subscript"/>
        </w:rPr>
        <w:t>1,2</w:t>
      </w:r>
      <w:r w:rsidRPr="00EA7306">
        <w:t>&lt;0,001)</w:t>
      </w:r>
      <w:r>
        <w:t>. У</w:t>
      </w:r>
      <w:r w:rsidRPr="00EA7306">
        <w:t xml:space="preserve"> ІV групі зниження рівня міді було найбільш значним </w:t>
      </w:r>
      <w:r>
        <w:t>– і</w:t>
      </w:r>
      <w:r w:rsidRPr="00EA7306">
        <w:t xml:space="preserve">з (21,35 ±1,24) мг% до (10,69 ±0,95) мг% </w:t>
      </w:r>
      <w:r>
        <w:t>(</w:t>
      </w:r>
      <w:r>
        <w:rPr>
          <w:lang w:val="en-US"/>
        </w:rPr>
        <w:t>p</w:t>
      </w:r>
      <w:r>
        <w:t xml:space="preserve">&lt;0,001) </w:t>
      </w:r>
      <w:r w:rsidRPr="00F16B10">
        <w:t xml:space="preserve">проти (9,65 ±0,21) мг% у здорових. </w:t>
      </w:r>
    </w:p>
    <w:p w:rsidR="00D14A0F" w:rsidRPr="00FC26D2" w:rsidRDefault="00D14A0F" w:rsidP="00D14A0F">
      <w:pPr>
        <w:spacing w:line="360" w:lineRule="auto"/>
        <w:ind w:firstLine="720"/>
        <w:jc w:val="both"/>
      </w:pPr>
      <w:r w:rsidRPr="00890EB4">
        <w:t>Вміст магнію в еритроцитах, який був зниженим у хворих на ХНХ</w:t>
      </w:r>
      <w:r>
        <w:t>,</w:t>
      </w:r>
      <w:r w:rsidRPr="00890EB4">
        <w:t xml:space="preserve"> під впливом терапії зростав.</w:t>
      </w:r>
      <w:r>
        <w:t xml:space="preserve"> Найбільш значним такий приріст відмічали </w:t>
      </w:r>
      <w:r w:rsidRPr="00F16B10">
        <w:t>в</w:t>
      </w:r>
      <w:r w:rsidRPr="00890EB4">
        <w:t xml:space="preserve"> групі з поєднаним використанням глутаргіну та УДХК</w:t>
      </w:r>
      <w:r>
        <w:t>, про що свідчить його підвищення на 49,2</w:t>
      </w:r>
      <w:r w:rsidRPr="00890EB4">
        <w:t>%, тоді як при в</w:t>
      </w:r>
      <w:r>
        <w:t>икористанні глутаргіну – на 30,1</w:t>
      </w:r>
      <w:r w:rsidRPr="00890EB4">
        <w:t>% (р&lt;0,001), УДХК – 25,7% (р&lt;0,01), стандартного к</w:t>
      </w:r>
      <w:r>
        <w:t>омплексу терапії – лише на 20,6</w:t>
      </w:r>
      <w:r w:rsidRPr="00890EB4">
        <w:t>% (р&lt;0,01). Вміст цинку в еритроцитах при лікуванні ХНХ дещо підвищувався, проте ці зміни не були вірогідними. Такі зміни в комплексі мікроелементів, з одного боку, пов’язані з покращенням їх всмоктування в киш</w:t>
      </w:r>
      <w:r>
        <w:t>ечнику</w:t>
      </w:r>
      <w:r w:rsidRPr="00890EB4">
        <w:t xml:space="preserve"> за умов нормалізації відтоку жовчі, а з іншого, є свідченням зменшення активності запального процесу</w:t>
      </w:r>
      <w:r>
        <w:t>.</w:t>
      </w:r>
    </w:p>
    <w:p w:rsidR="00D14A0F" w:rsidRPr="00890EB4" w:rsidRDefault="00D14A0F" w:rsidP="00D14A0F">
      <w:pPr>
        <w:adjustRightInd w:val="0"/>
        <w:snapToGrid w:val="0"/>
        <w:spacing w:line="360" w:lineRule="auto"/>
        <w:ind w:firstLine="720"/>
        <w:jc w:val="both"/>
      </w:pPr>
      <w:r w:rsidRPr="00890EB4">
        <w:t>Аналіз клінічної симптоматики упродовж 6 місяців після проведеного лікування підтвердив дієвість розроблених нами лікувальних підходів. Встановлено</w:t>
      </w:r>
      <w:r>
        <w:t>, що в</w:t>
      </w:r>
      <w:r w:rsidRPr="00890EB4">
        <w:t xml:space="preserve"> І групі хворих зафіксовано 8 (32,0%) випадків повторних госпіталізацій, у ІІ та ІІІ групі хворих – по 4 (15,4% та 16,7% відповідно), а у ІV групі – лише 1 (4,0%) випадок. Більше того, в ІV</w:t>
      </w:r>
      <w:r>
        <w:t xml:space="preserve"> групі хворих </w:t>
      </w:r>
      <w:r w:rsidRPr="00890EB4">
        <w:t xml:space="preserve">після застосованого лікування </w:t>
      </w:r>
      <w:r>
        <w:t>сладж-синдром виявили лише</w:t>
      </w:r>
      <w:r w:rsidRPr="00890EB4">
        <w:t xml:space="preserve"> у 8,0% осіб проти 60,0% у І групі, а </w:t>
      </w:r>
      <w:r>
        <w:t xml:space="preserve">появи </w:t>
      </w:r>
      <w:r w:rsidRPr="00890EB4">
        <w:t>конкр</w:t>
      </w:r>
      <w:r>
        <w:t>ементів взагалі не зафіксовано.</w:t>
      </w:r>
    </w:p>
    <w:p w:rsidR="00D14A0F" w:rsidRPr="00890EB4" w:rsidRDefault="00D14A0F" w:rsidP="00D14A0F">
      <w:pPr>
        <w:spacing w:line="360" w:lineRule="auto"/>
        <w:ind w:firstLine="900"/>
        <w:jc w:val="both"/>
      </w:pPr>
      <w:r w:rsidRPr="00890EB4">
        <w:t>Комплексне лікування хворих на ХНХ дозволило суттєво зменшит</w:t>
      </w:r>
      <w:r>
        <w:t>и кількість повторних загострен</w:t>
      </w:r>
      <w:r w:rsidRPr="00890EB4">
        <w:t xml:space="preserve">ь та госпіталізацій, попередити утворення конкрементів, що вказує на підвищення ефективності лікування таких хворих. </w:t>
      </w:r>
    </w:p>
    <w:p w:rsidR="00D14A0F" w:rsidRPr="00890EB4" w:rsidRDefault="00D14A0F" w:rsidP="00D14A0F">
      <w:pPr>
        <w:spacing w:line="360" w:lineRule="auto"/>
        <w:jc w:val="both"/>
      </w:pPr>
    </w:p>
    <w:p w:rsidR="00D14A0F" w:rsidRPr="00E25752" w:rsidRDefault="00D14A0F" w:rsidP="00D14A0F">
      <w:pPr>
        <w:spacing w:line="360" w:lineRule="auto"/>
        <w:jc w:val="center"/>
      </w:pPr>
      <w:r w:rsidRPr="00890EB4">
        <w:rPr>
          <w:b/>
        </w:rPr>
        <w:t>ВИСНОВКИ</w:t>
      </w:r>
    </w:p>
    <w:p w:rsidR="00D14A0F" w:rsidRDefault="00D14A0F" w:rsidP="00D14A0F">
      <w:pPr>
        <w:widowControl w:val="0"/>
        <w:spacing w:line="360" w:lineRule="auto"/>
        <w:ind w:firstLine="720"/>
        <w:jc w:val="both"/>
      </w:pPr>
      <w:r>
        <w:t>У</w:t>
      </w:r>
      <w:r w:rsidRPr="00164C6E">
        <w:t xml:space="preserve"> дисертаційній роботі наведено теоретичне узагальнення та нове практичне вирішення актуального питання гастроентерології з підвищення ефективності лікування хворих на ХНХ на осно</w:t>
      </w:r>
      <w:r>
        <w:t>ві вивчення клінічного перебігу</w:t>
      </w:r>
      <w:r w:rsidRPr="00164C6E">
        <w:t>, патогенетичних механізмів розвитку</w:t>
      </w:r>
      <w:r>
        <w:t xml:space="preserve"> та прогресування захворювання </w:t>
      </w:r>
      <w:r w:rsidRPr="00164C6E">
        <w:t>з застосуванням глутаргіну та УДХК.</w:t>
      </w:r>
    </w:p>
    <w:p w:rsidR="00D14A0F" w:rsidRPr="009F245E" w:rsidRDefault="00D14A0F" w:rsidP="00415715">
      <w:pPr>
        <w:widowControl w:val="0"/>
        <w:numPr>
          <w:ilvl w:val="0"/>
          <w:numId w:val="41"/>
        </w:numPr>
        <w:spacing w:after="0" w:line="360" w:lineRule="auto"/>
        <w:jc w:val="both"/>
      </w:pPr>
      <w:r>
        <w:t>Перебіг хронічного некаменевого холециститу</w:t>
      </w:r>
      <w:r w:rsidRPr="009F245E">
        <w:t xml:space="preserve"> характеризується активацією</w:t>
      </w:r>
      <w:r>
        <w:t xml:space="preserve"> запального синдрому в</w:t>
      </w:r>
      <w:r w:rsidRPr="009F245E">
        <w:t xml:space="preserve"> поєднанні зі змінами кінетики жовчовивідних шляхів (подовженням </w:t>
      </w:r>
      <w:r>
        <w:t xml:space="preserve">часу </w:t>
      </w:r>
      <w:r w:rsidRPr="009F245E">
        <w:t>закритого сфінктеру Одді та часу витікання міхурової жовчі за умов збільшення її об’єму) при одночасній зміні біохімічних показників жовчі (збільшення</w:t>
      </w:r>
      <w:r>
        <w:t xml:space="preserve"> вмісту в жовчі білірубіну та холестерину і зменшенням жовчних кислот</w:t>
      </w:r>
      <w:r w:rsidRPr="009F245E">
        <w:t xml:space="preserve">). </w:t>
      </w:r>
    </w:p>
    <w:p w:rsidR="00D14A0F" w:rsidRDefault="00D14A0F" w:rsidP="00415715">
      <w:pPr>
        <w:widowControl w:val="0"/>
        <w:numPr>
          <w:ilvl w:val="0"/>
          <w:numId w:val="41"/>
        </w:numPr>
        <w:spacing w:after="0" w:line="360" w:lineRule="auto"/>
        <w:jc w:val="both"/>
        <w:rPr>
          <w:kern w:val="56"/>
        </w:rPr>
      </w:pPr>
      <w:r>
        <w:t>При хронічному некаменевому холециститі має місце збільшення концентрації в крові фактора некрозу пухлин</w:t>
      </w:r>
      <w:r>
        <w:rPr>
          <w:kern w:val="56"/>
        </w:rPr>
        <w:t xml:space="preserve">-α в 1,69 рази, інтерлейкіну-1β </w:t>
      </w:r>
      <w:r>
        <w:t>– у 6,83 рази</w:t>
      </w:r>
      <w:r>
        <w:rPr>
          <w:kern w:val="56"/>
        </w:rPr>
        <w:t xml:space="preserve">, та зменшення рівня </w:t>
      </w:r>
      <w:r>
        <w:rPr>
          <w:kern w:val="56"/>
        </w:rPr>
        <w:lastRenderedPageBreak/>
        <w:t xml:space="preserve">інтерлейкіну-10 в 2,23 рази, що свідчить про значне зростання активності як стимуляторів запалення, так і антифлогістичних медіаторів. Між рівнем </w:t>
      </w:r>
      <w:r>
        <w:t>фактора некрозу пухлин</w:t>
      </w:r>
      <w:r>
        <w:rPr>
          <w:kern w:val="56"/>
        </w:rPr>
        <w:t xml:space="preserve">-α та інтерлейкіну -1β виявлено прямий сильний достовірний кореляційний зв'язок </w:t>
      </w:r>
      <w:r>
        <w:t>(</w:t>
      </w:r>
      <w:r>
        <w:rPr>
          <w:lang w:val="en-US"/>
        </w:rPr>
        <w:t>p</w:t>
      </w:r>
      <w:r>
        <w:t>&lt;0,001), а між рівнями фактора некрозу пухлин</w:t>
      </w:r>
      <w:r>
        <w:rPr>
          <w:kern w:val="56"/>
        </w:rPr>
        <w:t xml:space="preserve">-α та інтерлейкіну-10 </w:t>
      </w:r>
      <w:r>
        <w:t>– зворотний достовірний середньої сили зв'язок, що вказує на агоністичні та антагоністичні взаємозв’язки різних компонентів цитокінового профілю.</w:t>
      </w:r>
    </w:p>
    <w:p w:rsidR="00D14A0F" w:rsidRPr="009F245E" w:rsidRDefault="00D14A0F" w:rsidP="00415715">
      <w:pPr>
        <w:widowControl w:val="0"/>
        <w:numPr>
          <w:ilvl w:val="0"/>
          <w:numId w:val="41"/>
        </w:numPr>
        <w:spacing w:after="0" w:line="360" w:lineRule="auto"/>
        <w:jc w:val="both"/>
      </w:pPr>
      <w:r w:rsidRPr="009F245E">
        <w:t xml:space="preserve">У хворих на </w:t>
      </w:r>
      <w:r>
        <w:rPr>
          <w:kern w:val="56"/>
        </w:rPr>
        <w:t>хронічний некаменевий холецистит</w:t>
      </w:r>
      <w:r w:rsidRPr="009F245E">
        <w:t xml:space="preserve"> виявлено </w:t>
      </w:r>
      <w:r>
        <w:t>підвищення активності</w:t>
      </w:r>
      <w:r w:rsidRPr="009F245E">
        <w:t xml:space="preserve"> процесів </w:t>
      </w:r>
      <w:r>
        <w:t>перекисного окислення ліпідів</w:t>
      </w:r>
      <w:r w:rsidRPr="009F245E">
        <w:t xml:space="preserve"> та </w:t>
      </w:r>
      <w:r>
        <w:t>антиоксидантного захисту</w:t>
      </w:r>
      <w:r w:rsidRPr="009F245E">
        <w:t xml:space="preserve"> у вигляді зростання </w:t>
      </w:r>
      <w:r>
        <w:t>рівня в крові малонового альдегіду в 1,7 рази</w:t>
      </w:r>
      <w:r w:rsidRPr="009F245E">
        <w:t xml:space="preserve"> та </w:t>
      </w:r>
      <w:r>
        <w:t>дієнових кон’югатів у 1,5 рази</w:t>
      </w:r>
      <w:r w:rsidRPr="009F245E">
        <w:t xml:space="preserve">, підвищення активності </w:t>
      </w:r>
      <w:r w:rsidRPr="00CD687A">
        <w:t>церулоплазмін</w:t>
      </w:r>
      <w:r>
        <w:t>у</w:t>
      </w:r>
      <w:r w:rsidRPr="009F245E">
        <w:t xml:space="preserve"> сироватки крові</w:t>
      </w:r>
      <w:r>
        <w:t xml:space="preserve"> на 79,2%</w:t>
      </w:r>
      <w:r w:rsidRPr="009F245E">
        <w:t>, а також зниження п</w:t>
      </w:r>
      <w:r>
        <w:t>оказника насиченості трансферину</w:t>
      </w:r>
      <w:r w:rsidRPr="009F245E">
        <w:t xml:space="preserve"> залізом</w:t>
      </w:r>
      <w:r>
        <w:t xml:space="preserve"> до (0,166±0,002) ум. од. проти (0,182</w:t>
      </w:r>
      <w:r w:rsidRPr="004D46E1">
        <w:t xml:space="preserve"> </w:t>
      </w:r>
      <w:r>
        <w:t>±0,02) ум. од. у здорових (</w:t>
      </w:r>
      <w:r>
        <w:rPr>
          <w:lang w:val="en-US"/>
        </w:rPr>
        <w:t>p</w:t>
      </w:r>
      <w:r>
        <w:t>&lt;0,001)</w:t>
      </w:r>
      <w:r w:rsidRPr="009F245E">
        <w:t xml:space="preserve">. Ці зміни </w:t>
      </w:r>
      <w:r>
        <w:t xml:space="preserve">поєднуються </w:t>
      </w:r>
      <w:r w:rsidRPr="009F245E">
        <w:t>з</w:t>
      </w:r>
      <w:r>
        <w:t>і</w:t>
      </w:r>
      <w:r w:rsidRPr="009F245E">
        <w:t xml:space="preserve"> збільшення</w:t>
      </w:r>
      <w:r>
        <w:t>м у крові рівня середньомолекулярних пептидів</w:t>
      </w:r>
      <w:r w:rsidRPr="009F245E">
        <w:t xml:space="preserve"> різних класів</w:t>
      </w:r>
      <w:r>
        <w:t xml:space="preserve"> (</w:t>
      </w:r>
      <w:r>
        <w:rPr>
          <w:lang w:val="en-US"/>
        </w:rPr>
        <w:t>p</w:t>
      </w:r>
      <w:r>
        <w:t>&lt;0,001)</w:t>
      </w:r>
      <w:r w:rsidRPr="009F245E">
        <w:t>.</w:t>
      </w:r>
      <w:r>
        <w:t xml:space="preserve"> Виявлено прямі достовірні кореляційний зв'язки між рівнем </w:t>
      </w:r>
      <w:r>
        <w:rPr>
          <w:kern w:val="56"/>
        </w:rPr>
        <w:t xml:space="preserve">інтерлейкіну-1β, </w:t>
      </w:r>
      <w:r>
        <w:t>середньомолекулярного пептиду-254 та середньомолекулярного пептиду-280, а також між рівнями фактора некрозу пухлин</w:t>
      </w:r>
      <w:r>
        <w:rPr>
          <w:kern w:val="56"/>
        </w:rPr>
        <w:t xml:space="preserve">-α та </w:t>
      </w:r>
      <w:r>
        <w:t>середньомолекулярного пептиду-280, що вказує на тісний взаємозв’язок між процесами запалення та ендотоксемії.</w:t>
      </w:r>
    </w:p>
    <w:p w:rsidR="00D14A0F" w:rsidRDefault="00D14A0F" w:rsidP="00415715">
      <w:pPr>
        <w:widowControl w:val="0"/>
        <w:numPr>
          <w:ilvl w:val="0"/>
          <w:numId w:val="41"/>
        </w:numPr>
        <w:spacing w:after="0" w:line="360" w:lineRule="auto"/>
        <w:jc w:val="both"/>
      </w:pPr>
      <w:r>
        <w:t xml:space="preserve">У хворих на </w:t>
      </w:r>
      <w:r>
        <w:rPr>
          <w:kern w:val="56"/>
        </w:rPr>
        <w:t>хронічний некаменевий холецистит</w:t>
      </w:r>
      <w:r>
        <w:t xml:space="preserve"> спостерігається зміна мікроелементного складу крові: зменшення вмісту в еритроцитах магнію (на 18,7%), заліза (в 2,61 рази), кальцію (в 1,37 рази), цинку (на 7,9%) та збільшення вмісту міді (в 2,14 рази) (для всіх показників </w:t>
      </w:r>
      <w:r>
        <w:rPr>
          <w:lang w:val="en-US"/>
        </w:rPr>
        <w:t>p</w:t>
      </w:r>
      <w:r>
        <w:t>&lt;0,001</w:t>
      </w:r>
      <w:r w:rsidRPr="00AB6598">
        <w:t>). Також виявлено прямий середньої сили</w:t>
      </w:r>
      <w:r>
        <w:t xml:space="preserve"> достовірний кореляційний зв'язок між рівнем</w:t>
      </w:r>
      <w:r w:rsidRPr="005F7718">
        <w:t xml:space="preserve"> </w:t>
      </w:r>
      <w:r>
        <w:t>заліза в еритроцитах і</w:t>
      </w:r>
      <w:r w:rsidRPr="0044427B">
        <w:t xml:space="preserve"> показником</w:t>
      </w:r>
      <w:r>
        <w:t xml:space="preserve"> насичен</w:t>
      </w:r>
      <w:r w:rsidRPr="0044427B">
        <w:t>о</w:t>
      </w:r>
      <w:r>
        <w:t>сті</w:t>
      </w:r>
      <w:r w:rsidRPr="0044427B">
        <w:t xml:space="preserve"> трансферину залізом</w:t>
      </w:r>
      <w:r>
        <w:t xml:space="preserve"> (</w:t>
      </w:r>
      <w:r w:rsidRPr="007015D3">
        <w:rPr>
          <w:lang w:val="en-US"/>
        </w:rPr>
        <w:t>r</w:t>
      </w:r>
      <w:r w:rsidRPr="007015D3">
        <w:t>=</w:t>
      </w:r>
      <w:r>
        <w:t>0,34; р&lt;0,01</w:t>
      </w:r>
      <w:r w:rsidRPr="007015D3">
        <w:t>)</w:t>
      </w:r>
      <w:r>
        <w:t xml:space="preserve">, а також між вмістом </w:t>
      </w:r>
      <w:r>
        <w:rPr>
          <w:kern w:val="56"/>
        </w:rPr>
        <w:t xml:space="preserve">інтерлейкіну-1β та міді в еритроцитах </w:t>
      </w:r>
      <w:r>
        <w:t>(</w:t>
      </w:r>
      <w:r w:rsidRPr="007015D3">
        <w:rPr>
          <w:lang w:val="en-US"/>
        </w:rPr>
        <w:t>r</w:t>
      </w:r>
      <w:r w:rsidRPr="007015D3">
        <w:t>=</w:t>
      </w:r>
      <w:r>
        <w:t>0,48; р&lt;0,001</w:t>
      </w:r>
      <w:r w:rsidRPr="007015D3">
        <w:t>)</w:t>
      </w:r>
      <w:r>
        <w:t>, що свідчить про взаємозалежність між процесами перекисного окислення ліпідів, запалення та обміну мікроелементів.</w:t>
      </w:r>
    </w:p>
    <w:p w:rsidR="00D14A0F" w:rsidRDefault="00D14A0F" w:rsidP="00415715">
      <w:pPr>
        <w:widowControl w:val="0"/>
        <w:numPr>
          <w:ilvl w:val="0"/>
          <w:numId w:val="41"/>
        </w:numPr>
        <w:spacing w:after="0" w:line="360" w:lineRule="auto"/>
        <w:jc w:val="both"/>
        <w:rPr>
          <w:kern w:val="56"/>
        </w:rPr>
      </w:pPr>
      <w:r>
        <w:rPr>
          <w:kern w:val="56"/>
        </w:rPr>
        <w:t>Застосування у хворих на хронічний некаменевий холецистит</w:t>
      </w:r>
      <w:r w:rsidRPr="009F245E">
        <w:rPr>
          <w:kern w:val="56"/>
        </w:rPr>
        <w:t xml:space="preserve"> глутаргіну дозволяє покращити результат лікування</w:t>
      </w:r>
      <w:r>
        <w:rPr>
          <w:kern w:val="56"/>
        </w:rPr>
        <w:t>, за рахунок його впливу на цитолітичний синдром, диспротеї</w:t>
      </w:r>
      <w:r w:rsidRPr="009F245E">
        <w:rPr>
          <w:kern w:val="56"/>
        </w:rPr>
        <w:t xml:space="preserve">немію, оксидативний стрес і </w:t>
      </w:r>
      <w:r>
        <w:rPr>
          <w:kern w:val="56"/>
        </w:rPr>
        <w:t>ц</w:t>
      </w:r>
      <w:r w:rsidRPr="009F245E">
        <w:rPr>
          <w:kern w:val="56"/>
        </w:rPr>
        <w:t>итокіновий ди</w:t>
      </w:r>
      <w:r>
        <w:rPr>
          <w:kern w:val="56"/>
        </w:rPr>
        <w:t>с</w:t>
      </w:r>
      <w:r w:rsidRPr="009F245E">
        <w:rPr>
          <w:kern w:val="56"/>
        </w:rPr>
        <w:t>баланс.</w:t>
      </w:r>
      <w:r>
        <w:rPr>
          <w:kern w:val="56"/>
        </w:rPr>
        <w:t xml:space="preserve"> </w:t>
      </w:r>
      <w:r w:rsidRPr="009F245E">
        <w:rPr>
          <w:kern w:val="56"/>
        </w:rPr>
        <w:t xml:space="preserve">Включення до комплексу лікування </w:t>
      </w:r>
      <w:r>
        <w:t>урсодезоксихолевої килоти</w:t>
      </w:r>
      <w:r>
        <w:rPr>
          <w:kern w:val="56"/>
        </w:rPr>
        <w:t xml:space="preserve"> забезпечує поліпшення</w:t>
      </w:r>
      <w:r w:rsidRPr="009F245E">
        <w:rPr>
          <w:kern w:val="56"/>
        </w:rPr>
        <w:t xml:space="preserve"> </w:t>
      </w:r>
      <w:r>
        <w:rPr>
          <w:kern w:val="56"/>
        </w:rPr>
        <w:t>біохімічного складу жовчі, її реологічних властивостей,</w:t>
      </w:r>
      <w:r w:rsidRPr="009F245E">
        <w:rPr>
          <w:kern w:val="56"/>
        </w:rPr>
        <w:t xml:space="preserve"> норма</w:t>
      </w:r>
      <w:r>
        <w:rPr>
          <w:kern w:val="56"/>
        </w:rPr>
        <w:t>лізацію рівня холестерину крові та</w:t>
      </w:r>
      <w:r w:rsidRPr="004C5A4E">
        <w:rPr>
          <w:kern w:val="56"/>
        </w:rPr>
        <w:t xml:space="preserve"> </w:t>
      </w:r>
      <w:r>
        <w:rPr>
          <w:kern w:val="56"/>
        </w:rPr>
        <w:t xml:space="preserve">кінетики жовчовивідної системи. Спільне </w:t>
      </w:r>
      <w:r w:rsidRPr="009F245E">
        <w:rPr>
          <w:kern w:val="56"/>
        </w:rPr>
        <w:t xml:space="preserve">застосуванням глутаргіну та </w:t>
      </w:r>
      <w:r>
        <w:t>урсодезоксихолевої килоти</w:t>
      </w:r>
      <w:r w:rsidRPr="009F245E">
        <w:rPr>
          <w:kern w:val="56"/>
        </w:rPr>
        <w:t xml:space="preserve"> забезпечує </w:t>
      </w:r>
      <w:r>
        <w:rPr>
          <w:kern w:val="56"/>
        </w:rPr>
        <w:t xml:space="preserve">більш швидке та виражене </w:t>
      </w:r>
      <w:r w:rsidRPr="009F245E">
        <w:rPr>
          <w:kern w:val="56"/>
        </w:rPr>
        <w:t xml:space="preserve">зменшення запального, інтоксикаційного та цитолітичного синдромів, нормалізацію вмісту холестерину в крові та мікроелементів в еритроцитах, зменшення оксидативного стресу та цитокінового дисбалансу, </w:t>
      </w:r>
      <w:r>
        <w:rPr>
          <w:kern w:val="56"/>
        </w:rPr>
        <w:t>зменшення диспротеїнемії,</w:t>
      </w:r>
      <w:r w:rsidRPr="009F245E">
        <w:rPr>
          <w:kern w:val="56"/>
        </w:rPr>
        <w:t xml:space="preserve"> нормалізацію жовчоутворення і жовчовиділе</w:t>
      </w:r>
      <w:r>
        <w:rPr>
          <w:kern w:val="56"/>
        </w:rPr>
        <w:t>ння.</w:t>
      </w:r>
    </w:p>
    <w:p w:rsidR="00D14A0F" w:rsidRPr="009F245E" w:rsidRDefault="00D14A0F" w:rsidP="00415715">
      <w:pPr>
        <w:widowControl w:val="0"/>
        <w:numPr>
          <w:ilvl w:val="0"/>
          <w:numId w:val="41"/>
        </w:numPr>
        <w:spacing w:after="0" w:line="360" w:lineRule="auto"/>
        <w:jc w:val="both"/>
        <w:rPr>
          <w:kern w:val="56"/>
        </w:rPr>
      </w:pPr>
      <w:r>
        <w:rPr>
          <w:kern w:val="56"/>
        </w:rPr>
        <w:t xml:space="preserve">Поєднане застосування глутаргіну та </w:t>
      </w:r>
      <w:r>
        <w:t>урсодезоксихолевої кислоти</w:t>
      </w:r>
      <w:r>
        <w:rPr>
          <w:kern w:val="56"/>
        </w:rPr>
        <w:t xml:space="preserve"> в комплексі лікування хворих на хронічний некаменевий холецистит сприяє зменшенню</w:t>
      </w:r>
      <w:r w:rsidRPr="00867670">
        <w:rPr>
          <w:kern w:val="56"/>
        </w:rPr>
        <w:t xml:space="preserve"> </w:t>
      </w:r>
      <w:r w:rsidRPr="009F245E">
        <w:rPr>
          <w:kern w:val="56"/>
        </w:rPr>
        <w:t>частоти загострень та повторних госпіталізацій</w:t>
      </w:r>
      <w:r>
        <w:rPr>
          <w:kern w:val="56"/>
        </w:rPr>
        <w:t>, тривалій (упродовж 6 місяців) ремісії захворювання і дозволяє</w:t>
      </w:r>
      <w:r w:rsidRPr="00867670">
        <w:rPr>
          <w:kern w:val="56"/>
        </w:rPr>
        <w:t xml:space="preserve"> </w:t>
      </w:r>
      <w:r w:rsidRPr="009F245E">
        <w:rPr>
          <w:kern w:val="56"/>
        </w:rPr>
        <w:lastRenderedPageBreak/>
        <w:t>попередити утворення конкрементів</w:t>
      </w:r>
      <w:r>
        <w:rPr>
          <w:kern w:val="56"/>
        </w:rPr>
        <w:t xml:space="preserve"> у  жовчному міхурі.</w:t>
      </w:r>
    </w:p>
    <w:p w:rsidR="00D14A0F" w:rsidRDefault="00D14A0F" w:rsidP="00D14A0F">
      <w:pPr>
        <w:widowControl w:val="0"/>
        <w:spacing w:line="360" w:lineRule="auto"/>
        <w:jc w:val="center"/>
        <w:rPr>
          <w:b/>
        </w:rPr>
      </w:pPr>
    </w:p>
    <w:p w:rsidR="00D14A0F" w:rsidRPr="004C5A4E" w:rsidRDefault="00D14A0F" w:rsidP="00D14A0F">
      <w:pPr>
        <w:widowControl w:val="0"/>
        <w:spacing w:line="360" w:lineRule="auto"/>
        <w:jc w:val="center"/>
      </w:pPr>
      <w:r w:rsidRPr="00DF0BC1">
        <w:rPr>
          <w:b/>
        </w:rPr>
        <w:t>ПРАКТИЧНІ РЕКОМЕНДАЦІЇ</w:t>
      </w:r>
    </w:p>
    <w:p w:rsidR="00D14A0F" w:rsidRDefault="00D14A0F" w:rsidP="00415715">
      <w:pPr>
        <w:widowControl w:val="0"/>
        <w:numPr>
          <w:ilvl w:val="0"/>
          <w:numId w:val="40"/>
        </w:numPr>
        <w:tabs>
          <w:tab w:val="num" w:pos="1080"/>
        </w:tabs>
        <w:spacing w:after="0" w:line="360" w:lineRule="auto"/>
        <w:ind w:left="0" w:firstLine="708"/>
        <w:jc w:val="both"/>
      </w:pPr>
      <w:r>
        <w:t xml:space="preserve">У </w:t>
      </w:r>
      <w:r w:rsidRPr="00DF0BC1">
        <w:t>діагностичний комплекс хворих на ХНХ рекомендовано включ</w:t>
      </w:r>
      <w:r>
        <w:t>ати</w:t>
      </w:r>
      <w:r w:rsidRPr="00DF0BC1">
        <w:t xml:space="preserve"> дослідження рівня інтерлейкінів</w:t>
      </w:r>
      <w:r>
        <w:t xml:space="preserve"> </w:t>
      </w:r>
      <w:r>
        <w:rPr>
          <w:kern w:val="56"/>
        </w:rPr>
        <w:t xml:space="preserve">ФНП-α, ІЛ-1β та ІЛ-10 </w:t>
      </w:r>
      <w:r>
        <w:t>у</w:t>
      </w:r>
      <w:r w:rsidRPr="00DF0BC1">
        <w:t xml:space="preserve"> сироватці крові</w:t>
      </w:r>
      <w:r>
        <w:t>,</w:t>
      </w:r>
      <w:r w:rsidRPr="00DF0BC1">
        <w:t xml:space="preserve"> маркерів ендо</w:t>
      </w:r>
      <w:r>
        <w:t xml:space="preserve">генної інтоксикації </w:t>
      </w:r>
      <w:r w:rsidRPr="00DF0BC1">
        <w:t>та п</w:t>
      </w:r>
      <w:r>
        <w:t xml:space="preserve">оказників обміну мікроелементів у поєднанні з </w:t>
      </w:r>
      <w:r w:rsidRPr="00DF0BC1">
        <w:t>визначення</w:t>
      </w:r>
      <w:r>
        <w:t>м</w:t>
      </w:r>
      <w:r w:rsidRPr="00DF0BC1">
        <w:t xml:space="preserve"> літогенних властивостей жовчі.</w:t>
      </w:r>
    </w:p>
    <w:p w:rsidR="00D14A0F" w:rsidRDefault="00D14A0F" w:rsidP="00415715">
      <w:pPr>
        <w:widowControl w:val="0"/>
        <w:numPr>
          <w:ilvl w:val="0"/>
          <w:numId w:val="40"/>
        </w:numPr>
        <w:tabs>
          <w:tab w:val="num" w:pos="1080"/>
        </w:tabs>
        <w:spacing w:after="0" w:line="360" w:lineRule="auto"/>
        <w:ind w:left="0" w:firstLine="708"/>
        <w:jc w:val="both"/>
      </w:pPr>
      <w:r w:rsidRPr="00DF0BC1">
        <w:t xml:space="preserve">У хворих на ХНХ </w:t>
      </w:r>
      <w:r>
        <w:t>і</w:t>
      </w:r>
      <w:r w:rsidRPr="00DF0BC1">
        <w:t>з проявами запального</w:t>
      </w:r>
      <w:r>
        <w:t>,</w:t>
      </w:r>
      <w:r w:rsidRPr="00DF0BC1">
        <w:t xml:space="preserve"> цитолітичного синдромів та ознаками ендотоксемії </w:t>
      </w:r>
      <w:r>
        <w:t>доцільним є</w:t>
      </w:r>
      <w:r w:rsidRPr="00DF0BC1">
        <w:t xml:space="preserve"> </w:t>
      </w:r>
      <w:r>
        <w:t>використання</w:t>
      </w:r>
      <w:r w:rsidRPr="00DF0BC1">
        <w:t xml:space="preserve"> глутаргін</w:t>
      </w:r>
      <w:r>
        <w:t>у</w:t>
      </w:r>
      <w:r w:rsidRPr="00DF0BC1">
        <w:t xml:space="preserve"> довенно крапельно по 5</w:t>
      </w:r>
      <w:r>
        <w:t>,0</w:t>
      </w:r>
      <w:r w:rsidRPr="00DF0BC1">
        <w:t xml:space="preserve"> мл 40% р</w:t>
      </w:r>
      <w:r>
        <w:t>озчи</w:t>
      </w:r>
      <w:r w:rsidRPr="00DF0BC1">
        <w:t>ну з 200 мл фізіологічного р-ну двічі на добу</w:t>
      </w:r>
      <w:r w:rsidRPr="0054684C">
        <w:t xml:space="preserve"> </w:t>
      </w:r>
      <w:r>
        <w:t>упродовж</w:t>
      </w:r>
      <w:r w:rsidRPr="00DF0BC1">
        <w:t xml:space="preserve"> 5 днів</w:t>
      </w:r>
      <w:r>
        <w:t xml:space="preserve"> із подальшим переходом на прийом глутаргіну всередину</w:t>
      </w:r>
      <w:r w:rsidRPr="00DF0BC1">
        <w:t xml:space="preserve"> по </w:t>
      </w:r>
      <w:smartTag w:uri="urn:schemas-microsoft-com:office:smarttags" w:element="metricconverter">
        <w:smartTagPr>
          <w:attr w:name="ProductID" w:val="0,75 г"/>
        </w:smartTagPr>
        <w:r w:rsidRPr="00DF0BC1">
          <w:t>0,75 г</w:t>
        </w:r>
      </w:smartTag>
      <w:r w:rsidRPr="00DF0BC1">
        <w:t xml:space="preserve"> тричі на добу</w:t>
      </w:r>
      <w:r>
        <w:t xml:space="preserve"> 30 днів</w:t>
      </w:r>
      <w:r w:rsidRPr="00DF0BC1">
        <w:t>.</w:t>
      </w:r>
    </w:p>
    <w:p w:rsidR="00D14A0F" w:rsidRDefault="00D14A0F" w:rsidP="00415715">
      <w:pPr>
        <w:widowControl w:val="0"/>
        <w:numPr>
          <w:ilvl w:val="0"/>
          <w:numId w:val="40"/>
        </w:numPr>
        <w:tabs>
          <w:tab w:val="num" w:pos="1080"/>
        </w:tabs>
        <w:spacing w:after="0" w:line="360" w:lineRule="auto"/>
        <w:ind w:left="0" w:firstLine="708"/>
        <w:jc w:val="both"/>
      </w:pPr>
      <w:r>
        <w:t>Для</w:t>
      </w:r>
      <w:r w:rsidRPr="00DF0BC1">
        <w:t xml:space="preserve"> пацієнтів</w:t>
      </w:r>
      <w:r>
        <w:t xml:space="preserve"> з ХНХ</w:t>
      </w:r>
      <w:r w:rsidRPr="00DF0BC1">
        <w:t xml:space="preserve"> </w:t>
      </w:r>
      <w:r>
        <w:t>і</w:t>
      </w:r>
      <w:r w:rsidRPr="00DF0BC1">
        <w:t xml:space="preserve">з </w:t>
      </w:r>
      <w:r>
        <w:t>порушеннями біохімічного складу жовчі,</w:t>
      </w:r>
      <w:r w:rsidRPr="00DF0BC1">
        <w:t xml:space="preserve"> проявами холестазу та </w:t>
      </w:r>
      <w:r w:rsidRPr="007B6747">
        <w:t>ДЖВШ</w:t>
      </w:r>
      <w:r w:rsidRPr="00DF0BC1">
        <w:t xml:space="preserve"> необхідно призначати препарат УДХК </w:t>
      </w:r>
      <w:r>
        <w:t>у дозі 10 мг/кг/добу всередину 30 днів</w:t>
      </w:r>
      <w:r w:rsidRPr="00DF0BC1">
        <w:t xml:space="preserve">. </w:t>
      </w:r>
    </w:p>
    <w:p w:rsidR="00D14A0F" w:rsidRDefault="00D14A0F" w:rsidP="00415715">
      <w:pPr>
        <w:widowControl w:val="0"/>
        <w:numPr>
          <w:ilvl w:val="0"/>
          <w:numId w:val="40"/>
        </w:numPr>
        <w:tabs>
          <w:tab w:val="num" w:pos="1080"/>
        </w:tabs>
        <w:spacing w:after="0" w:line="360" w:lineRule="auto"/>
        <w:ind w:left="0" w:firstLine="708"/>
        <w:jc w:val="both"/>
      </w:pPr>
      <w:r>
        <w:t xml:space="preserve">Хворим на ХНХ </w:t>
      </w:r>
      <w:r w:rsidRPr="000B0CD9">
        <w:rPr>
          <w:bCs/>
        </w:rPr>
        <w:t>за наявності виражених запальн</w:t>
      </w:r>
      <w:r>
        <w:rPr>
          <w:bCs/>
        </w:rPr>
        <w:t>ого,</w:t>
      </w:r>
      <w:r w:rsidRPr="000B0CD9">
        <w:rPr>
          <w:bCs/>
        </w:rPr>
        <w:t xml:space="preserve"> інтоксикаційного синдромів</w:t>
      </w:r>
      <w:r>
        <w:rPr>
          <w:bCs/>
        </w:rPr>
        <w:t xml:space="preserve">, </w:t>
      </w:r>
      <w:r w:rsidRPr="000B0CD9">
        <w:rPr>
          <w:bCs/>
        </w:rPr>
        <w:t>диспроте</w:t>
      </w:r>
      <w:r>
        <w:rPr>
          <w:bCs/>
        </w:rPr>
        <w:t>ї</w:t>
      </w:r>
      <w:r w:rsidRPr="000B0CD9">
        <w:rPr>
          <w:bCs/>
        </w:rPr>
        <w:t>немії, цитокінового дисбалансу, оксидативного стресу</w:t>
      </w:r>
      <w:r>
        <w:rPr>
          <w:bCs/>
        </w:rPr>
        <w:t>, із</w:t>
      </w:r>
      <w:r w:rsidRPr="000B0CD9">
        <w:rPr>
          <w:bCs/>
        </w:rPr>
        <w:t xml:space="preserve"> порушенням жовчоутворення і жовчовиділення</w:t>
      </w:r>
      <w:r>
        <w:rPr>
          <w:bCs/>
        </w:rPr>
        <w:t xml:space="preserve"> та </w:t>
      </w:r>
      <w:r w:rsidRPr="000B0CD9">
        <w:rPr>
          <w:bCs/>
        </w:rPr>
        <w:t>з</w:t>
      </w:r>
      <w:r>
        <w:rPr>
          <w:bCs/>
        </w:rPr>
        <w:t>і з</w:t>
      </w:r>
      <w:r w:rsidRPr="000B0CD9">
        <w:rPr>
          <w:bCs/>
        </w:rPr>
        <w:t>начн</w:t>
      </w:r>
      <w:r>
        <w:rPr>
          <w:bCs/>
        </w:rPr>
        <w:t>ими</w:t>
      </w:r>
      <w:r w:rsidRPr="000B0CD9">
        <w:rPr>
          <w:bCs/>
        </w:rPr>
        <w:t xml:space="preserve"> порушення</w:t>
      </w:r>
      <w:r>
        <w:rPr>
          <w:bCs/>
        </w:rPr>
        <w:t xml:space="preserve">ми </w:t>
      </w:r>
      <w:r w:rsidRPr="000B0CD9">
        <w:rPr>
          <w:bCs/>
        </w:rPr>
        <w:t>обміну мікроелементів</w:t>
      </w:r>
      <w:r>
        <w:rPr>
          <w:bCs/>
        </w:rPr>
        <w:t xml:space="preserve"> обґрунтованим є поєднане застосування </w:t>
      </w:r>
      <w:r w:rsidRPr="00DF0BC1">
        <w:t>глутаргіну та УДХК.</w:t>
      </w:r>
    </w:p>
    <w:p w:rsidR="00D14A0F" w:rsidRPr="00DF0BC1" w:rsidRDefault="00D14A0F" w:rsidP="00D14A0F">
      <w:pPr>
        <w:adjustRightInd w:val="0"/>
        <w:snapToGrid w:val="0"/>
        <w:spacing w:line="360" w:lineRule="auto"/>
        <w:ind w:firstLine="709"/>
        <w:jc w:val="both"/>
      </w:pPr>
    </w:p>
    <w:p w:rsidR="00D14A0F" w:rsidRPr="00DF0BC1" w:rsidRDefault="00D14A0F" w:rsidP="00D14A0F">
      <w:pPr>
        <w:adjustRightInd w:val="0"/>
        <w:snapToGrid w:val="0"/>
        <w:spacing w:line="360" w:lineRule="auto"/>
        <w:ind w:firstLine="709"/>
        <w:jc w:val="both"/>
      </w:pPr>
    </w:p>
    <w:p w:rsidR="00D14A0F" w:rsidRPr="001A4311" w:rsidRDefault="00D14A0F" w:rsidP="00D14A0F">
      <w:pPr>
        <w:spacing w:line="360" w:lineRule="auto"/>
        <w:jc w:val="center"/>
        <w:rPr>
          <w:b/>
        </w:rPr>
      </w:pPr>
      <w:r w:rsidRPr="001A4311">
        <w:rPr>
          <w:b/>
        </w:rPr>
        <w:t>СПИСОК ОПУБЛІКОВАНИХ ПРАЦЬ ЗА ТЕМОЮ ДИСЕРТАЦІЇ</w:t>
      </w:r>
    </w:p>
    <w:p w:rsidR="00D14A0F" w:rsidRPr="005105A3" w:rsidRDefault="00D14A0F" w:rsidP="00D14A0F">
      <w:pPr>
        <w:spacing w:line="360" w:lineRule="auto"/>
        <w:jc w:val="both"/>
        <w:rPr>
          <w:szCs w:val="28"/>
        </w:rPr>
      </w:pPr>
      <w:r w:rsidRPr="006D7092">
        <w:rPr>
          <w:szCs w:val="28"/>
        </w:rPr>
        <w:t>1. Нейко Є. М. Клінічна ефективність глутаргіну в комплексному лікуванні хронічних некаменевих холециститів / Є. М. Нейко, У. В. Балан  // Збірник наукових праць співробітників НМАПО імені</w:t>
      </w:r>
      <w:r w:rsidRPr="005105A3">
        <w:rPr>
          <w:szCs w:val="28"/>
        </w:rPr>
        <w:t xml:space="preserve"> П. Л. Шупика.</w:t>
      </w:r>
      <w:r>
        <w:rPr>
          <w:kern w:val="56"/>
          <w:szCs w:val="28"/>
        </w:rPr>
        <w:t xml:space="preserve"> – 2007. – Вип. 16, кн.</w:t>
      </w:r>
      <w:r w:rsidRPr="005105A3">
        <w:rPr>
          <w:kern w:val="56"/>
          <w:szCs w:val="28"/>
        </w:rPr>
        <w:t xml:space="preserve"> 2. – С. 55–58. </w:t>
      </w:r>
      <w:r w:rsidRPr="005105A3">
        <w:rPr>
          <w:i/>
          <w:szCs w:val="28"/>
        </w:rPr>
        <w:t>Здобувачем проведено аналіз літератури, збір і аналіз матеріалу, оформлення статті до друку. Науковим керівником академіком АМН України Є.М. Нейком відредаговано висновки</w:t>
      </w:r>
      <w:r w:rsidRPr="005105A3">
        <w:rPr>
          <w:szCs w:val="28"/>
        </w:rPr>
        <w:t>.</w:t>
      </w:r>
    </w:p>
    <w:p w:rsidR="00D14A0F" w:rsidRPr="006D7092" w:rsidRDefault="00D14A0F" w:rsidP="00D14A0F">
      <w:pPr>
        <w:tabs>
          <w:tab w:val="num" w:pos="1080"/>
        </w:tabs>
        <w:spacing w:line="360" w:lineRule="auto"/>
        <w:jc w:val="both"/>
        <w:rPr>
          <w:kern w:val="56"/>
          <w:szCs w:val="28"/>
        </w:rPr>
      </w:pPr>
      <w:r w:rsidRPr="006D7092">
        <w:rPr>
          <w:kern w:val="56"/>
          <w:szCs w:val="28"/>
        </w:rPr>
        <w:t>2. Балан У. В. Динаміка ознак клініко-біохімічних синдромів у хворих на хронічний некаменевий холецистит у поцесі лікування глутаргіном, урсохол</w:t>
      </w:r>
      <w:r>
        <w:rPr>
          <w:kern w:val="56"/>
          <w:szCs w:val="28"/>
        </w:rPr>
        <w:t>о</w:t>
      </w:r>
      <w:r w:rsidRPr="006D7092">
        <w:rPr>
          <w:kern w:val="56"/>
          <w:szCs w:val="28"/>
        </w:rPr>
        <w:t>м та роксилідом / У. В. Балан  // Галицький лікарський вісник. – 2008. – № 4. – С. 5–8.</w:t>
      </w:r>
    </w:p>
    <w:p w:rsidR="00D14A0F" w:rsidRPr="006D7092" w:rsidRDefault="00D14A0F" w:rsidP="00D14A0F">
      <w:pPr>
        <w:adjustRightInd w:val="0"/>
        <w:snapToGrid w:val="0"/>
        <w:spacing w:line="360" w:lineRule="auto"/>
        <w:jc w:val="both"/>
        <w:rPr>
          <w:kern w:val="56"/>
          <w:szCs w:val="28"/>
        </w:rPr>
      </w:pPr>
      <w:r w:rsidRPr="006D7092">
        <w:rPr>
          <w:kern w:val="56"/>
          <w:szCs w:val="28"/>
        </w:rPr>
        <w:t>3. Балан У. В. Показники ліпопероксидації, ендотоксемії, цитокінового профілю та рівня мікроелементів у крові хворих на хронічний некалькульозний холецистит під впливом лікування глутаргіном, урсохолом та роксилідом / У. В. Балан // Буковинський медичний вісник. – 2009. – № 1. – С. 18–22.</w:t>
      </w:r>
    </w:p>
    <w:p w:rsidR="00D14A0F" w:rsidRPr="006D7092" w:rsidRDefault="00D14A0F" w:rsidP="00D14A0F">
      <w:pPr>
        <w:tabs>
          <w:tab w:val="num" w:pos="360"/>
        </w:tabs>
        <w:spacing w:line="360" w:lineRule="auto"/>
        <w:jc w:val="both"/>
        <w:rPr>
          <w:kern w:val="56"/>
          <w:szCs w:val="28"/>
        </w:rPr>
      </w:pPr>
      <w:r w:rsidRPr="006D7092">
        <w:rPr>
          <w:kern w:val="56"/>
          <w:szCs w:val="28"/>
        </w:rPr>
        <w:lastRenderedPageBreak/>
        <w:t>4. Балан У. В. Динаміка показників дуоденального дослідження та УЗД у хворих на хронічний некаменевий холецистит у процесі лікування глутаргіном, урсохолом, роксилідом / У. В. Балан // Архів клінічної  медицини – 2008. – № 2 (14). – С. 21– 23.</w:t>
      </w:r>
    </w:p>
    <w:p w:rsidR="00D14A0F" w:rsidRPr="005105A3" w:rsidRDefault="00D14A0F" w:rsidP="00D14A0F">
      <w:pPr>
        <w:spacing w:line="360" w:lineRule="auto"/>
        <w:jc w:val="both"/>
        <w:rPr>
          <w:kern w:val="56"/>
          <w:szCs w:val="28"/>
        </w:rPr>
      </w:pPr>
      <w:r w:rsidRPr="006D7092">
        <w:rPr>
          <w:kern w:val="56"/>
          <w:szCs w:val="28"/>
        </w:rPr>
        <w:t xml:space="preserve">5. </w:t>
      </w:r>
      <w:r w:rsidRPr="006D7092">
        <w:rPr>
          <w:iCs/>
        </w:rPr>
        <w:t>Нейко Є.М., Балан У. В. Ефективність застосування глутаргіну в комплексному лікуванні хронічних некаменевих холециститів</w:t>
      </w:r>
      <w:r w:rsidRPr="006D7092">
        <w:rPr>
          <w:szCs w:val="28"/>
        </w:rPr>
        <w:t xml:space="preserve"> : матеріали наук.-практ. конф. з міжнародною участю [”Хвороби печінки в практиці клініциста”], (Харків, 1-2 березня 2007) / </w:t>
      </w:r>
      <w:r w:rsidRPr="006D7092">
        <w:rPr>
          <w:spacing w:val="-4"/>
          <w:szCs w:val="28"/>
        </w:rPr>
        <w:t>М-во охорони здоров'я України, М-во освіти і науки, Академія медичних наук України, Харк. медична академія післядипломної освіти</w:t>
      </w:r>
      <w:r w:rsidRPr="005105A3">
        <w:rPr>
          <w:szCs w:val="28"/>
        </w:rPr>
        <w:t xml:space="preserve">. – Х.: </w:t>
      </w:r>
      <w:r w:rsidRPr="005105A3">
        <w:rPr>
          <w:spacing w:val="-4"/>
          <w:szCs w:val="28"/>
        </w:rPr>
        <w:t>Харк. медична академія післядипломної освіти, 2007.</w:t>
      </w:r>
      <w:r w:rsidRPr="005105A3">
        <w:rPr>
          <w:szCs w:val="28"/>
        </w:rPr>
        <w:t xml:space="preserve"> – С. 211–212.</w:t>
      </w:r>
      <w:r w:rsidRPr="005105A3">
        <w:rPr>
          <w:szCs w:val="28"/>
          <w:highlight w:val="yellow"/>
        </w:rPr>
        <w:t xml:space="preserve"> </w:t>
      </w:r>
      <w:r w:rsidRPr="005105A3">
        <w:rPr>
          <w:i/>
          <w:szCs w:val="28"/>
        </w:rPr>
        <w:t>Здобувачем проведено збір і аналіз матеріалу</w:t>
      </w:r>
      <w:r>
        <w:rPr>
          <w:i/>
          <w:szCs w:val="28"/>
        </w:rPr>
        <w:t>, підготовку</w:t>
      </w:r>
      <w:r w:rsidRPr="005105A3">
        <w:rPr>
          <w:i/>
          <w:szCs w:val="28"/>
        </w:rPr>
        <w:t xml:space="preserve"> до друку. </w:t>
      </w:r>
      <w:r>
        <w:rPr>
          <w:i/>
          <w:szCs w:val="28"/>
        </w:rPr>
        <w:t>Н</w:t>
      </w:r>
      <w:r w:rsidRPr="005105A3">
        <w:rPr>
          <w:i/>
          <w:szCs w:val="28"/>
        </w:rPr>
        <w:t xml:space="preserve">ауковим керівником академіком АМН України Є.М. Нейком </w:t>
      </w:r>
      <w:r>
        <w:rPr>
          <w:i/>
          <w:szCs w:val="28"/>
        </w:rPr>
        <w:t xml:space="preserve">запропоновано ідею роботи, </w:t>
      </w:r>
      <w:r w:rsidRPr="005105A3">
        <w:rPr>
          <w:i/>
          <w:szCs w:val="28"/>
        </w:rPr>
        <w:t xml:space="preserve">відредаговано </w:t>
      </w:r>
      <w:r>
        <w:rPr>
          <w:i/>
          <w:szCs w:val="28"/>
        </w:rPr>
        <w:t>тези</w:t>
      </w:r>
      <w:r w:rsidRPr="005105A3">
        <w:rPr>
          <w:szCs w:val="28"/>
        </w:rPr>
        <w:t>.</w:t>
      </w:r>
    </w:p>
    <w:p w:rsidR="00D14A0F" w:rsidRPr="006B3365" w:rsidRDefault="00D14A0F" w:rsidP="00D14A0F">
      <w:pPr>
        <w:tabs>
          <w:tab w:val="left" w:pos="0"/>
          <w:tab w:val="num" w:pos="1080"/>
        </w:tabs>
        <w:spacing w:line="360" w:lineRule="auto"/>
        <w:jc w:val="both"/>
        <w:rPr>
          <w:szCs w:val="28"/>
        </w:rPr>
      </w:pPr>
      <w:r>
        <w:rPr>
          <w:i/>
          <w:szCs w:val="28"/>
        </w:rPr>
        <w:t>6</w:t>
      </w:r>
      <w:r w:rsidRPr="006D7092">
        <w:rPr>
          <w:szCs w:val="28"/>
        </w:rPr>
        <w:t>. Балан У. В. Вплив урсохолу на біохімічні показники жовчі у хворих на хронічний некаменевий холецистит : матеріали науково-практичної конференції [”Медична наука: сучасні досягнення та інновації”], (Харків, 22 листопада 2007) / М-во охорони здоров'я України, Харк. медична академія післядипломної освіти. – Харків: Харк. медична академія післядипломної освіти, 2007.</w:t>
      </w:r>
      <w:r>
        <w:rPr>
          <w:szCs w:val="28"/>
        </w:rPr>
        <w:t xml:space="preserve"> – С. 8.</w:t>
      </w:r>
    </w:p>
    <w:p w:rsidR="00D14A0F" w:rsidRPr="006B3365" w:rsidRDefault="00D14A0F" w:rsidP="00D14A0F">
      <w:pPr>
        <w:tabs>
          <w:tab w:val="left" w:pos="0"/>
          <w:tab w:val="num" w:pos="1080"/>
        </w:tabs>
        <w:spacing w:line="360" w:lineRule="auto"/>
        <w:jc w:val="both"/>
        <w:rPr>
          <w:szCs w:val="28"/>
        </w:rPr>
      </w:pPr>
    </w:p>
    <w:p w:rsidR="00D14A0F" w:rsidRPr="001A4311" w:rsidRDefault="00D14A0F" w:rsidP="00D14A0F">
      <w:pPr>
        <w:spacing w:line="360" w:lineRule="auto"/>
        <w:jc w:val="center"/>
        <w:rPr>
          <w:b/>
          <w:szCs w:val="28"/>
        </w:rPr>
      </w:pPr>
      <w:r w:rsidRPr="001A4311">
        <w:rPr>
          <w:b/>
          <w:szCs w:val="28"/>
        </w:rPr>
        <w:t>АНОТАЦІЯ</w:t>
      </w:r>
    </w:p>
    <w:p w:rsidR="00D14A0F" w:rsidRPr="001A4311" w:rsidRDefault="00D14A0F" w:rsidP="00D14A0F">
      <w:pPr>
        <w:spacing w:line="360" w:lineRule="auto"/>
        <w:ind w:firstLine="720"/>
        <w:jc w:val="both"/>
        <w:rPr>
          <w:szCs w:val="28"/>
        </w:rPr>
      </w:pPr>
      <w:r w:rsidRPr="001A4311">
        <w:rPr>
          <w:b/>
          <w:szCs w:val="28"/>
        </w:rPr>
        <w:t>Балан У. В. Клініко-патогенетичні особливості комплексного лікування хронічних некаменевих холециститів</w:t>
      </w:r>
      <w:r w:rsidRPr="001A4311">
        <w:rPr>
          <w:szCs w:val="28"/>
        </w:rPr>
        <w:t>. – Рукопис.</w:t>
      </w:r>
    </w:p>
    <w:p w:rsidR="00D14A0F" w:rsidRDefault="00D14A0F" w:rsidP="00D14A0F">
      <w:pPr>
        <w:spacing w:line="360" w:lineRule="auto"/>
        <w:ind w:firstLine="720"/>
        <w:jc w:val="both"/>
        <w:rPr>
          <w:kern w:val="28"/>
        </w:rPr>
      </w:pPr>
      <w:r w:rsidRPr="001A4311">
        <w:rPr>
          <w:kern w:val="28"/>
        </w:rPr>
        <w:t>Дисертація на здобуття наукового ступеня кандидата медичних наук за спеціальністю 14.01.36 – гастроентерологія. Івано-Франківський національний медичний університет, Івано-Франківськ, 2009.</w:t>
      </w:r>
    </w:p>
    <w:p w:rsidR="00D14A0F" w:rsidRDefault="00D14A0F" w:rsidP="00D14A0F">
      <w:pPr>
        <w:spacing w:line="360" w:lineRule="auto"/>
        <w:ind w:firstLine="720"/>
        <w:jc w:val="both"/>
        <w:rPr>
          <w:kern w:val="28"/>
        </w:rPr>
      </w:pPr>
      <w:r>
        <w:rPr>
          <w:kern w:val="28"/>
        </w:rPr>
        <w:t xml:space="preserve">Дисертація присвячена питанням підвищення ефективності лікування хворих на хронічний некаменевий холецистит на основі вивчення </w:t>
      </w:r>
      <w:r>
        <w:rPr>
          <w:bCs/>
        </w:rPr>
        <w:t>клінічного перебігу</w:t>
      </w:r>
      <w:r w:rsidRPr="003D6BA4">
        <w:rPr>
          <w:bCs/>
        </w:rPr>
        <w:t>, патогенетичних механізмів розвитку і прогресування</w:t>
      </w:r>
      <w:r>
        <w:rPr>
          <w:bCs/>
        </w:rPr>
        <w:t xml:space="preserve"> недуги, </w:t>
      </w:r>
      <w:r w:rsidRPr="003D6BA4">
        <w:rPr>
          <w:bCs/>
        </w:rPr>
        <w:t>обґрунтування застосування у комплексном</w:t>
      </w:r>
      <w:r>
        <w:rPr>
          <w:bCs/>
        </w:rPr>
        <w:t>у лікуванні глутаргіну та УДХК та</w:t>
      </w:r>
      <w:r>
        <w:t xml:space="preserve"> вивчення </w:t>
      </w:r>
      <w:r w:rsidRPr="002277A2">
        <w:t>перебіг</w:t>
      </w:r>
      <w:r>
        <w:t>у</w:t>
      </w:r>
      <w:r w:rsidRPr="002277A2">
        <w:t xml:space="preserve"> ХНХ впродовж 6 місяців спостереження після курсу запропонованої терапії.</w:t>
      </w:r>
      <w:r>
        <w:rPr>
          <w:kern w:val="28"/>
        </w:rPr>
        <w:t xml:space="preserve"> </w:t>
      </w:r>
    </w:p>
    <w:p w:rsidR="00D14A0F" w:rsidRPr="001C429A" w:rsidRDefault="00D14A0F" w:rsidP="00D14A0F">
      <w:pPr>
        <w:spacing w:line="360" w:lineRule="auto"/>
        <w:ind w:firstLine="720"/>
        <w:jc w:val="both"/>
        <w:rPr>
          <w:kern w:val="28"/>
        </w:rPr>
      </w:pPr>
      <w:r>
        <w:rPr>
          <w:kern w:val="28"/>
        </w:rPr>
        <w:t xml:space="preserve">Обстежено 120 хворих на ХНХ та 15 практично здорових людей. </w:t>
      </w:r>
      <w:r>
        <w:rPr>
          <w:bCs/>
        </w:rPr>
        <w:t xml:space="preserve">Встановлено, що </w:t>
      </w:r>
      <w:r w:rsidRPr="00B27B56">
        <w:t xml:space="preserve">активація вільнорадикального окислення, розвиток синдрому </w:t>
      </w:r>
      <w:r>
        <w:t>ендогенної інтоксикації, зміни в</w:t>
      </w:r>
      <w:r w:rsidRPr="00B27B56">
        <w:t xml:space="preserve"> системі мікроелементів </w:t>
      </w:r>
      <w:r>
        <w:t>та цитокіновий дисбаланс є важливими ланками в</w:t>
      </w:r>
      <w:r w:rsidRPr="00B27B56">
        <w:t xml:space="preserve"> патогенезі </w:t>
      </w:r>
      <w:r>
        <w:t>ХНХ</w:t>
      </w:r>
      <w:r w:rsidRPr="00B27B56">
        <w:t>.</w:t>
      </w:r>
      <w:r>
        <w:rPr>
          <w:sz w:val="28"/>
          <w:szCs w:val="28"/>
        </w:rPr>
        <w:t xml:space="preserve"> </w:t>
      </w:r>
    </w:p>
    <w:p w:rsidR="00D14A0F" w:rsidRDefault="00D14A0F" w:rsidP="00D14A0F">
      <w:pPr>
        <w:spacing w:line="360" w:lineRule="auto"/>
        <w:ind w:firstLine="708"/>
        <w:jc w:val="both"/>
      </w:pPr>
      <w:r w:rsidRPr="00AA0F95">
        <w:rPr>
          <w:kern w:val="56"/>
        </w:rPr>
        <w:t xml:space="preserve">Розроблено </w:t>
      </w:r>
      <w:r>
        <w:rPr>
          <w:kern w:val="56"/>
        </w:rPr>
        <w:t>схему</w:t>
      </w:r>
      <w:r w:rsidRPr="00AA0F95">
        <w:rPr>
          <w:kern w:val="56"/>
        </w:rPr>
        <w:t xml:space="preserve"> лікування хворих на ХНХ </w:t>
      </w:r>
      <w:r>
        <w:rPr>
          <w:kern w:val="56"/>
        </w:rPr>
        <w:t>зі</w:t>
      </w:r>
      <w:r w:rsidRPr="00AA0F95">
        <w:rPr>
          <w:kern w:val="56"/>
        </w:rPr>
        <w:t xml:space="preserve"> застосуванням глутаргіну та УДХК</w:t>
      </w:r>
      <w:r w:rsidRPr="006B1BF4">
        <w:rPr>
          <w:kern w:val="56"/>
        </w:rPr>
        <w:t>.</w:t>
      </w:r>
      <w:r>
        <w:rPr>
          <w:kern w:val="56"/>
        </w:rPr>
        <w:t xml:space="preserve"> </w:t>
      </w:r>
      <w:r w:rsidRPr="00AA0F95">
        <w:rPr>
          <w:kern w:val="56"/>
        </w:rPr>
        <w:t xml:space="preserve">Застосований лікувальний підхід дає можливість отримати </w:t>
      </w:r>
      <w:r>
        <w:rPr>
          <w:kern w:val="56"/>
        </w:rPr>
        <w:t xml:space="preserve">упродовж </w:t>
      </w:r>
      <w:r w:rsidRPr="00AA0F95">
        <w:rPr>
          <w:kern w:val="56"/>
        </w:rPr>
        <w:t>6 місяців зменшення частоти загострень</w:t>
      </w:r>
      <w:r>
        <w:rPr>
          <w:kern w:val="56"/>
        </w:rPr>
        <w:t>,</w:t>
      </w:r>
      <w:r w:rsidRPr="00AA0F95">
        <w:rPr>
          <w:kern w:val="56"/>
        </w:rPr>
        <w:t xml:space="preserve"> попередити утворення конкрементів і підвищити клінічну ефективність лікування.</w:t>
      </w:r>
    </w:p>
    <w:p w:rsidR="00D14A0F" w:rsidRPr="00AA0F95" w:rsidRDefault="00D14A0F" w:rsidP="00D14A0F">
      <w:pPr>
        <w:spacing w:line="360" w:lineRule="auto"/>
        <w:ind w:firstLine="708"/>
        <w:jc w:val="both"/>
      </w:pPr>
      <w:r w:rsidRPr="00AA0F95">
        <w:rPr>
          <w:b/>
        </w:rPr>
        <w:lastRenderedPageBreak/>
        <w:t>Ключові слова:</w:t>
      </w:r>
      <w:r w:rsidRPr="00AA0F95">
        <w:t xml:space="preserve"> </w:t>
      </w:r>
      <w:r>
        <w:t>хронічний некаменевий холецистит, дуоденальне зондування, цитокіни, перекисне окислення ліпідів, мікроелементи, глутаргін, урсодезоксихолева кислота.</w:t>
      </w:r>
    </w:p>
    <w:p w:rsidR="00D14A0F" w:rsidRPr="009472A0" w:rsidRDefault="00D14A0F" w:rsidP="00D14A0F">
      <w:pPr>
        <w:spacing w:line="360" w:lineRule="auto"/>
        <w:ind w:firstLine="720"/>
        <w:jc w:val="center"/>
        <w:rPr>
          <w:b/>
          <w:highlight w:val="yellow"/>
        </w:rPr>
      </w:pPr>
    </w:p>
    <w:p w:rsidR="00D14A0F" w:rsidRPr="00F54792" w:rsidRDefault="00D14A0F" w:rsidP="00D14A0F">
      <w:pPr>
        <w:spacing w:line="360" w:lineRule="auto"/>
        <w:ind w:firstLine="720"/>
        <w:jc w:val="center"/>
        <w:rPr>
          <w:b/>
        </w:rPr>
      </w:pPr>
      <w:r w:rsidRPr="00F54792">
        <w:rPr>
          <w:b/>
        </w:rPr>
        <w:t>АННОТАЦИЯ</w:t>
      </w:r>
    </w:p>
    <w:p w:rsidR="00D14A0F" w:rsidRPr="001A4311" w:rsidRDefault="00D14A0F" w:rsidP="00D14A0F">
      <w:pPr>
        <w:spacing w:line="360" w:lineRule="auto"/>
        <w:ind w:firstLine="720"/>
        <w:jc w:val="both"/>
        <w:rPr>
          <w:szCs w:val="28"/>
        </w:rPr>
      </w:pPr>
      <w:r>
        <w:rPr>
          <w:b/>
          <w:szCs w:val="28"/>
        </w:rPr>
        <w:t>Балан У. В. Клини</w:t>
      </w:r>
      <w:r w:rsidRPr="001A4311">
        <w:rPr>
          <w:b/>
          <w:szCs w:val="28"/>
        </w:rPr>
        <w:t>ко-патогенетич</w:t>
      </w:r>
      <w:r>
        <w:rPr>
          <w:b/>
          <w:szCs w:val="28"/>
        </w:rPr>
        <w:t>еские</w:t>
      </w:r>
      <w:r w:rsidRPr="001A4311">
        <w:rPr>
          <w:b/>
          <w:szCs w:val="28"/>
        </w:rPr>
        <w:t xml:space="preserve"> особ</w:t>
      </w:r>
      <w:r>
        <w:rPr>
          <w:b/>
          <w:szCs w:val="28"/>
        </w:rPr>
        <w:t>енности комплексного лечения хронических некаменных</w:t>
      </w:r>
      <w:r w:rsidRPr="001A4311">
        <w:rPr>
          <w:b/>
          <w:szCs w:val="28"/>
        </w:rPr>
        <w:t xml:space="preserve"> холецистит</w:t>
      </w:r>
      <w:r>
        <w:rPr>
          <w:b/>
          <w:szCs w:val="28"/>
        </w:rPr>
        <w:t>ов</w:t>
      </w:r>
      <w:r w:rsidRPr="001A4311">
        <w:rPr>
          <w:szCs w:val="28"/>
        </w:rPr>
        <w:t>. – Рукопис</w:t>
      </w:r>
      <w:r>
        <w:rPr>
          <w:szCs w:val="28"/>
        </w:rPr>
        <w:t>ь</w:t>
      </w:r>
      <w:r w:rsidRPr="001A4311">
        <w:rPr>
          <w:szCs w:val="28"/>
        </w:rPr>
        <w:t>.</w:t>
      </w:r>
    </w:p>
    <w:p w:rsidR="00D14A0F" w:rsidRDefault="00D14A0F" w:rsidP="00D14A0F">
      <w:pPr>
        <w:spacing w:line="360" w:lineRule="auto"/>
        <w:ind w:firstLine="720"/>
        <w:jc w:val="both"/>
        <w:rPr>
          <w:kern w:val="28"/>
        </w:rPr>
      </w:pPr>
      <w:r w:rsidRPr="001A4311">
        <w:rPr>
          <w:kern w:val="28"/>
        </w:rPr>
        <w:t>Дис</w:t>
      </w:r>
      <w:r>
        <w:rPr>
          <w:kern w:val="28"/>
        </w:rPr>
        <w:t>сертация на соискание ученой степени кандидата медицинских наук по специальности 14.01.36 – гастроэнтерологи</w:t>
      </w:r>
      <w:r w:rsidRPr="001A4311">
        <w:rPr>
          <w:kern w:val="28"/>
        </w:rPr>
        <w:t xml:space="preserve">я. </w:t>
      </w:r>
      <w:r>
        <w:rPr>
          <w:kern w:val="28"/>
        </w:rPr>
        <w:t>Ивано-Франковский национальны</w:t>
      </w:r>
      <w:r w:rsidRPr="001A4311">
        <w:rPr>
          <w:kern w:val="28"/>
        </w:rPr>
        <w:t>й</w:t>
      </w:r>
      <w:r>
        <w:rPr>
          <w:kern w:val="28"/>
        </w:rPr>
        <w:t xml:space="preserve"> медицинский университет, Ивано-Франковс</w:t>
      </w:r>
      <w:r w:rsidRPr="001A4311">
        <w:rPr>
          <w:kern w:val="28"/>
        </w:rPr>
        <w:t>к, 2009.</w:t>
      </w:r>
    </w:p>
    <w:p w:rsidR="00D14A0F" w:rsidRPr="009C556A" w:rsidRDefault="00D14A0F" w:rsidP="00D14A0F">
      <w:pPr>
        <w:spacing w:line="360" w:lineRule="auto"/>
        <w:ind w:firstLine="720"/>
        <w:jc w:val="both"/>
        <w:rPr>
          <w:highlight w:val="yellow"/>
        </w:rPr>
      </w:pPr>
      <w:r>
        <w:rPr>
          <w:kern w:val="28"/>
        </w:rPr>
        <w:t xml:space="preserve">Диссертационная работа посвящена изучению вопросов повышения эффективности лечения больных хроническим некаменным холециститом на основе изучения клинической картины, патогенетических механизмов развития и прогресирования заболевания и обоснованию использования в комплексном лечении глутаргина и УДХК, а также изучению течения ХНХ в течении 6 месяцев после курса проведенного лечения. </w:t>
      </w:r>
    </w:p>
    <w:p w:rsidR="00D14A0F" w:rsidRDefault="00D14A0F" w:rsidP="00D14A0F">
      <w:pPr>
        <w:spacing w:line="360" w:lineRule="auto"/>
        <w:ind w:firstLine="720"/>
        <w:jc w:val="both"/>
      </w:pPr>
      <w:r>
        <w:rPr>
          <w:kern w:val="28"/>
        </w:rPr>
        <w:t>О</w:t>
      </w:r>
      <w:r w:rsidRPr="003208B4">
        <w:rPr>
          <w:kern w:val="28"/>
        </w:rPr>
        <w:t xml:space="preserve">бследовано120 больных на ХНХ и 15 практически здоровых людей </w:t>
      </w:r>
      <w:r>
        <w:rPr>
          <w:kern w:val="28"/>
        </w:rPr>
        <w:t xml:space="preserve"> </w:t>
      </w:r>
      <w:r w:rsidRPr="00FD4917">
        <w:rPr>
          <w:bCs/>
        </w:rPr>
        <w:t>Установлено</w:t>
      </w:r>
      <w:r w:rsidRPr="00FD4917">
        <w:rPr>
          <w:sz w:val="28"/>
          <w:szCs w:val="28"/>
        </w:rPr>
        <w:t xml:space="preserve">, </w:t>
      </w:r>
      <w:r w:rsidRPr="00FD4917">
        <w:t>що ХНХ характериз</w:t>
      </w:r>
      <w:r>
        <w:t>ир</w:t>
      </w:r>
      <w:r w:rsidRPr="00FD4917">
        <w:t>уе</w:t>
      </w:r>
      <w:r>
        <w:t>тся</w:t>
      </w:r>
      <w:r w:rsidRPr="00F409AD">
        <w:t xml:space="preserve"> клинической картиной воспалительного процесса </w:t>
      </w:r>
      <w:r>
        <w:t>в</w:t>
      </w:r>
      <w:r w:rsidRPr="00F409AD">
        <w:t xml:space="preserve"> желчном пузыре, </w:t>
      </w:r>
      <w:r>
        <w:t>который супровождается</w:t>
      </w:r>
      <w:r w:rsidRPr="00F409AD">
        <w:t xml:space="preserve"> функциональны</w:t>
      </w:r>
      <w:r>
        <w:t>ми</w:t>
      </w:r>
      <w:r w:rsidRPr="00F409AD">
        <w:t xml:space="preserve"> и структурн</w:t>
      </w:r>
      <w:r>
        <w:t>ыми его изменениями</w:t>
      </w:r>
      <w:r w:rsidRPr="00F409AD">
        <w:t>.</w:t>
      </w:r>
      <w:r>
        <w:t xml:space="preserve"> Для</w:t>
      </w:r>
      <w:r w:rsidRPr="00C10254">
        <w:t xml:space="preserve"> </w:t>
      </w:r>
      <w:r>
        <w:t>ХНХ характерно наличие болевого, диспептического</w:t>
      </w:r>
      <w:r w:rsidRPr="00885A0B">
        <w:t xml:space="preserve"> </w:t>
      </w:r>
      <w:r>
        <w:t>и</w:t>
      </w:r>
      <w:r w:rsidRPr="00885A0B">
        <w:t xml:space="preserve"> астено-вегетативного</w:t>
      </w:r>
      <w:r>
        <w:t xml:space="preserve"> синдромов. Среди клинических признаков важно отметить боль в правом </w:t>
      </w:r>
      <w:r w:rsidRPr="00ED683C">
        <w:t>подреберье,</w:t>
      </w:r>
      <w:r>
        <w:t xml:space="preserve"> тошноту, метеоризм, нарушение стула, положительные пузырные симптомы. У больных ХНХ происходит активация воспалительного синдрома, о котором свидетельствует повышение в крови уровня лейкоцитов, скорости оседания эритроцитов, повышение тимоловой пробы. При оценке кинетики желчного пузыря установлено у половины больных удлинение времени закрытого сфинктера Одди и у большинства –</w:t>
      </w:r>
      <w:r w:rsidRPr="008B6770">
        <w:t xml:space="preserve"> </w:t>
      </w:r>
      <w:r>
        <w:t xml:space="preserve">удлинение времени выделения пузырной желчи на фоне увеличения ее объёма. В биохимическом составе желчи обнаружено увеличение концентрации билирубина в порции В и уменьшение его в порции С. Уменьшение концентрации желчных кислот и увеличение уровня холестерина отмечено в </w:t>
      </w:r>
      <w:r w:rsidRPr="00B30876">
        <w:t>обеих</w:t>
      </w:r>
      <w:r>
        <w:t xml:space="preserve"> порциях желчи, що приводит к уменьшению холато-холестеринового коэфициента. При бактериологическом исследовании желчи у половины пациентов не наблюдалось роста патогенной флоры, а у 48% пациентов было выделено анаэробную флору. При ультразвуковом обследовании у больных диагностировали утолщение и уплонение стенок желчного пузыря, а у 88% больных возникла его деформация.</w:t>
      </w:r>
    </w:p>
    <w:p w:rsidR="00D14A0F" w:rsidRPr="005476E4" w:rsidRDefault="00D14A0F" w:rsidP="00D14A0F">
      <w:pPr>
        <w:spacing w:line="360" w:lineRule="auto"/>
        <w:ind w:firstLine="900"/>
        <w:jc w:val="both"/>
      </w:pPr>
      <w:r>
        <w:t xml:space="preserve">У больных ХНХ диагностировано наличие синдрома эндогенной интоксикации. Изучая цитокиновый профиль у пациентов на ХНХ, нами установлено увеличение уровня ФНО-α (фактора </w:t>
      </w:r>
      <w:r>
        <w:lastRenderedPageBreak/>
        <w:t>некроза опухоли α) и ИЛ-1β, и, напротив, снижение уровня ИЛ-10. Установлена кореляционная связь между</w:t>
      </w:r>
      <w:r w:rsidRPr="006C396F">
        <w:t xml:space="preserve"> </w:t>
      </w:r>
      <w:r>
        <w:t xml:space="preserve">ФНО-α та </w:t>
      </w:r>
      <w:r w:rsidRPr="00976128">
        <w:t>СМП</w:t>
      </w:r>
      <w:r>
        <w:rPr>
          <w:vertAlign w:val="subscript"/>
        </w:rPr>
        <w:t xml:space="preserve">, </w:t>
      </w:r>
      <w:r>
        <w:t xml:space="preserve">но сила их отличалась в зависимости от фракций: связь между уровнем ФНО-α и </w:t>
      </w:r>
      <w:r w:rsidRPr="00976128">
        <w:t>СМП</w:t>
      </w:r>
      <w:r w:rsidRPr="00976128">
        <w:rPr>
          <w:vertAlign w:val="subscript"/>
        </w:rPr>
        <w:t>2</w:t>
      </w:r>
      <w:r>
        <w:rPr>
          <w:vertAlign w:val="subscript"/>
        </w:rPr>
        <w:t xml:space="preserve">80 </w:t>
      </w:r>
      <w:r>
        <w:t xml:space="preserve">имела коэффициент </w:t>
      </w:r>
      <w:r w:rsidRPr="00A27A6A">
        <w:t>(</w:t>
      </w:r>
      <w:r w:rsidRPr="00A27A6A">
        <w:rPr>
          <w:lang w:val="en-US"/>
        </w:rPr>
        <w:t>r</w:t>
      </w:r>
      <w:r w:rsidRPr="00A27A6A">
        <w:t>=0,71; р</w:t>
      </w:r>
      <w:r>
        <w:t>&lt;0,001</w:t>
      </w:r>
      <w:r w:rsidRPr="00A27A6A">
        <w:t>)</w:t>
      </w:r>
      <w:r>
        <w:t xml:space="preserve">, тогда как между ФНО-α та </w:t>
      </w:r>
      <w:r w:rsidRPr="00976128">
        <w:t>СМП</w:t>
      </w:r>
      <w:r w:rsidRPr="00976128">
        <w:rPr>
          <w:vertAlign w:val="subscript"/>
        </w:rPr>
        <w:t>2</w:t>
      </w:r>
      <w:r>
        <w:rPr>
          <w:vertAlign w:val="subscript"/>
        </w:rPr>
        <w:t xml:space="preserve">54 </w:t>
      </w:r>
      <w:r>
        <w:t xml:space="preserve">– </w:t>
      </w:r>
      <w:r w:rsidRPr="00A27A6A">
        <w:t>(</w:t>
      </w:r>
      <w:r w:rsidRPr="00A27A6A">
        <w:rPr>
          <w:lang w:val="en-US"/>
        </w:rPr>
        <w:t>r</w:t>
      </w:r>
      <w:r w:rsidRPr="00A27A6A">
        <w:t>=0,30</w:t>
      </w:r>
      <w:r>
        <w:t xml:space="preserve">; р&gt;0,05). </w:t>
      </w:r>
      <w:r w:rsidRPr="005476E4">
        <w:t>Между содержанием про</w:t>
      </w:r>
      <w:r>
        <w:t>воспалительных цитокинов ФНО</w:t>
      </w:r>
      <w:r w:rsidRPr="005476E4">
        <w:t xml:space="preserve">-α и ИЛ-1β обнаружена прямая корреляционная связь </w:t>
      </w:r>
      <w:r>
        <w:t xml:space="preserve">с </w:t>
      </w:r>
      <w:r w:rsidRPr="005476E4">
        <w:t>(r=0,79; р</w:t>
      </w:r>
      <w:r>
        <w:t>&lt;</w:t>
      </w:r>
      <w:r w:rsidRPr="005476E4">
        <w:t>0,001), тогда как между уровнем ФН</w:t>
      </w:r>
      <w:r>
        <w:t>О</w:t>
      </w:r>
      <w:r w:rsidRPr="005476E4">
        <w:t>-α и противовоспалительного ИЛ-10 – (r=-0,31; р</w:t>
      </w:r>
      <w:r>
        <w:t>&lt;</w:t>
      </w:r>
      <w:r w:rsidRPr="005476E4">
        <w:t>0,05). Микроэлементный состав эритроцитов у больных на ХНХ характеризовался достоверным уменьшением содерж</w:t>
      </w:r>
      <w:r>
        <w:t>ания</w:t>
      </w:r>
      <w:r w:rsidRPr="005476E4">
        <w:t xml:space="preserve"> железа, </w:t>
      </w:r>
      <w:r>
        <w:t>магния</w:t>
      </w:r>
      <w:r w:rsidRPr="005476E4">
        <w:t xml:space="preserve">, </w:t>
      </w:r>
      <w:r>
        <w:t>цинка</w:t>
      </w:r>
      <w:r w:rsidRPr="005476E4">
        <w:t xml:space="preserve">, </w:t>
      </w:r>
      <w:r>
        <w:t>кальция</w:t>
      </w:r>
      <w:r w:rsidRPr="005476E4">
        <w:t xml:space="preserve"> и достоверным </w:t>
      </w:r>
      <w:r>
        <w:t>увеличением</w:t>
      </w:r>
      <w:r w:rsidRPr="005476E4">
        <w:t xml:space="preserve"> уровня </w:t>
      </w:r>
      <w:r>
        <w:t>меди</w:t>
      </w:r>
      <w:r w:rsidRPr="005476E4">
        <w:t>.</w:t>
      </w:r>
    </w:p>
    <w:p w:rsidR="00D14A0F" w:rsidRPr="000775B7" w:rsidRDefault="00D14A0F" w:rsidP="00D14A0F">
      <w:pPr>
        <w:spacing w:line="360" w:lineRule="auto"/>
        <w:ind w:firstLine="720"/>
        <w:jc w:val="both"/>
      </w:pPr>
      <w:r>
        <w:t>И</w:t>
      </w:r>
      <w:r w:rsidRPr="00EF3038">
        <w:t>зложенные результаты позво</w:t>
      </w:r>
      <w:r>
        <w:t xml:space="preserve">лили охарактеризовать ХНХ как </w:t>
      </w:r>
      <w:r w:rsidRPr="00EF3038">
        <w:t>боле</w:t>
      </w:r>
      <w:r>
        <w:t>знь</w:t>
      </w:r>
      <w:r w:rsidRPr="00EF3038">
        <w:t xml:space="preserve"> с </w:t>
      </w:r>
      <w:r>
        <w:t>наличием</w:t>
      </w:r>
      <w:r w:rsidRPr="00EF3038">
        <w:t xml:space="preserve"> воспалительного процесса в </w:t>
      </w:r>
      <w:r>
        <w:t>желчном пузыре</w:t>
      </w:r>
      <w:r w:rsidRPr="00EF3038">
        <w:t>, который сопровожда</w:t>
      </w:r>
      <w:r>
        <w:t>ет</w:t>
      </w:r>
      <w:r w:rsidRPr="00EF3038">
        <w:t>ся не только функциональными, но и структурными его изменениями. Также эт</w:t>
      </w:r>
      <w:r>
        <w:t>о</w:t>
      </w:r>
      <w:r w:rsidRPr="00EF3038">
        <w:t xml:space="preserve"> заболевание характеризовалось нарушением реологич</w:t>
      </w:r>
      <w:r>
        <w:t>еских</w:t>
      </w:r>
      <w:r w:rsidRPr="00EF3038">
        <w:t xml:space="preserve"> свойств желчи.</w:t>
      </w:r>
      <w:r w:rsidRPr="000775B7">
        <w:t xml:space="preserve"> </w:t>
      </w:r>
      <w:r w:rsidRPr="00EF3038">
        <w:rPr>
          <w:bCs/>
        </w:rPr>
        <w:t>Установлено, что активация свободнорадикального окисления, развитие синдрома эндогенной интоксикации, изменения в системе микроэлеме</w:t>
      </w:r>
      <w:r>
        <w:rPr>
          <w:bCs/>
        </w:rPr>
        <w:t>нтов</w:t>
      </w:r>
      <w:r w:rsidRPr="00EF3038">
        <w:rPr>
          <w:bCs/>
        </w:rPr>
        <w:t xml:space="preserve"> и цитокиновий дисбаланс</w:t>
      </w:r>
      <w:r>
        <w:rPr>
          <w:bCs/>
        </w:rPr>
        <w:t xml:space="preserve"> являю</w:t>
      </w:r>
      <w:r w:rsidRPr="00EF3038">
        <w:rPr>
          <w:bCs/>
        </w:rPr>
        <w:t>тся важными звеньями в патогенезе болезни. Подтверждены иммунные и неиммунные механизмы развития воспалительного процесса в стенке желчного пузыря.</w:t>
      </w:r>
    </w:p>
    <w:p w:rsidR="00D14A0F" w:rsidRPr="00F7449B" w:rsidRDefault="00D14A0F" w:rsidP="00D14A0F">
      <w:pPr>
        <w:adjustRightInd w:val="0"/>
        <w:snapToGrid w:val="0"/>
        <w:spacing w:line="360" w:lineRule="auto"/>
        <w:ind w:firstLine="720"/>
        <w:jc w:val="both"/>
      </w:pPr>
      <w:r w:rsidRPr="00F7449B">
        <w:t>Разработаны и апробированы схемы лечения больных ХНХ с использованием глутаргина, УДХК и их комбинации. Включение в схему лечения глутаргина показ</w:t>
      </w:r>
      <w:r>
        <w:t>а</w:t>
      </w:r>
      <w:r w:rsidRPr="00F7449B">
        <w:t>но для более быстрого купирования воспалительного, интоксикационного и цитолитического синдромов, а также для коррекции диспротеинемиии, нарушений в обмене микроелементов, устранения цитокинового дисбаланса и оксидативного стресса.</w:t>
      </w:r>
      <w:r>
        <w:t xml:space="preserve"> </w:t>
      </w:r>
      <w:r w:rsidRPr="00F7449B">
        <w:t>Использование УДХК дает возможность повлиять на нарушение кинетики желчевыводящей системы, перенасыщения желчи холестерином, увеличить содержание желчных кислот в желчи, уменьшить билиарный сладж и гиперхолестеринемию.</w:t>
      </w:r>
    </w:p>
    <w:p w:rsidR="00D14A0F" w:rsidRPr="00F7449B" w:rsidRDefault="00D14A0F" w:rsidP="00D14A0F">
      <w:pPr>
        <w:adjustRightInd w:val="0"/>
        <w:snapToGrid w:val="0"/>
        <w:spacing w:line="360" w:lineRule="auto"/>
        <w:ind w:firstLine="720"/>
        <w:jc w:val="both"/>
      </w:pPr>
      <w:r w:rsidRPr="00F7449B">
        <w:t>Использование в лечении больных на ХНХ глутаргина и УДХК позволяет снизить интенсивность липопероксидации и эндотоксемии, уменьшить напряжение в роботе антиоксидантной системы, минимизировать нарушение обмена микроэлементов</w:t>
      </w:r>
      <w:r>
        <w:t>,</w:t>
      </w:r>
      <w:r w:rsidRPr="00F7449B">
        <w:t xml:space="preserve"> устранить дисбаланс в системе цитокинов, то есть </w:t>
      </w:r>
      <w:r>
        <w:t>имеет</w:t>
      </w:r>
      <w:r w:rsidRPr="00F7449B">
        <w:t xml:space="preserve"> противовоспалительное, антиоксидантное и им</w:t>
      </w:r>
      <w:r>
        <w:t>уномодулирую</w:t>
      </w:r>
      <w:r w:rsidRPr="00F7449B">
        <w:t>щее действие</w:t>
      </w:r>
      <w:r>
        <w:t xml:space="preserve">, позволяет улучшить </w:t>
      </w:r>
      <w:r w:rsidRPr="00F7449B">
        <w:t>желчеобразовани</w:t>
      </w:r>
      <w:r>
        <w:t>е</w:t>
      </w:r>
      <w:r w:rsidRPr="00F7449B">
        <w:t xml:space="preserve"> и желчеотделени</w:t>
      </w:r>
      <w:r>
        <w:t>е,</w:t>
      </w:r>
      <w:r w:rsidRPr="0035421B">
        <w:t xml:space="preserve"> </w:t>
      </w:r>
      <w:r>
        <w:t xml:space="preserve">устранить </w:t>
      </w:r>
      <w:r w:rsidRPr="00F7449B">
        <w:t>нарушения</w:t>
      </w:r>
      <w:r>
        <w:t xml:space="preserve"> в </w:t>
      </w:r>
      <w:r w:rsidRPr="00F7449B">
        <w:t>обмен</w:t>
      </w:r>
      <w:r>
        <w:t>е</w:t>
      </w:r>
      <w:r w:rsidRPr="00F7449B">
        <w:t xml:space="preserve"> микроэлементов. </w:t>
      </w:r>
    </w:p>
    <w:p w:rsidR="00D14A0F" w:rsidRPr="00EF3038" w:rsidRDefault="00D14A0F" w:rsidP="00D14A0F">
      <w:pPr>
        <w:spacing w:line="360" w:lineRule="auto"/>
        <w:ind w:firstLine="720"/>
        <w:jc w:val="both"/>
      </w:pPr>
      <w:r w:rsidRPr="00F7449B">
        <w:t xml:space="preserve">Анализ клинической симптоматики на протяжении 6 месяцев после проведенного лечения подтвердил действенность разработанных лечебных подходов. Комплексное лечение больных на ХНХ позволило существенно уменьшить количество повторных обострений, предупредить образование конкрементов, что в целом </w:t>
      </w:r>
      <w:r>
        <w:t>свидетельствует о повышении</w:t>
      </w:r>
      <w:r w:rsidRPr="00F7449B">
        <w:t xml:space="preserve"> эффективности лечения таких больных.</w:t>
      </w:r>
    </w:p>
    <w:p w:rsidR="00D14A0F" w:rsidRPr="00AA0F95" w:rsidRDefault="00D14A0F" w:rsidP="00D14A0F">
      <w:pPr>
        <w:spacing w:line="360" w:lineRule="auto"/>
        <w:ind w:firstLine="720"/>
        <w:jc w:val="both"/>
      </w:pPr>
      <w:r w:rsidRPr="00C51A69">
        <w:rPr>
          <w:b/>
        </w:rPr>
        <w:lastRenderedPageBreak/>
        <w:t>Ключевые слова:</w:t>
      </w:r>
      <w:r w:rsidRPr="00C51A69">
        <w:t xml:space="preserve"> </w:t>
      </w:r>
      <w:r w:rsidRPr="00EC54BE">
        <w:t>хронический некаменный холецистит, д</w:t>
      </w:r>
      <w:r>
        <w:t>уоденальное зондирование, циток</w:t>
      </w:r>
      <w:r w:rsidRPr="00EC54BE">
        <w:t>и</w:t>
      </w:r>
      <w:r>
        <w:t>н</w:t>
      </w:r>
      <w:r w:rsidRPr="00EC54BE">
        <w:t xml:space="preserve">ы, </w:t>
      </w:r>
      <w:r>
        <w:t>свободнорадикальное окисление, микроэлементы, глутаргин, урсодезоксихолевая кислота.</w:t>
      </w:r>
    </w:p>
    <w:p w:rsidR="00D14A0F" w:rsidRDefault="00D14A0F" w:rsidP="00D14A0F">
      <w:pPr>
        <w:spacing w:line="360" w:lineRule="auto"/>
        <w:ind w:firstLine="720"/>
        <w:jc w:val="center"/>
        <w:rPr>
          <w:b/>
        </w:rPr>
      </w:pPr>
    </w:p>
    <w:p w:rsidR="00D14A0F" w:rsidRPr="00AA0F95" w:rsidRDefault="00D14A0F" w:rsidP="00D14A0F">
      <w:pPr>
        <w:spacing w:line="360" w:lineRule="auto"/>
        <w:jc w:val="both"/>
      </w:pPr>
    </w:p>
    <w:p w:rsidR="00D14A0F" w:rsidRPr="00D14A0F" w:rsidRDefault="00D14A0F" w:rsidP="00D14A0F">
      <w:pPr>
        <w:spacing w:line="360" w:lineRule="auto"/>
        <w:ind w:firstLine="720"/>
        <w:jc w:val="center"/>
        <w:rPr>
          <w:b/>
          <w:lang w:val="en-US"/>
        </w:rPr>
      </w:pPr>
      <w:r w:rsidRPr="00D14A0F">
        <w:rPr>
          <w:b/>
          <w:lang w:val="en-US"/>
        </w:rPr>
        <w:t>ANNOTATION</w:t>
      </w:r>
    </w:p>
    <w:p w:rsidR="00D14A0F" w:rsidRDefault="00D14A0F" w:rsidP="00D14A0F">
      <w:pPr>
        <w:spacing w:line="360" w:lineRule="auto"/>
        <w:ind w:firstLine="720"/>
        <w:jc w:val="both"/>
        <w:rPr>
          <w:lang w:val="en-US"/>
        </w:rPr>
      </w:pPr>
      <w:r w:rsidRPr="00D14A0F">
        <w:rPr>
          <w:b/>
          <w:lang w:val="en-US"/>
        </w:rPr>
        <w:t xml:space="preserve">Balan U. V. </w:t>
      </w:r>
      <w:r w:rsidRPr="000C1156">
        <w:rPr>
          <w:b/>
          <w:lang w:val="en-GB"/>
        </w:rPr>
        <w:t>Clinical and pathogenetical</w:t>
      </w:r>
      <w:r w:rsidRPr="00D14A0F">
        <w:rPr>
          <w:b/>
          <w:lang w:val="en-US"/>
        </w:rPr>
        <w:t xml:space="preserve"> feature</w:t>
      </w:r>
      <w:r w:rsidRPr="000C1156">
        <w:rPr>
          <w:b/>
          <w:lang w:val="en-US"/>
        </w:rPr>
        <w:t>s</w:t>
      </w:r>
      <w:r w:rsidRPr="00D14A0F">
        <w:rPr>
          <w:b/>
          <w:lang w:val="en-US"/>
        </w:rPr>
        <w:t xml:space="preserve"> of </w:t>
      </w:r>
      <w:r w:rsidRPr="000C1156">
        <w:rPr>
          <w:b/>
          <w:lang w:val="en-US"/>
        </w:rPr>
        <w:t>treatment</w:t>
      </w:r>
      <w:r w:rsidRPr="00D14A0F">
        <w:rPr>
          <w:b/>
          <w:lang w:val="en-US"/>
        </w:rPr>
        <w:t xml:space="preserve"> of chronic </w:t>
      </w:r>
      <w:r w:rsidRPr="000C1156">
        <w:rPr>
          <w:b/>
          <w:lang w:val="en-US"/>
        </w:rPr>
        <w:t>acalculous</w:t>
      </w:r>
      <w:r w:rsidRPr="00D14A0F">
        <w:rPr>
          <w:b/>
          <w:lang w:val="en-US"/>
        </w:rPr>
        <w:t xml:space="preserve"> cholecystitis. </w:t>
      </w:r>
      <w:r w:rsidRPr="00D14A0F">
        <w:rPr>
          <w:lang w:val="en-US"/>
        </w:rPr>
        <w:t xml:space="preserve">– </w:t>
      </w:r>
      <w:r w:rsidRPr="003015C1">
        <w:rPr>
          <w:lang w:val="en-US"/>
        </w:rPr>
        <w:t>A manuscript</w:t>
      </w:r>
      <w:r>
        <w:rPr>
          <w:lang w:val="en-US"/>
        </w:rPr>
        <w:t>.</w:t>
      </w:r>
    </w:p>
    <w:p w:rsidR="00D14A0F" w:rsidRDefault="00D14A0F" w:rsidP="00D14A0F">
      <w:pPr>
        <w:spacing w:line="360" w:lineRule="auto"/>
        <w:ind w:firstLine="720"/>
        <w:jc w:val="both"/>
        <w:rPr>
          <w:lang w:val="en-US"/>
        </w:rPr>
      </w:pPr>
      <w:r>
        <w:rPr>
          <w:lang w:val="en-US"/>
        </w:rPr>
        <w:t>Thesis for the scientific degree of a Candidate of Medical Sciences in speciality 14.01.36 – Gastroenterology</w:t>
      </w:r>
      <w:r w:rsidRPr="00F40695">
        <w:rPr>
          <w:lang w:val="en-GB"/>
        </w:rPr>
        <w:t>.</w:t>
      </w:r>
      <w:r w:rsidRPr="0035421B">
        <w:rPr>
          <w:lang w:val="en-GB"/>
        </w:rPr>
        <w:t xml:space="preserve"> </w:t>
      </w:r>
      <w:r w:rsidRPr="00D14A0F">
        <w:rPr>
          <w:lang w:val="en-US"/>
        </w:rPr>
        <w:t xml:space="preserve">Ivano-Frankivsk </w:t>
      </w:r>
      <w:r>
        <w:rPr>
          <w:lang w:val="en-US"/>
        </w:rPr>
        <w:t>N</w:t>
      </w:r>
      <w:r w:rsidRPr="00D14A0F">
        <w:rPr>
          <w:lang w:val="en-US"/>
        </w:rPr>
        <w:t xml:space="preserve">ational </w:t>
      </w:r>
      <w:r>
        <w:rPr>
          <w:lang w:val="en-US"/>
        </w:rPr>
        <w:t>M</w:t>
      </w:r>
      <w:r w:rsidRPr="00D14A0F">
        <w:rPr>
          <w:lang w:val="en-US"/>
        </w:rPr>
        <w:t xml:space="preserve">edical </w:t>
      </w:r>
      <w:r>
        <w:rPr>
          <w:lang w:val="en-US"/>
        </w:rPr>
        <w:t>U</w:t>
      </w:r>
      <w:r w:rsidRPr="00D14A0F">
        <w:rPr>
          <w:lang w:val="en-US"/>
        </w:rPr>
        <w:t>niversity, Ivano-Frankivsk, 2009.</w:t>
      </w:r>
    </w:p>
    <w:p w:rsidR="00D14A0F" w:rsidRDefault="00D14A0F" w:rsidP="00D14A0F">
      <w:pPr>
        <w:spacing w:line="360" w:lineRule="auto"/>
        <w:ind w:firstLine="720"/>
        <w:jc w:val="both"/>
        <w:rPr>
          <w:lang w:val="en-US"/>
        </w:rPr>
      </w:pPr>
      <w:r w:rsidRPr="000C1156">
        <w:rPr>
          <w:lang w:val="en-US"/>
        </w:rPr>
        <w:t xml:space="preserve">Dissertation is devoted the questions of increase of efficiency of treatment of patients with a chronic </w:t>
      </w:r>
      <w:r w:rsidRPr="00F56C71">
        <w:rPr>
          <w:lang w:val="en-US"/>
        </w:rPr>
        <w:t>acalculous cholecystitis</w:t>
      </w:r>
      <w:r w:rsidRPr="00D14A0F">
        <w:rPr>
          <w:lang w:val="en-US"/>
        </w:rPr>
        <w:t xml:space="preserve"> </w:t>
      </w:r>
      <w:r>
        <w:rPr>
          <w:lang w:val="en-US"/>
        </w:rPr>
        <w:t>(CAC</w:t>
      </w:r>
      <w:r w:rsidRPr="00D14A0F">
        <w:rPr>
          <w:lang w:val="en-US"/>
        </w:rPr>
        <w:t>)</w:t>
      </w:r>
      <w:r w:rsidRPr="000C1156">
        <w:rPr>
          <w:lang w:val="en-US"/>
        </w:rPr>
        <w:t xml:space="preserve"> on the basis of study of clinical motion of disease, </w:t>
      </w:r>
      <w:r>
        <w:rPr>
          <w:lang w:val="en-US"/>
        </w:rPr>
        <w:t>pathogenetical</w:t>
      </w:r>
      <w:r w:rsidRPr="000C1156">
        <w:rPr>
          <w:lang w:val="en-US"/>
        </w:rPr>
        <w:t xml:space="preserve"> mechanisms of development and ground of application</w:t>
      </w:r>
      <w:r>
        <w:rPr>
          <w:lang w:val="en-US"/>
        </w:rPr>
        <w:t xml:space="preserve"> </w:t>
      </w:r>
      <w:r w:rsidRPr="000C1156">
        <w:rPr>
          <w:lang w:val="en-US"/>
        </w:rPr>
        <w:t xml:space="preserve">of </w:t>
      </w:r>
      <w:r>
        <w:rPr>
          <w:lang w:val="en-US"/>
        </w:rPr>
        <w:t>G</w:t>
      </w:r>
      <w:r w:rsidRPr="000C1156">
        <w:rPr>
          <w:lang w:val="en-US"/>
        </w:rPr>
        <w:t xml:space="preserve">lutargin and </w:t>
      </w:r>
      <w:r>
        <w:rPr>
          <w:lang w:val="en-US"/>
        </w:rPr>
        <w:t>Ursode</w:t>
      </w:r>
      <w:r w:rsidRPr="000C1156">
        <w:rPr>
          <w:lang w:val="en-US"/>
        </w:rPr>
        <w:t>o</w:t>
      </w:r>
      <w:r>
        <w:rPr>
          <w:lang w:val="en-US"/>
        </w:rPr>
        <w:t>xycholic Acid</w:t>
      </w:r>
      <w:r w:rsidRPr="000C1156">
        <w:rPr>
          <w:lang w:val="en-US"/>
        </w:rPr>
        <w:t xml:space="preserve"> </w:t>
      </w:r>
      <w:r>
        <w:rPr>
          <w:lang w:val="en-US"/>
        </w:rPr>
        <w:t>(</w:t>
      </w:r>
      <w:r w:rsidRPr="000C1156">
        <w:rPr>
          <w:lang w:val="en-US"/>
        </w:rPr>
        <w:t>UD</w:t>
      </w:r>
      <w:r>
        <w:rPr>
          <w:lang w:val="en-US"/>
        </w:rPr>
        <w:t>CA)</w:t>
      </w:r>
      <w:r w:rsidRPr="000C1156">
        <w:rPr>
          <w:lang w:val="en-US"/>
        </w:rPr>
        <w:t xml:space="preserve">. </w:t>
      </w:r>
      <w:r>
        <w:rPr>
          <w:lang w:val="en-US"/>
        </w:rPr>
        <w:t>The m</w:t>
      </w:r>
      <w:r w:rsidRPr="000C1156">
        <w:rPr>
          <w:lang w:val="en-US"/>
        </w:rPr>
        <w:t xml:space="preserve">otion of </w:t>
      </w:r>
      <w:r>
        <w:rPr>
          <w:lang w:val="en-US"/>
        </w:rPr>
        <w:t>CAC</w:t>
      </w:r>
      <w:r w:rsidRPr="000C1156">
        <w:rPr>
          <w:lang w:val="en-US"/>
        </w:rPr>
        <w:t xml:space="preserve"> during 6 months of supervision after the course of the offered therapy</w:t>
      </w:r>
      <w:r>
        <w:rPr>
          <w:lang w:val="en-US"/>
        </w:rPr>
        <w:t xml:space="preserve"> was studied</w:t>
      </w:r>
      <w:r w:rsidRPr="000C1156">
        <w:rPr>
          <w:lang w:val="en-US"/>
        </w:rPr>
        <w:t>.</w:t>
      </w:r>
    </w:p>
    <w:p w:rsidR="00D14A0F" w:rsidRDefault="00D14A0F" w:rsidP="00D14A0F">
      <w:pPr>
        <w:spacing w:line="360" w:lineRule="auto"/>
        <w:ind w:firstLine="720"/>
        <w:jc w:val="both"/>
        <w:rPr>
          <w:lang w:val="en-US"/>
        </w:rPr>
      </w:pPr>
      <w:r w:rsidRPr="000C1156">
        <w:rPr>
          <w:lang w:val="en-US"/>
        </w:rPr>
        <w:t xml:space="preserve">120 patients </w:t>
      </w:r>
      <w:r>
        <w:rPr>
          <w:lang w:val="en-US"/>
        </w:rPr>
        <w:t>with CAC</w:t>
      </w:r>
      <w:r w:rsidRPr="000C1156">
        <w:rPr>
          <w:lang w:val="en-US"/>
        </w:rPr>
        <w:t xml:space="preserve"> and 15 practically healthy people </w:t>
      </w:r>
      <w:r>
        <w:rPr>
          <w:lang w:val="en-US"/>
        </w:rPr>
        <w:t>were examined</w:t>
      </w:r>
      <w:r w:rsidRPr="000C1156">
        <w:rPr>
          <w:lang w:val="en-US"/>
        </w:rPr>
        <w:t>. It is set that activation of free-radical oxidization, development of endogenous intoxication</w:t>
      </w:r>
      <w:r w:rsidRPr="004B7016">
        <w:rPr>
          <w:lang w:val="en-US"/>
        </w:rPr>
        <w:t xml:space="preserve"> </w:t>
      </w:r>
      <w:r w:rsidRPr="000C1156">
        <w:rPr>
          <w:lang w:val="en-US"/>
        </w:rPr>
        <w:t>syndrome, change</w:t>
      </w:r>
      <w:r>
        <w:rPr>
          <w:lang w:val="en-US"/>
        </w:rPr>
        <w:t>s</w:t>
      </w:r>
      <w:r w:rsidRPr="000C1156">
        <w:rPr>
          <w:lang w:val="en-US"/>
        </w:rPr>
        <w:t xml:space="preserve"> in the system of </w:t>
      </w:r>
      <w:r>
        <w:rPr>
          <w:lang w:val="en-US"/>
        </w:rPr>
        <w:t>micro</w:t>
      </w:r>
      <w:r w:rsidRPr="000C1156">
        <w:rPr>
          <w:lang w:val="en-US"/>
        </w:rPr>
        <w:t>elements and c</w:t>
      </w:r>
      <w:r>
        <w:rPr>
          <w:lang w:val="en-US"/>
        </w:rPr>
        <w:t>y</w:t>
      </w:r>
      <w:r w:rsidRPr="000C1156">
        <w:rPr>
          <w:lang w:val="en-US"/>
        </w:rPr>
        <w:t>tokin d</w:t>
      </w:r>
      <w:r>
        <w:rPr>
          <w:lang w:val="en-US"/>
        </w:rPr>
        <w:t>y</w:t>
      </w:r>
      <w:r w:rsidRPr="000C1156">
        <w:rPr>
          <w:lang w:val="en-US"/>
        </w:rPr>
        <w:t>sbalance is important links in pathogen</w:t>
      </w:r>
      <w:r>
        <w:rPr>
          <w:lang w:val="en-US"/>
        </w:rPr>
        <w:t>esis</w:t>
      </w:r>
      <w:r w:rsidRPr="000C1156">
        <w:rPr>
          <w:lang w:val="en-US"/>
        </w:rPr>
        <w:t xml:space="preserve"> of illness. </w:t>
      </w:r>
    </w:p>
    <w:p w:rsidR="00D14A0F" w:rsidRDefault="00D14A0F" w:rsidP="00D14A0F">
      <w:pPr>
        <w:spacing w:line="360" w:lineRule="auto"/>
        <w:ind w:firstLine="720"/>
        <w:jc w:val="both"/>
        <w:rPr>
          <w:lang w:val="en-US"/>
        </w:rPr>
      </w:pPr>
      <w:r w:rsidRPr="000C1156">
        <w:rPr>
          <w:lang w:val="en-US"/>
        </w:rPr>
        <w:t>The algorithm of treatment of patients</w:t>
      </w:r>
      <w:r>
        <w:rPr>
          <w:lang w:val="en-US"/>
        </w:rPr>
        <w:t xml:space="preserve"> with CAC </w:t>
      </w:r>
      <w:r w:rsidRPr="000C1156">
        <w:rPr>
          <w:lang w:val="en-US"/>
        </w:rPr>
        <w:t>is developed</w:t>
      </w:r>
      <w:r>
        <w:rPr>
          <w:lang w:val="en-US"/>
        </w:rPr>
        <w:t xml:space="preserve"> </w:t>
      </w:r>
      <w:r w:rsidRPr="000C1156">
        <w:rPr>
          <w:lang w:val="en-US"/>
        </w:rPr>
        <w:t>with the use</w:t>
      </w:r>
      <w:r>
        <w:rPr>
          <w:lang w:val="en-US"/>
        </w:rPr>
        <w:t xml:space="preserve"> </w:t>
      </w:r>
      <w:r w:rsidRPr="000C1156">
        <w:rPr>
          <w:lang w:val="en-US"/>
        </w:rPr>
        <w:t xml:space="preserve">of </w:t>
      </w:r>
      <w:r>
        <w:rPr>
          <w:lang w:val="en-US"/>
        </w:rPr>
        <w:t>G</w:t>
      </w:r>
      <w:r w:rsidRPr="000C1156">
        <w:rPr>
          <w:lang w:val="en-US"/>
        </w:rPr>
        <w:t>lutargin and UD</w:t>
      </w:r>
      <w:r>
        <w:rPr>
          <w:lang w:val="en-US"/>
        </w:rPr>
        <w:t xml:space="preserve">CA. </w:t>
      </w:r>
      <w:r w:rsidRPr="000C1156">
        <w:rPr>
          <w:lang w:val="en-US"/>
        </w:rPr>
        <w:t xml:space="preserve">Applied medical approach is given by possibility to get diminishing of frequency of sharpening </w:t>
      </w:r>
      <w:r>
        <w:rPr>
          <w:lang w:val="en-US"/>
        </w:rPr>
        <w:t>during next</w:t>
      </w:r>
      <w:r w:rsidRPr="000C1156">
        <w:rPr>
          <w:lang w:val="en-US"/>
        </w:rPr>
        <w:t xml:space="preserve"> 6 months, to warn formation of concrements and to promote clinical efficiency of treatment.</w:t>
      </w:r>
    </w:p>
    <w:p w:rsidR="00D14A0F" w:rsidRPr="000C1156" w:rsidRDefault="00D14A0F" w:rsidP="00D14A0F">
      <w:pPr>
        <w:spacing w:line="360" w:lineRule="auto"/>
        <w:ind w:firstLine="720"/>
        <w:jc w:val="both"/>
        <w:rPr>
          <w:lang w:val="en-US"/>
        </w:rPr>
      </w:pPr>
      <w:r w:rsidRPr="00A8628E">
        <w:rPr>
          <w:b/>
          <w:lang w:val="en-US"/>
        </w:rPr>
        <w:t>Key words:</w:t>
      </w:r>
      <w:r w:rsidRPr="000C1156">
        <w:rPr>
          <w:lang w:val="en-US"/>
        </w:rPr>
        <w:t xml:space="preserve"> </w:t>
      </w:r>
      <w:r>
        <w:rPr>
          <w:lang w:val="en-US"/>
        </w:rPr>
        <w:t>chronic acalculous cholecystitis</w:t>
      </w:r>
      <w:r w:rsidRPr="000C1156">
        <w:rPr>
          <w:lang w:val="en-US"/>
        </w:rPr>
        <w:t>, duodenal sounding, c</w:t>
      </w:r>
      <w:r>
        <w:rPr>
          <w:lang w:val="en-US"/>
        </w:rPr>
        <w:t>y</w:t>
      </w:r>
      <w:r w:rsidRPr="000C1156">
        <w:rPr>
          <w:lang w:val="en-US"/>
        </w:rPr>
        <w:t>tokin,</w:t>
      </w:r>
      <w:r w:rsidRPr="00A8628E">
        <w:rPr>
          <w:lang w:val="en-US"/>
        </w:rPr>
        <w:t xml:space="preserve"> </w:t>
      </w:r>
      <w:r w:rsidRPr="000C1156">
        <w:rPr>
          <w:lang w:val="en-US"/>
        </w:rPr>
        <w:t xml:space="preserve">lipid oxidization, </w:t>
      </w:r>
      <w:r>
        <w:rPr>
          <w:lang w:val="en-US"/>
        </w:rPr>
        <w:t>micr</w:t>
      </w:r>
      <w:r w:rsidRPr="000C1156">
        <w:rPr>
          <w:lang w:val="en-US"/>
        </w:rPr>
        <w:t xml:space="preserve">oelements, </w:t>
      </w:r>
      <w:r>
        <w:rPr>
          <w:lang w:val="en-US"/>
        </w:rPr>
        <w:t>Glutargin, Ursode</w:t>
      </w:r>
      <w:r w:rsidRPr="000C1156">
        <w:rPr>
          <w:lang w:val="en-US"/>
        </w:rPr>
        <w:t>o</w:t>
      </w:r>
      <w:r>
        <w:rPr>
          <w:lang w:val="en-US"/>
        </w:rPr>
        <w:t>xycholic acid</w:t>
      </w:r>
      <w:r w:rsidRPr="000C1156">
        <w:rPr>
          <w:lang w:val="en-US"/>
        </w:rPr>
        <w:t>.</w:t>
      </w:r>
    </w:p>
    <w:p w:rsidR="00D14A0F" w:rsidRPr="00B06221" w:rsidRDefault="00D14A0F" w:rsidP="00D14A0F">
      <w:pPr>
        <w:spacing w:line="360" w:lineRule="auto"/>
        <w:ind w:firstLine="720"/>
        <w:jc w:val="center"/>
        <w:rPr>
          <w:b/>
          <w:highlight w:val="yellow"/>
          <w:lang w:val="en-US"/>
        </w:rPr>
      </w:pPr>
    </w:p>
    <w:p w:rsidR="00D14A0F" w:rsidRPr="00CD687A" w:rsidRDefault="00D14A0F" w:rsidP="00D14A0F">
      <w:pPr>
        <w:spacing w:line="360" w:lineRule="auto"/>
        <w:ind w:firstLine="720"/>
        <w:jc w:val="center"/>
        <w:rPr>
          <w:b/>
        </w:rPr>
      </w:pPr>
      <w:r w:rsidRPr="00CD687A">
        <w:rPr>
          <w:b/>
        </w:rPr>
        <w:t>ПЕРЕЛІК УМОВНИХ СКОРОЧЕНЬ</w:t>
      </w:r>
    </w:p>
    <w:tbl>
      <w:tblPr>
        <w:tblStyle w:val="afc"/>
        <w:tblW w:w="990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80"/>
        <w:gridCol w:w="8820"/>
      </w:tblGrid>
      <w:tr w:rsidR="00D14A0F" w:rsidRPr="00CD687A" w:rsidTr="00F45F27">
        <w:tc>
          <w:tcPr>
            <w:tcW w:w="1080" w:type="dxa"/>
          </w:tcPr>
          <w:p w:rsidR="00D14A0F" w:rsidRPr="009F0588" w:rsidRDefault="00D14A0F" w:rsidP="00F45F27">
            <w:pPr>
              <w:jc w:val="both"/>
            </w:pPr>
            <w:r>
              <w:t>АлТ</w:t>
            </w:r>
          </w:p>
        </w:tc>
        <w:tc>
          <w:tcPr>
            <w:tcW w:w="8820" w:type="dxa"/>
          </w:tcPr>
          <w:p w:rsidR="00D14A0F" w:rsidRPr="009F0588" w:rsidRDefault="00D14A0F" w:rsidP="00F45F27">
            <w:pPr>
              <w:jc w:val="both"/>
            </w:pPr>
            <w:r>
              <w:t xml:space="preserve">– </w:t>
            </w:r>
            <w:r>
              <w:rPr>
                <w:lang w:val="en-US"/>
              </w:rPr>
              <w:t xml:space="preserve"> </w:t>
            </w:r>
            <w:r>
              <w:t>аланінамінотрасфераза</w:t>
            </w:r>
          </w:p>
        </w:tc>
      </w:tr>
      <w:tr w:rsidR="00D14A0F" w:rsidRPr="00CD687A" w:rsidTr="00F45F27">
        <w:tc>
          <w:tcPr>
            <w:tcW w:w="1080" w:type="dxa"/>
          </w:tcPr>
          <w:p w:rsidR="00D14A0F" w:rsidRPr="00CD687A" w:rsidRDefault="00D14A0F" w:rsidP="00F45F27">
            <w:pPr>
              <w:jc w:val="both"/>
            </w:pPr>
            <w:r w:rsidRPr="00CD687A">
              <w:t xml:space="preserve">АОЗ </w:t>
            </w:r>
          </w:p>
        </w:tc>
        <w:tc>
          <w:tcPr>
            <w:tcW w:w="8820" w:type="dxa"/>
          </w:tcPr>
          <w:p w:rsidR="00D14A0F" w:rsidRPr="00CD687A" w:rsidRDefault="00D14A0F" w:rsidP="00F45F27">
            <w:pPr>
              <w:jc w:val="both"/>
            </w:pPr>
            <w:r w:rsidRPr="00CD687A">
              <w:t>–</w:t>
            </w:r>
            <w:r>
              <w:t xml:space="preserve"> </w:t>
            </w:r>
            <w:r>
              <w:rPr>
                <w:lang w:val="en-US"/>
              </w:rPr>
              <w:t xml:space="preserve"> </w:t>
            </w:r>
            <w:r>
              <w:t>антиоксидантний захист</w:t>
            </w:r>
          </w:p>
        </w:tc>
      </w:tr>
      <w:tr w:rsidR="00D14A0F" w:rsidRPr="00CD687A" w:rsidTr="00F45F27">
        <w:tc>
          <w:tcPr>
            <w:tcW w:w="1080" w:type="dxa"/>
          </w:tcPr>
          <w:p w:rsidR="00D14A0F" w:rsidRPr="009F0588" w:rsidRDefault="00D14A0F" w:rsidP="00F45F27">
            <w:pPr>
              <w:jc w:val="both"/>
            </w:pPr>
            <w:r>
              <w:t>АсТ</w:t>
            </w:r>
          </w:p>
        </w:tc>
        <w:tc>
          <w:tcPr>
            <w:tcW w:w="8820" w:type="dxa"/>
          </w:tcPr>
          <w:p w:rsidR="00D14A0F" w:rsidRPr="00CD687A" w:rsidRDefault="00D14A0F" w:rsidP="00F45F27">
            <w:pPr>
              <w:jc w:val="both"/>
            </w:pPr>
            <w:r>
              <w:t xml:space="preserve">– </w:t>
            </w:r>
            <w:r>
              <w:rPr>
                <w:lang w:val="en-US"/>
              </w:rPr>
              <w:t xml:space="preserve"> </w:t>
            </w:r>
            <w:r>
              <w:t>аспартатамінотрансфераза</w:t>
            </w:r>
          </w:p>
        </w:tc>
      </w:tr>
      <w:tr w:rsidR="00D14A0F" w:rsidRPr="00CD687A" w:rsidTr="00F45F27">
        <w:tc>
          <w:tcPr>
            <w:tcW w:w="1080" w:type="dxa"/>
          </w:tcPr>
          <w:p w:rsidR="00D14A0F" w:rsidRDefault="00D14A0F" w:rsidP="00F45F27">
            <w:pPr>
              <w:jc w:val="both"/>
            </w:pPr>
            <w:r>
              <w:t>ГГТП</w:t>
            </w:r>
          </w:p>
        </w:tc>
        <w:tc>
          <w:tcPr>
            <w:tcW w:w="8820" w:type="dxa"/>
          </w:tcPr>
          <w:p w:rsidR="00D14A0F" w:rsidRPr="00CD687A" w:rsidRDefault="00D14A0F" w:rsidP="00F45F27">
            <w:pPr>
              <w:jc w:val="both"/>
            </w:pPr>
            <w:r>
              <w:t xml:space="preserve">– </w:t>
            </w:r>
            <w:r>
              <w:rPr>
                <w:lang w:val="en-US"/>
              </w:rPr>
              <w:t xml:space="preserve"> </w:t>
            </w:r>
            <w:r>
              <w:t>гамаглутамілтранспептидаза</w:t>
            </w:r>
          </w:p>
        </w:tc>
      </w:tr>
      <w:tr w:rsidR="00D14A0F" w:rsidRPr="00CD687A" w:rsidTr="00F45F27">
        <w:tc>
          <w:tcPr>
            <w:tcW w:w="1080" w:type="dxa"/>
          </w:tcPr>
          <w:p w:rsidR="00D14A0F" w:rsidRDefault="00D14A0F" w:rsidP="00F45F27">
            <w:pPr>
              <w:jc w:val="both"/>
            </w:pPr>
            <w:r>
              <w:t>ДК</w:t>
            </w:r>
          </w:p>
        </w:tc>
        <w:tc>
          <w:tcPr>
            <w:tcW w:w="8820" w:type="dxa"/>
          </w:tcPr>
          <w:p w:rsidR="00D14A0F" w:rsidRPr="00CD687A" w:rsidRDefault="00D14A0F" w:rsidP="00F45F27">
            <w:r w:rsidRPr="00CD687A">
              <w:t>–</w:t>
            </w:r>
            <w:r>
              <w:t xml:space="preserve"> </w:t>
            </w:r>
            <w:r>
              <w:rPr>
                <w:lang w:val="en-US"/>
              </w:rPr>
              <w:t xml:space="preserve"> </w:t>
            </w:r>
            <w:r>
              <w:t xml:space="preserve">дієнові кон’югати </w:t>
            </w:r>
          </w:p>
        </w:tc>
      </w:tr>
      <w:tr w:rsidR="00D14A0F" w:rsidRPr="00CD687A" w:rsidTr="00F45F27">
        <w:tc>
          <w:tcPr>
            <w:tcW w:w="1080" w:type="dxa"/>
          </w:tcPr>
          <w:p w:rsidR="00D14A0F" w:rsidRPr="00CD687A" w:rsidRDefault="00D14A0F" w:rsidP="00F45F27">
            <w:pPr>
              <w:jc w:val="both"/>
            </w:pPr>
            <w:r>
              <w:t>ЖК</w:t>
            </w:r>
          </w:p>
        </w:tc>
        <w:tc>
          <w:tcPr>
            <w:tcW w:w="8820" w:type="dxa"/>
          </w:tcPr>
          <w:p w:rsidR="00D14A0F" w:rsidRPr="00CD687A" w:rsidRDefault="00D14A0F" w:rsidP="00F45F27">
            <w:pPr>
              <w:jc w:val="both"/>
            </w:pPr>
            <w:r w:rsidRPr="00CD687A">
              <w:t>–</w:t>
            </w:r>
            <w:r>
              <w:t xml:space="preserve"> </w:t>
            </w:r>
            <w:r>
              <w:rPr>
                <w:lang w:val="en-US"/>
              </w:rPr>
              <w:t xml:space="preserve"> </w:t>
            </w:r>
            <w:r>
              <w:t>жовчні кислоти</w:t>
            </w:r>
          </w:p>
        </w:tc>
      </w:tr>
      <w:tr w:rsidR="00D14A0F" w:rsidRPr="00CD687A" w:rsidTr="00F45F27">
        <w:tc>
          <w:tcPr>
            <w:tcW w:w="1080" w:type="dxa"/>
          </w:tcPr>
          <w:p w:rsidR="00D14A0F" w:rsidRDefault="00D14A0F" w:rsidP="00F45F27">
            <w:pPr>
              <w:jc w:val="both"/>
            </w:pPr>
            <w:r>
              <w:t>ЖМ</w:t>
            </w:r>
          </w:p>
        </w:tc>
        <w:tc>
          <w:tcPr>
            <w:tcW w:w="8820" w:type="dxa"/>
          </w:tcPr>
          <w:p w:rsidR="00D14A0F" w:rsidRPr="00CD687A" w:rsidRDefault="00D14A0F" w:rsidP="00F45F27">
            <w:pPr>
              <w:jc w:val="both"/>
            </w:pPr>
            <w:r w:rsidRPr="00CD687A">
              <w:t>–</w:t>
            </w:r>
            <w:r>
              <w:t xml:space="preserve"> </w:t>
            </w:r>
            <w:r>
              <w:rPr>
                <w:lang w:val="en-US"/>
              </w:rPr>
              <w:t xml:space="preserve"> </w:t>
            </w:r>
            <w:r>
              <w:t>жовчний міхур</w:t>
            </w:r>
          </w:p>
        </w:tc>
      </w:tr>
      <w:tr w:rsidR="00D14A0F" w:rsidRPr="00CD687A" w:rsidTr="00F45F27">
        <w:tc>
          <w:tcPr>
            <w:tcW w:w="1080" w:type="dxa"/>
          </w:tcPr>
          <w:p w:rsidR="00D14A0F" w:rsidRPr="00CD687A" w:rsidRDefault="00D14A0F" w:rsidP="00F45F27">
            <w:pPr>
              <w:jc w:val="both"/>
            </w:pPr>
            <w:r w:rsidRPr="00CD687A">
              <w:t>ІЛ</w:t>
            </w:r>
          </w:p>
        </w:tc>
        <w:tc>
          <w:tcPr>
            <w:tcW w:w="8820" w:type="dxa"/>
          </w:tcPr>
          <w:p w:rsidR="00D14A0F" w:rsidRPr="00CD687A" w:rsidRDefault="00D14A0F" w:rsidP="00F45F27">
            <w:pPr>
              <w:jc w:val="both"/>
            </w:pPr>
            <w:r w:rsidRPr="00CD687A">
              <w:t xml:space="preserve">– </w:t>
            </w:r>
            <w:r>
              <w:rPr>
                <w:lang w:val="en-US"/>
              </w:rPr>
              <w:t xml:space="preserve"> </w:t>
            </w:r>
            <w:r w:rsidRPr="00CD687A">
              <w:t>інтерлейкін</w:t>
            </w:r>
          </w:p>
        </w:tc>
      </w:tr>
      <w:tr w:rsidR="00D14A0F" w:rsidRPr="00CD687A" w:rsidTr="00F45F27">
        <w:tc>
          <w:tcPr>
            <w:tcW w:w="1080" w:type="dxa"/>
          </w:tcPr>
          <w:p w:rsidR="00D14A0F" w:rsidRPr="00CD687A" w:rsidRDefault="00D14A0F" w:rsidP="00F45F27">
            <w:pPr>
              <w:jc w:val="both"/>
            </w:pPr>
            <w:r>
              <w:t>ЛФ</w:t>
            </w:r>
          </w:p>
        </w:tc>
        <w:tc>
          <w:tcPr>
            <w:tcW w:w="8820" w:type="dxa"/>
          </w:tcPr>
          <w:p w:rsidR="00D14A0F" w:rsidRPr="00CD687A" w:rsidRDefault="00D14A0F" w:rsidP="00F45F27">
            <w:pPr>
              <w:jc w:val="both"/>
            </w:pPr>
            <w:r>
              <w:t xml:space="preserve">– </w:t>
            </w:r>
            <w:r>
              <w:rPr>
                <w:lang w:val="en-US"/>
              </w:rPr>
              <w:t xml:space="preserve"> </w:t>
            </w:r>
            <w:r>
              <w:t>лужна фосфатаза</w:t>
            </w:r>
          </w:p>
        </w:tc>
      </w:tr>
      <w:tr w:rsidR="00D14A0F" w:rsidRPr="00CD687A" w:rsidTr="00F45F27">
        <w:tc>
          <w:tcPr>
            <w:tcW w:w="1080" w:type="dxa"/>
          </w:tcPr>
          <w:p w:rsidR="00D14A0F" w:rsidRPr="00CD687A" w:rsidRDefault="00D14A0F" w:rsidP="00F45F27">
            <w:pPr>
              <w:jc w:val="both"/>
            </w:pPr>
            <w:r>
              <w:t>МА</w:t>
            </w:r>
          </w:p>
        </w:tc>
        <w:tc>
          <w:tcPr>
            <w:tcW w:w="8820" w:type="dxa"/>
          </w:tcPr>
          <w:p w:rsidR="00D14A0F" w:rsidRPr="00CD687A" w:rsidRDefault="00D14A0F" w:rsidP="00F45F27">
            <w:pPr>
              <w:jc w:val="both"/>
            </w:pPr>
            <w:r w:rsidRPr="00CD687A">
              <w:t>–</w:t>
            </w:r>
            <w:r>
              <w:t xml:space="preserve"> </w:t>
            </w:r>
            <w:r>
              <w:rPr>
                <w:lang w:val="en-US"/>
              </w:rPr>
              <w:t xml:space="preserve"> </w:t>
            </w:r>
            <w:r>
              <w:t>малоновий альдегід</w:t>
            </w:r>
          </w:p>
        </w:tc>
      </w:tr>
      <w:tr w:rsidR="00D14A0F" w:rsidRPr="00CD687A" w:rsidTr="00F45F27">
        <w:trPr>
          <w:trHeight w:val="174"/>
        </w:trPr>
        <w:tc>
          <w:tcPr>
            <w:tcW w:w="1080" w:type="dxa"/>
          </w:tcPr>
          <w:p w:rsidR="00D14A0F" w:rsidRPr="00CD687A" w:rsidRDefault="00D14A0F" w:rsidP="00F45F27">
            <w:pPr>
              <w:jc w:val="both"/>
            </w:pPr>
            <w:r w:rsidRPr="00CD687A">
              <w:t>ПОЛ</w:t>
            </w:r>
          </w:p>
        </w:tc>
        <w:tc>
          <w:tcPr>
            <w:tcW w:w="8820" w:type="dxa"/>
          </w:tcPr>
          <w:p w:rsidR="00D14A0F" w:rsidRPr="00CD687A" w:rsidRDefault="00D14A0F" w:rsidP="00F45F27">
            <w:pPr>
              <w:jc w:val="both"/>
            </w:pPr>
            <w:r w:rsidRPr="00CD687A">
              <w:t>–</w:t>
            </w:r>
            <w:r>
              <w:t xml:space="preserve"> </w:t>
            </w:r>
            <w:r>
              <w:rPr>
                <w:lang w:val="en-US"/>
              </w:rPr>
              <w:t xml:space="preserve"> </w:t>
            </w:r>
            <w:r>
              <w:t>перекисне окислення ліпідів</w:t>
            </w:r>
          </w:p>
        </w:tc>
      </w:tr>
      <w:tr w:rsidR="00D14A0F" w:rsidRPr="00CD687A" w:rsidTr="00F45F27">
        <w:tc>
          <w:tcPr>
            <w:tcW w:w="1080" w:type="dxa"/>
          </w:tcPr>
          <w:p w:rsidR="00D14A0F" w:rsidRPr="00CD687A" w:rsidRDefault="00D14A0F" w:rsidP="00F45F27">
            <w:pPr>
              <w:jc w:val="both"/>
            </w:pPr>
            <w:r w:rsidRPr="00CD687A">
              <w:t>СМП</w:t>
            </w:r>
          </w:p>
        </w:tc>
        <w:tc>
          <w:tcPr>
            <w:tcW w:w="8820" w:type="dxa"/>
          </w:tcPr>
          <w:p w:rsidR="00D14A0F" w:rsidRPr="00CD687A" w:rsidRDefault="00D14A0F" w:rsidP="00F45F27">
            <w:pPr>
              <w:jc w:val="both"/>
            </w:pPr>
            <w:r w:rsidRPr="00CD687A">
              <w:t>–</w:t>
            </w:r>
            <w:r>
              <w:rPr>
                <w:lang w:val="en-US"/>
              </w:rPr>
              <w:t xml:space="preserve"> </w:t>
            </w:r>
            <w:r w:rsidRPr="00CD687A">
              <w:t xml:space="preserve"> середньомолекулярні пептиди</w:t>
            </w:r>
          </w:p>
        </w:tc>
      </w:tr>
      <w:tr w:rsidR="00D14A0F" w:rsidRPr="00CD687A" w:rsidTr="00F45F27">
        <w:tc>
          <w:tcPr>
            <w:tcW w:w="1080" w:type="dxa"/>
          </w:tcPr>
          <w:p w:rsidR="00D14A0F" w:rsidRPr="00CD687A" w:rsidRDefault="00D14A0F" w:rsidP="00F45F27">
            <w:pPr>
              <w:jc w:val="both"/>
            </w:pPr>
            <w:r w:rsidRPr="00CD687A">
              <w:lastRenderedPageBreak/>
              <w:t>Тф</w:t>
            </w:r>
          </w:p>
        </w:tc>
        <w:tc>
          <w:tcPr>
            <w:tcW w:w="8820" w:type="dxa"/>
          </w:tcPr>
          <w:p w:rsidR="00D14A0F" w:rsidRPr="00CD687A" w:rsidRDefault="00D14A0F" w:rsidP="00F45F27">
            <w:pPr>
              <w:jc w:val="both"/>
            </w:pPr>
            <w:r w:rsidRPr="00CD687A">
              <w:t xml:space="preserve">– </w:t>
            </w:r>
            <w:r>
              <w:rPr>
                <w:lang w:val="en-US"/>
              </w:rPr>
              <w:t xml:space="preserve"> </w:t>
            </w:r>
            <w:r w:rsidRPr="00CD687A">
              <w:t>трансферин</w:t>
            </w:r>
          </w:p>
        </w:tc>
      </w:tr>
      <w:tr w:rsidR="00D14A0F" w:rsidRPr="00CD687A" w:rsidTr="00F45F27">
        <w:tc>
          <w:tcPr>
            <w:tcW w:w="1080" w:type="dxa"/>
          </w:tcPr>
          <w:p w:rsidR="00D14A0F" w:rsidRPr="00CD687A" w:rsidRDefault="00D14A0F" w:rsidP="00F45F27">
            <w:pPr>
              <w:jc w:val="both"/>
            </w:pPr>
            <w:r w:rsidRPr="00CD687A">
              <w:t>УДХК</w:t>
            </w:r>
          </w:p>
        </w:tc>
        <w:tc>
          <w:tcPr>
            <w:tcW w:w="8820" w:type="dxa"/>
          </w:tcPr>
          <w:p w:rsidR="00D14A0F" w:rsidRPr="00CD687A" w:rsidRDefault="00D14A0F" w:rsidP="00F45F27">
            <w:pPr>
              <w:jc w:val="both"/>
            </w:pPr>
            <w:r w:rsidRPr="00CD687A">
              <w:t>–</w:t>
            </w:r>
            <w:r>
              <w:t xml:space="preserve"> </w:t>
            </w:r>
            <w:r>
              <w:rPr>
                <w:lang w:val="en-US"/>
              </w:rPr>
              <w:t xml:space="preserve"> </w:t>
            </w:r>
            <w:r>
              <w:t>урсодезоксихолева килота</w:t>
            </w:r>
          </w:p>
        </w:tc>
      </w:tr>
      <w:tr w:rsidR="00D14A0F" w:rsidRPr="00CD687A" w:rsidTr="00F45F27">
        <w:tc>
          <w:tcPr>
            <w:tcW w:w="1080" w:type="dxa"/>
          </w:tcPr>
          <w:p w:rsidR="00D14A0F" w:rsidRPr="00CD687A" w:rsidRDefault="00D14A0F" w:rsidP="00F45F27">
            <w:pPr>
              <w:jc w:val="both"/>
            </w:pPr>
            <w:r w:rsidRPr="00CD687A">
              <w:t>УЗД</w:t>
            </w:r>
          </w:p>
        </w:tc>
        <w:tc>
          <w:tcPr>
            <w:tcW w:w="8820" w:type="dxa"/>
          </w:tcPr>
          <w:p w:rsidR="00D14A0F" w:rsidRPr="00CD687A" w:rsidRDefault="00D14A0F" w:rsidP="00F45F27">
            <w:pPr>
              <w:jc w:val="both"/>
            </w:pPr>
            <w:r w:rsidRPr="00CD687A">
              <w:t>–</w:t>
            </w:r>
            <w:r>
              <w:rPr>
                <w:lang w:val="en-US"/>
              </w:rPr>
              <w:t xml:space="preserve"> </w:t>
            </w:r>
            <w:r>
              <w:t xml:space="preserve"> ультразвукове дослідження</w:t>
            </w:r>
          </w:p>
        </w:tc>
      </w:tr>
      <w:tr w:rsidR="00D14A0F" w:rsidRPr="00CD687A" w:rsidTr="00F45F27">
        <w:tc>
          <w:tcPr>
            <w:tcW w:w="1080" w:type="dxa"/>
          </w:tcPr>
          <w:p w:rsidR="00D14A0F" w:rsidRPr="00CD687A" w:rsidRDefault="00D14A0F" w:rsidP="00F45F27">
            <w:pPr>
              <w:jc w:val="both"/>
            </w:pPr>
            <w:r w:rsidRPr="00CD687A">
              <w:t xml:space="preserve">ФНП-α </w:t>
            </w:r>
          </w:p>
        </w:tc>
        <w:tc>
          <w:tcPr>
            <w:tcW w:w="8820" w:type="dxa"/>
          </w:tcPr>
          <w:p w:rsidR="00D14A0F" w:rsidRPr="00CD687A" w:rsidRDefault="00D14A0F" w:rsidP="00F45F27">
            <w:pPr>
              <w:jc w:val="both"/>
            </w:pPr>
            <w:r w:rsidRPr="00CD687A">
              <w:t>–</w:t>
            </w:r>
            <w:r>
              <w:t xml:space="preserve"> </w:t>
            </w:r>
            <w:r>
              <w:rPr>
                <w:lang w:val="en-US"/>
              </w:rPr>
              <w:t xml:space="preserve"> </w:t>
            </w:r>
            <w:r>
              <w:t>фактор некрозу пухлин α</w:t>
            </w:r>
          </w:p>
        </w:tc>
      </w:tr>
      <w:tr w:rsidR="00D14A0F" w:rsidRPr="00CD687A" w:rsidTr="00F45F27">
        <w:tc>
          <w:tcPr>
            <w:tcW w:w="1080" w:type="dxa"/>
          </w:tcPr>
          <w:p w:rsidR="00D14A0F" w:rsidRPr="00CD687A" w:rsidRDefault="00D14A0F" w:rsidP="00F45F27">
            <w:pPr>
              <w:jc w:val="both"/>
            </w:pPr>
            <w:r w:rsidRPr="00CD687A">
              <w:t>ХНХ</w:t>
            </w:r>
          </w:p>
        </w:tc>
        <w:tc>
          <w:tcPr>
            <w:tcW w:w="8820" w:type="dxa"/>
          </w:tcPr>
          <w:p w:rsidR="00D14A0F" w:rsidRPr="00CD687A" w:rsidRDefault="00D14A0F" w:rsidP="00F45F27">
            <w:pPr>
              <w:jc w:val="both"/>
            </w:pPr>
            <w:r>
              <w:t xml:space="preserve">– </w:t>
            </w:r>
            <w:r>
              <w:rPr>
                <w:lang w:val="en-US"/>
              </w:rPr>
              <w:t xml:space="preserve"> </w:t>
            </w:r>
            <w:r>
              <w:t>хронічний некаменевий холецистит</w:t>
            </w:r>
          </w:p>
        </w:tc>
      </w:tr>
      <w:tr w:rsidR="00D14A0F" w:rsidRPr="00CD687A" w:rsidTr="00F45F27">
        <w:tc>
          <w:tcPr>
            <w:tcW w:w="1080" w:type="dxa"/>
          </w:tcPr>
          <w:p w:rsidR="00D14A0F" w:rsidRPr="00CD687A" w:rsidRDefault="00D14A0F" w:rsidP="00F45F27">
            <w:pPr>
              <w:jc w:val="both"/>
            </w:pPr>
            <w:r>
              <w:t>ХС</w:t>
            </w:r>
          </w:p>
        </w:tc>
        <w:tc>
          <w:tcPr>
            <w:tcW w:w="8820" w:type="dxa"/>
          </w:tcPr>
          <w:p w:rsidR="00D14A0F" w:rsidRDefault="00D14A0F" w:rsidP="00F45F27">
            <w:pPr>
              <w:jc w:val="both"/>
            </w:pPr>
            <w:r>
              <w:t xml:space="preserve">– </w:t>
            </w:r>
            <w:r>
              <w:rPr>
                <w:lang w:val="en-US"/>
              </w:rPr>
              <w:t xml:space="preserve"> </w:t>
            </w:r>
            <w:r>
              <w:t>холестерин</w:t>
            </w:r>
          </w:p>
        </w:tc>
      </w:tr>
      <w:tr w:rsidR="00D14A0F" w:rsidRPr="00CD687A" w:rsidTr="00F45F27">
        <w:tc>
          <w:tcPr>
            <w:tcW w:w="1080" w:type="dxa"/>
          </w:tcPr>
          <w:p w:rsidR="00D14A0F" w:rsidRDefault="00D14A0F" w:rsidP="00F45F27">
            <w:pPr>
              <w:jc w:val="both"/>
            </w:pPr>
            <w:r>
              <w:t>ХХК</w:t>
            </w:r>
          </w:p>
        </w:tc>
        <w:tc>
          <w:tcPr>
            <w:tcW w:w="8820" w:type="dxa"/>
          </w:tcPr>
          <w:p w:rsidR="00D14A0F" w:rsidRDefault="00D14A0F" w:rsidP="00F45F27">
            <w:pPr>
              <w:jc w:val="both"/>
            </w:pPr>
            <w:r>
              <w:t xml:space="preserve">– </w:t>
            </w:r>
            <w:r>
              <w:rPr>
                <w:lang w:val="en-US"/>
              </w:rPr>
              <w:t xml:space="preserve"> </w:t>
            </w:r>
            <w:r>
              <w:t>холато-холестериновий коефіцієнт</w:t>
            </w:r>
          </w:p>
        </w:tc>
      </w:tr>
      <w:tr w:rsidR="00D14A0F" w:rsidRPr="00CD687A" w:rsidTr="00F45F27">
        <w:tc>
          <w:tcPr>
            <w:tcW w:w="1080" w:type="dxa"/>
          </w:tcPr>
          <w:p w:rsidR="00D14A0F" w:rsidRPr="00CD687A" w:rsidRDefault="00D14A0F" w:rsidP="00F45F27">
            <w:pPr>
              <w:jc w:val="both"/>
            </w:pPr>
            <w:r w:rsidRPr="00CD687A">
              <w:t>Цп</w:t>
            </w:r>
          </w:p>
        </w:tc>
        <w:tc>
          <w:tcPr>
            <w:tcW w:w="8820" w:type="dxa"/>
          </w:tcPr>
          <w:p w:rsidR="00D14A0F" w:rsidRPr="00CD687A" w:rsidRDefault="00D14A0F" w:rsidP="00F45F27">
            <w:pPr>
              <w:jc w:val="both"/>
            </w:pPr>
            <w:r w:rsidRPr="00CD687A">
              <w:t xml:space="preserve">– </w:t>
            </w:r>
            <w:r>
              <w:rPr>
                <w:lang w:val="en-US"/>
              </w:rPr>
              <w:t xml:space="preserve"> </w:t>
            </w:r>
            <w:r w:rsidRPr="00CD687A">
              <w:t>церулоплазмін</w:t>
            </w:r>
          </w:p>
        </w:tc>
      </w:tr>
      <w:tr w:rsidR="00D14A0F" w:rsidRPr="00CD687A" w:rsidTr="00F45F27">
        <w:tc>
          <w:tcPr>
            <w:tcW w:w="1080" w:type="dxa"/>
          </w:tcPr>
          <w:p w:rsidR="00D14A0F" w:rsidRPr="00CD687A" w:rsidRDefault="00D14A0F" w:rsidP="00F45F27">
            <w:pPr>
              <w:jc w:val="both"/>
            </w:pPr>
            <w:r w:rsidRPr="00CD687A">
              <w:t>ШОЕ</w:t>
            </w:r>
          </w:p>
        </w:tc>
        <w:tc>
          <w:tcPr>
            <w:tcW w:w="8820" w:type="dxa"/>
          </w:tcPr>
          <w:p w:rsidR="00D14A0F" w:rsidRPr="00CD687A" w:rsidRDefault="00D14A0F" w:rsidP="00F45F27">
            <w:pPr>
              <w:jc w:val="both"/>
            </w:pPr>
            <w:r w:rsidRPr="00CD687A">
              <w:t xml:space="preserve">– </w:t>
            </w:r>
            <w:r>
              <w:rPr>
                <w:lang w:val="en-US"/>
              </w:rPr>
              <w:t xml:space="preserve"> </w:t>
            </w:r>
            <w:r w:rsidRPr="00CD687A">
              <w:t>швидкість осідання еритроцитів</w:t>
            </w:r>
          </w:p>
        </w:tc>
      </w:tr>
    </w:tbl>
    <w:p w:rsidR="00D14A0F" w:rsidRDefault="00D14A0F" w:rsidP="00D14A0F">
      <w:pPr>
        <w:jc w:val="center"/>
        <w:rPr>
          <w:highlight w:val="yellow"/>
        </w:rPr>
      </w:pPr>
    </w:p>
    <w:p w:rsidR="00D14A0F" w:rsidRDefault="00D14A0F" w:rsidP="00D14A0F">
      <w:pPr>
        <w:jc w:val="center"/>
        <w:rPr>
          <w:highlight w:val="yellow"/>
        </w:rPr>
      </w:pPr>
    </w:p>
    <w:p w:rsidR="00D14A0F" w:rsidRDefault="00D14A0F" w:rsidP="00D14A0F">
      <w:pPr>
        <w:jc w:val="center"/>
        <w:rPr>
          <w:highlight w:val="yellow"/>
        </w:rPr>
      </w:pPr>
    </w:p>
    <w:p w:rsidR="00D14A0F" w:rsidRDefault="00D14A0F" w:rsidP="00D14A0F">
      <w:pPr>
        <w:jc w:val="center"/>
        <w:rPr>
          <w:highlight w:val="yellow"/>
        </w:rPr>
      </w:pPr>
    </w:p>
    <w:p w:rsidR="00D14A0F" w:rsidRPr="003037F0" w:rsidRDefault="00D14A0F" w:rsidP="00D14A0F">
      <w:pPr>
        <w:jc w:val="center"/>
      </w:pPr>
      <w:r w:rsidRPr="003037F0">
        <w:t>П</w:t>
      </w:r>
      <w:r>
        <w:t>ідписано до друку</w:t>
      </w:r>
      <w:r w:rsidRPr="00E1427A">
        <w:t xml:space="preserve"> 29</w:t>
      </w:r>
      <w:r>
        <w:t>.10.</w:t>
      </w:r>
      <w:r w:rsidRPr="003037F0">
        <w:t>200</w:t>
      </w:r>
      <w:r>
        <w:t>9</w:t>
      </w:r>
      <w:r w:rsidRPr="003037F0">
        <w:t xml:space="preserve"> р. Формат 60х84/16.</w:t>
      </w:r>
    </w:p>
    <w:p w:rsidR="00D14A0F" w:rsidRPr="003037F0" w:rsidRDefault="00D14A0F" w:rsidP="00D14A0F">
      <w:pPr>
        <w:jc w:val="center"/>
      </w:pPr>
      <w:r w:rsidRPr="003037F0">
        <w:t>Папір офсетний. Умовн. друк. арк. 0,9. Тираж 100 прим. Зам. №</w:t>
      </w:r>
      <w:r>
        <w:t xml:space="preserve"> </w:t>
      </w:r>
      <w:r>
        <w:rPr>
          <w:lang w:val="en-US"/>
        </w:rPr>
        <w:t>29</w:t>
      </w:r>
      <w:r>
        <w:t xml:space="preserve">     </w:t>
      </w:r>
    </w:p>
    <w:p w:rsidR="00D14A0F" w:rsidRPr="003037F0" w:rsidRDefault="00D14A0F" w:rsidP="00D14A0F">
      <w:pPr>
        <w:jc w:val="center"/>
      </w:pPr>
      <w:r w:rsidRPr="003037F0">
        <w:t xml:space="preserve">Тираж здійснено у видавництві Івано-Франківського </w:t>
      </w:r>
    </w:p>
    <w:p w:rsidR="00D14A0F" w:rsidRPr="003037F0" w:rsidRDefault="00D14A0F" w:rsidP="00D14A0F">
      <w:pPr>
        <w:jc w:val="center"/>
      </w:pPr>
      <w:r>
        <w:t>національн</w:t>
      </w:r>
      <w:r w:rsidRPr="003037F0">
        <w:t>ого медичного університету.</w:t>
      </w:r>
    </w:p>
    <w:p w:rsidR="00D14A0F" w:rsidRPr="003037F0" w:rsidRDefault="00D14A0F" w:rsidP="00D14A0F">
      <w:pPr>
        <w:jc w:val="center"/>
      </w:pPr>
      <w:r w:rsidRPr="003037F0">
        <w:t>Свідоцтво про внесення суб’єкта видавничої справи до Державного реєстру</w:t>
      </w:r>
    </w:p>
    <w:p w:rsidR="00D14A0F" w:rsidRPr="003037F0" w:rsidRDefault="00D14A0F" w:rsidP="00D14A0F">
      <w:pPr>
        <w:jc w:val="center"/>
      </w:pPr>
      <w:r w:rsidRPr="003037F0">
        <w:t>видавців, виготівників і розповсюджувачів видавничої продукції</w:t>
      </w:r>
    </w:p>
    <w:p w:rsidR="00D14A0F" w:rsidRPr="003037F0" w:rsidRDefault="00D14A0F" w:rsidP="00D14A0F">
      <w:pPr>
        <w:jc w:val="center"/>
      </w:pPr>
      <w:r w:rsidRPr="003037F0">
        <w:t>ДК №2361 від 05.12.2005 р.</w:t>
      </w:r>
    </w:p>
    <w:p w:rsidR="00D14A0F" w:rsidRPr="001B502E" w:rsidRDefault="00D14A0F" w:rsidP="00D14A0F">
      <w:pPr>
        <w:spacing w:line="360" w:lineRule="auto"/>
        <w:jc w:val="center"/>
      </w:pPr>
      <w:smartTag w:uri="urn:schemas-microsoft-com:office:smarttags" w:element="metricconverter">
        <w:smartTagPr>
          <w:attr w:name="ProductID" w:val="76018 м"/>
        </w:smartTagPr>
        <w:r w:rsidRPr="003037F0">
          <w:t>76018 м</w:t>
        </w:r>
      </w:smartTag>
      <w:r w:rsidRPr="003037F0">
        <w:t>. Івано-Франківськ, вул. Галицька, 2.</w:t>
      </w:r>
    </w:p>
    <w:p w:rsidR="00D14A0F" w:rsidRPr="001B502E" w:rsidRDefault="00D14A0F" w:rsidP="00D14A0F">
      <w:pPr>
        <w:spacing w:line="360" w:lineRule="auto"/>
        <w:ind w:firstLine="720"/>
        <w:jc w:val="both"/>
      </w:pPr>
    </w:p>
    <w:p w:rsidR="00804CAB" w:rsidRPr="00160786" w:rsidRDefault="00804CAB" w:rsidP="003A39F6">
      <w:pPr>
        <w:pStyle w:val="af4"/>
      </w:pPr>
      <w:bookmarkStart w:id="3" w:name="_GoBack"/>
      <w:bookmarkEnd w:id="3"/>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715" w:rsidRDefault="00415715">
      <w:pPr>
        <w:spacing w:after="0" w:line="240" w:lineRule="auto"/>
      </w:pPr>
      <w:r>
        <w:separator/>
      </w:r>
    </w:p>
  </w:endnote>
  <w:endnote w:type="continuationSeparator" w:id="0">
    <w:p w:rsidR="00415715" w:rsidRDefault="00415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415715">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D14A0F">
      <w:rPr>
        <w:rStyle w:val="aff1"/>
        <w:rFonts w:eastAsia="Garamond"/>
        <w:noProof/>
      </w:rPr>
      <w:t>4</w:t>
    </w:r>
    <w:r>
      <w:rPr>
        <w:rStyle w:val="aff1"/>
        <w:rFonts w:eastAsia="Garamond"/>
      </w:rPr>
      <w:fldChar w:fldCharType="end"/>
    </w:r>
  </w:p>
  <w:p w:rsidR="009335CF" w:rsidRDefault="00415715">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715" w:rsidRDefault="00415715">
      <w:pPr>
        <w:spacing w:after="0" w:line="240" w:lineRule="auto"/>
      </w:pPr>
      <w:r>
        <w:separator/>
      </w:r>
    </w:p>
  </w:footnote>
  <w:footnote w:type="continuationSeparator" w:id="0">
    <w:p w:rsidR="00415715" w:rsidRDefault="004157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415715">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415715">
    <w:pPr>
      <w:pStyle w:val="aff"/>
      <w:framePr w:wrap="around" w:vAnchor="text" w:hAnchor="margin" w:xAlign="right" w:y="1"/>
      <w:rPr>
        <w:rStyle w:val="aff1"/>
        <w:lang w:val="uk-UA"/>
      </w:rPr>
    </w:pPr>
  </w:p>
  <w:p w:rsidR="009335CF" w:rsidRDefault="00415715">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51069B"/>
    <w:multiLevelType w:val="hybridMultilevel"/>
    <w:tmpl w:val="DF2C265E"/>
    <w:lvl w:ilvl="0" w:tplc="A5705BFA">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5C3732F"/>
    <w:multiLevelType w:val="hybridMultilevel"/>
    <w:tmpl w:val="C32AD992"/>
    <w:lvl w:ilvl="0" w:tplc="4C1E7688">
      <w:start w:val="1"/>
      <w:numFmt w:val="decimal"/>
      <w:lvlText w:val="%1."/>
      <w:lvlJc w:val="left"/>
      <w:pPr>
        <w:tabs>
          <w:tab w:val="num" w:pos="2085"/>
        </w:tabs>
        <w:ind w:left="2085" w:hanging="1005"/>
      </w:pPr>
      <w:rPr>
        <w:rFonts w:hint="default"/>
      </w:r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37">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2">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nsid w:val="5B8D7B63"/>
    <w:multiLevelType w:val="hybridMultilevel"/>
    <w:tmpl w:val="B83C8E44"/>
    <w:lvl w:ilvl="0" w:tplc="F30A881E">
      <w:start w:val="1"/>
      <w:numFmt w:val="decimal"/>
      <w:lvlText w:val="%1."/>
      <w:lvlJc w:val="left"/>
      <w:pPr>
        <w:tabs>
          <w:tab w:val="num" w:pos="0"/>
        </w:tabs>
        <w:ind w:left="0" w:firstLine="709"/>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5EF227B7"/>
    <w:multiLevelType w:val="singleLevel"/>
    <w:tmpl w:val="D72659E8"/>
    <w:lvl w:ilvl="0">
      <w:start w:val="1"/>
      <w:numFmt w:val="decimal"/>
      <w:pStyle w:val="a7"/>
      <w:lvlText w:val="%1."/>
      <w:lvlJc w:val="left"/>
      <w:pPr>
        <w:tabs>
          <w:tab w:val="num" w:pos="680"/>
        </w:tabs>
        <w:ind w:left="680" w:hanging="680"/>
      </w:pPr>
    </w:lvl>
  </w:abstractNum>
  <w:abstractNum w:abstractNumId="52">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3">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4">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5">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8">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1">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2">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7"/>
  </w:num>
  <w:num w:numId="2">
    <w:abstractNumId w:val="54"/>
  </w:num>
  <w:num w:numId="3">
    <w:abstractNumId w:val="0"/>
  </w:num>
  <w:num w:numId="4">
    <w:abstractNumId w:val="30"/>
  </w:num>
  <w:num w:numId="5">
    <w:abstractNumId w:val="27"/>
  </w:num>
  <w:num w:numId="6">
    <w:abstractNumId w:val="39"/>
  </w:num>
  <w:num w:numId="7">
    <w:abstractNumId w:val="24"/>
  </w:num>
  <w:num w:numId="8">
    <w:abstractNumId w:val="59"/>
  </w:num>
  <w:num w:numId="9">
    <w:abstractNumId w:val="37"/>
  </w:num>
  <w:num w:numId="10">
    <w:abstractNumId w:val="41"/>
  </w:num>
  <w:num w:numId="11">
    <w:abstractNumId w:val="64"/>
  </w:num>
  <w:num w:numId="12">
    <w:abstractNumId w:val="44"/>
  </w:num>
  <w:num w:numId="13">
    <w:abstractNumId w:val="52"/>
  </w:num>
  <w:num w:numId="14">
    <w:abstractNumId w:val="42"/>
  </w:num>
  <w:num w:numId="15">
    <w:abstractNumId w:val="33"/>
  </w:num>
  <w:num w:numId="16">
    <w:abstractNumId w:val="40"/>
  </w:num>
  <w:num w:numId="17">
    <w:abstractNumId w:val="5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38"/>
  </w:num>
  <w:num w:numId="21">
    <w:abstractNumId w:val="29"/>
  </w:num>
  <w:num w:numId="22">
    <w:abstractNumId w:val="61"/>
  </w:num>
  <w:num w:numId="23">
    <w:abstractNumId w:val="26"/>
  </w:num>
  <w:num w:numId="24">
    <w:abstractNumId w:val="51"/>
    <w:lvlOverride w:ilvl="0">
      <w:startOverride w:val="1"/>
    </w:lvlOverride>
  </w:num>
  <w:num w:numId="25">
    <w:abstractNumId w:val="47"/>
  </w:num>
  <w:num w:numId="26">
    <w:abstractNumId w:val="63"/>
  </w:num>
  <w:num w:numId="27">
    <w:abstractNumId w:val="28"/>
  </w:num>
  <w:num w:numId="28">
    <w:abstractNumId w:val="35"/>
  </w:num>
  <w:num w:numId="29">
    <w:abstractNumId w:val="48"/>
  </w:num>
  <w:num w:numId="30">
    <w:abstractNumId w:val="53"/>
  </w:num>
  <w:num w:numId="31">
    <w:abstractNumId w:val="60"/>
  </w:num>
  <w:num w:numId="32">
    <w:abstractNumId w:val="31"/>
  </w:num>
  <w:num w:numId="33">
    <w:abstractNumId w:val="55"/>
  </w:num>
  <w:num w:numId="34">
    <w:abstractNumId w:val="56"/>
  </w:num>
  <w:num w:numId="35">
    <w:abstractNumId w:val="46"/>
  </w:num>
  <w:num w:numId="36">
    <w:abstractNumId w:val="62"/>
  </w:num>
  <w:num w:numId="37">
    <w:abstractNumId w:val="43"/>
    <w:lvlOverride w:ilvl="0">
      <w:startOverride w:val="1"/>
    </w:lvlOverride>
  </w:num>
  <w:num w:numId="38">
    <w:abstractNumId w:val="23"/>
  </w:num>
  <w:num w:numId="39">
    <w:abstractNumId w:val="32"/>
  </w:num>
  <w:num w:numId="40">
    <w:abstractNumId w:val="36"/>
  </w:num>
  <w:num w:numId="41">
    <w:abstractNumId w:val="4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5715"/>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316"/>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70C8"/>
    <w:rsid w:val="00A1049B"/>
    <w:rsid w:val="00A10853"/>
    <w:rsid w:val="00A10C70"/>
    <w:rsid w:val="00A10CEE"/>
    <w:rsid w:val="00A1239D"/>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3F48"/>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1DF0"/>
    <w:rsid w:val="00CB2171"/>
    <w:rsid w:val="00CB2A51"/>
    <w:rsid w:val="00CB3348"/>
    <w:rsid w:val="00CB3F9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4A5C"/>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312E"/>
    <w:rsid w:val="00E24E7B"/>
    <w:rsid w:val="00E24EF6"/>
    <w:rsid w:val="00E2665E"/>
    <w:rsid w:val="00E26C01"/>
    <w:rsid w:val="00E27F5A"/>
    <w:rsid w:val="00E31E0D"/>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uiPriority w:val="99"/>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uiPriority w:val="9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uiPriority w:val="99"/>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uiPriority w:val="9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2495</TotalTime>
  <Pages>23</Pages>
  <Words>7877</Words>
  <Characters>44902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1237</cp:revision>
  <dcterms:created xsi:type="dcterms:W3CDTF">2015-05-26T12:20:00Z</dcterms:created>
  <dcterms:modified xsi:type="dcterms:W3CDTF">2015-06-06T14:54:00Z</dcterms:modified>
</cp:coreProperties>
</file>