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EC19D4" w:rsidRPr="007E360D" w:rsidRDefault="00EC19D4" w:rsidP="00EC19D4">
      <w:pPr>
        <w:pStyle w:val="aff1"/>
        <w:jc w:val="center"/>
        <w:rPr>
          <w:rFonts w:ascii="Times New Roman" w:hAnsi="Times New Roman" w:cs="Times New Roman"/>
          <w:color w:val="000000"/>
          <w:sz w:val="28"/>
          <w:szCs w:val="28"/>
          <w:lang w:val="uk-UA"/>
        </w:rPr>
      </w:pPr>
      <w:bookmarkStart w:id="0" w:name="_Hlt159839706"/>
      <w:bookmarkEnd w:id="0"/>
    </w:p>
    <w:p w:rsidR="008C691A" w:rsidRDefault="008C691A" w:rsidP="008C691A">
      <w:pPr>
        <w:pStyle w:val="aff1"/>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МІНІСТЕРСТВО ОХОРОНИ ЗДОРОВ’Я УКРАЇНИ</w:t>
      </w:r>
    </w:p>
    <w:p w:rsidR="008C691A" w:rsidRDefault="008C691A" w:rsidP="008C691A">
      <w:pPr>
        <w:pStyle w:val="aff1"/>
        <w:autoSpaceDE w:val="0"/>
        <w:autoSpaceDN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ДОНЕЦЬКИЙ НАЦІОНАЛЬНИЙ МЕДИЧНИЙ УНІВЕРСИТЕТ</w:t>
      </w:r>
    </w:p>
    <w:p w:rsidR="008C691A" w:rsidRDefault="008C691A" w:rsidP="008C691A">
      <w:pPr>
        <w:pStyle w:val="aff1"/>
        <w:autoSpaceDE w:val="0"/>
        <w:autoSpaceDN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ІМ. М.ГОРЬКОГО</w:t>
      </w: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ind w:firstLine="720"/>
        <w:jc w:val="center"/>
        <w:rPr>
          <w:rFonts w:ascii="Times New Roman" w:hAnsi="Times New Roman" w:cs="Times New Roman"/>
          <w:b/>
          <w:sz w:val="24"/>
          <w:szCs w:val="24"/>
          <w:lang w:val="uk-UA"/>
        </w:rPr>
      </w:pPr>
    </w:p>
    <w:p w:rsidR="008C691A" w:rsidRDefault="008C691A" w:rsidP="008C691A">
      <w:pPr>
        <w:pStyle w:val="aff1"/>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Іяд Фахід Хурані </w:t>
      </w:r>
    </w:p>
    <w:p w:rsidR="008C691A" w:rsidRDefault="008C691A" w:rsidP="008C691A">
      <w:pPr>
        <w:pStyle w:val="aff1"/>
        <w:spacing w:line="360" w:lineRule="auto"/>
        <w:ind w:firstLine="720"/>
        <w:jc w:val="right"/>
        <w:rPr>
          <w:rFonts w:ascii="Times New Roman" w:hAnsi="Times New Roman" w:cs="Times New Roman"/>
          <w:sz w:val="24"/>
          <w:szCs w:val="24"/>
          <w:lang w:val="uk-UA"/>
        </w:rPr>
      </w:pPr>
    </w:p>
    <w:p w:rsidR="008C691A" w:rsidRDefault="008C691A" w:rsidP="008C691A">
      <w:pPr>
        <w:pStyle w:val="aff1"/>
        <w:spacing w:line="360" w:lineRule="auto"/>
        <w:ind w:firstLine="720"/>
        <w:jc w:val="right"/>
        <w:rPr>
          <w:rFonts w:ascii="Times New Roman" w:hAnsi="Times New Roman" w:cs="Times New Roman"/>
          <w:sz w:val="24"/>
          <w:szCs w:val="24"/>
          <w:lang w:val="uk-UA"/>
        </w:rPr>
      </w:pPr>
      <w:r>
        <w:rPr>
          <w:rFonts w:ascii="Times New Roman" w:hAnsi="Times New Roman" w:cs="Times New Roman"/>
          <w:sz w:val="24"/>
          <w:szCs w:val="24"/>
          <w:lang w:val="uk-UA"/>
        </w:rPr>
        <w:t>УДК 618.14–006–084.581.614.778.613.26</w:t>
      </w: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spacing w:line="360" w:lineRule="auto"/>
        <w:jc w:val="center"/>
        <w:rPr>
          <w:color w:val="000000"/>
          <w:lang w:val="uk-UA"/>
        </w:rPr>
      </w:pPr>
      <w:r>
        <w:rPr>
          <w:color w:val="000000"/>
          <w:lang w:val="uk-UA"/>
        </w:rPr>
        <w:t xml:space="preserve">ПРОФІЛАКТИКА ПОСТМАСТЕКТОМІЧНОГО СИНДРОМУ ШЛЯХОМ </w:t>
      </w:r>
    </w:p>
    <w:p w:rsidR="008C691A" w:rsidRDefault="008C691A" w:rsidP="008C691A">
      <w:pPr>
        <w:spacing w:line="360" w:lineRule="auto"/>
        <w:jc w:val="center"/>
        <w:rPr>
          <w:color w:val="000000"/>
          <w:lang w:val="uk-UA"/>
        </w:rPr>
      </w:pPr>
      <w:r>
        <w:rPr>
          <w:color w:val="000000"/>
          <w:lang w:val="uk-UA"/>
        </w:rPr>
        <w:t>ЗАСТОСУВАННЯ РОСЛИННИХ ФЛАВОНОЇДІВ</w:t>
      </w:r>
    </w:p>
    <w:p w:rsidR="008C691A" w:rsidRDefault="008C691A" w:rsidP="008C691A">
      <w:pPr>
        <w:pStyle w:val="aff1"/>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(експериментально-клінічне дослідження)</w:t>
      </w: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widowControl w:val="0"/>
        <w:spacing w:line="360" w:lineRule="auto"/>
        <w:ind w:left="720" w:hanging="720"/>
        <w:jc w:val="center"/>
        <w:rPr>
          <w:lang w:val="uk-UA"/>
        </w:rPr>
      </w:pPr>
      <w:r>
        <w:rPr>
          <w:lang w:val="uk-UA"/>
        </w:rPr>
        <w:t xml:space="preserve">14.01.07 </w:t>
      </w:r>
      <w:r>
        <w:t>–</w:t>
      </w:r>
      <w:r>
        <w:rPr>
          <w:lang w:val="uk-UA"/>
        </w:rPr>
        <w:t xml:space="preserve"> онкологія</w:t>
      </w:r>
    </w:p>
    <w:p w:rsidR="008C691A" w:rsidRDefault="008C691A" w:rsidP="008C691A">
      <w:pPr>
        <w:pStyle w:val="aff1"/>
        <w:spacing w:line="360" w:lineRule="auto"/>
        <w:ind w:firstLine="720"/>
        <w:jc w:val="both"/>
        <w:rPr>
          <w:rFonts w:ascii="Times New Roman" w:hAnsi="Times New Roman" w:cs="Times New Roman"/>
          <w:sz w:val="24"/>
          <w:szCs w:val="24"/>
          <w:lang w:val="uk-UA"/>
        </w:rPr>
      </w:pPr>
    </w:p>
    <w:p w:rsidR="008C691A" w:rsidRDefault="008C691A" w:rsidP="008C691A">
      <w:pPr>
        <w:pStyle w:val="aff1"/>
        <w:spacing w:line="360" w:lineRule="auto"/>
        <w:ind w:firstLine="720"/>
        <w:jc w:val="both"/>
        <w:rPr>
          <w:rFonts w:ascii="Times New Roman" w:hAnsi="Times New Roman" w:cs="Times New Roman"/>
          <w:sz w:val="24"/>
          <w:szCs w:val="24"/>
          <w:lang w:val="uk-UA"/>
        </w:rPr>
      </w:pPr>
    </w:p>
    <w:p w:rsidR="008C691A" w:rsidRDefault="008C691A" w:rsidP="008C691A">
      <w:pPr>
        <w:pStyle w:val="aff1"/>
        <w:spacing w:line="360" w:lineRule="auto"/>
        <w:ind w:firstLine="720"/>
        <w:jc w:val="both"/>
        <w:rPr>
          <w:rFonts w:ascii="Times New Roman" w:hAnsi="Times New Roman" w:cs="Times New Roman"/>
          <w:sz w:val="24"/>
          <w:szCs w:val="24"/>
          <w:lang w:val="uk-UA"/>
        </w:rPr>
      </w:pPr>
    </w:p>
    <w:p w:rsidR="008C691A" w:rsidRDefault="008C691A" w:rsidP="008C691A">
      <w:pPr>
        <w:pStyle w:val="aff1"/>
        <w:spacing w:line="360" w:lineRule="auto"/>
        <w:ind w:firstLine="720"/>
        <w:jc w:val="both"/>
        <w:rPr>
          <w:rFonts w:ascii="Times New Roman" w:hAnsi="Times New Roman" w:cs="Times New Roman"/>
          <w:sz w:val="24"/>
          <w:szCs w:val="24"/>
          <w:lang w:val="uk-UA"/>
        </w:rPr>
      </w:pPr>
    </w:p>
    <w:p w:rsidR="008C691A" w:rsidRDefault="008C691A" w:rsidP="008C691A">
      <w:pPr>
        <w:pStyle w:val="aff1"/>
        <w:spacing w:line="360" w:lineRule="auto"/>
        <w:ind w:firstLine="720"/>
        <w:jc w:val="both"/>
        <w:rPr>
          <w:rFonts w:ascii="Times New Roman" w:hAnsi="Times New Roman" w:cs="Times New Roman"/>
          <w:sz w:val="24"/>
          <w:szCs w:val="24"/>
          <w:lang w:val="uk-UA"/>
        </w:rPr>
      </w:pPr>
    </w:p>
    <w:p w:rsidR="008C691A" w:rsidRDefault="008C691A" w:rsidP="008C691A">
      <w:pPr>
        <w:pStyle w:val="aff1"/>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А В Т О Р Е Ф Е Р А Т</w:t>
      </w:r>
    </w:p>
    <w:p w:rsidR="008C691A" w:rsidRDefault="008C691A" w:rsidP="008C691A">
      <w:pPr>
        <w:pStyle w:val="aff1"/>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дисертації на здобуття наукового ступеня </w:t>
      </w:r>
      <w:r>
        <w:rPr>
          <w:rFonts w:ascii="Times New Roman" w:hAnsi="Times New Roman" w:cs="Times New Roman"/>
          <w:sz w:val="24"/>
          <w:szCs w:val="24"/>
          <w:lang w:val="uk-UA"/>
        </w:rPr>
        <w:br/>
        <w:t xml:space="preserve">кандидата медичних наук </w:t>
      </w: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ind w:firstLine="720"/>
        <w:jc w:val="center"/>
        <w:rPr>
          <w:rFonts w:ascii="Times New Roman" w:hAnsi="Times New Roman" w:cs="Times New Roman"/>
          <w:sz w:val="24"/>
          <w:szCs w:val="24"/>
          <w:lang w:val="uk-UA"/>
        </w:rPr>
      </w:pPr>
    </w:p>
    <w:p w:rsidR="008C691A" w:rsidRDefault="008C691A" w:rsidP="008C691A">
      <w:pPr>
        <w:pStyle w:val="aff1"/>
        <w:spacing w:line="360" w:lineRule="auto"/>
        <w:jc w:val="center"/>
        <w:rPr>
          <w:rFonts w:ascii="Times New Roman" w:hAnsi="Times New Roman" w:cs="Times New Roman"/>
          <w:sz w:val="24"/>
          <w:szCs w:val="24"/>
          <w:lang w:val="uk-UA"/>
        </w:rPr>
      </w:pPr>
    </w:p>
    <w:p w:rsidR="008C691A" w:rsidRDefault="008C691A" w:rsidP="008C691A">
      <w:pPr>
        <w:pStyle w:val="aff1"/>
        <w:spacing w:line="360" w:lineRule="auto"/>
        <w:jc w:val="center"/>
        <w:rPr>
          <w:rFonts w:ascii="Times New Roman" w:hAnsi="Times New Roman" w:cs="Times New Roman"/>
          <w:sz w:val="24"/>
          <w:szCs w:val="24"/>
          <w:lang w:val="uk-UA"/>
        </w:rPr>
      </w:pPr>
    </w:p>
    <w:p w:rsidR="008C691A" w:rsidRDefault="008C691A" w:rsidP="008C691A">
      <w:pPr>
        <w:pStyle w:val="aff1"/>
        <w:spacing w:line="360" w:lineRule="auto"/>
        <w:jc w:val="center"/>
        <w:rPr>
          <w:rFonts w:ascii="Times New Roman" w:hAnsi="Times New Roman" w:cs="Times New Roman"/>
          <w:sz w:val="24"/>
          <w:szCs w:val="24"/>
          <w:lang w:val="uk-UA"/>
        </w:rPr>
      </w:pPr>
    </w:p>
    <w:p w:rsidR="008C691A" w:rsidRDefault="008C691A" w:rsidP="008C691A">
      <w:pPr>
        <w:pStyle w:val="aff1"/>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Донецьк – 2008</w:t>
      </w:r>
    </w:p>
    <w:p w:rsidR="008C691A" w:rsidRDefault="008C691A" w:rsidP="008C691A">
      <w:pPr>
        <w:pStyle w:val="aff1"/>
        <w:spacing w:line="36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Дисертацією є рукопис</w:t>
      </w:r>
    </w:p>
    <w:p w:rsidR="008C691A" w:rsidRDefault="008C691A" w:rsidP="008C691A">
      <w:pPr>
        <w:pStyle w:val="aff1"/>
        <w:spacing w:line="36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Робота виконана у Вінницькому національному медичному університеті </w:t>
      </w:r>
    </w:p>
    <w:p w:rsidR="008C691A" w:rsidRDefault="008C691A" w:rsidP="008C691A">
      <w:pPr>
        <w:pStyle w:val="aff1"/>
        <w:spacing w:line="36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ім. М.І.Пирогова МОЗ України</w:t>
      </w:r>
    </w:p>
    <w:p w:rsidR="008C691A" w:rsidRDefault="008C691A" w:rsidP="008C691A">
      <w:pPr>
        <w:pStyle w:val="aff1"/>
        <w:spacing w:line="360" w:lineRule="auto"/>
        <w:ind w:firstLine="720"/>
        <w:jc w:val="both"/>
        <w:rPr>
          <w:rFonts w:ascii="Times New Roman" w:hAnsi="Times New Roman" w:cs="Times New Roman"/>
          <w:sz w:val="24"/>
          <w:szCs w:val="24"/>
          <w:lang w:val="uk-UA"/>
        </w:rPr>
      </w:pPr>
    </w:p>
    <w:p w:rsidR="008C691A" w:rsidRDefault="008C691A" w:rsidP="008C691A">
      <w:pPr>
        <w:pStyle w:val="aff1"/>
        <w:spacing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Науковий керівник:</w:t>
      </w:r>
    </w:p>
    <w:p w:rsidR="008C691A" w:rsidRDefault="008C691A" w:rsidP="008C691A">
      <w:pPr>
        <w:pStyle w:val="aff1"/>
        <w:spacing w:line="36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доктор медичних наук, професор </w:t>
      </w:r>
      <w:r>
        <w:rPr>
          <w:rFonts w:ascii="Times New Roman" w:hAnsi="Times New Roman" w:cs="Times New Roman"/>
          <w:b/>
          <w:sz w:val="24"/>
          <w:szCs w:val="24"/>
          <w:lang w:val="uk-UA"/>
        </w:rPr>
        <w:t>Болюх Борис Афанасійович</w:t>
      </w:r>
      <w:r>
        <w:rPr>
          <w:rFonts w:ascii="Times New Roman" w:hAnsi="Times New Roman" w:cs="Times New Roman"/>
          <w:sz w:val="24"/>
          <w:szCs w:val="24"/>
          <w:lang w:val="uk-UA"/>
        </w:rPr>
        <w:t>,</w:t>
      </w:r>
    </w:p>
    <w:p w:rsidR="008C691A" w:rsidRDefault="008C691A" w:rsidP="008C691A">
      <w:pPr>
        <w:pStyle w:val="aff1"/>
        <w:spacing w:line="36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Вінницьк</w:t>
      </w:r>
      <w:r>
        <w:rPr>
          <w:rFonts w:ascii="Times New Roman" w:hAnsi="Times New Roman" w:cs="Times New Roman"/>
          <w:sz w:val="24"/>
          <w:szCs w:val="24"/>
        </w:rPr>
        <w:t>ий</w:t>
      </w:r>
      <w:r>
        <w:rPr>
          <w:rFonts w:ascii="Times New Roman" w:hAnsi="Times New Roman" w:cs="Times New Roman"/>
          <w:sz w:val="24"/>
          <w:szCs w:val="24"/>
          <w:lang w:val="uk-UA"/>
        </w:rPr>
        <w:t xml:space="preserve"> національн</w:t>
      </w:r>
      <w:r>
        <w:rPr>
          <w:rFonts w:ascii="Times New Roman" w:hAnsi="Times New Roman" w:cs="Times New Roman"/>
          <w:sz w:val="24"/>
          <w:szCs w:val="24"/>
        </w:rPr>
        <w:t>ий</w:t>
      </w:r>
      <w:r>
        <w:rPr>
          <w:rFonts w:ascii="Times New Roman" w:hAnsi="Times New Roman" w:cs="Times New Roman"/>
          <w:sz w:val="24"/>
          <w:szCs w:val="24"/>
          <w:lang w:val="uk-UA"/>
        </w:rPr>
        <w:t xml:space="preserve"> медичн</w:t>
      </w:r>
      <w:r>
        <w:rPr>
          <w:rFonts w:ascii="Times New Roman" w:hAnsi="Times New Roman" w:cs="Times New Roman"/>
          <w:sz w:val="24"/>
          <w:szCs w:val="24"/>
        </w:rPr>
        <w:t>ий</w:t>
      </w:r>
      <w:r>
        <w:rPr>
          <w:rFonts w:ascii="Times New Roman" w:hAnsi="Times New Roman" w:cs="Times New Roman"/>
          <w:sz w:val="24"/>
          <w:szCs w:val="24"/>
          <w:lang w:val="uk-UA"/>
        </w:rPr>
        <w:t xml:space="preserve"> університет ім. М.І.Пирогова МОЗ України</w:t>
      </w:r>
      <w:r>
        <w:rPr>
          <w:rFonts w:ascii="Times New Roman" w:hAnsi="Times New Roman" w:cs="Times New Roman"/>
          <w:sz w:val="24"/>
          <w:szCs w:val="24"/>
        </w:rPr>
        <w:t>,</w:t>
      </w:r>
      <w:r>
        <w:rPr>
          <w:rFonts w:ascii="Times New Roman" w:hAnsi="Times New Roman" w:cs="Times New Roman"/>
          <w:sz w:val="24"/>
          <w:szCs w:val="24"/>
          <w:lang w:val="uk-UA"/>
        </w:rPr>
        <w:t xml:space="preserve"> завідувач кафедри променевої діагностики, променевої терапії та онкології </w:t>
      </w:r>
    </w:p>
    <w:p w:rsidR="008C691A" w:rsidRDefault="008C691A" w:rsidP="008C691A">
      <w:pPr>
        <w:pStyle w:val="aff1"/>
        <w:spacing w:line="360" w:lineRule="auto"/>
        <w:jc w:val="both"/>
        <w:rPr>
          <w:rFonts w:ascii="Times New Roman" w:hAnsi="Times New Roman" w:cs="Times New Roman"/>
          <w:sz w:val="24"/>
          <w:szCs w:val="24"/>
          <w:lang w:val="uk-UA"/>
        </w:rPr>
      </w:pPr>
    </w:p>
    <w:p w:rsidR="008C691A" w:rsidRDefault="008C691A" w:rsidP="008C691A">
      <w:pPr>
        <w:pStyle w:val="aff1"/>
        <w:spacing w:line="360" w:lineRule="auto"/>
        <w:ind w:left="720"/>
        <w:rPr>
          <w:rFonts w:ascii="Times New Roman" w:hAnsi="Times New Roman" w:cs="Times New Roman"/>
          <w:sz w:val="24"/>
          <w:szCs w:val="24"/>
          <w:lang w:val="uk-UA"/>
        </w:rPr>
      </w:pPr>
    </w:p>
    <w:p w:rsidR="008C691A" w:rsidRDefault="008C691A" w:rsidP="008C691A">
      <w:pPr>
        <w:pStyle w:val="aff1"/>
        <w:spacing w:line="360" w:lineRule="auto"/>
        <w:rPr>
          <w:rFonts w:ascii="Times New Roman" w:hAnsi="Times New Roman" w:cs="Times New Roman"/>
          <w:sz w:val="24"/>
          <w:szCs w:val="24"/>
          <w:lang w:val="uk-UA"/>
        </w:rPr>
      </w:pPr>
      <w:r>
        <w:rPr>
          <w:rFonts w:ascii="Times New Roman" w:hAnsi="Times New Roman" w:cs="Times New Roman"/>
          <w:b/>
          <w:sz w:val="24"/>
          <w:szCs w:val="24"/>
          <w:lang w:val="uk-UA"/>
        </w:rPr>
        <w:t>Офіційні опоненти:</w:t>
      </w:r>
      <w:r>
        <w:rPr>
          <w:rFonts w:ascii="Times New Roman" w:hAnsi="Times New Roman" w:cs="Times New Roman"/>
          <w:sz w:val="24"/>
          <w:szCs w:val="24"/>
          <w:lang w:val="uk-UA"/>
        </w:rPr>
        <w:t xml:space="preserve"> </w:t>
      </w:r>
    </w:p>
    <w:p w:rsidR="008C691A" w:rsidRDefault="008C691A" w:rsidP="008C691A">
      <w:pPr>
        <w:pStyle w:val="aff1"/>
        <w:spacing w:line="36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xml:space="preserve">доктор медичних наук, професор Смоланка Іван Іванович, ДУ "Інститут онкології" АМН України, керівник відділу пухлин молочної залози </w:t>
      </w:r>
    </w:p>
    <w:p w:rsidR="008C691A" w:rsidRDefault="008C691A" w:rsidP="008C691A">
      <w:pPr>
        <w:pStyle w:val="aff1"/>
        <w:spacing w:line="360" w:lineRule="auto"/>
        <w:ind w:left="720"/>
        <w:rPr>
          <w:rFonts w:ascii="Times New Roman" w:hAnsi="Times New Roman" w:cs="Times New Roman"/>
          <w:sz w:val="24"/>
          <w:szCs w:val="24"/>
          <w:lang w:val="uk-UA"/>
        </w:rPr>
      </w:pPr>
    </w:p>
    <w:p w:rsidR="008C691A" w:rsidRDefault="008C691A" w:rsidP="008C691A">
      <w:pPr>
        <w:pStyle w:val="aff1"/>
        <w:spacing w:line="36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доктор медичних наук, професор Сєдаков Ігор Євгенович, Донецький національний меди</w:t>
      </w:r>
      <w:r>
        <w:rPr>
          <w:rFonts w:ascii="Times New Roman" w:hAnsi="Times New Roman" w:cs="Times New Roman"/>
          <w:sz w:val="24"/>
          <w:szCs w:val="24"/>
          <w:lang w:val="uk-UA"/>
        </w:rPr>
        <w:t>ч</w:t>
      </w:r>
      <w:r>
        <w:rPr>
          <w:rFonts w:ascii="Times New Roman" w:hAnsi="Times New Roman" w:cs="Times New Roman"/>
          <w:sz w:val="24"/>
          <w:szCs w:val="24"/>
          <w:lang w:val="uk-UA"/>
        </w:rPr>
        <w:t>ний університет ім. М.Горького МОЗ України, професор кафедри онкології</w:t>
      </w:r>
    </w:p>
    <w:p w:rsidR="008C691A" w:rsidRDefault="008C691A" w:rsidP="008C691A">
      <w:pPr>
        <w:pStyle w:val="aff1"/>
        <w:spacing w:line="360" w:lineRule="auto"/>
        <w:ind w:left="851"/>
        <w:jc w:val="both"/>
        <w:rPr>
          <w:rFonts w:ascii="Times New Roman" w:hAnsi="Times New Roman" w:cs="Times New Roman"/>
          <w:sz w:val="24"/>
          <w:szCs w:val="24"/>
          <w:lang w:val="uk-UA"/>
        </w:rPr>
      </w:pPr>
    </w:p>
    <w:p w:rsidR="008C691A" w:rsidRDefault="008C691A" w:rsidP="008C691A">
      <w:pPr>
        <w:pStyle w:val="35"/>
        <w:widowControl/>
        <w:spacing w:line="360" w:lineRule="auto"/>
        <w:jc w:val="both"/>
        <w:rPr>
          <w:sz w:val="24"/>
          <w:szCs w:val="24"/>
          <w:lang w:val="uk-UA"/>
        </w:rPr>
      </w:pPr>
      <w:r>
        <w:rPr>
          <w:sz w:val="24"/>
          <w:szCs w:val="24"/>
          <w:lang w:val="uk-UA"/>
        </w:rPr>
        <w:t>Захист дисертації відбудеться "23" квітня 2008 року об 11 годині на засіданні спеціалізованої вч</w:t>
      </w:r>
      <w:r>
        <w:rPr>
          <w:sz w:val="24"/>
          <w:szCs w:val="24"/>
          <w:lang w:val="uk-UA"/>
        </w:rPr>
        <w:t>е</w:t>
      </w:r>
      <w:r>
        <w:rPr>
          <w:sz w:val="24"/>
          <w:szCs w:val="24"/>
          <w:lang w:val="uk-UA"/>
        </w:rPr>
        <w:t>ної ради Д.11.600.01 в Донецькому національному медичному університеті ім. М.Горького за адресою: 83003, Україна, м. Донецьк, пр. Ілліча,16.</w:t>
      </w:r>
    </w:p>
    <w:p w:rsidR="008C691A" w:rsidRDefault="008C691A" w:rsidP="008C691A">
      <w:pPr>
        <w:pStyle w:val="38"/>
        <w:rPr>
          <w:szCs w:val="24"/>
        </w:rPr>
      </w:pPr>
    </w:p>
    <w:p w:rsidR="008C691A" w:rsidRDefault="008C691A" w:rsidP="008C691A">
      <w:pPr>
        <w:pStyle w:val="38"/>
        <w:rPr>
          <w:szCs w:val="24"/>
        </w:rPr>
      </w:pPr>
      <w:r>
        <w:rPr>
          <w:szCs w:val="24"/>
        </w:rPr>
        <w:t>З дисертацією можна ознайомитись у бібліотеці Донецького національного медичного ун</w:t>
      </w:r>
      <w:r>
        <w:rPr>
          <w:szCs w:val="24"/>
        </w:rPr>
        <w:t>і</w:t>
      </w:r>
      <w:r>
        <w:rPr>
          <w:szCs w:val="24"/>
        </w:rPr>
        <w:t>верситету ім. М. Горького за адресою: 83003, Україна, м. Донецьк, пр. Ілліча,16.</w:t>
      </w:r>
    </w:p>
    <w:p w:rsidR="008C691A" w:rsidRDefault="008C691A" w:rsidP="008C691A">
      <w:pPr>
        <w:pStyle w:val="38"/>
        <w:rPr>
          <w:szCs w:val="24"/>
        </w:rPr>
      </w:pPr>
    </w:p>
    <w:p w:rsidR="008C691A" w:rsidRDefault="008C691A" w:rsidP="008C691A">
      <w:pPr>
        <w:pStyle w:val="38"/>
        <w:rPr>
          <w:szCs w:val="24"/>
        </w:rPr>
      </w:pPr>
    </w:p>
    <w:p w:rsidR="008C691A" w:rsidRDefault="008C691A" w:rsidP="008C691A">
      <w:pPr>
        <w:spacing w:line="360" w:lineRule="auto"/>
        <w:ind w:firstLine="709"/>
        <w:rPr>
          <w:lang w:val="uk-UA"/>
        </w:rPr>
      </w:pPr>
      <w:r>
        <w:rPr>
          <w:lang w:val="uk-UA"/>
        </w:rPr>
        <w:t>Автореферат розіслано "20" березня 2008 р.</w:t>
      </w:r>
    </w:p>
    <w:p w:rsidR="008C691A" w:rsidRDefault="008C691A" w:rsidP="008C691A">
      <w:pPr>
        <w:spacing w:line="360" w:lineRule="auto"/>
        <w:rPr>
          <w:lang w:val="uk-UA"/>
        </w:rPr>
      </w:pPr>
    </w:p>
    <w:p w:rsidR="008C691A" w:rsidRDefault="008C691A" w:rsidP="008C691A">
      <w:pPr>
        <w:spacing w:line="360" w:lineRule="auto"/>
        <w:rPr>
          <w:lang w:val="uk-UA"/>
        </w:rPr>
      </w:pPr>
      <w:r>
        <w:rPr>
          <w:lang w:val="uk-UA"/>
        </w:rPr>
        <w:lastRenderedPageBreak/>
        <w:t xml:space="preserve">Вчений секретар </w:t>
      </w:r>
    </w:p>
    <w:p w:rsidR="008C691A" w:rsidRDefault="008C691A" w:rsidP="008C691A">
      <w:pPr>
        <w:spacing w:line="360" w:lineRule="auto"/>
        <w:rPr>
          <w:lang w:val="uk-UA"/>
        </w:rPr>
      </w:pPr>
      <w:r>
        <w:rPr>
          <w:lang w:val="uk-UA"/>
        </w:rPr>
        <w:t xml:space="preserve">спеціалізованої вченої ради </w:t>
      </w:r>
      <w:r>
        <w:rPr>
          <w:lang w:val="uk-UA"/>
        </w:rPr>
        <w:tab/>
      </w:r>
    </w:p>
    <w:p w:rsidR="008C691A" w:rsidRDefault="008C691A" w:rsidP="008C691A">
      <w:pPr>
        <w:spacing w:line="360" w:lineRule="auto"/>
        <w:rPr>
          <w:b/>
          <w:lang w:val="uk-UA"/>
        </w:rPr>
      </w:pPr>
      <w:r>
        <w:rPr>
          <w:lang w:val="uk-UA"/>
        </w:rPr>
        <w:t>доктор медичних наук, професор                                                  Д.О.Ластков</w:t>
      </w:r>
    </w:p>
    <w:p w:rsidR="008C691A" w:rsidRDefault="008C691A" w:rsidP="008C691A">
      <w:pPr>
        <w:pStyle w:val="aff1"/>
        <w:spacing w:line="360" w:lineRule="auto"/>
        <w:jc w:val="both"/>
        <w:rPr>
          <w:rFonts w:ascii="Times New Roman" w:hAnsi="Times New Roman" w:cs="Times New Roman"/>
          <w:sz w:val="24"/>
          <w:szCs w:val="24"/>
          <w:lang w:val="uk-UA"/>
        </w:rPr>
        <w:sectPr w:rsidR="008C691A">
          <w:headerReference w:type="even" r:id="rId10"/>
          <w:pgSz w:w="11906" w:h="16838"/>
          <w:pgMar w:top="1134" w:right="567" w:bottom="1134" w:left="1134" w:header="0" w:footer="720" w:gutter="0"/>
          <w:pgNumType w:start="0"/>
          <w:cols w:space="720"/>
          <w:titlePg/>
          <w:docGrid w:linePitch="381"/>
        </w:sectPr>
      </w:pPr>
    </w:p>
    <w:p w:rsidR="008C691A" w:rsidRDefault="008C691A" w:rsidP="008C691A">
      <w:pPr>
        <w:pStyle w:val="affffffff3"/>
        <w:rPr>
          <w:b/>
          <w:sz w:val="24"/>
          <w:szCs w:val="24"/>
          <w:lang w:val="uk-UA"/>
        </w:rPr>
      </w:pPr>
      <w:r>
        <w:rPr>
          <w:b/>
          <w:sz w:val="24"/>
          <w:szCs w:val="24"/>
          <w:lang w:val="uk-UA"/>
        </w:rPr>
        <w:lastRenderedPageBreak/>
        <w:t>ЗАГАЛЬНА ХАРАКТЕРИСТИКА РОБОТИ</w:t>
      </w:r>
    </w:p>
    <w:p w:rsidR="008C691A" w:rsidRDefault="008C691A" w:rsidP="008C691A">
      <w:pPr>
        <w:pStyle w:val="affffffff3"/>
        <w:rPr>
          <w:b/>
          <w:sz w:val="24"/>
          <w:szCs w:val="24"/>
          <w:lang w:val="uk-UA"/>
        </w:rPr>
      </w:pPr>
    </w:p>
    <w:p w:rsidR="008C691A" w:rsidRDefault="008C691A" w:rsidP="008C691A">
      <w:pPr>
        <w:spacing w:line="360" w:lineRule="auto"/>
        <w:ind w:left="-120" w:right="-144" w:firstLine="829"/>
        <w:jc w:val="both"/>
        <w:rPr>
          <w:color w:val="000000"/>
          <w:lang w:val="uk-UA"/>
        </w:rPr>
      </w:pPr>
      <w:r>
        <w:rPr>
          <w:b/>
          <w:lang w:val="uk-UA"/>
        </w:rPr>
        <w:t xml:space="preserve">Актуальність теми. </w:t>
      </w:r>
      <w:r>
        <w:rPr>
          <w:color w:val="000000"/>
          <w:lang w:val="uk-UA"/>
        </w:rPr>
        <w:t xml:space="preserve">Рак грудної залози (РГЗ) займає провідне місце в структурі злоякісних новоутворень у жінок України і є однією з найактуальніших проблем у вітчизняній охороні здоров'я (Летягин В.П., 2004). Щорічно в світі реєструється близько 1 млн. нових випадків РГЗ (Седаков И.Е., 2004; Бондарь Г.В., 2005). За розрахунками американських онкологів, майже кожна десята жінка впродовж життя має шанс захворіти на рак грудної залози. В Україні захворюваність на РГЗ в 2004 р. склала 59,5 на 100 тис. жіночого населення. Залишається високим відсоток запущених стадій серед уперше виявлених новоутворень (25,2 %) в 2004 р. </w:t>
      </w:r>
    </w:p>
    <w:p w:rsidR="008C691A" w:rsidRDefault="008C691A" w:rsidP="008C691A">
      <w:pPr>
        <w:autoSpaceDE w:val="0"/>
        <w:autoSpaceDN w:val="0"/>
        <w:spacing w:line="360" w:lineRule="auto"/>
        <w:ind w:left="-120" w:right="-144" w:firstLine="840"/>
        <w:jc w:val="both"/>
        <w:rPr>
          <w:color w:val="000000"/>
          <w:lang w:val="uk-UA"/>
        </w:rPr>
      </w:pPr>
      <w:r>
        <w:rPr>
          <w:color w:val="000000"/>
          <w:lang w:val="uk-UA"/>
        </w:rPr>
        <w:t>Сучасна концепція лікування РГЗ базується на розумінні біологічної кінетики й агресивності пухлини, шляхів її розповсюдження й індивідуальних особливостей організму. Відповідно до цього визначається місце хірургічного етапу і його адекватний об'єм, роль променевих і медикаментозних методів у лікуванні РГЗ (Черенков В.Г. та ін., 2000). Широке застосування хірургічного методу, д</w:t>
      </w:r>
      <w:r>
        <w:rPr>
          <w:color w:val="000000"/>
          <w:lang w:val="uk-UA"/>
        </w:rPr>
        <w:t>о</w:t>
      </w:r>
      <w:r>
        <w:rPr>
          <w:color w:val="000000"/>
          <w:lang w:val="uk-UA"/>
        </w:rPr>
        <w:t>сить часто призводить до розвитку ряду типових ускладнень, об'єднаних під терміном – постмастектомічний синдром (ПМЕС). Утворення грубих рубців, набряк верхньої кінцівки, деколи з грубими порушеннями її функції, порушення шкірної чутливості – далеко не повний перелік наслі</w:t>
      </w:r>
      <w:r>
        <w:rPr>
          <w:color w:val="000000"/>
          <w:lang w:val="uk-UA"/>
        </w:rPr>
        <w:t>д</w:t>
      </w:r>
      <w:r>
        <w:rPr>
          <w:color w:val="000000"/>
          <w:lang w:val="uk-UA"/>
        </w:rPr>
        <w:t xml:space="preserve">ків радикального лікування РГЗ. Удосконалення методів хірургічного лікування не дали істотних результатів у зниженні кількості ускладнень. </w:t>
      </w:r>
    </w:p>
    <w:p w:rsidR="008C691A" w:rsidRDefault="008C691A" w:rsidP="008C691A">
      <w:pPr>
        <w:spacing w:line="360" w:lineRule="auto"/>
        <w:ind w:right="-144" w:firstLine="709"/>
        <w:jc w:val="both"/>
        <w:rPr>
          <w:color w:val="000000"/>
          <w:lang w:val="uk-UA"/>
        </w:rPr>
      </w:pPr>
      <w:r>
        <w:rPr>
          <w:color w:val="000000"/>
          <w:lang w:val="uk-UA"/>
        </w:rPr>
        <w:t>Досі немає єдиної чіткої концепції патогенезу розвитку ПМЕС. Так, розвиток лімфедеми п</w:t>
      </w:r>
      <w:r>
        <w:rPr>
          <w:color w:val="000000"/>
          <w:lang w:val="uk-UA"/>
        </w:rPr>
        <w:t>о</w:t>
      </w:r>
      <w:r>
        <w:rPr>
          <w:color w:val="000000"/>
          <w:lang w:val="uk-UA"/>
        </w:rPr>
        <w:t>в'язують з місцевими фіброзними змінами м'яких тканин післяопераційної зони, больовий синдром і зниження м'язової сили – з розвитком плечової плексопатії. Деякі автори велику роль у розвитку ПМЕС відводять променевій терапії, особливо на підключичну і аксілярну зони, яка супроводж</w:t>
      </w:r>
      <w:r>
        <w:rPr>
          <w:color w:val="000000"/>
          <w:lang w:val="uk-UA"/>
        </w:rPr>
        <w:t>у</w:t>
      </w:r>
      <w:r>
        <w:rPr>
          <w:color w:val="000000"/>
          <w:lang w:val="uk-UA"/>
        </w:rPr>
        <w:t>ється стійкими фіброзно-дистрофічними порушеннями, призводить до пошкодження мікроциркуляторного русла і нервово-рецепторного апарату (Гнатышак А.И. та ін., 1992). Вваж</w:t>
      </w:r>
      <w:r>
        <w:rPr>
          <w:color w:val="000000"/>
          <w:lang w:val="uk-UA"/>
        </w:rPr>
        <w:t>а</w:t>
      </w:r>
      <w:r>
        <w:rPr>
          <w:color w:val="000000"/>
          <w:lang w:val="uk-UA"/>
        </w:rPr>
        <w:t>ється, що саме променеве пошкодження виконує вирішальну роль в розвитку ПМЕС (Law M. F.et al., 1981;  Дубровська В.Ф., 1991).</w:t>
      </w:r>
    </w:p>
    <w:p w:rsidR="008C691A" w:rsidRDefault="008C691A" w:rsidP="008C691A">
      <w:pPr>
        <w:spacing w:line="360" w:lineRule="auto"/>
        <w:ind w:right="-144" w:firstLine="709"/>
        <w:jc w:val="both"/>
        <w:rPr>
          <w:color w:val="000000"/>
          <w:lang w:val="uk-UA"/>
        </w:rPr>
      </w:pPr>
      <w:r>
        <w:rPr>
          <w:color w:val="000000"/>
          <w:lang w:val="uk-UA"/>
        </w:rPr>
        <w:t>На сьогоднішній день існує безліч методів лікування ПМЕС, спрямованих на ліквідацію пе</w:t>
      </w:r>
      <w:r>
        <w:rPr>
          <w:color w:val="000000"/>
          <w:lang w:val="uk-UA"/>
        </w:rPr>
        <w:t>в</w:t>
      </w:r>
      <w:r>
        <w:rPr>
          <w:color w:val="000000"/>
          <w:lang w:val="uk-UA"/>
        </w:rPr>
        <w:t xml:space="preserve">них симптомів. Запропоновані різні фізіотерапевтичні, медикаментозні і навіть хірургічні методи лікування набряку кінцівки, плекситу, ураження кістково-зв'язкового апарату. Але підбір способів лікування проходить суто симптоматично, без урахування патоморфологічних змін. </w:t>
      </w:r>
    </w:p>
    <w:p w:rsidR="008C691A" w:rsidRDefault="008C691A" w:rsidP="008C691A">
      <w:pPr>
        <w:autoSpaceDE w:val="0"/>
        <w:autoSpaceDN w:val="0"/>
        <w:spacing w:line="360" w:lineRule="auto"/>
        <w:ind w:right="-144" w:firstLine="709"/>
        <w:jc w:val="both"/>
        <w:rPr>
          <w:color w:val="000000"/>
          <w:lang w:val="uk-UA"/>
        </w:rPr>
      </w:pPr>
      <w:r>
        <w:rPr>
          <w:color w:val="000000"/>
          <w:lang w:val="uk-UA"/>
        </w:rPr>
        <w:t>Tаким чином, не дивлячись на певні успіхи в реабілітації хворих на РГЗ, проблема попер</w:t>
      </w:r>
      <w:r>
        <w:rPr>
          <w:color w:val="000000"/>
          <w:lang w:val="uk-UA"/>
        </w:rPr>
        <w:t>е</w:t>
      </w:r>
      <w:r>
        <w:rPr>
          <w:color w:val="000000"/>
          <w:lang w:val="uk-UA"/>
        </w:rPr>
        <w:t>дження ПМЕС залишається далеко невирішеною і диктує необхідність вивчення патогенезу цього процесу та розробки ефективних патогномонічних методів його профілактики.</w:t>
      </w:r>
    </w:p>
    <w:p w:rsidR="008C691A" w:rsidRDefault="008C691A" w:rsidP="008C691A">
      <w:pPr>
        <w:autoSpaceDE w:val="0"/>
        <w:autoSpaceDN w:val="0"/>
        <w:spacing w:line="360" w:lineRule="auto"/>
        <w:ind w:firstLine="709"/>
        <w:jc w:val="both"/>
        <w:rPr>
          <w:color w:val="000000"/>
          <w:lang w:val="uk-UA"/>
        </w:rPr>
      </w:pPr>
      <w:r>
        <w:rPr>
          <w:b/>
          <w:lang w:val="uk-UA"/>
        </w:rPr>
        <w:t xml:space="preserve">Зв’язок роботи з науковими програмами, планами і темами. </w:t>
      </w:r>
      <w:r>
        <w:rPr>
          <w:color w:val="000000"/>
          <w:lang w:val="uk-UA"/>
        </w:rPr>
        <w:t>Робота є складовою част</w:t>
      </w:r>
      <w:r>
        <w:rPr>
          <w:color w:val="000000"/>
          <w:lang w:val="uk-UA"/>
        </w:rPr>
        <w:t>и</w:t>
      </w:r>
      <w:r>
        <w:rPr>
          <w:color w:val="000000"/>
          <w:lang w:val="uk-UA"/>
        </w:rPr>
        <w:t xml:space="preserve">ною планової науково-дослідної роботи кафедри променевої діагностики, променевої терапії та онкології ВНМУ ім. М.І.Пирогова „Клініко-морфологічні аспекти діагностики, </w:t>
      </w:r>
      <w:r>
        <w:rPr>
          <w:color w:val="000000"/>
          <w:lang w:val="uk-UA"/>
        </w:rPr>
        <w:lastRenderedPageBreak/>
        <w:t>лікування та реаб</w:t>
      </w:r>
      <w:r>
        <w:rPr>
          <w:color w:val="000000"/>
          <w:lang w:val="uk-UA"/>
        </w:rPr>
        <w:t>і</w:t>
      </w:r>
      <w:r>
        <w:rPr>
          <w:color w:val="000000"/>
          <w:lang w:val="uk-UA"/>
        </w:rPr>
        <w:t xml:space="preserve">літації хворих на злоякісні новоутворення” № держреєстрації 0104V002842. Автор брав особисту участь у розробці та впровадженні способів діагностики та профілактики ПМЕС. </w:t>
      </w:r>
    </w:p>
    <w:p w:rsidR="008C691A" w:rsidRDefault="008C691A" w:rsidP="008C691A">
      <w:pPr>
        <w:autoSpaceDE w:val="0"/>
        <w:autoSpaceDN w:val="0"/>
        <w:spacing w:line="360" w:lineRule="auto"/>
        <w:ind w:firstLine="709"/>
        <w:jc w:val="both"/>
        <w:rPr>
          <w:color w:val="000000"/>
          <w:lang w:val="uk-UA"/>
        </w:rPr>
      </w:pPr>
      <w:r>
        <w:rPr>
          <w:b/>
          <w:lang w:val="uk-UA"/>
        </w:rPr>
        <w:t xml:space="preserve">Мета дослідження. </w:t>
      </w:r>
      <w:r>
        <w:rPr>
          <w:color w:val="000000"/>
          <w:lang w:val="uk-UA"/>
        </w:rPr>
        <w:t>Удосконалити методи ранньої діагностики постмастектомічного син</w:t>
      </w:r>
      <w:r>
        <w:rPr>
          <w:color w:val="000000"/>
          <w:lang w:val="uk-UA"/>
        </w:rPr>
        <w:t>д</w:t>
      </w:r>
      <w:r>
        <w:rPr>
          <w:color w:val="000000"/>
          <w:lang w:val="uk-UA"/>
        </w:rPr>
        <w:t>рому за допомогою ультразвукової денситометрії та розробити спосіб його профілактики шляхом застосування детралексу.</w:t>
      </w:r>
    </w:p>
    <w:p w:rsidR="008C691A" w:rsidRDefault="008C691A" w:rsidP="008C691A">
      <w:pPr>
        <w:autoSpaceDE w:val="0"/>
        <w:autoSpaceDN w:val="0"/>
        <w:spacing w:line="360" w:lineRule="auto"/>
        <w:ind w:right="-5" w:firstLine="720"/>
        <w:jc w:val="both"/>
        <w:rPr>
          <w:color w:val="000000"/>
          <w:lang w:val="uk-UA"/>
        </w:rPr>
      </w:pPr>
      <w:r>
        <w:rPr>
          <w:bCs/>
          <w:color w:val="000000"/>
          <w:lang w:val="uk-UA"/>
        </w:rPr>
        <w:t>Для досягнення мети поставлені такі</w:t>
      </w:r>
      <w:r>
        <w:rPr>
          <w:b/>
          <w:bCs/>
          <w:color w:val="000000"/>
          <w:lang w:val="uk-UA"/>
        </w:rPr>
        <w:t xml:space="preserve"> завдання</w:t>
      </w:r>
      <w:r>
        <w:rPr>
          <w:color w:val="000000"/>
          <w:lang w:val="uk-UA"/>
        </w:rPr>
        <w:t>:</w:t>
      </w:r>
    </w:p>
    <w:p w:rsidR="008C691A" w:rsidRDefault="008C691A" w:rsidP="006F4052">
      <w:pPr>
        <w:numPr>
          <w:ilvl w:val="0"/>
          <w:numId w:val="58"/>
        </w:numPr>
        <w:tabs>
          <w:tab w:val="clear" w:pos="360"/>
          <w:tab w:val="num" w:pos="0"/>
          <w:tab w:val="left" w:pos="993"/>
        </w:tabs>
        <w:suppressAutoHyphens w:val="0"/>
        <w:spacing w:line="360" w:lineRule="auto"/>
        <w:ind w:left="0" w:firstLine="709"/>
        <w:jc w:val="both"/>
        <w:rPr>
          <w:color w:val="000000"/>
          <w:lang w:val="uk-UA"/>
        </w:rPr>
      </w:pPr>
      <w:r>
        <w:rPr>
          <w:color w:val="000000"/>
          <w:lang w:val="uk-UA"/>
        </w:rPr>
        <w:t>Провести аналіз постмастектомічних ускладнень і вивчити морфо-функціональні пор</w:t>
      </w:r>
      <w:r>
        <w:rPr>
          <w:color w:val="000000"/>
          <w:lang w:val="uk-UA"/>
        </w:rPr>
        <w:t>у</w:t>
      </w:r>
      <w:r>
        <w:rPr>
          <w:color w:val="000000"/>
          <w:lang w:val="uk-UA"/>
        </w:rPr>
        <w:t>шення в грудних м'язах у різний термін після радикального лікування раку грудної залози.</w:t>
      </w:r>
    </w:p>
    <w:p w:rsidR="008C691A" w:rsidRDefault="008C691A" w:rsidP="006F4052">
      <w:pPr>
        <w:numPr>
          <w:ilvl w:val="0"/>
          <w:numId w:val="58"/>
        </w:numPr>
        <w:tabs>
          <w:tab w:val="left" w:pos="993"/>
        </w:tabs>
        <w:suppressAutoHyphens w:val="0"/>
        <w:spacing w:line="360" w:lineRule="auto"/>
        <w:ind w:left="0" w:firstLine="709"/>
        <w:jc w:val="both"/>
        <w:rPr>
          <w:color w:val="000000"/>
          <w:lang w:val="uk-UA"/>
        </w:rPr>
      </w:pPr>
      <w:r>
        <w:rPr>
          <w:color w:val="000000"/>
          <w:lang w:val="uk-UA"/>
        </w:rPr>
        <w:t>Дослідити біохімічні зміни в крові і м'язовій тканині щурів під дією опромінення на фоні введення флавоноїдів і без них.</w:t>
      </w:r>
    </w:p>
    <w:p w:rsidR="008C691A" w:rsidRDefault="008C691A" w:rsidP="006F4052">
      <w:pPr>
        <w:numPr>
          <w:ilvl w:val="0"/>
          <w:numId w:val="58"/>
        </w:numPr>
        <w:tabs>
          <w:tab w:val="left" w:pos="993"/>
        </w:tabs>
        <w:suppressAutoHyphens w:val="0"/>
        <w:autoSpaceDE w:val="0"/>
        <w:autoSpaceDN w:val="0"/>
        <w:spacing w:line="360" w:lineRule="auto"/>
        <w:ind w:left="0" w:firstLine="709"/>
        <w:jc w:val="both"/>
        <w:rPr>
          <w:color w:val="000000"/>
          <w:lang w:val="uk-UA"/>
        </w:rPr>
      </w:pPr>
      <w:r>
        <w:rPr>
          <w:color w:val="000000"/>
          <w:lang w:val="uk-UA"/>
        </w:rPr>
        <w:t xml:space="preserve">Визначити вплив флавоноїду детралексу на розвиток постпроменевого фіброзу м'язової тканини в експерименті та у хворих після радикального лікування раку грудної залози. </w:t>
      </w:r>
    </w:p>
    <w:p w:rsidR="008C691A" w:rsidRDefault="008C691A" w:rsidP="006F4052">
      <w:pPr>
        <w:numPr>
          <w:ilvl w:val="0"/>
          <w:numId w:val="58"/>
        </w:numPr>
        <w:tabs>
          <w:tab w:val="left" w:pos="993"/>
        </w:tabs>
        <w:suppressAutoHyphens w:val="0"/>
        <w:autoSpaceDE w:val="0"/>
        <w:autoSpaceDN w:val="0"/>
        <w:spacing w:line="360" w:lineRule="auto"/>
        <w:ind w:left="0" w:firstLine="709"/>
        <w:jc w:val="both"/>
        <w:rPr>
          <w:color w:val="000000"/>
          <w:lang w:val="uk-UA"/>
        </w:rPr>
      </w:pPr>
      <w:r>
        <w:rPr>
          <w:color w:val="000000"/>
          <w:lang w:val="uk-UA"/>
        </w:rPr>
        <w:t xml:space="preserve">Удосконалити методи експертної оцінки постмастектомічного синдрому. </w:t>
      </w:r>
    </w:p>
    <w:p w:rsidR="008C691A" w:rsidRDefault="008C691A" w:rsidP="006F4052">
      <w:pPr>
        <w:numPr>
          <w:ilvl w:val="0"/>
          <w:numId w:val="58"/>
        </w:numPr>
        <w:tabs>
          <w:tab w:val="left" w:pos="993"/>
        </w:tabs>
        <w:suppressAutoHyphens w:val="0"/>
        <w:autoSpaceDE w:val="0"/>
        <w:autoSpaceDN w:val="0"/>
        <w:spacing w:line="360" w:lineRule="auto"/>
        <w:ind w:left="0" w:firstLine="709"/>
        <w:jc w:val="both"/>
        <w:rPr>
          <w:color w:val="000000"/>
          <w:lang w:val="uk-UA"/>
        </w:rPr>
      </w:pPr>
      <w:r>
        <w:rPr>
          <w:color w:val="000000"/>
          <w:lang w:val="uk-UA"/>
        </w:rPr>
        <w:t>Розробити практичні пропозиції і рекомендації щодо застосування детралексу в компл</w:t>
      </w:r>
      <w:r>
        <w:rPr>
          <w:color w:val="000000"/>
          <w:lang w:val="uk-UA"/>
        </w:rPr>
        <w:t>е</w:t>
      </w:r>
      <w:r>
        <w:rPr>
          <w:color w:val="000000"/>
          <w:lang w:val="uk-UA"/>
        </w:rPr>
        <w:t>ксному лікуванні раку молочної залози.</w:t>
      </w:r>
    </w:p>
    <w:p w:rsidR="008C691A" w:rsidRDefault="008C691A" w:rsidP="008C691A">
      <w:pPr>
        <w:pStyle w:val="aff1"/>
        <w:spacing w:line="360" w:lineRule="auto"/>
        <w:ind w:firstLine="709"/>
        <w:jc w:val="both"/>
        <w:rPr>
          <w:rFonts w:ascii="Times New Roman" w:hAnsi="Times New Roman" w:cs="Times New Roman"/>
          <w:sz w:val="24"/>
          <w:szCs w:val="24"/>
          <w:lang w:val="uk-UA"/>
        </w:rPr>
      </w:pPr>
    </w:p>
    <w:p w:rsidR="008C691A" w:rsidRDefault="008C691A" w:rsidP="008C691A">
      <w:pPr>
        <w:spacing w:line="360" w:lineRule="auto"/>
        <w:ind w:firstLine="709"/>
        <w:jc w:val="both"/>
        <w:rPr>
          <w:bCs/>
          <w:color w:val="000000"/>
          <w:lang w:val="uk-UA"/>
        </w:rPr>
      </w:pPr>
      <w:r>
        <w:rPr>
          <w:bCs/>
          <w:i/>
          <w:color w:val="000000"/>
          <w:lang w:val="uk-UA"/>
        </w:rPr>
        <w:t>Об'єкт дослідження:</w:t>
      </w:r>
      <w:r>
        <w:rPr>
          <w:bCs/>
          <w:color w:val="000000"/>
          <w:lang w:val="uk-UA"/>
        </w:rPr>
        <w:t xml:space="preserve"> постмастектомічний синдром, його механізм розвитку, клінічні пр</w:t>
      </w:r>
      <w:r>
        <w:rPr>
          <w:bCs/>
          <w:color w:val="000000"/>
          <w:lang w:val="uk-UA"/>
        </w:rPr>
        <w:t>о</w:t>
      </w:r>
      <w:r>
        <w:rPr>
          <w:bCs/>
          <w:color w:val="000000"/>
          <w:lang w:val="uk-UA"/>
        </w:rPr>
        <w:t>яви, діагностика і профілактика.</w:t>
      </w:r>
    </w:p>
    <w:p w:rsidR="008C691A" w:rsidRDefault="008C691A" w:rsidP="008C691A">
      <w:pPr>
        <w:autoSpaceDE w:val="0"/>
        <w:autoSpaceDN w:val="0"/>
        <w:spacing w:line="360" w:lineRule="auto"/>
        <w:ind w:firstLine="709"/>
        <w:jc w:val="both"/>
        <w:rPr>
          <w:bCs/>
          <w:color w:val="000000"/>
          <w:lang w:val="uk-UA"/>
        </w:rPr>
      </w:pPr>
      <w:r>
        <w:rPr>
          <w:bCs/>
          <w:i/>
          <w:color w:val="000000"/>
          <w:lang w:val="uk-UA"/>
        </w:rPr>
        <w:t>Предмет дослідження:</w:t>
      </w:r>
      <w:r>
        <w:rPr>
          <w:bCs/>
          <w:color w:val="000000"/>
          <w:lang w:val="uk-UA"/>
        </w:rPr>
        <w:t xml:space="preserve"> функціональний стан верхньої кінцівки і плечового поясу, морф</w:t>
      </w:r>
      <w:r>
        <w:rPr>
          <w:bCs/>
          <w:color w:val="000000"/>
          <w:lang w:val="uk-UA"/>
        </w:rPr>
        <w:t>о</w:t>
      </w:r>
      <w:r>
        <w:rPr>
          <w:bCs/>
          <w:color w:val="000000"/>
          <w:lang w:val="uk-UA"/>
        </w:rPr>
        <w:t>логічні зміни в грудних м'язах хворих на РГЗ після радикального лікування; морфологічні і біохімічні зміни м'язової тканини і крові щурів після опромінення.</w:t>
      </w:r>
    </w:p>
    <w:p w:rsidR="008C691A" w:rsidRDefault="008C691A" w:rsidP="008C691A">
      <w:pPr>
        <w:pStyle w:val="affffffff"/>
        <w:spacing w:line="360" w:lineRule="auto"/>
        <w:ind w:firstLine="709"/>
        <w:rPr>
          <w:rFonts w:ascii="Times New Roman" w:hAnsi="Times New Roman" w:cs="Times New Roman"/>
          <w:bCs/>
          <w:color w:val="000000"/>
          <w:sz w:val="24"/>
          <w:lang w:val="uk-UA"/>
        </w:rPr>
      </w:pPr>
      <w:r>
        <w:rPr>
          <w:rFonts w:ascii="Times New Roman" w:hAnsi="Times New Roman" w:cs="Times New Roman"/>
          <w:bCs/>
          <w:i/>
          <w:color w:val="000000"/>
          <w:sz w:val="24"/>
          <w:lang w:val="uk-UA"/>
        </w:rPr>
        <w:t>Методи дослідження:</w:t>
      </w:r>
      <w:r>
        <w:rPr>
          <w:rFonts w:ascii="Times New Roman" w:hAnsi="Times New Roman" w:cs="Times New Roman"/>
          <w:bCs/>
          <w:color w:val="000000"/>
          <w:sz w:val="24"/>
          <w:lang w:val="uk-UA"/>
        </w:rPr>
        <w:t xml:space="preserve"> загальноклінічні – для вивчення у хворих проявів постмастектомі</w:t>
      </w:r>
      <w:r>
        <w:rPr>
          <w:rFonts w:ascii="Times New Roman" w:hAnsi="Times New Roman" w:cs="Times New Roman"/>
          <w:bCs/>
          <w:color w:val="000000"/>
          <w:sz w:val="24"/>
          <w:lang w:val="uk-UA"/>
        </w:rPr>
        <w:t>ч</w:t>
      </w:r>
      <w:r>
        <w:rPr>
          <w:rFonts w:ascii="Times New Roman" w:hAnsi="Times New Roman" w:cs="Times New Roman"/>
          <w:bCs/>
          <w:color w:val="000000"/>
          <w:sz w:val="24"/>
          <w:lang w:val="uk-UA"/>
        </w:rPr>
        <w:t>ного синдрому; денситометричний – для визначення щільності грудних м'язів у хворих після радикального лікування РГЗ; гістологічний – для вивчення морфологічних змін у м'язовій тканині хворих на РГЗ після радикального лікування і щурів після опромінення; біохімічний – для вивче</w:t>
      </w:r>
      <w:r>
        <w:rPr>
          <w:rFonts w:ascii="Times New Roman" w:hAnsi="Times New Roman" w:cs="Times New Roman"/>
          <w:bCs/>
          <w:color w:val="000000"/>
          <w:sz w:val="24"/>
          <w:lang w:val="uk-UA"/>
        </w:rPr>
        <w:t>н</w:t>
      </w:r>
      <w:r>
        <w:rPr>
          <w:rFonts w:ascii="Times New Roman" w:hAnsi="Times New Roman" w:cs="Times New Roman"/>
          <w:bCs/>
          <w:color w:val="000000"/>
          <w:sz w:val="24"/>
          <w:lang w:val="uk-UA"/>
        </w:rPr>
        <w:t>ня обміну сполучної тканини, білкового, жирового та вуглеводного обмінів в гомогенаті м'язової тканини та в крові опромінених щурів, для дослідження впливу на обмін речовин продуктів пер</w:t>
      </w:r>
      <w:r>
        <w:rPr>
          <w:rFonts w:ascii="Times New Roman" w:hAnsi="Times New Roman" w:cs="Times New Roman"/>
          <w:bCs/>
          <w:color w:val="000000"/>
          <w:sz w:val="24"/>
          <w:lang w:val="uk-UA"/>
        </w:rPr>
        <w:t>е</w:t>
      </w:r>
      <w:r>
        <w:rPr>
          <w:rFonts w:ascii="Times New Roman" w:hAnsi="Times New Roman" w:cs="Times New Roman"/>
          <w:bCs/>
          <w:color w:val="000000"/>
          <w:sz w:val="24"/>
          <w:lang w:val="uk-UA"/>
        </w:rPr>
        <w:t>кисного окислення ліпідів та карбонілювання білків, для оцінки протекторних властивостей цитрусових флавоноїдів.</w:t>
      </w:r>
    </w:p>
    <w:p w:rsidR="008C691A" w:rsidRDefault="008C691A" w:rsidP="008C691A">
      <w:pPr>
        <w:shd w:val="clear" w:color="auto" w:fill="FFFFFF"/>
        <w:spacing w:line="360" w:lineRule="auto"/>
        <w:ind w:firstLine="709"/>
        <w:jc w:val="both"/>
        <w:rPr>
          <w:bCs/>
          <w:color w:val="000000"/>
          <w:lang w:val="uk-UA"/>
        </w:rPr>
      </w:pPr>
      <w:r>
        <w:rPr>
          <w:bCs/>
          <w:color w:val="000000"/>
          <w:lang w:val="uk-UA"/>
        </w:rPr>
        <w:t xml:space="preserve">Статистичний аналіз – для вивчення розподілу хворих за віком, стадією РГЗ, виживанням, програмою телегамма-терапії (ТГТ) та побічними ефектами радикального лікування РГЗ, </w:t>
      </w:r>
      <w:r>
        <w:rPr>
          <w:color w:val="000000"/>
          <w:lang w:val="uk-UA"/>
        </w:rPr>
        <w:t>пров</w:t>
      </w:r>
      <w:r>
        <w:rPr>
          <w:color w:val="000000"/>
          <w:lang w:val="uk-UA"/>
        </w:rPr>
        <w:t>о</w:t>
      </w:r>
      <w:r>
        <w:rPr>
          <w:color w:val="000000"/>
          <w:lang w:val="uk-UA"/>
        </w:rPr>
        <w:t xml:space="preserve">дився в середовищі пакета MEDSTAT (Лях Ю.Е., Гурьянов В.Г., 2004) і Statistica 5.5 (StatSoft. Inc., 1999).  </w:t>
      </w:r>
      <w:r>
        <w:rPr>
          <w:bCs/>
          <w:color w:val="000000"/>
          <w:lang w:val="uk-UA"/>
        </w:rPr>
        <w:t xml:space="preserve"> </w:t>
      </w:r>
    </w:p>
    <w:p w:rsidR="008C691A" w:rsidRDefault="008C691A" w:rsidP="008C691A">
      <w:pPr>
        <w:shd w:val="clear" w:color="auto" w:fill="FFFFFF"/>
        <w:spacing w:line="360" w:lineRule="auto"/>
        <w:ind w:firstLine="709"/>
        <w:jc w:val="both"/>
        <w:rPr>
          <w:bCs/>
          <w:color w:val="000000"/>
          <w:lang w:val="uk-UA"/>
        </w:rPr>
      </w:pPr>
      <w:r>
        <w:rPr>
          <w:b/>
          <w:bCs/>
          <w:color w:val="000000"/>
          <w:lang w:val="uk-UA"/>
        </w:rPr>
        <w:lastRenderedPageBreak/>
        <w:t>Наукова новизна одержаних результатів</w:t>
      </w:r>
      <w:r>
        <w:rPr>
          <w:bCs/>
          <w:color w:val="000000"/>
          <w:lang w:val="uk-UA"/>
        </w:rPr>
        <w:t>. Вперше доведена принципова можливість пі</w:t>
      </w:r>
      <w:r>
        <w:rPr>
          <w:bCs/>
          <w:color w:val="000000"/>
          <w:lang w:val="uk-UA"/>
        </w:rPr>
        <w:t>д</w:t>
      </w:r>
      <w:r>
        <w:rPr>
          <w:bCs/>
          <w:color w:val="000000"/>
          <w:lang w:val="uk-UA"/>
        </w:rPr>
        <w:t>вищення ефективності профілактики постмастектомічного синдрому шляхом застосування рослинних флавоноїдів. Вперше вивчено морфологічний стан грудних м'язів у хворих після рад</w:t>
      </w:r>
      <w:r>
        <w:rPr>
          <w:bCs/>
          <w:color w:val="000000"/>
          <w:lang w:val="uk-UA"/>
        </w:rPr>
        <w:t>и</w:t>
      </w:r>
      <w:r>
        <w:rPr>
          <w:bCs/>
          <w:color w:val="000000"/>
          <w:lang w:val="uk-UA"/>
        </w:rPr>
        <w:t>кальної мастектомії в комбінації з ТГТ. Вперше використана ультразвукова денситометрія м'яких тканин плечового поясу для визначення ступеня ПМЕС. Вперше визначено вплив процесу фібр</w:t>
      </w:r>
      <w:r>
        <w:rPr>
          <w:bCs/>
          <w:color w:val="000000"/>
          <w:lang w:val="uk-UA"/>
        </w:rPr>
        <w:t>о</w:t>
      </w:r>
      <w:r>
        <w:rPr>
          <w:bCs/>
          <w:color w:val="000000"/>
          <w:lang w:val="uk-UA"/>
        </w:rPr>
        <w:t>тизації грудних м'язів на ступінь ПМЕС у хворих на рак грудної залози після радикального лікування. Вперше застосовано флавоноїд детралекс для профілактики ПМЕС.</w:t>
      </w:r>
    </w:p>
    <w:p w:rsidR="008C691A" w:rsidRDefault="008C691A" w:rsidP="008C691A">
      <w:pPr>
        <w:shd w:val="clear" w:color="auto" w:fill="FFFFFF"/>
        <w:spacing w:line="360" w:lineRule="auto"/>
        <w:ind w:firstLine="709"/>
        <w:jc w:val="both"/>
        <w:rPr>
          <w:bCs/>
          <w:color w:val="000000"/>
          <w:lang w:val="uk-UA"/>
        </w:rPr>
      </w:pPr>
      <w:r>
        <w:rPr>
          <w:b/>
          <w:bCs/>
          <w:color w:val="000000"/>
          <w:lang w:val="uk-UA"/>
        </w:rPr>
        <w:t>Практичне значення одержаних результатів</w:t>
      </w:r>
      <w:r>
        <w:rPr>
          <w:bCs/>
          <w:color w:val="000000"/>
          <w:lang w:val="uk-UA"/>
        </w:rPr>
        <w:t>. В умовах клініки доведено доцільність пр</w:t>
      </w:r>
      <w:r>
        <w:rPr>
          <w:bCs/>
          <w:color w:val="000000"/>
          <w:lang w:val="uk-UA"/>
        </w:rPr>
        <w:t>и</w:t>
      </w:r>
      <w:r>
        <w:rPr>
          <w:bCs/>
          <w:color w:val="000000"/>
          <w:lang w:val="uk-UA"/>
        </w:rPr>
        <w:t>значення флавоноїдного препарату детралекс для профілактики розвитку ПМЕС. Використання цього препарату значно зменшує процеси склерозування і фібротизації в грудних м'язах і виник</w:t>
      </w:r>
      <w:r>
        <w:rPr>
          <w:bCs/>
          <w:color w:val="000000"/>
          <w:lang w:val="uk-UA"/>
        </w:rPr>
        <w:t>а</w:t>
      </w:r>
      <w:r>
        <w:rPr>
          <w:bCs/>
          <w:color w:val="000000"/>
          <w:lang w:val="uk-UA"/>
        </w:rPr>
        <w:t>ючий при цьому симптомокомплекс (біль, набряк, порушення чутливості, рухів, зниження м'язової сили) в руці з боку операції після радикального лікування РГЗ.</w:t>
      </w:r>
    </w:p>
    <w:p w:rsidR="008C691A" w:rsidRDefault="008C691A" w:rsidP="008C691A">
      <w:pPr>
        <w:shd w:val="clear" w:color="auto" w:fill="FFFFFF"/>
        <w:spacing w:line="360" w:lineRule="auto"/>
        <w:ind w:firstLine="709"/>
        <w:jc w:val="both"/>
        <w:rPr>
          <w:bCs/>
          <w:color w:val="000000"/>
          <w:lang w:val="uk-UA"/>
        </w:rPr>
      </w:pPr>
      <w:r>
        <w:rPr>
          <w:bCs/>
          <w:color w:val="000000"/>
          <w:lang w:val="uk-UA"/>
        </w:rPr>
        <w:t>Розкриті основні  механізми розвитку ПМЕС. Визначена роль постпроменевого фіброзу грудних м'язів і науково обґрунтовано застосування флавоноїду детралексу, що має антифіброт</w:t>
      </w:r>
      <w:r>
        <w:rPr>
          <w:bCs/>
          <w:color w:val="000000"/>
          <w:lang w:val="uk-UA"/>
        </w:rPr>
        <w:t>и</w:t>
      </w:r>
      <w:r>
        <w:rPr>
          <w:bCs/>
          <w:color w:val="000000"/>
          <w:lang w:val="uk-UA"/>
        </w:rPr>
        <w:t>чну, антиоксидантну  і ангіопротекторну активність, з метою профілактики ПМЕС.</w:t>
      </w:r>
    </w:p>
    <w:p w:rsidR="008C691A" w:rsidRDefault="008C691A" w:rsidP="008C691A">
      <w:pPr>
        <w:shd w:val="clear" w:color="auto" w:fill="FFFFFF"/>
        <w:spacing w:line="360" w:lineRule="auto"/>
        <w:ind w:firstLine="709"/>
        <w:jc w:val="both"/>
        <w:rPr>
          <w:bCs/>
          <w:color w:val="000000"/>
          <w:lang w:val="uk-UA"/>
        </w:rPr>
      </w:pPr>
      <w:r>
        <w:rPr>
          <w:bCs/>
          <w:color w:val="000000"/>
          <w:lang w:val="uk-UA"/>
        </w:rPr>
        <w:t>Розроблено ефективний спосіб діагностики фібротизації грудних м'язів за допомогою уль</w:t>
      </w:r>
      <w:r>
        <w:rPr>
          <w:bCs/>
          <w:color w:val="000000"/>
          <w:lang w:val="uk-UA"/>
        </w:rPr>
        <w:t>т</w:t>
      </w:r>
      <w:r>
        <w:rPr>
          <w:bCs/>
          <w:color w:val="000000"/>
          <w:lang w:val="uk-UA"/>
        </w:rPr>
        <w:t>развукової денситометрії, що дозволить прогнозувати ПМЕС на ранніх стадіях і своєчасно призначати профілактичне лікування.</w:t>
      </w:r>
    </w:p>
    <w:p w:rsidR="008C691A" w:rsidRDefault="008C691A" w:rsidP="008C691A">
      <w:pPr>
        <w:shd w:val="clear" w:color="auto" w:fill="FFFFFF"/>
        <w:spacing w:line="360" w:lineRule="auto"/>
        <w:ind w:firstLine="709"/>
        <w:jc w:val="both"/>
        <w:rPr>
          <w:bCs/>
          <w:color w:val="000000"/>
          <w:lang w:val="uk-UA"/>
        </w:rPr>
      </w:pPr>
      <w:r>
        <w:rPr>
          <w:bCs/>
          <w:color w:val="000000"/>
          <w:lang w:val="uk-UA"/>
        </w:rPr>
        <w:t>Детралекс не компроментує протипухлинний ефект комбінованого лікування РГЗ, навпаки, навіть підвищує трирічне виживання хворих на 29,8%, що, напевно, пов'язано, з одного боку, з й</w:t>
      </w:r>
      <w:r>
        <w:rPr>
          <w:bCs/>
          <w:color w:val="000000"/>
          <w:lang w:val="uk-UA"/>
        </w:rPr>
        <w:t>о</w:t>
      </w:r>
      <w:r>
        <w:rPr>
          <w:bCs/>
          <w:color w:val="000000"/>
          <w:lang w:val="uk-UA"/>
        </w:rPr>
        <w:t>го антиоксидантними властивостями, а з іншого – з можливістю проведення цій групі хворих більш адекватного променевого лікування (більша частина хворих, котрі отримували детралекс, опромінювались до і після операції ТГТ).</w:t>
      </w:r>
    </w:p>
    <w:p w:rsidR="008C691A" w:rsidRDefault="008C691A" w:rsidP="008C691A">
      <w:pPr>
        <w:shd w:val="clear" w:color="auto" w:fill="FFFFFF"/>
        <w:spacing w:line="360" w:lineRule="auto"/>
        <w:ind w:firstLine="709"/>
        <w:jc w:val="both"/>
        <w:rPr>
          <w:bCs/>
          <w:color w:val="000000"/>
          <w:lang w:val="uk-UA"/>
        </w:rPr>
      </w:pPr>
      <w:r>
        <w:rPr>
          <w:bCs/>
          <w:color w:val="000000"/>
          <w:lang w:val="uk-UA"/>
        </w:rPr>
        <w:t>Результати дослідження впроваджені в клінічну практику хірургічних відділень Вінницьк</w:t>
      </w:r>
      <w:r>
        <w:rPr>
          <w:bCs/>
          <w:color w:val="000000"/>
          <w:lang w:val="uk-UA"/>
        </w:rPr>
        <w:t>о</w:t>
      </w:r>
      <w:r>
        <w:rPr>
          <w:bCs/>
          <w:color w:val="000000"/>
          <w:lang w:val="uk-UA"/>
        </w:rPr>
        <w:t>го обласного клінічного онкологічного диспансеру (акти впровадження від 23.02.05 р.), Миколаївського обласного онкологічного диспансеру (акти впровадження від 23.02.06 р., 21.04.06 р.), Донецького обласного протипухлинного центру (акт впровадження від 04.04.06 р.). Одержані теоретичні і практичні дані використовуються у навчальному процесі кафедри променевої діагн</w:t>
      </w:r>
      <w:r>
        <w:rPr>
          <w:bCs/>
          <w:color w:val="000000"/>
          <w:lang w:val="uk-UA"/>
        </w:rPr>
        <w:t>о</w:t>
      </w:r>
      <w:r>
        <w:rPr>
          <w:bCs/>
          <w:color w:val="000000"/>
          <w:lang w:val="uk-UA"/>
        </w:rPr>
        <w:t xml:space="preserve">стики, променевої терапії та онкології Вінницького національного медичного університету ім. М.І. Пирогова.  </w:t>
      </w:r>
    </w:p>
    <w:p w:rsidR="008C691A" w:rsidRDefault="008C691A" w:rsidP="008C691A">
      <w:pPr>
        <w:shd w:val="clear" w:color="auto" w:fill="FFFFFF"/>
        <w:spacing w:line="360" w:lineRule="auto"/>
        <w:ind w:firstLine="709"/>
        <w:jc w:val="both"/>
        <w:rPr>
          <w:bCs/>
          <w:color w:val="000000"/>
          <w:lang w:val="uk-UA"/>
        </w:rPr>
      </w:pPr>
      <w:r>
        <w:rPr>
          <w:b/>
          <w:bCs/>
          <w:color w:val="000000"/>
          <w:lang w:val="uk-UA"/>
        </w:rPr>
        <w:t>Особистий внесок здобувача</w:t>
      </w:r>
      <w:r>
        <w:rPr>
          <w:bCs/>
          <w:color w:val="000000"/>
          <w:lang w:val="uk-UA"/>
        </w:rPr>
        <w:t>. Представлені в роботі матеріали та фактичні дані є само</w:t>
      </w:r>
      <w:r>
        <w:rPr>
          <w:bCs/>
          <w:color w:val="000000"/>
          <w:lang w:val="uk-UA"/>
        </w:rPr>
        <w:t>с</w:t>
      </w:r>
      <w:r>
        <w:rPr>
          <w:bCs/>
          <w:color w:val="000000"/>
          <w:lang w:val="uk-UA"/>
        </w:rPr>
        <w:t>тійним внеском дисертанта в розроблену тему. Автор самостійно виконав патентно-інформа</w:t>
      </w:r>
      <w:r>
        <w:rPr>
          <w:bCs/>
          <w:color w:val="000000"/>
          <w:lang w:val="uk-UA"/>
        </w:rPr>
        <w:softHyphen/>
        <w:t>цій</w:t>
      </w:r>
      <w:r>
        <w:rPr>
          <w:bCs/>
          <w:color w:val="000000"/>
          <w:lang w:val="uk-UA"/>
        </w:rPr>
        <w:softHyphen/>
        <w:t>ний пошук, провів аналіз наукової літератури з обраної проблеми, здійснював планування експериментів, підбір та клінічне обстеження хворих. Автором проведені всі експериментальні та клінічні дослідження, виконана статистична обробка та аналіз даних, підготовані до друку статті. Самостійно оформив дисертаційну роботу.</w:t>
      </w:r>
    </w:p>
    <w:p w:rsidR="008C691A" w:rsidRDefault="008C691A" w:rsidP="008C691A">
      <w:pPr>
        <w:shd w:val="clear" w:color="auto" w:fill="FFFFFF"/>
        <w:spacing w:line="360" w:lineRule="auto"/>
        <w:ind w:firstLine="709"/>
        <w:jc w:val="both"/>
        <w:rPr>
          <w:bCs/>
          <w:color w:val="000000"/>
          <w:lang w:val="uk-UA"/>
        </w:rPr>
      </w:pPr>
      <w:r>
        <w:rPr>
          <w:b/>
          <w:bCs/>
          <w:color w:val="000000"/>
          <w:lang w:val="uk-UA"/>
        </w:rPr>
        <w:lastRenderedPageBreak/>
        <w:t>Апробація результатів дисертації.</w:t>
      </w:r>
      <w:r>
        <w:rPr>
          <w:bCs/>
          <w:color w:val="000000"/>
          <w:lang w:val="uk-UA"/>
        </w:rPr>
        <w:t xml:space="preserve"> Основні положення дисертації доповідались на ІІІ з'їзді онкологів країн СНД (Мінськ, 2004), на ХІ з'їзді онкологів і радіологів України (Судак, 2006), на республіканських науково-практичних конференціях „Сучасні проблеми організації онкологічної допомоги хворим на рак грудної залози” (Черкаси, 2004) і „Сучасні засоби супроводу в комплек</w:t>
      </w:r>
      <w:r>
        <w:rPr>
          <w:bCs/>
          <w:color w:val="000000"/>
          <w:lang w:val="uk-UA"/>
        </w:rPr>
        <w:t>с</w:t>
      </w:r>
      <w:r>
        <w:rPr>
          <w:bCs/>
          <w:color w:val="000000"/>
          <w:lang w:val="uk-UA"/>
        </w:rPr>
        <w:t>ному лікуванні онкологічних хворих” (Тернопіль, 2004), на ІХ університетській науково-практичній конференції молодих вчених (Вінниця, 2003), на засіданнях Вінницького обласного наукового товариства онкологів (2003-2005).</w:t>
      </w:r>
    </w:p>
    <w:p w:rsidR="008C691A" w:rsidRDefault="008C691A" w:rsidP="008C691A">
      <w:pPr>
        <w:shd w:val="clear" w:color="auto" w:fill="FFFFFF"/>
        <w:spacing w:line="360" w:lineRule="auto"/>
        <w:ind w:firstLine="709"/>
        <w:jc w:val="both"/>
        <w:rPr>
          <w:bCs/>
          <w:color w:val="000000"/>
          <w:lang w:val="uk-UA"/>
        </w:rPr>
      </w:pPr>
      <w:r>
        <w:rPr>
          <w:b/>
          <w:bCs/>
          <w:color w:val="000000"/>
          <w:lang w:val="uk-UA"/>
        </w:rPr>
        <w:t>Публікації.</w:t>
      </w:r>
      <w:r>
        <w:rPr>
          <w:bCs/>
          <w:color w:val="000000"/>
          <w:lang w:val="uk-UA"/>
        </w:rPr>
        <w:t xml:space="preserve"> За матеріалами дисертації опубліковано 9 статей у наукових фахових виданнях, 1 деклараційний патент на винахід України, 4 тези конференцій і з'їздів. </w:t>
      </w:r>
    </w:p>
    <w:p w:rsidR="008C691A" w:rsidRDefault="008C691A" w:rsidP="008C691A">
      <w:pPr>
        <w:shd w:val="clear" w:color="auto" w:fill="FFFFFF"/>
        <w:spacing w:line="360" w:lineRule="auto"/>
        <w:ind w:firstLine="709"/>
        <w:jc w:val="both"/>
        <w:rPr>
          <w:color w:val="000000"/>
          <w:lang w:val="uk-UA"/>
        </w:rPr>
      </w:pPr>
      <w:r>
        <w:rPr>
          <w:b/>
          <w:bCs/>
          <w:color w:val="000000"/>
          <w:lang w:val="uk-UA"/>
        </w:rPr>
        <w:t>Структура та обсяг дисертації.</w:t>
      </w:r>
      <w:r>
        <w:rPr>
          <w:bCs/>
          <w:color w:val="000000"/>
          <w:lang w:val="uk-UA"/>
        </w:rPr>
        <w:t xml:space="preserve"> Дисертація викладе</w:t>
      </w:r>
      <w:r>
        <w:rPr>
          <w:bCs/>
          <w:color w:val="000000"/>
          <w:lang w:val="uk-UA"/>
        </w:rPr>
        <w:softHyphen/>
        <w:t>на на 159 сторінках комп'ютерного т</w:t>
      </w:r>
      <w:r>
        <w:rPr>
          <w:bCs/>
          <w:color w:val="000000"/>
          <w:lang w:val="uk-UA"/>
        </w:rPr>
        <w:t>е</w:t>
      </w:r>
      <w:r>
        <w:rPr>
          <w:bCs/>
          <w:color w:val="000000"/>
          <w:lang w:val="uk-UA"/>
        </w:rPr>
        <w:t>кс</w:t>
      </w:r>
      <w:r>
        <w:rPr>
          <w:bCs/>
          <w:color w:val="000000"/>
          <w:lang w:val="uk-UA"/>
        </w:rPr>
        <w:softHyphen/>
        <w:t>ту і складається зі вступу, 6 розділів, висновків, практичних рекомендацій, списку використаних джерел.</w:t>
      </w:r>
      <w:r>
        <w:rPr>
          <w:color w:val="000000"/>
          <w:lang w:val="uk-UA"/>
        </w:rPr>
        <w:t xml:space="preserve"> Робота ілюстрована  30 таблицями на 20 сторінках та 31 рисунком на 15 сторінках. </w:t>
      </w:r>
      <w:r>
        <w:rPr>
          <w:bCs/>
          <w:color w:val="000000"/>
          <w:lang w:val="uk-UA"/>
        </w:rPr>
        <w:t>Сп</w:t>
      </w:r>
      <w:r>
        <w:rPr>
          <w:bCs/>
          <w:color w:val="000000"/>
          <w:lang w:val="uk-UA"/>
        </w:rPr>
        <w:t>и</w:t>
      </w:r>
      <w:r>
        <w:rPr>
          <w:bCs/>
          <w:color w:val="000000"/>
          <w:lang w:val="uk-UA"/>
        </w:rPr>
        <w:t>сок використаних джерел</w:t>
      </w:r>
      <w:r>
        <w:rPr>
          <w:color w:val="000000"/>
          <w:lang w:val="uk-UA"/>
        </w:rPr>
        <w:t xml:space="preserve"> містить 156 вітчизняних та зарубіжних публiкацiй розміщений на 17 сторінках. </w:t>
      </w:r>
    </w:p>
    <w:p w:rsidR="008C691A" w:rsidRDefault="008C691A" w:rsidP="008C691A">
      <w:pPr>
        <w:shd w:val="clear" w:color="auto" w:fill="FFFFFF"/>
        <w:spacing w:line="360" w:lineRule="auto"/>
        <w:ind w:firstLine="709"/>
        <w:jc w:val="both"/>
        <w:rPr>
          <w:color w:val="000000"/>
          <w:lang w:val="uk-UA"/>
        </w:rPr>
      </w:pPr>
    </w:p>
    <w:p w:rsidR="008C691A" w:rsidRDefault="008C691A" w:rsidP="008C691A">
      <w:pPr>
        <w:shd w:val="clear" w:color="auto" w:fill="FFFFFF"/>
        <w:spacing w:line="360" w:lineRule="auto"/>
        <w:ind w:firstLine="709"/>
        <w:jc w:val="center"/>
        <w:rPr>
          <w:b/>
          <w:color w:val="000000"/>
          <w:lang w:val="uk-UA"/>
        </w:rPr>
      </w:pPr>
      <w:r>
        <w:rPr>
          <w:b/>
          <w:color w:val="000000"/>
          <w:lang w:val="uk-UA"/>
        </w:rPr>
        <w:t>ОСНОВНИЙ ЗМІСТ РОБОТИ</w:t>
      </w:r>
    </w:p>
    <w:p w:rsidR="008C691A" w:rsidRDefault="008C691A" w:rsidP="008C691A">
      <w:pPr>
        <w:shd w:val="clear" w:color="auto" w:fill="FFFFFF"/>
        <w:spacing w:line="360" w:lineRule="auto"/>
        <w:ind w:firstLine="709"/>
        <w:jc w:val="both"/>
        <w:rPr>
          <w:color w:val="000000"/>
          <w:lang w:val="uk-UA"/>
        </w:rPr>
      </w:pPr>
    </w:p>
    <w:p w:rsidR="008C691A" w:rsidRDefault="008C691A" w:rsidP="008C691A">
      <w:pPr>
        <w:shd w:val="clear" w:color="auto" w:fill="FFFFFF"/>
        <w:spacing w:line="360" w:lineRule="auto"/>
        <w:ind w:firstLine="709"/>
        <w:jc w:val="both"/>
        <w:rPr>
          <w:color w:val="000000"/>
          <w:lang w:val="uk-UA"/>
        </w:rPr>
      </w:pPr>
      <w:r>
        <w:rPr>
          <w:b/>
          <w:color w:val="000000"/>
          <w:lang w:val="uk-UA"/>
        </w:rPr>
        <w:t>Матеріали та методи дослідження</w:t>
      </w:r>
      <w:r>
        <w:rPr>
          <w:color w:val="000000"/>
          <w:lang w:val="uk-UA"/>
        </w:rPr>
        <w:t>. Були обстежені 188 пацієнток, що пройшли радикал</w:t>
      </w:r>
      <w:r>
        <w:rPr>
          <w:color w:val="000000"/>
          <w:lang w:val="uk-UA"/>
        </w:rPr>
        <w:t>ь</w:t>
      </w:r>
      <w:r>
        <w:rPr>
          <w:color w:val="000000"/>
          <w:lang w:val="uk-UA"/>
        </w:rPr>
        <w:t>не лікування з приводу РГЗ у Вінницькому обласному клінічному  онкологічному диспансері з 1996 по 2002 роки. Контрольну групу склали 105 хворих, які обстежувалися в різні терміни після операції (через 1, 3 і 5 років). Клінічну – 83 хворих, які, окрім стандартного радикального лікува</w:t>
      </w:r>
      <w:r>
        <w:rPr>
          <w:color w:val="000000"/>
          <w:lang w:val="uk-UA"/>
        </w:rPr>
        <w:t>н</w:t>
      </w:r>
      <w:r>
        <w:rPr>
          <w:color w:val="000000"/>
          <w:lang w:val="uk-UA"/>
        </w:rPr>
        <w:t>ня РГЗ, отримували детралекс в дозі по 500 млг 2 рази на день, впродовж 15 днів після операції і спостерігалися нами протягом 3 років після закінчення радикального лікування. У всіх 188 хворих виконана радикальна мастектомія (РМЕ) по одній з класичних методик. Найчастіше в контрольній групі проводилася РМЕ за Пейті (63,8%</w:t>
      </w:r>
      <w:r>
        <w:rPr>
          <w:color w:val="000000"/>
          <w:lang w:val="uk-UA"/>
        </w:rPr>
        <w:sym w:font="Symbol" w:char="F0B1"/>
      </w:r>
      <w:r>
        <w:rPr>
          <w:color w:val="000000"/>
          <w:lang w:val="uk-UA"/>
        </w:rPr>
        <w:t>4,7%) і за Мадденом (33,3%</w:t>
      </w:r>
      <w:r>
        <w:rPr>
          <w:color w:val="000000"/>
          <w:lang w:val="uk-UA"/>
        </w:rPr>
        <w:sym w:font="Symbol" w:char="F0B1"/>
      </w:r>
      <w:r>
        <w:rPr>
          <w:color w:val="000000"/>
          <w:lang w:val="uk-UA"/>
        </w:rPr>
        <w:t>4,6%). Усім хворим кліні</w:t>
      </w:r>
      <w:r>
        <w:rPr>
          <w:color w:val="000000"/>
          <w:lang w:val="uk-UA"/>
        </w:rPr>
        <w:t>ч</w:t>
      </w:r>
      <w:r>
        <w:rPr>
          <w:color w:val="000000"/>
          <w:lang w:val="uk-UA"/>
        </w:rPr>
        <w:t>ної групи була проведена РМЕ за Мадденом. Радикальна мастектомія за Холстедом виконана всього 3 хворим контрольної групи з місцево-розповсюдженим раком III стадії (2,9%</w:t>
      </w:r>
      <w:r>
        <w:rPr>
          <w:color w:val="000000"/>
          <w:lang w:val="uk-UA"/>
        </w:rPr>
        <w:sym w:font="Symbol" w:char="F0B1"/>
      </w:r>
      <w:r>
        <w:rPr>
          <w:color w:val="000000"/>
          <w:lang w:val="uk-UA"/>
        </w:rPr>
        <w:t xml:space="preserve">1,6%). </w:t>
      </w:r>
    </w:p>
    <w:p w:rsidR="008C691A" w:rsidRDefault="008C691A" w:rsidP="008C691A">
      <w:pPr>
        <w:shd w:val="clear" w:color="auto" w:fill="FFFFFF"/>
        <w:spacing w:line="360" w:lineRule="auto"/>
        <w:ind w:firstLine="709"/>
        <w:jc w:val="both"/>
        <w:rPr>
          <w:color w:val="000000"/>
          <w:lang w:val="uk-UA"/>
        </w:rPr>
      </w:pPr>
      <w:r>
        <w:rPr>
          <w:color w:val="000000"/>
          <w:lang w:val="uk-UA"/>
        </w:rPr>
        <w:t>ТГТ проведена у 101 випадку (96,2%</w:t>
      </w:r>
      <w:r>
        <w:rPr>
          <w:color w:val="000000"/>
          <w:lang w:val="uk-UA"/>
        </w:rPr>
        <w:sym w:font="Symbol" w:char="F0B1"/>
      </w:r>
      <w:r>
        <w:rPr>
          <w:color w:val="000000"/>
          <w:lang w:val="uk-UA"/>
        </w:rPr>
        <w:t>1,9%) у хворих контрольної групи і у 80 хворих (96,3%</w:t>
      </w:r>
      <w:r>
        <w:rPr>
          <w:color w:val="000000"/>
          <w:lang w:val="uk-UA"/>
        </w:rPr>
        <w:sym w:font="Symbol" w:char="F0B1"/>
      </w:r>
      <w:r>
        <w:rPr>
          <w:color w:val="000000"/>
          <w:lang w:val="uk-UA"/>
        </w:rPr>
        <w:t>2,0%) клінічної групи. Хворим з I-II стадіями виконувалася променева терапія за інтенс</w:t>
      </w:r>
      <w:r>
        <w:rPr>
          <w:color w:val="000000"/>
          <w:lang w:val="uk-UA"/>
        </w:rPr>
        <w:t>и</w:t>
      </w:r>
      <w:r>
        <w:rPr>
          <w:color w:val="000000"/>
          <w:lang w:val="uk-UA"/>
        </w:rPr>
        <w:t>вною програмою (СОД 20-25 Гр), у 24 жінок (22,9%</w:t>
      </w:r>
      <w:r>
        <w:rPr>
          <w:color w:val="000000"/>
          <w:lang w:val="uk-UA"/>
        </w:rPr>
        <w:sym w:font="Symbol" w:char="F0B1"/>
      </w:r>
      <w:r>
        <w:rPr>
          <w:color w:val="000000"/>
          <w:lang w:val="uk-UA"/>
        </w:rPr>
        <w:t>4,1%) контрольної і у 10 пацієнток (12,1%</w:t>
      </w:r>
      <w:r>
        <w:rPr>
          <w:color w:val="000000"/>
          <w:lang w:val="uk-UA"/>
        </w:rPr>
        <w:sym w:font="Symbol" w:char="F0B1"/>
      </w:r>
      <w:r>
        <w:rPr>
          <w:color w:val="000000"/>
          <w:lang w:val="uk-UA"/>
        </w:rPr>
        <w:t>3,6%) клінічної групи. Дрібно-протяжна ТГТ дрібними фракціями (СОД 45-60 Гр) була проведена 31 хворій (29,5%</w:t>
      </w:r>
      <w:r>
        <w:rPr>
          <w:color w:val="000000"/>
          <w:lang w:val="uk-UA"/>
        </w:rPr>
        <w:sym w:font="Symbol" w:char="F0B1"/>
      </w:r>
      <w:r>
        <w:rPr>
          <w:color w:val="000000"/>
          <w:lang w:val="uk-UA"/>
        </w:rPr>
        <w:t>4,5%) контрольної і 23 хворим (27,7%</w:t>
      </w:r>
      <w:r>
        <w:rPr>
          <w:color w:val="000000"/>
          <w:lang w:val="uk-UA"/>
        </w:rPr>
        <w:sym w:font="Symbol" w:char="F0B1"/>
      </w:r>
      <w:r>
        <w:rPr>
          <w:color w:val="000000"/>
          <w:lang w:val="uk-UA"/>
        </w:rPr>
        <w:t>4,9%) клінічної групи. У 46 хворих (43,8%</w:t>
      </w:r>
      <w:r>
        <w:rPr>
          <w:color w:val="000000"/>
          <w:lang w:val="uk-UA"/>
        </w:rPr>
        <w:sym w:font="Symbol" w:char="F0B1"/>
      </w:r>
      <w:r>
        <w:rPr>
          <w:color w:val="000000"/>
          <w:lang w:val="uk-UA"/>
        </w:rPr>
        <w:t>4,8%) контрольної групи і у 47 хворих (56,6%</w:t>
      </w:r>
      <w:r>
        <w:rPr>
          <w:color w:val="000000"/>
          <w:lang w:val="uk-UA"/>
        </w:rPr>
        <w:sym w:font="Symbol" w:char="F0B1"/>
      </w:r>
      <w:r>
        <w:rPr>
          <w:color w:val="000000"/>
          <w:lang w:val="uk-UA"/>
        </w:rPr>
        <w:t xml:space="preserve">5,4%) клінічної проводилася ТГТ </w:t>
      </w:r>
      <w:r>
        <w:rPr>
          <w:color w:val="000000"/>
          <w:lang w:val="uk-UA"/>
        </w:rPr>
        <w:lastRenderedPageBreak/>
        <w:t>до і після операції. Статистично значущої відмінності розподілу частоти окремих видів ТГТ між ко</w:t>
      </w:r>
      <w:r>
        <w:rPr>
          <w:color w:val="000000"/>
          <w:lang w:val="uk-UA"/>
        </w:rPr>
        <w:t>н</w:t>
      </w:r>
      <w:r>
        <w:rPr>
          <w:color w:val="000000"/>
          <w:lang w:val="uk-UA"/>
        </w:rPr>
        <w:t xml:space="preserve">трольною і клінічною групами не виявлено (за критерієм </w:t>
      </w:r>
      <w:r>
        <w:rPr>
          <w:color w:val="000000"/>
          <w:lang w:val="uk-UA"/>
        </w:rPr>
        <w:object w:dxaOrig="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19.85pt" o:ole="">
            <v:imagedata r:id="rId11" o:title=""/>
          </v:shape>
          <o:OLEObject Type="Embed" ProgID="Equation.3" ShapeID="_x0000_i1025" DrawAspect="Content" ObjectID="_1502272208" r:id="rId12"/>
        </w:object>
      </w:r>
      <w:r>
        <w:rPr>
          <w:color w:val="000000"/>
          <w:lang w:val="uk-UA"/>
        </w:rPr>
        <w:t xml:space="preserve"> p=0,20). </w:t>
      </w:r>
    </w:p>
    <w:p w:rsidR="008C691A" w:rsidRDefault="008C691A" w:rsidP="008C691A">
      <w:pPr>
        <w:shd w:val="clear" w:color="auto" w:fill="FFFFFF"/>
        <w:spacing w:line="360" w:lineRule="auto"/>
        <w:ind w:firstLine="709"/>
        <w:jc w:val="both"/>
        <w:rPr>
          <w:color w:val="000000"/>
          <w:lang w:val="uk-UA"/>
        </w:rPr>
      </w:pPr>
      <w:r>
        <w:rPr>
          <w:color w:val="000000"/>
          <w:lang w:val="uk-UA"/>
        </w:rPr>
        <w:t>Хворі обох груп істотно не відрізнялися, що дозволяє вважати дослідження рандомізов</w:t>
      </w:r>
      <w:r>
        <w:rPr>
          <w:color w:val="000000"/>
          <w:lang w:val="uk-UA"/>
        </w:rPr>
        <w:t>а</w:t>
      </w:r>
      <w:r>
        <w:rPr>
          <w:color w:val="000000"/>
          <w:lang w:val="uk-UA"/>
        </w:rPr>
        <w:t xml:space="preserve">ним. Незначні вікові відмінності не вплинули на вірогідність отриманих результатів. </w:t>
      </w:r>
    </w:p>
    <w:p w:rsidR="008C691A" w:rsidRDefault="008C691A" w:rsidP="008C691A">
      <w:pPr>
        <w:shd w:val="clear" w:color="auto" w:fill="FFFFFF"/>
        <w:spacing w:line="360" w:lineRule="auto"/>
        <w:ind w:firstLine="709"/>
        <w:jc w:val="both"/>
        <w:rPr>
          <w:color w:val="000000"/>
          <w:lang w:val="uk-UA"/>
        </w:rPr>
      </w:pPr>
      <w:r>
        <w:rPr>
          <w:color w:val="000000"/>
          <w:lang w:val="uk-UA"/>
        </w:rPr>
        <w:t xml:space="preserve">Для діагностики постмастектомічного синдрому використовувались наступні методи. </w:t>
      </w:r>
    </w:p>
    <w:p w:rsidR="008C691A" w:rsidRDefault="008C691A" w:rsidP="008C691A">
      <w:pPr>
        <w:shd w:val="clear" w:color="auto" w:fill="FFFFFF"/>
        <w:spacing w:line="360" w:lineRule="auto"/>
        <w:ind w:firstLine="709"/>
        <w:jc w:val="both"/>
        <w:rPr>
          <w:color w:val="000000"/>
          <w:lang w:val="uk-UA"/>
        </w:rPr>
      </w:pPr>
      <w:r>
        <w:rPr>
          <w:color w:val="000000"/>
          <w:lang w:val="uk-UA"/>
        </w:rPr>
        <w:t>Клінічно оцінювався біль у кінцівці з боку операції, його інтенсивність, залежність від ф</w:t>
      </w:r>
      <w:r>
        <w:rPr>
          <w:color w:val="000000"/>
          <w:lang w:val="uk-UA"/>
        </w:rPr>
        <w:t>і</w:t>
      </w:r>
      <w:r>
        <w:rPr>
          <w:color w:val="000000"/>
          <w:lang w:val="uk-UA"/>
        </w:rPr>
        <w:t>зичного навантаження та об'єму рухів. Порушення чутливості шкіри визначали за суб'єктивними відчуттями хворих (парестезією та анестезією) при поколюванні і шляхом визначення тактильної чутливості. Порушення рухів у плечовому суглобі вивчали шляхом вимірювання об'єму рухів у фронтальній і сагітальній площинах. Набряк верхньої кінцівки визначали шляхом вимірювання периметра плеча на рівні середньої третини порівняно із здоровим боком. Різницю визначали в см. І ст. – різниця периметра плеча з боку операції та зі здорового боку до 2 см; ІІ ст. – 2-4 см; ІІІ ст. – різниця периметра більше 4 см (Пронін В.М., 1985; Дрижак В.І. та ін., 1998). Для вимірювання м'</w:t>
      </w:r>
      <w:r>
        <w:rPr>
          <w:color w:val="000000"/>
          <w:lang w:val="uk-UA"/>
        </w:rPr>
        <w:t>я</w:t>
      </w:r>
      <w:r>
        <w:rPr>
          <w:color w:val="000000"/>
          <w:lang w:val="uk-UA"/>
        </w:rPr>
        <w:t xml:space="preserve">зової сили кисті використовувалась динамометрія. </w:t>
      </w:r>
    </w:p>
    <w:p w:rsidR="008C691A" w:rsidRDefault="008C691A" w:rsidP="008C691A">
      <w:pPr>
        <w:shd w:val="clear" w:color="auto" w:fill="FFFFFF"/>
        <w:spacing w:line="360" w:lineRule="auto"/>
        <w:ind w:firstLine="709"/>
        <w:jc w:val="both"/>
        <w:rPr>
          <w:color w:val="000000"/>
          <w:lang w:val="uk-UA"/>
        </w:rPr>
      </w:pPr>
      <w:r>
        <w:rPr>
          <w:color w:val="000000"/>
          <w:lang w:val="uk-UA"/>
        </w:rPr>
        <w:t>Методом ультразвукової денситометрії обстежено 65 хворих на РГЗ в різний термін (через 1, 3, 5 років) після радикального комбінованого лікування. Використовувалися: ультразвукова ді</w:t>
      </w:r>
      <w:r>
        <w:rPr>
          <w:color w:val="000000"/>
          <w:lang w:val="uk-UA"/>
        </w:rPr>
        <w:t>а</w:t>
      </w:r>
      <w:r>
        <w:rPr>
          <w:color w:val="000000"/>
          <w:lang w:val="uk-UA"/>
        </w:rPr>
        <w:t>гностична система CAPASEE модель SSA-220A (Toshiba, Japan); лінійний датчик модель PVG-720S, робоча частота 7,5 Мгц; параметри настройки сканера були постійними (Gain-74, IP-4); в</w:t>
      </w:r>
      <w:r>
        <w:rPr>
          <w:color w:val="000000"/>
          <w:lang w:val="uk-UA"/>
        </w:rPr>
        <w:t>и</w:t>
      </w:r>
      <w:r>
        <w:rPr>
          <w:color w:val="000000"/>
          <w:lang w:val="uk-UA"/>
        </w:rPr>
        <w:t>мірювання на ділянці тканини обмеженого кола з діаметром близько 10мм (кількість піксилів не менше 1000). Ехографічна щільність вимірювалася в дБ.</w:t>
      </w:r>
    </w:p>
    <w:p w:rsidR="008C691A" w:rsidRDefault="008C691A" w:rsidP="008C691A">
      <w:pPr>
        <w:shd w:val="clear" w:color="auto" w:fill="FFFFFF"/>
        <w:spacing w:line="360" w:lineRule="auto"/>
        <w:ind w:firstLine="709"/>
        <w:jc w:val="both"/>
        <w:rPr>
          <w:color w:val="000000"/>
          <w:lang w:val="uk-UA"/>
        </w:rPr>
      </w:pPr>
      <w:r>
        <w:rPr>
          <w:color w:val="000000"/>
          <w:lang w:val="uk-UA"/>
        </w:rPr>
        <w:t xml:space="preserve">Оцінка ступеня зниження функціональної здатності тканин з боку операції проводилась шляхом порівняльної денситометрії грудних м'язів з обох боків. </w:t>
      </w:r>
    </w:p>
    <w:p w:rsidR="008C691A" w:rsidRDefault="008C691A" w:rsidP="008C691A">
      <w:pPr>
        <w:shd w:val="clear" w:color="auto" w:fill="FFFFFF"/>
        <w:spacing w:line="360" w:lineRule="auto"/>
        <w:ind w:firstLine="709"/>
        <w:jc w:val="both"/>
        <w:rPr>
          <w:color w:val="000000"/>
          <w:lang w:val="uk-UA"/>
        </w:rPr>
      </w:pPr>
      <w:r>
        <w:rPr>
          <w:color w:val="000000"/>
          <w:lang w:val="uk-UA"/>
        </w:rPr>
        <w:t>Морфологічне дослідження структури грудних м'язів проводили шляхом трепан-біопсії в</w:t>
      </w:r>
      <w:r>
        <w:rPr>
          <w:color w:val="000000"/>
          <w:lang w:val="uk-UA"/>
        </w:rPr>
        <w:t>е</w:t>
      </w:r>
      <w:r>
        <w:rPr>
          <w:color w:val="000000"/>
          <w:lang w:val="uk-UA"/>
        </w:rPr>
        <w:t>ликого грудного м'яза зі здорового боку і з боку операції. Парафінові зрізи фарбували гематоксилін-еозином та за методом Ван Гізона і досліджувалися за допомогою світлового мікр</w:t>
      </w:r>
      <w:r>
        <w:rPr>
          <w:color w:val="000000"/>
          <w:lang w:val="uk-UA"/>
        </w:rPr>
        <w:t>о</w:t>
      </w:r>
      <w:r>
        <w:rPr>
          <w:color w:val="000000"/>
          <w:lang w:val="uk-UA"/>
        </w:rPr>
        <w:t>скопа МБІ-11 (Росія).</w:t>
      </w:r>
    </w:p>
    <w:p w:rsidR="008C691A" w:rsidRDefault="008C691A" w:rsidP="008C691A">
      <w:pPr>
        <w:shd w:val="clear" w:color="auto" w:fill="FFFFFF"/>
        <w:spacing w:line="360" w:lineRule="auto"/>
        <w:ind w:firstLine="709"/>
        <w:jc w:val="both"/>
        <w:rPr>
          <w:color w:val="000000"/>
          <w:lang w:val="uk-UA"/>
        </w:rPr>
      </w:pPr>
      <w:r>
        <w:rPr>
          <w:color w:val="000000"/>
          <w:lang w:val="uk-UA"/>
        </w:rPr>
        <w:t>Досліди проведені на 120 щурах, самцях популяції Вістар, вагою 80 – 120 г. Під час досл</w:t>
      </w:r>
      <w:r>
        <w:rPr>
          <w:color w:val="000000"/>
          <w:lang w:val="uk-UA"/>
        </w:rPr>
        <w:t>і</w:t>
      </w:r>
      <w:r>
        <w:rPr>
          <w:color w:val="000000"/>
          <w:lang w:val="uk-UA"/>
        </w:rPr>
        <w:t xml:space="preserve">дів тварини знаходилися на напівсинтетичному раціоні, що забезпечує надходження оптимальних кількостей незамінних нутрієнтів (Островский Ю.М., 1979).  </w:t>
      </w:r>
    </w:p>
    <w:p w:rsidR="008C691A" w:rsidRDefault="008C691A" w:rsidP="008C691A">
      <w:pPr>
        <w:shd w:val="clear" w:color="auto" w:fill="FFFFFF"/>
        <w:spacing w:line="360" w:lineRule="auto"/>
        <w:ind w:firstLine="709"/>
        <w:rPr>
          <w:color w:val="000000"/>
          <w:lang w:val="uk-UA"/>
        </w:rPr>
      </w:pPr>
      <w:r>
        <w:rPr>
          <w:color w:val="000000"/>
          <w:lang w:val="uk-UA"/>
        </w:rPr>
        <w:t xml:space="preserve">Тварини були розділені на чотири групи: А – здорові щури (n=30) - контрольна група 1; B – здорові щури, що отримували детралекс у дозі 140 мг/кг у день (n=30) - контрольна група 2; С – щури, яким опромінювався м'язовий масив задньої правої лапи в дозі, еквівалентній 45 Гр (n=30); D – щури, яким опромінювався м'язовий масив задньої правої лапи в дозі, еквівалентній </w:t>
      </w:r>
      <w:r>
        <w:rPr>
          <w:color w:val="000000"/>
          <w:lang w:val="uk-UA"/>
        </w:rPr>
        <w:lastRenderedPageBreak/>
        <w:t>45 Гр (n=30), і які отримували детралекс в дозі 140 мг/кг за добу. Детралекс уводився через шлунковий зонд впродовж 15 днів.</w:t>
      </w:r>
    </w:p>
    <w:p w:rsidR="008C691A" w:rsidRDefault="008C691A" w:rsidP="008C691A">
      <w:pPr>
        <w:shd w:val="clear" w:color="auto" w:fill="FFFFFF"/>
        <w:spacing w:line="360" w:lineRule="auto"/>
        <w:ind w:firstLine="709"/>
        <w:jc w:val="both"/>
        <w:rPr>
          <w:color w:val="000000"/>
          <w:lang w:val="uk-UA"/>
        </w:rPr>
      </w:pPr>
      <w:r>
        <w:rPr>
          <w:color w:val="000000"/>
          <w:lang w:val="uk-UA"/>
        </w:rPr>
        <w:t xml:space="preserve">Опромінювання проводилося на гамма-терапевтичному дистанційному апараті “АГАТ-Р” (активність джерела 4330 Кюрі). </w:t>
      </w:r>
    </w:p>
    <w:p w:rsidR="008C691A" w:rsidRDefault="008C691A" w:rsidP="008C691A">
      <w:pPr>
        <w:autoSpaceDE w:val="0"/>
        <w:autoSpaceDN w:val="0"/>
        <w:spacing w:line="360" w:lineRule="auto"/>
        <w:ind w:firstLine="720"/>
        <w:jc w:val="both"/>
        <w:rPr>
          <w:color w:val="000000"/>
          <w:lang w:val="uk-UA"/>
        </w:rPr>
      </w:pPr>
      <w:r>
        <w:rPr>
          <w:color w:val="000000"/>
          <w:lang w:val="uk-UA"/>
        </w:rPr>
        <w:t>Морфологічне дослідження м'язів і біохімічні дослідження сироватки крові та гомогенату м'язової тканини проводилося через 1 місяць після опромінення (експер. 1) і через 3 місяці (ек</w:t>
      </w:r>
      <w:r>
        <w:rPr>
          <w:color w:val="000000"/>
          <w:lang w:val="uk-UA"/>
        </w:rPr>
        <w:t>с</w:t>
      </w:r>
      <w:r>
        <w:rPr>
          <w:color w:val="000000"/>
          <w:lang w:val="uk-UA"/>
        </w:rPr>
        <w:t>пер. 2). З експерименту щури виводилися під легким ефірним наркозом.</w:t>
      </w:r>
    </w:p>
    <w:p w:rsidR="008C691A" w:rsidRDefault="008C691A" w:rsidP="008C691A">
      <w:pPr>
        <w:spacing w:line="360" w:lineRule="auto"/>
        <w:ind w:firstLine="720"/>
        <w:jc w:val="both"/>
        <w:rPr>
          <w:color w:val="000000"/>
          <w:lang w:val="uk-UA"/>
        </w:rPr>
      </w:pPr>
      <w:r>
        <w:rPr>
          <w:bCs/>
          <w:color w:val="000000"/>
          <w:lang w:val="uk-UA"/>
        </w:rPr>
        <w:t>Біохімічні дослідження</w:t>
      </w:r>
      <w:r>
        <w:rPr>
          <w:color w:val="000000"/>
          <w:lang w:val="uk-UA"/>
        </w:rPr>
        <w:t xml:space="preserve"> крові і гомогенату опроміненого і неопроміненого м'яза проводил</w:t>
      </w:r>
      <w:r>
        <w:rPr>
          <w:color w:val="000000"/>
          <w:lang w:val="uk-UA"/>
        </w:rPr>
        <w:t>и</w:t>
      </w:r>
      <w:r>
        <w:rPr>
          <w:color w:val="000000"/>
          <w:lang w:val="uk-UA"/>
        </w:rPr>
        <w:t xml:space="preserve">ся у два етапи: через місяць після опромінення (у 10 тварин групи С і 9 – групи D) і через три місяці від початку експерименту (у 16 щурів групи С і у 14 – групи D). </w:t>
      </w:r>
    </w:p>
    <w:p w:rsidR="008C691A" w:rsidRDefault="008C691A" w:rsidP="008C691A">
      <w:pPr>
        <w:autoSpaceDE w:val="0"/>
        <w:autoSpaceDN w:val="0"/>
        <w:spacing w:line="360" w:lineRule="auto"/>
        <w:ind w:firstLine="720"/>
        <w:jc w:val="both"/>
        <w:rPr>
          <w:color w:val="000000"/>
          <w:lang w:val="uk-UA"/>
        </w:rPr>
      </w:pPr>
      <w:r>
        <w:rPr>
          <w:color w:val="000000"/>
          <w:lang w:val="uk-UA"/>
        </w:rPr>
        <w:t>Гомогенат м'язів отримували ретельною гомогенізацією (тефлон-скло, 3000 об/хв.). Карб</w:t>
      </w:r>
      <w:r>
        <w:rPr>
          <w:color w:val="000000"/>
          <w:lang w:val="uk-UA"/>
        </w:rPr>
        <w:t>о</w:t>
      </w:r>
      <w:r>
        <w:rPr>
          <w:color w:val="000000"/>
          <w:lang w:val="uk-UA"/>
        </w:rPr>
        <w:t>нільні групи білків визначали відомим методом (Levine RL. et al., 1994). До аліквоти гомогенату додавали розчин 2,4-динітрофенілгідразину на соляній кислоті й інкубували 20 хв. Білок гомог</w:t>
      </w:r>
      <w:r>
        <w:rPr>
          <w:color w:val="000000"/>
          <w:lang w:val="uk-UA"/>
        </w:rPr>
        <w:t>е</w:t>
      </w:r>
      <w:r>
        <w:rPr>
          <w:color w:val="000000"/>
          <w:lang w:val="uk-UA"/>
        </w:rPr>
        <w:t>нату тричі осаджували 5% трихлороцетною кислотою і після додавання 1 мл 5% розчину гідроксиду натрію, визначали оптичну густину при 490 нм.</w:t>
      </w:r>
    </w:p>
    <w:p w:rsidR="008C691A" w:rsidRDefault="008C691A" w:rsidP="008C691A">
      <w:pPr>
        <w:autoSpaceDE w:val="0"/>
        <w:autoSpaceDN w:val="0"/>
        <w:spacing w:line="360" w:lineRule="auto"/>
        <w:ind w:firstLine="720"/>
        <w:jc w:val="both"/>
        <w:rPr>
          <w:color w:val="000000"/>
          <w:lang w:val="uk-UA"/>
        </w:rPr>
      </w:pPr>
      <w:r>
        <w:rPr>
          <w:color w:val="000000"/>
          <w:lang w:val="uk-UA"/>
        </w:rPr>
        <w:t>Вміст в гомогенаті м'язів малонового діальдегіду визначали за реакцією з тіобарбітуровою кислотою з наступною екстракцією одержаного хромогену в бутанол (Mihara M., Uchiyama M., 1978).</w:t>
      </w:r>
    </w:p>
    <w:p w:rsidR="008C691A" w:rsidRDefault="008C691A" w:rsidP="008C691A">
      <w:pPr>
        <w:autoSpaceDE w:val="0"/>
        <w:autoSpaceDN w:val="0"/>
        <w:spacing w:line="360" w:lineRule="auto"/>
        <w:ind w:firstLine="720"/>
        <w:jc w:val="both"/>
        <w:rPr>
          <w:color w:val="000000"/>
          <w:lang w:val="uk-UA"/>
        </w:rPr>
      </w:pPr>
      <w:r>
        <w:rPr>
          <w:color w:val="000000"/>
          <w:lang w:val="uk-UA"/>
        </w:rPr>
        <w:t>Загальний білок визначали за відомим методом (Остапець М.Г., Романська Н.М., 1974). У мінералізаті визначали амонійний азот з реактивом Неслера. Саркоплазматичні білки екстрагув</w:t>
      </w:r>
      <w:r>
        <w:rPr>
          <w:color w:val="000000"/>
          <w:lang w:val="uk-UA"/>
        </w:rPr>
        <w:t>а</w:t>
      </w:r>
      <w:r>
        <w:rPr>
          <w:color w:val="000000"/>
          <w:lang w:val="uk-UA"/>
        </w:rPr>
        <w:t>лися з м'язів дистильованою водою, а міофібрилярні білки екстрагувалися 10% розчином хлориду амонію; кількісне визначення цих білків вели біуретовим методом.</w:t>
      </w:r>
    </w:p>
    <w:p w:rsidR="008C691A" w:rsidRDefault="008C691A" w:rsidP="008C691A">
      <w:pPr>
        <w:autoSpaceDE w:val="0"/>
        <w:autoSpaceDN w:val="0"/>
        <w:spacing w:line="360" w:lineRule="auto"/>
        <w:ind w:firstLine="720"/>
        <w:jc w:val="both"/>
        <w:rPr>
          <w:b/>
          <w:bCs/>
          <w:color w:val="000000"/>
          <w:lang w:val="uk-UA"/>
        </w:rPr>
      </w:pPr>
      <w:r>
        <w:rPr>
          <w:color w:val="000000"/>
          <w:lang w:val="uk-UA"/>
        </w:rPr>
        <w:t>Ліпідний склад гомогенату м'язів визначали після екстракції ліпідів за методом Bligh, Dyer (Кейтс М., 1975). Загальний вміст ліпідів визначали за реакцією з фосфорнованіліновим реакт</w:t>
      </w:r>
      <w:r>
        <w:rPr>
          <w:color w:val="000000"/>
          <w:lang w:val="uk-UA"/>
        </w:rPr>
        <w:t>и</w:t>
      </w:r>
      <w:r>
        <w:rPr>
          <w:color w:val="000000"/>
          <w:lang w:val="uk-UA"/>
        </w:rPr>
        <w:t>вом, а загальних фосфоліпідів – екстракційно-фотометричним методом (Пентюк О.О. та ін., 1987). Ліпідний спектр визначали методом тонкошарової хроматографії на силікагелі Л5/40 (Chemapol,Чехія). Нейтральні ліпіди розділяли в системі гексан-дієтилова ефір-мурашина кислота у співвідношенні 16:4:0,2 (за об'ємом) фосфоліпіди – в системі хлороформ-метанол-вода у співві</w:t>
      </w:r>
      <w:r>
        <w:rPr>
          <w:color w:val="000000"/>
          <w:lang w:val="uk-UA"/>
        </w:rPr>
        <w:t>д</w:t>
      </w:r>
      <w:r>
        <w:rPr>
          <w:color w:val="000000"/>
          <w:lang w:val="uk-UA"/>
        </w:rPr>
        <w:t>ношенні 65:30:5 (за об'ємом) (Кейтс М., 1975). Ідентифікацію індивідуальних нейтральних ліпідів і фосфоліпідів після їх хроматографічного розділення проводили методом свідків і за допомогою якісних реакцій на холін, етаноламін, серин, сфінгомієлін і за величинами Rf, відомими з літерат</w:t>
      </w:r>
      <w:r>
        <w:rPr>
          <w:color w:val="000000"/>
          <w:lang w:val="uk-UA"/>
        </w:rPr>
        <w:t>у</w:t>
      </w:r>
      <w:r>
        <w:rPr>
          <w:color w:val="000000"/>
          <w:lang w:val="uk-UA"/>
        </w:rPr>
        <w:t xml:space="preserve">ри (Кейтс М., 1975). Кількісне визначення фракцій ліпідів після їх хроматографії проводили за реакцією з фосфорнованіліновим реактивом. </w:t>
      </w:r>
    </w:p>
    <w:p w:rsidR="008C691A" w:rsidRDefault="008C691A" w:rsidP="008C691A">
      <w:pPr>
        <w:autoSpaceDE w:val="0"/>
        <w:autoSpaceDN w:val="0"/>
        <w:spacing w:line="360" w:lineRule="auto"/>
        <w:ind w:firstLine="720"/>
        <w:jc w:val="both"/>
        <w:rPr>
          <w:bCs/>
          <w:color w:val="000000"/>
          <w:lang w:val="uk-UA"/>
        </w:rPr>
      </w:pPr>
      <w:r>
        <w:rPr>
          <w:color w:val="000000"/>
          <w:lang w:val="uk-UA"/>
        </w:rPr>
        <w:t>Вміст колагену оцінювався за кількістю оксипроліну, з використанням методичних підх</w:t>
      </w:r>
      <w:r>
        <w:rPr>
          <w:color w:val="000000"/>
          <w:lang w:val="uk-UA"/>
        </w:rPr>
        <w:t>о</w:t>
      </w:r>
      <w:r>
        <w:rPr>
          <w:color w:val="000000"/>
          <w:lang w:val="uk-UA"/>
        </w:rPr>
        <w:t>дів, описаних раніше (Кузнецова Т.П. та ін., 1982; Siddiqi N.J. et al., 2003). Для визначення вільного і пептидозв’язаного оксипроліну до аліквоти гомогенату додавали охолоджений до 4</w:t>
      </w:r>
      <w:r>
        <w:rPr>
          <w:color w:val="000000"/>
          <w:vertAlign w:val="superscript"/>
          <w:lang w:val="uk-UA"/>
        </w:rPr>
        <w:t>0</w:t>
      </w:r>
      <w:r>
        <w:rPr>
          <w:color w:val="000000"/>
          <w:lang w:val="uk-UA"/>
        </w:rPr>
        <w:t xml:space="preserve"> </w:t>
      </w:r>
      <w:r>
        <w:rPr>
          <w:color w:val="000000"/>
          <w:lang w:val="uk-UA"/>
        </w:rPr>
        <w:lastRenderedPageBreak/>
        <w:t>етанол і витримували в холодильнику 15хв., після чого центрифугували при 3000 об/хв. 15 хв. С</w:t>
      </w:r>
      <w:r>
        <w:rPr>
          <w:color w:val="000000"/>
          <w:lang w:val="uk-UA"/>
        </w:rPr>
        <w:t>у</w:t>
      </w:r>
      <w:r>
        <w:rPr>
          <w:color w:val="000000"/>
          <w:lang w:val="uk-UA"/>
        </w:rPr>
        <w:t>пернатант містить вільний і пептиднозв’язаний оксипролін, а осад – білковозв’язаний оксипролін. Вільний оксипролін визначали безпосередньо в цьому су</w:t>
      </w:r>
      <w:r>
        <w:rPr>
          <w:lang w:val="uk-UA"/>
        </w:rPr>
        <w:t>пернатант</w:t>
      </w:r>
      <w:r>
        <w:rPr>
          <w:color w:val="000000"/>
          <w:lang w:val="uk-UA"/>
        </w:rPr>
        <w:t>і, а для визначення пепти</w:t>
      </w:r>
      <w:r>
        <w:rPr>
          <w:color w:val="000000"/>
          <w:lang w:val="uk-UA"/>
        </w:rPr>
        <w:t>д</w:t>
      </w:r>
      <w:r>
        <w:rPr>
          <w:color w:val="000000"/>
          <w:lang w:val="uk-UA"/>
        </w:rPr>
        <w:t>нозв’язаного оксипроліну супернатант піддавали гідролізу у присутності 8 М перхлоратової кислоти при кип'ятінні впродовж 4 годин. Білковозв’язаний оксипролін визначали в білковому осаді, який піддавали гідролізу на киплячій водяній бані у присутності 8 М перхлоратової кислоти впродовж 6 годин. Кількісне визначення оксипроліну вели за методом Bergman І., Loxley R., вик</w:t>
      </w:r>
      <w:r>
        <w:rPr>
          <w:color w:val="000000"/>
          <w:lang w:val="uk-UA"/>
        </w:rPr>
        <w:t>о</w:t>
      </w:r>
      <w:r>
        <w:rPr>
          <w:color w:val="000000"/>
          <w:lang w:val="uk-UA"/>
        </w:rPr>
        <w:t xml:space="preserve">ристовуючи за окислювач хлорамін Т (Bergman І., Loxley R., 1970). Кількість колагену розраховували, виходячи з того, що він містить 12,5% оксипроліну – коефіцієнт </w:t>
      </w:r>
      <w:r>
        <w:rPr>
          <w:bCs/>
          <w:color w:val="000000"/>
          <w:lang w:val="uk-UA"/>
        </w:rPr>
        <w:t>8.</w:t>
      </w:r>
    </w:p>
    <w:p w:rsidR="008C691A" w:rsidRDefault="008C691A" w:rsidP="008C691A">
      <w:pPr>
        <w:pStyle w:val="4fff"/>
        <w:rPr>
          <w:color w:val="000000"/>
        </w:rPr>
      </w:pPr>
      <w:r>
        <w:rPr>
          <w:bCs/>
          <w:color w:val="000000"/>
        </w:rPr>
        <w:t>Гістологічне дослідження</w:t>
      </w:r>
      <w:r>
        <w:rPr>
          <w:color w:val="000000"/>
        </w:rPr>
        <w:t xml:space="preserve"> проводилося у два етапи через місяць і через три місяці (по 20 тварин з кожної групи) від початку експерименту. Досліджувалася м'язова тканина опроміненої кінцівки, за контроль служила м'язова тканина неопромінених тварин. Забарвлення парафіновиих зрізів здійснювалося гематоксилін-еозином і за Ван Гізоном, огляд мікропрепаратів проводився під світловим мікроскопом МБІ-11.</w:t>
      </w:r>
    </w:p>
    <w:p w:rsidR="008C691A" w:rsidRDefault="008C691A" w:rsidP="008C691A">
      <w:pPr>
        <w:pStyle w:val="affffffff"/>
        <w:spacing w:line="360" w:lineRule="auto"/>
        <w:ind w:firstLine="709"/>
        <w:rPr>
          <w:rFonts w:ascii="Times New Roman" w:hAnsi="Times New Roman" w:cs="Times New Roman"/>
          <w:bCs/>
          <w:color w:val="000000"/>
          <w:sz w:val="24"/>
          <w:lang w:val="uk-UA"/>
        </w:rPr>
      </w:pPr>
      <w:r>
        <w:rPr>
          <w:rFonts w:ascii="Times New Roman" w:hAnsi="Times New Roman" w:cs="Times New Roman"/>
          <w:color w:val="000000"/>
          <w:sz w:val="24"/>
          <w:lang w:val="uk-UA"/>
        </w:rPr>
        <w:t>При проведенні статистичного аналізу результатів дослідження розраховувалося значення середнього арифметичного і помилка середнього (</w:t>
      </w:r>
      <w:r>
        <w:rPr>
          <w:rFonts w:ascii="Times New Roman" w:hAnsi="Times New Roman" w:cs="Times New Roman"/>
          <w:color w:val="000000"/>
          <w:sz w:val="24"/>
          <w:lang w:val="uk-UA"/>
        </w:rPr>
        <w:object w:dxaOrig="279" w:dyaOrig="380">
          <v:shape id="_x0000_i1026" type="#_x0000_t75" style="width:13.65pt;height:18.6pt" o:ole="">
            <v:imagedata r:id="rId13" o:title=""/>
          </v:shape>
          <o:OLEObject Type="Embed" ProgID="Equation.3" ShapeID="_x0000_i1026" DrawAspect="Content" ObjectID="_1502272209" r:id="rId14"/>
        </w:object>
      </w:r>
      <w:r>
        <w:rPr>
          <w:rFonts w:ascii="Times New Roman" w:hAnsi="Times New Roman" w:cs="Times New Roman"/>
          <w:color w:val="000000"/>
          <w:sz w:val="24"/>
          <w:lang w:val="uk-UA"/>
        </w:rPr>
        <w:sym w:font="Symbol" w:char="F0B1"/>
      </w:r>
      <w:r>
        <w:rPr>
          <w:rFonts w:ascii="Times New Roman" w:hAnsi="Times New Roman" w:cs="Times New Roman"/>
          <w:color w:val="000000"/>
          <w:sz w:val="24"/>
          <w:lang w:val="uk-UA"/>
        </w:rPr>
        <w:t>m). Для представлення якісних характери</w:t>
      </w:r>
      <w:r>
        <w:rPr>
          <w:rFonts w:ascii="Times New Roman" w:hAnsi="Times New Roman" w:cs="Times New Roman"/>
          <w:color w:val="000000"/>
          <w:sz w:val="24"/>
          <w:lang w:val="uk-UA"/>
        </w:rPr>
        <w:t>с</w:t>
      </w:r>
      <w:r>
        <w:rPr>
          <w:rFonts w:ascii="Times New Roman" w:hAnsi="Times New Roman" w:cs="Times New Roman"/>
          <w:color w:val="000000"/>
          <w:sz w:val="24"/>
          <w:lang w:val="uk-UA"/>
        </w:rPr>
        <w:t>тик використовувався показник частоти прояву ознаки (%) і вказувалась помилка частки</w:t>
      </w:r>
      <w:r>
        <w:rPr>
          <w:rFonts w:ascii="Times New Roman" w:hAnsi="Times New Roman" w:cs="Times New Roman"/>
          <w:bCs/>
          <w:color w:val="000000"/>
          <w:sz w:val="24"/>
          <w:lang w:val="uk-UA"/>
        </w:rPr>
        <w:t xml:space="preserve"> (%). При оцінці істинного середнього значення показника використовувався розрахунок 95% вірогідного інтервалу (ВІ), який дозволяє оцінити, в яких межах може знаходитися істинне значення параме</w:t>
      </w:r>
      <w:r>
        <w:rPr>
          <w:rFonts w:ascii="Times New Roman" w:hAnsi="Times New Roman" w:cs="Times New Roman"/>
          <w:bCs/>
          <w:color w:val="000000"/>
          <w:sz w:val="24"/>
          <w:lang w:val="uk-UA"/>
        </w:rPr>
        <w:t>т</w:t>
      </w:r>
      <w:r>
        <w:rPr>
          <w:rFonts w:ascii="Times New Roman" w:hAnsi="Times New Roman" w:cs="Times New Roman"/>
          <w:bCs/>
          <w:color w:val="000000"/>
          <w:sz w:val="24"/>
          <w:lang w:val="uk-UA"/>
        </w:rPr>
        <w:t xml:space="preserve">ра в популяції на рівні значущості p=0,05. </w:t>
      </w:r>
    </w:p>
    <w:p w:rsidR="008C691A" w:rsidRDefault="008C691A" w:rsidP="008C691A">
      <w:pPr>
        <w:pStyle w:val="affffffff"/>
        <w:spacing w:line="360" w:lineRule="auto"/>
        <w:ind w:firstLine="709"/>
        <w:rPr>
          <w:rFonts w:ascii="Times New Roman" w:hAnsi="Times New Roman" w:cs="Times New Roman"/>
          <w:bCs/>
          <w:color w:val="000000"/>
          <w:sz w:val="24"/>
          <w:lang w:val="uk-UA"/>
        </w:rPr>
      </w:pPr>
      <w:r>
        <w:rPr>
          <w:rFonts w:ascii="Times New Roman" w:hAnsi="Times New Roman" w:cs="Times New Roman"/>
          <w:bCs/>
          <w:color w:val="000000"/>
          <w:sz w:val="24"/>
          <w:lang w:val="uk-UA"/>
        </w:rPr>
        <w:t>Для порівняння середніх показників вибірок до і після дії застосовувався критерій Стьюд</w:t>
      </w:r>
      <w:r>
        <w:rPr>
          <w:rFonts w:ascii="Times New Roman" w:hAnsi="Times New Roman" w:cs="Times New Roman"/>
          <w:bCs/>
          <w:color w:val="000000"/>
          <w:sz w:val="24"/>
          <w:lang w:val="uk-UA"/>
        </w:rPr>
        <w:t>е</w:t>
      </w:r>
      <w:r>
        <w:rPr>
          <w:rFonts w:ascii="Times New Roman" w:hAnsi="Times New Roman" w:cs="Times New Roman"/>
          <w:bCs/>
          <w:color w:val="000000"/>
          <w:sz w:val="24"/>
          <w:lang w:val="uk-UA"/>
        </w:rPr>
        <w:t>нта для зв'язаних вибірок (у разі нормального закону розподілу), або T-критерій Вілкоксона (у разі відмінності закону розподілу від нормального). Відмінність вважалася статистично значущою при рівні значущості р&lt;0,05. При порівнянні більше двох вибірок між собою використовувалися мет</w:t>
      </w:r>
      <w:r>
        <w:rPr>
          <w:rFonts w:ascii="Times New Roman" w:hAnsi="Times New Roman" w:cs="Times New Roman"/>
          <w:bCs/>
          <w:color w:val="000000"/>
          <w:sz w:val="24"/>
          <w:lang w:val="uk-UA"/>
        </w:rPr>
        <w:t>о</w:t>
      </w:r>
      <w:r>
        <w:rPr>
          <w:rFonts w:ascii="Times New Roman" w:hAnsi="Times New Roman" w:cs="Times New Roman"/>
          <w:bCs/>
          <w:color w:val="000000"/>
          <w:sz w:val="24"/>
          <w:lang w:val="uk-UA"/>
        </w:rPr>
        <w:t>ди множинних порівнянь: дисперсійний аналіз і метод множинних порівнянь Шеффе, у разі нормального закону розподілу або критерій Круськала–Уолліса і критерій Данна, у разі відмінно</w:t>
      </w:r>
      <w:r>
        <w:rPr>
          <w:rFonts w:ascii="Times New Roman" w:hAnsi="Times New Roman" w:cs="Times New Roman"/>
          <w:bCs/>
          <w:color w:val="000000"/>
          <w:sz w:val="24"/>
          <w:lang w:val="uk-UA"/>
        </w:rPr>
        <w:t>с</w:t>
      </w:r>
      <w:r>
        <w:rPr>
          <w:rFonts w:ascii="Times New Roman" w:hAnsi="Times New Roman" w:cs="Times New Roman"/>
          <w:bCs/>
          <w:color w:val="000000"/>
          <w:sz w:val="24"/>
          <w:lang w:val="uk-UA"/>
        </w:rPr>
        <w:t xml:space="preserve">ті закону розподілу від нормального. При порівнянні частоти прояву якісних ознак використовувався критерій </w:t>
      </w:r>
      <w:r>
        <w:rPr>
          <w:rFonts w:ascii="Times New Roman" w:hAnsi="Times New Roman" w:cs="Times New Roman"/>
          <w:bCs/>
          <w:color w:val="000000"/>
          <w:sz w:val="24"/>
          <w:lang w:val="uk-UA"/>
        </w:rPr>
        <w:object w:dxaOrig="300" w:dyaOrig="400">
          <v:shape id="_x0000_i1027" type="#_x0000_t75" style="width:14.9pt;height:19.85pt" o:ole="">
            <v:imagedata r:id="rId11" o:title=""/>
          </v:shape>
          <o:OLEObject Type="Embed" ProgID="Equation.3" ShapeID="_x0000_i1027" DrawAspect="Content" ObjectID="_1502272210" r:id="rId15"/>
        </w:object>
      </w:r>
      <w:r>
        <w:rPr>
          <w:rFonts w:ascii="Times New Roman" w:hAnsi="Times New Roman" w:cs="Times New Roman"/>
          <w:bCs/>
          <w:color w:val="000000"/>
          <w:sz w:val="24"/>
          <w:lang w:val="uk-UA"/>
        </w:rPr>
        <w:t>. Для оцінки ефективності використовувався показник відносного ризику (ВР). У клінічних дослідженнях це відношення частоти певного результату в експериме</w:t>
      </w:r>
      <w:r>
        <w:rPr>
          <w:rFonts w:ascii="Times New Roman" w:hAnsi="Times New Roman" w:cs="Times New Roman"/>
          <w:bCs/>
          <w:color w:val="000000"/>
          <w:sz w:val="24"/>
          <w:lang w:val="uk-UA"/>
        </w:rPr>
        <w:t>н</w:t>
      </w:r>
      <w:r>
        <w:rPr>
          <w:rFonts w:ascii="Times New Roman" w:hAnsi="Times New Roman" w:cs="Times New Roman"/>
          <w:bCs/>
          <w:color w:val="000000"/>
          <w:sz w:val="24"/>
          <w:lang w:val="uk-UA"/>
        </w:rPr>
        <w:t>тальній групі до частоти таких же результатів в контрольній групі. Для виявлення зв'язку між ознаками застосовувалися методи кореляційного аналізу: розраховувався коефіцієнт кореляції П</w:t>
      </w:r>
      <w:r>
        <w:rPr>
          <w:rFonts w:ascii="Times New Roman" w:hAnsi="Times New Roman" w:cs="Times New Roman"/>
          <w:bCs/>
          <w:color w:val="000000"/>
          <w:sz w:val="24"/>
          <w:lang w:val="uk-UA"/>
        </w:rPr>
        <w:t>і</w:t>
      </w:r>
      <w:r>
        <w:rPr>
          <w:rFonts w:ascii="Times New Roman" w:hAnsi="Times New Roman" w:cs="Times New Roman"/>
          <w:bCs/>
          <w:color w:val="000000"/>
          <w:sz w:val="24"/>
          <w:lang w:val="uk-UA"/>
        </w:rPr>
        <w:t xml:space="preserve">рсона r (у разі нормального закону розподілу) або показник рангової кореляції Спірмена с (у разі відмінностей закону розподілу від нормального).       </w:t>
      </w:r>
    </w:p>
    <w:p w:rsidR="008C691A" w:rsidRDefault="008C691A" w:rsidP="008C691A">
      <w:pPr>
        <w:spacing w:line="360" w:lineRule="auto"/>
        <w:ind w:right="39" w:firstLine="709"/>
        <w:jc w:val="both"/>
        <w:rPr>
          <w:b/>
          <w:bCs/>
          <w:color w:val="000000"/>
          <w:lang w:val="uk-UA"/>
        </w:rPr>
      </w:pPr>
      <w:r>
        <w:rPr>
          <w:b/>
          <w:lang w:val="uk-UA"/>
        </w:rPr>
        <w:lastRenderedPageBreak/>
        <w:t xml:space="preserve">Основні результати дослідження. </w:t>
      </w:r>
      <w:r>
        <w:rPr>
          <w:color w:val="000000"/>
          <w:lang w:val="uk-UA"/>
        </w:rPr>
        <w:t>На першому етапі дослідження п</w:t>
      </w:r>
      <w:r>
        <w:rPr>
          <w:bCs/>
          <w:color w:val="000000"/>
          <w:lang w:val="uk-UA"/>
        </w:rPr>
        <w:t>роаналізували основні ускладнення радикального лікування РГЗ, серед яких</w:t>
      </w:r>
      <w:r>
        <w:rPr>
          <w:color w:val="000000"/>
          <w:lang w:val="uk-UA"/>
        </w:rPr>
        <w:t xml:space="preserve"> превалювали порушення чутливості шкіри в зоні операції, обмеження рухливості у плечовому суглобі, зниження м’язової сили, набряк і біль руки з боку операції. Було показано, що ступінь постмастектомічних ускладнень прямо залежить від інтенсивності і тривалості ТГТ і найбільш виражений у пацієнток, які отримували ТГТ до і п</w:t>
      </w:r>
      <w:r>
        <w:rPr>
          <w:color w:val="000000"/>
          <w:lang w:val="uk-UA"/>
        </w:rPr>
        <w:t>і</w:t>
      </w:r>
      <w:r>
        <w:rPr>
          <w:color w:val="000000"/>
          <w:lang w:val="uk-UA"/>
        </w:rPr>
        <w:t>сля операції.</w:t>
      </w:r>
    </w:p>
    <w:p w:rsidR="008C691A" w:rsidRDefault="008C691A" w:rsidP="008C691A">
      <w:pPr>
        <w:autoSpaceDE w:val="0"/>
        <w:autoSpaceDN w:val="0"/>
        <w:spacing w:line="360" w:lineRule="auto"/>
        <w:ind w:right="40" w:firstLine="709"/>
        <w:jc w:val="both"/>
        <w:rPr>
          <w:color w:val="000000"/>
          <w:lang w:val="uk-UA"/>
        </w:rPr>
      </w:pPr>
      <w:r>
        <w:rPr>
          <w:bCs/>
          <w:color w:val="000000"/>
          <w:lang w:val="uk-UA"/>
        </w:rPr>
        <w:t>Більшість ускладнень</w:t>
      </w:r>
      <w:r>
        <w:rPr>
          <w:color w:val="000000"/>
          <w:lang w:val="uk-UA"/>
        </w:rPr>
        <w:t xml:space="preserve"> розвивалося в перші місяці після лікування і практично не змінюв</w:t>
      </w:r>
      <w:r>
        <w:rPr>
          <w:color w:val="000000"/>
          <w:lang w:val="uk-UA"/>
        </w:rPr>
        <w:t>а</w:t>
      </w:r>
      <w:r>
        <w:rPr>
          <w:color w:val="000000"/>
          <w:lang w:val="uk-UA"/>
        </w:rPr>
        <w:t xml:space="preserve">лися через 1 рік, 3 роки і 5 років. </w:t>
      </w:r>
    </w:p>
    <w:p w:rsidR="008C691A" w:rsidRDefault="008C691A" w:rsidP="008C691A">
      <w:pPr>
        <w:pStyle w:val="24"/>
        <w:spacing w:line="360" w:lineRule="auto"/>
        <w:ind w:right="39" w:firstLine="709"/>
        <w:rPr>
          <w:b/>
          <w:color w:val="000000"/>
          <w:sz w:val="24"/>
          <w:szCs w:val="24"/>
        </w:rPr>
      </w:pPr>
      <w:r>
        <w:rPr>
          <w:color w:val="000000"/>
          <w:sz w:val="24"/>
          <w:szCs w:val="24"/>
        </w:rPr>
        <w:t>За допомогою трепан-біопсії проводили гістологічне дослідження великого грудного м'яза з боку операції і виявляли зміни його морфологічної структури. У пацієнток без проявів ПМЕС в мікропрепаратах м'яза чітко визначаються його паренхіма і строма, м'язові волокна однотипні, нормально структуровані.</w:t>
      </w:r>
    </w:p>
    <w:p w:rsidR="008C691A" w:rsidRDefault="008C691A" w:rsidP="008C691A">
      <w:pPr>
        <w:tabs>
          <w:tab w:val="left" w:pos="8063"/>
        </w:tabs>
        <w:spacing w:line="360" w:lineRule="auto"/>
        <w:ind w:right="39" w:firstLine="709"/>
        <w:jc w:val="both"/>
        <w:rPr>
          <w:bCs/>
          <w:color w:val="000000"/>
          <w:lang w:val="uk-UA"/>
        </w:rPr>
      </w:pPr>
      <w:r>
        <w:rPr>
          <w:bCs/>
          <w:color w:val="000000"/>
          <w:lang w:val="uk-UA"/>
        </w:rPr>
        <w:t xml:space="preserve">Морфологічні зміни, що спостерігались у хворих з ПМЕС, можна умовно розділити на три групи: </w:t>
      </w:r>
    </w:p>
    <w:p w:rsidR="008C691A" w:rsidRDefault="008C691A" w:rsidP="008C691A">
      <w:pPr>
        <w:tabs>
          <w:tab w:val="left" w:pos="8063"/>
        </w:tabs>
        <w:spacing w:line="360" w:lineRule="auto"/>
        <w:ind w:right="39" w:firstLine="709"/>
        <w:jc w:val="both"/>
        <w:rPr>
          <w:bCs/>
          <w:color w:val="000000"/>
          <w:lang w:val="uk-UA"/>
        </w:rPr>
      </w:pPr>
      <w:r>
        <w:rPr>
          <w:bCs/>
          <w:color w:val="000000"/>
          <w:lang w:val="uk-UA"/>
        </w:rPr>
        <w:t xml:space="preserve">Незначні – у вигляді утворення альвеолярних порожнин, незначної атрофії і дегенерації м'язових волокон, що зустрічалися у хворих, які отримували ТГТ за  інтенсивною програмою і мали помірні прояви ПМЕС. </w:t>
      </w:r>
    </w:p>
    <w:p w:rsidR="008C691A" w:rsidRDefault="008C691A" w:rsidP="008C691A">
      <w:pPr>
        <w:pStyle w:val="4fff"/>
        <w:ind w:right="39" w:firstLine="709"/>
        <w:rPr>
          <w:bCs/>
          <w:color w:val="000000"/>
        </w:rPr>
      </w:pPr>
      <w:r>
        <w:rPr>
          <w:bCs/>
          <w:color w:val="000000"/>
        </w:rPr>
        <w:t>Помірні – при яких виявляються осередки розкомплектації внаслідок лімфостазу, ділянки грубої контрактурної дегенерації в дистрофічно змінених м'язових волокнах, воскоподібний не</w:t>
      </w:r>
      <w:r>
        <w:rPr>
          <w:bCs/>
          <w:color w:val="000000"/>
        </w:rPr>
        <w:t>к</w:t>
      </w:r>
      <w:r>
        <w:rPr>
          <w:bCs/>
          <w:color w:val="000000"/>
        </w:rPr>
        <w:t xml:space="preserve">роз. Ці прояви відповідали ПМЕС середнього ступеня вираження і спостерігалися у пацієнток, в основній масі, отримуючих ТГТ за дрібно-протяжною програмою. </w:t>
      </w:r>
    </w:p>
    <w:p w:rsidR="008C691A" w:rsidRDefault="008C691A" w:rsidP="008C691A">
      <w:pPr>
        <w:spacing w:line="360" w:lineRule="auto"/>
        <w:ind w:right="39" w:firstLine="709"/>
        <w:jc w:val="both"/>
        <w:rPr>
          <w:bCs/>
          <w:color w:val="000000"/>
          <w:lang w:val="uk-UA"/>
        </w:rPr>
      </w:pPr>
      <w:r>
        <w:rPr>
          <w:bCs/>
          <w:color w:val="000000"/>
          <w:lang w:val="uk-UA"/>
        </w:rPr>
        <w:t>Значні – у вигляді міофіброзу, склерозу, воскоподібного некрозу м'язів, вираженого пери- та ендоваскуліту, що призводять до облітерації судин. Усі ці явища визначалися у хворих з тя</w:t>
      </w:r>
      <w:r>
        <w:rPr>
          <w:bCs/>
          <w:color w:val="000000"/>
          <w:lang w:val="uk-UA"/>
        </w:rPr>
        <w:t>ж</w:t>
      </w:r>
      <w:r>
        <w:rPr>
          <w:bCs/>
          <w:color w:val="000000"/>
          <w:lang w:val="uk-UA"/>
        </w:rPr>
        <w:t xml:space="preserve">кими проявами ПМЕС, значним лімфостазом, контрактурами та іншими симптомами. Переважна більшість цих хворих одержала ТГТ до і після операції. </w:t>
      </w:r>
    </w:p>
    <w:p w:rsidR="008C691A" w:rsidRDefault="008C691A" w:rsidP="008C691A">
      <w:pPr>
        <w:pStyle w:val="24"/>
        <w:spacing w:line="360" w:lineRule="auto"/>
        <w:ind w:right="39" w:firstLine="709"/>
        <w:rPr>
          <w:color w:val="000000"/>
          <w:sz w:val="24"/>
          <w:szCs w:val="24"/>
        </w:rPr>
      </w:pPr>
      <w:r>
        <w:rPr>
          <w:color w:val="000000"/>
          <w:sz w:val="24"/>
          <w:szCs w:val="24"/>
        </w:rPr>
        <w:t>Таким чином встановлено, що вираженість ПМЕС безпосередньо залежить від дегенерат</w:t>
      </w:r>
      <w:r>
        <w:rPr>
          <w:color w:val="000000"/>
          <w:sz w:val="24"/>
          <w:szCs w:val="24"/>
        </w:rPr>
        <w:t>и</w:t>
      </w:r>
      <w:r>
        <w:rPr>
          <w:color w:val="000000"/>
          <w:sz w:val="24"/>
          <w:szCs w:val="24"/>
        </w:rPr>
        <w:t>вних змін у м'язовій тканині, які призводять до порушення мікроциркуляції і лімфовідтікання. Найбільшою мірою ПМЕС проявляється при розвитку в грудних м'язах міосклерозу і міофіброзу, які залежать від променевих пошкоджень у більшій мірі, ніж від травматичності операції і на</w:t>
      </w:r>
      <w:r>
        <w:rPr>
          <w:color w:val="000000"/>
          <w:sz w:val="24"/>
          <w:szCs w:val="24"/>
        </w:rPr>
        <w:t>й</w:t>
      </w:r>
      <w:r>
        <w:rPr>
          <w:color w:val="000000"/>
          <w:sz w:val="24"/>
          <w:szCs w:val="24"/>
        </w:rPr>
        <w:t>більш виражені при проведенні ТГТ до і після операції.</w:t>
      </w:r>
    </w:p>
    <w:p w:rsidR="008C691A" w:rsidRDefault="008C691A" w:rsidP="008C691A">
      <w:pPr>
        <w:pStyle w:val="24"/>
        <w:autoSpaceDE w:val="0"/>
        <w:autoSpaceDN w:val="0"/>
        <w:spacing w:line="360" w:lineRule="auto"/>
        <w:ind w:right="39" w:firstLine="709"/>
        <w:rPr>
          <w:noProof/>
          <w:color w:val="000000"/>
          <w:sz w:val="24"/>
          <w:szCs w:val="24"/>
        </w:rPr>
      </w:pPr>
      <w:r>
        <w:rPr>
          <w:color w:val="000000"/>
          <w:sz w:val="24"/>
          <w:szCs w:val="24"/>
        </w:rPr>
        <w:t xml:space="preserve">Для діагностики ПМЕС на ранніх стадіях ми використали ехографічну денситометрію, яка дає змогу визначення щільності тканин без трепан-біопсії. </w:t>
      </w:r>
      <w:r>
        <w:rPr>
          <w:noProof/>
          <w:color w:val="000000"/>
          <w:sz w:val="24"/>
          <w:szCs w:val="24"/>
        </w:rPr>
        <w:t xml:space="preserve">При порівнянні показників </w:t>
      </w:r>
      <w:r>
        <w:rPr>
          <w:color w:val="000000"/>
          <w:sz w:val="24"/>
          <w:szCs w:val="24"/>
        </w:rPr>
        <w:t>денситом</w:t>
      </w:r>
      <w:r>
        <w:rPr>
          <w:color w:val="000000"/>
          <w:sz w:val="24"/>
          <w:szCs w:val="24"/>
        </w:rPr>
        <w:t>е</w:t>
      </w:r>
      <w:r>
        <w:rPr>
          <w:color w:val="000000"/>
          <w:sz w:val="24"/>
          <w:szCs w:val="24"/>
        </w:rPr>
        <w:t>трії</w:t>
      </w:r>
      <w:r>
        <w:rPr>
          <w:noProof/>
          <w:color w:val="000000"/>
          <w:sz w:val="24"/>
          <w:szCs w:val="24"/>
        </w:rPr>
        <w:t xml:space="preserve"> з боку операції і зі здорового боку простежується збільшення щільності тканин з боку операції, яке прямо залежало від програми </w:t>
      </w:r>
      <w:r>
        <w:rPr>
          <w:color w:val="000000"/>
          <w:sz w:val="24"/>
          <w:szCs w:val="24"/>
        </w:rPr>
        <w:t>ТГТ</w:t>
      </w:r>
      <w:r>
        <w:rPr>
          <w:noProof/>
          <w:color w:val="000000"/>
          <w:sz w:val="24"/>
          <w:szCs w:val="24"/>
        </w:rPr>
        <w:t xml:space="preserve">. Особливо помітні відмінності при проведенні </w:t>
      </w:r>
      <w:r>
        <w:rPr>
          <w:color w:val="000000"/>
          <w:sz w:val="24"/>
          <w:szCs w:val="24"/>
        </w:rPr>
        <w:t>ТГТ</w:t>
      </w:r>
      <w:r>
        <w:rPr>
          <w:noProof/>
          <w:color w:val="000000"/>
          <w:sz w:val="24"/>
          <w:szCs w:val="24"/>
        </w:rPr>
        <w:t xml:space="preserve"> до і після операції</w:t>
      </w:r>
      <w:r>
        <w:rPr>
          <w:color w:val="000000"/>
          <w:sz w:val="24"/>
          <w:szCs w:val="24"/>
        </w:rPr>
        <w:t>.</w:t>
      </w:r>
      <w:r>
        <w:rPr>
          <w:noProof/>
          <w:color w:val="000000"/>
          <w:sz w:val="24"/>
          <w:szCs w:val="24"/>
        </w:rPr>
        <w:t xml:space="preserve"> </w:t>
      </w:r>
    </w:p>
    <w:p w:rsidR="008C691A" w:rsidRDefault="008C691A" w:rsidP="008C691A">
      <w:pPr>
        <w:pStyle w:val="24"/>
        <w:autoSpaceDE w:val="0"/>
        <w:autoSpaceDN w:val="0"/>
        <w:spacing w:line="360" w:lineRule="auto"/>
        <w:ind w:right="39" w:firstLine="709"/>
        <w:rPr>
          <w:noProof/>
          <w:color w:val="000000"/>
          <w:sz w:val="24"/>
          <w:szCs w:val="24"/>
        </w:rPr>
      </w:pPr>
      <w:r>
        <w:rPr>
          <w:noProof/>
          <w:color w:val="000000"/>
          <w:sz w:val="24"/>
          <w:szCs w:val="24"/>
        </w:rPr>
        <w:lastRenderedPageBreak/>
        <w:t xml:space="preserve">Показники ехографічної щільності прямо корелювали з проявами ПМЕС. Найчутливішим показником виявилася різниця у щільності грудних м'язів на здоровому боці і з боку операції, яка прямо корелювала зі зниженням м'язової сили кисті (r=0,86), набряком кінцівки (r=0,79), обмеженням рухливості кінцівки (r=0,76), болями в руці (r=0,73). Ступінь морфологічних змін у м'язах відповідав зростанню їх ехографічної щільності. </w:t>
      </w:r>
    </w:p>
    <w:p w:rsidR="008C691A" w:rsidRDefault="008C691A" w:rsidP="008C691A">
      <w:pPr>
        <w:pStyle w:val="24"/>
        <w:autoSpaceDE w:val="0"/>
        <w:autoSpaceDN w:val="0"/>
        <w:spacing w:line="360" w:lineRule="auto"/>
        <w:ind w:right="39" w:firstLine="709"/>
        <w:rPr>
          <w:noProof/>
          <w:color w:val="000000"/>
          <w:sz w:val="24"/>
          <w:szCs w:val="24"/>
        </w:rPr>
      </w:pPr>
      <w:r>
        <w:rPr>
          <w:noProof/>
          <w:color w:val="000000"/>
          <w:sz w:val="24"/>
          <w:szCs w:val="24"/>
        </w:rPr>
        <w:t>Постпроменеві зміни у м'язовій тканині носять виражений і стійкий характер, що підтверджується практично однаковими показниками денситометрії грудних м'язів з боку операції через 1, 3 і 5 років після лікування.</w:t>
      </w:r>
    </w:p>
    <w:p w:rsidR="008C691A" w:rsidRDefault="008C691A" w:rsidP="008C691A">
      <w:pPr>
        <w:pStyle w:val="24"/>
        <w:autoSpaceDE w:val="0"/>
        <w:autoSpaceDN w:val="0"/>
        <w:spacing w:line="360" w:lineRule="auto"/>
        <w:ind w:right="39" w:firstLine="709"/>
        <w:rPr>
          <w:bCs/>
          <w:color w:val="000000"/>
          <w:sz w:val="24"/>
          <w:szCs w:val="24"/>
        </w:rPr>
      </w:pPr>
      <w:r>
        <w:rPr>
          <w:color w:val="000000"/>
          <w:sz w:val="24"/>
          <w:szCs w:val="24"/>
        </w:rPr>
        <w:t>Пряма кореляційна залежність ПМЕС від щільності грудних м'язів дозволила нам запроп</w:t>
      </w:r>
      <w:r>
        <w:rPr>
          <w:color w:val="000000"/>
          <w:sz w:val="24"/>
          <w:szCs w:val="24"/>
        </w:rPr>
        <w:t>о</w:t>
      </w:r>
      <w:r>
        <w:rPr>
          <w:color w:val="000000"/>
          <w:sz w:val="24"/>
          <w:szCs w:val="24"/>
        </w:rPr>
        <w:t xml:space="preserve">нувати і </w:t>
      </w:r>
      <w:r>
        <w:rPr>
          <w:noProof/>
          <w:color w:val="000000"/>
          <w:sz w:val="24"/>
          <w:szCs w:val="24"/>
        </w:rPr>
        <w:t xml:space="preserve">запатентувати метод експертизи </w:t>
      </w:r>
      <w:r>
        <w:rPr>
          <w:color w:val="000000"/>
          <w:sz w:val="24"/>
          <w:szCs w:val="24"/>
        </w:rPr>
        <w:t>ПМЕС</w:t>
      </w:r>
      <w:r>
        <w:rPr>
          <w:noProof/>
          <w:color w:val="000000"/>
          <w:sz w:val="24"/>
          <w:szCs w:val="24"/>
        </w:rPr>
        <w:t xml:space="preserve"> за допомогою ультразвукової </w:t>
      </w:r>
      <w:r>
        <w:rPr>
          <w:color w:val="000000"/>
          <w:sz w:val="24"/>
          <w:szCs w:val="24"/>
        </w:rPr>
        <w:t>денситометрії</w:t>
      </w:r>
      <w:r>
        <w:rPr>
          <w:noProof/>
          <w:color w:val="000000"/>
          <w:sz w:val="24"/>
          <w:szCs w:val="24"/>
        </w:rPr>
        <w:t xml:space="preserve"> (патент України на винахід </w:t>
      </w:r>
      <w:r>
        <w:rPr>
          <w:color w:val="000000"/>
          <w:sz w:val="24"/>
          <w:szCs w:val="24"/>
        </w:rPr>
        <w:t>№5901А) і запропонувати шкалу визначення ступеня ПМЕС залежно від різниці денситометричних показників щільності грудних м</w:t>
      </w:r>
      <w:r>
        <w:rPr>
          <w:color w:val="000000"/>
          <w:sz w:val="24"/>
          <w:szCs w:val="24"/>
          <w:lang w:eastAsia="uk-UA"/>
        </w:rPr>
        <w:t>'</w:t>
      </w:r>
      <w:r>
        <w:rPr>
          <w:color w:val="000000"/>
          <w:sz w:val="24"/>
          <w:szCs w:val="24"/>
        </w:rPr>
        <w:t>язів з боку операції і на здоровому боці</w:t>
      </w:r>
      <w:r>
        <w:rPr>
          <w:bCs/>
          <w:color w:val="000000"/>
          <w:sz w:val="24"/>
          <w:szCs w:val="24"/>
        </w:rPr>
        <w:t xml:space="preserve"> </w:t>
      </w:r>
    </w:p>
    <w:p w:rsidR="008C691A" w:rsidRDefault="008C691A" w:rsidP="008C691A">
      <w:pPr>
        <w:pStyle w:val="24"/>
        <w:autoSpaceDE w:val="0"/>
        <w:autoSpaceDN w:val="0"/>
        <w:spacing w:line="360" w:lineRule="auto"/>
        <w:ind w:right="39" w:firstLine="709"/>
        <w:rPr>
          <w:bCs/>
          <w:color w:val="000000"/>
          <w:sz w:val="24"/>
          <w:szCs w:val="24"/>
        </w:rPr>
      </w:pPr>
    </w:p>
    <w:p w:rsidR="008C691A" w:rsidRDefault="008C691A" w:rsidP="008C691A">
      <w:pPr>
        <w:pStyle w:val="24"/>
        <w:autoSpaceDE w:val="0"/>
        <w:autoSpaceDN w:val="0"/>
        <w:spacing w:line="360" w:lineRule="auto"/>
        <w:ind w:right="39" w:firstLine="709"/>
        <w:jc w:val="center"/>
        <w:rPr>
          <w:bCs/>
          <w:color w:val="000000"/>
          <w:sz w:val="24"/>
          <w:szCs w:val="24"/>
          <w:vertAlign w:val="subscript"/>
          <w:lang w:eastAsia="uk-UA"/>
        </w:rPr>
      </w:pPr>
      <w:r>
        <w:rPr>
          <w:bCs/>
          <w:color w:val="000000"/>
          <w:sz w:val="24"/>
          <w:szCs w:val="24"/>
          <w:lang w:eastAsia="uk-UA"/>
        </w:rPr>
        <w:t>СУ = Р</w:t>
      </w:r>
      <w:r>
        <w:rPr>
          <w:bCs/>
          <w:color w:val="000000"/>
          <w:sz w:val="24"/>
          <w:szCs w:val="24"/>
          <w:vertAlign w:val="subscript"/>
          <w:lang w:eastAsia="uk-UA"/>
        </w:rPr>
        <w:t>1</w:t>
      </w:r>
      <w:r>
        <w:rPr>
          <w:bCs/>
          <w:color w:val="000000"/>
          <w:sz w:val="24"/>
          <w:szCs w:val="24"/>
          <w:lang w:eastAsia="uk-UA"/>
        </w:rPr>
        <w:t xml:space="preserve"> -</w:t>
      </w:r>
      <w:r>
        <w:rPr>
          <w:bCs/>
          <w:color w:val="000000"/>
          <w:sz w:val="24"/>
          <w:szCs w:val="24"/>
          <w:vertAlign w:val="subscript"/>
          <w:lang w:eastAsia="uk-UA"/>
        </w:rPr>
        <w:t xml:space="preserve"> </w:t>
      </w:r>
      <w:r>
        <w:rPr>
          <w:bCs/>
          <w:color w:val="000000"/>
          <w:sz w:val="24"/>
          <w:szCs w:val="24"/>
          <w:lang w:eastAsia="uk-UA"/>
        </w:rPr>
        <w:t>Р</w:t>
      </w:r>
      <w:r>
        <w:rPr>
          <w:bCs/>
          <w:color w:val="000000"/>
          <w:sz w:val="24"/>
          <w:szCs w:val="24"/>
          <w:vertAlign w:val="subscript"/>
          <w:lang w:eastAsia="uk-UA"/>
        </w:rPr>
        <w:t xml:space="preserve">2 </w:t>
      </w:r>
      <w:r>
        <w:rPr>
          <w:bCs/>
          <w:color w:val="000000"/>
          <w:sz w:val="24"/>
          <w:szCs w:val="24"/>
          <w:lang w:eastAsia="uk-UA"/>
        </w:rPr>
        <w:t>,</w:t>
      </w:r>
      <w:r>
        <w:rPr>
          <w:bCs/>
          <w:color w:val="000000"/>
          <w:sz w:val="24"/>
          <w:szCs w:val="24"/>
          <w:vertAlign w:val="subscript"/>
          <w:lang w:eastAsia="uk-UA"/>
        </w:rPr>
        <w:t xml:space="preserve">    </w:t>
      </w:r>
    </w:p>
    <w:p w:rsidR="008C691A" w:rsidRDefault="008C691A" w:rsidP="008C691A">
      <w:pPr>
        <w:pStyle w:val="24"/>
        <w:autoSpaceDE w:val="0"/>
        <w:autoSpaceDN w:val="0"/>
        <w:spacing w:line="360" w:lineRule="auto"/>
        <w:ind w:right="39" w:firstLine="709"/>
        <w:jc w:val="center"/>
        <w:rPr>
          <w:bCs/>
          <w:color w:val="000000"/>
          <w:sz w:val="24"/>
          <w:szCs w:val="24"/>
          <w:lang w:eastAsia="uk-UA"/>
        </w:rPr>
      </w:pPr>
    </w:p>
    <w:p w:rsidR="008C691A" w:rsidRDefault="008C691A" w:rsidP="008C691A">
      <w:pPr>
        <w:pStyle w:val="24"/>
        <w:autoSpaceDE w:val="0"/>
        <w:autoSpaceDN w:val="0"/>
        <w:spacing w:line="360" w:lineRule="auto"/>
        <w:ind w:right="39" w:firstLine="709"/>
        <w:rPr>
          <w:bCs/>
          <w:color w:val="000000"/>
          <w:sz w:val="24"/>
          <w:szCs w:val="24"/>
          <w:lang w:eastAsia="uk-UA"/>
        </w:rPr>
      </w:pPr>
      <w:r>
        <w:rPr>
          <w:bCs/>
          <w:color w:val="000000"/>
          <w:sz w:val="24"/>
          <w:szCs w:val="24"/>
          <w:lang w:eastAsia="uk-UA"/>
        </w:rPr>
        <w:t>де СУ – ступінь ускладнень;</w:t>
      </w:r>
    </w:p>
    <w:p w:rsidR="008C691A" w:rsidRDefault="008C691A" w:rsidP="008C691A">
      <w:pPr>
        <w:pStyle w:val="24"/>
        <w:autoSpaceDE w:val="0"/>
        <w:autoSpaceDN w:val="0"/>
        <w:spacing w:line="360" w:lineRule="auto"/>
        <w:ind w:right="39" w:firstLine="709"/>
        <w:rPr>
          <w:bCs/>
          <w:color w:val="000000"/>
          <w:sz w:val="24"/>
          <w:szCs w:val="24"/>
        </w:rPr>
      </w:pPr>
      <w:r>
        <w:rPr>
          <w:bCs/>
          <w:color w:val="000000"/>
          <w:sz w:val="24"/>
          <w:szCs w:val="24"/>
        </w:rPr>
        <w:t>Р</w:t>
      </w:r>
      <w:r>
        <w:rPr>
          <w:bCs/>
          <w:color w:val="000000"/>
          <w:sz w:val="24"/>
          <w:szCs w:val="24"/>
          <w:vertAlign w:val="subscript"/>
        </w:rPr>
        <w:t>1</w:t>
      </w:r>
      <w:r>
        <w:rPr>
          <w:bCs/>
          <w:color w:val="000000"/>
          <w:sz w:val="24"/>
          <w:szCs w:val="24"/>
        </w:rPr>
        <w:t xml:space="preserve"> </w:t>
      </w:r>
      <w:r>
        <w:rPr>
          <w:bCs/>
          <w:color w:val="000000"/>
          <w:sz w:val="24"/>
          <w:szCs w:val="24"/>
          <w:lang w:eastAsia="uk-UA"/>
        </w:rPr>
        <w:t>– щільність грудних м'язів з боку операції;</w:t>
      </w:r>
      <w:r>
        <w:rPr>
          <w:bCs/>
          <w:color w:val="000000"/>
          <w:sz w:val="24"/>
          <w:szCs w:val="24"/>
        </w:rPr>
        <w:t xml:space="preserve">  </w:t>
      </w:r>
    </w:p>
    <w:p w:rsidR="008C691A" w:rsidRDefault="008C691A" w:rsidP="008C691A">
      <w:pPr>
        <w:pStyle w:val="24"/>
        <w:autoSpaceDE w:val="0"/>
        <w:autoSpaceDN w:val="0"/>
        <w:spacing w:line="360" w:lineRule="auto"/>
        <w:ind w:right="39" w:firstLine="709"/>
        <w:rPr>
          <w:bCs/>
          <w:color w:val="000000"/>
          <w:sz w:val="24"/>
          <w:szCs w:val="24"/>
          <w:lang w:eastAsia="uk-UA"/>
        </w:rPr>
      </w:pPr>
      <w:r>
        <w:rPr>
          <w:bCs/>
          <w:color w:val="000000"/>
          <w:sz w:val="24"/>
          <w:szCs w:val="24"/>
          <w:lang w:eastAsia="uk-UA"/>
        </w:rPr>
        <w:t>Р</w:t>
      </w:r>
      <w:r>
        <w:rPr>
          <w:bCs/>
          <w:color w:val="000000"/>
          <w:sz w:val="24"/>
          <w:szCs w:val="24"/>
          <w:vertAlign w:val="subscript"/>
          <w:lang w:eastAsia="uk-UA"/>
        </w:rPr>
        <w:t xml:space="preserve">2 </w:t>
      </w:r>
      <w:r>
        <w:rPr>
          <w:bCs/>
          <w:color w:val="000000"/>
          <w:sz w:val="24"/>
          <w:szCs w:val="24"/>
          <w:lang w:eastAsia="uk-UA"/>
        </w:rPr>
        <w:t>– щільність грудних м'язів на здоровому боці.</w:t>
      </w:r>
    </w:p>
    <w:p w:rsidR="008C691A" w:rsidRDefault="008C691A" w:rsidP="008C691A">
      <w:pPr>
        <w:pStyle w:val="24"/>
        <w:autoSpaceDE w:val="0"/>
        <w:autoSpaceDN w:val="0"/>
        <w:spacing w:line="360" w:lineRule="auto"/>
        <w:ind w:right="39" w:firstLine="709"/>
        <w:rPr>
          <w:bCs/>
          <w:color w:val="000000"/>
          <w:sz w:val="24"/>
          <w:szCs w:val="24"/>
          <w:lang w:eastAsia="uk-UA"/>
        </w:rPr>
      </w:pPr>
    </w:p>
    <w:p w:rsidR="008C691A" w:rsidRDefault="008C691A" w:rsidP="008C691A">
      <w:pPr>
        <w:pStyle w:val="24"/>
        <w:autoSpaceDE w:val="0"/>
        <w:autoSpaceDN w:val="0"/>
        <w:spacing w:line="360" w:lineRule="auto"/>
        <w:ind w:right="39" w:firstLine="840"/>
        <w:rPr>
          <w:bCs/>
          <w:color w:val="000000"/>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9"/>
        <w:gridCol w:w="4898"/>
      </w:tblGrid>
      <w:tr w:rsidR="008C691A" w:rsidTr="006D506A">
        <w:tblPrEx>
          <w:tblCellMar>
            <w:top w:w="0" w:type="dxa"/>
            <w:bottom w:w="0" w:type="dxa"/>
          </w:tblCellMar>
        </w:tblPrEx>
        <w:trPr>
          <w:jc w:val="center"/>
        </w:trPr>
        <w:tc>
          <w:tcPr>
            <w:tcW w:w="4229" w:type="dxa"/>
            <w:tcBorders>
              <w:top w:val="single" w:sz="4" w:space="0" w:color="auto"/>
              <w:left w:val="single" w:sz="4" w:space="0" w:color="auto"/>
              <w:bottom w:val="single" w:sz="4" w:space="0" w:color="auto"/>
              <w:right w:val="single" w:sz="4" w:space="0" w:color="auto"/>
            </w:tcBorders>
          </w:tcPr>
          <w:p w:rsidR="008C691A" w:rsidRDefault="008C691A" w:rsidP="006D506A">
            <w:pPr>
              <w:pStyle w:val="24"/>
              <w:spacing w:line="360" w:lineRule="auto"/>
              <w:ind w:right="39"/>
              <w:jc w:val="center"/>
              <w:rPr>
                <w:color w:val="000000"/>
                <w:sz w:val="24"/>
                <w:szCs w:val="24"/>
                <w:lang w:eastAsia="uk-UA"/>
              </w:rPr>
            </w:pPr>
            <w:r>
              <w:rPr>
                <w:color w:val="000000"/>
                <w:sz w:val="24"/>
                <w:szCs w:val="24"/>
                <w:lang w:eastAsia="uk-UA"/>
              </w:rPr>
              <w:t>Ступінь постмастектомічних ускла</w:t>
            </w:r>
            <w:r>
              <w:rPr>
                <w:color w:val="000000"/>
                <w:sz w:val="24"/>
                <w:szCs w:val="24"/>
                <w:lang w:eastAsia="uk-UA"/>
              </w:rPr>
              <w:t>д</w:t>
            </w:r>
            <w:r>
              <w:rPr>
                <w:color w:val="000000"/>
                <w:sz w:val="24"/>
                <w:szCs w:val="24"/>
                <w:lang w:eastAsia="uk-UA"/>
              </w:rPr>
              <w:t>нень (СУ)</w:t>
            </w:r>
          </w:p>
        </w:tc>
        <w:tc>
          <w:tcPr>
            <w:tcW w:w="4898" w:type="dxa"/>
            <w:tcBorders>
              <w:top w:val="single" w:sz="4" w:space="0" w:color="auto"/>
              <w:left w:val="single" w:sz="4" w:space="0" w:color="auto"/>
              <w:bottom w:val="single" w:sz="4" w:space="0" w:color="auto"/>
              <w:right w:val="single" w:sz="4" w:space="0" w:color="auto"/>
            </w:tcBorders>
          </w:tcPr>
          <w:p w:rsidR="008C691A" w:rsidRDefault="008C691A" w:rsidP="006D506A">
            <w:pPr>
              <w:pStyle w:val="24"/>
              <w:spacing w:line="360" w:lineRule="auto"/>
              <w:ind w:right="39" w:firstLine="33"/>
              <w:jc w:val="center"/>
              <w:rPr>
                <w:color w:val="000000"/>
                <w:sz w:val="24"/>
                <w:szCs w:val="24"/>
                <w:lang w:eastAsia="uk-UA"/>
              </w:rPr>
            </w:pPr>
            <w:r>
              <w:rPr>
                <w:color w:val="000000"/>
                <w:sz w:val="24"/>
                <w:szCs w:val="24"/>
                <w:lang w:eastAsia="uk-UA"/>
              </w:rPr>
              <w:t>Різниця щільності грудних м'язів</w:t>
            </w:r>
          </w:p>
          <w:p w:rsidR="008C691A" w:rsidRDefault="008C691A" w:rsidP="006D506A">
            <w:pPr>
              <w:pStyle w:val="24"/>
              <w:spacing w:line="360" w:lineRule="auto"/>
              <w:ind w:right="39" w:firstLine="33"/>
              <w:jc w:val="center"/>
              <w:rPr>
                <w:color w:val="000000"/>
                <w:sz w:val="24"/>
                <w:szCs w:val="24"/>
                <w:lang w:eastAsia="uk-UA"/>
              </w:rPr>
            </w:pPr>
            <w:r>
              <w:rPr>
                <w:color w:val="000000"/>
                <w:sz w:val="24"/>
                <w:szCs w:val="24"/>
                <w:lang w:eastAsia="uk-UA"/>
              </w:rPr>
              <w:t>(</w:t>
            </w:r>
            <w:r>
              <w:rPr>
                <w:bCs/>
                <w:color w:val="000000"/>
                <w:sz w:val="24"/>
                <w:szCs w:val="24"/>
                <w:lang w:eastAsia="uk-UA"/>
              </w:rPr>
              <w:t>Р</w:t>
            </w:r>
            <w:r>
              <w:rPr>
                <w:bCs/>
                <w:color w:val="000000"/>
                <w:sz w:val="24"/>
                <w:szCs w:val="24"/>
                <w:vertAlign w:val="subscript"/>
                <w:lang w:eastAsia="uk-UA"/>
              </w:rPr>
              <w:t>1</w:t>
            </w:r>
            <w:r>
              <w:rPr>
                <w:bCs/>
                <w:color w:val="000000"/>
                <w:sz w:val="24"/>
                <w:szCs w:val="24"/>
                <w:lang w:eastAsia="uk-UA"/>
              </w:rPr>
              <w:t xml:space="preserve"> -</w:t>
            </w:r>
            <w:r>
              <w:rPr>
                <w:bCs/>
                <w:color w:val="000000"/>
                <w:sz w:val="24"/>
                <w:szCs w:val="24"/>
                <w:vertAlign w:val="subscript"/>
                <w:lang w:eastAsia="uk-UA"/>
              </w:rPr>
              <w:t xml:space="preserve"> </w:t>
            </w:r>
            <w:r>
              <w:rPr>
                <w:bCs/>
                <w:color w:val="000000"/>
                <w:sz w:val="24"/>
                <w:szCs w:val="24"/>
                <w:lang w:eastAsia="uk-UA"/>
              </w:rPr>
              <w:t>Р</w:t>
            </w:r>
            <w:r>
              <w:rPr>
                <w:bCs/>
                <w:color w:val="000000"/>
                <w:sz w:val="24"/>
                <w:szCs w:val="24"/>
                <w:vertAlign w:val="subscript"/>
                <w:lang w:eastAsia="uk-UA"/>
              </w:rPr>
              <w:t>2</w:t>
            </w:r>
            <w:r>
              <w:rPr>
                <w:color w:val="000000"/>
                <w:sz w:val="24"/>
                <w:szCs w:val="24"/>
                <w:lang w:eastAsia="uk-UA"/>
              </w:rPr>
              <w:t xml:space="preserve"> )</w:t>
            </w:r>
          </w:p>
        </w:tc>
      </w:tr>
      <w:tr w:rsidR="008C691A" w:rsidTr="006D506A">
        <w:tblPrEx>
          <w:tblCellMar>
            <w:top w:w="0" w:type="dxa"/>
            <w:bottom w:w="0" w:type="dxa"/>
          </w:tblCellMar>
        </w:tblPrEx>
        <w:trPr>
          <w:jc w:val="center"/>
        </w:trPr>
        <w:tc>
          <w:tcPr>
            <w:tcW w:w="4229" w:type="dxa"/>
            <w:tcBorders>
              <w:top w:val="single" w:sz="4" w:space="0" w:color="auto"/>
              <w:left w:val="single" w:sz="4" w:space="0" w:color="auto"/>
              <w:bottom w:val="single" w:sz="4" w:space="0" w:color="auto"/>
              <w:right w:val="single" w:sz="4" w:space="0" w:color="auto"/>
            </w:tcBorders>
          </w:tcPr>
          <w:p w:rsidR="008C691A" w:rsidRDefault="008C691A" w:rsidP="006D506A">
            <w:pPr>
              <w:spacing w:line="360" w:lineRule="auto"/>
              <w:ind w:right="39" w:firstLine="840"/>
              <w:jc w:val="both"/>
              <w:rPr>
                <w:color w:val="000000"/>
                <w:lang w:val="uk-UA"/>
              </w:rPr>
            </w:pPr>
            <w:r>
              <w:rPr>
                <w:color w:val="000000"/>
                <w:lang w:val="uk-UA"/>
              </w:rPr>
              <w:t>0</w:t>
            </w:r>
          </w:p>
        </w:tc>
        <w:tc>
          <w:tcPr>
            <w:tcW w:w="4898" w:type="dxa"/>
            <w:tcBorders>
              <w:top w:val="single" w:sz="4" w:space="0" w:color="auto"/>
              <w:left w:val="single" w:sz="4" w:space="0" w:color="auto"/>
              <w:bottom w:val="single" w:sz="4" w:space="0" w:color="auto"/>
              <w:right w:val="single" w:sz="4" w:space="0" w:color="auto"/>
            </w:tcBorders>
          </w:tcPr>
          <w:p w:rsidR="008C691A" w:rsidRDefault="008C691A" w:rsidP="006D506A">
            <w:pPr>
              <w:spacing w:line="360" w:lineRule="auto"/>
              <w:ind w:right="39" w:firstLine="840"/>
              <w:jc w:val="both"/>
              <w:rPr>
                <w:color w:val="000000"/>
                <w:lang w:val="uk-UA"/>
              </w:rPr>
            </w:pPr>
            <w:r>
              <w:rPr>
                <w:color w:val="000000"/>
                <w:lang w:val="uk-UA"/>
              </w:rPr>
              <w:t>0 – 5 ДБ</w:t>
            </w:r>
          </w:p>
        </w:tc>
      </w:tr>
      <w:tr w:rsidR="008C691A" w:rsidTr="006D506A">
        <w:tblPrEx>
          <w:tblCellMar>
            <w:top w:w="0" w:type="dxa"/>
            <w:bottom w:w="0" w:type="dxa"/>
          </w:tblCellMar>
        </w:tblPrEx>
        <w:trPr>
          <w:jc w:val="center"/>
        </w:trPr>
        <w:tc>
          <w:tcPr>
            <w:tcW w:w="4229" w:type="dxa"/>
            <w:tcBorders>
              <w:top w:val="single" w:sz="4" w:space="0" w:color="auto"/>
              <w:left w:val="single" w:sz="4" w:space="0" w:color="auto"/>
              <w:bottom w:val="single" w:sz="4" w:space="0" w:color="auto"/>
              <w:right w:val="single" w:sz="4" w:space="0" w:color="auto"/>
            </w:tcBorders>
          </w:tcPr>
          <w:p w:rsidR="008C691A" w:rsidRDefault="008C691A" w:rsidP="006D506A">
            <w:pPr>
              <w:spacing w:line="360" w:lineRule="auto"/>
              <w:ind w:right="39" w:firstLine="840"/>
              <w:jc w:val="both"/>
              <w:rPr>
                <w:color w:val="000000"/>
                <w:lang w:val="uk-UA"/>
              </w:rPr>
            </w:pPr>
            <w:r>
              <w:rPr>
                <w:color w:val="000000"/>
                <w:lang w:val="uk-UA"/>
              </w:rPr>
              <w:t>І</w:t>
            </w:r>
          </w:p>
        </w:tc>
        <w:tc>
          <w:tcPr>
            <w:tcW w:w="4898" w:type="dxa"/>
            <w:tcBorders>
              <w:top w:val="single" w:sz="4" w:space="0" w:color="auto"/>
              <w:left w:val="single" w:sz="4" w:space="0" w:color="auto"/>
              <w:bottom w:val="single" w:sz="4" w:space="0" w:color="auto"/>
              <w:right w:val="single" w:sz="4" w:space="0" w:color="auto"/>
            </w:tcBorders>
          </w:tcPr>
          <w:p w:rsidR="008C691A" w:rsidRDefault="008C691A" w:rsidP="006D506A">
            <w:pPr>
              <w:spacing w:line="360" w:lineRule="auto"/>
              <w:ind w:right="39" w:firstLine="840"/>
              <w:jc w:val="both"/>
              <w:rPr>
                <w:color w:val="000000"/>
                <w:lang w:val="uk-UA"/>
              </w:rPr>
            </w:pPr>
            <w:r>
              <w:rPr>
                <w:color w:val="000000"/>
                <w:lang w:val="uk-UA"/>
              </w:rPr>
              <w:t>5 – 8 ДБ</w:t>
            </w:r>
          </w:p>
        </w:tc>
      </w:tr>
      <w:tr w:rsidR="008C691A" w:rsidTr="006D506A">
        <w:tblPrEx>
          <w:tblCellMar>
            <w:top w:w="0" w:type="dxa"/>
            <w:bottom w:w="0" w:type="dxa"/>
          </w:tblCellMar>
        </w:tblPrEx>
        <w:trPr>
          <w:jc w:val="center"/>
        </w:trPr>
        <w:tc>
          <w:tcPr>
            <w:tcW w:w="4229" w:type="dxa"/>
            <w:tcBorders>
              <w:top w:val="single" w:sz="4" w:space="0" w:color="auto"/>
              <w:left w:val="single" w:sz="4" w:space="0" w:color="auto"/>
              <w:bottom w:val="single" w:sz="4" w:space="0" w:color="auto"/>
              <w:right w:val="single" w:sz="4" w:space="0" w:color="auto"/>
            </w:tcBorders>
          </w:tcPr>
          <w:p w:rsidR="008C691A" w:rsidRDefault="008C691A" w:rsidP="006D506A">
            <w:pPr>
              <w:spacing w:line="360" w:lineRule="auto"/>
              <w:ind w:right="39" w:firstLine="840"/>
              <w:jc w:val="both"/>
              <w:rPr>
                <w:color w:val="000000"/>
                <w:lang w:val="uk-UA"/>
              </w:rPr>
            </w:pPr>
            <w:r>
              <w:rPr>
                <w:color w:val="000000"/>
                <w:lang w:val="uk-UA"/>
              </w:rPr>
              <w:t>ІІ</w:t>
            </w:r>
          </w:p>
        </w:tc>
        <w:tc>
          <w:tcPr>
            <w:tcW w:w="4898" w:type="dxa"/>
            <w:tcBorders>
              <w:top w:val="single" w:sz="4" w:space="0" w:color="auto"/>
              <w:left w:val="single" w:sz="4" w:space="0" w:color="auto"/>
              <w:bottom w:val="single" w:sz="4" w:space="0" w:color="auto"/>
              <w:right w:val="single" w:sz="4" w:space="0" w:color="auto"/>
            </w:tcBorders>
          </w:tcPr>
          <w:p w:rsidR="008C691A" w:rsidRDefault="008C691A" w:rsidP="006D506A">
            <w:pPr>
              <w:spacing w:line="360" w:lineRule="auto"/>
              <w:ind w:right="39" w:firstLine="840"/>
              <w:jc w:val="both"/>
              <w:rPr>
                <w:color w:val="000000"/>
                <w:lang w:val="uk-UA"/>
              </w:rPr>
            </w:pPr>
            <w:r>
              <w:rPr>
                <w:color w:val="000000"/>
                <w:lang w:val="uk-UA"/>
              </w:rPr>
              <w:t>9 – 12 ДБ</w:t>
            </w:r>
          </w:p>
        </w:tc>
      </w:tr>
      <w:tr w:rsidR="008C691A" w:rsidTr="006D506A">
        <w:tblPrEx>
          <w:tblCellMar>
            <w:top w:w="0" w:type="dxa"/>
            <w:bottom w:w="0" w:type="dxa"/>
          </w:tblCellMar>
        </w:tblPrEx>
        <w:trPr>
          <w:jc w:val="center"/>
        </w:trPr>
        <w:tc>
          <w:tcPr>
            <w:tcW w:w="4229" w:type="dxa"/>
            <w:tcBorders>
              <w:top w:val="single" w:sz="4" w:space="0" w:color="auto"/>
              <w:left w:val="single" w:sz="4" w:space="0" w:color="auto"/>
              <w:bottom w:val="single" w:sz="4" w:space="0" w:color="auto"/>
              <w:right w:val="single" w:sz="4" w:space="0" w:color="auto"/>
            </w:tcBorders>
          </w:tcPr>
          <w:p w:rsidR="008C691A" w:rsidRDefault="008C691A" w:rsidP="006D506A">
            <w:pPr>
              <w:spacing w:line="360" w:lineRule="auto"/>
              <w:ind w:right="39" w:firstLine="840"/>
              <w:jc w:val="both"/>
              <w:rPr>
                <w:color w:val="000000"/>
                <w:lang w:val="uk-UA"/>
              </w:rPr>
            </w:pPr>
            <w:r>
              <w:rPr>
                <w:color w:val="000000"/>
                <w:lang w:val="uk-UA"/>
              </w:rPr>
              <w:t>ІІІ</w:t>
            </w:r>
          </w:p>
        </w:tc>
        <w:tc>
          <w:tcPr>
            <w:tcW w:w="4898" w:type="dxa"/>
            <w:tcBorders>
              <w:top w:val="single" w:sz="4" w:space="0" w:color="auto"/>
              <w:left w:val="single" w:sz="4" w:space="0" w:color="auto"/>
              <w:bottom w:val="single" w:sz="4" w:space="0" w:color="auto"/>
              <w:right w:val="single" w:sz="4" w:space="0" w:color="auto"/>
            </w:tcBorders>
          </w:tcPr>
          <w:p w:rsidR="008C691A" w:rsidRDefault="008C691A" w:rsidP="006D506A">
            <w:pPr>
              <w:spacing w:line="360" w:lineRule="auto"/>
              <w:ind w:right="39" w:firstLine="840"/>
              <w:jc w:val="both"/>
              <w:rPr>
                <w:color w:val="000000"/>
                <w:lang w:val="uk-UA"/>
              </w:rPr>
            </w:pPr>
            <w:r>
              <w:rPr>
                <w:color w:val="000000"/>
                <w:lang w:val="uk-UA"/>
              </w:rPr>
              <w:t>13 і більше</w:t>
            </w:r>
          </w:p>
        </w:tc>
      </w:tr>
    </w:tbl>
    <w:p w:rsidR="008C691A" w:rsidRDefault="008C691A" w:rsidP="008C691A">
      <w:pPr>
        <w:pStyle w:val="24"/>
        <w:autoSpaceDE w:val="0"/>
        <w:autoSpaceDN w:val="0"/>
        <w:spacing w:line="360" w:lineRule="auto"/>
        <w:ind w:right="39" w:firstLine="840"/>
        <w:rPr>
          <w:color w:val="000000"/>
          <w:sz w:val="24"/>
          <w:szCs w:val="24"/>
        </w:rPr>
      </w:pPr>
    </w:p>
    <w:p w:rsidR="008C691A" w:rsidRDefault="008C691A" w:rsidP="008C691A">
      <w:pPr>
        <w:spacing w:line="360" w:lineRule="auto"/>
        <w:ind w:right="39" w:firstLine="720"/>
        <w:jc w:val="both"/>
        <w:rPr>
          <w:color w:val="000000"/>
          <w:lang w:val="uk-UA"/>
        </w:rPr>
      </w:pPr>
      <w:r>
        <w:rPr>
          <w:color w:val="000000"/>
        </w:rPr>
        <w:t>Запропонована формула може бути рекомендована як стандартний метод оцінки постм</w:t>
      </w:r>
      <w:r>
        <w:rPr>
          <w:color w:val="000000"/>
        </w:rPr>
        <w:t>а</w:t>
      </w:r>
      <w:r>
        <w:rPr>
          <w:color w:val="000000"/>
        </w:rPr>
        <w:t>стектомічного синдрому на різних етапах його розвитку і лікування.</w:t>
      </w:r>
    </w:p>
    <w:p w:rsidR="008C691A" w:rsidRDefault="008C691A" w:rsidP="008C691A">
      <w:pPr>
        <w:spacing w:line="360" w:lineRule="auto"/>
        <w:ind w:right="39" w:firstLine="720"/>
        <w:jc w:val="both"/>
        <w:rPr>
          <w:color w:val="000000"/>
          <w:lang w:val="uk-UA"/>
        </w:rPr>
      </w:pPr>
      <w:r>
        <w:rPr>
          <w:color w:val="000000"/>
          <w:lang w:val="uk-UA"/>
        </w:rPr>
        <w:lastRenderedPageBreak/>
        <w:t>Враховуючи, що основне променеве навантаження під час комбінованого лікування РГЗ несуть грудні м'язи і розвиток ПМЕС корелює з вираженням дегенеративних процесів в останніх, ми вирішили дослідити біохімічні зміни у м'язовій тканині на експериментальній моделі промен</w:t>
      </w:r>
      <w:r>
        <w:rPr>
          <w:color w:val="000000"/>
          <w:lang w:val="uk-UA"/>
        </w:rPr>
        <w:t>е</w:t>
      </w:r>
      <w:r>
        <w:rPr>
          <w:color w:val="000000"/>
          <w:lang w:val="uk-UA"/>
        </w:rPr>
        <w:t xml:space="preserve">вого пошкодження м'язів задньої лапки щура. </w:t>
      </w:r>
    </w:p>
    <w:p w:rsidR="008C691A" w:rsidRDefault="008C691A" w:rsidP="008C691A">
      <w:pPr>
        <w:spacing w:line="360" w:lineRule="auto"/>
        <w:ind w:right="39" w:firstLine="720"/>
        <w:jc w:val="both"/>
        <w:rPr>
          <w:color w:val="000000"/>
          <w:lang w:val="uk-UA"/>
        </w:rPr>
      </w:pPr>
      <w:r>
        <w:rPr>
          <w:color w:val="000000"/>
          <w:lang w:val="uk-UA"/>
        </w:rPr>
        <w:t>Виявлено, що опромінення кінцівок тварин у дозі, еквівалентній 45 Гр, призводить до н</w:t>
      </w:r>
      <w:r>
        <w:rPr>
          <w:color w:val="000000"/>
          <w:lang w:val="uk-UA"/>
        </w:rPr>
        <w:t>а</w:t>
      </w:r>
      <w:r>
        <w:rPr>
          <w:color w:val="000000"/>
          <w:lang w:val="uk-UA"/>
        </w:rPr>
        <w:t>копичення у м'язовій тканині продуктів ПОЛ і карбонільних груп білків, що, в свою чергу, призводить до значних порушень функціонального стану сполучної тканини, білкового та ліпі</w:t>
      </w:r>
      <w:r>
        <w:rPr>
          <w:color w:val="000000"/>
          <w:lang w:val="uk-UA"/>
        </w:rPr>
        <w:t>д</w:t>
      </w:r>
      <w:r>
        <w:rPr>
          <w:color w:val="000000"/>
          <w:lang w:val="uk-UA"/>
        </w:rPr>
        <w:t>ного обміну. Спостерігається виснаження запасів глікогену з (33,7</w:t>
      </w:r>
      <w:r>
        <w:rPr>
          <w:color w:val="000000"/>
          <w:lang w:val="uk-UA"/>
        </w:rPr>
        <w:sym w:font="Symbol" w:char="F0B1"/>
      </w:r>
      <w:r>
        <w:rPr>
          <w:color w:val="000000"/>
          <w:lang w:val="uk-UA"/>
        </w:rPr>
        <w:t>1,6) мкмоль/г в контролі до (18,1</w:t>
      </w:r>
      <w:r>
        <w:rPr>
          <w:color w:val="000000"/>
          <w:lang w:val="uk-UA"/>
        </w:rPr>
        <w:sym w:font="Symbol" w:char="F0B1"/>
      </w:r>
      <w:r>
        <w:rPr>
          <w:color w:val="000000"/>
          <w:lang w:val="uk-UA"/>
        </w:rPr>
        <w:t>0,8) мкмоль/г в опроміненій кінцівці, збільшення вмісту фруктозофосфатів, гексозамінів, оксипроліну і особливо колагену з (1833</w:t>
      </w:r>
      <w:r>
        <w:rPr>
          <w:color w:val="000000"/>
          <w:lang w:val="uk-UA"/>
        </w:rPr>
        <w:sym w:font="Symbol" w:char="F0B1"/>
      </w:r>
      <w:r>
        <w:rPr>
          <w:color w:val="000000"/>
          <w:lang w:val="uk-UA"/>
        </w:rPr>
        <w:t>64) мкг/г до (3925</w:t>
      </w:r>
      <w:r>
        <w:rPr>
          <w:color w:val="000000"/>
          <w:lang w:val="uk-UA"/>
        </w:rPr>
        <w:sym w:font="Symbol" w:char="F0B1"/>
      </w:r>
      <w:r>
        <w:rPr>
          <w:color w:val="000000"/>
          <w:lang w:val="uk-UA"/>
        </w:rPr>
        <w:t>198) мкг/г, підвищення рівня моно- і діацилгліцеридів, тригліцеридів, вільних жирних кислот, зменшення вмісту фосфоліпідів, особл</w:t>
      </w:r>
      <w:r>
        <w:rPr>
          <w:color w:val="000000"/>
          <w:lang w:val="uk-UA"/>
        </w:rPr>
        <w:t>и</w:t>
      </w:r>
      <w:r>
        <w:rPr>
          <w:color w:val="000000"/>
          <w:lang w:val="uk-UA"/>
        </w:rPr>
        <w:t>во фосфатидилхоліну та фосфатидилетаноламіну з (47,7</w:t>
      </w:r>
      <w:r>
        <w:rPr>
          <w:color w:val="000000"/>
          <w:lang w:val="uk-UA"/>
        </w:rPr>
        <w:sym w:font="Symbol" w:char="F0B1"/>
      </w:r>
      <w:r>
        <w:rPr>
          <w:color w:val="000000"/>
          <w:lang w:val="uk-UA"/>
        </w:rPr>
        <w:t>1,7) мкг/мг білка та (35,4</w:t>
      </w:r>
      <w:r>
        <w:rPr>
          <w:color w:val="000000"/>
          <w:lang w:val="uk-UA"/>
        </w:rPr>
        <w:sym w:font="Symbol" w:char="F0B1"/>
      </w:r>
      <w:r>
        <w:rPr>
          <w:color w:val="000000"/>
          <w:lang w:val="uk-UA"/>
        </w:rPr>
        <w:t>0,9) мкг/мг білка відповідно до (24,3</w:t>
      </w:r>
      <w:r>
        <w:rPr>
          <w:color w:val="000000"/>
          <w:lang w:val="uk-UA"/>
        </w:rPr>
        <w:sym w:font="Symbol" w:char="F0B1"/>
      </w:r>
      <w:r>
        <w:rPr>
          <w:color w:val="000000"/>
          <w:lang w:val="uk-UA"/>
        </w:rPr>
        <w:t>1,3) мкг/мг білка та (20,9</w:t>
      </w:r>
      <w:r>
        <w:rPr>
          <w:color w:val="000000"/>
          <w:lang w:val="uk-UA"/>
        </w:rPr>
        <w:sym w:font="Symbol" w:char="F0B1"/>
      </w:r>
      <w:r>
        <w:rPr>
          <w:color w:val="000000"/>
          <w:lang w:val="uk-UA"/>
        </w:rPr>
        <w:t>0,9) мкг/мг білка, зниження рівня загального білка з (180</w:t>
      </w:r>
      <w:r>
        <w:rPr>
          <w:color w:val="000000"/>
          <w:lang w:val="uk-UA"/>
        </w:rPr>
        <w:sym w:font="Symbol" w:char="F0B1"/>
      </w:r>
      <w:r>
        <w:rPr>
          <w:color w:val="000000"/>
          <w:lang w:val="uk-UA"/>
        </w:rPr>
        <w:t>10) мг/г до (136</w:t>
      </w:r>
      <w:r>
        <w:rPr>
          <w:color w:val="000000"/>
          <w:lang w:val="uk-UA"/>
        </w:rPr>
        <w:sym w:font="Symbol" w:char="F0B1"/>
      </w:r>
      <w:r>
        <w:rPr>
          <w:color w:val="000000"/>
          <w:lang w:val="uk-UA"/>
        </w:rPr>
        <w:t>7) мг/г, саркоплазматичних й міофібрилярних білків. Показники о</w:t>
      </w:r>
      <w:r>
        <w:rPr>
          <w:color w:val="000000"/>
          <w:lang w:val="uk-UA"/>
        </w:rPr>
        <w:t>б</w:t>
      </w:r>
      <w:r>
        <w:rPr>
          <w:color w:val="000000"/>
          <w:lang w:val="uk-UA"/>
        </w:rPr>
        <w:t>міну глікогену, фруктозофосфатів, гексозамінів, оксипроліну й колагену не міняються впродовж 3 місяців після опромінення й знаходяться в прямій кореляційній залежності з рівнем малонового діальдегіду, дієнових кон'югат і карбонільних груп білків (0,51 &lt; r &lt; 0,68).</w:t>
      </w:r>
    </w:p>
    <w:p w:rsidR="008C691A" w:rsidRDefault="008C691A" w:rsidP="008C691A">
      <w:pPr>
        <w:spacing w:line="360" w:lineRule="auto"/>
        <w:ind w:right="39" w:firstLine="720"/>
        <w:jc w:val="both"/>
        <w:rPr>
          <w:color w:val="000000"/>
          <w:lang w:val="uk-UA"/>
        </w:rPr>
      </w:pPr>
      <w:r>
        <w:rPr>
          <w:color w:val="000000"/>
          <w:lang w:val="uk-UA"/>
        </w:rPr>
        <w:t>Порушення жирового і білкового обміну, що розвиваються в тканинах внаслідок переки</w:t>
      </w:r>
      <w:r>
        <w:rPr>
          <w:color w:val="000000"/>
          <w:lang w:val="uk-UA"/>
        </w:rPr>
        <w:t>с</w:t>
      </w:r>
      <w:r>
        <w:rPr>
          <w:color w:val="000000"/>
          <w:lang w:val="uk-UA"/>
        </w:rPr>
        <w:t xml:space="preserve">ного окислення ліпідів і карбонілювання білків, призводять до атрофії м'язової тканини, жирової дистрофії, розвитку некрозу і, як наслідок,  склерозування м'язів. </w:t>
      </w:r>
    </w:p>
    <w:p w:rsidR="008C691A" w:rsidRDefault="008C691A" w:rsidP="008C691A">
      <w:pPr>
        <w:spacing w:line="360" w:lineRule="auto"/>
        <w:ind w:right="39" w:firstLine="720"/>
        <w:jc w:val="both"/>
        <w:rPr>
          <w:bCs/>
          <w:color w:val="000000"/>
          <w:lang w:val="uk-UA"/>
        </w:rPr>
      </w:pPr>
      <w:r>
        <w:rPr>
          <w:color w:val="000000"/>
          <w:lang w:val="uk-UA"/>
        </w:rPr>
        <w:t xml:space="preserve">Отримані дані наштовхнули </w:t>
      </w:r>
      <w:r>
        <w:rPr>
          <w:bCs/>
          <w:color w:val="000000"/>
          <w:lang w:val="uk-UA"/>
        </w:rPr>
        <w:t>нас на пошук препаратів з антиоксидантними та ангіопроте</w:t>
      </w:r>
      <w:r>
        <w:rPr>
          <w:bCs/>
          <w:color w:val="000000"/>
          <w:lang w:val="uk-UA"/>
        </w:rPr>
        <w:t>к</w:t>
      </w:r>
      <w:r>
        <w:rPr>
          <w:bCs/>
          <w:color w:val="000000"/>
          <w:lang w:val="uk-UA"/>
        </w:rPr>
        <w:t xml:space="preserve">торними властивостями, здатними профілактувати променеві пошкодження. Такими, на наш погляд, є цитрусові флавоноїди діосмін і геспередин.  Ми застосували їх композицію – офіційний препарат детралекс (фірми </w:t>
      </w:r>
      <w:r>
        <w:rPr>
          <w:bCs/>
          <w:color w:val="000000"/>
          <w:lang w:val="uk-UA" w:eastAsia="uk-UA"/>
        </w:rPr>
        <w:t xml:space="preserve">Servier </w:t>
      </w:r>
      <w:r>
        <w:rPr>
          <w:bCs/>
          <w:color w:val="000000"/>
          <w:lang w:val="uk-UA"/>
        </w:rPr>
        <w:t>– Франція) і одержали виражений позитивний ефект.</w:t>
      </w:r>
    </w:p>
    <w:p w:rsidR="008C691A" w:rsidRDefault="008C691A" w:rsidP="008C691A">
      <w:pPr>
        <w:pStyle w:val="affffffffffffffffffffb"/>
        <w:ind w:left="0" w:right="39" w:firstLine="709"/>
        <w:rPr>
          <w:color w:val="000000"/>
          <w:sz w:val="24"/>
          <w:lang w:eastAsia="uk-UA"/>
        </w:rPr>
      </w:pPr>
      <w:r>
        <w:rPr>
          <w:color w:val="000000"/>
          <w:sz w:val="24"/>
          <w:lang w:eastAsia="uk-UA"/>
        </w:rPr>
        <w:t>Флавоноїд цитрусових детралекс виявляв</w:t>
      </w:r>
      <w:r>
        <w:rPr>
          <w:color w:val="000000"/>
          <w:sz w:val="24"/>
        </w:rPr>
        <w:t xml:space="preserve"> </w:t>
      </w:r>
      <w:r>
        <w:rPr>
          <w:color w:val="000000"/>
          <w:sz w:val="24"/>
          <w:lang w:eastAsia="uk-UA"/>
        </w:rPr>
        <w:t xml:space="preserve">помітну антиоксидантну і </w:t>
      </w:r>
      <w:r>
        <w:rPr>
          <w:color w:val="000000"/>
          <w:sz w:val="24"/>
        </w:rPr>
        <w:t xml:space="preserve">антифібротичну </w:t>
      </w:r>
      <w:r>
        <w:rPr>
          <w:color w:val="000000"/>
          <w:sz w:val="24"/>
          <w:lang w:eastAsia="uk-UA"/>
        </w:rPr>
        <w:t>акт</w:t>
      </w:r>
      <w:r>
        <w:rPr>
          <w:color w:val="000000"/>
          <w:sz w:val="24"/>
          <w:lang w:eastAsia="uk-UA"/>
        </w:rPr>
        <w:t>и</w:t>
      </w:r>
      <w:r>
        <w:rPr>
          <w:color w:val="000000"/>
          <w:sz w:val="24"/>
          <w:lang w:eastAsia="uk-UA"/>
        </w:rPr>
        <w:t>вність. Протидіючи окислювальному стресу, знижуючи рівень продуктів пероксидації ліпідів і карбонілювання білків у м'язовій тканині на 40%-46%, детралекс зменшив кількість</w:t>
      </w:r>
      <w:r>
        <w:rPr>
          <w:color w:val="000000"/>
          <w:sz w:val="24"/>
        </w:rPr>
        <w:t xml:space="preserve"> у</w:t>
      </w:r>
      <w:r>
        <w:rPr>
          <w:color w:val="000000"/>
          <w:sz w:val="24"/>
          <w:lang w:eastAsia="uk-UA"/>
        </w:rPr>
        <w:t xml:space="preserve"> ній комп</w:t>
      </w:r>
      <w:r>
        <w:rPr>
          <w:color w:val="000000"/>
          <w:sz w:val="24"/>
          <w:lang w:eastAsia="uk-UA"/>
        </w:rPr>
        <w:t>о</w:t>
      </w:r>
      <w:r>
        <w:rPr>
          <w:color w:val="000000"/>
          <w:sz w:val="24"/>
          <w:lang w:eastAsia="uk-UA"/>
        </w:rPr>
        <w:t xml:space="preserve">нентів </w:t>
      </w:r>
      <w:r>
        <w:rPr>
          <w:color w:val="000000"/>
          <w:sz w:val="24"/>
        </w:rPr>
        <w:t>глікозаміногліканів</w:t>
      </w:r>
      <w:r>
        <w:rPr>
          <w:color w:val="000000"/>
          <w:sz w:val="24"/>
          <w:lang w:eastAsia="uk-UA"/>
        </w:rPr>
        <w:t>,</w:t>
      </w:r>
      <w:r>
        <w:rPr>
          <w:vanish/>
          <w:color w:val="000000"/>
          <w:sz w:val="24"/>
          <w:lang w:eastAsia="uk-UA"/>
        </w:rPr>
        <w:t xml:space="preserve"> |содержимое|</w:t>
      </w:r>
      <w:r>
        <w:rPr>
          <w:color w:val="000000"/>
          <w:sz w:val="24"/>
          <w:lang w:eastAsia="uk-UA"/>
        </w:rPr>
        <w:t xml:space="preserve"> фракцій </w:t>
      </w:r>
      <w:r>
        <w:rPr>
          <w:color w:val="000000"/>
          <w:sz w:val="24"/>
        </w:rPr>
        <w:t>оксипроліну</w:t>
      </w:r>
      <w:r>
        <w:rPr>
          <w:color w:val="000000"/>
          <w:sz w:val="24"/>
          <w:lang w:eastAsia="uk-UA"/>
        </w:rPr>
        <w:t xml:space="preserve"> і колагену на 24%-36%, тим самим попереджаючи процеси склерозування і фібротизації. Захищав м'язову тканину від жирової ди</w:t>
      </w:r>
      <w:r>
        <w:rPr>
          <w:color w:val="000000"/>
          <w:sz w:val="24"/>
          <w:lang w:eastAsia="uk-UA"/>
        </w:rPr>
        <w:t>с</w:t>
      </w:r>
      <w:r>
        <w:rPr>
          <w:color w:val="000000"/>
          <w:sz w:val="24"/>
          <w:lang w:eastAsia="uk-UA"/>
        </w:rPr>
        <w:t>трофії і білкового виснаження, знижуючи вміст компонентів нейтральних ліпідів у м'язовій тканині, нормалізуючи рівень фосфоліпідів, саркоплазматичних і міофібрилярних білків.</w:t>
      </w:r>
    </w:p>
    <w:p w:rsidR="008C691A" w:rsidRDefault="008C691A" w:rsidP="008C691A">
      <w:pPr>
        <w:pStyle w:val="affffffffffffffffffffb"/>
        <w:ind w:left="0" w:right="39" w:firstLine="709"/>
        <w:rPr>
          <w:color w:val="000000"/>
          <w:sz w:val="24"/>
        </w:rPr>
      </w:pPr>
      <w:r>
        <w:rPr>
          <w:color w:val="000000"/>
          <w:sz w:val="24"/>
          <w:lang w:eastAsia="uk-UA"/>
        </w:rPr>
        <w:t xml:space="preserve">Антисклеротичну дію детралексу було підтверджено і морфологічно. </w:t>
      </w:r>
      <w:r>
        <w:rPr>
          <w:color w:val="000000"/>
          <w:sz w:val="24"/>
        </w:rPr>
        <w:t>В мікропрепаратах м'язової тканини експериментальних тварин під дією детралексу значно зменшилися дегенерат</w:t>
      </w:r>
      <w:r>
        <w:rPr>
          <w:color w:val="000000"/>
          <w:sz w:val="24"/>
        </w:rPr>
        <w:t>и</w:t>
      </w:r>
      <w:r>
        <w:rPr>
          <w:color w:val="000000"/>
          <w:sz w:val="24"/>
        </w:rPr>
        <w:t>вні зміни, а склерозування м'язів та міофіброзу, які так часто зустрічались в контрольній групі тварин та у хворих на РГЗ, які лікувались комбінованим методом, не зустрічалося взагалі.</w:t>
      </w:r>
    </w:p>
    <w:p w:rsidR="008C691A" w:rsidRDefault="008C691A" w:rsidP="008C691A">
      <w:pPr>
        <w:autoSpaceDE w:val="0"/>
        <w:autoSpaceDN w:val="0"/>
        <w:spacing w:line="360" w:lineRule="auto"/>
        <w:ind w:right="39" w:firstLine="709"/>
        <w:jc w:val="both"/>
        <w:rPr>
          <w:color w:val="000000"/>
          <w:lang w:val="uk-UA"/>
        </w:rPr>
      </w:pPr>
      <w:r>
        <w:rPr>
          <w:color w:val="000000"/>
          <w:lang w:val="uk-UA"/>
        </w:rPr>
        <w:lastRenderedPageBreak/>
        <w:t>Застосування рослинного флавоноїду детралекс, не тільки позитивно впливає на гістохім</w:t>
      </w:r>
      <w:r>
        <w:rPr>
          <w:color w:val="000000"/>
          <w:lang w:val="uk-UA"/>
        </w:rPr>
        <w:t>і</w:t>
      </w:r>
      <w:r>
        <w:rPr>
          <w:color w:val="000000"/>
          <w:lang w:val="uk-UA"/>
        </w:rPr>
        <w:t>чний стан опроміненої м'язової тканини, але і значно зменшує концентрацію токсичних продуктів в сироватці крові, знижуючи рівень ендогенної інтоксикації. Це дозволило нам запропонувати й</w:t>
      </w:r>
      <w:r>
        <w:rPr>
          <w:color w:val="000000"/>
          <w:lang w:val="uk-UA"/>
        </w:rPr>
        <w:t>о</w:t>
      </w:r>
      <w:r>
        <w:rPr>
          <w:color w:val="000000"/>
          <w:lang w:val="uk-UA"/>
        </w:rPr>
        <w:t>го використання як радіопротектор під час проведення променевої терапії хворим на РГЗ.</w:t>
      </w:r>
    </w:p>
    <w:p w:rsidR="008C691A" w:rsidRDefault="008C691A" w:rsidP="008C691A">
      <w:pPr>
        <w:spacing w:line="360" w:lineRule="auto"/>
        <w:ind w:firstLine="709"/>
        <w:jc w:val="both"/>
        <w:rPr>
          <w:color w:val="000000"/>
          <w:lang w:val="uk-UA"/>
        </w:rPr>
      </w:pPr>
      <w:r>
        <w:rPr>
          <w:color w:val="000000"/>
          <w:lang w:val="uk-UA"/>
        </w:rPr>
        <w:t>Мікроскопічна картина біоптату великого грудного м'яза хворих, які одержували детралекс, істотно відрізнялась від такої у хворих, які лікувалися за загальноприйнятою методикою. Значно рідше зустрічались дистрофічні і запальні зміни м'язової тканини, осередки лімфостазу, пери- та ендоваскуліту. В мікропрепаратах таких хворих м'язова тканина нормально структурована, добре контурована подовжня міофібрилярність і поперечна смугастість, саркоплазма еозинофільна, стромальний компонент помірної щільності, судини не розширені. Звертає на себе увагу той факт, що грубих змін м'язової тканини у вигляді міофіброзу, склерозу і некрозу м'язів у препаратах хв</w:t>
      </w:r>
      <w:r>
        <w:rPr>
          <w:color w:val="000000"/>
          <w:lang w:val="uk-UA"/>
        </w:rPr>
        <w:t>о</w:t>
      </w:r>
      <w:r>
        <w:rPr>
          <w:color w:val="000000"/>
          <w:lang w:val="uk-UA"/>
        </w:rPr>
        <w:t xml:space="preserve">рих, які одержували детралекс, не спостерігалося. </w:t>
      </w:r>
    </w:p>
    <w:p w:rsidR="008C691A" w:rsidRDefault="008C691A" w:rsidP="008C691A">
      <w:pPr>
        <w:autoSpaceDE w:val="0"/>
        <w:autoSpaceDN w:val="0"/>
        <w:spacing w:line="360" w:lineRule="auto"/>
        <w:ind w:firstLine="709"/>
        <w:jc w:val="both"/>
        <w:rPr>
          <w:color w:val="000000"/>
          <w:lang w:val="uk-UA"/>
        </w:rPr>
      </w:pPr>
      <w:r>
        <w:rPr>
          <w:color w:val="000000"/>
          <w:lang w:val="uk-UA"/>
        </w:rPr>
        <w:t>Порівнявши віддалені результати лікування 83 хворих, які приймали з метою профілактики ПМЕС детралекс, і 105 хворих, які лікувалися традиційними методами, ми встановили, що у  всіх хворих, котрі отримували детралекс, функціональний стан м'язів плечового поясу був значно кр</w:t>
      </w:r>
      <w:r>
        <w:rPr>
          <w:color w:val="000000"/>
          <w:lang w:val="uk-UA"/>
        </w:rPr>
        <w:t>а</w:t>
      </w:r>
      <w:r>
        <w:rPr>
          <w:color w:val="000000"/>
          <w:lang w:val="uk-UA"/>
        </w:rPr>
        <w:t xml:space="preserve">щим, ніж у хворих, які його не отримували, а прояви ПМЕС були незначними або зовсім відсутні. </w:t>
      </w:r>
    </w:p>
    <w:p w:rsidR="008C691A" w:rsidRDefault="008C691A" w:rsidP="008C691A">
      <w:pPr>
        <w:spacing w:line="360" w:lineRule="auto"/>
        <w:ind w:firstLine="709"/>
        <w:jc w:val="both"/>
        <w:rPr>
          <w:color w:val="000000"/>
          <w:lang w:val="uk-UA"/>
        </w:rPr>
      </w:pPr>
      <w:r>
        <w:rPr>
          <w:lang w:val="uk-UA"/>
        </w:rPr>
        <w:t>Так, порушення чутливості в зоні післяопераційної рани виникали в усіх хворих контрол</w:t>
      </w:r>
      <w:r>
        <w:rPr>
          <w:lang w:val="uk-UA"/>
        </w:rPr>
        <w:t>ь</w:t>
      </w:r>
      <w:r>
        <w:rPr>
          <w:lang w:val="uk-UA"/>
        </w:rPr>
        <w:t>ної групи, а у хворих, які одержували детралекс, зустрічалися в 53% (ВІ 42,1%–63,8%), ступінь вираженості цього симптому також вірогідно зменшився вдвоє (р &lt; 0,05). Детралекс з</w:t>
      </w:r>
      <w:r>
        <w:t>ни</w:t>
      </w:r>
      <w:r>
        <w:rPr>
          <w:lang w:val="uk-UA"/>
        </w:rPr>
        <w:t>зив</w:t>
      </w:r>
      <w:r>
        <w:t xml:space="preserve"> част</w:t>
      </w:r>
      <w:r>
        <w:t>о</w:t>
      </w:r>
      <w:r>
        <w:t>ту розвитку набряку верхньої кінцівки з 67,6% (ВІ 58,3%–76,3%) до 20,5% (ВІ 12,4%–29,9%), болю з 51,4% (ВІ</w:t>
      </w:r>
      <w:r>
        <w:rPr>
          <w:lang w:val="uk-UA"/>
        </w:rPr>
        <w:t> </w:t>
      </w:r>
      <w:r>
        <w:t xml:space="preserve">41,8%–61%) до 14,5% (ВІ 7,7%–22,9%). </w:t>
      </w:r>
      <w:r>
        <w:rPr>
          <w:color w:val="000000"/>
          <w:lang w:val="uk-UA"/>
        </w:rPr>
        <w:t>Об'єм рухів у плечовому суглобі хворих, які отримували детралекс, на боці операції майже відповідав об'єму рухів в «здоровому» суглобі.</w:t>
      </w:r>
    </w:p>
    <w:p w:rsidR="008C691A" w:rsidRDefault="008C691A" w:rsidP="008C691A">
      <w:pPr>
        <w:pStyle w:val="4fff"/>
        <w:autoSpaceDE w:val="0"/>
        <w:autoSpaceDN w:val="0"/>
        <w:rPr>
          <w:color w:val="000000"/>
        </w:rPr>
      </w:pPr>
      <w:r>
        <w:rPr>
          <w:color w:val="000000"/>
        </w:rPr>
        <w:t>Ми зіставили клінічні і денситометричні дані й одержали майже повну ідентичність в де</w:t>
      </w:r>
      <w:r>
        <w:rPr>
          <w:color w:val="000000"/>
        </w:rPr>
        <w:t>н</w:t>
      </w:r>
      <w:r>
        <w:rPr>
          <w:color w:val="000000"/>
        </w:rPr>
        <w:t>ситограмах обох грудних м'язів. За даними порівняльної денситометрії достовірних відмінностей показників щільності великого грудного м'яза, шкіри грудної стінки і двоголового м'яза плеча з боку операції і здорового боку хворих, які приймали детралекс, не спостерігалося.</w:t>
      </w:r>
    </w:p>
    <w:p w:rsidR="008C691A" w:rsidRDefault="008C691A" w:rsidP="008C691A">
      <w:pPr>
        <w:pStyle w:val="24"/>
        <w:spacing w:line="360" w:lineRule="auto"/>
        <w:ind w:firstLine="709"/>
        <w:rPr>
          <w:color w:val="000000"/>
          <w:sz w:val="24"/>
          <w:szCs w:val="24"/>
        </w:rPr>
      </w:pPr>
      <w:r>
        <w:rPr>
          <w:color w:val="000000"/>
          <w:sz w:val="24"/>
          <w:szCs w:val="24"/>
        </w:rPr>
        <w:t>Таким чином, резюмуючи вищесказане, слід зазначити, що в</w:t>
      </w:r>
      <w:r>
        <w:rPr>
          <w:color w:val="000000"/>
          <w:sz w:val="24"/>
          <w:szCs w:val="24"/>
          <w:lang w:eastAsia="uk-UA"/>
        </w:rPr>
        <w:t xml:space="preserve"> основі розвитку постмасте</w:t>
      </w:r>
      <w:r>
        <w:rPr>
          <w:color w:val="000000"/>
          <w:sz w:val="24"/>
          <w:szCs w:val="24"/>
          <w:lang w:eastAsia="uk-UA"/>
        </w:rPr>
        <w:t>к</w:t>
      </w:r>
      <w:r>
        <w:rPr>
          <w:color w:val="000000"/>
          <w:sz w:val="24"/>
          <w:szCs w:val="24"/>
          <w:lang w:eastAsia="uk-UA"/>
        </w:rPr>
        <w:t>томічного синдрому лежать фіброзно-</w:t>
      </w:r>
      <w:r>
        <w:rPr>
          <w:color w:val="000000"/>
          <w:sz w:val="24"/>
          <w:szCs w:val="24"/>
        </w:rPr>
        <w:t>склеротичні зміни м′яких тканин післяопераційної ділянки, в найбільшій мірі грудних м'язів, викликані променевим пошкодженням, що призводять до пор</w:t>
      </w:r>
      <w:r>
        <w:rPr>
          <w:color w:val="000000"/>
          <w:sz w:val="24"/>
          <w:szCs w:val="24"/>
        </w:rPr>
        <w:t>у</w:t>
      </w:r>
      <w:r>
        <w:rPr>
          <w:color w:val="000000"/>
          <w:sz w:val="24"/>
          <w:szCs w:val="24"/>
        </w:rPr>
        <w:t xml:space="preserve">шення мікроциркуляції, іннервації і лімфообігу в верхній кінцівці. Ефективним засобом профілактики склерозування грудних м'язів є флавоноїд детралекс, прийом якого в дозі 1000 мг/добу впродовж 15 днів запобігає радіаційному пошкодженню м’язової тканини і розвитку ПМЕС. Детралекс попереджає </w:t>
      </w:r>
      <w:r>
        <w:rPr>
          <w:color w:val="000000"/>
          <w:sz w:val="24"/>
          <w:szCs w:val="24"/>
        </w:rPr>
        <w:lastRenderedPageBreak/>
        <w:t>атрофію м'язів з боку опромінення, чим запобігає значній втраті м'язової сили і зменшенню об'єму рухів, протидіє утворенню м'язових і суглобових контрактур. Значно знижує біль і порушення чутливості в зоні післяопераційних і постпроменевих рубців, з</w:t>
      </w:r>
      <w:r>
        <w:rPr>
          <w:color w:val="000000"/>
          <w:sz w:val="24"/>
          <w:szCs w:val="24"/>
        </w:rPr>
        <w:t>а</w:t>
      </w:r>
      <w:r>
        <w:rPr>
          <w:color w:val="000000"/>
          <w:sz w:val="24"/>
          <w:szCs w:val="24"/>
        </w:rPr>
        <w:t>побігає набряку кінцівки.</w:t>
      </w:r>
    </w:p>
    <w:p w:rsidR="008C691A" w:rsidRDefault="008C691A" w:rsidP="008C691A">
      <w:pPr>
        <w:pStyle w:val="24"/>
        <w:spacing w:line="360" w:lineRule="auto"/>
        <w:ind w:firstLine="709"/>
        <w:rPr>
          <w:color w:val="000000"/>
          <w:sz w:val="24"/>
          <w:szCs w:val="24"/>
        </w:rPr>
      </w:pPr>
      <w:r>
        <w:rPr>
          <w:color w:val="000000"/>
          <w:sz w:val="24"/>
          <w:szCs w:val="24"/>
        </w:rPr>
        <w:t>Це дослідження диктує необхідність впровадження в клінічну практику онкологічних ди</w:t>
      </w:r>
      <w:r>
        <w:rPr>
          <w:color w:val="000000"/>
          <w:sz w:val="24"/>
          <w:szCs w:val="24"/>
        </w:rPr>
        <w:t>с</w:t>
      </w:r>
      <w:r>
        <w:rPr>
          <w:color w:val="000000"/>
          <w:sz w:val="24"/>
          <w:szCs w:val="24"/>
        </w:rPr>
        <w:t>пансерів нового ефективного методу профілактики ПМЕС – раннього післяопераційного застосування препарату детралекс.</w:t>
      </w:r>
    </w:p>
    <w:p w:rsidR="008C691A" w:rsidRDefault="008C691A" w:rsidP="008C691A">
      <w:pPr>
        <w:pStyle w:val="24"/>
        <w:spacing w:line="360" w:lineRule="auto"/>
        <w:ind w:firstLine="709"/>
        <w:rPr>
          <w:color w:val="000000"/>
          <w:sz w:val="24"/>
          <w:szCs w:val="24"/>
        </w:rPr>
      </w:pPr>
    </w:p>
    <w:p w:rsidR="008C691A" w:rsidRDefault="008C691A" w:rsidP="008C691A">
      <w:pPr>
        <w:pStyle w:val="24"/>
        <w:spacing w:line="360" w:lineRule="auto"/>
        <w:ind w:firstLine="709"/>
        <w:jc w:val="center"/>
        <w:rPr>
          <w:b/>
          <w:color w:val="000000"/>
          <w:sz w:val="24"/>
          <w:szCs w:val="24"/>
        </w:rPr>
      </w:pPr>
      <w:r>
        <w:rPr>
          <w:b/>
          <w:color w:val="000000"/>
          <w:sz w:val="24"/>
          <w:szCs w:val="24"/>
        </w:rPr>
        <w:t>ВИСНОВКИ</w:t>
      </w:r>
    </w:p>
    <w:p w:rsidR="008C691A" w:rsidRDefault="008C691A" w:rsidP="008C691A">
      <w:pPr>
        <w:pStyle w:val="24"/>
        <w:spacing w:line="360" w:lineRule="auto"/>
        <w:ind w:firstLine="709"/>
        <w:jc w:val="center"/>
        <w:rPr>
          <w:b/>
          <w:color w:val="000000"/>
          <w:sz w:val="24"/>
          <w:szCs w:val="24"/>
        </w:rPr>
      </w:pPr>
    </w:p>
    <w:p w:rsidR="008C691A" w:rsidRDefault="008C691A" w:rsidP="008C691A">
      <w:pPr>
        <w:pStyle w:val="24"/>
        <w:spacing w:line="360" w:lineRule="auto"/>
        <w:ind w:firstLine="709"/>
        <w:rPr>
          <w:color w:val="000000"/>
          <w:sz w:val="24"/>
          <w:szCs w:val="24"/>
        </w:rPr>
      </w:pPr>
      <w:r>
        <w:rPr>
          <w:color w:val="000000"/>
          <w:sz w:val="24"/>
          <w:szCs w:val="24"/>
        </w:rPr>
        <w:t>1. У дисертації відображено патофізіологічні, біохімічні та морфологічні зміни тканин у хворих на РГЗ з боку РМЕ, обґрунтувано застосування детралексу і раціонального підбору пр</w:t>
      </w:r>
      <w:r>
        <w:rPr>
          <w:color w:val="000000"/>
          <w:sz w:val="24"/>
          <w:szCs w:val="24"/>
        </w:rPr>
        <w:t>о</w:t>
      </w:r>
      <w:r>
        <w:rPr>
          <w:color w:val="000000"/>
          <w:sz w:val="24"/>
          <w:szCs w:val="24"/>
        </w:rPr>
        <w:t xml:space="preserve">грами ТГТ для профілактики і лікування ПМЕС. </w:t>
      </w:r>
    </w:p>
    <w:p w:rsidR="008C691A" w:rsidRDefault="008C691A" w:rsidP="008C691A">
      <w:pPr>
        <w:pStyle w:val="24"/>
        <w:spacing w:line="360" w:lineRule="auto"/>
        <w:ind w:firstLine="709"/>
        <w:rPr>
          <w:color w:val="000000"/>
          <w:sz w:val="24"/>
          <w:szCs w:val="24"/>
        </w:rPr>
      </w:pPr>
      <w:r>
        <w:rPr>
          <w:color w:val="000000"/>
          <w:sz w:val="24"/>
          <w:szCs w:val="24"/>
        </w:rPr>
        <w:t>2. Після радикального лікування РГЗ у хворих розвивається ПМЕС, котрий проявляється болем в ділянці операції у 50,5%</w:t>
      </w:r>
      <w:r>
        <w:rPr>
          <w:color w:val="000000"/>
          <w:sz w:val="24"/>
          <w:szCs w:val="24"/>
        </w:rPr>
        <w:sym w:font="Symbol" w:char="F0B1"/>
      </w:r>
      <w:r>
        <w:rPr>
          <w:color w:val="000000"/>
          <w:sz w:val="24"/>
          <w:szCs w:val="24"/>
        </w:rPr>
        <w:t>4,9%, набряком верхньої кінцівки з боку операції у 70,5%</w:t>
      </w:r>
      <w:r>
        <w:rPr>
          <w:color w:val="000000"/>
          <w:sz w:val="24"/>
          <w:szCs w:val="24"/>
        </w:rPr>
        <w:sym w:font="Symbol" w:char="F0B1"/>
      </w:r>
      <w:r>
        <w:rPr>
          <w:color w:val="000000"/>
          <w:sz w:val="24"/>
          <w:szCs w:val="24"/>
        </w:rPr>
        <w:t>4,5%, обмеженням рухливості в плечовому суглобі у 52,4%</w:t>
      </w:r>
      <w:r>
        <w:rPr>
          <w:color w:val="000000"/>
          <w:sz w:val="24"/>
          <w:szCs w:val="24"/>
        </w:rPr>
        <w:sym w:font="Symbol" w:char="F0B1"/>
      </w:r>
      <w:r>
        <w:rPr>
          <w:color w:val="000000"/>
          <w:sz w:val="24"/>
          <w:szCs w:val="24"/>
        </w:rPr>
        <w:t>4,9%  хворих. Більшість проявів ПМЕС ро</w:t>
      </w:r>
      <w:r>
        <w:rPr>
          <w:color w:val="000000"/>
          <w:sz w:val="24"/>
          <w:szCs w:val="24"/>
        </w:rPr>
        <w:t>з</w:t>
      </w:r>
      <w:r>
        <w:rPr>
          <w:color w:val="000000"/>
          <w:sz w:val="24"/>
          <w:szCs w:val="24"/>
        </w:rPr>
        <w:t>виваються протягом першого року після операції і носять постійний характер.</w:t>
      </w:r>
    </w:p>
    <w:p w:rsidR="008C691A" w:rsidRDefault="008C691A" w:rsidP="008C691A">
      <w:pPr>
        <w:pStyle w:val="24"/>
        <w:spacing w:line="360" w:lineRule="auto"/>
        <w:ind w:firstLine="709"/>
        <w:rPr>
          <w:color w:val="000000"/>
          <w:sz w:val="24"/>
          <w:szCs w:val="24"/>
        </w:rPr>
      </w:pPr>
      <w:r>
        <w:rPr>
          <w:color w:val="000000"/>
          <w:sz w:val="24"/>
          <w:szCs w:val="24"/>
        </w:rPr>
        <w:t>3. На частоту виникнення ПМЕС впливає як метод хірургічного втручання, так і особливо програма ТГТ. Прояви ПМЕС найбільш виражені у пацієнток, які одержують ТГТ до і після оп</w:t>
      </w:r>
      <w:r>
        <w:rPr>
          <w:color w:val="000000"/>
          <w:sz w:val="24"/>
          <w:szCs w:val="24"/>
        </w:rPr>
        <w:t>е</w:t>
      </w:r>
      <w:r>
        <w:rPr>
          <w:color w:val="000000"/>
          <w:sz w:val="24"/>
          <w:szCs w:val="24"/>
        </w:rPr>
        <w:t>рації і зустрічаються у 89,1%</w:t>
      </w:r>
      <w:r>
        <w:rPr>
          <w:color w:val="000000"/>
          <w:sz w:val="24"/>
          <w:szCs w:val="24"/>
        </w:rPr>
        <w:sym w:font="Symbol" w:char="F0B1"/>
      </w:r>
      <w:r>
        <w:rPr>
          <w:color w:val="000000"/>
          <w:sz w:val="24"/>
          <w:szCs w:val="24"/>
        </w:rPr>
        <w:t>4,6% хворих, тоді як при проведенні тільки інтенсивного курсу ТГТ лише у 37,5%</w:t>
      </w:r>
      <w:r>
        <w:rPr>
          <w:color w:val="000000"/>
          <w:sz w:val="24"/>
          <w:szCs w:val="24"/>
        </w:rPr>
        <w:sym w:font="Symbol" w:char="F0B1"/>
      </w:r>
      <w:r>
        <w:rPr>
          <w:color w:val="000000"/>
          <w:sz w:val="24"/>
          <w:szCs w:val="24"/>
        </w:rPr>
        <w:t xml:space="preserve">9,9%. </w:t>
      </w:r>
    </w:p>
    <w:p w:rsidR="008C691A" w:rsidRDefault="008C691A" w:rsidP="008C691A">
      <w:pPr>
        <w:pStyle w:val="24"/>
        <w:spacing w:line="360" w:lineRule="auto"/>
        <w:ind w:firstLine="709"/>
        <w:rPr>
          <w:color w:val="000000"/>
          <w:sz w:val="24"/>
          <w:szCs w:val="24"/>
        </w:rPr>
      </w:pPr>
      <w:r>
        <w:rPr>
          <w:color w:val="000000"/>
          <w:sz w:val="24"/>
          <w:szCs w:val="24"/>
        </w:rPr>
        <w:t>4. Опромінення викликає дегенеративні зміни в м’язах, від їх фрагментації, проміжного м</w:t>
      </w:r>
      <w:r>
        <w:rPr>
          <w:color w:val="000000"/>
          <w:sz w:val="24"/>
          <w:szCs w:val="24"/>
        </w:rPr>
        <w:t>і</w:t>
      </w:r>
      <w:r>
        <w:rPr>
          <w:color w:val="000000"/>
          <w:sz w:val="24"/>
          <w:szCs w:val="24"/>
        </w:rPr>
        <w:t>озиту і периваскуліту до некрозу, міосклерозу й міофіброзу. Ці явища супроводжуються лімфостазом, порушенням мікроциркуляції і найбільш виражені при проведенні ТГТ до і після операції. Вираженість ПМЕС безпосередньо залежить від змін в м'язовій тканині і найбільшою м</w:t>
      </w:r>
      <w:r>
        <w:rPr>
          <w:color w:val="000000"/>
          <w:sz w:val="24"/>
          <w:szCs w:val="24"/>
        </w:rPr>
        <w:t>і</w:t>
      </w:r>
      <w:r>
        <w:rPr>
          <w:color w:val="000000"/>
          <w:sz w:val="24"/>
          <w:szCs w:val="24"/>
        </w:rPr>
        <w:t xml:space="preserve">рою виявляється при міосклерозі і міофіброзі грудних м'язів. </w:t>
      </w:r>
    </w:p>
    <w:p w:rsidR="008C691A" w:rsidRDefault="008C691A" w:rsidP="008C691A">
      <w:pPr>
        <w:pStyle w:val="24"/>
        <w:spacing w:line="360" w:lineRule="auto"/>
        <w:ind w:firstLine="709"/>
        <w:rPr>
          <w:color w:val="000000"/>
          <w:sz w:val="24"/>
          <w:szCs w:val="24"/>
        </w:rPr>
      </w:pPr>
      <w:r>
        <w:rPr>
          <w:color w:val="000000"/>
          <w:sz w:val="24"/>
          <w:szCs w:val="24"/>
        </w:rPr>
        <w:t xml:space="preserve">5. Ультразвукова денситометрія є ефективним методом оцінки склерозування й фіброзу грудних м'язів та прогнозування розвитку ПМЕС. Різниця щільності грудних м’язів зі здорового боку і з боку операції прямо корелює зі зниженням м'язової сили кисті </w:t>
      </w:r>
      <w:r>
        <w:rPr>
          <w:color w:val="000000"/>
          <w:sz w:val="24"/>
          <w:szCs w:val="24"/>
        </w:rPr>
        <w:lastRenderedPageBreak/>
        <w:t xml:space="preserve">(r=0,86), набряком кінцівки (r=0,79), обмеженням рухів в плечовому поясі (r=0,76), болями в руці (r=0,73). </w:t>
      </w:r>
    </w:p>
    <w:p w:rsidR="008C691A" w:rsidRDefault="008C691A" w:rsidP="008C691A">
      <w:pPr>
        <w:pStyle w:val="24"/>
        <w:spacing w:line="360" w:lineRule="auto"/>
        <w:ind w:firstLine="709"/>
        <w:rPr>
          <w:color w:val="000000"/>
          <w:sz w:val="24"/>
          <w:szCs w:val="24"/>
        </w:rPr>
      </w:pPr>
      <w:r>
        <w:rPr>
          <w:color w:val="000000"/>
          <w:sz w:val="24"/>
          <w:szCs w:val="24"/>
        </w:rPr>
        <w:t>6. Експериментально встановлено, що опромінення кінцівки в дозі, еквівалентній 45 Гр, призводить до виснаження запасів глікогену з (33,7</w:t>
      </w:r>
      <w:r>
        <w:rPr>
          <w:color w:val="000000"/>
          <w:sz w:val="24"/>
          <w:szCs w:val="24"/>
        </w:rPr>
        <w:sym w:font="Symbol" w:char="F0B1"/>
      </w:r>
      <w:r>
        <w:rPr>
          <w:color w:val="000000"/>
          <w:sz w:val="24"/>
          <w:szCs w:val="24"/>
        </w:rPr>
        <w:t>1,6) мкмоль/г в контролі до (18,1</w:t>
      </w:r>
      <w:r>
        <w:rPr>
          <w:color w:val="000000"/>
          <w:sz w:val="24"/>
          <w:szCs w:val="24"/>
        </w:rPr>
        <w:sym w:font="Symbol" w:char="F0B1"/>
      </w:r>
      <w:r>
        <w:rPr>
          <w:color w:val="000000"/>
          <w:sz w:val="24"/>
          <w:szCs w:val="24"/>
        </w:rPr>
        <w:t>0,8) мкмоль/г в опроміненій кінцівці, збільшення вмісту фруктозофосфатів, гексозамінів, оксипроліну і особливо колагену з (1833</w:t>
      </w:r>
      <w:r>
        <w:rPr>
          <w:color w:val="000000"/>
          <w:sz w:val="24"/>
          <w:szCs w:val="24"/>
        </w:rPr>
        <w:sym w:font="Symbol" w:char="F0B1"/>
      </w:r>
      <w:r>
        <w:rPr>
          <w:color w:val="000000"/>
          <w:sz w:val="24"/>
          <w:szCs w:val="24"/>
        </w:rPr>
        <w:t>64) мкг/г до (3925</w:t>
      </w:r>
      <w:r>
        <w:rPr>
          <w:color w:val="000000"/>
          <w:sz w:val="24"/>
          <w:szCs w:val="24"/>
        </w:rPr>
        <w:sym w:font="Symbol" w:char="F0B1"/>
      </w:r>
      <w:r>
        <w:rPr>
          <w:color w:val="000000"/>
          <w:sz w:val="24"/>
          <w:szCs w:val="24"/>
        </w:rPr>
        <w:t>198) мкг/г, підвищення рівня моно- і диацилгліц</w:t>
      </w:r>
      <w:r>
        <w:rPr>
          <w:color w:val="000000"/>
          <w:sz w:val="24"/>
          <w:szCs w:val="24"/>
        </w:rPr>
        <w:t>е</w:t>
      </w:r>
      <w:r>
        <w:rPr>
          <w:color w:val="000000"/>
          <w:sz w:val="24"/>
          <w:szCs w:val="24"/>
        </w:rPr>
        <w:t>ридів, тригліцеридів, вільних жирних кислот, зменшення вмісту фосфоліпідів, зниження рівня загального білка з (180</w:t>
      </w:r>
      <w:r>
        <w:rPr>
          <w:color w:val="000000"/>
          <w:sz w:val="24"/>
          <w:szCs w:val="24"/>
        </w:rPr>
        <w:sym w:font="Symbol" w:char="F0B1"/>
      </w:r>
      <w:r>
        <w:rPr>
          <w:color w:val="000000"/>
          <w:sz w:val="24"/>
          <w:szCs w:val="24"/>
        </w:rPr>
        <w:t>10) мг/г до (136</w:t>
      </w:r>
      <w:r>
        <w:rPr>
          <w:color w:val="000000"/>
          <w:sz w:val="24"/>
          <w:szCs w:val="24"/>
        </w:rPr>
        <w:sym w:font="Symbol" w:char="F0B1"/>
      </w:r>
      <w:r>
        <w:rPr>
          <w:color w:val="000000"/>
          <w:sz w:val="24"/>
          <w:szCs w:val="24"/>
        </w:rPr>
        <w:t>7) мг/г, саркоплазматичних й міофібрилярних білків. П</w:t>
      </w:r>
      <w:r>
        <w:rPr>
          <w:color w:val="000000"/>
          <w:sz w:val="24"/>
          <w:szCs w:val="24"/>
        </w:rPr>
        <w:t>о</w:t>
      </w:r>
      <w:r>
        <w:rPr>
          <w:color w:val="000000"/>
          <w:sz w:val="24"/>
          <w:szCs w:val="24"/>
        </w:rPr>
        <w:t>казники обміну глікогену, фруктозофосфатів, гексозамінів, оксипроліну й колагену не міняються впродовж 3 місяців після опромінення й знаходяться в прямій кореляційній залежності з рівнем малонового діальдегіду, дієнових кон'югат і карбонільних груп білків (0,51 &lt; r &lt; 0,68).</w:t>
      </w:r>
    </w:p>
    <w:p w:rsidR="008C691A" w:rsidRDefault="008C691A" w:rsidP="008C691A">
      <w:pPr>
        <w:pStyle w:val="24"/>
        <w:spacing w:line="360" w:lineRule="auto"/>
        <w:ind w:firstLine="709"/>
        <w:rPr>
          <w:color w:val="000000"/>
          <w:sz w:val="24"/>
          <w:szCs w:val="24"/>
        </w:rPr>
      </w:pPr>
      <w:r>
        <w:rPr>
          <w:color w:val="000000"/>
          <w:sz w:val="24"/>
          <w:szCs w:val="24"/>
        </w:rPr>
        <w:t>7. Детралекс знижуює рівень МДА з (4,51</w:t>
      </w:r>
      <w:r>
        <w:rPr>
          <w:color w:val="000000"/>
          <w:sz w:val="24"/>
          <w:szCs w:val="24"/>
        </w:rPr>
        <w:sym w:font="Symbol" w:char="F0B1"/>
      </w:r>
      <w:r>
        <w:rPr>
          <w:color w:val="000000"/>
          <w:sz w:val="24"/>
          <w:szCs w:val="24"/>
        </w:rPr>
        <w:t>0,17) нмоль/мг білка до (3,09</w:t>
      </w:r>
      <w:r>
        <w:rPr>
          <w:color w:val="000000"/>
          <w:sz w:val="24"/>
          <w:szCs w:val="24"/>
        </w:rPr>
        <w:sym w:font="Symbol" w:char="F0B1"/>
      </w:r>
      <w:r>
        <w:rPr>
          <w:color w:val="000000"/>
          <w:sz w:val="24"/>
          <w:szCs w:val="24"/>
        </w:rPr>
        <w:t>0,10) нмоль/мг б</w:t>
      </w:r>
      <w:r>
        <w:rPr>
          <w:color w:val="000000"/>
          <w:sz w:val="24"/>
          <w:szCs w:val="24"/>
        </w:rPr>
        <w:t>і</w:t>
      </w:r>
      <w:r>
        <w:rPr>
          <w:color w:val="000000"/>
          <w:sz w:val="24"/>
          <w:szCs w:val="24"/>
        </w:rPr>
        <w:t>лка і карбонільних груп білків з (12,90</w:t>
      </w:r>
      <w:r>
        <w:rPr>
          <w:color w:val="000000"/>
          <w:sz w:val="24"/>
          <w:szCs w:val="24"/>
        </w:rPr>
        <w:sym w:font="Symbol" w:char="F0B1"/>
      </w:r>
      <w:r>
        <w:rPr>
          <w:color w:val="000000"/>
          <w:sz w:val="24"/>
          <w:szCs w:val="24"/>
        </w:rPr>
        <w:t>0,58) нмоль/мг білка до (9,22</w:t>
      </w:r>
      <w:r>
        <w:rPr>
          <w:color w:val="000000"/>
          <w:sz w:val="24"/>
          <w:szCs w:val="24"/>
        </w:rPr>
        <w:sym w:font="Symbol" w:char="F0B1"/>
      </w:r>
      <w:r>
        <w:rPr>
          <w:color w:val="000000"/>
          <w:sz w:val="24"/>
          <w:szCs w:val="24"/>
        </w:rPr>
        <w:t>0,35) нмоль/мг білка, захищає м'язову тканину від жирової дистрофії і білкового виснаження, нормалізує рівень фосф</w:t>
      </w:r>
      <w:r>
        <w:rPr>
          <w:color w:val="000000"/>
          <w:sz w:val="24"/>
          <w:szCs w:val="24"/>
        </w:rPr>
        <w:t>о</w:t>
      </w:r>
      <w:r>
        <w:rPr>
          <w:color w:val="000000"/>
          <w:sz w:val="24"/>
          <w:szCs w:val="24"/>
        </w:rPr>
        <w:t>ліпідів, саркоплазматичних і міофібрилярних білків зменшує вміст компонентів глікозаміногліканів, вільного оксипроліну з (41,3</w:t>
      </w:r>
      <w:r>
        <w:rPr>
          <w:color w:val="000000"/>
          <w:sz w:val="24"/>
          <w:szCs w:val="24"/>
        </w:rPr>
        <w:sym w:font="Symbol" w:char="F0B1"/>
      </w:r>
      <w:r>
        <w:rPr>
          <w:color w:val="000000"/>
          <w:sz w:val="24"/>
          <w:szCs w:val="24"/>
        </w:rPr>
        <w:t>2,2) мкг/г до (33,3</w:t>
      </w:r>
      <w:r>
        <w:rPr>
          <w:color w:val="000000"/>
          <w:sz w:val="24"/>
          <w:szCs w:val="24"/>
        </w:rPr>
        <w:sym w:font="Symbol" w:char="F0B1"/>
      </w:r>
      <w:r>
        <w:rPr>
          <w:color w:val="000000"/>
          <w:sz w:val="24"/>
          <w:szCs w:val="24"/>
        </w:rPr>
        <w:t>1,3) мкг/г і колагену з (3925</w:t>
      </w:r>
      <w:r>
        <w:rPr>
          <w:color w:val="000000"/>
          <w:sz w:val="24"/>
          <w:szCs w:val="24"/>
        </w:rPr>
        <w:sym w:font="Symbol" w:char="F0B1"/>
      </w:r>
      <w:r>
        <w:rPr>
          <w:color w:val="000000"/>
          <w:sz w:val="24"/>
          <w:szCs w:val="24"/>
        </w:rPr>
        <w:t>198) мкг/г до (2886</w:t>
      </w:r>
      <w:r>
        <w:rPr>
          <w:color w:val="000000"/>
          <w:sz w:val="24"/>
          <w:szCs w:val="24"/>
        </w:rPr>
        <w:sym w:font="Symbol" w:char="F0B1"/>
      </w:r>
      <w:r>
        <w:rPr>
          <w:color w:val="000000"/>
          <w:sz w:val="24"/>
          <w:szCs w:val="24"/>
        </w:rPr>
        <w:t>99) мкг/г, перешкоджаючи таким чином склерозуванню й фіброзу м'</w:t>
      </w:r>
      <w:r>
        <w:rPr>
          <w:color w:val="000000"/>
          <w:sz w:val="24"/>
          <w:szCs w:val="24"/>
        </w:rPr>
        <w:t>я</w:t>
      </w:r>
      <w:r>
        <w:rPr>
          <w:color w:val="000000"/>
          <w:sz w:val="24"/>
          <w:szCs w:val="24"/>
        </w:rPr>
        <w:t xml:space="preserve">зової тканини. </w:t>
      </w:r>
    </w:p>
    <w:p w:rsidR="008C691A" w:rsidRDefault="008C691A" w:rsidP="008C691A">
      <w:pPr>
        <w:pStyle w:val="24"/>
        <w:spacing w:line="360" w:lineRule="auto"/>
        <w:ind w:firstLine="709"/>
        <w:rPr>
          <w:color w:val="000000"/>
          <w:sz w:val="24"/>
          <w:szCs w:val="24"/>
        </w:rPr>
      </w:pPr>
      <w:r>
        <w:rPr>
          <w:color w:val="000000"/>
          <w:sz w:val="24"/>
          <w:szCs w:val="24"/>
        </w:rPr>
        <w:t>8. Призначення хворим на РГЗ детралексу попереджує розвиток ПМЕС знижуючи частоту розвитку набряку верхньої кінцівки з 67,6% (ВІ 58,3%–76,3%) до 20,5% (ВІ 12,4%–29,9%), болю з 51,4% (ВІ 41,8%–61,0%) до 14,5% (ВІ 7,7%–22,9%), порушення чутливості в зоні післяопераційн</w:t>
      </w:r>
      <w:r>
        <w:rPr>
          <w:color w:val="000000"/>
          <w:sz w:val="24"/>
          <w:szCs w:val="24"/>
        </w:rPr>
        <w:t>о</w:t>
      </w:r>
      <w:r>
        <w:rPr>
          <w:color w:val="000000"/>
          <w:sz w:val="24"/>
          <w:szCs w:val="24"/>
        </w:rPr>
        <w:t>го рубця з 100% (ВІ 98,2%–100,0%) до 53% (ВІ 42,1%–63,8%). Особливо ефективне застосування детралексу при проведенні ТГТ до і після операції та при дрібно-протяжній програмі ТГТ.</w:t>
      </w:r>
    </w:p>
    <w:p w:rsidR="008C691A" w:rsidRDefault="008C691A" w:rsidP="008C691A">
      <w:pPr>
        <w:pStyle w:val="24"/>
        <w:spacing w:line="360" w:lineRule="auto"/>
        <w:ind w:firstLine="709"/>
        <w:rPr>
          <w:color w:val="000000"/>
          <w:sz w:val="24"/>
          <w:szCs w:val="24"/>
        </w:rPr>
      </w:pPr>
    </w:p>
    <w:p w:rsidR="008C691A" w:rsidRDefault="008C691A" w:rsidP="008C691A">
      <w:pPr>
        <w:pStyle w:val="24"/>
        <w:spacing w:line="360" w:lineRule="auto"/>
        <w:ind w:firstLine="709"/>
        <w:jc w:val="center"/>
        <w:rPr>
          <w:b/>
          <w:color w:val="000000"/>
          <w:sz w:val="24"/>
          <w:szCs w:val="24"/>
        </w:rPr>
      </w:pPr>
      <w:r>
        <w:rPr>
          <w:b/>
          <w:color w:val="000000"/>
          <w:sz w:val="24"/>
          <w:szCs w:val="24"/>
        </w:rPr>
        <w:t>ПРАКТИЧНІ РЕКОМЕНДАЦІЇ</w:t>
      </w:r>
    </w:p>
    <w:p w:rsidR="008C691A" w:rsidRDefault="008C691A" w:rsidP="008C691A">
      <w:pPr>
        <w:pStyle w:val="24"/>
        <w:spacing w:line="360" w:lineRule="auto"/>
        <w:ind w:firstLine="709"/>
        <w:jc w:val="center"/>
        <w:rPr>
          <w:b/>
          <w:color w:val="000000"/>
          <w:sz w:val="24"/>
          <w:szCs w:val="24"/>
        </w:rPr>
      </w:pPr>
    </w:p>
    <w:p w:rsidR="008C691A" w:rsidRDefault="008C691A" w:rsidP="008C691A">
      <w:pPr>
        <w:pStyle w:val="24"/>
        <w:spacing w:line="360" w:lineRule="auto"/>
        <w:ind w:firstLine="709"/>
        <w:rPr>
          <w:color w:val="000000"/>
          <w:sz w:val="24"/>
          <w:szCs w:val="24"/>
        </w:rPr>
      </w:pPr>
      <w:r>
        <w:rPr>
          <w:color w:val="000000"/>
          <w:sz w:val="24"/>
          <w:szCs w:val="24"/>
        </w:rPr>
        <w:t>1. Симптоми ПМЕС розвиваються протягом першого року після лікування і носять пості</w:t>
      </w:r>
      <w:r>
        <w:rPr>
          <w:color w:val="000000"/>
          <w:sz w:val="24"/>
          <w:szCs w:val="24"/>
        </w:rPr>
        <w:t>й</w:t>
      </w:r>
      <w:r>
        <w:rPr>
          <w:color w:val="000000"/>
          <w:sz w:val="24"/>
          <w:szCs w:val="24"/>
        </w:rPr>
        <w:t>ний характер, що потребує особливої уваги до хворих протягом перших місяців після радикального лікування, проведення їм функціональних проб і спеціальних методів обстеження для раннього виявлення і лікування ПМЕС.</w:t>
      </w:r>
    </w:p>
    <w:p w:rsidR="008C691A" w:rsidRDefault="008C691A" w:rsidP="008C691A">
      <w:pPr>
        <w:pStyle w:val="24"/>
        <w:spacing w:line="360" w:lineRule="auto"/>
        <w:ind w:firstLine="709"/>
        <w:rPr>
          <w:color w:val="000000"/>
          <w:sz w:val="24"/>
          <w:szCs w:val="24"/>
        </w:rPr>
      </w:pPr>
      <w:r>
        <w:rPr>
          <w:color w:val="000000"/>
          <w:sz w:val="24"/>
          <w:szCs w:val="24"/>
        </w:rPr>
        <w:lastRenderedPageBreak/>
        <w:t>2. Ступінь ПМЕС залежить від інтенсивності й тривалості ТГТ і найбільш виражений у п</w:t>
      </w:r>
      <w:r>
        <w:rPr>
          <w:color w:val="000000"/>
          <w:sz w:val="24"/>
          <w:szCs w:val="24"/>
        </w:rPr>
        <w:t>а</w:t>
      </w:r>
      <w:r>
        <w:rPr>
          <w:color w:val="000000"/>
          <w:sz w:val="24"/>
          <w:szCs w:val="24"/>
        </w:rPr>
        <w:t>цієнток, які опромінювались до і після операції. Краще надавати перевагу інтенсивній та дрібно-протяжній програмі ТГТ особливо в пацієнтів із факторами ризику з ПМЕС (ожиріння, атероскл</w:t>
      </w:r>
      <w:r>
        <w:rPr>
          <w:color w:val="000000"/>
          <w:sz w:val="24"/>
          <w:szCs w:val="24"/>
        </w:rPr>
        <w:t>е</w:t>
      </w:r>
      <w:r>
        <w:rPr>
          <w:color w:val="000000"/>
          <w:sz w:val="24"/>
          <w:szCs w:val="24"/>
        </w:rPr>
        <w:t>роз, гіпертонія, порушення білкового та жирового обміну).</w:t>
      </w:r>
    </w:p>
    <w:p w:rsidR="008C691A" w:rsidRDefault="008C691A" w:rsidP="008C691A">
      <w:pPr>
        <w:pStyle w:val="24"/>
        <w:spacing w:line="360" w:lineRule="auto"/>
        <w:ind w:firstLine="709"/>
        <w:rPr>
          <w:color w:val="000000"/>
          <w:sz w:val="24"/>
          <w:szCs w:val="24"/>
        </w:rPr>
      </w:pPr>
      <w:r>
        <w:rPr>
          <w:color w:val="000000"/>
          <w:sz w:val="24"/>
          <w:szCs w:val="24"/>
        </w:rPr>
        <w:t>3. Порівняльна денситометрія грудних м'язів з обох боків може служити методом ранньої діагностики ПМЕС. Різниця показників щільності грудного м'яза зі здорового й ураженого боку до 5 дБ – прояви ПМЕС відсутні; різниця показників від 5 до 8 дБ – відповідає І ст. ПМЕС; різниця від 9 до 12 дБ – ІІ ст. ПМЕС. При різниці показників більше 12 дБ – ІІІ ст. ПМЕС найбільш вир</w:t>
      </w:r>
      <w:r>
        <w:rPr>
          <w:color w:val="000000"/>
          <w:sz w:val="24"/>
          <w:szCs w:val="24"/>
        </w:rPr>
        <w:t>а</w:t>
      </w:r>
      <w:r>
        <w:rPr>
          <w:color w:val="000000"/>
          <w:sz w:val="24"/>
          <w:szCs w:val="24"/>
        </w:rPr>
        <w:t xml:space="preserve">жений.  </w:t>
      </w:r>
    </w:p>
    <w:p w:rsidR="008C691A" w:rsidRDefault="008C691A" w:rsidP="008C691A">
      <w:pPr>
        <w:pStyle w:val="24"/>
        <w:spacing w:line="360" w:lineRule="auto"/>
        <w:ind w:firstLine="709"/>
        <w:rPr>
          <w:color w:val="000000"/>
          <w:sz w:val="24"/>
          <w:szCs w:val="24"/>
        </w:rPr>
      </w:pPr>
      <w:r>
        <w:rPr>
          <w:color w:val="000000"/>
          <w:sz w:val="24"/>
          <w:szCs w:val="24"/>
        </w:rPr>
        <w:t xml:space="preserve"> 4. Гістологічне дослідження великого грудного м’яза на боці операції може служити дод</w:t>
      </w:r>
      <w:r>
        <w:rPr>
          <w:color w:val="000000"/>
          <w:sz w:val="24"/>
          <w:szCs w:val="24"/>
        </w:rPr>
        <w:t>а</w:t>
      </w:r>
      <w:r>
        <w:rPr>
          <w:color w:val="000000"/>
          <w:sz w:val="24"/>
          <w:szCs w:val="24"/>
        </w:rPr>
        <w:t>тковим критерієм експертизи ПМЕС. Дегенерація м'язових волокон, ослаблення фібрилярності й фрагментації, розрідження саркоплазми в мікропрепаратах м’язів свідчать про І ст. ПМЕС. Пр</w:t>
      </w:r>
      <w:r>
        <w:rPr>
          <w:color w:val="000000"/>
          <w:sz w:val="24"/>
          <w:szCs w:val="24"/>
        </w:rPr>
        <w:t>о</w:t>
      </w:r>
      <w:r>
        <w:rPr>
          <w:color w:val="000000"/>
          <w:sz w:val="24"/>
          <w:szCs w:val="24"/>
        </w:rPr>
        <w:t>міжний міозит, периваскуліт, некроз м’язів відповідають ІІ ст. ПМЕС. Міосклероз, міофіброз, лімфостаз – ІІІ ст. ПМЕС.</w:t>
      </w:r>
    </w:p>
    <w:p w:rsidR="008C691A" w:rsidRDefault="008C691A" w:rsidP="008C691A">
      <w:pPr>
        <w:pStyle w:val="24"/>
        <w:spacing w:line="360" w:lineRule="auto"/>
        <w:ind w:firstLine="709"/>
        <w:rPr>
          <w:color w:val="000000"/>
          <w:sz w:val="24"/>
          <w:szCs w:val="24"/>
        </w:rPr>
      </w:pPr>
      <w:r>
        <w:rPr>
          <w:color w:val="000000"/>
          <w:sz w:val="24"/>
          <w:szCs w:val="24"/>
        </w:rPr>
        <w:t>5. З метою профілактики ПМЕС рекомендовано застосування детралексу у дозі 1000 мг/добу в ранньому післяопераційному періоді до 3-4 місяців, що запобігає радіаційному пошк</w:t>
      </w:r>
      <w:r>
        <w:rPr>
          <w:color w:val="000000"/>
          <w:sz w:val="24"/>
          <w:szCs w:val="24"/>
        </w:rPr>
        <w:t>о</w:t>
      </w:r>
      <w:r>
        <w:rPr>
          <w:color w:val="000000"/>
          <w:sz w:val="24"/>
          <w:szCs w:val="24"/>
        </w:rPr>
        <w:t xml:space="preserve">дженню м’язової тканини й розвитку ряду симптомів, таких як порушення чутливості у ділянці післяопераційної рани, болю, набряку та обмеженню рухів в кінцівці з боку операції. </w:t>
      </w:r>
    </w:p>
    <w:p w:rsidR="008C691A" w:rsidRDefault="008C691A" w:rsidP="008C691A">
      <w:pPr>
        <w:pStyle w:val="24"/>
        <w:spacing w:line="360" w:lineRule="auto"/>
        <w:ind w:firstLine="709"/>
        <w:rPr>
          <w:color w:val="000000"/>
          <w:sz w:val="24"/>
          <w:szCs w:val="24"/>
        </w:rPr>
      </w:pPr>
    </w:p>
    <w:p w:rsidR="008C691A" w:rsidRDefault="008C691A" w:rsidP="008C691A">
      <w:pPr>
        <w:tabs>
          <w:tab w:val="num" w:pos="858"/>
        </w:tabs>
        <w:spacing w:line="360" w:lineRule="auto"/>
        <w:ind w:firstLine="709"/>
        <w:jc w:val="both"/>
        <w:rPr>
          <w:b/>
          <w:color w:val="000000"/>
          <w:lang w:val="uk-UA"/>
        </w:rPr>
      </w:pPr>
      <w:r>
        <w:rPr>
          <w:b/>
          <w:color w:val="000000"/>
          <w:lang w:val="uk-UA"/>
        </w:rPr>
        <w:t>СПИСОК ПРАЦЬ, ОПУБЛІКОВАНИХ ЗА ТЕМОЮ ДИСЕРТАЦІЇ</w:t>
      </w:r>
    </w:p>
    <w:p w:rsidR="008C691A" w:rsidRDefault="008C691A" w:rsidP="008C691A">
      <w:pPr>
        <w:tabs>
          <w:tab w:val="num" w:pos="858"/>
        </w:tabs>
        <w:spacing w:line="360" w:lineRule="auto"/>
        <w:ind w:firstLine="709"/>
        <w:jc w:val="both"/>
        <w:rPr>
          <w:b/>
          <w:color w:val="000000"/>
          <w:lang w:val="uk-UA"/>
        </w:rPr>
      </w:pP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Хурані І.Ф. Деякі віддалені ускладнення комбінованого лікування раку молочної залози // Вісник Вінницького державного медичного університету. – 2003. – Т.7, №1/1. – С. 104-105.</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lang w:val="uk-UA"/>
        </w:rPr>
      </w:pPr>
      <w:r>
        <w:rPr>
          <w:color w:val="000000"/>
          <w:lang w:val="uk-UA"/>
        </w:rPr>
        <w:t>Хурани И.Ф. Причины послеоперационных осложнений при лечении рака молочной железы / И.Ф. Хурани, В.И.  Пивторак // Буковинський медичний вісник. – 2004. – Т.8, №1. – С.162-166.</w:t>
      </w:r>
      <w:r>
        <w:rPr>
          <w:lang w:val="uk-UA"/>
        </w:rPr>
        <w:t xml:space="preserve"> Автором за даними літературних джерел проведено аналіз причин післяопераційних ускладнень при лікуванні РГЗ. </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Хурані І.Ф. Новий метод експертизи постмастектомічного синдрому / І.Ф. Хурані, В.І. Пі</w:t>
      </w:r>
      <w:r>
        <w:rPr>
          <w:color w:val="000000"/>
          <w:lang w:val="uk-UA"/>
        </w:rPr>
        <w:t>в</w:t>
      </w:r>
      <w:r>
        <w:rPr>
          <w:color w:val="000000"/>
          <w:lang w:val="uk-UA"/>
        </w:rPr>
        <w:t>торак, Б.А. Болюх // Клінічна анатомія та оперативна хірургія. – 2004. – Т.3, №1. – С.59-61. Автором розроблено спосіб експертизи постмастектомічного синдрому за допомогою ехографі</w:t>
      </w:r>
      <w:r>
        <w:rPr>
          <w:color w:val="000000"/>
          <w:lang w:val="uk-UA"/>
        </w:rPr>
        <w:t>ч</w:t>
      </w:r>
      <w:r>
        <w:rPr>
          <w:color w:val="000000"/>
          <w:lang w:val="uk-UA"/>
        </w:rPr>
        <w:t xml:space="preserve">ної денситометрії </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Хурані І.Ф. Лікування проявів постмастектомічного синдрому // Галицький лікарський ві</w:t>
      </w:r>
      <w:r>
        <w:rPr>
          <w:color w:val="000000"/>
          <w:lang w:val="uk-UA"/>
        </w:rPr>
        <w:t>с</w:t>
      </w:r>
      <w:r>
        <w:rPr>
          <w:color w:val="000000"/>
          <w:lang w:val="uk-UA"/>
        </w:rPr>
        <w:t>ник. – 2004. – №3. – С.127-129.</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lastRenderedPageBreak/>
        <w:t>Хурани И.Ф. Изменения морфологической структуры большой грудной мышцы после рад</w:t>
      </w:r>
      <w:r>
        <w:rPr>
          <w:color w:val="000000"/>
          <w:lang w:val="uk-UA"/>
        </w:rPr>
        <w:t>и</w:t>
      </w:r>
      <w:r>
        <w:rPr>
          <w:color w:val="000000"/>
          <w:lang w:val="uk-UA"/>
        </w:rPr>
        <w:t>кального лечения рака молочной железы / И.Ф. Хурани, М.С. Пушкарь, А.Я. Какарькин // Вісник морфології. – 2004. – Т.10, №1. – С.177-181. Автор проводив забір матеріалу для морфологічного дослідження грудних м’язів та приготування препаратів, виявив залежність проявів ПМЕС від п</w:t>
      </w:r>
      <w:r>
        <w:rPr>
          <w:color w:val="000000"/>
          <w:lang w:val="uk-UA"/>
        </w:rPr>
        <w:t>о</w:t>
      </w:r>
      <w:r>
        <w:rPr>
          <w:color w:val="000000"/>
          <w:lang w:val="uk-UA"/>
        </w:rPr>
        <w:t xml:space="preserve">рушень гістологічної структури м’язової тканини </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Ультразвуковая денситометрия в оценке структурно-функционального состояния грудных мышц после комбинированного лечения рака молочной железы / И.Ф. Хурани, Б.А. Болюх, А.Я. Какарькин, С.В. Прокопенко // Вісник Вінницького національного медичного університету. – 2004. – Т.8, №1. – С.223-225. Автором проаналізовано денситограми та виявлено, що ступінь мо</w:t>
      </w:r>
      <w:r>
        <w:rPr>
          <w:color w:val="000000"/>
          <w:lang w:val="uk-UA"/>
        </w:rPr>
        <w:t>р</w:t>
      </w:r>
      <w:r>
        <w:rPr>
          <w:color w:val="000000"/>
          <w:lang w:val="uk-UA"/>
        </w:rPr>
        <w:t>фологічних порушень у м’язах відповідає зростанню ехографічної щільності грудних м’язів.</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Хурани И.Ф. Влияние флавоноида детралекса на биохимические изменения в мышцах и то</w:t>
      </w:r>
      <w:r>
        <w:rPr>
          <w:color w:val="000000"/>
          <w:lang w:val="uk-UA"/>
        </w:rPr>
        <w:t>к</w:t>
      </w:r>
      <w:r>
        <w:rPr>
          <w:color w:val="000000"/>
          <w:lang w:val="uk-UA"/>
        </w:rPr>
        <w:t>сический эффект при облучении крыс / И.Ф. Хурани, А.Я. Какарькин, А.А. Пентюк // Biomedical and biosocial anthropology. – 2005. – №5. – С.24-28. Автор самостійно поставив експеримент на щ</w:t>
      </w:r>
      <w:r>
        <w:rPr>
          <w:color w:val="000000"/>
          <w:lang w:val="uk-UA"/>
        </w:rPr>
        <w:t>у</w:t>
      </w:r>
      <w:r>
        <w:rPr>
          <w:color w:val="000000"/>
          <w:lang w:val="uk-UA"/>
        </w:rPr>
        <w:t xml:space="preserve">рах, брав гомогенат м’язової тканини на дослідження і описав отримані дані. </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Зміни білкового і ліпідного складу м’язової тканини пацюків під впливом опромінення і з</w:t>
      </w:r>
      <w:r>
        <w:rPr>
          <w:color w:val="000000"/>
          <w:lang w:val="uk-UA"/>
        </w:rPr>
        <w:t>а</w:t>
      </w:r>
      <w:r>
        <w:rPr>
          <w:color w:val="000000"/>
          <w:lang w:val="uk-UA"/>
        </w:rPr>
        <w:t xml:space="preserve">стосування цитрусових флавоноїдів / І.Ф. Хурані, Б.А. Болюх, О.Я. Какарькін, О.О. Пентюк // Вісник Вінницького національного медичного університету. – 2006. – Т.10, №1. – С.10-14. Автор самостійно поставив експеримент на щурах, брав кров на дослідження і описав отримані дані. </w:t>
      </w:r>
    </w:p>
    <w:p w:rsidR="008C691A" w:rsidRDefault="008C691A" w:rsidP="006F4052">
      <w:pPr>
        <w:numPr>
          <w:ilvl w:val="0"/>
          <w:numId w:val="59"/>
        </w:numPr>
        <w:tabs>
          <w:tab w:val="clear" w:pos="1429"/>
          <w:tab w:val="num" w:pos="0"/>
          <w:tab w:val="num" w:pos="567"/>
          <w:tab w:val="num" w:pos="858"/>
        </w:tabs>
        <w:suppressAutoHyphens w:val="0"/>
        <w:spacing w:line="360" w:lineRule="auto"/>
        <w:ind w:left="0" w:firstLine="0"/>
        <w:jc w:val="both"/>
        <w:rPr>
          <w:color w:val="000000"/>
          <w:lang w:val="uk-UA"/>
        </w:rPr>
      </w:pPr>
      <w:r>
        <w:rPr>
          <w:color w:val="000000"/>
          <w:lang w:val="uk-UA"/>
        </w:rPr>
        <w:t>Хурани И.Ф. Влияние флавоноидного препарата детралекс на морфо-функциональное сост</w:t>
      </w:r>
      <w:r>
        <w:rPr>
          <w:color w:val="000000"/>
          <w:lang w:val="uk-UA"/>
        </w:rPr>
        <w:t>о</w:t>
      </w:r>
      <w:r>
        <w:rPr>
          <w:color w:val="000000"/>
          <w:lang w:val="uk-UA"/>
        </w:rPr>
        <w:t>яние мышц плечового пояса у больных раком грудной железы после радикального лечения / И.Ф. Хурани, Б.А. Болюх, А.Я. Какарькин // Biomedical and biosocial anthropology. – 2006. – №6. – С.154-158. Автор вивчав функціональний і морфологічний стан плечового поясу у хворих контр</w:t>
      </w:r>
      <w:r>
        <w:rPr>
          <w:color w:val="000000"/>
          <w:lang w:val="uk-UA"/>
        </w:rPr>
        <w:t>о</w:t>
      </w:r>
      <w:r>
        <w:rPr>
          <w:color w:val="000000"/>
          <w:lang w:val="uk-UA"/>
        </w:rPr>
        <w:t>льної та клінічної групи після комбінованого лікування РГЗ.</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lang w:val="uk-UA"/>
        </w:rPr>
      </w:pPr>
      <w:r>
        <w:rPr>
          <w:color w:val="000000"/>
          <w:lang w:val="uk-UA"/>
        </w:rPr>
        <w:t>Деклараційний патент 59011А UA, МПК А 61 В 10/00. Спосіб експертизи постмастектомі</w:t>
      </w:r>
      <w:r>
        <w:rPr>
          <w:color w:val="000000"/>
          <w:lang w:val="uk-UA"/>
        </w:rPr>
        <w:t>ч</w:t>
      </w:r>
      <w:r>
        <w:rPr>
          <w:color w:val="000000"/>
          <w:lang w:val="uk-UA"/>
        </w:rPr>
        <w:t>ного синдрому / І.Ф.Хурані, В.І.Півторак, Б.А.Болюх; Вінницький державний медичний університет ім. М.І.Пирогова. – №2002129735; Заявл. 05.12.02; Опубл. 15.08.03, Бюл. №8. – 6с.</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Хурани И.Ф. Морфо-функциональное состояние грудных мышц и выраженность постмаст</w:t>
      </w:r>
      <w:r>
        <w:rPr>
          <w:color w:val="000000"/>
          <w:lang w:val="uk-UA"/>
        </w:rPr>
        <w:t>е</w:t>
      </w:r>
      <w:r>
        <w:rPr>
          <w:color w:val="000000"/>
          <w:lang w:val="uk-UA"/>
        </w:rPr>
        <w:t xml:space="preserve">ктомического синдрома у больных раком грудной железы / И.Ф. Хурани, Б.А. Болюх, А.Я. Какарькин  // ІІІ сьезд онкологов и радиологов СНГ: Материалы съезда. Минск, 25-28 мая 2004 г. – 2004. – Ч. ІІ. – С.84. </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 xml:space="preserve">Хурани И.Ф. Влияние детралекса на развитие отдаленных осложнений комбинированного лечения рака молочной железы / И.Ф. Хурани, А.Я. Какарькин  // Сучасні проблеми організації </w:t>
      </w:r>
      <w:r>
        <w:rPr>
          <w:color w:val="000000"/>
          <w:lang w:val="uk-UA"/>
        </w:rPr>
        <w:lastRenderedPageBreak/>
        <w:t>онкологічної допомоги хворим на рак грудної залози: Матеріали науково-практичної конференції. Черкаси, 9-10 вересня 2004 р. –  Злоякісні новоутворення : Зб. наук. робіт. – Київ, 2004. – Вип. 9. – С.78-79.</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Хурані І.Ф. Профілактика післяпроменевого фіброзу грудних м'язів у хворих на рак молочної залози шляхом застросування детралексу / І.Ф. Хурані, О.Я. Какарькін, О.М. Печевистий // Вісник наукових досліджень. – 2004. – №3. – С.67.</w:t>
      </w:r>
    </w:p>
    <w:p w:rsidR="008C691A" w:rsidRDefault="008C691A" w:rsidP="006F4052">
      <w:pPr>
        <w:numPr>
          <w:ilvl w:val="0"/>
          <w:numId w:val="59"/>
        </w:numPr>
        <w:tabs>
          <w:tab w:val="clear" w:pos="1429"/>
          <w:tab w:val="num" w:pos="0"/>
          <w:tab w:val="num" w:pos="567"/>
        </w:tabs>
        <w:suppressAutoHyphens w:val="0"/>
        <w:spacing w:line="360" w:lineRule="auto"/>
        <w:ind w:left="0" w:firstLine="0"/>
        <w:jc w:val="both"/>
        <w:rPr>
          <w:color w:val="000000"/>
          <w:lang w:val="uk-UA"/>
        </w:rPr>
      </w:pPr>
      <w:r>
        <w:rPr>
          <w:color w:val="000000"/>
          <w:lang w:val="uk-UA"/>
        </w:rPr>
        <w:t>Хурани И.Ф. Динамика развития лучевого миофиброза в эксперименте под влиянием флав</w:t>
      </w:r>
      <w:r>
        <w:rPr>
          <w:color w:val="000000"/>
          <w:lang w:val="uk-UA"/>
        </w:rPr>
        <w:t>о</w:t>
      </w:r>
      <w:r>
        <w:rPr>
          <w:color w:val="000000"/>
          <w:lang w:val="uk-UA"/>
        </w:rPr>
        <w:t xml:space="preserve">ноидного препарата детралекс / И.Ф. Хурани, А.Я. Какарькин, А.А. Пентюк // ХІ з'їзд онкологів України: Матеріали з'їзду. Судак, АР Крим, 29 травня-02 червня 2006 р. – Київ, 2006. – С.38-39. </w:t>
      </w:r>
    </w:p>
    <w:p w:rsidR="008C691A" w:rsidRDefault="008C691A" w:rsidP="008C691A">
      <w:pPr>
        <w:tabs>
          <w:tab w:val="num" w:pos="993"/>
        </w:tabs>
        <w:spacing w:line="360" w:lineRule="auto"/>
        <w:ind w:firstLine="709"/>
        <w:jc w:val="both"/>
        <w:rPr>
          <w:lang w:val="uk-UA"/>
        </w:rPr>
      </w:pPr>
    </w:p>
    <w:p w:rsidR="008C691A" w:rsidRDefault="008C691A" w:rsidP="008C691A">
      <w:pPr>
        <w:spacing w:line="360" w:lineRule="auto"/>
        <w:ind w:firstLine="851"/>
        <w:jc w:val="both"/>
        <w:rPr>
          <w:lang w:val="uk-UA"/>
        </w:rPr>
      </w:pPr>
      <w:r>
        <w:rPr>
          <w:lang w:val="uk-UA"/>
        </w:rPr>
        <w:t>І.Ф. Хурані. Профілактика постмастектомічного синдрому шляхом застосування росли</w:t>
      </w:r>
      <w:r>
        <w:rPr>
          <w:lang w:val="uk-UA"/>
        </w:rPr>
        <w:t>н</w:t>
      </w:r>
      <w:r>
        <w:rPr>
          <w:lang w:val="uk-UA"/>
        </w:rPr>
        <w:t xml:space="preserve">них флавоноїдів. – Рукопис. </w:t>
      </w:r>
    </w:p>
    <w:p w:rsidR="008C691A" w:rsidRDefault="008C691A" w:rsidP="008C691A">
      <w:pPr>
        <w:spacing w:line="360" w:lineRule="auto"/>
        <w:ind w:firstLine="851"/>
        <w:jc w:val="both"/>
        <w:rPr>
          <w:lang w:val="uk-UA"/>
        </w:rPr>
      </w:pPr>
      <w:r>
        <w:rPr>
          <w:lang w:val="uk-UA"/>
        </w:rPr>
        <w:t xml:space="preserve">Дисертація на здобуття наукового ступеня кандидата медичних наук за спеціальністю 14.01.07 – онкологія. – Донецький національний медичний університет ім. М. Горького,  Донецьк, 2008. </w:t>
      </w:r>
    </w:p>
    <w:p w:rsidR="008C691A" w:rsidRDefault="008C691A" w:rsidP="008C691A">
      <w:pPr>
        <w:spacing w:line="360" w:lineRule="auto"/>
        <w:ind w:firstLine="851"/>
        <w:jc w:val="both"/>
        <w:rPr>
          <w:lang w:val="uk-UA"/>
        </w:rPr>
      </w:pPr>
      <w:r>
        <w:rPr>
          <w:lang w:val="uk-UA"/>
        </w:rPr>
        <w:t xml:space="preserve"> </w:t>
      </w:r>
    </w:p>
    <w:p w:rsidR="008C691A" w:rsidRDefault="008C691A" w:rsidP="008C691A">
      <w:pPr>
        <w:autoSpaceDE w:val="0"/>
        <w:autoSpaceDN w:val="0"/>
        <w:spacing w:line="360" w:lineRule="auto"/>
        <w:ind w:left="-120" w:firstLine="840"/>
        <w:jc w:val="both"/>
        <w:rPr>
          <w:lang w:val="uk-UA"/>
        </w:rPr>
      </w:pPr>
      <w:r>
        <w:rPr>
          <w:lang w:val="uk-UA"/>
        </w:rPr>
        <w:t>Дисертація присвячена вивченню механізмів розвитку постмастектомічного синдрому на клінічному, морфологічному та біохімічному рівнях, ролі в його розвитку променевої терапії, ро</w:t>
      </w:r>
      <w:r>
        <w:rPr>
          <w:lang w:val="uk-UA"/>
        </w:rPr>
        <w:t>з</w:t>
      </w:r>
      <w:r>
        <w:rPr>
          <w:lang w:val="uk-UA"/>
        </w:rPr>
        <w:t>робці нових методів діагностики та профілактики ПМЕС. Показано, що ПМЕС розвивається у всіх хворих після радикального лікування РГЗ і викликаний постпроменевим фіброзом та склерозом грудних м’язів, який найбільш виражений після проведення ТГТ до і після операції. Під впливом опромінення у м’язах виникає накопичення продуктів пероксидації ліпідів і карбонільних груп бі</w:t>
      </w:r>
      <w:r>
        <w:rPr>
          <w:lang w:val="uk-UA"/>
        </w:rPr>
        <w:t>л</w:t>
      </w:r>
      <w:r>
        <w:rPr>
          <w:lang w:val="uk-UA"/>
        </w:rPr>
        <w:t>ків, порушується жировий, вуглеводний та білковий обмін, активується міофіброз. Ультразвукова денситометрія, визначаючи щільність тканин в ділянці опромінення, відображає ступінь їх деген</w:t>
      </w:r>
      <w:r>
        <w:rPr>
          <w:lang w:val="uk-UA"/>
        </w:rPr>
        <w:t>е</w:t>
      </w:r>
      <w:r>
        <w:rPr>
          <w:lang w:val="uk-UA"/>
        </w:rPr>
        <w:t>рації і може бути рекомендована як стандартний метод оцінки ПМЕС. Флавоноїдний препарат детралекс захищає м’язову тканину від жирової та білкової дистрофії, нормалізує рівень фосфоліп</w:t>
      </w:r>
      <w:r>
        <w:rPr>
          <w:lang w:val="uk-UA"/>
        </w:rPr>
        <w:t>і</w:t>
      </w:r>
      <w:r>
        <w:rPr>
          <w:lang w:val="uk-UA"/>
        </w:rPr>
        <w:t xml:space="preserve">дів, значною мірою запобігає розвитку фіброзу та склерозу тканин, попереджує розвиток ПМЕС. </w:t>
      </w:r>
    </w:p>
    <w:p w:rsidR="008C691A" w:rsidRDefault="008C691A" w:rsidP="008C691A">
      <w:pPr>
        <w:autoSpaceDE w:val="0"/>
        <w:autoSpaceDN w:val="0"/>
        <w:spacing w:line="360" w:lineRule="auto"/>
        <w:ind w:left="-120" w:firstLine="840"/>
        <w:jc w:val="both"/>
        <w:rPr>
          <w:lang w:val="uk-UA"/>
        </w:rPr>
      </w:pPr>
      <w:r>
        <w:rPr>
          <w:lang w:val="uk-UA"/>
        </w:rPr>
        <w:t>Ключові слова: постмастектомічний синдром, телегамма-терапія, міофіброз, денситометрія, детралекс.</w:t>
      </w:r>
    </w:p>
    <w:p w:rsidR="008C691A" w:rsidRDefault="008C691A" w:rsidP="008C691A">
      <w:pPr>
        <w:autoSpaceDE w:val="0"/>
        <w:autoSpaceDN w:val="0"/>
        <w:spacing w:line="360" w:lineRule="auto"/>
        <w:ind w:left="-120" w:firstLine="840"/>
        <w:jc w:val="both"/>
        <w:rPr>
          <w:lang w:val="uk-UA"/>
        </w:rPr>
      </w:pPr>
    </w:p>
    <w:p w:rsidR="008C691A" w:rsidRDefault="008C691A" w:rsidP="008C691A">
      <w:pPr>
        <w:autoSpaceDE w:val="0"/>
        <w:autoSpaceDN w:val="0"/>
        <w:spacing w:line="360" w:lineRule="auto"/>
        <w:ind w:left="-120" w:firstLine="840"/>
        <w:jc w:val="both"/>
      </w:pPr>
    </w:p>
    <w:p w:rsidR="008C691A" w:rsidRDefault="008C691A" w:rsidP="008C691A">
      <w:pPr>
        <w:autoSpaceDE w:val="0"/>
        <w:autoSpaceDN w:val="0"/>
        <w:spacing w:line="360" w:lineRule="auto"/>
        <w:ind w:left="-120" w:firstLine="840"/>
        <w:jc w:val="both"/>
      </w:pPr>
      <w:r>
        <w:t>И.Ф. Хурани. Профилактика постмастэктомического синдрома путем применения раст</w:t>
      </w:r>
      <w:r>
        <w:t>и</w:t>
      </w:r>
      <w:r>
        <w:t xml:space="preserve">тельных флавоноидов. – Рукопись. </w:t>
      </w:r>
    </w:p>
    <w:p w:rsidR="008C691A" w:rsidRDefault="008C691A" w:rsidP="008C691A">
      <w:pPr>
        <w:autoSpaceDE w:val="0"/>
        <w:autoSpaceDN w:val="0"/>
        <w:spacing w:line="360" w:lineRule="auto"/>
        <w:ind w:left="-120" w:firstLine="840"/>
        <w:jc w:val="both"/>
      </w:pPr>
      <w:r>
        <w:lastRenderedPageBreak/>
        <w:t>Диссертация на соискание ученой степени кандидата медицинских наук по специальности 14.01.07 – онкология. – Донецкий национальный медицинский университет им. М. Горького, Д</w:t>
      </w:r>
      <w:r>
        <w:t>о</w:t>
      </w:r>
      <w:r>
        <w:t xml:space="preserve">нецк, 2008. </w:t>
      </w:r>
    </w:p>
    <w:p w:rsidR="008C691A" w:rsidRDefault="008C691A" w:rsidP="008C691A">
      <w:pPr>
        <w:autoSpaceDE w:val="0"/>
        <w:autoSpaceDN w:val="0"/>
        <w:spacing w:line="360" w:lineRule="auto"/>
        <w:ind w:left="-120" w:firstLine="840"/>
        <w:jc w:val="both"/>
      </w:pPr>
    </w:p>
    <w:p w:rsidR="008C691A" w:rsidRDefault="008C691A" w:rsidP="008C691A">
      <w:pPr>
        <w:autoSpaceDE w:val="0"/>
        <w:autoSpaceDN w:val="0"/>
        <w:spacing w:line="360" w:lineRule="auto"/>
        <w:ind w:left="-120" w:firstLine="840"/>
        <w:jc w:val="both"/>
      </w:pPr>
      <w:r>
        <w:t xml:space="preserve">Диссертация посвящена изучению механизмов развития постмастэктомического синдрома (ПМЭС) на клиническом, морфологическом и биохимическом уровне, роли в его развитии лучевой терапии, разработке новых методов диагностики и профилактики ПМЭС. </w:t>
      </w:r>
    </w:p>
    <w:p w:rsidR="008C691A" w:rsidRDefault="008C691A" w:rsidP="008C691A">
      <w:pPr>
        <w:autoSpaceDE w:val="0"/>
        <w:autoSpaceDN w:val="0"/>
        <w:spacing w:line="360" w:lineRule="auto"/>
        <w:ind w:left="-120" w:firstLine="840"/>
        <w:jc w:val="both"/>
      </w:pPr>
      <w:r>
        <w:t>Учитывая несовершенство существующих методов диагностики и профилактики ПМЭС, целью исследования было усовершенствовать методы его ранней диагностики с помощью ультр</w:t>
      </w:r>
      <w:r>
        <w:t>а</w:t>
      </w:r>
      <w:r>
        <w:t>звуковой денситометрии и разработать способ профилактики путем применения растительного флавоноида детралекса.</w:t>
      </w:r>
    </w:p>
    <w:p w:rsidR="008C691A" w:rsidRDefault="008C691A" w:rsidP="008C691A">
      <w:pPr>
        <w:autoSpaceDE w:val="0"/>
        <w:autoSpaceDN w:val="0"/>
        <w:spacing w:line="360" w:lineRule="auto"/>
        <w:ind w:left="-120" w:firstLine="840"/>
        <w:jc w:val="both"/>
      </w:pPr>
      <w:r>
        <w:t>Рак грудной железы (РГЖ) наиболее частое онкологическое заболевание среди женского населения Украины (61,3 на 100000 населения – в 2006 г.). После радикального лечения РГЖ, кот</w:t>
      </w:r>
      <w:r>
        <w:t>о</w:t>
      </w:r>
      <w:r>
        <w:t>рое включает в себя хирургические, химиотерапевтические и лучевые методы, у подавляющего большинства больных развивается ПМЭС различной степени выраженности.</w:t>
      </w:r>
    </w:p>
    <w:p w:rsidR="008C691A" w:rsidRDefault="008C691A" w:rsidP="008C691A">
      <w:pPr>
        <w:autoSpaceDE w:val="0"/>
        <w:autoSpaceDN w:val="0"/>
        <w:spacing w:line="360" w:lineRule="auto"/>
        <w:ind w:left="-120" w:firstLine="840"/>
        <w:jc w:val="both"/>
      </w:pPr>
      <w:r>
        <w:t>Были изучены результаты радикального лечения 188 больных РГЖ. Доказано, что почти у всех больных развиваются постмастэктомические осложнения в виде нарушения кожной чувств</w:t>
      </w:r>
      <w:r>
        <w:t>и</w:t>
      </w:r>
      <w:r>
        <w:t>тельности у 100% больных, отека верхней конечности у 70,5%</w:t>
      </w:r>
      <w:r>
        <w:sym w:font="Symbol" w:char="F0B1"/>
      </w:r>
      <w:r>
        <w:t>4,5%, ограничение ее подвижности у 52,4%</w:t>
      </w:r>
      <w:r>
        <w:sym w:font="Symbol" w:char="F0B1"/>
      </w:r>
      <w:r>
        <w:t>4,9% и т.п., которые вызваны дегенеративными изменениями в больших грудных мышцах в виде миофиброза, миосклероза, нарушения микроциркуляции и лимфотока. Данные изменения непосредственно зависят от длительности и интенсивности телегамма-терапии (ТГТ), значительно в большей мере, чем от вида операции и наиболее выражены при проведении ТГТ до и после оп</w:t>
      </w:r>
      <w:r>
        <w:t>е</w:t>
      </w:r>
      <w:r>
        <w:t xml:space="preserve">рации. </w:t>
      </w:r>
    </w:p>
    <w:p w:rsidR="008C691A" w:rsidRDefault="008C691A" w:rsidP="008C691A">
      <w:pPr>
        <w:autoSpaceDE w:val="0"/>
        <w:autoSpaceDN w:val="0"/>
        <w:spacing w:line="360" w:lineRule="auto"/>
        <w:ind w:left="-120" w:firstLine="840"/>
        <w:jc w:val="both"/>
      </w:pPr>
      <w:r>
        <w:t>Гистологическое исследование грудных мышц на стороне операции может служить допо</w:t>
      </w:r>
      <w:r>
        <w:t>л</w:t>
      </w:r>
      <w:r>
        <w:t>нительным критерием экспертизы ПМЭС. Дегенерация мышечных волокон, ослабление фибриллярности и фрагментации, разрежения саркоплазмы в микропрепаратах мышц свидетел</w:t>
      </w:r>
      <w:r>
        <w:t>ь</w:t>
      </w:r>
      <w:r>
        <w:t>ствуют о І ст. ПМЭС. Промежуточный миозит, периваскулит, некроз мышц соответствуют ІІ ст. ПМЭС. Миосклероз, миофиброз, лимфостаз характеризуют ІІІ ст. ПМЭС.</w:t>
      </w:r>
    </w:p>
    <w:p w:rsidR="008C691A" w:rsidRDefault="008C691A" w:rsidP="008C691A">
      <w:pPr>
        <w:autoSpaceDE w:val="0"/>
        <w:autoSpaceDN w:val="0"/>
        <w:spacing w:line="360" w:lineRule="auto"/>
        <w:ind w:left="-120" w:firstLine="840"/>
        <w:jc w:val="both"/>
      </w:pPr>
      <w:r>
        <w:t>Ультразвуковая денситометрия, определяя плотность тканей в участке облучения, отобр</w:t>
      </w:r>
      <w:r>
        <w:t>а</w:t>
      </w:r>
      <w:r>
        <w:t>жает степень их дегенерации и фибротизации. Показатели эхографической плотности прямо коррелируют с проявлениями ПМЭС – со снижением мышечной силы кисти (r=0,86), отеком к</w:t>
      </w:r>
      <w:r>
        <w:t>о</w:t>
      </w:r>
      <w:r>
        <w:t>нечности (r=0,79), ограничением подвижности конечности (r=0,76). Денситометрия может быть рекомендована как стандартный метод оценки постмастэктомического синдрома на разных этапах его развития и лечения.</w:t>
      </w:r>
    </w:p>
    <w:p w:rsidR="008C691A" w:rsidRDefault="008C691A" w:rsidP="008C691A">
      <w:pPr>
        <w:autoSpaceDE w:val="0"/>
        <w:autoSpaceDN w:val="0"/>
        <w:spacing w:line="360" w:lineRule="auto"/>
        <w:ind w:left="-120" w:firstLine="840"/>
        <w:jc w:val="both"/>
      </w:pPr>
      <w:r>
        <w:t>В эксперименте на облученных крысах показано, что под воздействием облучения в мы</w:t>
      </w:r>
      <w:r>
        <w:t>ш</w:t>
      </w:r>
      <w:r>
        <w:t xml:space="preserve">цах происходит истощение запасов гликогена, накопление продуктов пероксидации </w:t>
      </w:r>
      <w:r>
        <w:lastRenderedPageBreak/>
        <w:t>липидов и карбонильных групп белков, нарушается жировой и белковый обмен, активируется миофиброз, что ведет к лимфостазу, контрактурной дегенерации мышц и снижению их сократительной способн</w:t>
      </w:r>
      <w:r>
        <w:t>о</w:t>
      </w:r>
      <w:r>
        <w:t>сти. Показатели обмена гликогена, фруктозофосфатов, гексозаминов, оксипролина и коллагена не меняются на протяжении 3 месяцев после облучения и находятся в прямой корреляционной зав</w:t>
      </w:r>
      <w:r>
        <w:t>и</w:t>
      </w:r>
      <w:r>
        <w:t>симости с уровнем малонового диальдегида, диеновых конъюгатов и карбонильных групп белков (0,51 &lt; r &lt; 0,68).</w:t>
      </w:r>
    </w:p>
    <w:p w:rsidR="008C691A" w:rsidRDefault="008C691A" w:rsidP="008C691A">
      <w:pPr>
        <w:autoSpaceDE w:val="0"/>
        <w:autoSpaceDN w:val="0"/>
        <w:spacing w:line="360" w:lineRule="auto"/>
        <w:ind w:left="-120" w:firstLine="840"/>
        <w:jc w:val="both"/>
      </w:pPr>
      <w:r>
        <w:t>Агрессивное действие ионизирующего излучения заключается в повреждении клеточных мембран, образовании свободных радикалов, инициирующих процессы перекисного окисления. Применение растительных флавоноидов, которые обладают антиоксидантными, ангиопротекто</w:t>
      </w:r>
      <w:r>
        <w:t>р</w:t>
      </w:r>
      <w:r>
        <w:t xml:space="preserve">ными и репаративными свойствами, противодействует лучевому повреждению мышечной ткани. Определенный интерес представляют цитрусовые флавоноиды, особенно препарат детралекс. </w:t>
      </w:r>
    </w:p>
    <w:p w:rsidR="008C691A" w:rsidRDefault="008C691A" w:rsidP="008C691A">
      <w:pPr>
        <w:autoSpaceDE w:val="0"/>
        <w:autoSpaceDN w:val="0"/>
        <w:spacing w:line="360" w:lineRule="auto"/>
        <w:ind w:left="-120" w:firstLine="840"/>
        <w:jc w:val="both"/>
      </w:pPr>
      <w:r>
        <w:t>Детралекс проявляет антифибротическую активность, снижает содержание компонентов гликозаминогликанов, фракций оксипролина и коллагена в мышечной ткани, защищает её от жир</w:t>
      </w:r>
      <w:r>
        <w:t>о</w:t>
      </w:r>
      <w:r>
        <w:t>вой дистрофии и белкового истощения, снижает содержание компонентов нейтральных липидов, нормализует уровень фосфолипидов, саркоплазматических и миофибриллярных белков. Доказано, что применение детралекса в значительной мере снижает, а иногда полностью предупреждает ра</w:t>
      </w:r>
      <w:r>
        <w:t>з</w:t>
      </w:r>
      <w:r>
        <w:t>витие ПМЭС. Назначение детралекса перед и во время лучевой терапии снижает частоту развития отека верхней конечности с 67,6% (ВИ 58,3%–76,3%) до 20,5% (ВИ 12,4%–29,9%), боли с 51,4% (ВИ 41,8%–61,0%) до 14,5% (ВИ 7,7%–22,9%), нарушение чувствительности в зоне послеоперац</w:t>
      </w:r>
      <w:r>
        <w:t>и</w:t>
      </w:r>
      <w:r>
        <w:t>онного рубца с 100% (ВИ 98,2%–100,0%) до 53% (ВИ 42,1%–63,8%). Особенно эффективно применение детралекса при проведении ТГТ до и после операции и при дробно-протяжённой пр</w:t>
      </w:r>
      <w:r>
        <w:t>о</w:t>
      </w:r>
      <w:r>
        <w:t xml:space="preserve">грамме ТГТ. </w:t>
      </w:r>
    </w:p>
    <w:p w:rsidR="008C691A" w:rsidRDefault="008C691A" w:rsidP="008C691A">
      <w:pPr>
        <w:autoSpaceDE w:val="0"/>
        <w:autoSpaceDN w:val="0"/>
        <w:spacing w:line="360" w:lineRule="auto"/>
        <w:ind w:left="-120" w:firstLine="840"/>
        <w:jc w:val="both"/>
      </w:pPr>
      <w:r>
        <w:t>Применение детралекса, не только положительно влияет на гистохимическое состояние о</w:t>
      </w:r>
      <w:r>
        <w:t>б</w:t>
      </w:r>
      <w:r>
        <w:t>лученной мышечной ткани, но и значительно уменьшает общие лучевые реакции, снижая уровень эндогенной интоксикации, что позволяет рекомендовать этот препарат также в качестве радиопр</w:t>
      </w:r>
      <w:r>
        <w:t>о</w:t>
      </w:r>
      <w:r>
        <w:t>тектора у больных во время проведения лучевой терапии.</w:t>
      </w:r>
    </w:p>
    <w:p w:rsidR="008C691A" w:rsidRDefault="008C691A" w:rsidP="008C691A">
      <w:pPr>
        <w:autoSpaceDE w:val="0"/>
        <w:autoSpaceDN w:val="0"/>
        <w:spacing w:line="360" w:lineRule="auto"/>
        <w:ind w:left="-120" w:firstLine="840"/>
        <w:jc w:val="both"/>
      </w:pPr>
    </w:p>
    <w:p w:rsidR="008C691A" w:rsidRDefault="008C691A" w:rsidP="008C691A">
      <w:pPr>
        <w:autoSpaceDE w:val="0"/>
        <w:autoSpaceDN w:val="0"/>
        <w:spacing w:line="360" w:lineRule="auto"/>
        <w:ind w:firstLine="708"/>
        <w:jc w:val="both"/>
      </w:pPr>
      <w:r>
        <w:t>Ключевые слова: постмастэктомический синдром, телегамма-терапия, миофиброз, денс</w:t>
      </w:r>
      <w:r>
        <w:t>и</w:t>
      </w:r>
      <w:r>
        <w:t>тометрия, детралекс.</w:t>
      </w:r>
    </w:p>
    <w:p w:rsidR="008C691A" w:rsidRDefault="008C691A" w:rsidP="008C691A">
      <w:pPr>
        <w:spacing w:line="360" w:lineRule="auto"/>
        <w:rPr>
          <w:lang w:val="uk-UA"/>
        </w:rPr>
      </w:pPr>
    </w:p>
    <w:p w:rsidR="008C691A" w:rsidRDefault="008C691A" w:rsidP="008C691A">
      <w:pPr>
        <w:spacing w:line="360" w:lineRule="auto"/>
        <w:ind w:firstLine="851"/>
        <w:jc w:val="both"/>
        <w:rPr>
          <w:lang w:val="uk-UA"/>
        </w:rPr>
      </w:pPr>
    </w:p>
    <w:p w:rsidR="008C691A" w:rsidRDefault="008C691A" w:rsidP="008C691A">
      <w:pPr>
        <w:spacing w:line="360" w:lineRule="auto"/>
        <w:ind w:firstLine="851"/>
        <w:jc w:val="both"/>
        <w:rPr>
          <w:lang w:val="uk-UA"/>
        </w:rPr>
      </w:pPr>
      <w:r>
        <w:rPr>
          <w:lang w:val="uk-UA"/>
        </w:rPr>
        <w:t xml:space="preserve">I.F. Hourani. Prophylaxis of the postmastectomy syndrome by application of vegetable flavonoids. – A  manuscript. </w:t>
      </w:r>
    </w:p>
    <w:p w:rsidR="008C691A" w:rsidRDefault="008C691A" w:rsidP="008C691A">
      <w:pPr>
        <w:spacing w:line="360" w:lineRule="auto"/>
        <w:ind w:firstLine="851"/>
        <w:jc w:val="both"/>
        <w:rPr>
          <w:lang w:val="uk-UA"/>
        </w:rPr>
      </w:pPr>
    </w:p>
    <w:p w:rsidR="008C691A" w:rsidRDefault="008C691A" w:rsidP="008C691A">
      <w:pPr>
        <w:spacing w:line="360" w:lineRule="auto"/>
        <w:ind w:firstLine="851"/>
        <w:jc w:val="both"/>
        <w:rPr>
          <w:lang w:val="uk-UA"/>
        </w:rPr>
      </w:pPr>
      <w:r>
        <w:rPr>
          <w:lang w:val="uk-UA"/>
        </w:rPr>
        <w:lastRenderedPageBreak/>
        <w:t>Dissertation for the Candidate of Medical Science degree in a speciality 14.01.07 – Oncology. – M. Gorky Donetsk National Medical University, Donetsk, 2008.</w:t>
      </w:r>
    </w:p>
    <w:p w:rsidR="008C691A" w:rsidRDefault="008C691A" w:rsidP="008C691A">
      <w:pPr>
        <w:spacing w:line="360" w:lineRule="auto"/>
        <w:ind w:firstLine="708"/>
        <w:jc w:val="both"/>
        <w:rPr>
          <w:lang w:val="uk-UA"/>
        </w:rPr>
      </w:pPr>
    </w:p>
    <w:p w:rsidR="008C691A" w:rsidRDefault="008C691A" w:rsidP="008C691A">
      <w:pPr>
        <w:spacing w:line="360" w:lineRule="auto"/>
        <w:ind w:firstLine="708"/>
        <w:jc w:val="both"/>
        <w:rPr>
          <w:lang w:val="uk-UA"/>
        </w:rPr>
      </w:pPr>
      <w:r>
        <w:rPr>
          <w:lang w:val="uk-UA"/>
        </w:rPr>
        <w:t xml:space="preserve"> The thesis is dedicated to the study of postmastectomy syndrome development mechanisms at the clinical, morphological and biochemical levels, to the role of radiotherapy in its development, to the development of new methods of diagnostics and prophylaxis of the postmastectomy syndrome. </w:t>
      </w:r>
    </w:p>
    <w:p w:rsidR="008C691A" w:rsidRDefault="008C691A" w:rsidP="008C691A">
      <w:pPr>
        <w:spacing w:line="360" w:lineRule="auto"/>
        <w:ind w:firstLine="708"/>
        <w:jc w:val="both"/>
        <w:rPr>
          <w:lang w:val="uk-UA"/>
        </w:rPr>
      </w:pPr>
      <w:r>
        <w:rPr>
          <w:lang w:val="uk-UA"/>
        </w:rPr>
        <w:t>It was shown, that the postmastectomy syndrome develops in all patients after breast cancer radical treatment, is caused by postirradiation fibrosis and sclerosis of pectoral muscles, and  is most expressed  after carrying out the gamma-ray telethepary before and after an operation. The irradiation causes accumulation of lipid peroxidase products and carbonyl groups of proteins, disorder of fat, carbohydrate and protein exchange, activization of myofibrosis.</w:t>
      </w:r>
    </w:p>
    <w:p w:rsidR="008C691A" w:rsidRDefault="008C691A" w:rsidP="008C691A">
      <w:pPr>
        <w:autoSpaceDE w:val="0"/>
        <w:autoSpaceDN w:val="0"/>
        <w:spacing w:line="360" w:lineRule="auto"/>
        <w:ind w:firstLine="708"/>
        <w:jc w:val="both"/>
        <w:rPr>
          <w:lang w:val="uk-UA"/>
        </w:rPr>
      </w:pPr>
      <w:r>
        <w:rPr>
          <w:lang w:val="uk-UA"/>
        </w:rPr>
        <w:t xml:space="preserve">Determining the density of tissues in the irradiated area, ultrasonic densitometry represents the degree of its degeneration and  can be recommended as a standard method of the postmactectomy syndrome evaluation. The citrus flavonoid detralex protects a muscular tissue from fatty degeneration and protein exhaustion, normalizes the level of phospholipids, prevents from development of fibrosis and sclerosis of tissues, prevents development of the postmastectomy syndrome. </w:t>
      </w:r>
    </w:p>
    <w:p w:rsidR="008C691A" w:rsidRDefault="008C691A" w:rsidP="008C691A">
      <w:pPr>
        <w:autoSpaceDE w:val="0"/>
        <w:autoSpaceDN w:val="0"/>
        <w:spacing w:line="360" w:lineRule="auto"/>
        <w:ind w:firstLine="708"/>
        <w:jc w:val="both"/>
        <w:rPr>
          <w:lang w:val="uk-UA"/>
        </w:rPr>
      </w:pPr>
    </w:p>
    <w:p w:rsidR="008C691A" w:rsidRDefault="008C691A" w:rsidP="008C691A">
      <w:pPr>
        <w:autoSpaceDE w:val="0"/>
        <w:autoSpaceDN w:val="0"/>
        <w:spacing w:line="360" w:lineRule="auto"/>
        <w:ind w:firstLine="708"/>
        <w:jc w:val="both"/>
        <w:rPr>
          <w:lang w:val="uk-UA"/>
        </w:rPr>
      </w:pPr>
      <w:r>
        <w:rPr>
          <w:lang w:val="uk-UA"/>
        </w:rPr>
        <w:t>Key words: postmastectomy syndrome, hamma-rаy teletherapy, myofibrosis, densitometry, detralex.</w:t>
      </w:r>
    </w:p>
    <w:p w:rsidR="008C691A" w:rsidRDefault="008C691A" w:rsidP="008C691A">
      <w:pPr>
        <w:autoSpaceDE w:val="0"/>
        <w:autoSpaceDN w:val="0"/>
        <w:spacing w:line="360" w:lineRule="auto"/>
        <w:ind w:firstLine="708"/>
        <w:jc w:val="both"/>
        <w:rPr>
          <w:lang w:val="uk-UA"/>
        </w:rPr>
      </w:pPr>
    </w:p>
    <w:p w:rsidR="008C691A" w:rsidRDefault="008C691A" w:rsidP="008C691A">
      <w:pPr>
        <w:spacing w:line="360" w:lineRule="auto"/>
        <w:rPr>
          <w:lang w:val="uk-UA"/>
        </w:rPr>
      </w:pPr>
    </w:p>
    <w:p w:rsidR="008C691A" w:rsidRDefault="008C691A" w:rsidP="008C691A">
      <w:pPr>
        <w:pStyle w:val="38"/>
        <w:ind w:firstLine="0"/>
        <w:jc w:val="center"/>
        <w:rPr>
          <w:szCs w:val="24"/>
          <w:lang w:val="en-US"/>
        </w:rPr>
      </w:pPr>
    </w:p>
    <w:p w:rsidR="00EC19D4" w:rsidRPr="00991788" w:rsidRDefault="00EC19D4" w:rsidP="00EC19D4">
      <w:pPr>
        <w:pStyle w:val="24"/>
        <w:spacing w:after="0" w:line="360" w:lineRule="auto"/>
        <w:ind w:left="0" w:firstLine="851"/>
        <w:jc w:val="both"/>
        <w:rPr>
          <w:color w:val="000000"/>
          <w:szCs w:val="28"/>
          <w:lang w:val="en-US"/>
        </w:rPr>
      </w:pPr>
      <w:bookmarkStart w:id="1" w:name="_GoBack"/>
      <w:bookmarkEnd w:id="1"/>
    </w:p>
    <w:p w:rsidR="00EC19D4" w:rsidRPr="002F1833" w:rsidRDefault="00EC19D4" w:rsidP="00EC19D4">
      <w:pPr>
        <w:autoSpaceDE w:val="0"/>
        <w:autoSpaceDN w:val="0"/>
        <w:spacing w:line="360" w:lineRule="auto"/>
        <w:ind w:firstLine="851"/>
        <w:jc w:val="both"/>
        <w:rPr>
          <w:lang w:val="uk-UA"/>
        </w:rPr>
      </w:pPr>
    </w:p>
    <w:p w:rsidR="00EC19D4" w:rsidRPr="00EC19D4" w:rsidRDefault="00EC19D4" w:rsidP="00EC19D4">
      <w:pPr>
        <w:pStyle w:val="affffffff4"/>
        <w:jc w:val="left"/>
        <w:rPr>
          <w:b w:val="0"/>
          <w:sz w:val="28"/>
          <w:lang w:val="en-US"/>
        </w:rPr>
      </w:pPr>
    </w:p>
    <w:p w:rsidR="00EC2F77" w:rsidRPr="00EC19D4" w:rsidRDefault="00EC2F77" w:rsidP="00EC19D4">
      <w:pPr>
        <w:spacing w:line="360" w:lineRule="auto"/>
        <w:rPr>
          <w:sz w:val="28"/>
          <w:szCs w:val="28"/>
          <w:lang w:val="en-US"/>
        </w:rPr>
      </w:pPr>
    </w:p>
    <w:p w:rsidR="0068362D" w:rsidRPr="00031E5A" w:rsidRDefault="0068362D" w:rsidP="00517E2B">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6"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52" w:rsidRDefault="006F4052">
      <w:r>
        <w:separator/>
      </w:r>
    </w:p>
  </w:endnote>
  <w:endnote w:type="continuationSeparator" w:id="0">
    <w:p w:rsidR="006F4052" w:rsidRDefault="006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52" w:rsidRDefault="006F4052">
      <w:r>
        <w:separator/>
      </w:r>
    </w:p>
  </w:footnote>
  <w:footnote w:type="continuationSeparator" w:id="0">
    <w:p w:rsidR="006F4052" w:rsidRDefault="006F4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1A" w:rsidRDefault="008C691A">
    <w:pPr>
      <w:pStyle w:val="affffffff2"/>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C691A" w:rsidRDefault="008C691A">
    <w:pPr>
      <w:pStyle w:val="affff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A550B3E"/>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7">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57734CE"/>
    <w:multiLevelType w:val="hybridMultilevel"/>
    <w:tmpl w:val="21E2386A"/>
    <w:lvl w:ilvl="0" w:tplc="0419000F">
      <w:start w:val="1"/>
      <w:numFmt w:val="decimal"/>
      <w:lvlText w:val="%1."/>
      <w:lvlJc w:val="left"/>
      <w:pPr>
        <w:tabs>
          <w:tab w:val="num" w:pos="1429"/>
        </w:tabs>
        <w:ind w:left="1429" w:hanging="360"/>
      </w:pPr>
      <w:rPr>
        <w:rFonts w:ascii="Times New Roman" w:hAnsi="Times New Roman" w:cs="Times New Roman"/>
      </w:rPr>
    </w:lvl>
    <w:lvl w:ilvl="1" w:tplc="04190019">
      <w:start w:val="1"/>
      <w:numFmt w:val="lowerLetter"/>
      <w:lvlText w:val="%2."/>
      <w:lvlJc w:val="left"/>
      <w:pPr>
        <w:tabs>
          <w:tab w:val="num" w:pos="2149"/>
        </w:tabs>
        <w:ind w:left="2149" w:hanging="360"/>
      </w:pPr>
      <w:rPr>
        <w:rFonts w:ascii="Times New Roman" w:hAnsi="Times New Roman" w:cs="Times New Roman"/>
      </w:rPr>
    </w:lvl>
    <w:lvl w:ilvl="2" w:tplc="0419001B">
      <w:start w:val="1"/>
      <w:numFmt w:val="lowerRoman"/>
      <w:lvlText w:val="%3."/>
      <w:lvlJc w:val="right"/>
      <w:pPr>
        <w:tabs>
          <w:tab w:val="num" w:pos="2869"/>
        </w:tabs>
        <w:ind w:left="2869" w:hanging="180"/>
      </w:pPr>
      <w:rPr>
        <w:rFonts w:ascii="Times New Roman" w:hAnsi="Times New Roman" w:cs="Times New Roman"/>
      </w:rPr>
    </w:lvl>
    <w:lvl w:ilvl="3" w:tplc="0419000F">
      <w:start w:val="1"/>
      <w:numFmt w:val="decimal"/>
      <w:lvlText w:val="%4."/>
      <w:lvlJc w:val="left"/>
      <w:pPr>
        <w:tabs>
          <w:tab w:val="num" w:pos="3589"/>
        </w:tabs>
        <w:ind w:left="3589" w:hanging="360"/>
      </w:pPr>
      <w:rPr>
        <w:rFonts w:ascii="Times New Roman" w:hAnsi="Times New Roman" w:cs="Times New Roman"/>
      </w:rPr>
    </w:lvl>
    <w:lvl w:ilvl="4" w:tplc="04190019">
      <w:start w:val="1"/>
      <w:numFmt w:val="lowerLetter"/>
      <w:lvlText w:val="%5."/>
      <w:lvlJc w:val="left"/>
      <w:pPr>
        <w:tabs>
          <w:tab w:val="num" w:pos="4309"/>
        </w:tabs>
        <w:ind w:left="4309" w:hanging="360"/>
      </w:pPr>
      <w:rPr>
        <w:rFonts w:ascii="Times New Roman" w:hAnsi="Times New Roman" w:cs="Times New Roman"/>
      </w:rPr>
    </w:lvl>
    <w:lvl w:ilvl="5" w:tplc="0419001B">
      <w:start w:val="1"/>
      <w:numFmt w:val="lowerRoman"/>
      <w:lvlText w:val="%6."/>
      <w:lvlJc w:val="right"/>
      <w:pPr>
        <w:tabs>
          <w:tab w:val="num" w:pos="5029"/>
        </w:tabs>
        <w:ind w:left="5029" w:hanging="180"/>
      </w:pPr>
      <w:rPr>
        <w:rFonts w:ascii="Times New Roman" w:hAnsi="Times New Roman" w:cs="Times New Roman"/>
      </w:rPr>
    </w:lvl>
    <w:lvl w:ilvl="6" w:tplc="0419000F">
      <w:start w:val="1"/>
      <w:numFmt w:val="decimal"/>
      <w:lvlText w:val="%7."/>
      <w:lvlJc w:val="left"/>
      <w:pPr>
        <w:tabs>
          <w:tab w:val="num" w:pos="5749"/>
        </w:tabs>
        <w:ind w:left="5749" w:hanging="360"/>
      </w:pPr>
      <w:rPr>
        <w:rFonts w:ascii="Times New Roman" w:hAnsi="Times New Roman" w:cs="Times New Roman"/>
      </w:rPr>
    </w:lvl>
    <w:lvl w:ilvl="7" w:tplc="04190019">
      <w:start w:val="1"/>
      <w:numFmt w:val="lowerLetter"/>
      <w:lvlText w:val="%8."/>
      <w:lvlJc w:val="left"/>
      <w:pPr>
        <w:tabs>
          <w:tab w:val="num" w:pos="6469"/>
        </w:tabs>
        <w:ind w:left="6469" w:hanging="360"/>
      </w:pPr>
      <w:rPr>
        <w:rFonts w:ascii="Times New Roman" w:hAnsi="Times New Roman" w:cs="Times New Roman"/>
      </w:rPr>
    </w:lvl>
    <w:lvl w:ilvl="8" w:tplc="0419001B">
      <w:start w:val="1"/>
      <w:numFmt w:val="lowerRoman"/>
      <w:lvlText w:val="%9."/>
      <w:lvlJc w:val="right"/>
      <w:pPr>
        <w:tabs>
          <w:tab w:val="num" w:pos="7189"/>
        </w:tabs>
        <w:ind w:left="7189" w:hanging="180"/>
      </w:pPr>
      <w:rPr>
        <w:rFonts w:ascii="Times New Roman" w:hAnsi="Times New Roman"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7"/>
  </w:num>
  <w:num w:numId="47">
    <w:abstractNumId w:val="52"/>
  </w:num>
  <w:num w:numId="48">
    <w:abstractNumId w:val="54"/>
  </w:num>
  <w:num w:numId="49">
    <w:abstractNumId w:val="57"/>
  </w:num>
  <w:num w:numId="50">
    <w:abstractNumId w:val="45"/>
  </w:num>
  <w:num w:numId="51">
    <w:abstractNumId w:val="55"/>
  </w:num>
  <w:num w:numId="52">
    <w:abstractNumId w:val="50"/>
  </w:num>
  <w:num w:numId="53">
    <w:abstractNumId w:val="46"/>
  </w:num>
  <w:num w:numId="54">
    <w:abstractNumId w:val="51"/>
  </w:num>
  <w:num w:numId="55">
    <w:abstractNumId w:val="44"/>
  </w:num>
  <w:num w:numId="56">
    <w:abstractNumId w:val="43"/>
  </w:num>
  <w:num w:numId="57">
    <w:abstractNumId w:val="56"/>
  </w:num>
  <w:num w:numId="58">
    <w:abstractNumId w:val="48"/>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470"/>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4D02"/>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E2B"/>
    <w:rsid w:val="005202AA"/>
    <w:rsid w:val="00520D8A"/>
    <w:rsid w:val="00520DB5"/>
    <w:rsid w:val="00522117"/>
    <w:rsid w:val="0052468D"/>
    <w:rsid w:val="00524D1A"/>
    <w:rsid w:val="00525F5A"/>
    <w:rsid w:val="0052614D"/>
    <w:rsid w:val="00527FB6"/>
    <w:rsid w:val="00535170"/>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65443"/>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4052"/>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2E5F"/>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0098"/>
    <w:rsid w:val="00CC139D"/>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953D-2AEF-4B9B-8F9F-01E18CB8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22</Pages>
  <Words>7415</Words>
  <Characters>42267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49583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332</cp:revision>
  <cp:lastPrinted>2009-02-06T08:36:00Z</cp:lastPrinted>
  <dcterms:created xsi:type="dcterms:W3CDTF">2015-03-22T11:10:00Z</dcterms:created>
  <dcterms:modified xsi:type="dcterms:W3CDTF">2015-08-28T10:03:00Z</dcterms:modified>
</cp:coreProperties>
</file>