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1604BA" w:rsidRPr="00B22594" w:rsidRDefault="001604BA" w:rsidP="001604BA">
      <w:pPr>
        <w:ind w:firstLine="510"/>
        <w:jc w:val="center"/>
        <w:rPr>
          <w:b/>
          <w:bCs/>
          <w:sz w:val="28"/>
          <w:szCs w:val="28"/>
          <w:lang w:val="uk-UA"/>
        </w:rPr>
      </w:pPr>
    </w:p>
    <w:p w:rsidR="00F224C0" w:rsidRPr="00F224C0" w:rsidRDefault="00F224C0" w:rsidP="00F224C0">
      <w:pPr>
        <w:suppressAutoHyphens w:val="0"/>
        <w:autoSpaceDE w:val="0"/>
        <w:autoSpaceDN w:val="0"/>
        <w:spacing w:line="360" w:lineRule="auto"/>
        <w:ind w:left="600" w:right="-1" w:hanging="1"/>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УКРАЇНСЬКА АКАДЕМІЯ АГРАРНИХ НАУК</w:t>
      </w:r>
    </w:p>
    <w:p w:rsidR="00F224C0" w:rsidRPr="00F224C0" w:rsidRDefault="00F224C0" w:rsidP="00F224C0">
      <w:pPr>
        <w:suppressAutoHyphens w:val="0"/>
        <w:autoSpaceDE w:val="0"/>
        <w:autoSpaceDN w:val="0"/>
        <w:spacing w:line="360" w:lineRule="auto"/>
        <w:ind w:left="600" w:right="-1" w:hanging="1"/>
        <w:jc w:val="center"/>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ННЦ «ІНСТИТУТ ЕКСПЕРИМЕНТАЛЬНОЇ </w:t>
      </w:r>
      <w:r w:rsidRPr="00F224C0">
        <w:rPr>
          <w:rFonts w:ascii="Times New Roman" w:eastAsia="Times New Roman" w:hAnsi="Times New Roman" w:cs="Times New Roman"/>
          <w:lang w:val="uk-UA" w:eastAsia="ru-RU"/>
        </w:rPr>
        <w:t>І</w:t>
      </w:r>
      <w:r w:rsidRPr="00F224C0">
        <w:rPr>
          <w:rFonts w:ascii="Times New Roman" w:eastAsia="Times New Roman" w:hAnsi="Times New Roman" w:cs="Times New Roman"/>
          <w:lang w:eastAsia="ru-RU"/>
        </w:rPr>
        <w:t xml:space="preserve"> КЛІНІЧНОЇ ВЕТЕРИНАРНОЇ МЕДИЦИНИ»</w:t>
      </w: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keepNext/>
        <w:numPr>
          <w:ilvl w:val="0"/>
          <w:numId w:val="1"/>
        </w:numPr>
        <w:tabs>
          <w:tab w:val="clear" w:pos="708"/>
        </w:tabs>
        <w:suppressAutoHyphens w:val="0"/>
        <w:autoSpaceDE w:val="0"/>
        <w:autoSpaceDN w:val="0"/>
        <w:spacing w:line="360" w:lineRule="auto"/>
        <w:ind w:left="600" w:right="-1" w:hanging="1"/>
        <w:jc w:val="center"/>
        <w:outlineLvl w:val="3"/>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ШУТЧЕНКО</w:t>
      </w:r>
      <w:r w:rsidRPr="00F224C0">
        <w:rPr>
          <w:rFonts w:ascii="Times New Roman" w:eastAsia="Times New Roman" w:hAnsi="Times New Roman" w:cs="Times New Roman"/>
          <w:b/>
          <w:bCs/>
          <w:lang w:eastAsia="ru-RU"/>
        </w:rPr>
        <w:t xml:space="preserve">   </w:t>
      </w:r>
      <w:r w:rsidRPr="00F224C0">
        <w:rPr>
          <w:rFonts w:ascii="Times New Roman" w:eastAsia="Times New Roman" w:hAnsi="Times New Roman" w:cs="Times New Roman"/>
          <w:b/>
          <w:bCs/>
          <w:lang w:val="uk-UA" w:eastAsia="ru-RU"/>
        </w:rPr>
        <w:t>ПАВЛО</w:t>
      </w:r>
      <w:r w:rsidRPr="00F224C0">
        <w:rPr>
          <w:rFonts w:ascii="Times New Roman" w:eastAsia="Times New Roman" w:hAnsi="Times New Roman" w:cs="Times New Roman"/>
          <w:b/>
          <w:bCs/>
          <w:lang w:eastAsia="ru-RU"/>
        </w:rPr>
        <w:t xml:space="preserve">   </w:t>
      </w:r>
      <w:r w:rsidRPr="00F224C0">
        <w:rPr>
          <w:rFonts w:ascii="Times New Roman" w:eastAsia="Times New Roman" w:hAnsi="Times New Roman" w:cs="Times New Roman"/>
          <w:b/>
          <w:bCs/>
          <w:lang w:val="uk-UA" w:eastAsia="ru-RU"/>
        </w:rPr>
        <w:t>ОЛЕКСАНДРОВИЧ</w:t>
      </w: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left="1812" w:right="-55" w:firstLine="3852"/>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УДК 619:579.842.14:611.018:635.5:616–076</w:t>
      </w: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left="840" w:right="-55"/>
        <w:jc w:val="center"/>
        <w:outlineLvl w:val="0"/>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ІМУНОГІСТОХІМІЧНА ДІАГНОСТИКА ТА ОЦІНКА КЛІТИННОГО ІМУНІТЕТУ ПРИ САЛЬМОНЕЛЬОЗІ КУРЕЙ</w:t>
      </w:r>
    </w:p>
    <w:p w:rsidR="00F224C0" w:rsidRPr="00F224C0" w:rsidRDefault="00F224C0" w:rsidP="00F224C0">
      <w:pPr>
        <w:suppressAutoHyphens w:val="0"/>
        <w:autoSpaceDE w:val="0"/>
        <w:autoSpaceDN w:val="0"/>
        <w:spacing w:line="360" w:lineRule="auto"/>
        <w:ind w:right="-1" w:hanging="1"/>
        <w:jc w:val="both"/>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line="360" w:lineRule="auto"/>
        <w:ind w:right="-1" w:firstLine="2040"/>
        <w:jc w:val="both"/>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line="360" w:lineRule="auto"/>
        <w:ind w:right="-1" w:firstLine="288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16.00.03 – ветеринарна мікробіологія та вірусологія</w:t>
      </w:r>
    </w:p>
    <w:p w:rsidR="00F224C0" w:rsidRPr="00F224C0" w:rsidRDefault="00F224C0" w:rsidP="00F224C0">
      <w:pPr>
        <w:keepNext/>
        <w:numPr>
          <w:ilvl w:val="0"/>
          <w:numId w:val="1"/>
        </w:numPr>
        <w:tabs>
          <w:tab w:val="clear" w:pos="708"/>
        </w:tabs>
        <w:suppressAutoHyphens w:val="0"/>
        <w:autoSpaceDE w:val="0"/>
        <w:autoSpaceDN w:val="0"/>
        <w:spacing w:before="240" w:after="60" w:line="360" w:lineRule="auto"/>
        <w:ind w:left="0" w:right="-1" w:hanging="1"/>
        <w:jc w:val="center"/>
        <w:outlineLvl w:val="1"/>
        <w:rPr>
          <w:rFonts w:ascii="Times New Roman" w:eastAsia="Times New Roman" w:hAnsi="Times New Roman" w:cs="Times New Roman"/>
          <w:b/>
          <w:bCs/>
          <w:i/>
          <w:iCs/>
          <w:lang w:val="uk-UA" w:eastAsia="ru-RU"/>
        </w:rPr>
      </w:pPr>
    </w:p>
    <w:p w:rsidR="00F224C0" w:rsidRPr="00F224C0" w:rsidRDefault="00F224C0" w:rsidP="00F224C0">
      <w:pPr>
        <w:keepNext/>
        <w:numPr>
          <w:ilvl w:val="0"/>
          <w:numId w:val="1"/>
        </w:numPr>
        <w:tabs>
          <w:tab w:val="clear" w:pos="708"/>
        </w:tabs>
        <w:suppressAutoHyphens w:val="0"/>
        <w:autoSpaceDE w:val="0"/>
        <w:autoSpaceDN w:val="0"/>
        <w:spacing w:after="60" w:line="360" w:lineRule="auto"/>
        <w:ind w:left="0" w:right="-1" w:hanging="1"/>
        <w:jc w:val="center"/>
        <w:outlineLvl w:val="1"/>
        <w:rPr>
          <w:rFonts w:ascii="Times New Roman" w:eastAsia="Times New Roman" w:hAnsi="Times New Roman" w:cs="Times New Roman"/>
          <w:b/>
          <w:bCs/>
          <w:i/>
          <w:iCs/>
          <w:lang w:val="uk-UA" w:eastAsia="ru-RU"/>
        </w:rPr>
      </w:pPr>
    </w:p>
    <w:p w:rsidR="00F224C0" w:rsidRPr="00F224C0" w:rsidRDefault="00F224C0" w:rsidP="00F224C0">
      <w:pPr>
        <w:keepNext/>
        <w:numPr>
          <w:ilvl w:val="0"/>
          <w:numId w:val="1"/>
        </w:numPr>
        <w:tabs>
          <w:tab w:val="clear" w:pos="708"/>
        </w:tabs>
        <w:suppressAutoHyphens w:val="0"/>
        <w:autoSpaceDE w:val="0"/>
        <w:autoSpaceDN w:val="0"/>
        <w:spacing w:after="60" w:line="360" w:lineRule="auto"/>
        <w:ind w:left="0" w:right="-1" w:hanging="1"/>
        <w:jc w:val="center"/>
        <w:outlineLvl w:val="1"/>
        <w:rPr>
          <w:rFonts w:ascii="Times New Roman" w:eastAsia="Times New Roman" w:hAnsi="Times New Roman" w:cs="Times New Roman"/>
          <w:b/>
          <w:bCs/>
          <w:i/>
          <w:iCs/>
          <w:lang w:val="uk-UA" w:eastAsia="ru-RU"/>
        </w:rPr>
      </w:pP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val="uk-UA" w:eastAsia="ru-RU"/>
        </w:rPr>
      </w:pPr>
    </w:p>
    <w:p w:rsidR="00F224C0" w:rsidRPr="00F224C0" w:rsidRDefault="00F224C0" w:rsidP="00F224C0">
      <w:pPr>
        <w:keepNext/>
        <w:numPr>
          <w:ilvl w:val="0"/>
          <w:numId w:val="1"/>
        </w:numPr>
        <w:tabs>
          <w:tab w:val="clear" w:pos="708"/>
        </w:tabs>
        <w:suppressAutoHyphens w:val="0"/>
        <w:autoSpaceDE w:val="0"/>
        <w:autoSpaceDN w:val="0"/>
        <w:spacing w:after="60" w:line="360" w:lineRule="auto"/>
        <w:ind w:left="0" w:right="-1" w:hanging="1"/>
        <w:jc w:val="center"/>
        <w:outlineLvl w:val="1"/>
        <w:rPr>
          <w:rFonts w:ascii="Times New Roman" w:eastAsia="Times New Roman" w:hAnsi="Times New Roman" w:cs="Times New Roman"/>
          <w:b/>
          <w:bCs/>
          <w:i/>
          <w:iCs/>
          <w:lang w:val="uk-UA" w:eastAsia="ru-RU"/>
        </w:rPr>
      </w:pPr>
      <w:r w:rsidRPr="00F224C0">
        <w:rPr>
          <w:rFonts w:ascii="Times New Roman" w:eastAsia="Times New Roman" w:hAnsi="Times New Roman" w:cs="Times New Roman"/>
          <w:b/>
          <w:bCs/>
          <w:i/>
          <w:iCs/>
          <w:lang w:val="uk-UA" w:eastAsia="ru-RU"/>
        </w:rPr>
        <w:t>АВТОРЕФЕРАТ</w:t>
      </w:r>
    </w:p>
    <w:p w:rsidR="00F224C0" w:rsidRPr="00F224C0" w:rsidRDefault="00F224C0" w:rsidP="00F224C0">
      <w:pPr>
        <w:suppressAutoHyphens w:val="0"/>
        <w:autoSpaceDE w:val="0"/>
        <w:autoSpaceDN w:val="0"/>
        <w:spacing w:line="360" w:lineRule="auto"/>
        <w:ind w:left="1620" w:right="-1" w:firstLine="1212"/>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дисертації на здобуття наукового ступеня</w:t>
      </w: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кандидата ветеринарних наук</w:t>
      </w: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right="-1" w:hanging="1"/>
        <w:jc w:val="center"/>
        <w:rPr>
          <w:rFonts w:ascii="Times New Roman" w:eastAsia="Times New Roman" w:hAnsi="Times New Roman" w:cs="Times New Roman"/>
          <w:lang w:eastAsia="ru-RU"/>
        </w:rPr>
      </w:pPr>
    </w:p>
    <w:p w:rsidR="00F224C0" w:rsidRPr="00F224C0" w:rsidRDefault="00F224C0" w:rsidP="00F224C0">
      <w:pPr>
        <w:keepNext/>
        <w:numPr>
          <w:ilvl w:val="0"/>
          <w:numId w:val="1"/>
        </w:numPr>
        <w:tabs>
          <w:tab w:val="clear" w:pos="708"/>
        </w:tabs>
        <w:suppressAutoHyphens w:val="0"/>
        <w:autoSpaceDE w:val="0"/>
        <w:autoSpaceDN w:val="0"/>
        <w:spacing w:before="240" w:after="60" w:line="360" w:lineRule="auto"/>
        <w:ind w:left="0" w:right="-1" w:hanging="1"/>
        <w:jc w:val="center"/>
        <w:outlineLvl w:val="2"/>
        <w:rPr>
          <w:rFonts w:ascii="Times New Roman" w:eastAsia="Times New Roman" w:hAnsi="Times New Roman" w:cs="Times New Roman"/>
          <w:lang w:eastAsia="ru-RU"/>
        </w:rPr>
      </w:pPr>
      <w:r w:rsidRPr="00F224C0">
        <w:rPr>
          <w:rFonts w:ascii="Times New Roman" w:eastAsia="Times New Roman" w:hAnsi="Times New Roman" w:cs="Times New Roman"/>
          <w:lang w:val="uk-UA" w:eastAsia="ru-RU"/>
        </w:rPr>
        <w:t>Харків – 2007</w:t>
      </w:r>
    </w:p>
    <w:p w:rsidR="00F224C0" w:rsidRPr="00F224C0" w:rsidRDefault="00F224C0" w:rsidP="00F224C0">
      <w:pPr>
        <w:suppressAutoHyphens w:val="0"/>
        <w:autoSpaceDE w:val="0"/>
        <w:autoSpaceDN w:val="0"/>
        <w:spacing w:line="360" w:lineRule="auto"/>
        <w:ind w:right="-1"/>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br w:type="page"/>
      </w:r>
      <w:r w:rsidRPr="00F224C0">
        <w:rPr>
          <w:rFonts w:ascii="Times New Roman" w:eastAsia="Times New Roman" w:hAnsi="Times New Roman" w:cs="Times New Roman"/>
          <w:lang w:val="uk-UA" w:eastAsia="ru-RU"/>
        </w:rPr>
        <w:lastRenderedPageBreak/>
        <w:t>Дисертацією є рукопис.</w:t>
      </w:r>
    </w:p>
    <w:p w:rsidR="00F224C0" w:rsidRPr="00F224C0" w:rsidRDefault="00F224C0" w:rsidP="00F224C0">
      <w:pPr>
        <w:suppressAutoHyphens w:val="0"/>
        <w:autoSpaceDE w:val="0"/>
        <w:autoSpaceDN w:val="0"/>
        <w:spacing w:after="120"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Робота виконана в Національному науковому центрі «Інститут експериментальної і клінічної ветеринарної медицини».</w:t>
      </w:r>
    </w:p>
    <w:p w:rsidR="00F224C0" w:rsidRPr="00F224C0" w:rsidRDefault="00F224C0" w:rsidP="00F224C0">
      <w:pPr>
        <w:tabs>
          <w:tab w:val="left" w:pos="708"/>
          <w:tab w:val="center" w:pos="4153"/>
          <w:tab w:val="right" w:pos="8306"/>
        </w:tabs>
        <w:suppressAutoHyphens w:val="0"/>
        <w:autoSpaceDE w:val="0"/>
        <w:autoSpaceDN w:val="0"/>
        <w:spacing w:line="360" w:lineRule="auto"/>
        <w:ind w:right="-1" w:hanging="1"/>
        <w:jc w:val="both"/>
        <w:rPr>
          <w:rFonts w:ascii="Times New Roman" w:eastAsia="Times New Roman" w:hAnsi="Times New Roman" w:cs="Times New Roman"/>
          <w:lang w:val="uk-UA" w:eastAsia="ru-RU"/>
        </w:rPr>
      </w:pPr>
    </w:p>
    <w:p w:rsidR="00F224C0" w:rsidRPr="00F224C0" w:rsidRDefault="00F224C0" w:rsidP="00F224C0">
      <w:pPr>
        <w:suppressAutoHyphens w:val="0"/>
        <w:spacing w:before="20" w:line="360" w:lineRule="auto"/>
        <w:ind w:left="1416" w:hanging="1416"/>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Науковий керівник</w:t>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eastAsia="ru-RU"/>
        </w:rPr>
        <w:tab/>
      </w:r>
      <w:r w:rsidRPr="00F224C0">
        <w:rPr>
          <w:rFonts w:ascii="Times New Roman" w:eastAsia="Times New Roman" w:hAnsi="Times New Roman" w:cs="Times New Roman"/>
          <w:lang w:eastAsia="ru-RU"/>
        </w:rPr>
        <w:tab/>
      </w:r>
      <w:r w:rsidRPr="00F224C0">
        <w:rPr>
          <w:rFonts w:ascii="Times New Roman" w:eastAsia="Times New Roman" w:hAnsi="Times New Roman" w:cs="Times New Roman"/>
          <w:lang w:val="uk-UA" w:eastAsia="ru-RU"/>
        </w:rPr>
        <w:t xml:space="preserve">доктор ветеринарних наук, професор, </w:t>
      </w:r>
    </w:p>
    <w:p w:rsidR="00F224C0" w:rsidRPr="00F224C0" w:rsidRDefault="00F224C0" w:rsidP="00F224C0">
      <w:pPr>
        <w:suppressAutoHyphens w:val="0"/>
        <w:spacing w:before="20" w:line="360" w:lineRule="auto"/>
        <w:ind w:left="4247" w:firstLine="709"/>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eastAsia="ru-RU"/>
        </w:rPr>
        <w:t>а</w:t>
      </w:r>
      <w:r w:rsidRPr="00F224C0">
        <w:rPr>
          <w:rFonts w:ascii="Times New Roman" w:eastAsia="Times New Roman" w:hAnsi="Times New Roman" w:cs="Times New Roman"/>
          <w:lang w:val="uk-UA" w:eastAsia="ru-RU"/>
        </w:rPr>
        <w:t xml:space="preserve">кадемік УААН </w:t>
      </w:r>
      <w:r w:rsidRPr="00F224C0">
        <w:rPr>
          <w:rFonts w:ascii="Times New Roman" w:eastAsia="Times New Roman" w:hAnsi="Times New Roman" w:cs="Times New Roman"/>
          <w:b/>
          <w:bCs/>
          <w:lang w:val="uk-UA" w:eastAsia="ru-RU"/>
        </w:rPr>
        <w:t xml:space="preserve">Красніков Г. А., </w:t>
      </w:r>
    </w:p>
    <w:p w:rsidR="00F224C0" w:rsidRPr="00F224C0" w:rsidRDefault="00F224C0" w:rsidP="00F224C0">
      <w:pPr>
        <w:suppressAutoHyphens w:val="0"/>
        <w:spacing w:before="20" w:line="360" w:lineRule="auto"/>
        <w:ind w:left="4247" w:firstLine="709"/>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ННЦ «ІЕКВМ» завідувач лабораторії</w:t>
      </w:r>
    </w:p>
    <w:p w:rsidR="00F224C0" w:rsidRPr="00F224C0" w:rsidRDefault="00F224C0" w:rsidP="00F224C0">
      <w:pPr>
        <w:suppressAutoHyphens w:val="0"/>
        <w:spacing w:before="20" w:line="360" w:lineRule="auto"/>
        <w:ind w:left="4247" w:firstLine="709"/>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патоморфології</w:t>
      </w:r>
    </w:p>
    <w:p w:rsidR="00F224C0" w:rsidRPr="00F224C0" w:rsidRDefault="00F224C0" w:rsidP="00F224C0">
      <w:pPr>
        <w:suppressAutoHyphens w:val="0"/>
        <w:spacing w:before="20" w:line="360" w:lineRule="auto"/>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Офіційні опоненти:</w:t>
      </w:r>
    </w:p>
    <w:p w:rsidR="00F224C0" w:rsidRPr="00F224C0" w:rsidRDefault="00F224C0" w:rsidP="00F224C0">
      <w:pPr>
        <w:suppressAutoHyphens w:val="0"/>
        <w:spacing w:before="20" w:line="360" w:lineRule="auto"/>
        <w:jc w:val="both"/>
        <w:rPr>
          <w:rFonts w:ascii="Times New Roman" w:eastAsia="Times New Roman" w:hAnsi="Times New Roman" w:cs="Times New Roman"/>
          <w:b/>
          <w:bCs/>
          <w:lang w:val="uk-UA" w:eastAsia="ru-RU"/>
        </w:rPr>
      </w:pPr>
    </w:p>
    <w:p w:rsidR="00F224C0" w:rsidRPr="00F224C0" w:rsidRDefault="00F224C0" w:rsidP="00F224C0">
      <w:pPr>
        <w:suppressAutoHyphens w:val="0"/>
        <w:spacing w:before="20"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доктор ветеринарних наук, професор </w:t>
      </w:r>
      <w:r w:rsidRPr="00F224C0">
        <w:rPr>
          <w:rFonts w:ascii="Times New Roman" w:eastAsia="Times New Roman" w:hAnsi="Times New Roman" w:cs="Times New Roman"/>
          <w:b/>
          <w:bCs/>
          <w:lang w:val="uk-UA" w:eastAsia="ru-RU"/>
        </w:rPr>
        <w:t xml:space="preserve">Апатенко Володимир Максимович, </w:t>
      </w:r>
      <w:r w:rsidRPr="00F224C0">
        <w:rPr>
          <w:rFonts w:ascii="Times New Roman" w:eastAsia="Times New Roman" w:hAnsi="Times New Roman" w:cs="Times New Roman"/>
          <w:lang w:val="uk-UA" w:eastAsia="ru-RU"/>
        </w:rPr>
        <w:t>Харківська</w:t>
      </w:r>
      <w:r w:rsidRPr="00F224C0">
        <w:rPr>
          <w:rFonts w:ascii="Times New Roman" w:eastAsia="Times New Roman" w:hAnsi="Times New Roman" w:cs="Times New Roman"/>
          <w:b/>
          <w:bCs/>
          <w:lang w:val="uk-UA" w:eastAsia="ru-RU"/>
        </w:rPr>
        <w:t xml:space="preserve"> </w:t>
      </w:r>
      <w:r w:rsidRPr="00F224C0">
        <w:rPr>
          <w:rFonts w:ascii="Times New Roman" w:eastAsia="Times New Roman" w:hAnsi="Times New Roman" w:cs="Times New Roman"/>
          <w:lang w:val="uk-UA" w:eastAsia="ru-RU"/>
        </w:rPr>
        <w:t>державна зооветеринарна</w:t>
      </w:r>
      <w:r w:rsidRPr="00F224C0">
        <w:rPr>
          <w:rFonts w:ascii="Times New Roman" w:eastAsia="Times New Roman" w:hAnsi="Times New Roman" w:cs="Times New Roman"/>
          <w:b/>
          <w:bCs/>
          <w:lang w:val="uk-UA" w:eastAsia="ru-RU"/>
        </w:rPr>
        <w:t xml:space="preserve"> </w:t>
      </w:r>
      <w:r w:rsidRPr="00F224C0">
        <w:rPr>
          <w:rFonts w:ascii="Times New Roman" w:eastAsia="Times New Roman" w:hAnsi="Times New Roman" w:cs="Times New Roman"/>
          <w:lang w:val="uk-UA" w:eastAsia="ru-RU"/>
        </w:rPr>
        <w:t>академія, професор кафедри мікробіології та біотехнології;</w:t>
      </w:r>
    </w:p>
    <w:p w:rsidR="00F224C0" w:rsidRPr="00F224C0" w:rsidRDefault="00F224C0" w:rsidP="00F224C0">
      <w:pPr>
        <w:suppressAutoHyphens w:val="0"/>
        <w:spacing w:before="20" w:line="360" w:lineRule="auto"/>
        <w:jc w:val="both"/>
        <w:rPr>
          <w:rFonts w:ascii="Times New Roman" w:eastAsia="Times New Roman" w:hAnsi="Times New Roman" w:cs="Times New Roman"/>
          <w:lang w:val="uk-UA" w:eastAsia="ru-RU"/>
        </w:rPr>
      </w:pPr>
    </w:p>
    <w:p w:rsidR="00F224C0" w:rsidRPr="00F224C0" w:rsidRDefault="00F224C0" w:rsidP="00F224C0">
      <w:pPr>
        <w:suppressAutoHyphens w:val="0"/>
        <w:spacing w:line="360" w:lineRule="auto"/>
        <w:ind w:right="-1"/>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доктор ветеринарних наук, професор </w:t>
      </w:r>
      <w:r w:rsidRPr="00F224C0">
        <w:rPr>
          <w:rFonts w:ascii="Times New Roman" w:eastAsia="Times New Roman" w:hAnsi="Times New Roman" w:cs="Times New Roman"/>
          <w:b/>
          <w:bCs/>
          <w:lang w:val="uk-UA" w:eastAsia="ru-RU"/>
        </w:rPr>
        <w:t>Фотіна Тетяна Іванівна</w:t>
      </w:r>
      <w:r w:rsidRPr="00F224C0">
        <w:rPr>
          <w:rFonts w:ascii="Times New Roman" w:eastAsia="Times New Roman" w:hAnsi="Times New Roman" w:cs="Times New Roman"/>
          <w:lang w:val="uk-UA" w:eastAsia="ru-RU"/>
        </w:rPr>
        <w:t>, Сумський національний аграрний університет, перший проректор, завідувач кафедри ветсанекспертизи, мікробіології та зоогігієни.</w:t>
      </w:r>
    </w:p>
    <w:p w:rsidR="00F224C0" w:rsidRPr="00F224C0" w:rsidRDefault="00F224C0" w:rsidP="00F224C0">
      <w:pPr>
        <w:suppressAutoHyphens w:val="0"/>
        <w:spacing w:before="20" w:line="360" w:lineRule="auto"/>
        <w:ind w:left="2123" w:hanging="2123"/>
        <w:jc w:val="both"/>
        <w:rPr>
          <w:rFonts w:ascii="Times New Roman" w:eastAsia="Times New Roman" w:hAnsi="Times New Roman" w:cs="Times New Roman"/>
          <w:b/>
          <w:bCs/>
          <w:lang w:val="uk-UA" w:eastAsia="ru-RU"/>
        </w:rPr>
      </w:pPr>
    </w:p>
    <w:p w:rsidR="00F224C0" w:rsidRPr="00F224C0" w:rsidRDefault="00F224C0" w:rsidP="00F224C0">
      <w:pPr>
        <w:suppressAutoHyphens w:val="0"/>
        <w:spacing w:before="20" w:line="360" w:lineRule="auto"/>
        <w:ind w:left="2123" w:hanging="2123"/>
        <w:jc w:val="both"/>
        <w:rPr>
          <w:rFonts w:ascii="Times New Roman" w:eastAsia="Times New Roman" w:hAnsi="Times New Roman" w:cs="Times New Roman"/>
          <w:b/>
          <w:bCs/>
          <w:lang w:val="uk-UA" w:eastAsia="ru-RU"/>
        </w:rPr>
      </w:pPr>
    </w:p>
    <w:p w:rsidR="00F224C0" w:rsidRPr="00F224C0" w:rsidRDefault="00F224C0" w:rsidP="00F224C0">
      <w:pPr>
        <w:suppressAutoHyphens w:val="0"/>
        <w:autoSpaceDE w:val="0"/>
        <w:autoSpaceDN w:val="0"/>
        <w:spacing w:after="120"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Захист відбудеться “</w:t>
      </w:r>
      <w:r w:rsidRPr="00F224C0">
        <w:rPr>
          <w:rFonts w:ascii="Times New Roman" w:eastAsia="Times New Roman" w:hAnsi="Times New Roman" w:cs="Times New Roman"/>
          <w:lang w:eastAsia="ru-RU"/>
        </w:rPr>
        <w:t>4</w:t>
      </w:r>
      <w:r w:rsidRPr="00F224C0">
        <w:rPr>
          <w:rFonts w:ascii="Times New Roman" w:eastAsia="Times New Roman" w:hAnsi="Times New Roman" w:cs="Times New Roman"/>
          <w:lang w:val="uk-UA" w:eastAsia="ru-RU"/>
        </w:rPr>
        <w:t>” грудня 2007 р. о 9 годині на засіданні спеціалізованої вченої ради Д 64.359.01 в ННЦ «Інститут експериментальної і клінічної ветеринарної медицини»за адресою: 61023, м. Харків, вул. Пушкінська, 83.</w:t>
      </w:r>
    </w:p>
    <w:p w:rsidR="00F224C0" w:rsidRPr="00F224C0" w:rsidRDefault="00F224C0" w:rsidP="00F224C0">
      <w:pPr>
        <w:suppressAutoHyphens w:val="0"/>
        <w:spacing w:line="360" w:lineRule="auto"/>
        <w:ind w:firstLine="709"/>
        <w:jc w:val="both"/>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after="120"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З дисертацією можна ознайомитись у бібліотеці ННЦ «Інститут експериментальної і клінічної ветеринарної медицини» за адресою: 61023, м. Харків, вул. Пушкінська, 83.</w:t>
      </w:r>
    </w:p>
    <w:p w:rsidR="00F224C0" w:rsidRPr="00F224C0" w:rsidRDefault="00F224C0" w:rsidP="00F224C0">
      <w:pPr>
        <w:suppressAutoHyphens w:val="0"/>
        <w:autoSpaceDE w:val="0"/>
        <w:autoSpaceDN w:val="0"/>
        <w:spacing w:after="120" w:line="360" w:lineRule="auto"/>
        <w:ind w:firstLine="72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Автореферат розісланий “26” жовтня 2007 р.</w:t>
      </w: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firstLine="720"/>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Вчений секретар </w:t>
      </w:r>
    </w:p>
    <w:p w:rsidR="00F224C0" w:rsidRPr="00F224C0" w:rsidRDefault="00F224C0" w:rsidP="00F224C0">
      <w:pPr>
        <w:suppressAutoHyphens w:val="0"/>
        <w:autoSpaceDE w:val="0"/>
        <w:autoSpaceDN w:val="0"/>
        <w:spacing w:line="360" w:lineRule="auto"/>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спеціалізованої вченої ради,</w:t>
      </w:r>
    </w:p>
    <w:p w:rsidR="00F224C0" w:rsidRPr="00F224C0" w:rsidRDefault="00F224C0" w:rsidP="00F224C0">
      <w:pPr>
        <w:suppressAutoHyphens w:val="0"/>
        <w:autoSpaceDE w:val="0"/>
        <w:autoSpaceDN w:val="0"/>
        <w:spacing w:line="360" w:lineRule="auto"/>
        <w:jc w:val="both"/>
        <w:rPr>
          <w:rFonts w:ascii="Times New Roman" w:eastAsia="Times New Roman" w:hAnsi="Times New Roman" w:cs="Times New Roman"/>
          <w:lang w:eastAsia="ru-RU"/>
        </w:rPr>
      </w:pPr>
      <w:r w:rsidRPr="00F224C0">
        <w:rPr>
          <w:rFonts w:ascii="Times New Roman" w:eastAsia="Times New Roman" w:hAnsi="Times New Roman" w:cs="Times New Roman"/>
          <w:lang w:val="uk-UA" w:eastAsia="ru-RU"/>
        </w:rPr>
        <w:t>доктор ветеринарних наук, професор</w:t>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val="uk-UA" w:eastAsia="ru-RU"/>
        </w:rPr>
        <w:tab/>
      </w:r>
      <w:r w:rsidRPr="00F224C0">
        <w:rPr>
          <w:rFonts w:ascii="Times New Roman" w:eastAsia="Times New Roman" w:hAnsi="Times New Roman" w:cs="Times New Roman"/>
          <w:lang w:eastAsia="ru-RU"/>
        </w:rPr>
        <w:tab/>
      </w:r>
      <w:r w:rsidRPr="00F224C0">
        <w:rPr>
          <w:rFonts w:ascii="Times New Roman" w:eastAsia="Times New Roman" w:hAnsi="Times New Roman" w:cs="Times New Roman"/>
          <w:lang w:eastAsia="ru-RU"/>
        </w:rPr>
        <w:tab/>
      </w:r>
      <w:r w:rsidRPr="00F224C0">
        <w:rPr>
          <w:rFonts w:ascii="Times New Roman" w:eastAsia="Times New Roman" w:hAnsi="Times New Roman" w:cs="Times New Roman"/>
          <w:lang w:val="uk-UA" w:eastAsia="ru-RU"/>
        </w:rPr>
        <w:t xml:space="preserve">А.Ф. Бабкін </w:t>
      </w:r>
    </w:p>
    <w:p w:rsidR="00F224C0" w:rsidRPr="00F224C0" w:rsidRDefault="00F224C0" w:rsidP="00F224C0">
      <w:pPr>
        <w:suppressAutoHyphens w:val="0"/>
        <w:autoSpaceDE w:val="0"/>
        <w:autoSpaceDN w:val="0"/>
        <w:spacing w:line="360" w:lineRule="auto"/>
        <w:jc w:val="both"/>
        <w:rPr>
          <w:rFonts w:ascii="Times New Roman" w:eastAsia="Times New Roman" w:hAnsi="Times New Roman" w:cs="Times New Roman"/>
          <w:lang w:eastAsia="ru-RU"/>
        </w:rPr>
      </w:pPr>
    </w:p>
    <w:p w:rsidR="00F224C0" w:rsidRPr="00F224C0" w:rsidRDefault="00F224C0" w:rsidP="00F224C0">
      <w:pPr>
        <w:suppressAutoHyphens w:val="0"/>
        <w:autoSpaceDE w:val="0"/>
        <w:autoSpaceDN w:val="0"/>
        <w:spacing w:line="360" w:lineRule="auto"/>
        <w:ind w:firstLine="2160"/>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lastRenderedPageBreak/>
        <w:t>ЗАГАЛЬНА  ХАРАКТЕРИСТИКА  РОБОТИ</w:t>
      </w:r>
    </w:p>
    <w:p w:rsidR="00F224C0" w:rsidRPr="00F224C0" w:rsidRDefault="00F224C0" w:rsidP="00F224C0">
      <w:pPr>
        <w:suppressAutoHyphens w:val="0"/>
        <w:autoSpaceDE w:val="0"/>
        <w:autoSpaceDN w:val="0"/>
        <w:spacing w:line="360" w:lineRule="auto"/>
        <w:ind w:firstLine="1620"/>
        <w:jc w:val="both"/>
        <w:rPr>
          <w:rFonts w:ascii="Times New Roman" w:eastAsia="Times New Roman" w:hAnsi="Times New Roman" w:cs="Times New Roman"/>
          <w:b/>
          <w:bCs/>
          <w:lang w:val="uk-UA" w:eastAsia="ru-RU"/>
        </w:rPr>
      </w:pP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Актуальність теми.</w:t>
      </w:r>
      <w:r w:rsidRPr="00F224C0">
        <w:rPr>
          <w:rFonts w:ascii="Times New Roman" w:eastAsia="Times New Roman" w:hAnsi="Times New Roman" w:cs="Times New Roman"/>
          <w:lang w:val="uk-UA" w:eastAsia="ru-RU"/>
        </w:rPr>
        <w:t xml:space="preserve"> Сальмонельоз розглядається як одне з небезпечних захворювань у птахівництві всіх країн світу. Він викликає загибель птиці і є причиною виникнення токсикоінфекцій у людей. Сальмонельози мають велике епізоотичне та епідеміологічне значення. Спостерігається різке </w:t>
      </w:r>
      <w:r w:rsidRPr="00F224C0">
        <w:rPr>
          <w:rFonts w:ascii="Times New Roman" w:eastAsia="Times New Roman" w:hAnsi="Times New Roman" w:cs="Times New Roman"/>
          <w:noProof/>
          <w:lang w:val="uk-UA" w:eastAsia="ru-RU"/>
        </w:rPr>
        <w:t>збільшення</w:t>
      </w:r>
      <w:r w:rsidRPr="00F224C0">
        <w:rPr>
          <w:rFonts w:ascii="Times New Roman" w:eastAsia="Times New Roman" w:hAnsi="Times New Roman" w:cs="Times New Roman"/>
          <w:lang w:val="uk-UA" w:eastAsia="ru-RU"/>
        </w:rPr>
        <w:t xml:space="preserve"> випадків виявлення хазяїноспецифічних сероваріантів сальмонел, виділених від людей і тварин. Одним з основних джерел збудника є хвора птиця, яйця та інші продукти птахівництва. Причинами посилення небезпеки захворювання та можливості зараження людей можуть бути безсимптомне перехворювання на сальмонельоз і хронічне носійство збудників [Ахмедов А. М., 1983; Бессарабов Б. Ф., 1970; </w:t>
      </w:r>
      <w:r w:rsidRPr="00F224C0">
        <w:rPr>
          <w:rFonts w:ascii="Times New Roman" w:eastAsia="Times New Roman" w:hAnsi="Times New Roman" w:cs="Times New Roman"/>
          <w:lang w:val="en-US" w:eastAsia="ru-RU"/>
        </w:rPr>
        <w:t>Wray</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C</w:t>
      </w:r>
      <w:r w:rsidRPr="00F224C0">
        <w:rPr>
          <w:rFonts w:ascii="Times New Roman" w:eastAsia="Times New Roman" w:hAnsi="Times New Roman" w:cs="Times New Roman"/>
          <w:lang w:val="uk-UA" w:eastAsia="ru-RU"/>
        </w:rPr>
        <w:t xml:space="preserve">. та ін., 2000; </w:t>
      </w:r>
      <w:r w:rsidRPr="00F224C0">
        <w:rPr>
          <w:rFonts w:ascii="Times New Roman" w:eastAsia="Times New Roman" w:hAnsi="Times New Roman" w:cs="Times New Roman"/>
          <w:lang w:val="en-US" w:eastAsia="ru-RU"/>
        </w:rPr>
        <w:t>Van</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Immerseel</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F</w:t>
      </w:r>
      <w:r w:rsidRPr="00F224C0">
        <w:rPr>
          <w:rFonts w:ascii="Times New Roman" w:eastAsia="Times New Roman" w:hAnsi="Times New Roman" w:cs="Times New Roman"/>
          <w:lang w:val="uk-UA" w:eastAsia="ru-RU"/>
        </w:rPr>
        <w:t>. та ін., 2001].</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Усе це підкреслює необхідність розробки та впровадження ефективних заходів специфічної профілактики сальмонельозу птиці, які передбачають використання високочутливих і специфічних методів діагностики, застосування активних імунізуючих препаратів, вивчення особливостей стану імунітету за цієї хвороби. Методологічно такі роботи все більше ґрунтуються на використанні імуноферментних методів у мікробіологічних, імунологічних та імуногістохімічних дослідженнях із застосуванням поліклональних та моноклональних антитіл [</w:t>
      </w:r>
      <w:r w:rsidRPr="00F224C0">
        <w:rPr>
          <w:rFonts w:ascii="Times New Roman" w:eastAsia="Times New Roman" w:hAnsi="Times New Roman" w:cs="Times New Roman"/>
          <w:lang w:val="en-US" w:eastAsia="ru-RU"/>
        </w:rPr>
        <w:t>Berndt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xml:space="preserve">., 2001; </w:t>
      </w:r>
      <w:r w:rsidRPr="00F224C0">
        <w:rPr>
          <w:rFonts w:ascii="Times New Roman" w:eastAsia="Times New Roman" w:hAnsi="Times New Roman" w:cs="Times New Roman"/>
          <w:lang w:val="en-US" w:eastAsia="ru-RU"/>
        </w:rPr>
        <w:t>Briggs</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D</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J</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Skeeles</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J</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K</w:t>
      </w:r>
      <w:r w:rsidRPr="00F224C0">
        <w:rPr>
          <w:rFonts w:ascii="Times New Roman" w:eastAsia="Times New Roman" w:hAnsi="Times New Roman" w:cs="Times New Roman"/>
          <w:lang w:val="uk-UA" w:eastAsia="ru-RU"/>
        </w:rPr>
        <w:t xml:space="preserve">., 1983; </w:t>
      </w:r>
      <w:r w:rsidRPr="00F224C0">
        <w:rPr>
          <w:rFonts w:ascii="Times New Roman" w:eastAsia="Times New Roman" w:hAnsi="Times New Roman" w:cs="Times New Roman"/>
          <w:lang w:val="en-US" w:eastAsia="ru-RU"/>
        </w:rPr>
        <w:t>Carlsson</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H</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E</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Lindberg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A</w:t>
      </w:r>
      <w:r w:rsidRPr="00F224C0">
        <w:rPr>
          <w:rFonts w:ascii="Times New Roman" w:eastAsia="Times New Roman" w:hAnsi="Times New Roman" w:cs="Times New Roman"/>
          <w:lang w:val="uk-UA" w:eastAsia="ru-RU"/>
        </w:rPr>
        <w:t xml:space="preserve">., 1972; </w:t>
      </w:r>
      <w:r w:rsidRPr="00F224C0">
        <w:rPr>
          <w:rFonts w:ascii="Times New Roman" w:eastAsia="Times New Roman" w:hAnsi="Times New Roman" w:cs="Times New Roman"/>
          <w:lang w:val="en-US" w:eastAsia="ru-RU"/>
        </w:rPr>
        <w:t>Chart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H</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Rowe</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B</w:t>
      </w:r>
      <w:r w:rsidRPr="00F224C0">
        <w:rPr>
          <w:rFonts w:ascii="Times New Roman" w:eastAsia="Times New Roman" w:hAnsi="Times New Roman" w:cs="Times New Roman"/>
          <w:lang w:val="uk-UA" w:eastAsia="ru-RU"/>
        </w:rPr>
        <w:t xml:space="preserve">., 1990; </w:t>
      </w:r>
      <w:r w:rsidRPr="00F224C0">
        <w:rPr>
          <w:rFonts w:ascii="Times New Roman" w:eastAsia="Times New Roman" w:hAnsi="Times New Roman" w:cs="Times New Roman"/>
          <w:lang w:val="en-US" w:eastAsia="ru-RU"/>
        </w:rPr>
        <w:t>Curiale</w:t>
      </w:r>
      <w:r w:rsidRPr="00F224C0">
        <w:rPr>
          <w:rFonts w:ascii="Times New Roman" w:eastAsia="Times New Roman" w:hAnsi="Times New Roman" w:cs="Times New Roman"/>
          <w:lang w:val="uk-UA" w:eastAsia="ru-RU"/>
        </w:rPr>
        <w:t xml:space="preserve"> та ін., 1997; </w:t>
      </w:r>
      <w:r w:rsidRPr="00F224C0">
        <w:rPr>
          <w:rFonts w:ascii="Times New Roman" w:eastAsia="Times New Roman" w:hAnsi="Times New Roman" w:cs="Times New Roman"/>
          <w:lang w:val="en-US" w:eastAsia="ru-RU"/>
        </w:rPr>
        <w:t>Fierens</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H</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Huygebaert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xml:space="preserve">., 1996; </w:t>
      </w:r>
      <w:r w:rsidRPr="00F224C0">
        <w:rPr>
          <w:rFonts w:ascii="Times New Roman" w:eastAsia="Times New Roman" w:hAnsi="Times New Roman" w:cs="Times New Roman"/>
          <w:lang w:val="en-US" w:eastAsia="ru-RU"/>
        </w:rPr>
        <w:t>Giese</w:t>
      </w:r>
      <w:r w:rsidRPr="00F224C0">
        <w:rPr>
          <w:rFonts w:ascii="Times New Roman" w:eastAsia="Times New Roman" w:hAnsi="Times New Roman" w:cs="Times New Roman"/>
          <w:lang w:val="uk-UA" w:eastAsia="ru-RU"/>
        </w:rPr>
        <w:t> </w:t>
      </w:r>
      <w:r w:rsidRPr="00F224C0">
        <w:rPr>
          <w:rFonts w:ascii="Times New Roman" w:eastAsia="Times New Roman" w:hAnsi="Times New Roman" w:cs="Times New Roman"/>
          <w:lang w:val="en-US" w:eastAsia="ru-RU"/>
        </w:rPr>
        <w:t>J</w:t>
      </w:r>
      <w:r w:rsidRPr="00F224C0">
        <w:rPr>
          <w:rFonts w:ascii="Times New Roman" w:eastAsia="Times New Roman" w:hAnsi="Times New Roman" w:cs="Times New Roman"/>
          <w:lang w:val="uk-UA" w:eastAsia="ru-RU"/>
        </w:rPr>
        <w:t xml:space="preserve">., 1995; </w:t>
      </w:r>
      <w:r w:rsidRPr="00F224C0">
        <w:rPr>
          <w:rFonts w:ascii="Times New Roman" w:eastAsia="Times New Roman" w:hAnsi="Times New Roman" w:cs="Times New Roman"/>
          <w:lang w:val="en-US" w:eastAsia="ru-RU"/>
        </w:rPr>
        <w:t>Krussel</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L</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Skovgaard</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N</w:t>
      </w:r>
      <w:r w:rsidRPr="00F224C0">
        <w:rPr>
          <w:rFonts w:ascii="Times New Roman" w:eastAsia="Times New Roman" w:hAnsi="Times New Roman" w:cs="Times New Roman"/>
          <w:lang w:val="uk-UA" w:eastAsia="ru-RU"/>
        </w:rPr>
        <w:t xml:space="preserve">., 1993; </w:t>
      </w:r>
      <w:r w:rsidRPr="00F224C0">
        <w:rPr>
          <w:rFonts w:ascii="Times New Roman" w:eastAsia="Times New Roman" w:hAnsi="Times New Roman" w:cs="Times New Roman"/>
          <w:lang w:val="en-US" w:eastAsia="ru-RU"/>
        </w:rPr>
        <w:t>McIlroy</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S</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Cohen</w:t>
      </w:r>
      <w:r w:rsidRPr="00F224C0">
        <w:rPr>
          <w:rFonts w:ascii="Times New Roman" w:eastAsia="Times New Roman" w:hAnsi="Times New Roman" w:cs="Times New Roman"/>
          <w:lang w:val="uk-UA" w:eastAsia="ru-RU"/>
        </w:rPr>
        <w:t> </w:t>
      </w:r>
      <w:r w:rsidRPr="00F224C0">
        <w:rPr>
          <w:rFonts w:ascii="Times New Roman" w:eastAsia="Times New Roman" w:hAnsi="Times New Roman" w:cs="Times New Roman"/>
          <w:lang w:val="en-US" w:eastAsia="ru-RU"/>
        </w:rPr>
        <w:t>N</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D</w:t>
      </w:r>
      <w:r w:rsidRPr="00F224C0">
        <w:rPr>
          <w:rFonts w:ascii="Times New Roman" w:eastAsia="Times New Roman" w:hAnsi="Times New Roman" w:cs="Times New Roman"/>
          <w:lang w:val="uk-UA" w:eastAsia="ru-RU"/>
        </w:rPr>
        <w:t>., 1996].</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Засоби діагностики сальмонельозів, що застосовуються в Україні, ще трудомісткі і є недостатньо чутливими та специфічними, у той час як за кордоном ведуться активні пошуки сучасних методів і вже починають застосовувати навіть у масштабах державних програм такі високочутливі тести, як ПЛР та ІФА. У ряді країн, зокрема в Німеччині, розпочалися роботи з визначення можливості застосування з цією метою імуногістохімічних досліджень [</w:t>
      </w:r>
      <w:r w:rsidRPr="00F224C0">
        <w:rPr>
          <w:rFonts w:ascii="Times New Roman" w:eastAsia="Times New Roman" w:hAnsi="Times New Roman" w:cs="Times New Roman"/>
          <w:lang w:val="en-US" w:eastAsia="ru-RU"/>
        </w:rPr>
        <w:t>Berndt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та ін., 2001]. Отримані дані свідчать про перспективність розвитку таких досліджень, особливо при вивченні динаміки формування імунної відповіді на введення вакцин та після зараження птиці збудниками захворювання. Вони поєднують у собі можливості сучасної гістології та імуногістохімічного аналізу на клітинному або тканинному рівнях і дають можливість диференціювати клітини імунітету у фіксованому матеріалі навіть після тривалого його зберігання [</w:t>
      </w:r>
      <w:r w:rsidRPr="00F224C0">
        <w:rPr>
          <w:rFonts w:ascii="Times New Roman" w:eastAsia="Times New Roman" w:hAnsi="Times New Roman" w:cs="Times New Roman"/>
          <w:lang w:val="en-US" w:eastAsia="ru-RU"/>
        </w:rPr>
        <w:t>Berndt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Methner</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U</w:t>
      </w:r>
      <w:r w:rsidRPr="00F224C0">
        <w:rPr>
          <w:rFonts w:ascii="Times New Roman" w:eastAsia="Times New Roman" w:hAnsi="Times New Roman" w:cs="Times New Roman"/>
          <w:lang w:val="uk-UA" w:eastAsia="ru-RU"/>
        </w:rPr>
        <w:t xml:space="preserve">., 2001; </w:t>
      </w:r>
      <w:r w:rsidRPr="00F224C0">
        <w:rPr>
          <w:rFonts w:ascii="Times New Roman" w:eastAsia="Times New Roman" w:hAnsi="Times New Roman" w:cs="Times New Roman"/>
          <w:lang w:val="en-US" w:eastAsia="ru-RU"/>
        </w:rPr>
        <w:t>Methner</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U</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Barrow</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P</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A</w:t>
      </w:r>
      <w:r w:rsidRPr="00F224C0">
        <w:rPr>
          <w:rFonts w:ascii="Times New Roman" w:eastAsia="Times New Roman" w:hAnsi="Times New Roman" w:cs="Times New Roman"/>
          <w:lang w:val="uk-UA" w:eastAsia="ru-RU"/>
        </w:rPr>
        <w:t>., 1997].</w:t>
      </w:r>
    </w:p>
    <w:p w:rsidR="00F224C0" w:rsidRPr="00F224C0" w:rsidRDefault="00F224C0" w:rsidP="00F224C0">
      <w:pPr>
        <w:suppressAutoHyphens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Завдяки застосуванню методів імуногістохімії з’явилася можливість дослідити формування імунітету в птиці на рівні субпопуляцій Т- і В-лімфоцитів та макрофагів. Особливо інформативним виявилося використання в імуногістохімії методу, що передбачає застосування міченого стрептавідин-біотину при зараженні птиці </w:t>
      </w:r>
      <w:r w:rsidRPr="00F224C0">
        <w:rPr>
          <w:rFonts w:ascii="Times New Roman" w:eastAsia="Times New Roman" w:hAnsi="Times New Roman" w:cs="Times New Roman"/>
          <w:i/>
          <w:iCs/>
          <w:lang w:val="en-GB" w:eastAsia="ru-RU"/>
        </w:rPr>
        <w:t>Salmonella</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GB" w:eastAsia="ru-RU"/>
        </w:rPr>
        <w:t>typhimurium</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Berndt</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Methner</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U</w:t>
      </w:r>
      <w:r w:rsidRPr="00F224C0">
        <w:rPr>
          <w:rFonts w:ascii="Times New Roman" w:eastAsia="Times New Roman" w:hAnsi="Times New Roman" w:cs="Times New Roman"/>
          <w:lang w:val="uk-UA" w:eastAsia="ru-RU"/>
        </w:rPr>
        <w:t xml:space="preserve">., 2001; </w:t>
      </w:r>
      <w:r w:rsidRPr="00F224C0">
        <w:rPr>
          <w:rFonts w:ascii="Times New Roman" w:eastAsia="Times New Roman" w:hAnsi="Times New Roman" w:cs="Times New Roman"/>
          <w:lang w:val="en-US" w:eastAsia="ru-RU"/>
        </w:rPr>
        <w:t>Odilia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L</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 C</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Wijburg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N</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van</w:t>
      </w:r>
      <w:r w:rsidRPr="00F224C0">
        <w:rPr>
          <w:rFonts w:ascii="Times New Roman" w:eastAsia="Times New Roman" w:hAnsi="Times New Roman" w:cs="Times New Roman"/>
          <w:lang w:val="uk-UA" w:eastAsia="ru-RU"/>
        </w:rPr>
        <w:t>, 2002].</w:t>
      </w:r>
      <w:r w:rsidRPr="00F224C0">
        <w:rPr>
          <w:rFonts w:ascii="Times New Roman" w:eastAsia="Times New Roman" w:hAnsi="Times New Roman" w:cs="Times New Roman"/>
          <w:i/>
          <w:iCs/>
          <w:lang w:val="uk-UA" w:eastAsia="ru-RU"/>
        </w:rPr>
        <w:t xml:space="preserve"> </w:t>
      </w:r>
    </w:p>
    <w:p w:rsidR="00F224C0" w:rsidRPr="00F224C0" w:rsidRDefault="00F224C0" w:rsidP="00F224C0">
      <w:pPr>
        <w:suppressAutoHyphens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За своїм принципом методи імуногістохімії ґрунтуються на імуноферментному виявленні антигенів за допомогою специфічних або антивидових сироваток, мічених пероксидазою, у зрізах тканин, мазках, моношарі клітин та ін. [</w:t>
      </w:r>
      <w:r w:rsidRPr="00F224C0">
        <w:rPr>
          <w:rFonts w:ascii="Times New Roman" w:eastAsia="Times New Roman" w:hAnsi="Times New Roman" w:cs="Times New Roman"/>
          <w:lang w:val="en-US" w:eastAsia="ru-RU"/>
        </w:rPr>
        <w:t>Hsu</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S</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M</w:t>
      </w:r>
      <w:r w:rsidRPr="00F224C0">
        <w:rPr>
          <w:rFonts w:ascii="Times New Roman" w:eastAsia="Times New Roman" w:hAnsi="Times New Roman" w:cs="Times New Roman"/>
          <w:lang w:val="uk-UA" w:eastAsia="ru-RU"/>
        </w:rPr>
        <w:t xml:space="preserve">., .Raine L., 1981; </w:t>
      </w:r>
      <w:r w:rsidRPr="00F224C0">
        <w:rPr>
          <w:rFonts w:ascii="Times New Roman" w:eastAsia="Times New Roman" w:hAnsi="Times New Roman" w:cs="Times New Roman"/>
          <w:lang w:val="en-US" w:eastAsia="ru-RU"/>
        </w:rPr>
        <w:t>Hsu</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S</w:t>
      </w:r>
      <w:r w:rsidRPr="00F224C0">
        <w:rPr>
          <w:rFonts w:ascii="Times New Roman" w:eastAsia="Times New Roman" w:hAnsi="Times New Roman" w:cs="Times New Roman"/>
          <w:lang w:val="uk-UA" w:eastAsia="ru-RU"/>
        </w:rPr>
        <w:t>-</w:t>
      </w:r>
      <w:r w:rsidRPr="00F224C0">
        <w:rPr>
          <w:rFonts w:ascii="Times New Roman" w:eastAsia="Times New Roman" w:hAnsi="Times New Roman" w:cs="Times New Roman"/>
          <w:lang w:val="en-US" w:eastAsia="ru-RU"/>
        </w:rPr>
        <w:t>M</w:t>
      </w:r>
      <w:r w:rsidRPr="00F224C0">
        <w:rPr>
          <w:rFonts w:ascii="Times New Roman" w:eastAsia="Times New Roman" w:hAnsi="Times New Roman" w:cs="Times New Roman"/>
          <w:lang w:val="uk-UA" w:eastAsia="ru-RU"/>
        </w:rPr>
        <w:t xml:space="preserve">., Raine L., </w:t>
      </w:r>
      <w:r w:rsidRPr="00F224C0">
        <w:rPr>
          <w:rFonts w:ascii="Times New Roman" w:eastAsia="Times New Roman" w:hAnsi="Times New Roman" w:cs="Times New Roman"/>
          <w:lang w:val="en-US" w:eastAsia="ru-RU"/>
        </w:rPr>
        <w:t>Fanger</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H</w:t>
      </w:r>
      <w:r w:rsidRPr="00F224C0">
        <w:rPr>
          <w:rFonts w:ascii="Times New Roman" w:eastAsia="Times New Roman" w:hAnsi="Times New Roman" w:cs="Times New Roman"/>
          <w:lang w:val="uk-UA" w:eastAsia="ru-RU"/>
        </w:rPr>
        <w:t xml:space="preserve">., 1981]. </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В Україні такі дослідження не здійснювалися. За даними літератури, ці методи в нас ще не знайшли достатнього визнання та застосування, хоча мають значну перспективу у ветеринарній медицині, і на відміну від існуючих методів ІФА, їх можна здійснювати, використовуючи фіксований патологічний матеріал.</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Звґязок роботи з науковими програмами, планами, темами. </w:t>
      </w:r>
      <w:r w:rsidRPr="00F224C0">
        <w:rPr>
          <w:rFonts w:ascii="Times New Roman" w:eastAsia="Times New Roman" w:hAnsi="Times New Roman" w:cs="Times New Roman"/>
          <w:lang w:val="uk-UA" w:eastAsia="ru-RU"/>
        </w:rPr>
        <w:t>Тема дисертаційної роботи є частиною досліджень, передбачених тематичним планом ІЕКВМ УААН: «Дослідити механізми формування клітинного і гуморального імунітету з метою удосконалення методів діагностики, профілактики і лікування заразних хвороб тварин», 2001–2005 рр, № державної реєстрації 010101</w:t>
      </w:r>
      <w:r w:rsidRPr="00F224C0">
        <w:rPr>
          <w:rFonts w:ascii="Times New Roman" w:eastAsia="Times New Roman" w:hAnsi="Times New Roman" w:cs="Times New Roman"/>
          <w:lang w:val="en-US" w:eastAsia="ru-RU"/>
        </w:rPr>
        <w:t>U</w:t>
      </w:r>
      <w:r w:rsidRPr="00F224C0">
        <w:rPr>
          <w:rFonts w:ascii="Times New Roman" w:eastAsia="Times New Roman" w:hAnsi="Times New Roman" w:cs="Times New Roman"/>
          <w:lang w:val="uk-UA" w:eastAsia="ru-RU"/>
        </w:rPr>
        <w:t>001615 та «Вивчити фундаментальні та прикладні основи формування імунітету і регуляції метаболізму з метою створення нових методів діагностики, лікування та профілактики хвороб тварин, 2006–2010 рр», № державної реєстрації 0106</w:t>
      </w:r>
      <w:r w:rsidRPr="00F224C0">
        <w:rPr>
          <w:rFonts w:ascii="Times New Roman" w:eastAsia="Times New Roman" w:hAnsi="Times New Roman" w:cs="Times New Roman"/>
          <w:lang w:val="en-US" w:eastAsia="ru-RU"/>
        </w:rPr>
        <w:t>U</w:t>
      </w:r>
      <w:r w:rsidRPr="00F224C0">
        <w:rPr>
          <w:rFonts w:ascii="Times New Roman" w:eastAsia="Times New Roman" w:hAnsi="Times New Roman" w:cs="Times New Roman"/>
          <w:lang w:val="uk-UA" w:eastAsia="ru-RU"/>
        </w:rPr>
        <w:t>000339.</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Мета роботи.</w:t>
      </w:r>
      <w:r w:rsidRPr="00F224C0">
        <w:rPr>
          <w:rFonts w:ascii="Times New Roman" w:eastAsia="Times New Roman" w:hAnsi="Times New Roman" w:cs="Times New Roman"/>
          <w:lang w:val="uk-UA" w:eastAsia="ru-RU"/>
        </w:rPr>
        <w:t xml:space="preserve"> Метою роботи було визначити за допомогою сучасних імуногістохімічних методів зміни кількості основних кластерів імунокомпетентних клітин селезінки та бурси Фабриціуса в динаміці формування імунітету в курчат після зараження сальмонелами або щеплення їх атенуйованою вакциною проти цього захворювання, розробити методику імуногістохімічного виявлення сальмонельозних антигенів, місць їхньої локалізації в органах курчат, заражених сальмонельозом.</w:t>
      </w:r>
    </w:p>
    <w:p w:rsidR="00F224C0" w:rsidRPr="00F224C0" w:rsidRDefault="00F224C0" w:rsidP="00F224C0">
      <w:pPr>
        <w:keepNext/>
        <w:numPr>
          <w:ilvl w:val="0"/>
          <w:numId w:val="1"/>
        </w:numPr>
        <w:tabs>
          <w:tab w:val="clear" w:pos="708"/>
        </w:tabs>
        <w:suppressAutoHyphens w:val="0"/>
        <w:spacing w:line="360" w:lineRule="auto"/>
        <w:ind w:left="0" w:firstLine="709"/>
        <w:outlineLvl w:val="6"/>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Задачі досліджень.</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Для досягнення зазначеної мети були визначені такі завдання:</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вивчити зміни вмісту найбільш показових кластерів клітин імунітету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IgA</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у бурсі Фабриціуса та селезінці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 курчат у період між 1-ю та 51-ю добами життя;</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здійснити порівняльні імуногістохімічні дослідження вмісту клітин показових кластерів при формуванні імунітету в курчат різного віку після зараження епізоотичним штамом </w:t>
      </w:r>
      <w:r w:rsidRPr="00F224C0">
        <w:rPr>
          <w:rFonts w:ascii="Times New Roman" w:eastAsia="Times New Roman" w:hAnsi="Times New Roman" w:cs="Times New Roman"/>
          <w:i/>
          <w:iCs/>
          <w:lang w:val="en-US" w:eastAsia="ru-RU"/>
        </w:rPr>
        <w:t>Salmonella</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enteritidis</w:t>
      </w:r>
      <w:r w:rsidRPr="00F224C0">
        <w:rPr>
          <w:rFonts w:ascii="Times New Roman" w:eastAsia="Times New Roman" w:hAnsi="Times New Roman" w:cs="Times New Roman"/>
          <w:lang w:val="uk-UA" w:eastAsia="ru-RU"/>
        </w:rPr>
        <w:t>;</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визначити динаміку вмісту показових кластерів імунітету в курчат різного віку після щеплення атенуйованою вакциною проти сальмонельозу </w:t>
      </w:r>
      <w:r w:rsidRPr="00F224C0">
        <w:rPr>
          <w:rFonts w:ascii="Times New Roman" w:eastAsia="Times New Roman" w:hAnsi="Times New Roman" w:cs="Times New Roman"/>
          <w:i/>
          <w:iCs/>
          <w:lang w:val="en-US" w:eastAsia="ru-RU"/>
        </w:rPr>
        <w:t>Salmovac</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SE</w:t>
      </w:r>
      <w:r w:rsidRPr="00F224C0">
        <w:rPr>
          <w:rFonts w:ascii="Times New Roman" w:eastAsia="Times New Roman" w:hAnsi="Times New Roman" w:cs="Times New Roman"/>
          <w:lang w:val="uk-UA" w:eastAsia="ru-RU"/>
        </w:rPr>
        <w:t>;</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вивчити динаміку зміни мас тимуса, бурси Фабриціуса, селезінки, печінки та залозистого шлунка після орального та внутрішньом’язового зараження курчат </w:t>
      </w:r>
      <w:r w:rsidRPr="00F224C0">
        <w:rPr>
          <w:rFonts w:ascii="Times New Roman" w:eastAsia="Times New Roman" w:hAnsi="Times New Roman" w:cs="Times New Roman"/>
          <w:i/>
          <w:iCs/>
          <w:lang w:val="en-US" w:eastAsia="ru-RU"/>
        </w:rPr>
        <w:t>Salmonella</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enteritidis</w:t>
      </w:r>
      <w:r w:rsidRPr="00F224C0">
        <w:rPr>
          <w:rFonts w:ascii="Times New Roman" w:eastAsia="Times New Roman" w:hAnsi="Times New Roman" w:cs="Times New Roman"/>
          <w:lang w:val="uk-UA" w:eastAsia="ru-RU"/>
        </w:rPr>
        <w:t>;</w:t>
      </w:r>
    </w:p>
    <w:p w:rsidR="00F224C0" w:rsidRPr="00F224C0" w:rsidRDefault="00F224C0" w:rsidP="00F224C0">
      <w:pPr>
        <w:tabs>
          <w:tab w:val="left" w:pos="6726"/>
        </w:tabs>
        <w:suppressAutoHyphens w:val="0"/>
        <w:autoSpaceDE w:val="0"/>
        <w:autoSpaceDN w:val="0"/>
        <w:spacing w:line="360" w:lineRule="auto"/>
        <w:ind w:right="-55" w:firstLine="513"/>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опрацювати методику двохетапного імуногістохімічного визначення сальмонельозного антигена в зрізах органів і тканин;</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 здійснити імуногістохімічне визначення місць розподілу та кількості сальмонельозного антигена в тканинах та органах імунітету курчат після орального та внутрішньом’язового зараження курчат сальмонелами.</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Об’єкт дослідження: </w:t>
      </w:r>
      <w:r w:rsidRPr="00F224C0">
        <w:rPr>
          <w:rFonts w:ascii="Times New Roman" w:eastAsia="Times New Roman" w:hAnsi="Times New Roman" w:cs="Times New Roman"/>
          <w:lang w:val="uk-UA" w:eastAsia="ru-RU"/>
        </w:rPr>
        <w:t>сальмонельоз курей та імуногістохімічні методи діагностики цього захворювання.</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Предмет дослідження:</w:t>
      </w:r>
      <w:r w:rsidRPr="00F224C0">
        <w:rPr>
          <w:rFonts w:ascii="Times New Roman" w:eastAsia="Times New Roman" w:hAnsi="Times New Roman" w:cs="Times New Roman"/>
          <w:lang w:val="uk-UA" w:eastAsia="ru-RU"/>
        </w:rPr>
        <w:t xml:space="preserve"> Динаміка формування імунітету, імуногістохімічна індикація кластерів клітин у здорової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щепленої та хворої на сальмонельоз птиці, а також динаміка накопичення та місця розташування сальмонельозного антигена у внутрішніх органах і тканинах курчат.</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Методи досліджень. </w:t>
      </w:r>
      <w:r w:rsidRPr="00F224C0">
        <w:rPr>
          <w:rFonts w:ascii="Times New Roman" w:eastAsia="Times New Roman" w:hAnsi="Times New Roman" w:cs="Times New Roman"/>
          <w:lang w:val="uk-UA" w:eastAsia="ru-RU"/>
        </w:rPr>
        <w:t>Робота виконувалася з використанням серологічних, бактеріологічних, біохімічних, патогістологічних, імуногістохімічних та статистичних методів.</w:t>
      </w:r>
    </w:p>
    <w:p w:rsidR="00F224C0" w:rsidRPr="00F224C0" w:rsidRDefault="00F224C0" w:rsidP="00F224C0">
      <w:pPr>
        <w:tabs>
          <w:tab w:val="left" w:pos="6726"/>
        </w:tabs>
        <w:suppressAutoHyphens w:val="0"/>
        <w:autoSpaceDE w:val="0"/>
        <w:autoSpaceDN w:val="0"/>
        <w:adjustRightInd w:val="0"/>
        <w:spacing w:before="10" w:line="360" w:lineRule="auto"/>
        <w:ind w:right="-55"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Наукова новизна отриманих результатів.</w:t>
      </w:r>
      <w:r w:rsidRPr="00F224C0">
        <w:rPr>
          <w:rFonts w:ascii="Times New Roman" w:eastAsia="Times New Roman" w:hAnsi="Times New Roman" w:cs="Times New Roman"/>
          <w:lang w:val="uk-UA" w:eastAsia="ru-RU"/>
        </w:rPr>
        <w:t xml:space="preserve"> Застосування принципово нового підходу до вивчення особливостей динаміки формування імунітету шляхом імуногістохімічного вивчення відповідальних кластерів клітин дозволяє розпочати новий напрямок його досліджень у ветеринарних наукових закладах України. На підставі здійснених досліджень отримано нові дані про склад кластерів імунітету в курчат різного віку та зміни його при захворюванні і імунізації проти сальмонельозу, встановлені показники кількості та особливості характеру маркованих клітин у нормі, визначені потенціальні можливості імуногістохімії як чутливого і точного методу оцінки стану клітинного (тканинних лімфоцитів, нормальних кілерів, хелперів та макрофагів) і гуморального (клітини, що продукують гама- та секреторні імуноглобуліни) імунітетів. Отримані нові дані про особливості післяінфекційного та післявакцинального імунітетів при сальмонельозі і показана провідна роль фабрицієвої бурси при формуванні імунітету при сальмонельозі. </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Ознаки нового має запропонований метод виявлення сальмонельозного антигена в тканинах та органах хворих та інфікованих тварин, що відкриває подальші можливості експресного виявлення продуктів, контамінованих сальмонелами. Певне значення отримані дані мають і для нормальної гістології, бо склад кластерів клітин імунітету здорової птиці потребує ґрунтовного вивчення.</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Практичне значення одержаних результатів.</w:t>
      </w:r>
      <w:r w:rsidRPr="00F224C0">
        <w:rPr>
          <w:rFonts w:ascii="Times New Roman" w:eastAsia="Times New Roman" w:hAnsi="Times New Roman" w:cs="Times New Roman"/>
          <w:lang w:val="uk-UA" w:eastAsia="ru-RU"/>
        </w:rPr>
        <w:t xml:space="preserve"> У лабораторних умовах розроблено та випробувано спосіб діагностики сальмонельозу курей шляхом імуногістохімічного дослідження продуктів забою птиці на контамінацію сальмонелами та впроваджено рекомендації щодо визначення стану імунітету за вмістом кластерів клітин імунітету при сальмонельозі.</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На підставі результатів експериментальних досліджень розроблено «Методичні рекомендації з імуногістохімічної діагностики та оцінки імунітету при сальмонельозі птиці». Науково-практичну новизну підтверджено патентами: «Спосіб імуногістохімічної діагностики сальмонельозу курей» </w:t>
      </w:r>
      <w:r w:rsidRPr="00F224C0">
        <w:rPr>
          <w:rFonts w:ascii="Times New Roman" w:eastAsia="Times New Roman" w:hAnsi="Times New Roman" w:cs="Times New Roman"/>
          <w:lang w:val="uk-UA" w:eastAsia="ru-RU"/>
        </w:rPr>
        <w:lastRenderedPageBreak/>
        <w:t xml:space="preserve">(27.08.2007, № 25815, </w:t>
      </w:r>
      <w:r w:rsidRPr="00F224C0">
        <w:rPr>
          <w:rFonts w:ascii="Times New Roman" w:eastAsia="Times New Roman" w:hAnsi="Times New Roman" w:cs="Times New Roman"/>
          <w:lang w:val="en-US" w:eastAsia="ru-RU"/>
        </w:rPr>
        <w:t>G</w:t>
      </w:r>
      <w:r w:rsidRPr="00F224C0">
        <w:rPr>
          <w:rFonts w:ascii="Times New Roman" w:eastAsia="Times New Roman" w:hAnsi="Times New Roman" w:cs="Times New Roman"/>
          <w:lang w:val="uk-UA" w:eastAsia="ru-RU"/>
        </w:rPr>
        <w:t>01</w:t>
      </w:r>
      <w:r w:rsidRPr="00F224C0">
        <w:rPr>
          <w:rFonts w:ascii="Times New Roman" w:eastAsia="Times New Roman" w:hAnsi="Times New Roman" w:cs="Times New Roman"/>
          <w:lang w:val="en-US" w:eastAsia="ru-RU"/>
        </w:rPr>
        <w:t>N</w:t>
      </w:r>
      <w:r w:rsidRPr="00F224C0">
        <w:rPr>
          <w:rFonts w:ascii="Times New Roman" w:eastAsia="Times New Roman" w:hAnsi="Times New Roman" w:cs="Times New Roman"/>
          <w:lang w:val="uk-UA" w:eastAsia="ru-RU"/>
        </w:rPr>
        <w:t>33/00) та «Імуногістохімічний спосіб експертизи м’яса і продуктів забою птиці на контамінацію сальмонелами» (03.09.2007, № 26855).</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 xml:space="preserve">Особистий внесок здобувача. </w:t>
      </w:r>
    </w:p>
    <w:p w:rsidR="00F224C0" w:rsidRPr="00F224C0" w:rsidRDefault="00F224C0" w:rsidP="00F224C0">
      <w:pPr>
        <w:widowControl w:val="0"/>
        <w:suppressAutoHyphens w:val="0"/>
        <w:autoSpaceDE w:val="0"/>
        <w:autoSpaceDN w:val="0"/>
        <w:spacing w:line="360" w:lineRule="auto"/>
        <w:ind w:right="-55"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Автор особисто здійснив аналіз літературних даних за темою роботи, обґрунтував методи наукових досліджень; виконав наукові програми, які покладені в основу дисертації, розробив схеми та методи проведення експериментів; виконав експериментальні та аналітичні дослідження, виконав аналіз та узагальнення одержаних результатів; сформулював висновки і практичні рекомендації, провів роботу з підготовки та затвердження патентних документів.</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Бактеріологічні дослідження виконувалися також у лабораторії з вивчення бактеріальних хвороб птиці ННЦ «ІЕКВМ» спільно з к. вет. н. Кіпричем В. В. Серологічні дослідження здійснювалися в лабораторії вивчення хвороб молодняка ННЦ «ІЕКВМ» спільно з к. вет. н. Кольчик О. В. Біохімічні дослідження відбувалися за участю співробітника лабораторії біохімії ННЦ «ІЕКВМ», к. біол. н. Михайлової С. А.</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Апробація результатів дисертації.</w:t>
      </w:r>
      <w:r w:rsidRPr="00F224C0">
        <w:rPr>
          <w:rFonts w:ascii="Times New Roman" w:eastAsia="Times New Roman" w:hAnsi="Times New Roman" w:cs="Times New Roman"/>
          <w:lang w:val="uk-UA" w:eastAsia="ru-RU"/>
        </w:rPr>
        <w:t xml:space="preserve"> Основні положення дисертаційної роботи були повідомлені та обговорені на звітних сесіях вченої ради ННЦ «ІЕКВМ» УААН (м. Харків) у 2002–2006 рр. та науково-практичних конференціях: «Актуальні проблеми ветеринарної медицини в умовах сучасного ведення тваринництва» (АР Крим, м. Феодосія, 2003 р.), ІІІ конференції Всеукраїнського товариства ветеринарних патологів (21 – 23 квітня 2004 р., Харків), Міжнародній науковій конференції «Тварини. Здоров’я. Якість кормів» (15 жовтня 2004 р., Єлгава, Латвія), «Сучасні аспекти розробки маркетингу і виробництва ветеринарних препаратів» (АР Крим, м. Феодосія, 2004 р.), Міжнародній науково</w:t>
      </w:r>
      <w:r w:rsidRPr="00F224C0">
        <w:rPr>
          <w:rFonts w:ascii="Times New Roman" w:eastAsia="Times New Roman" w:hAnsi="Times New Roman" w:cs="Times New Roman"/>
          <w:lang w:val="uk-UA" w:eastAsia="ru-RU"/>
        </w:rPr>
        <w:noBreakHyphen/>
        <w:t>практичній конференції «Современное состояние и актуальные проблемы обеспечения ветеринарного благополучия животноводства» (АР Крим, м. Ялта, 2005 р.), Міжнародній науковій конференції «Актуальные вопросы борьбы с инфекционными заболеваниями в гуманной и ветеринарной медицине» (27 – 30 листопада 2005 р., Харків), Міжнародній науково-виробничій конференції, присвяченій 100-річчю з дня народження професора Авророва А. А. (22 – 23 червня 2006 року, м. Вороніж, РФ), науково-практичній конференції з міжнародною участю: «Актуальні проблеми молекулярної діагностики у ветеринарній медицині та біології» (22–25 травня 2007 р., АР Крим, м. Феодосія).</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Публікації.</w:t>
      </w:r>
      <w:r w:rsidRPr="00F224C0">
        <w:rPr>
          <w:rFonts w:ascii="Times New Roman" w:eastAsia="Times New Roman" w:hAnsi="Times New Roman" w:cs="Times New Roman"/>
          <w:lang w:val="uk-UA" w:eastAsia="ru-RU"/>
        </w:rPr>
        <w:t xml:space="preserve"> Основний зміст дисертаційної роботи викладено у 13 наукових працях, із них 12 опубліковані у фахових виданнях, перелік яких затверджено ВАК України. Отримано 2 патенти.</w:t>
      </w:r>
    </w:p>
    <w:p w:rsidR="00F224C0" w:rsidRPr="00F224C0" w:rsidRDefault="00F224C0" w:rsidP="00F224C0">
      <w:pPr>
        <w:tabs>
          <w:tab w:val="left" w:pos="6726"/>
        </w:tabs>
        <w:suppressAutoHyphens w:val="0"/>
        <w:autoSpaceDE w:val="0"/>
        <w:autoSpaceDN w:val="0"/>
        <w:spacing w:line="360" w:lineRule="auto"/>
        <w:ind w:right="-55" w:firstLine="570"/>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Структура дисертації</w:t>
      </w:r>
      <w:r w:rsidRPr="00F224C0">
        <w:rPr>
          <w:rFonts w:ascii="Times New Roman" w:eastAsia="Times New Roman" w:hAnsi="Times New Roman" w:cs="Times New Roman"/>
          <w:lang w:val="uk-UA" w:eastAsia="ru-RU"/>
        </w:rPr>
        <w:t xml:space="preserve">. Основний зміст дисертації викладено на 125 сторінках друкованого тексту і складається з таких розділів: вступ, огляд літератури, матеріали та методи досліджень, результати власних досліджень, аналіз та узагальнення одержаних результатів, практичні пропозиції, висновки, список використаної літератури, додатки. Роботу ілюстровано 45 рисунками </w:t>
      </w:r>
      <w:r w:rsidRPr="00F224C0">
        <w:rPr>
          <w:rFonts w:ascii="Times New Roman" w:eastAsia="Times New Roman" w:hAnsi="Times New Roman" w:cs="Times New Roman"/>
          <w:lang w:val="uk-UA" w:eastAsia="ru-RU"/>
        </w:rPr>
        <w:lastRenderedPageBreak/>
        <w:t>та 6 таблицями. Список використаних літературних джерел містить 223 найменування, серед них 207 праць зарубіжних авторів.</w:t>
      </w:r>
    </w:p>
    <w:p w:rsidR="00F224C0" w:rsidRPr="00F224C0" w:rsidRDefault="00F224C0" w:rsidP="00F224C0">
      <w:pPr>
        <w:tabs>
          <w:tab w:val="left" w:pos="6726"/>
        </w:tabs>
        <w:suppressAutoHyphens w:val="0"/>
        <w:autoSpaceDE w:val="0"/>
        <w:autoSpaceDN w:val="0"/>
        <w:spacing w:line="360" w:lineRule="auto"/>
        <w:ind w:right="-5" w:firstLine="720"/>
        <w:jc w:val="both"/>
        <w:rPr>
          <w:rFonts w:ascii="Times New Roman" w:eastAsia="Times New Roman" w:hAnsi="Times New Roman" w:cs="Times New Roman"/>
          <w:u w:val="single"/>
          <w:lang w:eastAsia="ru-RU"/>
        </w:rPr>
      </w:pPr>
    </w:p>
    <w:p w:rsidR="00F224C0" w:rsidRPr="00F224C0" w:rsidRDefault="00F224C0" w:rsidP="00F224C0">
      <w:pPr>
        <w:tabs>
          <w:tab w:val="left" w:pos="6726"/>
        </w:tabs>
        <w:suppressAutoHyphens w:val="0"/>
        <w:autoSpaceDE w:val="0"/>
        <w:autoSpaceDN w:val="0"/>
        <w:spacing w:line="360" w:lineRule="auto"/>
        <w:ind w:left="1416" w:right="-5" w:firstLine="1284"/>
        <w:jc w:val="both"/>
        <w:rPr>
          <w:rFonts w:ascii="Times New Roman" w:eastAsia="Times New Roman" w:hAnsi="Times New Roman" w:cs="Times New Roman"/>
          <w:b/>
          <w:bCs/>
          <w:lang w:eastAsia="ru-RU"/>
        </w:rPr>
      </w:pPr>
      <w:r w:rsidRPr="00F224C0">
        <w:rPr>
          <w:rFonts w:ascii="Times New Roman" w:eastAsia="Times New Roman" w:hAnsi="Times New Roman" w:cs="Times New Roman"/>
          <w:b/>
          <w:bCs/>
          <w:lang w:val="uk-UA" w:eastAsia="ru-RU"/>
        </w:rPr>
        <w:t>МАТЕРІАЛИ ТА МЕТОДИ ДОСЛІДЖЕНЬ</w:t>
      </w:r>
    </w:p>
    <w:p w:rsidR="00F224C0" w:rsidRPr="00F224C0" w:rsidRDefault="00F224C0" w:rsidP="00F224C0">
      <w:pPr>
        <w:tabs>
          <w:tab w:val="left" w:pos="6726"/>
        </w:tabs>
        <w:suppressAutoHyphens w:val="0"/>
        <w:autoSpaceDE w:val="0"/>
        <w:autoSpaceDN w:val="0"/>
        <w:spacing w:line="360" w:lineRule="auto"/>
        <w:ind w:left="1416" w:right="-5" w:firstLine="1284"/>
        <w:jc w:val="both"/>
        <w:rPr>
          <w:rFonts w:ascii="Times New Roman" w:eastAsia="Times New Roman" w:hAnsi="Times New Roman" w:cs="Times New Roman"/>
          <w:b/>
          <w:bCs/>
          <w:lang w:eastAsia="ru-RU"/>
        </w:rPr>
      </w:pP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Наукові дослідження виконувалися протягом 2002–2006 років на базі лабораторії патоморфології, лабораторії з вивчення бактеріальних хвороб птиці, лабораторії біохімії та лабораторії вивчення хвороб молодняку Національного наукового центру “Інститут експериментальної і клінічної ветеринарної медицини”, м. Харків, Україна. При цьому застосовували методи гістологічних, імуногістохімічних, бактеріологічних, серологічних, імунологічних, біохімічних та статистичних досліджень.</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Виготовлення гістологічних зрізів із зразків внутрішніх, зокрема імунокомпетентних органів і тканин, здійснювали за загальноприйнятими в гістології методами, зокрема – із застосуванням кріостату та низькотемпературного заморожування. </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Динаміку імунітету курчат після зараження та щеплення проти сальмонельозу вивчали за допомогою імуногістохімічного методу міченого стрептавідин-біотину за </w:t>
      </w:r>
      <w:r w:rsidRPr="00F224C0">
        <w:rPr>
          <w:rFonts w:ascii="Times New Roman" w:eastAsia="Times New Roman" w:hAnsi="Times New Roman" w:cs="Times New Roman"/>
          <w:lang w:val="en-US" w:eastAsia="ru-RU"/>
        </w:rPr>
        <w:t>Giorno</w:t>
      </w:r>
      <w:r w:rsidRPr="00F224C0">
        <w:rPr>
          <w:rFonts w:ascii="Times New Roman" w:eastAsia="Times New Roman" w:hAnsi="Times New Roman" w:cs="Times New Roman"/>
          <w:lang w:val="uk-UA" w:eastAsia="ru-RU"/>
        </w:rPr>
        <w:t xml:space="preserve">. Згідно з цим методом, отримані кріостатні зрізи інкубували з первинними моноклональними антитілами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і в подальшому обробляли біотинованими антимишиними та антикролячими антитілами кози. Антитіла, зв’язані з ферментом після інкубації в стрептавідині, кон’югованому з пероксидазою хрону, візуалізували шляхом додавання 3,3’-діамінобензидину тетрагідрохлориду. Далі зрізи фарбували гематоксиліном.</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Імуногістохімічне визначення кількості клітинних субпопуляцій Т-лімфоцитів, В-лімфоцитів та макрофагів у органах (селезінка і бурса Фабриціуса) здійснювали за допомогою комп’ютерної програми “</w:t>
      </w:r>
      <w:r w:rsidRPr="00F224C0">
        <w:rPr>
          <w:rFonts w:ascii="Times New Roman" w:eastAsia="Times New Roman" w:hAnsi="Times New Roman" w:cs="Times New Roman"/>
          <w:lang w:eastAsia="ru-RU"/>
        </w:rPr>
        <w:t>AnalySIS</w:t>
      </w:r>
      <w:r w:rsidRPr="00F224C0">
        <w:rPr>
          <w:rFonts w:ascii="Times New Roman" w:eastAsia="Times New Roman" w:hAnsi="Times New Roman" w:cs="Times New Roman"/>
          <w:lang w:val="uk-UA" w:eastAsia="ru-RU"/>
        </w:rPr>
        <w:t xml:space="preserve">”. </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Визначення антигенів сальмонел проводили за допомогою двохетапного методу. Для отримання компонентів дослідження виконували гіперімунізацію кролів за оригінальною методикою лабораторії з вивчення бактеріальних хвороб птиці.</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Виділення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із сироватки крові на першому етапі здійснювали спиртово-хлороформним методом, а в подальшому із сумарної гама-глобулінової фракції вилучали чистий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за допомогою іонообмінної хроматографії на ДЕАЕ-сефадексі А-50 (згідно з методиками, розробленими в лабораторії біохімії ННЦ “ІЕКВМ”.</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Розчин отриманого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використовувався як поліклональний специфічий імуноглобулін.</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Динаміку накопичення сальмонельозного антигена у внутрішніх, зокрема імунокомпетентних, органах і тканинах вивчали за допомогою імуногістохімічного методу, розробленого співробітниками лабораторії патоморфології з використанням специфічних імуноглобулінів та </w:t>
      </w:r>
      <w:r w:rsidRPr="00F224C0">
        <w:rPr>
          <w:rFonts w:ascii="Times New Roman" w:eastAsia="Times New Roman" w:hAnsi="Times New Roman" w:cs="Times New Roman"/>
          <w:lang w:val="uk-UA" w:eastAsia="ru-RU"/>
        </w:rPr>
        <w:lastRenderedPageBreak/>
        <w:t xml:space="preserve">антивидових козячих глобулінів, мічених пероксидазою водню. </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Імуногістохімічне визначення сальмонельозного антигена в зрізах із внутрішніх та імунокомпетентних органів здійснювали за допомогою комп’ютерної програми “</w:t>
      </w:r>
      <w:r w:rsidRPr="00F224C0">
        <w:rPr>
          <w:rFonts w:ascii="Times New Roman" w:eastAsia="Times New Roman" w:hAnsi="Times New Roman" w:cs="Times New Roman"/>
          <w:lang w:val="en-US" w:eastAsia="ru-RU"/>
        </w:rPr>
        <w:t>Adobe</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Photoshop</w:t>
      </w:r>
      <w:r w:rsidRPr="00F224C0">
        <w:rPr>
          <w:rFonts w:ascii="Times New Roman" w:eastAsia="Times New Roman" w:hAnsi="Times New Roman" w:cs="Times New Roman"/>
          <w:lang w:val="uk-UA" w:eastAsia="ru-RU"/>
        </w:rPr>
        <w:t xml:space="preserve"> 5,0”. У зрізах підраховували відсоткове співвідношення позитивно фарбованих ділянок або окремих скупчень коричневого кольору до всієї незабарвленої площі зрізу.</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Статистичну обробку одержаних даних проводили за допомогою комп’ютерної програми </w:t>
      </w:r>
      <w:r w:rsidRPr="00F224C0">
        <w:rPr>
          <w:rFonts w:ascii="Times New Roman" w:eastAsia="Times New Roman" w:hAnsi="Times New Roman" w:cs="Times New Roman"/>
          <w:lang w:val="en-US" w:eastAsia="ru-RU"/>
        </w:rPr>
        <w:t>EXCEL</w:t>
      </w:r>
      <w:r w:rsidRPr="00F224C0">
        <w:rPr>
          <w:rFonts w:ascii="Times New Roman" w:eastAsia="Times New Roman" w:hAnsi="Times New Roman" w:cs="Times New Roman"/>
          <w:lang w:eastAsia="ru-RU"/>
        </w:rPr>
        <w:t>.</w:t>
      </w:r>
    </w:p>
    <w:p w:rsidR="00F224C0" w:rsidRPr="00F224C0" w:rsidRDefault="00F224C0" w:rsidP="00F224C0">
      <w:pPr>
        <w:widowControl w:val="0"/>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Усього в дослідах було використано 219 курчат добового віку та 5 кролів живою вагою до 2-х кілограмів.</w:t>
      </w:r>
    </w:p>
    <w:p w:rsidR="00F224C0" w:rsidRPr="00F224C0" w:rsidRDefault="00F224C0" w:rsidP="00F224C0">
      <w:pPr>
        <w:tabs>
          <w:tab w:val="left" w:pos="6726"/>
        </w:tabs>
        <w:suppressAutoHyphens w:val="0"/>
        <w:autoSpaceDE w:val="0"/>
        <w:autoSpaceDN w:val="0"/>
        <w:adjustRightInd w:val="0"/>
        <w:spacing w:before="10" w:line="360" w:lineRule="auto"/>
        <w:ind w:right="-55" w:firstLine="2700"/>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 xml:space="preserve"> </w:t>
      </w:r>
    </w:p>
    <w:p w:rsidR="00F224C0" w:rsidRPr="00F224C0" w:rsidRDefault="00F224C0" w:rsidP="00F224C0">
      <w:pPr>
        <w:tabs>
          <w:tab w:val="left" w:pos="6726"/>
        </w:tabs>
        <w:suppressAutoHyphens w:val="0"/>
        <w:autoSpaceDE w:val="0"/>
        <w:autoSpaceDN w:val="0"/>
        <w:adjustRightInd w:val="0"/>
        <w:spacing w:before="10" w:line="360" w:lineRule="auto"/>
        <w:ind w:right="-55" w:firstLine="2700"/>
        <w:jc w:val="both"/>
        <w:rPr>
          <w:rFonts w:ascii="Times New Roman" w:eastAsia="Times New Roman" w:hAnsi="Times New Roman" w:cs="Times New Roman"/>
          <w:b/>
          <w:bCs/>
          <w:lang w:eastAsia="ru-RU"/>
        </w:rPr>
      </w:pPr>
      <w:r w:rsidRPr="00F224C0">
        <w:rPr>
          <w:rFonts w:ascii="Times New Roman" w:eastAsia="Times New Roman" w:hAnsi="Times New Roman" w:cs="Times New Roman"/>
          <w:b/>
          <w:bCs/>
          <w:lang w:val="uk-UA" w:eastAsia="ru-RU"/>
        </w:rPr>
        <w:t>РЕЗУЛЬТАТИ ДОСЛІДЖЕНЬ</w:t>
      </w:r>
    </w:p>
    <w:p w:rsidR="00F224C0" w:rsidRPr="00F224C0" w:rsidRDefault="00F224C0" w:rsidP="00F224C0">
      <w:pPr>
        <w:tabs>
          <w:tab w:val="left" w:pos="6726"/>
        </w:tabs>
        <w:suppressAutoHyphens w:val="0"/>
        <w:autoSpaceDE w:val="0"/>
        <w:autoSpaceDN w:val="0"/>
        <w:adjustRightInd w:val="0"/>
        <w:spacing w:before="10" w:line="360" w:lineRule="auto"/>
        <w:ind w:right="-55" w:firstLine="2700"/>
        <w:jc w:val="both"/>
        <w:rPr>
          <w:rFonts w:ascii="Times New Roman" w:eastAsia="Times New Roman" w:hAnsi="Times New Roman" w:cs="Times New Roman"/>
          <w:b/>
          <w:bCs/>
          <w:lang w:eastAsia="ru-RU"/>
        </w:rPr>
      </w:pP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lang w:val="uk-UA" w:eastAsia="ru-RU"/>
        </w:rPr>
      </w:pPr>
      <w:bookmarkStart w:id="0" w:name="_GoBack"/>
      <w:r w:rsidRPr="00F224C0">
        <w:rPr>
          <w:rFonts w:ascii="Times New Roman" w:eastAsia="Times New Roman" w:hAnsi="Times New Roman" w:cs="Times New Roman"/>
          <w:b/>
          <w:bCs/>
          <w:lang w:val="uk-UA" w:eastAsia="ru-RU"/>
        </w:rPr>
        <w:t xml:space="preserve">Вивчення динаміки кластерів імунітету в інтактних </w:t>
      </w:r>
      <w:r w:rsidRPr="00F224C0">
        <w:rPr>
          <w:rFonts w:ascii="Times New Roman" w:eastAsia="Times New Roman" w:hAnsi="Times New Roman" w:cs="Times New Roman"/>
          <w:b/>
          <w:bCs/>
          <w:lang w:val="en-US" w:eastAsia="ru-RU"/>
        </w:rPr>
        <w:t>SPF</w:t>
      </w:r>
      <w:r w:rsidRPr="00F224C0">
        <w:rPr>
          <w:rFonts w:ascii="Times New Roman" w:eastAsia="Times New Roman" w:hAnsi="Times New Roman" w:cs="Times New Roman"/>
          <w:b/>
          <w:bCs/>
          <w:lang w:val="uk-UA" w:eastAsia="ru-RU"/>
        </w:rPr>
        <w:t xml:space="preserve"> курчат різного віку. </w:t>
      </w:r>
      <w:r w:rsidRPr="00F224C0">
        <w:rPr>
          <w:rFonts w:ascii="Times New Roman" w:eastAsia="Times New Roman" w:hAnsi="Times New Roman" w:cs="Times New Roman"/>
          <w:lang w:val="uk-UA" w:eastAsia="ru-RU"/>
        </w:rPr>
        <w:t xml:space="preserve">При проведенні власних досліджень використовувалися </w:t>
      </w:r>
      <w:r w:rsidRPr="00F224C0">
        <w:rPr>
          <w:rFonts w:ascii="Times New Roman" w:eastAsia="Times New Roman" w:hAnsi="Times New Roman" w:cs="Times New Roman"/>
          <w:lang w:val="en-GB" w:eastAsia="ru-RU"/>
        </w:rPr>
        <w:t>SPF</w:t>
      </w:r>
      <w:r w:rsidRPr="00F224C0">
        <w:rPr>
          <w:rFonts w:ascii="Times New Roman" w:eastAsia="Times New Roman" w:hAnsi="Times New Roman" w:cs="Times New Roman"/>
          <w:lang w:val="uk-UA" w:eastAsia="ru-RU"/>
        </w:rPr>
        <w:t xml:space="preserve"> курчата. Було досліджено селезінку та бурсу Фабриціуса 33 курчат, у яких визначали кількість 9 кластерів клітин імунітету на 1-у, 2-у, </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uk-UA" w:eastAsia="ru-RU"/>
        </w:rPr>
        <w:t>3-ю, 6-у, 8-у, 10-у, 13-у, 15-у, 17-у, 21-у та 51-у доби життя.</w:t>
      </w: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Дослідженнями встановлено, що кількість клітин досліджуваних кластерів з віком змінювалася, причому характер та динаміка змін у цих головних органах імунітету істотно відрізнялися. Отримані дані свідчили про те, що в селезінці (порівняно з 1-ю добою досліджень) на 8-у– 13-у доби відбувалося різке збільшення (у 2–5 разів) кількості клітин кластерів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На 15-у добу спостерігалося зниження кількості клітин кластерів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за деякого зростання вмісту клітин з маркерами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та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порівняно з 13-ю добою досліджень. На 17-у добу відзначалася певна стабілізація вмісту кластерів на рівні, близькому до їхнього значення на 15-у добу. На 51-у добу відбувалося збільшення вмісту клітин з кластерами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порівняно із 17-ю добою за незначного зменшення кількості клітин кластерів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Вміст клітин з маркером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помітно скорочувався між 1-ю та 15-ю добами і в подальшому підвищувався, досягаючи максимуму на 51-у добу.</w:t>
      </w: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Характер кількісних показників кластерів у бурсі Фабриціуса був істотно іншим. У ній відзначалося значне і безперервне, з 15-ї по 51-у доби, зниження кількості клітин з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та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З 15-ї доби починалося зменшення кількості клітин з маркером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Кількість клітин кластера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утримувалася майже весь час на рівні показників першої доби. Вміст кластера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починав стабільно зростати з 13-ї по 51-у доби. Кількість клітин кластера </w:t>
      </w:r>
      <w:r w:rsidRPr="00F224C0">
        <w:rPr>
          <w:rFonts w:ascii="Times New Roman" w:eastAsia="Times New Roman" w:hAnsi="Times New Roman" w:cs="Times New Roman"/>
          <w:lang w:val="en-US" w:eastAsia="ru-RU"/>
        </w:rPr>
        <w:t>Ig</w:t>
      </w:r>
      <w:r w:rsidRPr="00F224C0">
        <w:rPr>
          <w:rFonts w:ascii="Times New Roman" w:eastAsia="Times New Roman" w:hAnsi="Times New Roman" w:cs="Times New Roman"/>
          <w:lang w:val="uk-UA" w:eastAsia="ru-RU"/>
        </w:rPr>
        <w:t>А різко підвищувалась майже вдвічі, на 8-у добу і в 6–9 разів на 13-у–15-у та 17-у–51-у доби. Інформативними були дані, отримані при визначенні строків нагромадження максимальної кількості досліджених кластерів (табл. 1).</w:t>
      </w:r>
    </w:p>
    <w:bookmarkEnd w:id="0"/>
    <w:p w:rsidR="00F224C0" w:rsidRPr="00F224C0" w:rsidRDefault="00F224C0" w:rsidP="00F224C0">
      <w:pPr>
        <w:tabs>
          <w:tab w:val="left" w:pos="6726"/>
        </w:tabs>
        <w:suppressAutoHyphens w:val="0"/>
        <w:autoSpaceDE w:val="0"/>
        <w:autoSpaceDN w:val="0"/>
        <w:spacing w:line="360" w:lineRule="auto"/>
        <w:ind w:right="-55" w:firstLine="540"/>
        <w:jc w:val="right"/>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Таблиця 1</w:t>
      </w: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b/>
          <w:bCs/>
          <w:lang w:eastAsia="ru-RU"/>
        </w:rPr>
      </w:pPr>
      <w:r w:rsidRPr="00F224C0">
        <w:rPr>
          <w:rFonts w:ascii="Times New Roman" w:eastAsia="Times New Roman" w:hAnsi="Times New Roman" w:cs="Times New Roman"/>
          <w:b/>
          <w:bCs/>
          <w:lang w:val="uk-UA" w:eastAsia="ru-RU"/>
        </w:rPr>
        <w:t xml:space="preserve">Час максимального накопичення кластерів у селезінці та бурсі Фабриціуса </w:t>
      </w:r>
      <w:r w:rsidRPr="00F224C0">
        <w:rPr>
          <w:rFonts w:ascii="Times New Roman" w:eastAsia="Times New Roman" w:hAnsi="Times New Roman" w:cs="Times New Roman"/>
          <w:b/>
          <w:bCs/>
          <w:lang w:val="en-US" w:eastAsia="ru-RU"/>
        </w:rPr>
        <w:t>SPF</w:t>
      </w:r>
      <w:r w:rsidRPr="00F224C0">
        <w:rPr>
          <w:rFonts w:ascii="Times New Roman" w:eastAsia="Times New Roman" w:hAnsi="Times New Roman" w:cs="Times New Roman"/>
          <w:b/>
          <w:bCs/>
          <w:lang w:eastAsia="ru-RU"/>
        </w:rPr>
        <w:t xml:space="preserve"> курчат (</w:t>
      </w:r>
      <w:r w:rsidRPr="00F224C0">
        <w:rPr>
          <w:rFonts w:ascii="Times New Roman" w:eastAsia="Times New Roman" w:hAnsi="Times New Roman" w:cs="Times New Roman"/>
          <w:b/>
          <w:bCs/>
          <w:lang w:val="en-US" w:eastAsia="ru-RU"/>
        </w:rPr>
        <w:t>M</w:t>
      </w:r>
      <w:r w:rsidRPr="00F224C0">
        <w:rPr>
          <w:rFonts w:ascii="Times New Roman" w:eastAsia="Times New Roman" w:hAnsi="Times New Roman" w:cs="Times New Roman"/>
          <w:b/>
          <w:bCs/>
          <w:lang w:eastAsia="ru-RU"/>
        </w:rPr>
        <w:t>+</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 xml:space="preserve">; </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220"/>
        <w:gridCol w:w="2218"/>
        <w:gridCol w:w="2221"/>
        <w:gridCol w:w="2218"/>
      </w:tblGrid>
      <w:tr w:rsidR="00F224C0" w:rsidRPr="00F224C0" w:rsidTr="003B1B13">
        <w:tblPrEx>
          <w:tblCellMar>
            <w:top w:w="0" w:type="dxa"/>
            <w:bottom w:w="0" w:type="dxa"/>
          </w:tblCellMar>
        </w:tblPrEx>
        <w:trPr>
          <w:cantSplit/>
          <w:trHeight w:val="450"/>
        </w:trPr>
        <w:tc>
          <w:tcPr>
            <w:tcW w:w="1342" w:type="dxa"/>
            <w:vMerge w:val="restart"/>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Назва кластера</w:t>
            </w:r>
          </w:p>
        </w:tc>
        <w:tc>
          <w:tcPr>
            <w:tcW w:w="4539"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Селезінка</w:t>
            </w:r>
          </w:p>
        </w:tc>
        <w:tc>
          <w:tcPr>
            <w:tcW w:w="4540"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Бурса Фабриціуса</w:t>
            </w:r>
          </w:p>
        </w:tc>
      </w:tr>
      <w:tr w:rsidR="00F224C0" w:rsidRPr="00F224C0" w:rsidTr="003B1B13">
        <w:tblPrEx>
          <w:tblCellMar>
            <w:top w:w="0" w:type="dxa"/>
            <w:bottom w:w="0" w:type="dxa"/>
          </w:tblCellMar>
        </w:tblPrEx>
        <w:trPr>
          <w:cantSplit/>
          <w:trHeight w:val="360"/>
        </w:trPr>
        <w:tc>
          <w:tcPr>
            <w:tcW w:w="1342" w:type="dxa"/>
            <w:vMerge/>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both"/>
              <w:outlineLvl w:val="0"/>
              <w:rPr>
                <w:rFonts w:ascii="Times New Roman" w:eastAsia="Times New Roman" w:hAnsi="Times New Roman" w:cs="Times New Roman"/>
                <w:lang w:val="uk-UA" w:eastAsia="ru-RU"/>
              </w:rPr>
            </w:pP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28,252±4,595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2,574±0,162</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17</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8,604±0,355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0,267±0,055</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15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15,515±1,534</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0,654±0,074</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CVI</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70,805±2,519</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20,817±0,024</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IgG</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13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1,780±2,380</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10</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1,012±0,158</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IgA</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0,263±0,063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10</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0,237±0,059</w:t>
            </w:r>
          </w:p>
        </w:tc>
      </w:tr>
    </w:tbl>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lang w:val="uk-UA" w:eastAsia="ru-RU"/>
        </w:rPr>
      </w:pP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Отримані дані свідчили про те, що в </w:t>
      </w:r>
      <w:r w:rsidRPr="00F224C0">
        <w:rPr>
          <w:rFonts w:ascii="Times New Roman" w:eastAsia="Times New Roman" w:hAnsi="Times New Roman" w:cs="Times New Roman"/>
          <w:lang w:val="en-GB" w:eastAsia="ru-RU"/>
        </w:rPr>
        <w:t>SPF</w:t>
      </w:r>
      <w:r w:rsidRPr="00F224C0">
        <w:rPr>
          <w:rFonts w:ascii="Times New Roman" w:eastAsia="Times New Roman" w:hAnsi="Times New Roman" w:cs="Times New Roman"/>
          <w:lang w:val="uk-UA" w:eastAsia="ru-RU"/>
        </w:rPr>
        <w:t xml:space="preserve"> курчат показники всіх кластерів імунітету були вищими в селезінці. Особливо привертав увагу дуже високий максимальний вміст тканинних лімфоцитів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(до 28,2 %) та макрофагів (70,8 %), що засвідчувало їхнє провідне значення у визначенні стану імунітету в </w:t>
      </w:r>
      <w:r w:rsidRPr="00F224C0">
        <w:rPr>
          <w:rFonts w:ascii="Times New Roman" w:eastAsia="Times New Roman" w:hAnsi="Times New Roman" w:cs="Times New Roman"/>
          <w:lang w:val="en-GB" w:eastAsia="ru-RU"/>
        </w:rPr>
        <w:t>SPF</w:t>
      </w:r>
      <w:r w:rsidRPr="00F224C0">
        <w:rPr>
          <w:rFonts w:ascii="Times New Roman" w:eastAsia="Times New Roman" w:hAnsi="Times New Roman" w:cs="Times New Roman"/>
          <w:lang w:val="uk-UA" w:eastAsia="ru-RU"/>
        </w:rPr>
        <w:t xml:space="preserve"> курчат. </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Вивчення динаміки кластерів імунітету курчат після щеплення вакциною </w:t>
      </w:r>
      <w:r w:rsidRPr="00F224C0">
        <w:rPr>
          <w:rFonts w:ascii="Times New Roman" w:eastAsia="Times New Roman" w:hAnsi="Times New Roman" w:cs="Times New Roman"/>
          <w:b/>
          <w:bCs/>
          <w:i/>
          <w:iCs/>
          <w:lang w:val="en-GB" w:eastAsia="ru-RU"/>
        </w:rPr>
        <w:t>Salmovac</w:t>
      </w:r>
      <w:r w:rsidRPr="00F224C0">
        <w:rPr>
          <w:rFonts w:ascii="Times New Roman" w:eastAsia="Times New Roman" w:hAnsi="Times New Roman" w:cs="Times New Roman"/>
          <w:b/>
          <w:bCs/>
          <w:i/>
          <w:iCs/>
          <w:lang w:val="uk-UA" w:eastAsia="ru-RU"/>
        </w:rPr>
        <w:t> </w:t>
      </w:r>
      <w:r w:rsidRPr="00F224C0">
        <w:rPr>
          <w:rFonts w:ascii="Times New Roman" w:eastAsia="Times New Roman" w:hAnsi="Times New Roman" w:cs="Times New Roman"/>
          <w:b/>
          <w:bCs/>
          <w:i/>
          <w:iCs/>
          <w:lang w:val="en-GB" w:eastAsia="ru-RU"/>
        </w:rPr>
        <w:t>SE</w:t>
      </w:r>
      <w:r w:rsidRPr="00F224C0">
        <w:rPr>
          <w:rFonts w:ascii="Times New Roman" w:eastAsia="Times New Roman" w:hAnsi="Times New Roman" w:cs="Times New Roman"/>
          <w:b/>
          <w:bCs/>
          <w:i/>
          <w:iCs/>
          <w:vertAlign w:val="superscript"/>
          <w:lang w:val="en-GB" w:eastAsia="ru-RU"/>
        </w:rPr>
        <w:sym w:font="Symbol" w:char="F0D2"/>
      </w:r>
      <w:r w:rsidRPr="00F224C0">
        <w:rPr>
          <w:rFonts w:ascii="Times New Roman" w:eastAsia="Times New Roman" w:hAnsi="Times New Roman" w:cs="Times New Roman"/>
          <w:b/>
          <w:bCs/>
          <w:lang w:val="uk-UA" w:eastAsia="ru-RU"/>
        </w:rPr>
        <w:t xml:space="preserve">. </w:t>
      </w:r>
      <w:r w:rsidRPr="00F224C0">
        <w:rPr>
          <w:rFonts w:ascii="Times New Roman" w:eastAsia="Times New Roman" w:hAnsi="Times New Roman" w:cs="Times New Roman"/>
          <w:lang w:val="uk-UA" w:eastAsia="ru-RU"/>
        </w:rPr>
        <w:t xml:space="preserve">Динаміка імунітету вивчалася на субпопуляційному рівні шляхом визначення кількості 9 згаданих вище кластерів імунокомпетентних клітин Т-лімфоцитів, В-лімфоцитів і макрофагів у селезінці та фабрицієвій бурсі.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Дослідження засвідчили, що в селезінці після введення вакцинного штаму сальмонел чітке зниження кількості клітин з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виявлялось уже на 2-гу добу. Супресивний вплив вакцини спостерігався і на 3-ю добу, але на 6-у добу відбувалося помітне збільшення відсотка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причому кількісні показники в групі імунізованих курчат приблизно вчетверо перевищували їхню величину в попередні строки досліджень. На 17-у–21-у доби відзначалася деяка стабілізація кількості кластера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3, проте на 51-у добу знову відзначалося зниження відсотка цих клітин.</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Відсоток кількості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4 (хелперів), як і в попередній групі лімфоцитів, змінювався в процесі розвитку реакції на щеплення. Так, після введення вакцини на 1-у–2-у доби спостерігалося зменшення їхньої кількості до 1,944</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0,467 % проти 5,528</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1,173 % у контролі. Кількість хелперів після введення вакцинного штаму на 21-у добу знову починала дещо зменшуватися.</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Характер кривої змін кількості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(цитотоксичних клітин-кілерів) був майже таким, як і в субпопуляції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3 (табл. 2).</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eastAsia="ru-RU"/>
        </w:rPr>
      </w:pPr>
    </w:p>
    <w:p w:rsidR="00F224C0" w:rsidRPr="00F224C0" w:rsidRDefault="00F224C0" w:rsidP="00F224C0">
      <w:pPr>
        <w:tabs>
          <w:tab w:val="left" w:pos="6726"/>
        </w:tabs>
        <w:suppressAutoHyphens w:val="0"/>
        <w:autoSpaceDE w:val="0"/>
        <w:autoSpaceDN w:val="0"/>
        <w:spacing w:line="360" w:lineRule="auto"/>
        <w:ind w:right="-55" w:firstLine="570"/>
        <w:jc w:val="right"/>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Таблиця 2</w:t>
      </w: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b/>
          <w:bCs/>
          <w:lang w:eastAsia="ru-RU"/>
        </w:rPr>
      </w:pPr>
      <w:r w:rsidRPr="00F224C0">
        <w:rPr>
          <w:rFonts w:ascii="Times New Roman" w:eastAsia="Times New Roman" w:hAnsi="Times New Roman" w:cs="Times New Roman"/>
          <w:b/>
          <w:bCs/>
          <w:lang w:val="uk-UA" w:eastAsia="ru-RU"/>
        </w:rPr>
        <w:t xml:space="preserve">Час максимального накопичення кластерів у селезінці та бурсі Фабриціуса вакцинованих проти сальмонельозу курчат </w:t>
      </w:r>
      <w:r w:rsidRPr="00F224C0">
        <w:rPr>
          <w:rFonts w:ascii="Times New Roman" w:eastAsia="Times New Roman" w:hAnsi="Times New Roman" w:cs="Times New Roman"/>
          <w:b/>
          <w:bCs/>
          <w:lang w:eastAsia="ru-RU"/>
        </w:rPr>
        <w:t>(</w:t>
      </w:r>
      <w:r w:rsidRPr="00F224C0">
        <w:rPr>
          <w:rFonts w:ascii="Times New Roman" w:eastAsia="Times New Roman" w:hAnsi="Times New Roman" w:cs="Times New Roman"/>
          <w:b/>
          <w:bCs/>
          <w:lang w:val="en-US" w:eastAsia="ru-RU"/>
        </w:rPr>
        <w:t>M</w:t>
      </w:r>
      <w:r w:rsidRPr="00F224C0">
        <w:rPr>
          <w:rFonts w:ascii="Times New Roman" w:eastAsia="Times New Roman" w:hAnsi="Times New Roman" w:cs="Times New Roman"/>
          <w:b/>
          <w:bCs/>
          <w:lang w:eastAsia="ru-RU"/>
        </w:rPr>
        <w:t>+</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 xml:space="preserve">; </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220"/>
        <w:gridCol w:w="2218"/>
        <w:gridCol w:w="2221"/>
        <w:gridCol w:w="2218"/>
      </w:tblGrid>
      <w:tr w:rsidR="00F224C0" w:rsidRPr="00F224C0" w:rsidTr="003B1B13">
        <w:tblPrEx>
          <w:tblCellMar>
            <w:top w:w="0" w:type="dxa"/>
            <w:bottom w:w="0" w:type="dxa"/>
          </w:tblCellMar>
        </w:tblPrEx>
        <w:trPr>
          <w:cantSplit/>
          <w:trHeight w:val="450"/>
        </w:trPr>
        <w:tc>
          <w:tcPr>
            <w:tcW w:w="1342" w:type="dxa"/>
            <w:vMerge w:val="restart"/>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Назва кластера</w:t>
            </w:r>
          </w:p>
        </w:tc>
        <w:tc>
          <w:tcPr>
            <w:tcW w:w="4539"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Селезінка</w:t>
            </w:r>
          </w:p>
        </w:tc>
        <w:tc>
          <w:tcPr>
            <w:tcW w:w="4540"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Бурса Фабриціуса</w:t>
            </w:r>
          </w:p>
        </w:tc>
      </w:tr>
      <w:tr w:rsidR="00F224C0" w:rsidRPr="00F224C0" w:rsidTr="003B1B13">
        <w:tblPrEx>
          <w:tblCellMar>
            <w:top w:w="0" w:type="dxa"/>
            <w:bottom w:w="0" w:type="dxa"/>
          </w:tblCellMar>
        </w:tblPrEx>
        <w:trPr>
          <w:cantSplit/>
          <w:trHeight w:val="360"/>
        </w:trPr>
        <w:tc>
          <w:tcPr>
            <w:tcW w:w="1342" w:type="dxa"/>
            <w:vMerge/>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both"/>
              <w:outlineLvl w:val="0"/>
              <w:rPr>
                <w:rFonts w:ascii="Times New Roman" w:eastAsia="Times New Roman" w:hAnsi="Times New Roman" w:cs="Times New Roman"/>
                <w:lang w:val="uk-UA" w:eastAsia="ru-RU"/>
              </w:rPr>
            </w:pP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b/>
                <w:bCs/>
                <w:lang w:val="uk-UA" w:eastAsia="ru-RU"/>
              </w:rPr>
            </w:pPr>
            <w:r w:rsidRPr="00F224C0">
              <w:rPr>
                <w:rFonts w:ascii="Times New Roman" w:eastAsia="Times New Roman" w:hAnsi="Times New Roman" w:cs="Times New Roman"/>
                <w:lang w:val="uk-UA" w:eastAsia="ru-RU"/>
              </w:rPr>
              <w:t>41,953±1,959*</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8,479±1,178</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8,119±0,838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0,983±0,338</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36,924±1,115*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5,901±1,203</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CVI</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en-US" w:eastAsia="ru-RU"/>
              </w:rPr>
              <w:t>6</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67,343±1,773*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30,464±2,365</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IgG</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0,494±0,052**</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2,856±0,018</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IgA</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0,606±0,013*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17</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7,205±0,051</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en-US" w:eastAsia="ru-RU"/>
              </w:rPr>
              <w:t>Ig</w:t>
            </w:r>
            <w:r w:rsidRPr="00F224C0">
              <w:rPr>
                <w:rFonts w:ascii="Times New Roman" w:eastAsia="Times New Roman" w:hAnsi="Times New Roman" w:cs="Times New Roman"/>
                <w:lang w:eastAsia="ru-RU"/>
              </w:rPr>
              <w:t>М</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2,026±0,502**</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10</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21,767±2,947</w:t>
            </w:r>
          </w:p>
        </w:tc>
      </w:tr>
    </w:tbl>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Примітка</w:t>
      </w:r>
      <w:r w:rsidRPr="00F224C0">
        <w:rPr>
          <w:rFonts w:ascii="Times New Roman" w:eastAsia="Times New Roman" w:hAnsi="Times New Roman" w:cs="Times New Roman"/>
          <w:lang w:val="uk-UA" w:eastAsia="ru-RU"/>
        </w:rPr>
        <w:t>: * – р&lt;0,001;</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                         ** р&lt;0,05</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У субпопуляціях В-лімфоцитів з поверхневими імуноглобулінами </w:t>
      </w:r>
      <w:r w:rsidRPr="00F224C0">
        <w:rPr>
          <w:rFonts w:ascii="Times New Roman" w:eastAsia="Times New Roman" w:hAnsi="Times New Roman" w:cs="Times New Roman"/>
          <w:lang w:val="en-US" w:eastAsia="ru-RU"/>
        </w:rPr>
        <w:t>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M</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US" w:eastAsia="ru-RU"/>
        </w:rPr>
        <w:t>A</w:t>
      </w:r>
      <w:r w:rsidRPr="00F224C0">
        <w:rPr>
          <w:rFonts w:ascii="Times New Roman" w:eastAsia="Times New Roman" w:hAnsi="Times New Roman" w:cs="Times New Roman"/>
          <w:lang w:val="uk-UA" w:eastAsia="ru-RU"/>
        </w:rPr>
        <w:t xml:space="preserve"> зміни мали інший характер. Кількість лімфоцитів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у цілому на першу добу мала тенденцію до зниження. На третю добу розміри скупчень цих клітин були близькими до контролю, таким чином, відбувалася певна стабілізація їхньої кількості. Далі спостерігався процес активації, що тривав до кінця строку спостережень на 51-у добу, коли відсоток цих клітин досягав 0,494</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0,052 % проти 0,194±0,033 % на 15-у добу.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Істотних змін кількості лімфоцитів з маркерним імуноглобуліном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впродовж перших 10-и діб досліду не спостерігалося. Безперервне збільшення клітин кластера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А починалось із 13-ї та тривало до 51-ї доби.</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Своєрідний тип змін спостерігався при вивченні динаміки розвитку імунної реакції лімфоцитів з маркером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М. Було встановлено, що різке зниження їхньої кількості на першу добу в групі вакцинованої птиці змінювалося періодом підвищення їхньої активності на 6-у–8-у доби, причому максимального рівня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М досягав на 8-у добу (2,026</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0,502 % проти 0,229±0,080 % на </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uk-UA" w:eastAsia="ru-RU"/>
        </w:rPr>
        <w:t xml:space="preserve">6-у добу).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На макрофаги з поверхневим маркером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вакцина в першу добу діяла супресивно. У подальшому спостерігалося збільшення їх відсотка. </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Динаміка змін субпопуляцій клітин бурси Фабриціуса мала певні особливості (табл. 2).</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Вивчення субпопуляцій клітин бурси Фабриціуса з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дозволило встановити супресивну дію вакцини на ці клітини в перші три доби після імунізації. Із 6-ї доби спостерігалося </w:t>
      </w:r>
      <w:r w:rsidRPr="00F224C0">
        <w:rPr>
          <w:rFonts w:ascii="Times New Roman" w:eastAsia="Times New Roman" w:hAnsi="Times New Roman" w:cs="Times New Roman"/>
          <w:lang w:val="uk-UA" w:eastAsia="ru-RU"/>
        </w:rPr>
        <w:lastRenderedPageBreak/>
        <w:t>чітке збільшення субпопуляції цих клітин. Максимального значення з високим рівнем вірогідності вона досягала на 8-у добу (8,479±1,178 %).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sz w:val="20"/>
          <w:szCs w:val="20"/>
          <w:lang w:val="uk-UA" w:eastAsia="ru-RU"/>
        </w:rPr>
      </w:pPr>
      <w:r w:rsidRPr="00F224C0">
        <w:rPr>
          <w:rFonts w:ascii="Times New Roman" w:eastAsia="Times New Roman" w:hAnsi="Times New Roman" w:cs="Times New Roman"/>
          <w:lang w:val="uk-UA" w:eastAsia="ru-RU"/>
        </w:rPr>
        <w:t xml:space="preserve">Досить схожим із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був характер змін кількості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4 (Т-хелперів). Звертало на себе увагу те, що реакція хелперів на вакцинний штам була слабкішою і на 51-у добу практично згасала та була помітно нижчою, ніж після інфікування сальмонелами. Таким чином, хелпери більш активно реагували на інфікування патогенними сальмонелами.</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Різке підвищення відсотка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2 було зареєстровано ще на першу добу після вакцинації, коли значення цього маркера було максимальним (0,718</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0,158 % проти 0,289</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0,068 % у групі контролю). Очевидно, воно було обумовлене сильною неспецифічною реакцією (на введення антигена) головного комплексу гістосумісності, до якого належать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і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2.</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Своєрідною була реакція макрофагів (маркер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бурси Фабриціуса. Кількість цих клітин у піддослідній і контрольній групах була протягом усього досліду практично однаковою навіть на 51-у добу.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кількості клітин з маркером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збільшення їхньої кількості відзначено вже з 1-ї доби та становило в імунізованих курчат 3,639</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0,540 % (при 1,737</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0,472 % у контролі). Максимального значення рівень вмісту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досягав на 10-у добу. На 13-у добу величина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знижувалася до 5,767</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1,171 % (при 21,767±2,947 % на 10-у добу). Очевидно, це було пов’язано з інтенсивним переходом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в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на цій стадії розвитку імунного процесу.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Кількість клітин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у бурсі Фабриціуса вакцинованих курчат не відрізнялась постійністю й до 10-ї доби була в більшості випадків нижчою, ніж у контрольної групи птиці. Лише на 13-у добу було зареєстроване чітке зростання вмісту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в імунізованих курчат (2,779</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0,121 % проти 0,814±0,185 % на 10-у добу). Приблизно на цьому рівні утримувалося кількісне значення цього кластера від початку до кінця досліду, що засвідчувало становлення гуморального імунітету в курчат при сальмонельозі вже у віці 13-и–15-и діб. Отримані дані суттєво відрізнялися від тих, які були отримані при вивченні цих кластерів у селезінці. Вони свідчили про те, що у формуванні імуноглобулінів при сальмонельозі курчат раннього віку вирішальне значення має кластер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В-клітин бурси Фабриціуса.</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Вміст маркеру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починаючи з перших діб проведених досліджень, постійно зростав у бурсі Фабриціуса імунізованих курчат. Процес збільшення тривав з 8-ї до 21-ї доби включно, коли рівень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досягав максимальних значень (7,263±0,045 % при 0,176±0,007% у контролі). Лише на </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uk-UA" w:eastAsia="ru-RU"/>
        </w:rPr>
        <w:t xml:space="preserve">51-у добу відзначене зниження вмісту лімфоцитів з поверхневим маркером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А (рис. 1).</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noProof/>
          <w:lang w:eastAsia="ru-RU"/>
        </w:rPr>
        <w:lastRenderedPageBreak/>
        <w:drawing>
          <wp:inline distT="0" distB="0" distL="0" distR="0">
            <wp:extent cx="4831715" cy="2752090"/>
            <wp:effectExtent l="0" t="0" r="0" b="0"/>
            <wp:docPr id="140" name="Диаграмма 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Динаміка кластерів клітин імунітету курчат, мічених стрептавідин-біотином, після застосування епізоотичного штаму </w:t>
      </w:r>
      <w:r w:rsidRPr="00F224C0">
        <w:rPr>
          <w:rFonts w:ascii="Times New Roman" w:eastAsia="Times New Roman" w:hAnsi="Times New Roman" w:cs="Times New Roman"/>
          <w:b/>
          <w:bCs/>
          <w:i/>
          <w:iCs/>
          <w:lang w:val="en-GB" w:eastAsia="ru-RU"/>
        </w:rPr>
        <w:t>S</w:t>
      </w:r>
      <w:r w:rsidRPr="00F224C0">
        <w:rPr>
          <w:rFonts w:ascii="Times New Roman" w:eastAsia="Times New Roman" w:hAnsi="Times New Roman" w:cs="Times New Roman"/>
          <w:b/>
          <w:bCs/>
          <w:i/>
          <w:iCs/>
          <w:lang w:val="uk-UA" w:eastAsia="ru-RU"/>
        </w:rPr>
        <w:t>. </w:t>
      </w:r>
      <w:r w:rsidRPr="00F224C0">
        <w:rPr>
          <w:rFonts w:ascii="Times New Roman" w:eastAsia="Times New Roman" w:hAnsi="Times New Roman" w:cs="Times New Roman"/>
          <w:b/>
          <w:bCs/>
          <w:i/>
          <w:iCs/>
          <w:lang w:val="en-GB" w:eastAsia="ru-RU"/>
        </w:rPr>
        <w:t>enteritidis</w:t>
      </w:r>
      <w:r w:rsidRPr="00F224C0">
        <w:rPr>
          <w:rFonts w:ascii="Times New Roman" w:eastAsia="Times New Roman" w:hAnsi="Times New Roman" w:cs="Times New Roman"/>
          <w:b/>
          <w:bCs/>
          <w:i/>
          <w:iCs/>
          <w:lang w:val="uk-UA" w:eastAsia="ru-RU"/>
        </w:rPr>
        <w:t xml:space="preserve"> </w:t>
      </w:r>
      <w:r w:rsidRPr="00F224C0">
        <w:rPr>
          <w:rFonts w:ascii="Times New Roman" w:eastAsia="Times New Roman" w:hAnsi="Times New Roman" w:cs="Times New Roman"/>
          <w:b/>
          <w:bCs/>
          <w:i/>
          <w:iCs/>
          <w:lang w:val="en-GB" w:eastAsia="ru-RU"/>
        </w:rPr>
        <w:t>SE</w:t>
      </w:r>
      <w:r w:rsidRPr="00F224C0">
        <w:rPr>
          <w:rFonts w:ascii="Times New Roman" w:eastAsia="Times New Roman" w:hAnsi="Times New Roman" w:cs="Times New Roman"/>
          <w:b/>
          <w:bCs/>
          <w:i/>
          <w:iCs/>
          <w:lang w:val="uk-UA" w:eastAsia="ru-RU"/>
        </w:rPr>
        <w:t xml:space="preserve"> 147. </w:t>
      </w:r>
      <w:r w:rsidRPr="00F224C0">
        <w:rPr>
          <w:rFonts w:ascii="Times New Roman" w:eastAsia="Times New Roman" w:hAnsi="Times New Roman" w:cs="Times New Roman"/>
          <w:lang w:val="uk-UA" w:eastAsia="ru-RU"/>
        </w:rPr>
        <w:t xml:space="preserve">У селезінці інфікованих курчат у найбільш ранній період відзначалася своєрідна фаза супресії популяції клітин з поверхневим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особливо чітко виражена в перші три доби. Максимальних значень рівень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3 досягав на 6-у, 8-у та 10-у доби після зараження (табл. 3).</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субпопуляції Т-лімфоцитів з поверхневим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(Т-хелпери) було встановлено 2 етапи збільшення вмісту цих клітин. Перший етап спостерігався з першої по </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uk-UA" w:eastAsia="ru-RU"/>
        </w:rPr>
        <w:t xml:space="preserve">10-у доби. Після різкого спаду активності на 13-у добу спостерігалася друга хвиля зростання відсоткового вмісту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4 з піком на 15-у добу (табл. 3).</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динаміки змін імунокомпетентних клітин селезінки з поверхневим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було встановлено зменшення кількості цих цитотоксичних лімфоцитів у перші дві доби спостережень. Максимальний рівень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було зареєстровано на 8-у добу. Друга хвиля постсупресивного зростання кількості клітин з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спостерігалася на 15-у добу       (табл. 3). Високий рівень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8 у період з 8-ї по 10-у доби значною мірою та досить демонстративно відображав загальний характер розвитку імунного процесу при сальмонельозі.</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sz w:val="20"/>
          <w:szCs w:val="20"/>
          <w:lang w:val="uk-UA" w:eastAsia="ru-RU"/>
        </w:rPr>
        <w:sectPr w:rsidR="00F224C0" w:rsidRPr="00F224C0">
          <w:headerReference w:type="default" r:id="rId9"/>
          <w:pgSz w:w="11906" w:h="16838"/>
          <w:pgMar w:top="1134" w:right="567" w:bottom="1134" w:left="1134" w:header="709" w:footer="709" w:gutter="0"/>
          <w:cols w:space="708"/>
          <w:titlePg/>
          <w:docGrid w:linePitch="360"/>
        </w:sectPr>
      </w:pPr>
    </w:p>
    <w:p w:rsidR="00F224C0" w:rsidRPr="00F224C0" w:rsidRDefault="00F224C0" w:rsidP="00F224C0">
      <w:pPr>
        <w:tabs>
          <w:tab w:val="left" w:pos="6726"/>
        </w:tabs>
        <w:suppressAutoHyphens w:val="0"/>
        <w:autoSpaceDE w:val="0"/>
        <w:autoSpaceDN w:val="0"/>
        <w:spacing w:line="360" w:lineRule="auto"/>
        <w:ind w:right="-55" w:firstLine="570"/>
        <w:jc w:val="right"/>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Таблиця 3</w:t>
      </w:r>
    </w:p>
    <w:p w:rsidR="00F224C0" w:rsidRPr="00F224C0" w:rsidRDefault="00F224C0" w:rsidP="00F224C0">
      <w:pPr>
        <w:tabs>
          <w:tab w:val="left" w:pos="6726"/>
        </w:tabs>
        <w:suppressAutoHyphens w:val="0"/>
        <w:autoSpaceDE w:val="0"/>
        <w:autoSpaceDN w:val="0"/>
        <w:spacing w:line="360" w:lineRule="auto"/>
        <w:ind w:right="-55" w:firstLine="540"/>
        <w:jc w:val="both"/>
        <w:outlineLvl w:val="0"/>
        <w:rPr>
          <w:rFonts w:ascii="Times New Roman" w:eastAsia="Times New Roman" w:hAnsi="Times New Roman" w:cs="Times New Roman"/>
          <w:b/>
          <w:bCs/>
          <w:lang w:eastAsia="ru-RU"/>
        </w:rPr>
      </w:pPr>
      <w:r w:rsidRPr="00F224C0">
        <w:rPr>
          <w:rFonts w:ascii="Times New Roman" w:eastAsia="Times New Roman" w:hAnsi="Times New Roman" w:cs="Times New Roman"/>
          <w:b/>
          <w:bCs/>
          <w:lang w:val="uk-UA" w:eastAsia="ru-RU"/>
        </w:rPr>
        <w:t xml:space="preserve">Час максимального накопичення кластерів у селезінці та бурсі Фабриціуса в курчат, заражених сальмонелами </w:t>
      </w:r>
      <w:r w:rsidRPr="00F224C0">
        <w:rPr>
          <w:rFonts w:ascii="Times New Roman" w:eastAsia="Times New Roman" w:hAnsi="Times New Roman" w:cs="Times New Roman"/>
          <w:b/>
          <w:bCs/>
          <w:lang w:eastAsia="ru-RU"/>
        </w:rPr>
        <w:t>(</w:t>
      </w:r>
      <w:r w:rsidRPr="00F224C0">
        <w:rPr>
          <w:rFonts w:ascii="Times New Roman" w:eastAsia="Times New Roman" w:hAnsi="Times New Roman" w:cs="Times New Roman"/>
          <w:b/>
          <w:bCs/>
          <w:lang w:val="en-US" w:eastAsia="ru-RU"/>
        </w:rPr>
        <w:t>M</w:t>
      </w:r>
      <w:r w:rsidRPr="00F224C0">
        <w:rPr>
          <w:rFonts w:ascii="Times New Roman" w:eastAsia="Times New Roman" w:hAnsi="Times New Roman" w:cs="Times New Roman"/>
          <w:b/>
          <w:bCs/>
          <w:lang w:eastAsia="ru-RU"/>
        </w:rPr>
        <w:t>+</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 xml:space="preserve">; </w:t>
      </w:r>
      <w:r w:rsidRPr="00F224C0">
        <w:rPr>
          <w:rFonts w:ascii="Times New Roman" w:eastAsia="Times New Roman" w:hAnsi="Times New Roman" w:cs="Times New Roman"/>
          <w:b/>
          <w:bCs/>
          <w:lang w:val="en-US" w:eastAsia="ru-RU"/>
        </w:rPr>
        <w:t>n</w:t>
      </w:r>
      <w:r w:rsidRPr="00F224C0">
        <w:rPr>
          <w:rFonts w:ascii="Times New Roman" w:eastAsia="Times New Roman" w:hAnsi="Times New Roman" w:cs="Times New Roman"/>
          <w:b/>
          <w:bCs/>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034"/>
        <w:gridCol w:w="2025"/>
        <w:gridCol w:w="2034"/>
        <w:gridCol w:w="2025"/>
      </w:tblGrid>
      <w:tr w:rsidR="00F224C0" w:rsidRPr="00F224C0" w:rsidTr="003B1B13">
        <w:tblPrEx>
          <w:tblCellMar>
            <w:top w:w="0" w:type="dxa"/>
            <w:bottom w:w="0" w:type="dxa"/>
          </w:tblCellMar>
        </w:tblPrEx>
        <w:trPr>
          <w:cantSplit/>
          <w:trHeight w:val="450"/>
        </w:trPr>
        <w:tc>
          <w:tcPr>
            <w:tcW w:w="1342" w:type="dxa"/>
            <w:vMerge w:val="restart"/>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Назва кластера</w:t>
            </w:r>
          </w:p>
        </w:tc>
        <w:tc>
          <w:tcPr>
            <w:tcW w:w="4539"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Селезінка</w:t>
            </w:r>
          </w:p>
        </w:tc>
        <w:tc>
          <w:tcPr>
            <w:tcW w:w="4540" w:type="dxa"/>
            <w:gridSpan w:val="2"/>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Бурса Фабриціуса</w:t>
            </w:r>
          </w:p>
        </w:tc>
      </w:tr>
      <w:tr w:rsidR="00F224C0" w:rsidRPr="00F224C0" w:rsidTr="003B1B13">
        <w:tblPrEx>
          <w:tblCellMar>
            <w:top w:w="0" w:type="dxa"/>
            <w:bottom w:w="0" w:type="dxa"/>
          </w:tblCellMar>
        </w:tblPrEx>
        <w:trPr>
          <w:cantSplit/>
          <w:trHeight w:val="360"/>
        </w:trPr>
        <w:tc>
          <w:tcPr>
            <w:tcW w:w="1342" w:type="dxa"/>
            <w:vMerge/>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both"/>
              <w:outlineLvl w:val="0"/>
              <w:rPr>
                <w:rFonts w:ascii="Times New Roman" w:eastAsia="Times New Roman" w:hAnsi="Times New Roman" w:cs="Times New Roman"/>
                <w:lang w:val="uk-UA" w:eastAsia="ru-RU"/>
              </w:rPr>
            </w:pP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Доба виявлення максимального вмісту кластера</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Максимальний вміст кластера, %</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28,898±1,299</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19,311±1,278*</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9,851±1,708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15–17</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3,721±0,187*</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eastAsia="ru-RU"/>
              </w:rPr>
            </w:pP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18,697±1,056</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8–13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14,769±1,196*</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CVI</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66,352±1,242</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13</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19,138±2,057</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IgG</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0,655±0,158</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2,029±0,044*</w:t>
            </w:r>
          </w:p>
        </w:tc>
      </w:tr>
      <w:tr w:rsidR="00F224C0" w:rsidRPr="00F224C0" w:rsidTr="003B1B13">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IgA</w:t>
            </w:r>
          </w:p>
        </w:tc>
        <w:tc>
          <w:tcPr>
            <w:tcW w:w="2269"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eastAsia="ru-RU"/>
              </w:rPr>
              <w:t>51</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0,761±0,094*</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13–17</w:t>
            </w:r>
          </w:p>
        </w:tc>
        <w:tc>
          <w:tcPr>
            <w:tcW w:w="2270"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spacing w:line="360" w:lineRule="auto"/>
              <w:ind w:right="-55"/>
              <w:jc w:val="center"/>
              <w:outlineLvl w:val="0"/>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8,914±3,385</w:t>
            </w:r>
          </w:p>
        </w:tc>
      </w:tr>
    </w:tbl>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Примітка</w:t>
      </w:r>
      <w:r w:rsidRPr="00F224C0">
        <w:rPr>
          <w:rFonts w:ascii="Times New Roman" w:eastAsia="Times New Roman" w:hAnsi="Times New Roman" w:cs="Times New Roman"/>
          <w:lang w:val="uk-UA" w:eastAsia="ru-RU"/>
        </w:rPr>
        <w:t>: * – різниця значень показників дослідних тварин (1-а група) вірогідна за р&lt;0,001 відносно рівня значень відповідних показників у групі контролю.</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Динаміка змін субпопуляції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була дуже схожою із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8.</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Характер динаміки змін субпопуляції В-лімфоцитів з поверхневим маркером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був таким, як і в групі імунізованих курчат, тобто спостерігався період підвищення активності з першої по    8-у добу включно. Але, на відміну від групи імунізованих курчат, у групі інфікованої птиці це збільшення було значно сильнішим. У період з 15-ї і по 51-у доби відбувалося стабільне зниження величини відсоткового вмісту цієї субпопуляції, що вірогідно можна пояснювати переходом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в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субпопуляції В-лімфоцитів з поверхневим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у перші два тижні після інокуляції збудника не було встановлено стійкої тенденції до збільшення або зменшення кількості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Це могло вказувати на те, що кінцеве формування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з його попередника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М відбувається на 14-у добу життя.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Як і в імунізованих курчат, так і в групі інфікованих курчат при вивченні В-лімфоцитів з поверхневим маркером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не було встановлено чіткої тенденції до збільшення або зменшення відсоткового вмісту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в селезінці протягом перших 13-ти діб досліджень. На 21-у й на 51-у доби встановлено різке збільшення кількості клітин кластера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А, особливо на 51-у добу, коли його відсоток становив 0,761</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0,094 % при 0,263</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0,063 % у групі контролю.</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У цілому дослідження групи лімфоцитів з маркерами імуноглобулінів у селезінці свідчили про відсутність чітких проявів збільшення кількості глобулінекспресуючих </w:t>
      </w:r>
      <w:r w:rsidRPr="00F224C0">
        <w:rPr>
          <w:rFonts w:ascii="Times New Roman" w:eastAsia="Times New Roman" w:hAnsi="Times New Roman" w:cs="Times New Roman"/>
          <w:lang w:val="uk-UA" w:eastAsia="ru-RU"/>
        </w:rPr>
        <w:lastRenderedPageBreak/>
        <w:t xml:space="preserve">субпопуляцій клітин, зокрема лімфоцитів з маркерами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та про супресію субпопуляції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М, яка розвивалася наприкінці періоду досліджень.</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Зростання субпопуляції мононуклеарів з поверхневим маркером </w:t>
      </w:r>
      <w:r w:rsidRPr="00F224C0">
        <w:rPr>
          <w:rFonts w:ascii="Times New Roman" w:eastAsia="Times New Roman" w:hAnsi="Times New Roman" w:cs="Times New Roman"/>
          <w:lang w:val="en-GB" w:eastAsia="ru-RU"/>
        </w:rPr>
        <w:t>CVI</w:t>
      </w:r>
      <w:r w:rsidRPr="00F224C0">
        <w:rPr>
          <w:rFonts w:ascii="Times New Roman" w:eastAsia="Times New Roman" w:hAnsi="Times New Roman" w:cs="Times New Roman"/>
          <w:lang w:val="uk-UA" w:eastAsia="ru-RU"/>
        </w:rPr>
        <w:t xml:space="preserve"> (макрофагів) відзначалося в більш ранні строки, ніж у інших субпопуляцій, тобто вже на 3-ю добу, і зберігалося до 6-ї доби, що пояснюється, можливо, їхньою найбільш ранньою взаємодією з антигеном як ланки, що забезпечує подання переробленої антигенної субстанції виконавчим клітинам.</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Дослідженнями кластерів імунних клітин у бурсі Фабриціуса в курчат установлено, що в субпопуляції лімфоцитів з поверхневим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який характеризує загальну кількість тканинних Т-лімфоцитів у лімфоїдному органі, у інфікованої птиці на 1-у та 2-у доби спостерігалася тенденція до зниження, і лише з 3-ї доби спостерігалися незначні позитивні зрушення із збільшенням відсотка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3–4,550</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0,592 % проти 2,781±0,562 % у курчат на 1-у добу. Максимальне зростання кількості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клітин установлено на 8-у добу, коли в цій групі піддослідних курчат відсоток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3 становив 19,311</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1,278 % проти 8,513±2,428 % на 6-у добу.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sz w:val="20"/>
          <w:szCs w:val="20"/>
          <w:lang w:val="uk-UA" w:eastAsia="ru-RU"/>
        </w:rPr>
      </w:pPr>
      <w:r w:rsidRPr="00F224C0">
        <w:rPr>
          <w:rFonts w:ascii="Times New Roman" w:eastAsia="Times New Roman" w:hAnsi="Times New Roman" w:cs="Times New Roman"/>
          <w:lang w:val="uk-UA" w:eastAsia="ru-RU"/>
        </w:rPr>
        <w:t xml:space="preserve">Величина маркера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4 виявляла слабку тенденцію до збільшення в перші дві доби. На         3-ю добу збільшення відсотка Т-хелперів досягало в групі інфікованих курчат високого значення (1,113</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0,458 % проти 0,474±0,178 % на 2-у добу). Як свідчать дані, подані на рис. 2, вірогідне збільшення площі клітин з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4 тривало до 21-ї доби.</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noProof/>
          <w:lang w:eastAsia="ru-RU"/>
        </w:rPr>
        <w:drawing>
          <wp:inline distT="0" distB="0" distL="0" distR="0">
            <wp:extent cx="4885690" cy="2760980"/>
            <wp:effectExtent l="0" t="0" r="0" b="0"/>
            <wp:docPr id="139" name="Диаграмма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динаміки змін субпопуляції Т-лімфоцитів з поверхневим маркером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8 у бурсі Фабриціуса в групі заражених курчат була встановлена деяка супресія. Але з 8-ї доби після інфікування спостерігався процес збільшення вмісту маркера з максимальним рівнем на 13-у добу–14,769</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1,196 %.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 xml:space="preserve">Кількісні зміни кластера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також указували на його активну участь у захисті курчат проти сальмонельозу. Так, на 2-у добу спостерігали супресію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Але, на відміну від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8, процес різкого підвищення починався раніше – вже на 6-у добу та тривав до 10-ї доби (3,920</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0,507 % проти 3,623±0,594 % на 8-у добу). Від групи імунізованих курчат рівень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1 відрізнявся більш тривалим і сильним постсупресивним його зростанням.</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Суттєве зниження кількості лімфоцитів з маркером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більш виражене, ніж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спостерігалось уже на 3-ю добу. Значне підвищення кількості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2 відзначали на 8-у добу, і особливо на 10-у (1,415</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0,190 % при 0,864±0,143 % на 8-у добу).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клітин з маркером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збільшення їхнього вмісту виявили на 6-у добу після інфікування (8,943</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2,045 % проти 5,395</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0,590 % у групі контролю). Потім відбувалося збільшення кількості клітин з цим поверхневим маркером на 10-у добу та різке зменшення на 13-у добу до 6,747</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0,743 %, що можна було пояснити перетворенням клітин з маркером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на клітини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після 10-ї доби досліду.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Це положення підтверджувалося даними детекції лімфоцитів з поверхневим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Як засвідчили здійснені дослідження, кількість клітин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у бурсі Фабриціуса піддослідних і контрольних курчат зростала та утримувалась майже на однаковому рівні між 1-ю та 10-ю добами. Потім спостерігалося різке підвищення їхньої кількості на 13-у добу (до 1,848±0,801 % проти 0,624±0,121 % на 6-у добу).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вивченні лімфоцитів з поверхневим маркером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А в бурсі Фабриціуса встановлена винятково висока їхня активність, яка досить сильно виражена вже на 8-у добу (5,907</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 xml:space="preserve">1,572 % проти 0,052±0,008 % на 1-у добу). На 51-у добу відзначено часткове зниження їхньої кількості, яка, однак, залишалася набагато вищою, ніж у контролі. На 13-у добу рівень вмісту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А досягав максимуму та становив 8,914±3,385 %.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Отже, звертала на себе увагу активна участь у формуванні імунітету при сальмонельозі клітин бурси Фабриціуса, що продукують імуноглобуліни. У бурсі Фабриціуса лімфоцитів з маркером </w:t>
      </w:r>
      <w:r w:rsidRPr="00F224C0">
        <w:rPr>
          <w:rFonts w:ascii="Times New Roman" w:eastAsia="Times New Roman" w:hAnsi="Times New Roman" w:cs="Times New Roman"/>
          <w:lang w:val="en-GB" w:eastAsia="ru-RU"/>
        </w:rPr>
        <w:t>Ig</w:t>
      </w:r>
      <w:r w:rsidRPr="00F224C0">
        <w:rPr>
          <w:rFonts w:ascii="Times New Roman" w:eastAsia="Times New Roman" w:hAnsi="Times New Roman" w:cs="Times New Roman"/>
          <w:lang w:val="uk-UA" w:eastAsia="ru-RU"/>
        </w:rPr>
        <w:t xml:space="preserve">А було більше, ніж у селезінці, також багато було в ній і клітин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у той час, як у селезінці вміст останніх був незначним, що підкреслювало вирішальне значення фабрицієвої бурси у формуванні гуморальної імунної відповіді птиці.</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Проте, в бурсі Фабриціуса інфікованих курчат набагато сильніше зростав вміст клітин з маркерами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IgA</w:t>
      </w:r>
      <w:r w:rsidRPr="00F224C0">
        <w:rPr>
          <w:rFonts w:ascii="Times New Roman" w:eastAsia="Times New Roman" w:hAnsi="Times New Roman" w:cs="Times New Roman"/>
          <w:lang w:val="uk-UA" w:eastAsia="ru-RU"/>
        </w:rPr>
        <w:t xml:space="preserve">, а рівень вмісту клітин з маркером </w:t>
      </w:r>
      <w:r w:rsidRPr="00F224C0">
        <w:rPr>
          <w:rFonts w:ascii="Times New Roman" w:eastAsia="Times New Roman" w:hAnsi="Times New Roman" w:cs="Times New Roman"/>
          <w:lang w:val="en-GB" w:eastAsia="ru-RU"/>
        </w:rPr>
        <w:t>IgG</w:t>
      </w:r>
      <w:r w:rsidRPr="00F224C0">
        <w:rPr>
          <w:rFonts w:ascii="Times New Roman" w:eastAsia="Times New Roman" w:hAnsi="Times New Roman" w:cs="Times New Roman"/>
          <w:lang w:val="uk-UA" w:eastAsia="ru-RU"/>
        </w:rPr>
        <w:t xml:space="preserve"> був вищим у вакцинованої птиці. У інфікованих курчат у бурсі Фабриціуса, на відміну від імунізованих, набагато сильніше збільшується вміст лімфоцитів з поверхневими маркерами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GB"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GB" w:eastAsia="ru-RU"/>
        </w:rPr>
        <w:t>TcR</w:t>
      </w:r>
      <w:r w:rsidRPr="00F224C0">
        <w:rPr>
          <w:rFonts w:ascii="Times New Roman" w:eastAsia="Times New Roman" w:hAnsi="Times New Roman" w:cs="Times New Roman"/>
          <w:lang w:val="uk-UA" w:eastAsia="ru-RU"/>
        </w:rPr>
        <w:t xml:space="preserve">2, а в селезінці також і клітин з маркерами </w:t>
      </w:r>
      <w:r w:rsidRPr="00F224C0">
        <w:rPr>
          <w:rFonts w:ascii="Times New Roman" w:eastAsia="Times New Roman" w:hAnsi="Times New Roman" w:cs="Times New Roman"/>
          <w:lang w:val="en-GB"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GB" w:eastAsia="ru-RU"/>
        </w:rPr>
        <w:t>IgA</w:t>
      </w:r>
      <w:r w:rsidRPr="00F224C0">
        <w:rPr>
          <w:rFonts w:ascii="Times New Roman" w:eastAsia="Times New Roman" w:hAnsi="Times New Roman" w:cs="Times New Roman"/>
          <w:lang w:val="uk-UA" w:eastAsia="ru-RU"/>
        </w:rPr>
        <w:t>. Збільшення кількості кластерів імунітету за винятком макрофагів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після імунізації було у фабрицієвій бурсі набагато сильніше виражено, ніж у селезінці. Наведені дані </w:t>
      </w:r>
      <w:r w:rsidRPr="00F224C0">
        <w:rPr>
          <w:rFonts w:ascii="Times New Roman" w:eastAsia="Times New Roman" w:hAnsi="Times New Roman" w:cs="Times New Roman"/>
          <w:lang w:val="uk-UA" w:eastAsia="ru-RU"/>
        </w:rPr>
        <w:lastRenderedPageBreak/>
        <w:t xml:space="preserve">підтверджують висловлену раніше тезу про більшу роль бурси Фабриціуса, хоча свідчать про те, що обидва органи різною мірою беруть участь у формуванні імунного захисту як при інфікуванні сальмонельозом, так і при щепленні атенуйованою вакциною. Заслуговував на увагу той факт, що рівні вмісту клітин з маркерами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у фабрицієвій бурсі досягали максимуму на 13-ту – 15-ту доби, причому кількість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була більшою в імунізованої птиці, а рівень вмісту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був вищим у птиці, зараженої патогенним збудником. Отже, за даними імуногістохімічних досліджень формування імунітету в організмі щепленої та інфікованої птиці настає на 13-у–15-у доби за участі обох основних кластерів продуцентів імуноглобулінів. </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Імунітет, що формувався після зараження сальмонельозом та щеплення курчат проти нього, мав певні відмінності. Як свідчать дані проведених досліджень, існують також інші відмінності в характері динаміки змін інших кластерів у групах щеплених та заражених курчат. Так, зокрема встановлено, що кількість клітин кластера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у селезінці зростає значно сильніше в групах імунізованих курчат, у той час як кількість клітин з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CD8, TcR1 та TcR2 стабільніше зростала в інфікованих курчат. Виходячи з цього, можна припускати, що при зараженні курчат більш активно спрацьовує функція первинного клітинного захисту, а при вакцинації сильніше виражені прояви антитільного, гуморального імунітету. Звертало на себе увагу й те, що при зараженні курчат у бурсі Фабриціуса сильніше визначалося збільшення кількості (а отже, й посилення активності) лімфоцитів з поверхневими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US" w:eastAsia="ru-RU"/>
        </w:rPr>
        <w:t>T</w:t>
      </w:r>
      <w:r w:rsidRPr="00F224C0">
        <w:rPr>
          <w:rFonts w:ascii="Times New Roman" w:eastAsia="Times New Roman" w:hAnsi="Times New Roman" w:cs="Times New Roman"/>
          <w:lang w:val="uk-UA" w:eastAsia="ru-RU"/>
        </w:rPr>
        <w:t>с</w:t>
      </w:r>
      <w:r w:rsidRPr="00F224C0">
        <w:rPr>
          <w:rFonts w:ascii="Times New Roman" w:eastAsia="Times New Roman" w:hAnsi="Times New Roman" w:cs="Times New Roman"/>
          <w:lang w:val="en-US" w:eastAsia="ru-RU"/>
        </w:rPr>
        <w:t>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val="uk-UA" w:eastAsia="ru-RU"/>
        </w:rPr>
        <w:t xml:space="preserve">, а в селезінці – кластера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val="uk-UA" w:eastAsia="ru-RU"/>
        </w:rPr>
        <w:t>.</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Заслуговувало на увагу те, що в бурсі Фабриціуса дуже чітко, на протилежність групі інфікованих курчат, визначалося домінування на 8-у – 51-у доби клітин кластера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Причому високий і стабільний рівень їхнього вмісту утримувався з 13-ї по 51-у доби включно. Отже, імуногістохімічне визначення кількості кластера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може бути критерієм визначення активності протисальмонельозних вакцин. Привертає увагу те, що в зараженої птиці превалюють клітини кластера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у той час як у щеплених курчат превалюють клітини кластера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що може бути використано для диференціації післявакцинального та післяінфекційного імунітетів за цього захворювання.</w:t>
      </w:r>
    </w:p>
    <w:p w:rsidR="00F224C0" w:rsidRPr="00F224C0" w:rsidRDefault="00F224C0" w:rsidP="00F224C0">
      <w:pPr>
        <w:suppressAutoHyphens w:val="0"/>
        <w:autoSpaceDE w:val="0"/>
        <w:autoSpaceDN w:val="0"/>
        <w:spacing w:after="120"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Вивчення динаміки накопичення сальмонельозного антигена у внутрішніх та імунокомпетентних органах і тканинах курчат після орального зараження </w:t>
      </w:r>
      <w:r w:rsidRPr="00F224C0">
        <w:rPr>
          <w:rFonts w:ascii="Times New Roman" w:eastAsia="Times New Roman" w:hAnsi="Times New Roman" w:cs="Times New Roman"/>
          <w:b/>
          <w:bCs/>
          <w:i/>
          <w:iCs/>
          <w:lang w:val="en-US" w:eastAsia="ru-RU"/>
        </w:rPr>
        <w:t>Salmonella</w:t>
      </w:r>
      <w:r w:rsidRPr="00F224C0">
        <w:rPr>
          <w:rFonts w:ascii="Times New Roman" w:eastAsia="Times New Roman" w:hAnsi="Times New Roman" w:cs="Times New Roman"/>
          <w:b/>
          <w:bCs/>
          <w:i/>
          <w:iCs/>
          <w:lang w:val="uk-UA" w:eastAsia="ru-RU"/>
        </w:rPr>
        <w:t xml:space="preserve"> </w:t>
      </w:r>
      <w:r w:rsidRPr="00F224C0">
        <w:rPr>
          <w:rFonts w:ascii="Times New Roman" w:eastAsia="Times New Roman" w:hAnsi="Times New Roman" w:cs="Times New Roman"/>
          <w:b/>
          <w:bCs/>
          <w:i/>
          <w:iCs/>
          <w:lang w:val="en-US" w:eastAsia="ru-RU"/>
        </w:rPr>
        <w:t>enteritidis</w:t>
      </w:r>
      <w:r w:rsidRPr="00F224C0">
        <w:rPr>
          <w:rFonts w:ascii="Times New Roman" w:eastAsia="Times New Roman" w:hAnsi="Times New Roman" w:cs="Times New Roman"/>
          <w:b/>
          <w:bCs/>
          <w:lang w:val="uk-UA" w:eastAsia="ru-RU"/>
        </w:rPr>
        <w:t>.</w:t>
      </w:r>
      <w:r w:rsidRPr="00F224C0">
        <w:rPr>
          <w:rFonts w:ascii="Times New Roman" w:eastAsia="Times New Roman" w:hAnsi="Times New Roman" w:cs="Times New Roman"/>
          <w:lang w:val="uk-UA" w:eastAsia="ru-RU"/>
        </w:rPr>
        <w:t xml:space="preserve"> Дослідження здійснювали на 90 головах курчат добового віку породи Білий Легорн, з яких було сформовано 2 групи: інфіковані та контрольні. Забій курчат проводили на 5-у, 8-у, 10-у, 13-у, 15-у, 17-у, 21-у та 51-у доби після інфікування. </w:t>
      </w:r>
    </w:p>
    <w:p w:rsidR="00F224C0" w:rsidRPr="00F224C0" w:rsidRDefault="00F224C0" w:rsidP="00F224C0">
      <w:pPr>
        <w:suppressAutoHyphens w:val="0"/>
        <w:autoSpaceDE w:val="0"/>
        <w:autoSpaceDN w:val="0"/>
        <w:spacing w:after="120"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Метою цих досліджень було розробити імуногістохімічний метод визначення специфічних антигенів сальмонел у тканинах хворої на сальмонельоз птиці для індикації уражених збудником органів і тканин.</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Сальмонельозний антиген у гістологічних препаратах тканин і органів тварин дослідної групи після імуногістохімічного фарбування мав вигляд локальних або дифузних скупчень округлої та глибчастої форми коричневого кольору на загальному синьому фоні. На гістологічних зрізах тканин та органів тварин контрольної групи таких скупчень не спостерігалося.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При дослідженні змін у залозистому шлунку на 5-у добу було встановлено, що сальмонельозний антиген у вигляді дрібних глибок накопичувався лише в стінках головних залоз. Відсоткова кількість антигена становила 1,58±0,007 %. При вивченні імуногістохімічних змін у залозистому шлунку на 10-у добу спостережень було встановлено, що антиген сальмонели накопичувався в просвіті кровоносних судин. Поодинокі його глибки спостерігались у стінках головних залоз. Відсоткова кількість антигена складала 3,23±0,035 % відносно всієї площі гістологічного зрізу. Максимальних показників кількість сальмонельозного антигена набувала на 15-у добу досліджень і становила 5,09±0,055 %.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Досить слабко на зараження сальмонельозом реагували тканини бурси Фабриціуса в перші два тижні спостережень. Антиген виявляли лише в міжфолікулярній сполучній тканині у вигляді окремих дрібних глибок. Маса бурси Фабриціуса на 5-у добу дорівнювала 0,057±0,010 г у інфікованих курчат проти 0,085±0,011 г у групі здорових контрольних курчат. Звертав на себе увагу той факт, що з 17-ї доби спостерігалося різке збільшення відсоткової кількості антигена в бурсі Фабриціуса, коли його вміст досягав максимального значення та дорівнював 14,42±0,12 %.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При аналізі імуногістохімічних змін у селезінці встановлено дві хвилі помітного підвищення відсоткової кількості сальмонельозного антигена – на 8-у та 15-у доби досліджень. Кількість антигена на 5-у добу була в цілому невеликою – 2,23±0,031 %. Але вже на 8-у добу спостерігалася перша хвиля підйому вмісту сальмонельозного антигена, коли його відсоткова кількість становила 13,58±0,046 %. У цей період антиген накопичувався навколо ретикуло-ендотеліальних муфт, де він фіксувався періеліпсоїдами–клітинами, розташованими по периферії муфт. Друга хвиля різкого підвищення вмісту сальмонельозного антигена була зареєстрована на 15-у добу спостережень. Площа, яку займав антиген у селезінці на 15-у добу, становила 34,75±0,038 %. У наступний період, між 17-ю та 51-ю добами, спостерігався спад активності накопичення антигена сальмонели, особливо виражений на 21-у і 51-у доби досліджень.</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Що стосується сліпої кишки, то динаміка накопичення антигена сальмонели в цьому органі була дуже схожою з такою в бурсі Фабриціуса. На 17-у добу досліджень спостерігали різке збільшення вмісту антигена, коли його рівень досягав 19,36±0,084 % і він накопичувався в підслизовому шарі та просвіті кровоносних судин. Максимальна кількість сальмонельозного антигена відзначена на 21-у добу (19,82±0,049 %).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Вивчення динаміки накопичення сальмонельозного антигена в м’язовій тканині дозволило встановити дуже низький його рівень. З 5-ї до 13-ї доби антиген виявляли лише між окремими м’язовими волокнами у вигляді поодиноких гранул. Площа, яку займав антиген на 5-у добу, становила 1,02±0,014 %. Максимальний рівень накопичення антигена спостерігався на 17-у добу, коли його вміст досягав 2,85±0,053 %.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sz w:val="20"/>
          <w:szCs w:val="20"/>
          <w:lang w:val="uk-UA" w:eastAsia="ru-RU"/>
        </w:rPr>
      </w:pPr>
      <w:r w:rsidRPr="00F224C0">
        <w:rPr>
          <w:rFonts w:ascii="Times New Roman" w:eastAsia="Times New Roman" w:hAnsi="Times New Roman" w:cs="Times New Roman"/>
          <w:lang w:val="uk-UA" w:eastAsia="ru-RU"/>
        </w:rPr>
        <w:t>Тенденція до поступового збільшення вмісту сальмонельозного антигена відзначена і в тимусі.</w:t>
      </w:r>
      <w:r w:rsidRPr="00F224C0">
        <w:rPr>
          <w:rFonts w:ascii="Times New Roman" w:eastAsia="Times New Roman" w:hAnsi="Times New Roman" w:cs="Times New Roman"/>
          <w:sz w:val="20"/>
          <w:szCs w:val="20"/>
          <w:lang w:val="uk-UA" w:eastAsia="ru-RU"/>
        </w:rPr>
        <w:t xml:space="preserve">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noProof/>
          <w:lang w:eastAsia="ru-RU"/>
        </w:rPr>
        <w:drawing>
          <wp:inline distT="0" distB="0" distL="0" distR="0">
            <wp:extent cx="3774440" cy="2734310"/>
            <wp:effectExtent l="0" t="0" r="0" b="0"/>
            <wp:docPr id="138" name="Диаграмма 1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Як свідчать дані рисунка 3, при аналізі імуногістохімічних змін у печінці встановлено різке (майже вдвічі) підвищення рівня накопичення антигена сальмонели (з 4,67±0,028 % на 5-у добу до 8,61±0,032 % на 8-у добу). Основним місцем накопичення антигена на цей час був просвіт кровоносних судин. У наступний період, з 10-ї до 13-ї доби, кількість антигена в органі повільно зростала на 13-у добу досліджень. Максимального рівня процес накопичення антигена досягав на 15-у добу після інфікування, коли відсоткова його кількість досягла 14,80±0,028 %. Антигенні скупчення набували дифузного характеру.</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Отже, одержані результати свідчать, що більшу кількість антигена сальмонели було виявлено в гістологічних зрізах селезінки та печінки. З цього можна зробити висновок, що за орального зараження курчат збудник сальмонельозу в основному розмножується і накопичується в селезінці та печінці, і менше в інших органах, що досліджувалися. Частіше </w:t>
      </w:r>
      <w:r w:rsidRPr="00F224C0">
        <w:rPr>
          <w:rFonts w:ascii="Times New Roman" w:eastAsia="Times New Roman" w:hAnsi="Times New Roman" w:cs="Times New Roman"/>
          <w:lang w:val="uk-UA" w:eastAsia="ru-RU"/>
        </w:rPr>
        <w:lastRenderedPageBreak/>
        <w:t>імунофарбований антиген спостерігався в структурах, багатих на ретикуло-ендотеліальні клітини.</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Вивчення динаміки накопичення сальмонельозного антигена у внутрішніх та імунокомпетентних органах і тканинах курчат після внутрішньом’язового зараження </w:t>
      </w:r>
      <w:r w:rsidRPr="00F224C0">
        <w:rPr>
          <w:rFonts w:ascii="Times New Roman" w:eastAsia="Times New Roman" w:hAnsi="Times New Roman" w:cs="Times New Roman"/>
          <w:b/>
          <w:bCs/>
          <w:i/>
          <w:iCs/>
          <w:lang w:val="en-US" w:eastAsia="ru-RU"/>
        </w:rPr>
        <w:t>Salmonella</w:t>
      </w:r>
      <w:r w:rsidRPr="00F224C0">
        <w:rPr>
          <w:rFonts w:ascii="Times New Roman" w:eastAsia="Times New Roman" w:hAnsi="Times New Roman" w:cs="Times New Roman"/>
          <w:b/>
          <w:bCs/>
          <w:i/>
          <w:iCs/>
          <w:lang w:val="uk-UA" w:eastAsia="ru-RU"/>
        </w:rPr>
        <w:t xml:space="preserve"> </w:t>
      </w:r>
      <w:r w:rsidRPr="00F224C0">
        <w:rPr>
          <w:rFonts w:ascii="Times New Roman" w:eastAsia="Times New Roman" w:hAnsi="Times New Roman" w:cs="Times New Roman"/>
          <w:b/>
          <w:bCs/>
          <w:i/>
          <w:iCs/>
          <w:lang w:val="en-US" w:eastAsia="ru-RU"/>
        </w:rPr>
        <w:t>enteritidis</w:t>
      </w:r>
      <w:r w:rsidRPr="00F224C0">
        <w:rPr>
          <w:rFonts w:ascii="Times New Roman" w:eastAsia="Times New Roman" w:hAnsi="Times New Roman" w:cs="Times New Roman"/>
          <w:b/>
          <w:bCs/>
          <w:lang w:val="uk-UA" w:eastAsia="ru-RU"/>
        </w:rPr>
        <w:t xml:space="preserve">. </w:t>
      </w:r>
      <w:r w:rsidRPr="00F224C0">
        <w:rPr>
          <w:rFonts w:ascii="Times New Roman" w:eastAsia="Times New Roman" w:hAnsi="Times New Roman" w:cs="Times New Roman"/>
          <w:lang w:val="uk-UA" w:eastAsia="ru-RU"/>
        </w:rPr>
        <w:t>Дослідження проводили на 30 головах курчат породи Білий Легорн            14-добового віку, з яких було сформовано 2 групи: 1-а група–інфіковані, 2-а група–контрольна. Забій курчат проводили на 15-у, 30-у та 45-у доби після інфікування.</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У залозистому шлунку інфікованих курчат відзначали накопичення сальмонельозного антигена в основному протягом першого місяця досліджень. Так, якщо на 15-у добу кількість антигена становила 9,79±0,042 %, то вже на 30-у добу вона досягла 8,77±0,043 %. Залозисті шлунки від контрольних, інтактних курчат переважали за масою інфікованих майже вдвічі.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При дослідженні імуногістохімічних змін у бурсі Фабриціуса було встановлено різке підвищення кількості сальмонельозного антигена на 15-у добу, коли максимальний його вміст становив 6,20±0,014 %. Слід зазначити, що в цей період досліджень зареєстровано велику різницю (майже у 8 разів) між масою цього органу в інфікованих та контрольних курчат. На 30-у добу спостережень рівень антигена в бурсі Фабриціуса різко знижувався і кількісний його показник становив 1,98±0,021 %.</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На 15-добу досліджень кількість сальмонельозного антигена в селезінці була відносно невеликою–5,29±0,028</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 але вже на 30-у добу його кількість становила 44,10±0,042</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 Відповідно змінювалась і маса селезінки. Так, на 15-у добу вона становила 0,051±0,008</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г у інфікованих курчат проти 0,150±0,024</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г у групі контрольної птиці. На 30-у добу цей показник дорівнював 0,257±0,046</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г проти 0,411±0,063</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г у групі контролю відповідно. На 45-у добу спостерігали процес поступового, повільного зменшення кількості антигена збудника сальмонельозу до 36,9±0,033</w:t>
      </w:r>
      <w:r w:rsidRPr="00F224C0">
        <w:rPr>
          <w:rFonts w:ascii="Times New Roman" w:eastAsia="Times New Roman" w:hAnsi="Times New Roman" w:cs="Times New Roman"/>
          <w:lang w:val="en-US" w:eastAsia="ru-RU"/>
        </w:rPr>
        <w:t> </w:t>
      </w:r>
      <w:r w:rsidRPr="00F224C0">
        <w:rPr>
          <w:rFonts w:ascii="Times New Roman" w:eastAsia="Times New Roman" w:hAnsi="Times New Roman" w:cs="Times New Roman"/>
          <w:lang w:eastAsia="ru-RU"/>
        </w:rPr>
        <w:t>%. Проте цей показник усе ж був досить високим.</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Аналіз динаміки накопичення антигена в м’язовій тканині засвідчив, що максимального рівня процес набуває вже на 15-у добу досліджень, коли його показник дорівнював 11,00±0,039 %.</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Характер кривої змін у тимусі не відрізнявся від м’язової тканини. Максимальних показників процес накопичення досяг на 15-у добу спостережень–46,51±0,039 %. При зважуванні тимуса було виявлено дуже низьку масу цього органу в інфікованих тварин порівняно з інтактними.</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На відміну від інших органів і тканин, печінка була тим органом, де сальмонельозний антиген накопичувався та зберігався в дуже великій кількості протягом усього періоду досліджень. Максимального рівня процес накопичення досягав на 15-у добу, коли його </w:t>
      </w:r>
      <w:r w:rsidRPr="00F224C0">
        <w:rPr>
          <w:rFonts w:ascii="Times New Roman" w:eastAsia="Times New Roman" w:hAnsi="Times New Roman" w:cs="Times New Roman"/>
          <w:lang w:val="uk-UA" w:eastAsia="ru-RU"/>
        </w:rPr>
        <w:lastRenderedPageBreak/>
        <w:t>відсоткова кількість досягала 26,81±0,043 %. Маса печінки становила в заражених тварин 2,337±0,102 г проти 4,087±0,082 г у групі контролю.</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sz w:val="20"/>
          <w:szCs w:val="20"/>
          <w:lang w:val="uk-UA" w:eastAsia="ru-RU"/>
        </w:rPr>
      </w:pPr>
      <w:r w:rsidRPr="00F224C0">
        <w:rPr>
          <w:rFonts w:ascii="Times New Roman" w:eastAsia="Times New Roman" w:hAnsi="Times New Roman" w:cs="Times New Roman"/>
          <w:lang w:val="uk-UA" w:eastAsia="ru-RU"/>
        </w:rPr>
        <w:t>Таким чином, за внутрішньом’язового інфікування курчат збудником сальмонельозу найбільше нагромадження антигена спостерігалось у бурсі Фабриціуса, селезінці, тимусі й печінці в перші два тижні після інфікування. Печінка зберігала в собі велику кількість сальмонельозного антигена більш тривалий час, і тому, очевидно, цей орган є найбільш небезпечним для здоров’я людини. М’язова тканина також може бути джерелом сальмонельозної інфекції.</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Вивчення параметрів маси органів курчат після орального зараження збудником сальмонельозу </w:t>
      </w:r>
      <w:r w:rsidRPr="00F224C0">
        <w:rPr>
          <w:rFonts w:ascii="Times New Roman" w:eastAsia="Times New Roman" w:hAnsi="Times New Roman" w:cs="Times New Roman"/>
          <w:lang w:val="uk-UA" w:eastAsia="ru-RU"/>
        </w:rPr>
        <w:t>При вивченні вмісту кластерів імунних клітин після зараження курчат сальмонелами визначалася також динаміка зміни мас досліджуваних органів у аналогічні строки, тобто через 5-ть, 8-м, 10-ть, 13-ть, 15-ть, 17-ть, 21-у, та 51-у добу після орального введення збудника. Отримані дані свідчать про те, що введені через рот патогенні сальмонели пригнічують загальну активність органів, тобто негативно впливають на тимус, бурсу Фабриціуса та селезінку, що виконують важливу імунологічну функцію. Їхня дія призводила також до значного зменшення маси залозистого шлунка і печінки. Менше, ніж у інших органів, знижувалася проти норми маса печінки. Знижені проти контролю рівні маси тимуса, бурси Фабриціуса та селезінки утримувалися до 21-ї доби, і лише на 51-у добу відзначалася тенденція до її підвищення, особливо це стосувалося тимуса, селезінки і залозистого шлунка. Таким чином, з наведеного вище видно, що сальмонели викликають тривале зниження маси органів імунітету, залозистого шлунка і печінки в інфікованих курчат.</w:t>
      </w:r>
    </w:p>
    <w:p w:rsidR="00F224C0" w:rsidRPr="00F224C0" w:rsidRDefault="00F224C0" w:rsidP="00F224C0">
      <w:pPr>
        <w:keepNext/>
        <w:numPr>
          <w:ilvl w:val="0"/>
          <w:numId w:val="1"/>
        </w:numPr>
        <w:tabs>
          <w:tab w:val="clear" w:pos="708"/>
        </w:tabs>
        <w:suppressAutoHyphens w:val="0"/>
        <w:autoSpaceDE w:val="0"/>
        <w:autoSpaceDN w:val="0"/>
        <w:spacing w:before="240" w:after="60" w:line="360" w:lineRule="auto"/>
        <w:ind w:left="0" w:firstLine="720"/>
        <w:jc w:val="right"/>
        <w:outlineLvl w:val="0"/>
        <w:rPr>
          <w:rFonts w:ascii="Times New Roman" w:eastAsia="Times New Roman" w:hAnsi="Times New Roman" w:cs="Times New Roman"/>
          <w:kern w:val="32"/>
          <w:lang w:val="uk-UA" w:eastAsia="ru-RU"/>
        </w:rPr>
      </w:pPr>
      <w:r w:rsidRPr="00F224C0">
        <w:rPr>
          <w:rFonts w:ascii="Times New Roman" w:eastAsia="Times New Roman" w:hAnsi="Times New Roman" w:cs="Times New Roman"/>
          <w:kern w:val="32"/>
          <w:lang w:val="uk-UA" w:eastAsia="ru-RU"/>
        </w:rPr>
        <w:t>Таблиця 4</w:t>
      </w:r>
    </w:p>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b/>
          <w:bCs/>
          <w:lang w:val="uk-UA" w:eastAsia="ru-RU"/>
        </w:rPr>
        <w:t xml:space="preserve">Відсоток втрати живої маси внутрішніх органів курчат після орального зараження </w:t>
      </w:r>
      <w:r w:rsidRPr="00F224C0">
        <w:rPr>
          <w:rFonts w:ascii="Times New Roman" w:eastAsia="Times New Roman" w:hAnsi="Times New Roman" w:cs="Times New Roman"/>
          <w:b/>
          <w:bCs/>
          <w:i/>
          <w:iCs/>
          <w:lang w:val="en-US" w:eastAsia="ru-RU"/>
        </w:rPr>
        <w:t>Salmonella</w:t>
      </w:r>
      <w:r w:rsidRPr="00F224C0">
        <w:rPr>
          <w:rFonts w:ascii="Times New Roman" w:eastAsia="Times New Roman" w:hAnsi="Times New Roman" w:cs="Times New Roman"/>
          <w:b/>
          <w:bCs/>
          <w:i/>
          <w:iCs/>
          <w:lang w:val="uk-UA" w:eastAsia="ru-RU"/>
        </w:rPr>
        <w:t xml:space="preserve"> </w:t>
      </w:r>
      <w:r w:rsidRPr="00F224C0">
        <w:rPr>
          <w:rFonts w:ascii="Times New Roman" w:eastAsia="Times New Roman" w:hAnsi="Times New Roman" w:cs="Times New Roman"/>
          <w:b/>
          <w:bCs/>
          <w:i/>
          <w:iCs/>
          <w:lang w:val="en-US" w:eastAsia="ru-RU"/>
        </w:rPr>
        <w:t>enteritidis</w:t>
      </w:r>
      <w:r w:rsidRPr="00F224C0">
        <w:rPr>
          <w:rFonts w:ascii="Times New Roman" w:eastAsia="Times New Roman" w:hAnsi="Times New Roman" w:cs="Times New Roman"/>
          <w:b/>
          <w:bCs/>
          <w:lang w:val="uk-UA" w:eastAsia="ru-RU"/>
        </w:rPr>
        <w:t xml:space="preserve"> порівняно з контролем (</w:t>
      </w:r>
      <w:r w:rsidRPr="00F224C0">
        <w:rPr>
          <w:rFonts w:ascii="Times New Roman" w:eastAsia="Times New Roman" w:hAnsi="Times New Roman" w:cs="Times New Roman"/>
          <w:b/>
          <w:bCs/>
          <w:lang w:val="de-DE" w:eastAsia="ru-RU"/>
        </w:rPr>
        <w:t>n</w:t>
      </w:r>
      <w:r w:rsidRPr="00F224C0">
        <w:rPr>
          <w:rFonts w:ascii="Times New Roman" w:eastAsia="Times New Roman" w:hAnsi="Times New Roman" w:cs="Times New Roman"/>
          <w:b/>
          <w:bCs/>
          <w:lang w:val="uk-UA" w:eastAsia="ru-R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656"/>
        <w:gridCol w:w="1656"/>
        <w:gridCol w:w="1656"/>
        <w:gridCol w:w="1656"/>
        <w:gridCol w:w="1656"/>
      </w:tblGrid>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Доба/</w:t>
            </w:r>
          </w:p>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орган</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Тимус</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Залозистий шлунок</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Бурса Фабриціуса</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Печінка</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Селезінка</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32,22</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39,13</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32,95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15,06</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30,24</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34,64</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29,29</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48,39</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15,75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29,10</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10</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54,23</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21,39</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45,37</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14,72</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34,10</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13</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27,42</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18,89</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19,65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16,67</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39,22</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10,95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36,68</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9,67</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17</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34,39</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13,48</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31,04</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16,58</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20,12</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21</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31,71</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15,25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39,98</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18,75</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9,45</w:t>
            </w:r>
          </w:p>
        </w:tc>
      </w:tr>
      <w:tr w:rsidR="00F224C0" w:rsidRPr="00F224C0" w:rsidTr="003B1B13">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51</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17,36</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15,10</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37,94</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19,11</w:t>
            </w:r>
          </w:p>
        </w:tc>
        <w:tc>
          <w:tcPr>
            <w:tcW w:w="1656" w:type="dxa"/>
            <w:tcBorders>
              <w:top w:val="single" w:sz="4" w:space="0" w:color="auto"/>
              <w:left w:val="single" w:sz="4" w:space="0" w:color="auto"/>
              <w:bottom w:val="single" w:sz="4" w:space="0" w:color="auto"/>
              <w:right w:val="single" w:sz="4" w:space="0" w:color="auto"/>
            </w:tcBorders>
          </w:tcPr>
          <w:p w:rsidR="00F224C0" w:rsidRPr="00F224C0" w:rsidRDefault="00F224C0" w:rsidP="00F224C0">
            <w:pPr>
              <w:tabs>
                <w:tab w:val="left" w:pos="6726"/>
              </w:tabs>
              <w:suppressAutoHyphens w:val="0"/>
              <w:autoSpaceDE w:val="0"/>
              <w:autoSpaceDN w:val="0"/>
              <w:ind w:right="-55"/>
              <w:jc w:val="center"/>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15,39</w:t>
            </w:r>
          </w:p>
        </w:tc>
      </w:tr>
    </w:tbl>
    <w:p w:rsidR="00F224C0" w:rsidRPr="00F224C0" w:rsidRDefault="00F224C0" w:rsidP="00F224C0">
      <w:pPr>
        <w:tabs>
          <w:tab w:val="left" w:pos="6726"/>
        </w:tabs>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p>
    <w:p w:rsidR="00F224C0" w:rsidRPr="00F224C0" w:rsidRDefault="00F224C0" w:rsidP="00F224C0">
      <w:pPr>
        <w:tabs>
          <w:tab w:val="left" w:pos="0"/>
        </w:tabs>
        <w:suppressAutoHyphens w:val="0"/>
        <w:autoSpaceDE w:val="0"/>
        <w:autoSpaceDN w:val="0"/>
        <w:spacing w:line="360" w:lineRule="auto"/>
        <w:ind w:right="-55" w:firstLine="570"/>
        <w:jc w:val="right"/>
        <w:rPr>
          <w:rFonts w:ascii="Times New Roman" w:eastAsia="Times New Roman" w:hAnsi="Times New Roman" w:cs="Times New Roman"/>
          <w:lang w:val="uk-UA" w:eastAsia="ru-RU"/>
        </w:rPr>
      </w:pPr>
    </w:p>
    <w:p w:rsidR="00F224C0" w:rsidRPr="00F224C0" w:rsidRDefault="00F224C0" w:rsidP="00F224C0">
      <w:pPr>
        <w:tabs>
          <w:tab w:val="left" w:pos="6726"/>
        </w:tabs>
        <w:suppressAutoHyphens w:val="0"/>
        <w:autoSpaceDE w:val="0"/>
        <w:autoSpaceDN w:val="0"/>
        <w:spacing w:line="360" w:lineRule="auto"/>
        <w:ind w:left="2124" w:right="-55" w:firstLine="2016"/>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lastRenderedPageBreak/>
        <w:t>ВИСНОВКИ</w:t>
      </w:r>
    </w:p>
    <w:p w:rsidR="00F224C0" w:rsidRPr="00F224C0" w:rsidRDefault="00F224C0" w:rsidP="00F224C0">
      <w:pPr>
        <w:tabs>
          <w:tab w:val="left" w:pos="6726"/>
        </w:tabs>
        <w:suppressAutoHyphens w:val="0"/>
        <w:autoSpaceDE w:val="0"/>
        <w:autoSpaceDN w:val="0"/>
        <w:spacing w:line="360" w:lineRule="auto"/>
        <w:ind w:left="2124" w:right="-55" w:firstLine="2016"/>
        <w:jc w:val="both"/>
        <w:rPr>
          <w:rFonts w:ascii="Times New Roman" w:eastAsia="Times New Roman" w:hAnsi="Times New Roman" w:cs="Times New Roman"/>
          <w:b/>
          <w:bCs/>
          <w:lang w:val="uk-UA" w:eastAsia="ru-RU"/>
        </w:rPr>
      </w:pP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 Вивчено основні кластери клітин імунітету (С</w:t>
      </w:r>
      <w:r w:rsidRPr="00F224C0">
        <w:rPr>
          <w:rFonts w:ascii="Times New Roman" w:eastAsia="Times New Roman" w:hAnsi="Times New Roman" w:cs="Times New Roman"/>
          <w:lang w:val="en-US" w:eastAsia="ru-RU"/>
        </w:rPr>
        <w:t>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та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динаміку розвитку цих компонентів клітинного імунітету у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 курчат після інфікування патогенним збудником та щеплення атенуйованою вакциною проти сальмонельозу. Отримані дані про особливості складу кластерів за постінфекційного та поствакцинального імунітетів у птиці, визначена роль певних кластерів на різних етапах формування імунітету. Розроблено двоступеневий метод імуногістохімічної індикації сальмонельозного антигена в зрізах із тканин, інфікованих збудником сальмонельозу птиці шляхом використання поліклональних імуноглобулінів. Визначені строки та місця максимального накопичення антигена, що підвищує ефективність діагностики захворювання та удосконалює експертизу продуктів забою птиці, контамінованих сальмонелами.</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2. У селезінці контрольних неінфікованих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 курчат між 1-ю та 8-ю добами їхнього життя різко зростала кількість клітин з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З 15-ї доби майже вдвічі зменшувалася кількість клітин з маркером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яка потім помітно підвищувалася на </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uk-UA" w:eastAsia="ru-RU"/>
        </w:rPr>
        <w:t>17-у – 51-у доби (0,263±0,063 % на 51-у добу).</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3. У бурсі Фабриціуса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 курчат з 13-ї по 51-у доби спостерігалося стабільне зменшення вмісту клітин з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та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8</w:t>
      </w:r>
      <w:r w:rsidRPr="00F224C0">
        <w:rPr>
          <w:rFonts w:ascii="Times New Roman" w:eastAsia="Times New Roman" w:hAnsi="Times New Roman" w:cs="Times New Roman"/>
          <w:vertAlign w:val="subscript"/>
          <w:lang w:val="uk-UA" w:eastAsia="ru-RU"/>
        </w:rPr>
        <w:t>.</w:t>
      </w:r>
      <w:r w:rsidRPr="00F224C0">
        <w:rPr>
          <w:rFonts w:ascii="Times New Roman" w:eastAsia="Times New Roman" w:hAnsi="Times New Roman" w:cs="Times New Roman"/>
          <w:lang w:val="uk-UA" w:eastAsia="ru-RU"/>
        </w:rPr>
        <w:t xml:space="preserve"> Кількість клітин з маркером </w:t>
      </w:r>
      <w:r w:rsidRPr="00F224C0">
        <w:rPr>
          <w:rFonts w:ascii="Times New Roman" w:eastAsia="Times New Roman" w:hAnsi="Times New Roman" w:cs="Times New Roman"/>
          <w:lang w:val="en-US" w:eastAsia="ru-RU"/>
        </w:rPr>
        <w:t>CV</w:t>
      </w:r>
      <w:r w:rsidRPr="00F224C0">
        <w:rPr>
          <w:rFonts w:ascii="Times New Roman" w:eastAsia="Times New Roman" w:hAnsi="Times New Roman" w:cs="Times New Roman"/>
          <w:lang w:val="uk-UA" w:eastAsia="ru-RU"/>
        </w:rPr>
        <w:t xml:space="preserve">І незначна та була з 15-ї по 51-у доби практично на рівні одноденних курчат (16,085±0,239 % на 51-у добу). Істотно, але короткочасно, на 8-у–13-у доби збільшувалася кількість клітин з маркерами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(1,012±0,158 % на 10-у добу). Отже склад клітин із маркерами у фабрицієвій бурсі коливався, що свідчить про наявність у ній певних ознак зростання кількості кластерів залежно від віку, причиною чого могла бути відсутність антигенної стимуляції у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 курчат.</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4. Найбільш низька кількість усіх досліджених кластерів клітин селезінки була в одноденних курчат. На 8-у добу їхня кількість виходила на певні стартові рівні, які у 2-5 разів перевищували значення кластерів у одноденних курчат. У фабрицієвій бурсі така закономірність не спостерігалась, і тільки вміст клітин з маркерами імуноглобулінів у цьому органі помітно зростав, починаючи з 13-ї доби для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від 0,496±0,083 (1-а доба) до 0,740±0,046 (51-а доба) та для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від 0,019±0,003 (1-а доба) до 0,188±0,036 (на 51-у добу).</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5. Імунітет у щепленої птиці відрізнявся від такого в зараженої більшою кількістю клітин з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8 та І</w:t>
      </w:r>
      <w:r w:rsidRPr="00F224C0">
        <w:rPr>
          <w:rFonts w:ascii="Times New Roman" w:eastAsia="Times New Roman" w:hAnsi="Times New Roman" w:cs="Times New Roman"/>
          <w:lang w:val="en-US" w:eastAsia="ru-RU"/>
        </w:rPr>
        <w:t>gG</w:t>
      </w:r>
      <w:r w:rsidRPr="00F224C0">
        <w:rPr>
          <w:rFonts w:ascii="Times New Roman" w:eastAsia="Times New Roman" w:hAnsi="Times New Roman" w:cs="Times New Roman"/>
          <w:lang w:val="uk-UA" w:eastAsia="ru-RU"/>
        </w:rPr>
        <w:t xml:space="preserve"> у бурсі Фабриціуса, а в селезінці – клітин з маркерами Тс</w:t>
      </w:r>
      <w:r w:rsidRPr="00F224C0">
        <w:rPr>
          <w:rFonts w:ascii="Times New Roman" w:eastAsia="Times New Roman" w:hAnsi="Times New Roman" w:cs="Times New Roman"/>
          <w:lang w:val="en-US" w:eastAsia="ru-RU"/>
        </w:rPr>
        <w:t>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3.</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lastRenderedPageBreak/>
        <w:t>6. За даними визначення вмісту різних імунокомпетентних клітин у селезінці та бурсі Фабриціуса після імунізації курчат проти сальмонельозу, на відміну від зараженої птиці, швидше розвивався процес формування глобулінпродукуючих клітин. При цьому переважну роль відігравала бурса Фабриціуса. Важливе значення в створенні захисту проти сальмонельозу відігравали також секреторні імуноглобуліни, найбільший відсоток яких продукувався в бурсі (7,263</w:t>
      </w:r>
      <w:r w:rsidRPr="00F224C0">
        <w:rPr>
          <w:rFonts w:ascii="Times New Roman" w:eastAsia="Times New Roman" w:hAnsi="Times New Roman" w:cs="Times New Roman"/>
          <w:lang w:val="uk-UA" w:eastAsia="ru-RU"/>
        </w:rPr>
        <w:sym w:font="Symbol" w:char="F0B1"/>
      </w:r>
      <w:r w:rsidRPr="00F224C0">
        <w:rPr>
          <w:rFonts w:ascii="Times New Roman" w:eastAsia="Times New Roman" w:hAnsi="Times New Roman" w:cs="Times New Roman"/>
          <w:lang w:val="uk-UA" w:eastAsia="ru-RU"/>
        </w:rPr>
        <w:t>0,045 % на 21-у добу) і менша частина в селезінці (0,606±0,013 % на 51-у добу).</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7. Кількість глобулінпродукуючих клітин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у бурсі Фабриціуса стабілізувалася на максимальному рівні в імунізованих та інфікованих курчат на 13-у добу й утримувалася на постійному рівні до 51-ї доби включно та була вищою в щепленої птиці, у той час як кількість секреторних імуноглобулінів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досягала в ній стабільно високого рівня на 15-ту добу (7,158±0,146 %), починала знижуватися після 21-ї доби (4,175±0,138 % на 51-у добу) та була більшою в інфікованої птиці, що дозволяє відрізнити післяінфекційний імунітет від післявакцинального при сальмонельозі птиці.</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8. Запропонований двохетапний метод імуногістохімічного визначення сальмонельозного антигена дозволяє виявляти його в зрізах тканин хворої на сальмонельоз птиці, визначати місця локалізації, вивчати динаміку та кількість накопичення.</w:t>
      </w:r>
    </w:p>
    <w:p w:rsidR="00F224C0" w:rsidRPr="00F224C0" w:rsidRDefault="00F224C0" w:rsidP="00F224C0">
      <w:pPr>
        <w:suppressAutoHyphens w:val="0"/>
        <w:autoSpaceDE w:val="0"/>
        <w:autoSpaceDN w:val="0"/>
        <w:spacing w:line="360" w:lineRule="auto"/>
        <w:ind w:right="-55" w:firstLine="57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9. У курчат, орально інфікованих збудником сальмонельозу, антиген інтенсивніше накопичувався в печінці (14,80±0,028 % на 15-у добу) та селезінці (34,75±0,038 % на 15-у добу). За внутрішньом’язового інфікування курчат спостерігалося накопичення антигена, особливо в бурсі Фабриціуса (6,20±0,014 % на 15-у добу), селезінці (44,10±0,042 % на 30-у добу) та м’язовій тканині (11,00±0,039 % на 15-у добу).</w:t>
      </w:r>
    </w:p>
    <w:p w:rsidR="00F224C0" w:rsidRPr="00F224C0" w:rsidRDefault="00F224C0" w:rsidP="00F224C0">
      <w:pPr>
        <w:tabs>
          <w:tab w:val="left" w:pos="6726"/>
        </w:tabs>
        <w:suppressAutoHyphens w:val="0"/>
        <w:autoSpaceDE w:val="0"/>
        <w:autoSpaceDN w:val="0"/>
        <w:spacing w:line="360" w:lineRule="auto"/>
        <w:ind w:right="-55" w:firstLine="540"/>
        <w:jc w:val="both"/>
        <w:rPr>
          <w:rFonts w:ascii="Times New Roman" w:eastAsia="Times New Roman" w:hAnsi="Times New Roman" w:cs="Times New Roman"/>
          <w:lang w:val="uk-UA" w:eastAsia="ru-RU"/>
        </w:rPr>
      </w:pPr>
    </w:p>
    <w:p w:rsidR="00F224C0" w:rsidRPr="00F224C0" w:rsidRDefault="00F224C0" w:rsidP="00F224C0">
      <w:pPr>
        <w:tabs>
          <w:tab w:val="left" w:pos="0"/>
          <w:tab w:val="left" w:pos="360"/>
          <w:tab w:val="left" w:pos="6726"/>
        </w:tabs>
        <w:suppressAutoHyphens w:val="0"/>
        <w:autoSpaceDE w:val="0"/>
        <w:autoSpaceDN w:val="0"/>
        <w:spacing w:line="360" w:lineRule="auto"/>
        <w:ind w:right="-55" w:firstLine="720"/>
        <w:jc w:val="center"/>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ПРАКТИЧНІ ПРОПОЗИЦІЇ</w:t>
      </w:r>
    </w:p>
    <w:p w:rsidR="00F224C0" w:rsidRPr="00F224C0" w:rsidRDefault="00F224C0" w:rsidP="00F224C0">
      <w:pPr>
        <w:tabs>
          <w:tab w:val="left" w:pos="0"/>
          <w:tab w:val="left" w:pos="360"/>
          <w:tab w:val="left" w:pos="6726"/>
        </w:tabs>
        <w:suppressAutoHyphens w:val="0"/>
        <w:autoSpaceDE w:val="0"/>
        <w:autoSpaceDN w:val="0"/>
        <w:spacing w:line="360" w:lineRule="auto"/>
        <w:ind w:right="-55" w:firstLine="540"/>
        <w:jc w:val="both"/>
        <w:rPr>
          <w:rFonts w:ascii="Times New Roman" w:eastAsia="Times New Roman" w:hAnsi="Times New Roman" w:cs="Times New Roman"/>
          <w:lang w:val="uk-UA" w:eastAsia="ru-RU"/>
        </w:rPr>
      </w:pPr>
    </w:p>
    <w:p w:rsidR="00F224C0" w:rsidRPr="00F224C0" w:rsidRDefault="00F224C0" w:rsidP="00F224C0">
      <w:pPr>
        <w:suppressAutoHyphens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 Методичні рекомендації з імуногістохімічної діагностики та оцінки імунітету при сальмонельозі птиці затверджені науково-методичною радою Держдепартаменту ветеринарної медицини України, протокол № 3 від 20. 12. 2006 року.</w:t>
      </w:r>
    </w:p>
    <w:p w:rsidR="00F224C0" w:rsidRPr="00F224C0" w:rsidRDefault="00F224C0" w:rsidP="00F224C0">
      <w:pPr>
        <w:tabs>
          <w:tab w:val="left" w:pos="6726"/>
        </w:tabs>
        <w:suppressAutoHyphens w:val="0"/>
        <w:autoSpaceDE w:val="0"/>
        <w:autoSpaceDN w:val="0"/>
        <w:spacing w:line="360" w:lineRule="auto"/>
        <w:ind w:firstLine="2340"/>
        <w:jc w:val="both"/>
        <w:rPr>
          <w:rFonts w:ascii="Times New Roman" w:eastAsia="Times New Roman" w:hAnsi="Times New Roman" w:cs="Times New Roman"/>
          <w:b/>
          <w:bCs/>
          <w:lang w:val="uk-UA" w:eastAsia="ru-RU"/>
        </w:rPr>
      </w:pPr>
    </w:p>
    <w:p w:rsidR="00F224C0" w:rsidRPr="00F224C0" w:rsidRDefault="00F224C0" w:rsidP="00F224C0">
      <w:pPr>
        <w:tabs>
          <w:tab w:val="left" w:pos="6726"/>
        </w:tabs>
        <w:suppressAutoHyphens w:val="0"/>
        <w:autoSpaceDE w:val="0"/>
        <w:autoSpaceDN w:val="0"/>
        <w:spacing w:line="360" w:lineRule="auto"/>
        <w:ind w:firstLine="2340"/>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Список праць, опублікованих за темою дисертації</w:t>
      </w:r>
    </w:p>
    <w:p w:rsidR="00F224C0" w:rsidRPr="00F224C0" w:rsidRDefault="00F224C0" w:rsidP="00F224C0">
      <w:pPr>
        <w:tabs>
          <w:tab w:val="left" w:pos="6726"/>
        </w:tabs>
        <w:suppressAutoHyphens w:val="0"/>
        <w:autoSpaceDE w:val="0"/>
        <w:autoSpaceDN w:val="0"/>
        <w:spacing w:line="360" w:lineRule="auto"/>
        <w:ind w:firstLine="2340"/>
        <w:jc w:val="both"/>
        <w:rPr>
          <w:rFonts w:ascii="Times New Roman" w:eastAsia="Times New Roman" w:hAnsi="Times New Roman" w:cs="Times New Roman"/>
          <w:b/>
          <w:bCs/>
          <w:lang w:val="uk-UA"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i/>
          <w:iCs/>
          <w:lang w:val="uk-UA" w:eastAsia="ru-RU"/>
        </w:rPr>
      </w:pPr>
      <w:r w:rsidRPr="00F224C0">
        <w:rPr>
          <w:rFonts w:ascii="Times New Roman" w:eastAsia="Times New Roman" w:hAnsi="Times New Roman" w:cs="Times New Roman"/>
          <w:lang w:val="uk-UA" w:eastAsia="ru-RU"/>
        </w:rPr>
        <w:t xml:space="preserve">1. Красников Г.А., </w:t>
      </w:r>
      <w:r w:rsidRPr="00F224C0">
        <w:rPr>
          <w:rFonts w:ascii="Times New Roman" w:eastAsia="Times New Roman" w:hAnsi="Times New Roman" w:cs="Times New Roman"/>
          <w:b/>
          <w:bCs/>
          <w:lang w:val="uk-UA" w:eastAsia="ru-RU"/>
        </w:rPr>
        <w:t>Шутченко П.А.</w:t>
      </w:r>
      <w:r w:rsidRPr="00F224C0">
        <w:rPr>
          <w:rFonts w:ascii="Times New Roman" w:eastAsia="Times New Roman" w:hAnsi="Times New Roman" w:cs="Times New Roman"/>
          <w:lang w:val="uk-UA" w:eastAsia="ru-RU"/>
        </w:rPr>
        <w:t xml:space="preserve"> Применение иммуноферментного и иммуногистохимического методов анализа для диагностики сальмонеллеза и изучения его иммуногенеза // Ветеринарна медицина: Міжвід.темат.наук.зб. – Х., 2004. – Вип.83. – С.125–129. </w:t>
      </w:r>
      <w:r w:rsidRPr="00F224C0">
        <w:rPr>
          <w:rFonts w:ascii="Times New Roman" w:eastAsia="Times New Roman" w:hAnsi="Times New Roman" w:cs="Times New Roman"/>
          <w:i/>
          <w:iCs/>
          <w:lang w:val="uk-UA" w:eastAsia="ru-RU"/>
        </w:rPr>
        <w:t xml:space="preserve">(Дисертант здійснив аналіз літературних даних щодо питань застосування </w:t>
      </w:r>
      <w:r w:rsidRPr="00F224C0">
        <w:rPr>
          <w:rFonts w:ascii="Times New Roman" w:eastAsia="Times New Roman" w:hAnsi="Times New Roman" w:cs="Times New Roman"/>
          <w:i/>
          <w:iCs/>
          <w:lang w:val="uk-UA" w:eastAsia="ru-RU"/>
        </w:rPr>
        <w:lastRenderedPageBreak/>
        <w:t>імуноферментних та імуногістохімічних методів досліджень при хворобах сільськогосподарських тварин).</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i/>
          <w:iCs/>
          <w:lang w:val="uk-UA" w:eastAsia="ru-RU"/>
        </w:rPr>
      </w:pPr>
      <w:r w:rsidRPr="00F224C0">
        <w:rPr>
          <w:rFonts w:ascii="Times New Roman" w:eastAsia="Times New Roman" w:hAnsi="Times New Roman" w:cs="Times New Roman"/>
          <w:lang w:val="uk-UA" w:eastAsia="ru-RU"/>
        </w:rPr>
        <w:t xml:space="preserve">2. Изучение субпопуляций лимфоцитов и макрофагов селезенки у цыплят после заражения </w:t>
      </w:r>
      <w:r w:rsidRPr="00F224C0">
        <w:rPr>
          <w:rFonts w:ascii="Times New Roman" w:eastAsia="Times New Roman" w:hAnsi="Times New Roman" w:cs="Times New Roman"/>
          <w:i/>
          <w:iCs/>
          <w:lang w:val="en-US" w:eastAsia="ru-RU"/>
        </w:rPr>
        <w:t>S</w:t>
      </w:r>
      <w:r w:rsidRPr="00F224C0">
        <w:rPr>
          <w:rFonts w:ascii="Times New Roman" w:eastAsia="Times New Roman" w:hAnsi="Times New Roman" w:cs="Times New Roman"/>
          <w:i/>
          <w:iCs/>
          <w:lang w:val="uk-UA" w:eastAsia="ru-RU"/>
        </w:rPr>
        <w:t>. </w:t>
      </w:r>
      <w:r w:rsidRPr="00F224C0">
        <w:rPr>
          <w:rFonts w:ascii="Times New Roman" w:eastAsia="Times New Roman" w:hAnsi="Times New Roman" w:cs="Times New Roman"/>
          <w:i/>
          <w:iCs/>
          <w:lang w:val="en-US" w:eastAsia="ru-RU"/>
        </w:rPr>
        <w:t>enteritidis</w:t>
      </w:r>
      <w:r w:rsidRPr="00F224C0">
        <w:rPr>
          <w:rFonts w:ascii="Times New Roman" w:eastAsia="Times New Roman" w:hAnsi="Times New Roman" w:cs="Times New Roman"/>
          <w:lang w:val="uk-UA" w:eastAsia="ru-RU"/>
        </w:rPr>
        <w:t xml:space="preserve"> и прививки аттенуированной вакциной / А. Берндт, У. Метнер, Г.А. Красников, </w:t>
      </w:r>
      <w:r w:rsidRPr="00F224C0">
        <w:rPr>
          <w:rFonts w:ascii="Times New Roman" w:eastAsia="Times New Roman" w:hAnsi="Times New Roman" w:cs="Times New Roman"/>
          <w:b/>
          <w:bCs/>
          <w:lang w:val="uk-UA" w:eastAsia="ru-RU"/>
        </w:rPr>
        <w:t>П.А. Шутченко</w:t>
      </w:r>
      <w:r w:rsidRPr="00F224C0">
        <w:rPr>
          <w:rFonts w:ascii="Times New Roman" w:eastAsia="Times New Roman" w:hAnsi="Times New Roman" w:cs="Times New Roman"/>
          <w:lang w:val="uk-UA" w:eastAsia="ru-RU"/>
        </w:rPr>
        <w:t xml:space="preserve"> // Ветеринарна медицина: Міжвід.темат.наук.зб. – Х., 2004. – Вип.84. – С.94–99. </w:t>
      </w:r>
      <w:r w:rsidRPr="00F224C0">
        <w:rPr>
          <w:rFonts w:ascii="Times New Roman" w:eastAsia="Times New Roman" w:hAnsi="Times New Roman" w:cs="Times New Roman"/>
          <w:i/>
          <w:iCs/>
          <w:lang w:val="uk-UA" w:eastAsia="ru-RU"/>
        </w:rPr>
        <w:t>(Дисертант провів дослідження з вивчення динаміки змін субпопуляцій лімфоцитів та макрофагів селезінки курчат після вакцинації проти сальмонельозу, а також після їхнього зараження збудником сальмонельозу. Крім цього, дисертант описав стадійність розвитку імунної реакції).</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3. Красников Г.А., </w:t>
      </w:r>
      <w:r w:rsidRPr="00F224C0">
        <w:rPr>
          <w:rFonts w:ascii="Times New Roman" w:eastAsia="Times New Roman" w:hAnsi="Times New Roman" w:cs="Times New Roman"/>
          <w:b/>
          <w:bCs/>
          <w:lang w:eastAsia="ru-RU"/>
        </w:rPr>
        <w:t>Шутченко П.А.</w:t>
      </w:r>
      <w:r w:rsidRPr="00F224C0">
        <w:rPr>
          <w:rFonts w:ascii="Times New Roman" w:eastAsia="Times New Roman" w:hAnsi="Times New Roman" w:cs="Times New Roman"/>
          <w:lang w:eastAsia="ru-RU"/>
        </w:rPr>
        <w:t xml:space="preserve">, Берндт А. Применение иммуногистохимических методов исследования при изучении иммунитета животных // ІІІ конференція Всеукраїнського товариства ветеринарних патологів, 21–23 квітня 2004 р., м. Харків. – Х., 2004. – Ч.1. – С.35–38. </w:t>
      </w:r>
      <w:r w:rsidRPr="00F224C0">
        <w:rPr>
          <w:rFonts w:ascii="Times New Roman" w:eastAsia="Times New Roman" w:hAnsi="Times New Roman" w:cs="Times New Roman"/>
          <w:i/>
          <w:iCs/>
          <w:lang w:eastAsia="ru-RU"/>
        </w:rPr>
        <w:t>(Дисертант проаналізував стан розвитку досліджень у галузі імуногістохімії з використанням методів визначення поверхневих маркерів клітин імунітету та перспектив їхнього застосування в науковій і практичній ветеринарній медицині)</w:t>
      </w:r>
      <w:r w:rsidRPr="00F224C0">
        <w:rPr>
          <w:rFonts w:ascii="Times New Roman" w:eastAsia="Times New Roman" w:hAnsi="Times New Roman" w:cs="Times New Roman"/>
          <w:lang w:eastAsia="ru-RU"/>
        </w:rPr>
        <w:t>.</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i/>
          <w:iCs/>
          <w:lang w:val="en-US" w:eastAsia="ru-RU"/>
        </w:rPr>
      </w:pPr>
      <w:r w:rsidRPr="00F224C0">
        <w:rPr>
          <w:rFonts w:ascii="Times New Roman" w:eastAsia="Times New Roman" w:hAnsi="Times New Roman" w:cs="Times New Roman"/>
          <w:lang w:val="en-US" w:eastAsia="ru-RU"/>
        </w:rPr>
        <w:t xml:space="preserve">4. Studying of chicken immune cell subpopulations after infection with salmonella enteritidis and inoculation with attenuated vaccine / A. Berndt, U. Methner, G.A. Krasnikov, </w:t>
      </w:r>
      <w:r w:rsidRPr="00F224C0">
        <w:rPr>
          <w:rFonts w:ascii="Times New Roman" w:eastAsia="Times New Roman" w:hAnsi="Times New Roman" w:cs="Times New Roman"/>
          <w:b/>
          <w:bCs/>
          <w:lang w:val="en-US" w:eastAsia="ru-RU"/>
        </w:rPr>
        <w:t>P.A. Shutchenko</w:t>
      </w:r>
      <w:r w:rsidRPr="00F224C0">
        <w:rPr>
          <w:rFonts w:ascii="Times New Roman" w:eastAsia="Times New Roman" w:hAnsi="Times New Roman" w:cs="Times New Roman"/>
          <w:lang w:val="en-US" w:eastAsia="ru-RU"/>
        </w:rPr>
        <w:t xml:space="preserve"> // Animals. Health. Food Quality: International scientific conference proceedings, 15 october 2004, Jelgava, Latvia. – Jelgava, 2004. – P.36–39. </w:t>
      </w:r>
      <w:r w:rsidRPr="00F224C0">
        <w:rPr>
          <w:rFonts w:ascii="Times New Roman" w:eastAsia="Times New Roman" w:hAnsi="Times New Roman" w:cs="Times New Roman"/>
          <w:i/>
          <w:iCs/>
          <w:lang w:val="en-US" w:eastAsia="ru-RU"/>
        </w:rPr>
        <w:t>(</w:t>
      </w:r>
      <w:r w:rsidRPr="00F224C0">
        <w:rPr>
          <w:rFonts w:ascii="Times New Roman" w:eastAsia="Times New Roman" w:hAnsi="Times New Roman" w:cs="Times New Roman"/>
          <w:i/>
          <w:iCs/>
          <w:lang w:val="uk-UA" w:eastAsia="ru-RU"/>
        </w:rPr>
        <w:t>Дисертант</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дослідив</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динаміку</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формування</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субпопуляцій</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імунокомпетентних</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клітин</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у</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селезінці</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та</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бурсі</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Фабриціуса</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в</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нормі</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та</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після</w:t>
      </w:r>
      <w:r w:rsidRPr="00F224C0">
        <w:rPr>
          <w:rFonts w:ascii="Times New Roman" w:eastAsia="Times New Roman" w:hAnsi="Times New Roman" w:cs="Times New Roman"/>
          <w:i/>
          <w:iCs/>
          <w:lang w:val="en-US" w:eastAsia="ru-RU"/>
        </w:rPr>
        <w:t xml:space="preserve"> </w:t>
      </w:r>
      <w:r w:rsidRPr="00F224C0">
        <w:rPr>
          <w:rFonts w:ascii="Times New Roman" w:eastAsia="Times New Roman" w:hAnsi="Times New Roman" w:cs="Times New Roman"/>
          <w:i/>
          <w:iCs/>
          <w:lang w:val="uk-UA" w:eastAsia="ru-RU"/>
        </w:rPr>
        <w:t>зараження</w:t>
      </w:r>
      <w:r w:rsidRPr="00F224C0">
        <w:rPr>
          <w:rFonts w:ascii="Times New Roman" w:eastAsia="Times New Roman" w:hAnsi="Times New Roman" w:cs="Times New Roman"/>
          <w:i/>
          <w:iCs/>
          <w:lang w:val="en-US" w:eastAsia="ru-RU"/>
        </w:rPr>
        <w:t xml:space="preserve"> Salmonella enteritidis).</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 xml:space="preserve">5. Визначення поверхневих маркерів імунокомпетентних клітин у курчат у ранній період імуногенезу при сальмонельозі / А. Берндт, У. Метнер, Г.А. Красніков, </w:t>
      </w:r>
      <w:r w:rsidRPr="00F224C0">
        <w:rPr>
          <w:rFonts w:ascii="Times New Roman" w:eastAsia="Times New Roman" w:hAnsi="Times New Roman" w:cs="Times New Roman"/>
          <w:b/>
          <w:bCs/>
          <w:lang w:val="en-US" w:eastAsia="ru-RU"/>
        </w:rPr>
        <w:t>П.О. Шутченко</w:t>
      </w:r>
      <w:r w:rsidRPr="00F224C0">
        <w:rPr>
          <w:rFonts w:ascii="Times New Roman" w:eastAsia="Times New Roman" w:hAnsi="Times New Roman" w:cs="Times New Roman"/>
          <w:lang w:val="en-US" w:eastAsia="ru-RU"/>
        </w:rPr>
        <w:t xml:space="preserve"> //Вісник аграрної науки. – 2004. – №9. – С.30–33. </w:t>
      </w:r>
      <w:r w:rsidRPr="00F224C0">
        <w:rPr>
          <w:rFonts w:ascii="Times New Roman" w:eastAsia="Times New Roman" w:hAnsi="Times New Roman" w:cs="Times New Roman"/>
          <w:i/>
          <w:iCs/>
          <w:lang w:val="en-US" w:eastAsia="ru-RU"/>
        </w:rPr>
        <w:t>(Дисертант дослідив динаміку складу відповідальних субпопуляцій Т- і В-лімфоцитів та макрофагів при формуванні імунної відповіді на введення протисальмонельозної вакцини та після зараження курчат Salmonella enteritidis)</w:t>
      </w:r>
      <w:r w:rsidRPr="00F224C0">
        <w:rPr>
          <w:rFonts w:ascii="Times New Roman" w:eastAsia="Times New Roman" w:hAnsi="Times New Roman" w:cs="Times New Roman"/>
          <w:lang w:val="en-US" w:eastAsia="ru-RU"/>
        </w:rPr>
        <w:t>.</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 xml:space="preserve">6. Застосування методів імуногістохімії при вивченні сальмонельозу птиці / Г. Красніков, </w:t>
      </w:r>
      <w:r w:rsidRPr="00F224C0">
        <w:rPr>
          <w:rFonts w:ascii="Times New Roman" w:eastAsia="Times New Roman" w:hAnsi="Times New Roman" w:cs="Times New Roman"/>
          <w:b/>
          <w:bCs/>
          <w:lang w:val="en-US" w:eastAsia="ru-RU"/>
        </w:rPr>
        <w:t>П. Шутченко</w:t>
      </w:r>
      <w:r w:rsidRPr="00F224C0">
        <w:rPr>
          <w:rFonts w:ascii="Times New Roman" w:eastAsia="Times New Roman" w:hAnsi="Times New Roman" w:cs="Times New Roman"/>
          <w:lang w:val="en-US" w:eastAsia="ru-RU"/>
        </w:rPr>
        <w:t xml:space="preserve">, А. Берндт, У. Метнер // Ветеринарна медицина України. – 2004. – №12. – С.8–9. </w:t>
      </w:r>
      <w:r w:rsidRPr="00F224C0">
        <w:rPr>
          <w:rFonts w:ascii="Times New Roman" w:eastAsia="Times New Roman" w:hAnsi="Times New Roman" w:cs="Times New Roman"/>
          <w:i/>
          <w:iCs/>
          <w:lang w:val="en-US" w:eastAsia="ru-RU"/>
        </w:rPr>
        <w:t>(Дисертант провів дослідження з вивчення сальмонельозу птиці із застосуванням імуногістохімічного методу міченого стрептавідин-біотину)</w:t>
      </w:r>
      <w:r w:rsidRPr="00F224C0">
        <w:rPr>
          <w:rFonts w:ascii="Times New Roman" w:eastAsia="Times New Roman" w:hAnsi="Times New Roman" w:cs="Times New Roman"/>
          <w:lang w:val="en-US" w:eastAsia="ru-RU"/>
        </w:rPr>
        <w:t>.</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i/>
          <w:iCs/>
          <w:lang w:val="uk-UA" w:eastAsia="ru-RU"/>
        </w:rPr>
      </w:pPr>
      <w:r w:rsidRPr="00F224C0">
        <w:rPr>
          <w:rFonts w:ascii="Times New Roman" w:eastAsia="Times New Roman" w:hAnsi="Times New Roman" w:cs="Times New Roman"/>
          <w:lang w:val="uk-UA" w:eastAsia="ru-RU"/>
        </w:rPr>
        <w:t xml:space="preserve">7. Динамика маркированных иммунокомпетентных клеток селезенки и фабрициевой бурсы после введения штаммов </w:t>
      </w:r>
      <w:r w:rsidRPr="00F224C0">
        <w:rPr>
          <w:rFonts w:ascii="Times New Roman" w:eastAsia="Times New Roman" w:hAnsi="Times New Roman" w:cs="Times New Roman"/>
          <w:lang w:val="en-US" w:eastAsia="ru-RU"/>
        </w:rPr>
        <w:t>S</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enteritidis</w:t>
      </w:r>
      <w:r w:rsidRPr="00F224C0">
        <w:rPr>
          <w:rFonts w:ascii="Times New Roman" w:eastAsia="Times New Roman" w:hAnsi="Times New Roman" w:cs="Times New Roman"/>
          <w:lang w:val="uk-UA" w:eastAsia="ru-RU"/>
        </w:rPr>
        <w:t xml:space="preserve"> с различной патогенностью / А. Берндт, У. Метнер, Г.А. Красников, </w:t>
      </w:r>
      <w:r w:rsidRPr="00F224C0">
        <w:rPr>
          <w:rFonts w:ascii="Times New Roman" w:eastAsia="Times New Roman" w:hAnsi="Times New Roman" w:cs="Times New Roman"/>
          <w:b/>
          <w:bCs/>
          <w:lang w:val="uk-UA" w:eastAsia="ru-RU"/>
        </w:rPr>
        <w:t>П.А. Шутченко</w:t>
      </w:r>
      <w:r w:rsidRPr="00F224C0">
        <w:rPr>
          <w:rFonts w:ascii="Times New Roman" w:eastAsia="Times New Roman" w:hAnsi="Times New Roman" w:cs="Times New Roman"/>
          <w:lang w:val="uk-UA" w:eastAsia="ru-RU"/>
        </w:rPr>
        <w:t xml:space="preserve"> // Ветеринарна медицина: Міжвід.темат.наук.зб. </w:t>
      </w:r>
      <w:r w:rsidRPr="00F224C0">
        <w:rPr>
          <w:rFonts w:ascii="Times New Roman" w:eastAsia="Times New Roman" w:hAnsi="Times New Roman" w:cs="Times New Roman"/>
          <w:lang w:val="uk-UA" w:eastAsia="ru-RU"/>
        </w:rPr>
        <w:lastRenderedPageBreak/>
        <w:t xml:space="preserve">– Х.,2005. – Т.1., Вип.85. – С.112–121. </w:t>
      </w:r>
      <w:r w:rsidRPr="00F224C0">
        <w:rPr>
          <w:rFonts w:ascii="Times New Roman" w:eastAsia="Times New Roman" w:hAnsi="Times New Roman" w:cs="Times New Roman"/>
          <w:i/>
          <w:iCs/>
          <w:lang w:val="uk-UA" w:eastAsia="ru-RU"/>
        </w:rPr>
        <w:t>(Дисертант провів дослідження з вивчення динаміки змін субпопуляцій Т-і  В-лімфоцитів та макрофагів в селезінці та бурсі Фабриціуса із застосуванням фмуногістохімічної детекції стрептавідин-біотиновим методом.</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i/>
          <w:iCs/>
          <w:lang w:val="uk-UA" w:eastAsia="ru-RU"/>
        </w:rPr>
      </w:pPr>
      <w:r w:rsidRPr="00F224C0">
        <w:rPr>
          <w:rFonts w:ascii="Times New Roman" w:eastAsia="Times New Roman" w:hAnsi="Times New Roman" w:cs="Times New Roman"/>
          <w:lang w:val="uk-UA" w:eastAsia="ru-RU"/>
        </w:rPr>
        <w:t xml:space="preserve">8. Красников Г.А., </w:t>
      </w:r>
      <w:r w:rsidRPr="00F224C0">
        <w:rPr>
          <w:rFonts w:ascii="Times New Roman" w:eastAsia="Times New Roman" w:hAnsi="Times New Roman" w:cs="Times New Roman"/>
          <w:b/>
          <w:bCs/>
          <w:lang w:val="uk-UA" w:eastAsia="ru-RU"/>
        </w:rPr>
        <w:t>Шутченко П.А.</w:t>
      </w:r>
      <w:r w:rsidRPr="00F224C0">
        <w:rPr>
          <w:rFonts w:ascii="Times New Roman" w:eastAsia="Times New Roman" w:hAnsi="Times New Roman" w:cs="Times New Roman"/>
          <w:lang w:val="uk-UA" w:eastAsia="ru-RU"/>
        </w:rPr>
        <w:t xml:space="preserve"> Субпопуляции иммунокомпетентных клеток в селезенке и фабрициевой бурсе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val="uk-UA" w:eastAsia="ru-RU"/>
        </w:rPr>
        <w:t xml:space="preserve">-цыплят // Ветеринарна медицина: Міжвід.темат.наук.зб. – Х.,2005. – Т.1., Вип.85. – С.608–611. </w:t>
      </w:r>
      <w:r w:rsidRPr="00F224C0">
        <w:rPr>
          <w:rFonts w:ascii="Times New Roman" w:eastAsia="Times New Roman" w:hAnsi="Times New Roman" w:cs="Times New Roman"/>
          <w:i/>
          <w:iCs/>
          <w:lang w:val="uk-UA" w:eastAsia="ru-RU"/>
        </w:rPr>
        <w:t xml:space="preserve">(Дисертант дослідив відсотковий вміст показових маркерів імунокомпетентних клітин у </w:t>
      </w:r>
      <w:r w:rsidRPr="00F224C0">
        <w:rPr>
          <w:rFonts w:ascii="Times New Roman" w:eastAsia="Times New Roman" w:hAnsi="Times New Roman" w:cs="Times New Roman"/>
          <w:i/>
          <w:iCs/>
          <w:lang w:val="en-US" w:eastAsia="ru-RU"/>
        </w:rPr>
        <w:t>SPF</w:t>
      </w:r>
      <w:r w:rsidRPr="00F224C0">
        <w:rPr>
          <w:rFonts w:ascii="Times New Roman" w:eastAsia="Times New Roman" w:hAnsi="Times New Roman" w:cs="Times New Roman"/>
          <w:i/>
          <w:iCs/>
          <w:lang w:val="uk-UA" w:eastAsia="ru-RU"/>
        </w:rPr>
        <w:t xml:space="preserve"> курчат у період з 1-ї по 13-у доби після виведення).</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9. Фабрициева бурса как индикаторный орган при гистологическом изучении состояния иммунитета у кур / Г.А. Красников, Е.А. Медведь, </w:t>
      </w:r>
      <w:r w:rsidRPr="00F224C0">
        <w:rPr>
          <w:rFonts w:ascii="Times New Roman" w:eastAsia="Times New Roman" w:hAnsi="Times New Roman" w:cs="Times New Roman"/>
          <w:b/>
          <w:bCs/>
          <w:lang w:eastAsia="ru-RU"/>
        </w:rPr>
        <w:t>П.А. Шутченко</w:t>
      </w:r>
      <w:r w:rsidRPr="00F224C0">
        <w:rPr>
          <w:rFonts w:ascii="Times New Roman" w:eastAsia="Times New Roman" w:hAnsi="Times New Roman" w:cs="Times New Roman"/>
          <w:lang w:eastAsia="ru-RU"/>
        </w:rPr>
        <w:t xml:space="preserve"> и др. // Актуальные проблемы ветеринарной патологии и морфологии животных. – Воронеж, 2006. – С.141–147. </w:t>
      </w:r>
      <w:r w:rsidRPr="00F224C0">
        <w:rPr>
          <w:rFonts w:ascii="Times New Roman" w:eastAsia="Times New Roman" w:hAnsi="Times New Roman" w:cs="Times New Roman"/>
          <w:i/>
          <w:iCs/>
          <w:lang w:eastAsia="ru-RU"/>
        </w:rPr>
        <w:t>(Дисертант дослідив імунну активність фабрицієвої бурси за допомогою імуногістохімічного методу)</w:t>
      </w:r>
      <w:r w:rsidRPr="00F224C0">
        <w:rPr>
          <w:rFonts w:ascii="Times New Roman" w:eastAsia="Times New Roman" w:hAnsi="Times New Roman" w:cs="Times New Roman"/>
          <w:lang w:eastAsia="ru-RU"/>
        </w:rPr>
        <w:t xml:space="preserve">. </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10. </w:t>
      </w:r>
      <w:r w:rsidRPr="00F224C0">
        <w:rPr>
          <w:rFonts w:ascii="Times New Roman" w:eastAsia="Times New Roman" w:hAnsi="Times New Roman" w:cs="Times New Roman"/>
          <w:b/>
          <w:bCs/>
          <w:lang w:eastAsia="ru-RU"/>
        </w:rPr>
        <w:t>Шутченко П.</w:t>
      </w:r>
      <w:r w:rsidRPr="00F224C0">
        <w:rPr>
          <w:rFonts w:ascii="Times New Roman" w:eastAsia="Times New Roman" w:hAnsi="Times New Roman" w:cs="Times New Roman"/>
          <w:lang w:eastAsia="ru-RU"/>
        </w:rPr>
        <w:t xml:space="preserve">, Красніков Г. Імуногістохімічне вивчення клітинного імунітету при сальмонельозі курчат // Ветеринарна медицина України. – 2006. – №7. – С.26–27. </w:t>
      </w:r>
      <w:r w:rsidRPr="00F224C0">
        <w:rPr>
          <w:rFonts w:ascii="Times New Roman" w:eastAsia="Times New Roman" w:hAnsi="Times New Roman" w:cs="Times New Roman"/>
          <w:i/>
          <w:iCs/>
          <w:lang w:eastAsia="ru-RU"/>
        </w:rPr>
        <w:t>(Дисертант вивчив зміни субпопуляцій клітин імунітету курей до 51-денного віку)</w:t>
      </w:r>
      <w:r w:rsidRPr="00F224C0">
        <w:rPr>
          <w:rFonts w:ascii="Times New Roman" w:eastAsia="Times New Roman" w:hAnsi="Times New Roman" w:cs="Times New Roman"/>
          <w:lang w:eastAsia="ru-RU"/>
        </w:rPr>
        <w:t>.</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11. Гистологическое, иммуногистохимическое и морфометрическое изучение фабрициевой бурсы у кур / Г.А. Красников, Е.А. Медведь, </w:t>
      </w:r>
      <w:r w:rsidRPr="00F224C0">
        <w:rPr>
          <w:rFonts w:ascii="Times New Roman" w:eastAsia="Times New Roman" w:hAnsi="Times New Roman" w:cs="Times New Roman"/>
          <w:b/>
          <w:bCs/>
          <w:lang w:eastAsia="ru-RU"/>
        </w:rPr>
        <w:t>П.А. Шутченко</w:t>
      </w:r>
      <w:r w:rsidRPr="00F224C0">
        <w:rPr>
          <w:rFonts w:ascii="Times New Roman" w:eastAsia="Times New Roman" w:hAnsi="Times New Roman" w:cs="Times New Roman"/>
          <w:lang w:eastAsia="ru-RU"/>
        </w:rPr>
        <w:t xml:space="preserve">, В.Б. Гурьева // Ветеринарна медицина: Міжвід.темат.наук.зб. – Х.,2006. – Вип.86. – С.206–210. </w:t>
      </w:r>
      <w:r w:rsidRPr="00F224C0">
        <w:rPr>
          <w:rFonts w:ascii="Times New Roman" w:eastAsia="Times New Roman" w:hAnsi="Times New Roman" w:cs="Times New Roman"/>
          <w:i/>
          <w:iCs/>
          <w:lang w:eastAsia="ru-RU"/>
        </w:rPr>
        <w:t>(Дисертант визначив вміст дев’яти основних субпопуляцій Т- і В-лімфоцитів та макрофагів у бурсі Фабриціуса)</w:t>
      </w:r>
      <w:r w:rsidRPr="00F224C0">
        <w:rPr>
          <w:rFonts w:ascii="Times New Roman" w:eastAsia="Times New Roman" w:hAnsi="Times New Roman" w:cs="Times New Roman"/>
          <w:lang w:eastAsia="ru-RU"/>
        </w:rPr>
        <w:t>.</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12. </w:t>
      </w:r>
      <w:r w:rsidRPr="00F224C0">
        <w:rPr>
          <w:rFonts w:ascii="Times New Roman" w:eastAsia="Times New Roman" w:hAnsi="Times New Roman" w:cs="Times New Roman"/>
          <w:b/>
          <w:bCs/>
          <w:lang w:eastAsia="ru-RU"/>
        </w:rPr>
        <w:t>Шутченко П.О.</w:t>
      </w:r>
      <w:r w:rsidRPr="00F224C0">
        <w:rPr>
          <w:rFonts w:ascii="Times New Roman" w:eastAsia="Times New Roman" w:hAnsi="Times New Roman" w:cs="Times New Roman"/>
          <w:lang w:eastAsia="ru-RU"/>
        </w:rPr>
        <w:t xml:space="preserve">, Красніков Г.А. Динаміка кластерів імунітету при сальмонельозі курчат //Проблеми зооінженерії та ветеринарної медицини: Зб. наук. праць. – Х.,2006. – Вип.13.– Ч.2. – С.253–256. </w:t>
      </w:r>
      <w:r w:rsidRPr="00F224C0">
        <w:rPr>
          <w:rFonts w:ascii="Times New Roman" w:eastAsia="Times New Roman" w:hAnsi="Times New Roman" w:cs="Times New Roman"/>
          <w:i/>
          <w:iCs/>
          <w:lang w:eastAsia="ru-RU"/>
        </w:rPr>
        <w:t>(Дисертант вивчив особливості формування імунітету при зараженні курчат сальмонельозом та після щеплення атенуйованою вакциною)</w:t>
      </w:r>
      <w:r w:rsidRPr="00F224C0">
        <w:rPr>
          <w:rFonts w:ascii="Times New Roman" w:eastAsia="Times New Roman" w:hAnsi="Times New Roman" w:cs="Times New Roman"/>
          <w:lang w:eastAsia="ru-RU"/>
        </w:rPr>
        <w:t>.</w:t>
      </w:r>
    </w:p>
    <w:p w:rsidR="00F224C0" w:rsidRPr="00F224C0" w:rsidRDefault="00F224C0" w:rsidP="00F224C0">
      <w:pPr>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13. </w:t>
      </w:r>
      <w:r w:rsidRPr="00F224C0">
        <w:rPr>
          <w:rFonts w:ascii="Times New Roman" w:eastAsia="Times New Roman" w:hAnsi="Times New Roman" w:cs="Times New Roman"/>
          <w:b/>
          <w:bCs/>
          <w:lang w:val="uk-UA" w:eastAsia="ru-RU"/>
        </w:rPr>
        <w:t>Шутченко П.О</w:t>
      </w:r>
      <w:r w:rsidRPr="00F224C0">
        <w:rPr>
          <w:rFonts w:ascii="Times New Roman" w:eastAsia="Times New Roman" w:hAnsi="Times New Roman" w:cs="Times New Roman"/>
          <w:lang w:val="uk-UA" w:eastAsia="ru-RU"/>
        </w:rPr>
        <w:t>. Імуногістохімічний метод діагностики сальмонельозу курей // Ветеринарна медицина: Міжвід.темат.наук.зб. – Х.,2007. – Вип.88. – С.268–272.</w:t>
      </w:r>
    </w:p>
    <w:p w:rsidR="00F224C0" w:rsidRPr="00F224C0" w:rsidRDefault="00F224C0" w:rsidP="00F224C0">
      <w:pPr>
        <w:suppressAutoHyphens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 xml:space="preserve">14. Патент 25815 Україна МПК </w:t>
      </w:r>
      <w:r w:rsidRPr="00F224C0">
        <w:rPr>
          <w:rFonts w:ascii="Times New Roman" w:eastAsia="Times New Roman" w:hAnsi="Times New Roman" w:cs="Times New Roman"/>
          <w:lang w:val="en-US" w:eastAsia="ru-RU"/>
        </w:rPr>
        <w:t>G</w:t>
      </w:r>
      <w:r w:rsidRPr="00F224C0">
        <w:rPr>
          <w:rFonts w:ascii="Times New Roman" w:eastAsia="Times New Roman" w:hAnsi="Times New Roman" w:cs="Times New Roman"/>
          <w:lang w:val="uk-UA" w:eastAsia="ru-RU"/>
        </w:rPr>
        <w:t>01</w:t>
      </w:r>
      <w:r w:rsidRPr="00F224C0">
        <w:rPr>
          <w:rFonts w:ascii="Times New Roman" w:eastAsia="Times New Roman" w:hAnsi="Times New Roman" w:cs="Times New Roman"/>
          <w:lang w:val="en-US" w:eastAsia="ru-RU"/>
        </w:rPr>
        <w:t>N</w:t>
      </w:r>
      <w:r w:rsidRPr="00F224C0">
        <w:rPr>
          <w:rFonts w:ascii="Times New Roman" w:eastAsia="Times New Roman" w:hAnsi="Times New Roman" w:cs="Times New Roman"/>
          <w:lang w:val="uk-UA" w:eastAsia="ru-RU"/>
        </w:rPr>
        <w:t>33/00 Спосіб імуногістохімічної діагностики сальмонельозу курей / Г. А. Красніков, Б. Т. Стегній, П. О. Шутченко; ННЦ “ІЕКВМ”; Заявлено 30.03.2007; Опубл. 27.08.2007, Бюл. № 13.</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uk-UA" w:eastAsia="ru-RU"/>
        </w:rPr>
      </w:pPr>
      <w:r w:rsidRPr="00F224C0">
        <w:rPr>
          <w:rFonts w:ascii="Times New Roman" w:eastAsia="Times New Roman" w:hAnsi="Times New Roman" w:cs="Times New Roman"/>
          <w:lang w:val="uk-UA" w:eastAsia="ru-RU"/>
        </w:rPr>
        <w:t>15. Патент 26855 Україна. Імуногістохімічний спосіб експертизи м’яса і продуктів забою птиці на контамінованість сальмонелами.</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val="uk-UA"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val="uk-UA" w:eastAsia="ru-RU"/>
        </w:rPr>
      </w:pPr>
      <w:r w:rsidRPr="00F224C0">
        <w:rPr>
          <w:rFonts w:ascii="Times New Roman" w:eastAsia="Times New Roman" w:hAnsi="Times New Roman" w:cs="Times New Roman"/>
          <w:b/>
          <w:bCs/>
          <w:lang w:val="uk-UA" w:eastAsia="ru-RU"/>
        </w:rPr>
        <w:t>Шутченко П. О. Імуногістохімічна діагностика та оцінка клітинного імунітету при сальмонельозі курей. – Рукопис.</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val="uk-UA"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Дисертація на здобуття наукового ступеня кандидата ветеринарних наук за спеціальністю 16.00.03 – ветеринарна мікробіологія та вірусологія. ННЦ «Інститут експериментальної і клінічної ветеринарної медицини», Харків, 2007.</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Дисертація присвячена сучасним методам імуногістохімії, які застосовуються при вивченні імунного стану курей після інфікування та щеплення атенуйованою вакциною проти сальмонельозу, а також діагностиці сальмонельозу. Імуногістохімічним вивченням субпопуляцій (кластерів) Т- і В-лімфоцитів і макрофагів: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eastAsia="ru-RU"/>
        </w:rPr>
        <w:t xml:space="preserve">8,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eastAsia="ru-RU"/>
        </w:rPr>
        <w:t xml:space="preserve">1,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eastAsia="ru-RU"/>
        </w:rPr>
        <w:t xml:space="preserve">2,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eastAsia="ru-RU"/>
        </w:rPr>
        <w:t xml:space="preserve"> та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eastAsia="ru-RU"/>
        </w:rPr>
        <w:t xml:space="preserve"> показана участь цих клітин у формуванні імунної відповіді. Визначені певні особливості формування імунітету при зараженні курчат </w:t>
      </w:r>
      <w:r w:rsidRPr="00F224C0">
        <w:rPr>
          <w:rFonts w:ascii="Times New Roman" w:eastAsia="Times New Roman" w:hAnsi="Times New Roman" w:cs="Times New Roman"/>
          <w:lang w:val="en-US" w:eastAsia="ru-RU"/>
        </w:rPr>
        <w:t>Salmonella</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en-US" w:eastAsia="ru-RU"/>
        </w:rPr>
        <w:t>enteritidis</w:t>
      </w:r>
      <w:r w:rsidRPr="00F224C0">
        <w:rPr>
          <w:rFonts w:ascii="Times New Roman" w:eastAsia="Times New Roman" w:hAnsi="Times New Roman" w:cs="Times New Roman"/>
          <w:lang w:eastAsia="ru-RU"/>
        </w:rPr>
        <w:t xml:space="preserve"> та щепленні протисальмонельозною вакциною. </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Розроблено новий імуногістохімічний метод діагностики сальмонельозу курей, який дозволяє виявляти специфічний сальмонельозний антиген у тканинах і органах хворої на сальмонельоз птиці та сальмонелоносіїв. </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b/>
          <w:bCs/>
          <w:lang w:eastAsia="ru-RU"/>
        </w:rPr>
        <w:t>Ключові слова:</w:t>
      </w:r>
      <w:r w:rsidRPr="00F224C0">
        <w:rPr>
          <w:rFonts w:ascii="Times New Roman" w:eastAsia="Times New Roman" w:hAnsi="Times New Roman" w:cs="Times New Roman"/>
          <w:lang w:eastAsia="ru-RU"/>
        </w:rPr>
        <w:t xml:space="preserve"> сальмонельоз, </w:t>
      </w:r>
      <w:r w:rsidRPr="00F224C0">
        <w:rPr>
          <w:rFonts w:ascii="Times New Roman" w:eastAsia="Times New Roman" w:hAnsi="Times New Roman" w:cs="Times New Roman"/>
          <w:i/>
          <w:iCs/>
          <w:lang w:val="en-US" w:eastAsia="ru-RU"/>
        </w:rPr>
        <w:t>Salmonella</w:t>
      </w:r>
      <w:r w:rsidRPr="00F224C0">
        <w:rPr>
          <w:rFonts w:ascii="Times New Roman" w:eastAsia="Times New Roman" w:hAnsi="Times New Roman" w:cs="Times New Roman"/>
          <w:i/>
          <w:iCs/>
          <w:lang w:eastAsia="ru-RU"/>
        </w:rPr>
        <w:t xml:space="preserve"> </w:t>
      </w:r>
      <w:r w:rsidRPr="00F224C0">
        <w:rPr>
          <w:rFonts w:ascii="Times New Roman" w:eastAsia="Times New Roman" w:hAnsi="Times New Roman" w:cs="Times New Roman"/>
          <w:i/>
          <w:iCs/>
          <w:lang w:val="en-US" w:eastAsia="ru-RU"/>
        </w:rPr>
        <w:t>enteritidis</w:t>
      </w:r>
      <w:r w:rsidRPr="00F224C0">
        <w:rPr>
          <w:rFonts w:ascii="Times New Roman" w:eastAsia="Times New Roman" w:hAnsi="Times New Roman" w:cs="Times New Roman"/>
          <w:lang w:eastAsia="ru-RU"/>
        </w:rPr>
        <w:t>, імунна відповідь, імунокомпетентні клітини, імуногістохімічні методи, діагностика.</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eastAsia="ru-RU"/>
        </w:rPr>
      </w:pPr>
      <w:r w:rsidRPr="00F224C0">
        <w:rPr>
          <w:rFonts w:ascii="Times New Roman" w:eastAsia="Times New Roman" w:hAnsi="Times New Roman" w:cs="Times New Roman"/>
          <w:b/>
          <w:bCs/>
          <w:lang w:eastAsia="ru-RU"/>
        </w:rPr>
        <w:t>Шутченко П. А. Иммуногистохимическая диагностика и оценка клеточного иммунитета при сальмонеллезе кур. – Рукопись.</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i/>
          <w:iCs/>
          <w:lang w:eastAsia="ru-RU"/>
        </w:rPr>
      </w:pPr>
      <w:r w:rsidRPr="00F224C0">
        <w:rPr>
          <w:rFonts w:ascii="Times New Roman" w:eastAsia="Times New Roman" w:hAnsi="Times New Roman" w:cs="Times New Roman"/>
          <w:i/>
          <w:iCs/>
          <w:lang w:val="uk-UA" w:eastAsia="ru-RU"/>
        </w:rPr>
        <w:t>Диссертация на соискание ученой степени кандидата ветеринарн</w:t>
      </w:r>
      <w:r w:rsidRPr="00F224C0">
        <w:rPr>
          <w:rFonts w:ascii="Times New Roman" w:eastAsia="Times New Roman" w:hAnsi="Times New Roman" w:cs="Times New Roman"/>
          <w:i/>
          <w:iCs/>
          <w:lang w:eastAsia="ru-RU"/>
        </w:rPr>
        <w:t>ы</w:t>
      </w:r>
      <w:r w:rsidRPr="00F224C0">
        <w:rPr>
          <w:rFonts w:ascii="Times New Roman" w:eastAsia="Times New Roman" w:hAnsi="Times New Roman" w:cs="Times New Roman"/>
          <w:i/>
          <w:iCs/>
          <w:lang w:val="uk-UA" w:eastAsia="ru-RU"/>
        </w:rPr>
        <w:t>х наук по специальности 16.00.0</w:t>
      </w:r>
      <w:r w:rsidRPr="00F224C0">
        <w:rPr>
          <w:rFonts w:ascii="Times New Roman" w:eastAsia="Times New Roman" w:hAnsi="Times New Roman" w:cs="Times New Roman"/>
          <w:i/>
          <w:iCs/>
          <w:lang w:eastAsia="ru-RU"/>
        </w:rPr>
        <w:t>3</w:t>
      </w:r>
      <w:r w:rsidRPr="00F224C0">
        <w:rPr>
          <w:rFonts w:ascii="Times New Roman" w:eastAsia="Times New Roman" w:hAnsi="Times New Roman" w:cs="Times New Roman"/>
          <w:i/>
          <w:iCs/>
          <w:lang w:val="uk-UA" w:eastAsia="ru-RU"/>
        </w:rPr>
        <w:t xml:space="preserve"> – </w:t>
      </w:r>
      <w:r w:rsidRPr="00F224C0">
        <w:rPr>
          <w:rFonts w:ascii="Times New Roman" w:eastAsia="Times New Roman" w:hAnsi="Times New Roman" w:cs="Times New Roman"/>
          <w:i/>
          <w:iCs/>
          <w:lang w:eastAsia="ru-RU"/>
        </w:rPr>
        <w:t>ветеринарная микробиология и вирусология</w:t>
      </w:r>
      <w:r w:rsidRPr="00F224C0">
        <w:rPr>
          <w:rFonts w:ascii="Times New Roman" w:eastAsia="Times New Roman" w:hAnsi="Times New Roman" w:cs="Times New Roman"/>
          <w:i/>
          <w:iCs/>
          <w:lang w:val="uk-UA" w:eastAsia="ru-RU"/>
        </w:rPr>
        <w:t>. ННЦ «Институт экспериментальной и клинической ветеринарной медицины», Харьков, 2007.</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i/>
          <w:iCs/>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Диссертация посвящена разработке и применению современных методов иммуногистохимии при изучении иммунного состояния кур после инфицирования и вакцинирования аттенуированной вакциной против сальмонеллеза </w:t>
      </w:r>
      <w:r w:rsidRPr="00F224C0">
        <w:rPr>
          <w:rFonts w:ascii="Times New Roman" w:eastAsia="Times New Roman" w:hAnsi="Times New Roman" w:cs="Times New Roman"/>
          <w:lang w:val="en-US" w:eastAsia="ru-RU"/>
        </w:rPr>
        <w:t>SPF</w:t>
      </w:r>
      <w:r w:rsidRPr="00F224C0">
        <w:rPr>
          <w:rFonts w:ascii="Times New Roman" w:eastAsia="Times New Roman" w:hAnsi="Times New Roman" w:cs="Times New Roman"/>
          <w:lang w:eastAsia="ru-RU"/>
        </w:rPr>
        <w:t xml:space="preserve"> птицы, а также для обнаружения сальмонеллезного антигена в органах и тканях зараженных птиц. Исследования проведены с использованием чувствительного и высокоспецифичного трехэтапного стрептавидин-биотинового метода индикации поверхностных маркеров</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eastAsia="ru-RU"/>
        </w:rPr>
        <w:t xml:space="preserve">Иммуногистохимическое изучение </w:t>
      </w:r>
      <w:r w:rsidRPr="00F224C0">
        <w:rPr>
          <w:rFonts w:ascii="Times New Roman" w:eastAsia="Times New Roman" w:hAnsi="Times New Roman" w:cs="Times New Roman"/>
          <w:lang w:val="uk-UA" w:eastAsia="ru-RU"/>
        </w:rPr>
        <w:t>субпопуляц</w:t>
      </w:r>
      <w:r w:rsidRPr="00F224C0">
        <w:rPr>
          <w:rFonts w:ascii="Times New Roman" w:eastAsia="Times New Roman" w:hAnsi="Times New Roman" w:cs="Times New Roman"/>
          <w:lang w:eastAsia="ru-RU"/>
        </w:rPr>
        <w:t>ий</w:t>
      </w:r>
      <w:r w:rsidRPr="00F224C0">
        <w:rPr>
          <w:rFonts w:ascii="Times New Roman" w:eastAsia="Times New Roman" w:hAnsi="Times New Roman" w:cs="Times New Roman"/>
          <w:lang w:val="uk-UA" w:eastAsia="ru-RU"/>
        </w:rPr>
        <w:t xml:space="preserve"> (кластер</w:t>
      </w:r>
      <w:r w:rsidRPr="00F224C0">
        <w:rPr>
          <w:rFonts w:ascii="Times New Roman" w:eastAsia="Times New Roman" w:hAnsi="Times New Roman" w:cs="Times New Roman"/>
          <w:lang w:eastAsia="ru-RU"/>
        </w:rPr>
        <w:t>ов</w:t>
      </w:r>
      <w:r w:rsidRPr="00F224C0">
        <w:rPr>
          <w:rFonts w:ascii="Times New Roman" w:eastAsia="Times New Roman" w:hAnsi="Times New Roman" w:cs="Times New Roman"/>
          <w:lang w:val="uk-UA" w:eastAsia="ru-RU"/>
        </w:rPr>
        <w:t>) Т- и В-л</w:t>
      </w:r>
      <w:r w:rsidRPr="00F224C0">
        <w:rPr>
          <w:rFonts w:ascii="Times New Roman" w:eastAsia="Times New Roman" w:hAnsi="Times New Roman" w:cs="Times New Roman"/>
          <w:lang w:eastAsia="ru-RU"/>
        </w:rPr>
        <w:t>и</w:t>
      </w:r>
      <w:r w:rsidRPr="00F224C0">
        <w:rPr>
          <w:rFonts w:ascii="Times New Roman" w:eastAsia="Times New Roman" w:hAnsi="Times New Roman" w:cs="Times New Roman"/>
          <w:lang w:val="uk-UA" w:eastAsia="ru-RU"/>
        </w:rPr>
        <w:t>мфоцит</w:t>
      </w:r>
      <w:r w:rsidRPr="00F224C0">
        <w:rPr>
          <w:rFonts w:ascii="Times New Roman" w:eastAsia="Times New Roman" w:hAnsi="Times New Roman" w:cs="Times New Roman"/>
          <w:lang w:eastAsia="ru-RU"/>
        </w:rPr>
        <w:t>о</w:t>
      </w:r>
      <w:r w:rsidRPr="00F224C0">
        <w:rPr>
          <w:rFonts w:ascii="Times New Roman" w:eastAsia="Times New Roman" w:hAnsi="Times New Roman" w:cs="Times New Roman"/>
          <w:lang w:val="uk-UA" w:eastAsia="ru-RU"/>
        </w:rPr>
        <w:t xml:space="preserve">в </w:t>
      </w:r>
      <w:r w:rsidRPr="00F224C0">
        <w:rPr>
          <w:rFonts w:ascii="Times New Roman" w:eastAsia="Times New Roman" w:hAnsi="Times New Roman" w:cs="Times New Roman"/>
          <w:lang w:eastAsia="ru-RU"/>
        </w:rPr>
        <w:t>и</w:t>
      </w:r>
      <w:r w:rsidRPr="00F224C0">
        <w:rPr>
          <w:rFonts w:ascii="Times New Roman" w:eastAsia="Times New Roman" w:hAnsi="Times New Roman" w:cs="Times New Roman"/>
          <w:lang w:val="uk-UA" w:eastAsia="ru-RU"/>
        </w:rPr>
        <w:t xml:space="preserve"> макрофаг</w:t>
      </w:r>
      <w:r w:rsidRPr="00F224C0">
        <w:rPr>
          <w:rFonts w:ascii="Times New Roman" w:eastAsia="Times New Roman" w:hAnsi="Times New Roman" w:cs="Times New Roman"/>
          <w:lang w:eastAsia="ru-RU"/>
        </w:rPr>
        <w:t>о</w:t>
      </w:r>
      <w:r w:rsidRPr="00F224C0">
        <w:rPr>
          <w:rFonts w:ascii="Times New Roman" w:eastAsia="Times New Roman" w:hAnsi="Times New Roman" w:cs="Times New Roman"/>
          <w:lang w:val="uk-UA" w:eastAsia="ru-RU"/>
        </w:rPr>
        <w:t xml:space="preserve">в: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2,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IgM</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и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val="uk-UA" w:eastAsia="ru-RU"/>
        </w:rPr>
        <w:t xml:space="preserve"> позволило получить нов</w:t>
      </w:r>
      <w:r w:rsidRPr="00F224C0">
        <w:rPr>
          <w:rFonts w:ascii="Times New Roman" w:eastAsia="Times New Roman" w:hAnsi="Times New Roman" w:cs="Times New Roman"/>
          <w:lang w:eastAsia="ru-RU"/>
        </w:rPr>
        <w:t>ы</w:t>
      </w:r>
      <w:r w:rsidRPr="00F224C0">
        <w:rPr>
          <w:rFonts w:ascii="Times New Roman" w:eastAsia="Times New Roman" w:hAnsi="Times New Roman" w:cs="Times New Roman"/>
          <w:lang w:val="uk-UA" w:eastAsia="ru-RU"/>
        </w:rPr>
        <w:t xml:space="preserve">е </w:t>
      </w:r>
      <w:r w:rsidRPr="00F224C0">
        <w:rPr>
          <w:rFonts w:ascii="Times New Roman" w:eastAsia="Times New Roman" w:hAnsi="Times New Roman" w:cs="Times New Roman"/>
          <w:lang w:eastAsia="ru-RU"/>
        </w:rPr>
        <w:t xml:space="preserve">и оригинальные результаты. Установлены отличия в характере изменения количества исследуемых кластеров иммунитета в бурсе Фабрициуса и селезенке при заражении. </w:t>
      </w:r>
      <w:r w:rsidRPr="00F224C0">
        <w:rPr>
          <w:rFonts w:ascii="Times New Roman" w:eastAsia="Times New Roman" w:hAnsi="Times New Roman" w:cs="Times New Roman"/>
          <w:lang w:eastAsia="ru-RU"/>
        </w:rPr>
        <w:lastRenderedPageBreak/>
        <w:t>Результаты свидетельствуют о высокой реактогенности исследуемых субпопуляций иммунокомпетентных клеток и демонстративности изменений их количества, в особенности клеток бурсы Фабрициуса как при вакцинации, так и после заражения сальмонеллезом, что дает основания отличать поствакцинальный иммунитет от постинфекционного.</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У вакцинированных цыплят, в отличие от инфицированных, наиболее сильно проявлялась активность лимфоцитов с поверхностными маркерами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eastAsia="ru-RU"/>
        </w:rPr>
        <w:t xml:space="preserve">(в бурсе Фабрициуса), а в селезенке –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3,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8</w:t>
      </w:r>
      <w:r w:rsidRPr="00F224C0">
        <w:rPr>
          <w:rFonts w:ascii="Times New Roman" w:eastAsia="Times New Roman" w:hAnsi="Times New Roman" w:cs="Times New Roman"/>
          <w:lang w:eastAsia="ru-RU"/>
        </w:rPr>
        <w:t xml:space="preserve"> и</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CVI</w:t>
      </w:r>
      <w:r w:rsidRPr="00F224C0">
        <w:rPr>
          <w:rFonts w:ascii="Times New Roman" w:eastAsia="Times New Roman" w:hAnsi="Times New Roman" w:cs="Times New Roman"/>
          <w:lang w:eastAsia="ru-RU"/>
        </w:rPr>
        <w:t xml:space="preserve">. У зараженных цыплят в бурсе Фабрициуса сильнее проявлялось накопление лимфоцитов с поверхностными маркерами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3</w:t>
      </w:r>
      <w:r w:rsidRPr="00F224C0">
        <w:rPr>
          <w:rFonts w:ascii="Times New Roman" w:eastAsia="Times New Roman" w:hAnsi="Times New Roman" w:cs="Times New Roman"/>
          <w:lang w:eastAsia="ru-RU"/>
        </w:rPr>
        <w:t xml:space="preserve">,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4, </w:t>
      </w:r>
      <w:r w:rsidRPr="00F224C0">
        <w:rPr>
          <w:rFonts w:ascii="Times New Roman" w:eastAsia="Times New Roman" w:hAnsi="Times New Roman" w:cs="Times New Roman"/>
          <w:lang w:val="en-US" w:eastAsia="ru-RU"/>
        </w:rPr>
        <w:t>CD</w:t>
      </w:r>
      <w:r w:rsidRPr="00F224C0">
        <w:rPr>
          <w:rFonts w:ascii="Times New Roman" w:eastAsia="Times New Roman" w:hAnsi="Times New Roman" w:cs="Times New Roman"/>
          <w:lang w:val="uk-UA" w:eastAsia="ru-RU"/>
        </w:rPr>
        <w:t xml:space="preserve">8,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1, </w:t>
      </w:r>
      <w:r w:rsidRPr="00F224C0">
        <w:rPr>
          <w:rFonts w:ascii="Times New Roman" w:eastAsia="Times New Roman" w:hAnsi="Times New Roman" w:cs="Times New Roman"/>
          <w:lang w:val="en-US" w:eastAsia="ru-RU"/>
        </w:rPr>
        <w:t>TcR</w:t>
      </w:r>
      <w:r w:rsidRPr="00F224C0">
        <w:rPr>
          <w:rFonts w:ascii="Times New Roman" w:eastAsia="Times New Roman" w:hAnsi="Times New Roman" w:cs="Times New Roman"/>
          <w:lang w:val="uk-UA" w:eastAsia="ru-RU"/>
        </w:rPr>
        <w:t xml:space="preserve">,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eastAsia="ru-RU"/>
        </w:rPr>
        <w:t xml:space="preserve">, а в селезенке – клеток с маркером </w:t>
      </w:r>
      <w:r w:rsidRPr="00F224C0">
        <w:rPr>
          <w:rFonts w:ascii="Times New Roman" w:eastAsia="Times New Roman" w:hAnsi="Times New Roman" w:cs="Times New Roman"/>
          <w:lang w:val="en-US" w:eastAsia="ru-RU"/>
        </w:rPr>
        <w:t>Ig</w:t>
      </w:r>
      <w:r w:rsidRPr="00F224C0">
        <w:rPr>
          <w:rFonts w:ascii="Times New Roman" w:eastAsia="Times New Roman" w:hAnsi="Times New Roman" w:cs="Times New Roman"/>
          <w:lang w:eastAsia="ru-RU"/>
        </w:rPr>
        <w:t xml:space="preserve">М. Изучено активное участие в формировании иммунитета при сальмонеллезе клеток, которые продуцируют иммуноглобулины. Процент клеток с маркерами </w:t>
      </w:r>
      <w:r w:rsidRPr="00F224C0">
        <w:rPr>
          <w:rFonts w:ascii="Times New Roman" w:eastAsia="Times New Roman" w:hAnsi="Times New Roman" w:cs="Times New Roman"/>
          <w:lang w:val="en-US" w:eastAsia="ru-RU"/>
        </w:rPr>
        <w:t>IgG</w:t>
      </w:r>
      <w:r w:rsidRPr="00F224C0">
        <w:rPr>
          <w:rFonts w:ascii="Times New Roman" w:eastAsia="Times New Roman" w:hAnsi="Times New Roman" w:cs="Times New Roman"/>
          <w:lang w:val="uk-UA" w:eastAsia="ru-RU"/>
        </w:rPr>
        <w:t xml:space="preserve"> и </w:t>
      </w:r>
      <w:r w:rsidRPr="00F224C0">
        <w:rPr>
          <w:rFonts w:ascii="Times New Roman" w:eastAsia="Times New Roman" w:hAnsi="Times New Roman" w:cs="Times New Roman"/>
          <w:lang w:val="en-US" w:eastAsia="ru-RU"/>
        </w:rPr>
        <w:t>IgA</w:t>
      </w:r>
      <w:r w:rsidRPr="00F224C0">
        <w:rPr>
          <w:rFonts w:ascii="Times New Roman" w:eastAsia="Times New Roman" w:hAnsi="Times New Roman" w:cs="Times New Roman"/>
          <w:lang w:eastAsia="ru-RU"/>
        </w:rPr>
        <w:t xml:space="preserve"> в бурсе Фабрициуса был большим, чем в селезенке, что подчеркивало решающую роль бурсы Фабрициуса в формировании гуморального иммунитета.</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lang w:eastAsia="ru-RU"/>
        </w:rPr>
        <w:t xml:space="preserve">Разработаный новый иммуногистохимический метод определения сальмонеллезного антигена позволяет выявлять его в тканях и органах больной сальмонеллезом птицы и сальмонеллоносителей. Метод основан на принципе иммуноферментного выявления специфических антигенов, в частности в нем использована схема двухэтапного непрямого иммуногистохимического анализа. </w:t>
      </w:r>
      <w:r w:rsidRPr="00F224C0">
        <w:rPr>
          <w:rFonts w:ascii="Times New Roman" w:eastAsia="Times New Roman" w:hAnsi="Times New Roman" w:cs="Times New Roman"/>
          <w:lang w:val="uk-UA" w:eastAsia="ru-RU"/>
        </w:rPr>
        <w:t>С помощью данного метода в гистосрезах внутренних и иммунокомпетентных органах кур, зараженных сальмонеллезом, был выявлен сальмонеллезный антиген, который имел вид глыбок и располагался</w:t>
      </w:r>
      <w:r w:rsidRPr="00F224C0">
        <w:rPr>
          <w:rFonts w:ascii="Times New Roman" w:eastAsia="Times New Roman" w:hAnsi="Times New Roman" w:cs="Times New Roman"/>
          <w:lang w:eastAsia="ru-RU"/>
        </w:rPr>
        <w:t xml:space="preserve"> в клетках и между ними.</w:t>
      </w:r>
      <w:r w:rsidRPr="00F224C0">
        <w:rPr>
          <w:rFonts w:ascii="Times New Roman" w:eastAsia="Times New Roman" w:hAnsi="Times New Roman" w:cs="Times New Roman"/>
          <w:lang w:val="uk-UA" w:eastAsia="ru-RU"/>
        </w:rPr>
        <w:t xml:space="preserve"> Определены </w:t>
      </w:r>
      <w:r w:rsidRPr="00F224C0">
        <w:rPr>
          <w:rFonts w:ascii="Times New Roman" w:eastAsia="Times New Roman" w:hAnsi="Times New Roman" w:cs="Times New Roman"/>
          <w:lang w:eastAsia="ru-RU"/>
        </w:rPr>
        <w:t xml:space="preserve">динамика и </w:t>
      </w:r>
      <w:r w:rsidRPr="00F224C0">
        <w:rPr>
          <w:rFonts w:ascii="Times New Roman" w:eastAsia="Times New Roman" w:hAnsi="Times New Roman" w:cs="Times New Roman"/>
          <w:lang w:val="uk-UA" w:eastAsia="ru-RU"/>
        </w:rPr>
        <w:t xml:space="preserve">места его </w:t>
      </w:r>
      <w:r w:rsidRPr="00F224C0">
        <w:rPr>
          <w:rFonts w:ascii="Times New Roman" w:eastAsia="Times New Roman" w:hAnsi="Times New Roman" w:cs="Times New Roman"/>
          <w:lang w:eastAsia="ru-RU"/>
        </w:rPr>
        <w:t xml:space="preserve">накопления </w:t>
      </w:r>
      <w:r w:rsidRPr="00F224C0">
        <w:rPr>
          <w:rFonts w:ascii="Times New Roman" w:eastAsia="Times New Roman" w:hAnsi="Times New Roman" w:cs="Times New Roman"/>
          <w:lang w:val="uk-UA" w:eastAsia="ru-RU"/>
        </w:rPr>
        <w:t>в</w:t>
      </w:r>
      <w:r w:rsidRPr="00F224C0">
        <w:rPr>
          <w:rFonts w:ascii="Times New Roman" w:eastAsia="Times New Roman" w:hAnsi="Times New Roman" w:cs="Times New Roman"/>
          <w:lang w:eastAsia="ru-RU"/>
        </w:rPr>
        <w:t xml:space="preserve"> тимусе, печени, селезенке, бурсе Фабрициуса, слепой кишке и мышцах зараженных сальмонеллезом цыплят.</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r w:rsidRPr="00F224C0">
        <w:rPr>
          <w:rFonts w:ascii="Times New Roman" w:eastAsia="Times New Roman" w:hAnsi="Times New Roman" w:cs="Times New Roman"/>
          <w:b/>
          <w:bCs/>
          <w:lang w:eastAsia="ru-RU"/>
        </w:rPr>
        <w:t xml:space="preserve">Ключевые слова: </w:t>
      </w:r>
      <w:r w:rsidRPr="00F224C0">
        <w:rPr>
          <w:rFonts w:ascii="Times New Roman" w:eastAsia="Times New Roman" w:hAnsi="Times New Roman" w:cs="Times New Roman"/>
          <w:lang w:eastAsia="ru-RU"/>
        </w:rPr>
        <w:t xml:space="preserve">сальмонеллез, </w:t>
      </w:r>
      <w:r w:rsidRPr="00F224C0">
        <w:rPr>
          <w:rFonts w:ascii="Times New Roman" w:eastAsia="Times New Roman" w:hAnsi="Times New Roman" w:cs="Times New Roman"/>
          <w:i/>
          <w:iCs/>
          <w:lang w:val="en-US" w:eastAsia="ru-RU"/>
        </w:rPr>
        <w:t>Salmonella</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enteritidis</w:t>
      </w:r>
      <w:r w:rsidRPr="00F224C0">
        <w:rPr>
          <w:rFonts w:ascii="Times New Roman" w:eastAsia="Times New Roman" w:hAnsi="Times New Roman" w:cs="Times New Roman"/>
          <w:lang w:eastAsia="ru-RU"/>
        </w:rPr>
        <w:t>, иммунный ответ, иммунокомпетентные клетки, иммуногистохимические методы, диагностика.</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val="en-US" w:eastAsia="ru-RU"/>
        </w:rPr>
      </w:pPr>
      <w:r w:rsidRPr="00F224C0">
        <w:rPr>
          <w:rFonts w:ascii="Times New Roman" w:eastAsia="Times New Roman" w:hAnsi="Times New Roman" w:cs="Times New Roman"/>
          <w:b/>
          <w:bCs/>
          <w:lang w:val="en-US" w:eastAsia="ru-RU"/>
        </w:rPr>
        <w:t>Shutchenko P. O. Immunohistochemical diagnostics and estimation of cell imunity at salmonellosis of hens. – Manuscript.</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b/>
          <w:bCs/>
          <w:lang w:val="en-US"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i/>
          <w:iCs/>
          <w:lang w:val="en-US" w:eastAsia="ru-RU"/>
        </w:rPr>
        <w:t>Dissertation for Academic degree of Candidate of Veterinary Sciences, speciality – 16.00.03</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w:t>
      </w:r>
      <w:r w:rsidRPr="00F224C0">
        <w:rPr>
          <w:rFonts w:ascii="Times New Roman" w:eastAsia="Times New Roman" w:hAnsi="Times New Roman" w:cs="Times New Roman"/>
          <w:i/>
          <w:iCs/>
          <w:lang w:val="uk-UA" w:eastAsia="ru-RU"/>
        </w:rPr>
        <w:t xml:space="preserve"> </w:t>
      </w:r>
      <w:r w:rsidRPr="00F224C0">
        <w:rPr>
          <w:rFonts w:ascii="Times New Roman" w:eastAsia="Times New Roman" w:hAnsi="Times New Roman" w:cs="Times New Roman"/>
          <w:i/>
          <w:iCs/>
          <w:lang w:val="en-US" w:eastAsia="ru-RU"/>
        </w:rPr>
        <w:t>Veterinary Microbiology and Virology. NSC «Institute of Experimental and Clinical Veterinary Medicine», Kharkov</w:t>
      </w:r>
      <w:r w:rsidRPr="00F224C0">
        <w:rPr>
          <w:rFonts w:ascii="Times New Roman" w:eastAsia="Times New Roman" w:hAnsi="Times New Roman" w:cs="Times New Roman"/>
          <w:i/>
          <w:iCs/>
          <w:lang w:val="uk-UA" w:eastAsia="ru-RU"/>
        </w:rPr>
        <w:t>,</w:t>
      </w:r>
      <w:r w:rsidRPr="00F224C0">
        <w:rPr>
          <w:rFonts w:ascii="Times New Roman" w:eastAsia="Times New Roman" w:hAnsi="Times New Roman" w:cs="Times New Roman"/>
          <w:i/>
          <w:iCs/>
          <w:lang w:val="en-US" w:eastAsia="ru-RU"/>
        </w:rPr>
        <w:t xml:space="preserve"> 2007.</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lastRenderedPageBreak/>
        <w:t>The dissertation is devoted to the modern immunohistochemical methods are used for studying immune state of hens after infection and vaccination with attenuated vaccine against salmonellosis, and also for diagnostics of salmonellosis. By immunohistochemical studying T- and B-lymphocyte and macrophage subpopulations (clasters): CD3, CD4, CD8, TcR1, TcR2, CVI, IgM, IgG and IgA it was shown the role of these cells in immune response formation. It was determined the main features of immunity formation chicken infection with Salmonella enteritidis and injection with vaccine against salmonellosis.</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lang w:val="en-US" w:eastAsia="ru-RU"/>
        </w:rPr>
        <w:t>The modern immunohistochemical method for diagnostics of salmonellosis of hens was developed. It allows to reveal a specific salmonella antigene in tissues and organs of poultry infected with salmonellosis and when salmonella-carrying also.</w:t>
      </w: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p>
    <w:p w:rsidR="00F224C0" w:rsidRPr="00F224C0" w:rsidRDefault="00F224C0" w:rsidP="00F224C0">
      <w:pPr>
        <w:tabs>
          <w:tab w:val="left" w:pos="6726"/>
        </w:tabs>
        <w:suppressAutoHyphens w:val="0"/>
        <w:autoSpaceDE w:val="0"/>
        <w:autoSpaceDN w:val="0"/>
        <w:spacing w:line="360" w:lineRule="auto"/>
        <w:ind w:firstLine="540"/>
        <w:jc w:val="both"/>
        <w:rPr>
          <w:rFonts w:ascii="Times New Roman" w:eastAsia="Times New Roman" w:hAnsi="Times New Roman" w:cs="Times New Roman"/>
          <w:lang w:val="en-US" w:eastAsia="ru-RU"/>
        </w:rPr>
      </w:pPr>
      <w:r w:rsidRPr="00F224C0">
        <w:rPr>
          <w:rFonts w:ascii="Times New Roman" w:eastAsia="Times New Roman" w:hAnsi="Times New Roman" w:cs="Times New Roman"/>
          <w:b/>
          <w:bCs/>
          <w:i/>
          <w:iCs/>
          <w:lang w:val="uk-UA" w:eastAsia="ru-RU"/>
        </w:rPr>
        <w:t>Key word</w:t>
      </w:r>
      <w:r w:rsidRPr="00F224C0">
        <w:rPr>
          <w:rFonts w:ascii="Times New Roman" w:eastAsia="Times New Roman" w:hAnsi="Times New Roman" w:cs="Times New Roman"/>
          <w:b/>
          <w:bCs/>
          <w:i/>
          <w:iCs/>
          <w:lang w:val="en-US" w:eastAsia="ru-RU"/>
        </w:rPr>
        <w:t>s</w:t>
      </w:r>
      <w:r w:rsidRPr="00F224C0">
        <w:rPr>
          <w:rFonts w:ascii="Times New Roman" w:eastAsia="Times New Roman" w:hAnsi="Times New Roman" w:cs="Times New Roman"/>
          <w:b/>
          <w:bCs/>
          <w:i/>
          <w:iCs/>
          <w:lang w:val="uk-UA" w:eastAsia="ru-RU"/>
        </w:rPr>
        <w:t xml:space="preserve">: </w:t>
      </w:r>
      <w:r w:rsidRPr="00F224C0">
        <w:rPr>
          <w:rFonts w:ascii="Times New Roman" w:eastAsia="Times New Roman" w:hAnsi="Times New Roman" w:cs="Times New Roman"/>
          <w:lang w:val="uk-UA" w:eastAsia="ru-RU"/>
        </w:rPr>
        <w:t xml:space="preserve">salmonellosis, </w:t>
      </w:r>
      <w:r w:rsidRPr="00F224C0">
        <w:rPr>
          <w:rFonts w:ascii="Times New Roman" w:eastAsia="Times New Roman" w:hAnsi="Times New Roman" w:cs="Times New Roman"/>
          <w:i/>
          <w:iCs/>
          <w:lang w:val="uk-UA" w:eastAsia="ru-RU"/>
        </w:rPr>
        <w:t>Salmonella enteritidis</w:t>
      </w:r>
      <w:r w:rsidRPr="00F224C0">
        <w:rPr>
          <w:rFonts w:ascii="Times New Roman" w:eastAsia="Times New Roman" w:hAnsi="Times New Roman" w:cs="Times New Roman"/>
          <w:lang w:val="uk-UA" w:eastAsia="ru-RU"/>
        </w:rPr>
        <w:t>, immune response, immunocompetent cells, immunohistochemical methods, diagnostics.</w:t>
      </w:r>
    </w:p>
    <w:p w:rsidR="008F4410" w:rsidRPr="008F4410" w:rsidRDefault="008F4410" w:rsidP="008F4410">
      <w:pPr>
        <w:autoSpaceDE w:val="0"/>
        <w:autoSpaceDN w:val="0"/>
        <w:adjustRightInd w:val="0"/>
        <w:ind w:firstLine="709"/>
        <w:rPr>
          <w:rFonts w:ascii="Times New Roman" w:hAnsi="Times New Roman"/>
          <w:sz w:val="28"/>
          <w:szCs w:val="28"/>
          <w:lang w:val="en-US"/>
        </w:rPr>
      </w:pPr>
    </w:p>
    <w:p w:rsidR="005573D6" w:rsidRPr="00AF34B6" w:rsidRDefault="005573D6" w:rsidP="006F2638">
      <w:pPr>
        <w:pStyle w:val="afffffffa"/>
        <w:rPr>
          <w:lang w:val="uk-UA"/>
        </w:rPr>
      </w:pPr>
    </w:p>
    <w:p w:rsidR="005573D6" w:rsidRDefault="005573D6" w:rsidP="006F2638">
      <w:pPr>
        <w:pStyle w:val="afffffffa"/>
        <w:rPr>
          <w:lang w:val="uk-UA"/>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2"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11" w:rsidRDefault="00151D11">
      <w:r>
        <w:separator/>
      </w:r>
    </w:p>
  </w:endnote>
  <w:endnote w:type="continuationSeparator" w:id="0">
    <w:p w:rsidR="00151D11" w:rsidRDefault="0015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11" w:rsidRDefault="00151D11">
      <w:r>
        <w:separator/>
      </w:r>
    </w:p>
  </w:footnote>
  <w:footnote w:type="continuationSeparator" w:id="0">
    <w:p w:rsidR="00151D11" w:rsidRDefault="0015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C0" w:rsidRDefault="00F224C0">
    <w:pPr>
      <w:pStyle w:val="afffffffd"/>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F224C0" w:rsidRDefault="00F224C0">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49">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0">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9"/>
  </w:num>
  <w:num w:numId="42">
    <w:abstractNumId w:val="39"/>
  </w:num>
  <w:num w:numId="43">
    <w:abstractNumId w:val="47"/>
  </w:num>
  <w:num w:numId="44">
    <w:abstractNumId w:val="42"/>
  </w:num>
  <w:num w:numId="45">
    <w:abstractNumId w:val="45"/>
  </w:num>
  <w:num w:numId="46">
    <w:abstractNumId w:val="38"/>
  </w:num>
  <w:num w:numId="47">
    <w:abstractNumId w:val="40"/>
  </w:num>
  <w:num w:numId="48">
    <w:abstractNumId w:val="43"/>
  </w:num>
  <w:num w:numId="49">
    <w:abstractNumId w:val="50"/>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1D11"/>
    <w:rsid w:val="00152934"/>
    <w:rsid w:val="00155A25"/>
    <w:rsid w:val="001604BA"/>
    <w:rsid w:val="00162A81"/>
    <w:rsid w:val="001731B9"/>
    <w:rsid w:val="0017650B"/>
    <w:rsid w:val="001A197B"/>
    <w:rsid w:val="001A5E82"/>
    <w:rsid w:val="001A6FC9"/>
    <w:rsid w:val="001B38EF"/>
    <w:rsid w:val="001C00AC"/>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76112"/>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8F4410"/>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6FAB"/>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A2D"/>
    <w:rsid w:val="00EA6F55"/>
    <w:rsid w:val="00EA6FF4"/>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tabs>
        <w:tab w:val="clear" w:pos="2160"/>
        <w:tab w:val="num" w:pos="360"/>
      </w:tabs>
      <w:ind w:left="4320"/>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lang/>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lang/>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lang/>
    </w:rPr>
  </w:style>
  <w:style w:type="paragraph" w:customStyle="1" w:styleId="Normal3">
    <w:name w:val="Normal"/>
    <w:rsid w:val="00CB6FAB"/>
    <w:pPr>
      <w:suppressAutoHyphens/>
    </w:pPr>
    <w:rPr>
      <w:rFonts w:ascii="Times New Roman" w:eastAsia="Arial" w:hAnsi="Times New Roman" w:cs="Times New Roman"/>
      <w:kern w:val="1"/>
      <w:sz w:val="28"/>
      <w:lang w:eastAsia="ar-SA"/>
    </w:rPr>
  </w:style>
  <w:style w:type="paragraph" w:customStyle="1" w:styleId="BodyText32">
    <w:name w:val="Body Text 3"/>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8" b="1" i="0" u="none" strike="noStrike" baseline="0">
                <a:solidFill>
                  <a:srgbClr val="000000"/>
                </a:solidFill>
                <a:latin typeface="Arial Cyr"/>
                <a:ea typeface="Arial Cyr"/>
                <a:cs typeface="Arial Cyr"/>
              </a:defRPr>
            </a:pPr>
            <a:r>
              <a:rPr lang="ru-RU"/>
              <a:t>Рис. 1. Динаміка змін субпопуляції лімфоцитів з поверхневим маркером </a:t>
            </a:r>
            <a:r>
              <a:rPr lang="en-US"/>
              <a:t>IgA </a:t>
            </a:r>
            <a:r>
              <a:rPr lang="ru-RU"/>
              <a:t>у бурсі Фабриціуса після імунізації</a:t>
            </a:r>
          </a:p>
        </c:rich>
      </c:tx>
      <c:layout>
        <c:manualLayout>
          <c:xMode val="edge"/>
          <c:yMode val="edge"/>
          <c:x val="0.12933025404157045"/>
          <c:y val="0.80122950819672145"/>
        </c:manualLayout>
      </c:layout>
      <c:overlay val="0"/>
      <c:spPr>
        <a:noFill/>
        <a:ln w="18286">
          <a:noFill/>
        </a:ln>
      </c:spPr>
    </c:title>
    <c:autoTitleDeleted val="0"/>
    <c:plotArea>
      <c:layout>
        <c:manualLayout>
          <c:layoutTarget val="inner"/>
          <c:xMode val="edge"/>
          <c:yMode val="edge"/>
          <c:x val="8.0831408775981523E-2"/>
          <c:y val="6.3524590163934441E-2"/>
          <c:w val="0.75057736720554269"/>
          <c:h val="0.54918032786885262"/>
        </c:manualLayout>
      </c:layout>
      <c:barChart>
        <c:barDir val="col"/>
        <c:grouping val="clustered"/>
        <c:varyColors val="0"/>
        <c:ser>
          <c:idx val="0"/>
          <c:order val="0"/>
          <c:tx>
            <c:strRef>
              <c:f>Лист1!$A$2</c:f>
              <c:strCache>
                <c:ptCount val="1"/>
                <c:pt idx="0">
                  <c:v>імунізовані</c:v>
                </c:pt>
              </c:strCache>
            </c:strRef>
          </c:tx>
          <c:spPr>
            <a:pattFill prst="pct8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9143">
              <a:solidFill>
                <a:srgbClr val="000000"/>
              </a:solidFill>
              <a:prstDash val="solid"/>
            </a:ln>
          </c:spPr>
          <c:invertIfNegative val="0"/>
          <c:dLbls>
            <c:dLbl>
              <c:idx val="0"/>
              <c:tx>
                <c:rich>
                  <a:bodyPr rot="-5400000" vert="horz"/>
                  <a:lstStyle/>
                  <a:p>
                    <a:pPr algn="ctr">
                      <a:defRPr sz="720" b="1" i="0" u="none" strike="noStrike" baseline="0">
                        <a:solidFill>
                          <a:srgbClr val="000000"/>
                        </a:solidFill>
                        <a:latin typeface="Arial Cyr"/>
                        <a:ea typeface="Arial Cyr"/>
                        <a:cs typeface="Arial Cyr"/>
                      </a:defRPr>
                    </a:pPr>
                    <a:r>
                      <a:rPr lang="en-US"/>
                      <a:t>0,104±0,031</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rot="-5400000" vert="horz"/>
                  <a:lstStyle/>
                  <a:p>
                    <a:pPr algn="ctr">
                      <a:defRPr sz="720" b="1" i="0" u="none" strike="noStrike" baseline="0">
                        <a:solidFill>
                          <a:srgbClr val="000000"/>
                        </a:solidFill>
                        <a:latin typeface="Arial Cyr"/>
                        <a:ea typeface="Arial Cyr"/>
                        <a:cs typeface="Arial Cyr"/>
                      </a:defRPr>
                    </a:pPr>
                    <a:r>
                      <a:rPr lang="en-US"/>
                      <a:t>0,105±0,044</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rot="-5400000" vert="horz"/>
                  <a:lstStyle/>
                  <a:p>
                    <a:pPr algn="ctr">
                      <a:defRPr sz="720" b="1" i="0" u="none" strike="noStrike" baseline="0">
                        <a:solidFill>
                          <a:srgbClr val="000000"/>
                        </a:solidFill>
                        <a:latin typeface="Arial Cyr"/>
                        <a:ea typeface="Arial Cyr"/>
                        <a:cs typeface="Arial Cyr"/>
                      </a:defRPr>
                    </a:pPr>
                    <a:r>
                      <a:rPr lang="en-US"/>
                      <a:t>0,335±0,135</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rot="-5400000" vert="horz"/>
                  <a:lstStyle/>
                  <a:p>
                    <a:pPr algn="ctr">
                      <a:defRPr sz="720" b="1" i="0" u="none" strike="noStrike" baseline="0">
                        <a:solidFill>
                          <a:srgbClr val="000000"/>
                        </a:solidFill>
                        <a:latin typeface="Arial Cyr"/>
                        <a:ea typeface="Arial Cyr"/>
                        <a:cs typeface="Arial Cyr"/>
                      </a:defRPr>
                    </a:pPr>
                    <a:r>
                      <a:rPr lang="en-US"/>
                      <a:t>0,081±0,028</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rot="-5400000" vert="horz"/>
                  <a:lstStyle/>
                  <a:p>
                    <a:pPr algn="ctr">
                      <a:defRPr sz="720" b="1" i="0" u="none" strike="noStrike" baseline="0">
                        <a:solidFill>
                          <a:srgbClr val="000000"/>
                        </a:solidFill>
                        <a:latin typeface="Arial Cyr"/>
                        <a:ea typeface="Arial Cyr"/>
                        <a:cs typeface="Arial Cyr"/>
                      </a:defRPr>
                    </a:pPr>
                    <a:r>
                      <a:rPr lang="en-US"/>
                      <a:t>2,085±0,635</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rot="-5400000" vert="horz"/>
                  <a:lstStyle/>
                  <a:p>
                    <a:pPr algn="ctr">
                      <a:defRPr sz="720" b="1" i="0" u="none" strike="noStrike" baseline="0">
                        <a:solidFill>
                          <a:srgbClr val="000000"/>
                        </a:solidFill>
                        <a:latin typeface="Arial Cyr"/>
                        <a:ea typeface="Arial Cyr"/>
                        <a:cs typeface="Arial Cyr"/>
                      </a:defRPr>
                    </a:pPr>
                    <a:r>
                      <a:rPr lang="en-US"/>
                      <a:t>5,484±1,699</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1.4793508821557277E-2"/>
                  <c:y val="3.2786885245901634E-2"/>
                </c:manualLayout>
              </c:layout>
              <c:tx>
                <c:rich>
                  <a:bodyPr rot="-5400000" vert="horz"/>
                  <a:lstStyle/>
                  <a:p>
                    <a:pPr algn="ctr">
                      <a:defRPr sz="720" b="1" i="0" u="none" strike="noStrike" baseline="0">
                        <a:solidFill>
                          <a:srgbClr val="000000"/>
                        </a:solidFill>
                        <a:latin typeface="Arial Cyr"/>
                        <a:ea typeface="Arial Cyr"/>
                        <a:cs typeface="Arial Cyr"/>
                      </a:defRPr>
                    </a:pPr>
                    <a:r>
                      <a:rPr lang="en-US"/>
                      <a:t>7,021±3,980</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1.6053276967371244E-2"/>
                  <c:y val="2.8688524590163925E-2"/>
                </c:manualLayout>
              </c:layout>
              <c:tx>
                <c:rich>
                  <a:bodyPr rot="-5400000" vert="horz"/>
                  <a:lstStyle/>
                  <a:p>
                    <a:pPr algn="ctr">
                      <a:defRPr sz="720" b="1" i="0" u="none" strike="noStrike" baseline="0">
                        <a:solidFill>
                          <a:srgbClr val="000000"/>
                        </a:solidFill>
                        <a:latin typeface="Arial Cyr"/>
                        <a:ea typeface="Arial Cyr"/>
                        <a:cs typeface="Arial Cyr"/>
                      </a:defRPr>
                    </a:pPr>
                    <a:r>
                      <a:rPr lang="en-US"/>
                      <a:t>7,158±0,146</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1.6158103736250151E-2"/>
                  <c:y val="3.0737704918032807E-2"/>
                </c:manualLayout>
              </c:layout>
              <c:tx>
                <c:rich>
                  <a:bodyPr rot="-5400000" vert="horz"/>
                  <a:lstStyle/>
                  <a:p>
                    <a:pPr algn="ctr">
                      <a:defRPr sz="720" b="1" i="0" u="none" strike="noStrike" baseline="0">
                        <a:solidFill>
                          <a:srgbClr val="000000"/>
                        </a:solidFill>
                        <a:latin typeface="Arial Cyr"/>
                        <a:ea typeface="Arial Cyr"/>
                        <a:cs typeface="Arial Cyr"/>
                      </a:defRPr>
                    </a:pPr>
                    <a:r>
                      <a:rPr lang="en-US"/>
                      <a:t>7,205±0,051</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1.6263137470978517E-2"/>
                  <c:y val="3.0737704918032807E-2"/>
                </c:manualLayout>
              </c:layout>
              <c:tx>
                <c:rich>
                  <a:bodyPr rot="-5400000" vert="horz"/>
                  <a:lstStyle/>
                  <a:p>
                    <a:pPr algn="ctr">
                      <a:defRPr sz="720" b="1" i="0" u="none" strike="noStrike" baseline="0">
                        <a:solidFill>
                          <a:srgbClr val="000000"/>
                        </a:solidFill>
                        <a:latin typeface="Arial Cyr"/>
                        <a:ea typeface="Arial Cyr"/>
                        <a:cs typeface="Arial Cyr"/>
                      </a:defRPr>
                    </a:pPr>
                    <a:r>
                      <a:rPr lang="en-US"/>
                      <a:t>7,263±0,045</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rot="-5400000" vert="horz"/>
                  <a:lstStyle/>
                  <a:p>
                    <a:pPr algn="ctr">
                      <a:defRPr sz="720" b="1" i="0" u="none" strike="noStrike" baseline="0">
                        <a:solidFill>
                          <a:srgbClr val="000000"/>
                        </a:solidFill>
                        <a:latin typeface="Arial Cyr"/>
                        <a:ea typeface="Arial Cyr"/>
                        <a:cs typeface="Arial Cyr"/>
                      </a:defRPr>
                    </a:pPr>
                    <a:r>
                      <a:rPr lang="en-US"/>
                      <a:t>4,175±0,138</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18286">
                <a:noFill/>
              </a:ln>
            </c:spPr>
            <c:txPr>
              <a:bodyPr rot="-5400000" vert="horz" wrap="square" lIns="38100" tIns="19050" rIns="38100" bIns="19050" anchor="ctr">
                <a:spAutoFit/>
              </a:bodyPr>
              <a:lstStyle/>
              <a:p>
                <a:pPr algn="ctr">
                  <a:defRPr sz="72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1</c:v>
                </c:pt>
                <c:pt idx="1">
                  <c:v>2</c:v>
                </c:pt>
                <c:pt idx="2">
                  <c:v>3</c:v>
                </c:pt>
                <c:pt idx="3">
                  <c:v>6</c:v>
                </c:pt>
                <c:pt idx="4">
                  <c:v>8</c:v>
                </c:pt>
                <c:pt idx="5">
                  <c:v>10</c:v>
                </c:pt>
                <c:pt idx="6">
                  <c:v>13</c:v>
                </c:pt>
                <c:pt idx="7">
                  <c:v>15</c:v>
                </c:pt>
                <c:pt idx="8">
                  <c:v>17</c:v>
                </c:pt>
                <c:pt idx="9">
                  <c:v>21</c:v>
                </c:pt>
                <c:pt idx="10">
                  <c:v>51</c:v>
                </c:pt>
              </c:numCache>
            </c:numRef>
          </c:cat>
          <c:val>
            <c:numRef>
              <c:f>Лист1!$B$2:$L$2</c:f>
              <c:numCache>
                <c:formatCode>General</c:formatCode>
                <c:ptCount val="11"/>
                <c:pt idx="0">
                  <c:v>0.104</c:v>
                </c:pt>
                <c:pt idx="1">
                  <c:v>0.105</c:v>
                </c:pt>
                <c:pt idx="2">
                  <c:v>0.33500000000000002</c:v>
                </c:pt>
                <c:pt idx="3">
                  <c:v>8.1000000000000003E-2</c:v>
                </c:pt>
                <c:pt idx="4">
                  <c:v>2.085</c:v>
                </c:pt>
                <c:pt idx="5">
                  <c:v>5.484</c:v>
                </c:pt>
                <c:pt idx="6">
                  <c:v>7.0209999999999999</c:v>
                </c:pt>
                <c:pt idx="7">
                  <c:v>7.1580000000000004</c:v>
                </c:pt>
                <c:pt idx="8">
                  <c:v>7.2050000000000001</c:v>
                </c:pt>
                <c:pt idx="9">
                  <c:v>7.2629999999999999</c:v>
                </c:pt>
                <c:pt idx="10">
                  <c:v>4.1749999999999998</c:v>
                </c:pt>
              </c:numCache>
            </c:numRef>
          </c:val>
        </c:ser>
        <c:ser>
          <c:idx val="2"/>
          <c:order val="1"/>
          <c:tx>
            <c:strRef>
              <c:f>Лист1!$A$4</c:f>
              <c:strCache>
                <c:ptCount val="1"/>
                <c:pt idx="0">
                  <c:v>контроль</c:v>
                </c:pt>
              </c:strCache>
            </c:strRef>
          </c:tx>
          <c:spPr>
            <a:solidFill>
              <a:srgbClr val="000000"/>
            </a:solidFill>
            <a:ln w="9143">
              <a:solidFill>
                <a:srgbClr val="000000"/>
              </a:solidFill>
              <a:prstDash val="solid"/>
            </a:ln>
          </c:spPr>
          <c:invertIfNegative val="0"/>
          <c:dLbls>
            <c:dLbl>
              <c:idx val="0"/>
              <c:tx>
                <c:rich>
                  <a:bodyPr rot="-5400000" vert="horz"/>
                  <a:lstStyle/>
                  <a:p>
                    <a:pPr algn="ctr">
                      <a:defRPr sz="720" b="1" i="0" u="none" strike="noStrike" baseline="0">
                        <a:solidFill>
                          <a:srgbClr val="000000"/>
                        </a:solidFill>
                        <a:latin typeface="Arial Cyr"/>
                        <a:ea typeface="Arial Cyr"/>
                        <a:cs typeface="Arial Cyr"/>
                      </a:defRPr>
                    </a:pPr>
                    <a:r>
                      <a:rPr lang="en-US"/>
                      <a:t>0,019±0,003</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rot="-5400000" vert="horz"/>
                  <a:lstStyle/>
                  <a:p>
                    <a:pPr algn="ctr">
                      <a:defRPr sz="720" b="1" i="0" u="none" strike="noStrike" baseline="0">
                        <a:solidFill>
                          <a:srgbClr val="000000"/>
                        </a:solidFill>
                        <a:latin typeface="Arial Cyr"/>
                        <a:ea typeface="Arial Cyr"/>
                        <a:cs typeface="Arial Cyr"/>
                      </a:defRPr>
                    </a:pPr>
                    <a:r>
                      <a:rPr lang="en-US"/>
                      <a:t>0,019±0,004</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rot="-5400000" vert="horz"/>
                  <a:lstStyle/>
                  <a:p>
                    <a:pPr algn="ctr">
                      <a:defRPr sz="720" b="1" i="0" u="none" strike="noStrike" baseline="0">
                        <a:solidFill>
                          <a:srgbClr val="000000"/>
                        </a:solidFill>
                        <a:latin typeface="Arial Cyr"/>
                        <a:ea typeface="Arial Cyr"/>
                        <a:cs typeface="Arial Cyr"/>
                      </a:defRPr>
                    </a:pPr>
                    <a:r>
                      <a:rPr lang="en-US"/>
                      <a:t>0,031±0,005</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rot="-5400000" vert="horz"/>
                  <a:lstStyle/>
                  <a:p>
                    <a:pPr algn="ctr">
                      <a:defRPr sz="720" b="1" i="0" u="none" strike="noStrike" baseline="0">
                        <a:solidFill>
                          <a:srgbClr val="000000"/>
                        </a:solidFill>
                        <a:latin typeface="Arial Cyr"/>
                        <a:ea typeface="Arial Cyr"/>
                        <a:cs typeface="Arial Cyr"/>
                      </a:defRPr>
                    </a:pPr>
                    <a:r>
                      <a:rPr lang="en-US"/>
                      <a:t>0,066±0,011</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rot="-5400000" vert="horz"/>
                  <a:lstStyle/>
                  <a:p>
                    <a:pPr algn="ctr">
                      <a:defRPr sz="720" b="1" i="0" u="none" strike="noStrike" baseline="0">
                        <a:solidFill>
                          <a:srgbClr val="000000"/>
                        </a:solidFill>
                        <a:latin typeface="Arial Cyr"/>
                        <a:ea typeface="Arial Cyr"/>
                        <a:cs typeface="Arial Cyr"/>
                      </a:defRPr>
                    </a:pPr>
                    <a:r>
                      <a:rPr lang="en-US"/>
                      <a:t>0,039±0,007</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rot="-5400000" vert="horz"/>
                  <a:lstStyle/>
                  <a:p>
                    <a:pPr algn="ctr">
                      <a:defRPr sz="720" b="1" i="0" u="none" strike="noStrike" baseline="0">
                        <a:solidFill>
                          <a:srgbClr val="000000"/>
                        </a:solidFill>
                        <a:latin typeface="Arial Cyr"/>
                        <a:ea typeface="Arial Cyr"/>
                        <a:cs typeface="Arial Cyr"/>
                      </a:defRPr>
                    </a:pPr>
                    <a:r>
                      <a:rPr lang="en-US"/>
                      <a:t>0,237±0,059</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rot="-5400000" vert="horz"/>
                  <a:lstStyle/>
                  <a:p>
                    <a:pPr algn="ctr">
                      <a:defRPr sz="720" b="1" i="0" u="none" strike="noStrike" baseline="0">
                        <a:solidFill>
                          <a:srgbClr val="000000"/>
                        </a:solidFill>
                        <a:latin typeface="Arial Cyr"/>
                        <a:ea typeface="Arial Cyr"/>
                        <a:cs typeface="Arial Cyr"/>
                      </a:defRPr>
                    </a:pPr>
                    <a:r>
                      <a:rPr lang="en-US"/>
                      <a:t>0,124±0,036</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rot="-5400000" vert="horz"/>
                  <a:lstStyle/>
                  <a:p>
                    <a:pPr algn="ctr">
                      <a:defRPr sz="720" b="1" i="0" u="none" strike="noStrike" baseline="0">
                        <a:solidFill>
                          <a:srgbClr val="000000"/>
                        </a:solidFill>
                        <a:latin typeface="Arial Cyr"/>
                        <a:ea typeface="Arial Cyr"/>
                        <a:cs typeface="Arial Cyr"/>
                      </a:defRPr>
                    </a:pPr>
                    <a:r>
                      <a:rPr lang="en-US"/>
                      <a:t>0,187±0,035</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tx>
                <c:rich>
                  <a:bodyPr rot="-5400000" vert="horz"/>
                  <a:lstStyle/>
                  <a:p>
                    <a:pPr algn="ctr">
                      <a:defRPr sz="720" b="1" i="0" u="none" strike="noStrike" baseline="0">
                        <a:solidFill>
                          <a:srgbClr val="000000"/>
                        </a:solidFill>
                        <a:latin typeface="Arial Cyr"/>
                        <a:ea typeface="Arial Cyr"/>
                        <a:cs typeface="Arial Cyr"/>
                      </a:defRPr>
                    </a:pPr>
                    <a:r>
                      <a:rPr lang="en-US"/>
                      <a:t>0,176±0,031</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tx>
                <c:rich>
                  <a:bodyPr rot="-5400000" vert="horz"/>
                  <a:lstStyle/>
                  <a:p>
                    <a:pPr algn="ctr">
                      <a:defRPr sz="720" b="1" i="0" u="none" strike="noStrike" baseline="0">
                        <a:solidFill>
                          <a:srgbClr val="000000"/>
                        </a:solidFill>
                        <a:latin typeface="Arial Cyr"/>
                        <a:ea typeface="Arial Cyr"/>
                        <a:cs typeface="Arial Cyr"/>
                      </a:defRPr>
                    </a:pPr>
                    <a:r>
                      <a:rPr lang="en-US"/>
                      <a:t>0,176±0,007</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rot="-5400000" vert="horz"/>
                  <a:lstStyle/>
                  <a:p>
                    <a:pPr algn="ctr">
                      <a:defRPr sz="720" b="1" i="0" u="none" strike="noStrike" baseline="0">
                        <a:solidFill>
                          <a:srgbClr val="000000"/>
                        </a:solidFill>
                        <a:latin typeface="Arial Cyr"/>
                        <a:ea typeface="Arial Cyr"/>
                        <a:cs typeface="Arial Cyr"/>
                      </a:defRPr>
                    </a:pPr>
                    <a:r>
                      <a:rPr lang="en-US"/>
                      <a:t>0,188±0,036</a:t>
                    </a:r>
                  </a:p>
                </c:rich>
              </c:tx>
              <c:spPr>
                <a:noFill/>
                <a:ln w="18286">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18286">
                <a:noFill/>
              </a:ln>
            </c:spPr>
            <c:txPr>
              <a:bodyPr rot="-5400000" vert="horz" wrap="square" lIns="38100" tIns="19050" rIns="38100" bIns="19050" anchor="ctr">
                <a:spAutoFit/>
              </a:bodyPr>
              <a:lstStyle/>
              <a:p>
                <a:pPr algn="ctr">
                  <a:defRPr sz="72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1</c:v>
                </c:pt>
                <c:pt idx="1">
                  <c:v>2</c:v>
                </c:pt>
                <c:pt idx="2">
                  <c:v>3</c:v>
                </c:pt>
                <c:pt idx="3">
                  <c:v>6</c:v>
                </c:pt>
                <c:pt idx="4">
                  <c:v>8</c:v>
                </c:pt>
                <c:pt idx="5">
                  <c:v>10</c:v>
                </c:pt>
                <c:pt idx="6">
                  <c:v>13</c:v>
                </c:pt>
                <c:pt idx="7">
                  <c:v>15</c:v>
                </c:pt>
                <c:pt idx="8">
                  <c:v>17</c:v>
                </c:pt>
                <c:pt idx="9">
                  <c:v>21</c:v>
                </c:pt>
                <c:pt idx="10">
                  <c:v>51</c:v>
                </c:pt>
              </c:numCache>
            </c:numRef>
          </c:cat>
          <c:val>
            <c:numRef>
              <c:f>Лист1!$B$4:$L$4</c:f>
              <c:numCache>
                <c:formatCode>General</c:formatCode>
                <c:ptCount val="11"/>
                <c:pt idx="0">
                  <c:v>1.9E-2</c:v>
                </c:pt>
                <c:pt idx="1">
                  <c:v>1.9E-2</c:v>
                </c:pt>
                <c:pt idx="2">
                  <c:v>3.1E-2</c:v>
                </c:pt>
                <c:pt idx="3">
                  <c:v>6.6000000000000003E-2</c:v>
                </c:pt>
                <c:pt idx="4">
                  <c:v>3.9E-2</c:v>
                </c:pt>
                <c:pt idx="5">
                  <c:v>0.23699999999999999</c:v>
                </c:pt>
                <c:pt idx="6">
                  <c:v>0.124</c:v>
                </c:pt>
                <c:pt idx="7">
                  <c:v>0.187</c:v>
                </c:pt>
                <c:pt idx="8">
                  <c:v>0.17599999999999999</c:v>
                </c:pt>
                <c:pt idx="9">
                  <c:v>0.17599999999999999</c:v>
                </c:pt>
                <c:pt idx="10">
                  <c:v>0.188</c:v>
                </c:pt>
              </c:numCache>
            </c:numRef>
          </c:val>
        </c:ser>
        <c:dLbls>
          <c:showLegendKey val="0"/>
          <c:showVal val="0"/>
          <c:showCatName val="0"/>
          <c:showSerName val="0"/>
          <c:showPercent val="0"/>
          <c:showBubbleSize val="0"/>
        </c:dLbls>
        <c:gapWidth val="150"/>
        <c:axId val="580691120"/>
        <c:axId val="580710160"/>
      </c:barChart>
      <c:catAx>
        <c:axId val="580691120"/>
        <c:scaling>
          <c:orientation val="minMax"/>
        </c:scaling>
        <c:delete val="0"/>
        <c:axPos val="b"/>
        <c:title>
          <c:tx>
            <c:rich>
              <a:bodyPr/>
              <a:lstStyle/>
              <a:p>
                <a:pPr>
                  <a:defRPr sz="864" b="0" i="0" u="none" strike="noStrike" baseline="0">
                    <a:solidFill>
                      <a:srgbClr val="000000"/>
                    </a:solidFill>
                    <a:latin typeface="Arial Cyr"/>
                    <a:ea typeface="Arial Cyr"/>
                    <a:cs typeface="Arial Cyr"/>
                  </a:defRPr>
                </a:pPr>
                <a:r>
                  <a:rPr lang="ru-RU"/>
                  <a:t>Доба
</a:t>
                </a:r>
                <a:r>
                  <a:rPr lang="en-US"/>
                  <a:t>n=3</a:t>
                </a:r>
              </a:p>
            </c:rich>
          </c:tx>
          <c:layout>
            <c:manualLayout>
              <c:xMode val="edge"/>
              <c:yMode val="edge"/>
              <c:x val="0.42494226327944573"/>
              <c:y val="0.70286885245901654"/>
            </c:manualLayout>
          </c:layout>
          <c:overlay val="0"/>
          <c:spPr>
            <a:noFill/>
            <a:ln w="18286">
              <a:noFill/>
            </a:ln>
          </c:spPr>
        </c:title>
        <c:numFmt formatCode="General" sourceLinked="1"/>
        <c:majorTickMark val="out"/>
        <c:minorTickMark val="none"/>
        <c:tickLblPos val="nextTo"/>
        <c:spPr>
          <a:ln w="2286">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580710160"/>
        <c:crosses val="autoZero"/>
        <c:auto val="1"/>
        <c:lblAlgn val="ctr"/>
        <c:lblOffset val="100"/>
        <c:tickLblSkip val="1"/>
        <c:tickMarkSkip val="1"/>
        <c:noMultiLvlLbl val="0"/>
      </c:catAx>
      <c:valAx>
        <c:axId val="580710160"/>
        <c:scaling>
          <c:orientation val="minMax"/>
        </c:scaling>
        <c:delete val="0"/>
        <c:axPos val="l"/>
        <c:majorGridlines>
          <c:spPr>
            <a:ln w="2286">
              <a:solidFill>
                <a:srgbClr val="000000"/>
              </a:solidFill>
              <a:prstDash val="solid"/>
            </a:ln>
          </c:spPr>
        </c:majorGridlines>
        <c:title>
          <c:tx>
            <c:rich>
              <a:bodyPr/>
              <a:lstStyle/>
              <a:p>
                <a:pPr>
                  <a:defRPr sz="864" b="1" i="0" u="none" strike="noStrike" baseline="0">
                    <a:solidFill>
                      <a:srgbClr val="000000"/>
                    </a:solidFill>
                    <a:latin typeface="Arial Cyr"/>
                    <a:ea typeface="Arial Cyr"/>
                    <a:cs typeface="Arial Cyr"/>
                  </a:defRPr>
                </a:pPr>
                <a:r>
                  <a:rPr lang="ru-RU"/>
                  <a:t>%</a:t>
                </a:r>
              </a:p>
            </c:rich>
          </c:tx>
          <c:layout>
            <c:manualLayout>
              <c:xMode val="edge"/>
              <c:yMode val="edge"/>
              <c:x val="4.6189376443418013E-3"/>
              <c:y val="0.31352459016393447"/>
            </c:manualLayout>
          </c:layout>
          <c:overlay val="0"/>
          <c:spPr>
            <a:noFill/>
            <a:ln w="18286">
              <a:noFill/>
            </a:ln>
          </c:spPr>
        </c:title>
        <c:numFmt formatCode="General" sourceLinked="1"/>
        <c:majorTickMark val="out"/>
        <c:minorTickMark val="none"/>
        <c:tickLblPos val="nextTo"/>
        <c:spPr>
          <a:ln w="2286">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580691120"/>
        <c:crosses val="autoZero"/>
        <c:crossBetween val="between"/>
      </c:valAx>
      <c:spPr>
        <a:solidFill>
          <a:srgbClr val="FFFFFF"/>
        </a:solidFill>
        <a:ln w="9143">
          <a:solidFill>
            <a:srgbClr val="808080"/>
          </a:solidFill>
          <a:prstDash val="solid"/>
        </a:ln>
      </c:spPr>
    </c:plotArea>
    <c:legend>
      <c:legendPos val="r"/>
      <c:layout>
        <c:manualLayout>
          <c:xMode val="edge"/>
          <c:yMode val="edge"/>
          <c:x val="0.84411085450346424"/>
          <c:y val="0.50204918032786894"/>
          <c:w val="0.14780600461893764"/>
          <c:h val="0.11680327868852459"/>
        </c:manualLayout>
      </c:layout>
      <c:overlay val="0"/>
      <c:spPr>
        <a:solidFill>
          <a:srgbClr val="FFFFFF"/>
        </a:solidFill>
        <a:ln w="18286">
          <a:noFill/>
        </a:ln>
      </c:spPr>
      <c:txPr>
        <a:bodyPr/>
        <a:lstStyle/>
        <a:p>
          <a:pPr>
            <a:defRPr sz="792"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6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Cyr"/>
                <a:ea typeface="Arial Cyr"/>
                <a:cs typeface="Arial Cyr"/>
              </a:defRPr>
            </a:pPr>
            <a:r>
              <a:rPr lang="ru-RU"/>
              <a:t>Рис. 2. Динаміка змін субпопуляції лімфоцитів  з поверхневим маркером </a:t>
            </a:r>
            <a:r>
              <a:rPr lang="en-US"/>
              <a:t>CD4 </a:t>
            </a:r>
            <a:r>
              <a:rPr lang="ru-RU"/>
              <a:t>в бурсі Фабриціуса після зараження</a:t>
            </a:r>
          </a:p>
        </c:rich>
      </c:tx>
      <c:layout>
        <c:manualLayout>
          <c:xMode val="edge"/>
          <c:yMode val="edge"/>
          <c:x val="0.11802232854864436"/>
          <c:y val="0.77873563218390807"/>
        </c:manualLayout>
      </c:layout>
      <c:overlay val="0"/>
      <c:spPr>
        <a:noFill/>
        <a:ln w="25388">
          <a:noFill/>
        </a:ln>
      </c:spPr>
    </c:title>
    <c:autoTitleDeleted val="0"/>
    <c:plotArea>
      <c:layout>
        <c:manualLayout>
          <c:layoutTarget val="inner"/>
          <c:xMode val="edge"/>
          <c:yMode val="edge"/>
          <c:x val="0.14354066985645933"/>
          <c:y val="8.6206896551724144E-2"/>
          <c:w val="0.69377990430622016"/>
          <c:h val="0.51149425287356332"/>
        </c:manualLayout>
      </c:layout>
      <c:barChart>
        <c:barDir val="col"/>
        <c:grouping val="clustered"/>
        <c:varyColors val="0"/>
        <c:ser>
          <c:idx val="1"/>
          <c:order val="0"/>
          <c:tx>
            <c:strRef>
              <c:f>Лист1!$A$3</c:f>
              <c:strCache>
                <c:ptCount val="1"/>
                <c:pt idx="0">
                  <c:v>заражені</c:v>
                </c:pt>
              </c:strCache>
            </c:strRef>
          </c:tx>
          <c:spPr>
            <a:pattFill prst="pct9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94">
              <a:solidFill>
                <a:srgbClr val="000000"/>
              </a:solidFill>
              <a:prstDash val="solid"/>
            </a:ln>
          </c:spPr>
          <c:invertIfNegative val="0"/>
          <c:dLbls>
            <c:dLbl>
              <c:idx val="0"/>
              <c:tx>
                <c:rich>
                  <a:bodyPr rot="-5400000" vert="horz"/>
                  <a:lstStyle/>
                  <a:p>
                    <a:pPr algn="ctr">
                      <a:defRPr sz="700" b="1" i="0" u="none" strike="noStrike" baseline="0">
                        <a:solidFill>
                          <a:srgbClr val="000000"/>
                        </a:solidFill>
                        <a:latin typeface="Arial Cyr"/>
                        <a:ea typeface="Arial Cyr"/>
                        <a:cs typeface="Arial Cyr"/>
                      </a:defRPr>
                    </a:pPr>
                    <a:r>
                      <a:rPr lang="en-US"/>
                      <a:t>1,548±0,620</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rot="-5400000" vert="horz"/>
                  <a:lstStyle/>
                  <a:p>
                    <a:pPr algn="ctr">
                      <a:defRPr sz="700" b="1" i="0" u="none" strike="noStrike" baseline="0">
                        <a:solidFill>
                          <a:srgbClr val="000000"/>
                        </a:solidFill>
                        <a:latin typeface="Arial Cyr"/>
                        <a:ea typeface="Arial Cyr"/>
                        <a:cs typeface="Arial Cyr"/>
                      </a:defRPr>
                    </a:pPr>
                    <a:r>
                      <a:rPr lang="en-US"/>
                      <a:t>0,474±0,178</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rot="-5400000" vert="horz"/>
                  <a:lstStyle/>
                  <a:p>
                    <a:pPr algn="ctr">
                      <a:defRPr sz="700" b="1" i="0" u="none" strike="noStrike" baseline="0">
                        <a:solidFill>
                          <a:srgbClr val="000000"/>
                        </a:solidFill>
                        <a:latin typeface="Arial Cyr"/>
                        <a:ea typeface="Arial Cyr"/>
                        <a:cs typeface="Arial Cyr"/>
                      </a:defRPr>
                    </a:pPr>
                    <a:r>
                      <a:rPr lang="en-US"/>
                      <a:t>1,113±0,458</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rot="-5400000" vert="horz"/>
                  <a:lstStyle/>
                  <a:p>
                    <a:pPr algn="ctr">
                      <a:defRPr sz="700" b="1" i="0" u="none" strike="noStrike" baseline="0">
                        <a:solidFill>
                          <a:srgbClr val="000000"/>
                        </a:solidFill>
                        <a:latin typeface="Arial Cyr"/>
                        <a:ea typeface="Arial Cyr"/>
                        <a:cs typeface="Arial Cyr"/>
                      </a:defRPr>
                    </a:pPr>
                    <a:r>
                      <a:rPr lang="en-US"/>
                      <a:t>1,325±0,381</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rot="-5400000" vert="horz"/>
                  <a:lstStyle/>
                  <a:p>
                    <a:pPr algn="ctr">
                      <a:defRPr sz="700" b="1" i="0" u="none" strike="noStrike" baseline="0">
                        <a:solidFill>
                          <a:srgbClr val="000000"/>
                        </a:solidFill>
                        <a:latin typeface="Arial Cyr"/>
                        <a:ea typeface="Arial Cyr"/>
                        <a:cs typeface="Arial Cyr"/>
                      </a:defRPr>
                    </a:pPr>
                    <a:r>
                      <a:rPr lang="en-US"/>
                      <a:t>1,8±0,305</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2.0487723019035953E-2"/>
                  <c:y val="3.7356321839080484E-2"/>
                </c:manualLayout>
              </c:layout>
              <c:tx>
                <c:rich>
                  <a:bodyPr rot="-5400000" vert="horz"/>
                  <a:lstStyle/>
                  <a:p>
                    <a:pPr algn="ctr">
                      <a:defRPr sz="700" b="1" i="0" u="none" strike="noStrike" baseline="0">
                        <a:solidFill>
                          <a:srgbClr val="000000"/>
                        </a:solidFill>
                        <a:latin typeface="Arial Cyr"/>
                        <a:ea typeface="Arial Cyr"/>
                        <a:cs typeface="Arial Cyr"/>
                      </a:defRPr>
                    </a:pPr>
                    <a:r>
                      <a:rPr lang="en-US"/>
                      <a:t>3,013±0,675</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2.1357693626783303E-2"/>
                  <c:y val="3.1609195402298854E-2"/>
                </c:manualLayout>
              </c:layout>
              <c:tx>
                <c:rich>
                  <a:bodyPr rot="-5400000" vert="horz"/>
                  <a:lstStyle/>
                  <a:p>
                    <a:pPr algn="ctr">
                      <a:defRPr sz="700" b="1" i="0" u="none" strike="noStrike" baseline="0">
                        <a:solidFill>
                          <a:srgbClr val="000000"/>
                        </a:solidFill>
                        <a:latin typeface="Arial Cyr"/>
                        <a:ea typeface="Arial Cyr"/>
                        <a:cs typeface="Arial Cyr"/>
                      </a:defRPr>
                    </a:pPr>
                    <a:r>
                      <a:rPr lang="en-US"/>
                      <a:t>3,517±0,549</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2.0632563223411893E-2"/>
                  <c:y val="3.1609195402298854E-2"/>
                </c:manualLayout>
              </c:layout>
              <c:tx>
                <c:rich>
                  <a:bodyPr rot="-5400000" vert="horz"/>
                  <a:lstStyle/>
                  <a:p>
                    <a:pPr algn="ctr">
                      <a:defRPr sz="700" b="1" i="0" u="none" strike="noStrike" baseline="0">
                        <a:solidFill>
                          <a:srgbClr val="000000"/>
                        </a:solidFill>
                        <a:latin typeface="Arial Cyr"/>
                        <a:ea typeface="Arial Cyr"/>
                        <a:cs typeface="Arial Cyr"/>
                      </a:defRPr>
                    </a:pPr>
                    <a:r>
                      <a:rPr lang="en-US"/>
                      <a:t>3,716±0,229</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2.1502533831159187E-2"/>
                  <c:y val="3.1609195402298854E-2"/>
                </c:manualLayout>
              </c:layout>
              <c:tx>
                <c:rich>
                  <a:bodyPr rot="-5400000" vert="horz"/>
                  <a:lstStyle/>
                  <a:p>
                    <a:pPr algn="ctr">
                      <a:defRPr sz="700" b="1" i="0" u="none" strike="noStrike" baseline="0">
                        <a:solidFill>
                          <a:srgbClr val="000000"/>
                        </a:solidFill>
                        <a:latin typeface="Arial Cyr"/>
                        <a:ea typeface="Arial Cyr"/>
                        <a:cs typeface="Arial Cyr"/>
                      </a:defRPr>
                    </a:pPr>
                    <a:r>
                      <a:rPr lang="en-US"/>
                      <a:t>3,721±0,187</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2.7157193434121929E-2"/>
                  <c:y val="2.5862068965517251E-2"/>
                </c:manualLayout>
              </c:layout>
              <c:tx>
                <c:rich>
                  <a:bodyPr rot="-5400000" vert="horz"/>
                  <a:lstStyle/>
                  <a:p>
                    <a:pPr algn="ctr">
                      <a:defRPr sz="700" b="1" i="0" u="none" strike="noStrike" baseline="0">
                        <a:solidFill>
                          <a:srgbClr val="000000"/>
                        </a:solidFill>
                        <a:latin typeface="Arial Cyr"/>
                        <a:ea typeface="Arial Cyr"/>
                        <a:cs typeface="Arial Cyr"/>
                      </a:defRPr>
                    </a:pPr>
                    <a:r>
                      <a:rPr lang="en-US"/>
                      <a:t>3,765±0,139</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rot="-5400000" vert="horz"/>
                  <a:lstStyle/>
                  <a:p>
                    <a:pPr algn="ctr">
                      <a:defRPr sz="700" b="1" i="0" u="none" strike="noStrike" baseline="0">
                        <a:solidFill>
                          <a:srgbClr val="000000"/>
                        </a:solidFill>
                        <a:latin typeface="Arial Cyr"/>
                        <a:ea typeface="Arial Cyr"/>
                        <a:cs typeface="Arial Cyr"/>
                      </a:defRPr>
                    </a:pPr>
                    <a:r>
                      <a:rPr lang="en-US"/>
                      <a:t>1,254±0,308</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88">
                <a:noFill/>
              </a:ln>
            </c:spPr>
            <c:txPr>
              <a:bodyPr rot="-5400000" vert="horz" wrap="square" lIns="38100" tIns="19050" rIns="38100" bIns="19050" anchor="ctr">
                <a:spAutoFit/>
              </a:bodyPr>
              <a:lstStyle/>
              <a:p>
                <a:pPr algn="ctr">
                  <a:defRPr sz="7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1</c:v>
                </c:pt>
                <c:pt idx="1">
                  <c:v>2</c:v>
                </c:pt>
                <c:pt idx="2">
                  <c:v>3</c:v>
                </c:pt>
                <c:pt idx="3">
                  <c:v>6</c:v>
                </c:pt>
                <c:pt idx="4">
                  <c:v>8</c:v>
                </c:pt>
                <c:pt idx="5">
                  <c:v>10</c:v>
                </c:pt>
                <c:pt idx="6">
                  <c:v>13</c:v>
                </c:pt>
                <c:pt idx="7">
                  <c:v>15</c:v>
                </c:pt>
                <c:pt idx="8">
                  <c:v>17</c:v>
                </c:pt>
                <c:pt idx="9">
                  <c:v>21</c:v>
                </c:pt>
                <c:pt idx="10">
                  <c:v>51</c:v>
                </c:pt>
              </c:numCache>
            </c:numRef>
          </c:cat>
          <c:val>
            <c:numRef>
              <c:f>Лист1!$B$3:$L$3</c:f>
              <c:numCache>
                <c:formatCode>General</c:formatCode>
                <c:ptCount val="11"/>
                <c:pt idx="0">
                  <c:v>1.548</c:v>
                </c:pt>
                <c:pt idx="1">
                  <c:v>0.47399999999999998</c:v>
                </c:pt>
                <c:pt idx="2">
                  <c:v>1.113</c:v>
                </c:pt>
                <c:pt idx="3">
                  <c:v>1.325</c:v>
                </c:pt>
                <c:pt idx="4">
                  <c:v>1.8</c:v>
                </c:pt>
                <c:pt idx="5">
                  <c:v>3.0129999999999999</c:v>
                </c:pt>
                <c:pt idx="6">
                  <c:v>3.5169999999999999</c:v>
                </c:pt>
                <c:pt idx="7">
                  <c:v>3.7160000000000002</c:v>
                </c:pt>
                <c:pt idx="8">
                  <c:v>3.7210000000000001</c:v>
                </c:pt>
                <c:pt idx="9">
                  <c:v>3.7650000000000001</c:v>
                </c:pt>
                <c:pt idx="10">
                  <c:v>1.254</c:v>
                </c:pt>
              </c:numCache>
            </c:numRef>
          </c:val>
        </c:ser>
        <c:ser>
          <c:idx val="2"/>
          <c:order val="1"/>
          <c:tx>
            <c:strRef>
              <c:f>Лист1!$A$4</c:f>
              <c:strCache>
                <c:ptCount val="1"/>
                <c:pt idx="0">
                  <c:v>контроль</c:v>
                </c:pt>
              </c:strCache>
            </c:strRef>
          </c:tx>
          <c:spPr>
            <a:solidFill>
              <a:srgbClr val="000000"/>
            </a:solidFill>
            <a:ln w="12694">
              <a:solidFill>
                <a:srgbClr val="000000"/>
              </a:solidFill>
              <a:prstDash val="solid"/>
            </a:ln>
          </c:spPr>
          <c:invertIfNegative val="0"/>
          <c:dLbls>
            <c:dLbl>
              <c:idx val="0"/>
              <c:tx>
                <c:rich>
                  <a:bodyPr rot="-5400000" vert="horz"/>
                  <a:lstStyle/>
                  <a:p>
                    <a:pPr algn="ctr">
                      <a:defRPr sz="700" b="1" i="0" u="none" strike="noStrike" baseline="0">
                        <a:solidFill>
                          <a:srgbClr val="000000"/>
                        </a:solidFill>
                        <a:latin typeface="Arial Cyr"/>
                        <a:ea typeface="Arial Cyr"/>
                        <a:cs typeface="Arial Cyr"/>
                      </a:defRPr>
                    </a:pPr>
                    <a:r>
                      <a:rPr lang="en-US"/>
                      <a:t>0,267±0,055</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rot="-5400000" vert="horz"/>
                  <a:lstStyle/>
                  <a:p>
                    <a:pPr algn="ctr">
                      <a:defRPr sz="700" b="1" i="0" u="none" strike="noStrike" baseline="0">
                        <a:solidFill>
                          <a:srgbClr val="000000"/>
                        </a:solidFill>
                        <a:latin typeface="Arial Cyr"/>
                        <a:ea typeface="Arial Cyr"/>
                        <a:cs typeface="Arial Cyr"/>
                      </a:defRPr>
                    </a:pPr>
                    <a:r>
                      <a:rPr lang="en-US"/>
                      <a:t>0,225±0,046</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rot="-5400000" vert="horz"/>
                  <a:lstStyle/>
                  <a:p>
                    <a:pPr algn="ctr">
                      <a:defRPr sz="700" b="1" i="0" u="none" strike="noStrike" baseline="0">
                        <a:solidFill>
                          <a:srgbClr val="000000"/>
                        </a:solidFill>
                        <a:latin typeface="Arial Cyr"/>
                        <a:ea typeface="Arial Cyr"/>
                        <a:cs typeface="Arial Cyr"/>
                      </a:defRPr>
                    </a:pPr>
                    <a:r>
                      <a:rPr lang="en-US"/>
                      <a:t>0,273±0,045</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rot="-5400000" vert="horz"/>
                  <a:lstStyle/>
                  <a:p>
                    <a:pPr algn="ctr">
                      <a:defRPr sz="700" b="1" i="0" u="none" strike="noStrike" baseline="0">
                        <a:solidFill>
                          <a:srgbClr val="000000"/>
                        </a:solidFill>
                        <a:latin typeface="Arial Cyr"/>
                        <a:ea typeface="Arial Cyr"/>
                        <a:cs typeface="Arial Cyr"/>
                      </a:defRPr>
                    </a:pPr>
                    <a:r>
                      <a:rPr lang="en-US"/>
                      <a:t>0,165±0,026</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rot="-5400000" vert="horz"/>
                  <a:lstStyle/>
                  <a:p>
                    <a:pPr algn="ctr">
                      <a:defRPr sz="700" b="1" i="0" u="none" strike="noStrike" baseline="0">
                        <a:solidFill>
                          <a:srgbClr val="000000"/>
                        </a:solidFill>
                        <a:latin typeface="Arial Cyr"/>
                        <a:ea typeface="Arial Cyr"/>
                        <a:cs typeface="Arial Cyr"/>
                      </a:defRPr>
                    </a:pPr>
                    <a:r>
                      <a:rPr lang="en-US"/>
                      <a:t>0,242±0,110</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rot="-5400000" vert="horz"/>
                  <a:lstStyle/>
                  <a:p>
                    <a:pPr algn="ctr">
                      <a:defRPr sz="700" b="1" i="0" u="none" strike="noStrike" baseline="0">
                        <a:solidFill>
                          <a:srgbClr val="000000"/>
                        </a:solidFill>
                        <a:latin typeface="Arial Cyr"/>
                        <a:ea typeface="Arial Cyr"/>
                        <a:cs typeface="Arial Cyr"/>
                      </a:defRPr>
                    </a:pPr>
                    <a:r>
                      <a:rPr lang="en-US"/>
                      <a:t>0,218±0,031</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rot="-5400000" vert="horz"/>
                  <a:lstStyle/>
                  <a:p>
                    <a:pPr algn="ctr">
                      <a:defRPr sz="700" b="1" i="0" u="none" strike="noStrike" baseline="0">
                        <a:solidFill>
                          <a:srgbClr val="000000"/>
                        </a:solidFill>
                        <a:latin typeface="Arial Cyr"/>
                        <a:ea typeface="Arial Cyr"/>
                        <a:cs typeface="Arial Cyr"/>
                      </a:defRPr>
                    </a:pPr>
                    <a:r>
                      <a:rPr lang="en-US"/>
                      <a:t>0,173±0,021</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rot="-5400000" vert="horz"/>
                  <a:lstStyle/>
                  <a:p>
                    <a:pPr algn="ctr">
                      <a:defRPr sz="700" b="1" i="0" u="none" strike="noStrike" baseline="0">
                        <a:solidFill>
                          <a:srgbClr val="000000"/>
                        </a:solidFill>
                        <a:latin typeface="Arial Cyr"/>
                        <a:ea typeface="Arial Cyr"/>
                        <a:cs typeface="Arial Cyr"/>
                      </a:defRPr>
                    </a:pPr>
                    <a:r>
                      <a:rPr lang="en-US"/>
                      <a:t>0,172±0,010</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tx>
                <c:rich>
                  <a:bodyPr rot="-5400000" vert="horz"/>
                  <a:lstStyle/>
                  <a:p>
                    <a:pPr algn="ctr">
                      <a:defRPr sz="700" b="1" i="0" u="none" strike="noStrike" baseline="0">
                        <a:solidFill>
                          <a:srgbClr val="000000"/>
                        </a:solidFill>
                        <a:latin typeface="Arial Cyr"/>
                        <a:ea typeface="Arial Cyr"/>
                        <a:cs typeface="Arial Cyr"/>
                      </a:defRPr>
                    </a:pPr>
                    <a:r>
                      <a:rPr lang="en-US"/>
                      <a:t>0,169±0,045</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tx>
                <c:rich>
                  <a:bodyPr rot="-5400000" vert="horz"/>
                  <a:lstStyle/>
                  <a:p>
                    <a:pPr algn="ctr">
                      <a:defRPr sz="700" b="1" i="0" u="none" strike="noStrike" baseline="0">
                        <a:solidFill>
                          <a:srgbClr val="000000"/>
                        </a:solidFill>
                        <a:latin typeface="Arial Cyr"/>
                        <a:ea typeface="Arial Cyr"/>
                        <a:cs typeface="Arial Cyr"/>
                      </a:defRPr>
                    </a:pPr>
                    <a:r>
                      <a:rPr lang="en-US"/>
                      <a:t>0,121±0,010</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tx>
                <c:rich>
                  <a:bodyPr rot="-5400000" vert="horz"/>
                  <a:lstStyle/>
                  <a:p>
                    <a:pPr algn="ctr">
                      <a:defRPr sz="700" b="1" i="0" u="none" strike="noStrike" baseline="0">
                        <a:solidFill>
                          <a:srgbClr val="000000"/>
                        </a:solidFill>
                        <a:latin typeface="Arial Cyr"/>
                        <a:ea typeface="Arial Cyr"/>
                        <a:cs typeface="Arial Cyr"/>
                      </a:defRPr>
                    </a:pPr>
                    <a:r>
                      <a:rPr lang="en-US"/>
                      <a:t>0,097±0,009</a:t>
                    </a:r>
                  </a:p>
                </c:rich>
              </c:tx>
              <c:spPr>
                <a:noFill/>
                <a:ln w="25388">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88">
                <a:noFill/>
              </a:ln>
            </c:spPr>
            <c:txPr>
              <a:bodyPr rot="-5400000" vert="horz" wrap="square" lIns="38100" tIns="19050" rIns="38100" bIns="19050" anchor="ctr">
                <a:spAutoFit/>
              </a:bodyPr>
              <a:lstStyle/>
              <a:p>
                <a:pPr algn="ctr">
                  <a:defRPr sz="7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1</c:v>
                </c:pt>
                <c:pt idx="1">
                  <c:v>2</c:v>
                </c:pt>
                <c:pt idx="2">
                  <c:v>3</c:v>
                </c:pt>
                <c:pt idx="3">
                  <c:v>6</c:v>
                </c:pt>
                <c:pt idx="4">
                  <c:v>8</c:v>
                </c:pt>
                <c:pt idx="5">
                  <c:v>10</c:v>
                </c:pt>
                <c:pt idx="6">
                  <c:v>13</c:v>
                </c:pt>
                <c:pt idx="7">
                  <c:v>15</c:v>
                </c:pt>
                <c:pt idx="8">
                  <c:v>17</c:v>
                </c:pt>
                <c:pt idx="9">
                  <c:v>21</c:v>
                </c:pt>
                <c:pt idx="10">
                  <c:v>51</c:v>
                </c:pt>
              </c:numCache>
            </c:numRef>
          </c:cat>
          <c:val>
            <c:numRef>
              <c:f>Лист1!$B$4:$L$4</c:f>
              <c:numCache>
                <c:formatCode>General</c:formatCode>
                <c:ptCount val="11"/>
                <c:pt idx="0">
                  <c:v>0.26700000000000002</c:v>
                </c:pt>
                <c:pt idx="1">
                  <c:v>0.22500000000000001</c:v>
                </c:pt>
                <c:pt idx="2">
                  <c:v>0.27300000000000002</c:v>
                </c:pt>
                <c:pt idx="3">
                  <c:v>0.16500000000000001</c:v>
                </c:pt>
                <c:pt idx="4">
                  <c:v>0.24199999999999999</c:v>
                </c:pt>
                <c:pt idx="5">
                  <c:v>0.218</c:v>
                </c:pt>
                <c:pt idx="6">
                  <c:v>0.17299999999999999</c:v>
                </c:pt>
                <c:pt idx="7">
                  <c:v>0.17199999999999999</c:v>
                </c:pt>
                <c:pt idx="8">
                  <c:v>0.16900000000000001</c:v>
                </c:pt>
                <c:pt idx="9">
                  <c:v>0.121</c:v>
                </c:pt>
                <c:pt idx="10">
                  <c:v>9.7000000000000003E-2</c:v>
                </c:pt>
              </c:numCache>
            </c:numRef>
          </c:val>
        </c:ser>
        <c:dLbls>
          <c:showLegendKey val="0"/>
          <c:showVal val="0"/>
          <c:showCatName val="0"/>
          <c:showSerName val="0"/>
          <c:showPercent val="0"/>
          <c:showBubbleSize val="0"/>
        </c:dLbls>
        <c:gapWidth val="150"/>
        <c:axId val="580709600"/>
        <c:axId val="580710720"/>
      </c:barChart>
      <c:catAx>
        <c:axId val="580709600"/>
        <c:scaling>
          <c:orientation val="minMax"/>
        </c:scaling>
        <c:delete val="0"/>
        <c:axPos val="b"/>
        <c:title>
          <c:tx>
            <c:rich>
              <a:bodyPr/>
              <a:lstStyle/>
              <a:p>
                <a:pPr>
                  <a:defRPr sz="950" b="0" i="0" u="none" strike="noStrike" baseline="0">
                    <a:solidFill>
                      <a:srgbClr val="000000"/>
                    </a:solidFill>
                    <a:latin typeface="Arial Cyr"/>
                    <a:ea typeface="Arial Cyr"/>
                    <a:cs typeface="Arial Cyr"/>
                  </a:defRPr>
                </a:pPr>
                <a:r>
                  <a:rPr lang="ru-RU"/>
                  <a:t>Доба
</a:t>
                </a:r>
                <a:r>
                  <a:rPr lang="en-US"/>
                  <a:t>n=3</a:t>
                </a:r>
              </a:p>
            </c:rich>
          </c:tx>
          <c:layout>
            <c:manualLayout>
              <c:xMode val="edge"/>
              <c:yMode val="edge"/>
              <c:x val="0.45295055821371616"/>
              <c:y val="0.69827586206896552"/>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580710720"/>
        <c:crosses val="autoZero"/>
        <c:auto val="1"/>
        <c:lblAlgn val="ctr"/>
        <c:lblOffset val="100"/>
        <c:tickLblSkip val="1"/>
        <c:tickMarkSkip val="1"/>
        <c:noMultiLvlLbl val="0"/>
      </c:catAx>
      <c:valAx>
        <c:axId val="580710720"/>
        <c:scaling>
          <c:orientation val="minMax"/>
        </c:scaling>
        <c:delete val="0"/>
        <c:axPos val="l"/>
        <c:majorGridlines>
          <c:spPr>
            <a:ln w="3174">
              <a:solidFill>
                <a:srgbClr val="000000"/>
              </a:solidFill>
              <a:prstDash val="solid"/>
            </a:ln>
          </c:spPr>
        </c:majorGridlines>
        <c:title>
          <c:tx>
            <c:rich>
              <a:bodyPr/>
              <a:lstStyle/>
              <a:p>
                <a:pPr>
                  <a:defRPr sz="950" b="1" i="0" u="none" strike="noStrike" baseline="0">
                    <a:solidFill>
                      <a:srgbClr val="000000"/>
                    </a:solidFill>
                    <a:latin typeface="Arial Cyr"/>
                    <a:ea typeface="Arial Cyr"/>
                    <a:cs typeface="Arial Cyr"/>
                  </a:defRPr>
                </a:pPr>
                <a:r>
                  <a:rPr lang="ru-RU"/>
                  <a:t>%</a:t>
                </a:r>
              </a:p>
            </c:rich>
          </c:tx>
          <c:layout>
            <c:manualLayout>
              <c:xMode val="edge"/>
              <c:yMode val="edge"/>
              <c:x val="3.5087719298245612E-2"/>
              <c:y val="0.30747126436781613"/>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580709600"/>
        <c:crosses val="autoZero"/>
        <c:crossBetween val="between"/>
      </c:valAx>
      <c:spPr>
        <a:solidFill>
          <a:srgbClr val="FFFFFF"/>
        </a:solidFill>
        <a:ln w="12694">
          <a:solidFill>
            <a:srgbClr val="808080"/>
          </a:solidFill>
          <a:prstDash val="solid"/>
        </a:ln>
      </c:spPr>
    </c:plotArea>
    <c:legend>
      <c:legendPos val="r"/>
      <c:layout>
        <c:manualLayout>
          <c:xMode val="edge"/>
          <c:yMode val="edge"/>
          <c:x val="0.8421052631578948"/>
          <c:y val="0.44540229885057475"/>
          <c:w val="0.14673046251993621"/>
          <c:h val="0.14080459770114942"/>
        </c:manualLayout>
      </c:layout>
      <c:overlay val="0"/>
      <c:spPr>
        <a:solidFill>
          <a:srgbClr val="FFFFFF"/>
        </a:solidFill>
        <a:ln w="25388">
          <a:noFill/>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1" b="1" i="0" u="none" strike="noStrike" baseline="0">
                <a:solidFill>
                  <a:srgbClr val="000000"/>
                </a:solidFill>
                <a:latin typeface="Arial Cyr"/>
                <a:ea typeface="Arial Cyr"/>
                <a:cs typeface="Arial Cyr"/>
              </a:defRPr>
            </a:pPr>
            <a:r>
              <a:rPr lang="ru-RU"/>
              <a:t>Рис. 3. Динаміка накопичення сальмонельозного антигена в печінці курчат після орального зараження</a:t>
            </a:r>
          </a:p>
        </c:rich>
      </c:tx>
      <c:layout>
        <c:manualLayout>
          <c:xMode val="edge"/>
          <c:yMode val="edge"/>
          <c:x val="9.9792099792099784E-2"/>
          <c:y val="0.78488372093023251"/>
        </c:manualLayout>
      </c:layout>
      <c:overlay val="0"/>
      <c:spPr>
        <a:noFill/>
        <a:ln w="25416">
          <a:noFill/>
        </a:ln>
      </c:spPr>
    </c:title>
    <c:autoTitleDeleted val="0"/>
    <c:plotArea>
      <c:layout>
        <c:manualLayout>
          <c:layoutTarget val="inner"/>
          <c:xMode val="edge"/>
          <c:yMode val="edge"/>
          <c:x val="0.14968814968814967"/>
          <c:y val="0.19186046511627908"/>
          <c:w val="0.66943866943866936"/>
          <c:h val="0.47093023255813954"/>
        </c:manualLayout>
      </c:layout>
      <c:barChart>
        <c:barDir val="col"/>
        <c:grouping val="clustered"/>
        <c:varyColors val="0"/>
        <c:ser>
          <c:idx val="0"/>
          <c:order val="0"/>
          <c:tx>
            <c:strRef>
              <c:f>Лист1!$A$2</c:f>
              <c:strCache>
                <c:ptCount val="1"/>
                <c:pt idx="0">
                  <c:v>інфіков.</c:v>
                </c:pt>
              </c:strCache>
            </c:strRef>
          </c:tx>
          <c:spPr>
            <a:solidFill>
              <a:srgbClr val="000000"/>
            </a:solidFill>
            <a:ln w="12708">
              <a:solidFill>
                <a:srgbClr val="000000"/>
              </a:solidFill>
              <a:prstDash val="solid"/>
            </a:ln>
          </c:spPr>
          <c:invertIfNegative val="0"/>
          <c:dLbls>
            <c:dLbl>
              <c:idx val="0"/>
              <c:tx>
                <c:rich>
                  <a:bodyPr rot="-5400000" vert="horz"/>
                  <a:lstStyle/>
                  <a:p>
                    <a:pPr algn="ctr">
                      <a:defRPr sz="801" b="0" i="0" u="none" strike="noStrike" baseline="0">
                        <a:solidFill>
                          <a:srgbClr val="000000"/>
                        </a:solidFill>
                        <a:latin typeface="Arial Cyr"/>
                        <a:ea typeface="Arial Cyr"/>
                        <a:cs typeface="Arial Cyr"/>
                      </a:defRPr>
                    </a:pPr>
                    <a:r>
                      <a:rPr lang="en-US"/>
                      <a:t>4,67±0,028</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rot="-5400000" vert="horz"/>
                  <a:lstStyle/>
                  <a:p>
                    <a:pPr algn="ctr">
                      <a:defRPr sz="801" b="0" i="0" u="none" strike="noStrike" baseline="0">
                        <a:solidFill>
                          <a:srgbClr val="000000"/>
                        </a:solidFill>
                        <a:latin typeface="Arial Cyr"/>
                        <a:ea typeface="Arial Cyr"/>
                        <a:cs typeface="Arial Cyr"/>
                      </a:defRPr>
                    </a:pPr>
                    <a:r>
                      <a:rPr lang="en-US"/>
                      <a:t>8,61±0,032</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rot="-5400000" vert="horz"/>
                  <a:lstStyle/>
                  <a:p>
                    <a:pPr algn="ctr">
                      <a:defRPr sz="801" b="0" i="0" u="none" strike="noStrike" baseline="0">
                        <a:solidFill>
                          <a:srgbClr val="000000"/>
                        </a:solidFill>
                        <a:latin typeface="Arial Cyr"/>
                        <a:ea typeface="Arial Cyr"/>
                        <a:cs typeface="Arial Cyr"/>
                      </a:defRPr>
                    </a:pPr>
                    <a:r>
                      <a:rPr lang="en-US"/>
                      <a:t>8,87±0,028</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rot="-5400000" vert="horz"/>
                  <a:lstStyle/>
                  <a:p>
                    <a:pPr algn="ctr">
                      <a:defRPr sz="801" b="0" i="0" u="none" strike="noStrike" baseline="0">
                        <a:solidFill>
                          <a:srgbClr val="000000"/>
                        </a:solidFill>
                        <a:latin typeface="Arial Cyr"/>
                        <a:ea typeface="Arial Cyr"/>
                        <a:cs typeface="Arial Cyr"/>
                      </a:defRPr>
                    </a:pPr>
                    <a:r>
                      <a:rPr lang="en-US"/>
                      <a:t>10,85±0,049</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rot="-5400000" vert="horz"/>
                  <a:lstStyle/>
                  <a:p>
                    <a:pPr algn="ctr">
                      <a:defRPr sz="801" b="0" i="0" u="none" strike="noStrike" baseline="0">
                        <a:solidFill>
                          <a:srgbClr val="000000"/>
                        </a:solidFill>
                        <a:latin typeface="Arial Cyr"/>
                        <a:ea typeface="Arial Cyr"/>
                        <a:cs typeface="Arial Cyr"/>
                      </a:defRPr>
                    </a:pPr>
                    <a:r>
                      <a:rPr lang="en-US"/>
                      <a:t>14,8±0,028</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rot="-5400000" vert="horz"/>
                  <a:lstStyle/>
                  <a:p>
                    <a:pPr algn="ctr">
                      <a:defRPr sz="801" b="0" i="0" u="none" strike="noStrike" baseline="0">
                        <a:solidFill>
                          <a:srgbClr val="000000"/>
                        </a:solidFill>
                        <a:latin typeface="Arial Cyr"/>
                        <a:ea typeface="Arial Cyr"/>
                        <a:cs typeface="Arial Cyr"/>
                      </a:defRPr>
                    </a:pPr>
                    <a:r>
                      <a:rPr lang="en-US"/>
                      <a:t>12,69±0,038</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rot="-5400000" vert="horz"/>
                  <a:lstStyle/>
                  <a:p>
                    <a:pPr algn="ctr">
                      <a:defRPr sz="801" b="0" i="0" u="none" strike="noStrike" baseline="0">
                        <a:solidFill>
                          <a:srgbClr val="000000"/>
                        </a:solidFill>
                        <a:latin typeface="Arial Cyr"/>
                        <a:ea typeface="Arial Cyr"/>
                        <a:cs typeface="Arial Cyr"/>
                      </a:defRPr>
                    </a:pPr>
                    <a:r>
                      <a:rPr lang="en-US"/>
                      <a:t>11,52±0,031</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rot="-5400000" vert="horz"/>
                  <a:lstStyle/>
                  <a:p>
                    <a:pPr algn="ctr">
                      <a:defRPr sz="801" b="0" i="0" u="none" strike="noStrike" baseline="0">
                        <a:solidFill>
                          <a:srgbClr val="000000"/>
                        </a:solidFill>
                        <a:latin typeface="Arial Cyr"/>
                        <a:ea typeface="Arial Cyr"/>
                        <a:cs typeface="Arial Cyr"/>
                      </a:defRPr>
                    </a:pPr>
                    <a:r>
                      <a:rPr lang="en-US"/>
                      <a:t>4,66±0,028</a:t>
                    </a:r>
                  </a:p>
                </c:rich>
              </c:tx>
              <c:spPr>
                <a:noFill/>
                <a:ln w="25416">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416">
                <a:noFill/>
              </a:ln>
            </c:spPr>
            <c:txPr>
              <a:bodyPr rot="-5400000" vert="horz" wrap="square" lIns="38100" tIns="19050" rIns="38100" bIns="19050" anchor="ctr">
                <a:spAutoFit/>
              </a:bodyPr>
              <a:lstStyle/>
              <a:p>
                <a:pPr algn="ctr">
                  <a:defRPr sz="801"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Лист1!$B$1:$I$1</c:f>
              <c:numCache>
                <c:formatCode>General</c:formatCode>
                <c:ptCount val="8"/>
                <c:pt idx="0">
                  <c:v>5</c:v>
                </c:pt>
                <c:pt idx="1">
                  <c:v>8</c:v>
                </c:pt>
                <c:pt idx="2">
                  <c:v>10</c:v>
                </c:pt>
                <c:pt idx="3">
                  <c:v>13</c:v>
                </c:pt>
                <c:pt idx="4">
                  <c:v>15</c:v>
                </c:pt>
                <c:pt idx="5">
                  <c:v>17</c:v>
                </c:pt>
                <c:pt idx="6">
                  <c:v>21</c:v>
                </c:pt>
                <c:pt idx="7">
                  <c:v>51</c:v>
                </c:pt>
              </c:numCache>
            </c:numRef>
          </c:cat>
          <c:val>
            <c:numRef>
              <c:f>Лист1!$B$2:$I$2</c:f>
              <c:numCache>
                <c:formatCode>General</c:formatCode>
                <c:ptCount val="8"/>
                <c:pt idx="0">
                  <c:v>4.67</c:v>
                </c:pt>
                <c:pt idx="1">
                  <c:v>8.61</c:v>
                </c:pt>
                <c:pt idx="2">
                  <c:v>8.8699999999999992</c:v>
                </c:pt>
                <c:pt idx="3">
                  <c:v>10.85</c:v>
                </c:pt>
                <c:pt idx="4">
                  <c:v>14.8</c:v>
                </c:pt>
                <c:pt idx="5">
                  <c:v>12.69</c:v>
                </c:pt>
                <c:pt idx="6">
                  <c:v>11.52</c:v>
                </c:pt>
                <c:pt idx="7">
                  <c:v>4.66</c:v>
                </c:pt>
              </c:numCache>
            </c:numRef>
          </c:val>
        </c:ser>
        <c:dLbls>
          <c:showLegendKey val="0"/>
          <c:showVal val="0"/>
          <c:showCatName val="0"/>
          <c:showSerName val="0"/>
          <c:showPercent val="0"/>
          <c:showBubbleSize val="0"/>
        </c:dLbls>
        <c:gapWidth val="150"/>
        <c:axId val="580714080"/>
        <c:axId val="580714640"/>
      </c:barChart>
      <c:catAx>
        <c:axId val="580714080"/>
        <c:scaling>
          <c:orientation val="minMax"/>
        </c:scaling>
        <c:delete val="0"/>
        <c:axPos val="b"/>
        <c:title>
          <c:tx>
            <c:rich>
              <a:bodyPr/>
              <a:lstStyle/>
              <a:p>
                <a:pPr>
                  <a:defRPr sz="801" b="0" i="0" u="none" strike="noStrike" baseline="0">
                    <a:solidFill>
                      <a:srgbClr val="000000"/>
                    </a:solidFill>
                    <a:latin typeface="Arial Cyr"/>
                    <a:ea typeface="Arial Cyr"/>
                    <a:cs typeface="Arial Cyr"/>
                  </a:defRPr>
                </a:pPr>
                <a:r>
                  <a:rPr lang="ru-RU"/>
                  <a:t>доба
</a:t>
                </a:r>
                <a:r>
                  <a:rPr lang="en-US"/>
                  <a:t>n=5</a:t>
                </a:r>
              </a:p>
            </c:rich>
          </c:tx>
          <c:layout>
            <c:manualLayout>
              <c:xMode val="edge"/>
              <c:yMode val="edge"/>
              <c:x val="0.45738045738045735"/>
              <c:y val="0.71220930232558133"/>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580714640"/>
        <c:crosses val="autoZero"/>
        <c:auto val="1"/>
        <c:lblAlgn val="ctr"/>
        <c:lblOffset val="100"/>
        <c:tickLblSkip val="1"/>
        <c:tickMarkSkip val="1"/>
        <c:noMultiLvlLbl val="0"/>
      </c:catAx>
      <c:valAx>
        <c:axId val="580714640"/>
        <c:scaling>
          <c:orientation val="minMax"/>
        </c:scaling>
        <c:delete val="0"/>
        <c:axPos val="l"/>
        <c:majorGridlines>
          <c:spPr>
            <a:ln w="3177">
              <a:solidFill>
                <a:srgbClr val="000000"/>
              </a:solidFill>
              <a:prstDash val="solid"/>
            </a:ln>
          </c:spPr>
        </c:majorGridlines>
        <c:title>
          <c:tx>
            <c:rich>
              <a:bodyPr/>
              <a:lstStyle/>
              <a:p>
                <a:pPr>
                  <a:defRPr sz="801" b="1" i="0" u="none" strike="noStrike" baseline="0">
                    <a:solidFill>
                      <a:srgbClr val="000000"/>
                    </a:solidFill>
                    <a:latin typeface="Arial Cyr"/>
                    <a:ea typeface="Arial Cyr"/>
                    <a:cs typeface="Arial Cyr"/>
                  </a:defRPr>
                </a:pPr>
                <a:r>
                  <a:rPr lang="ru-RU"/>
                  <a:t>%</a:t>
                </a:r>
              </a:p>
            </c:rich>
          </c:tx>
          <c:layout>
            <c:manualLayout>
              <c:xMode val="edge"/>
              <c:yMode val="edge"/>
              <c:x val="4.5738045738045734E-2"/>
              <c:y val="0.40406976744186046"/>
            </c:manualLayout>
          </c:layout>
          <c:overlay val="0"/>
          <c:spPr>
            <a:noFill/>
            <a:ln w="25416">
              <a:noFill/>
            </a:ln>
          </c:spPr>
        </c:title>
        <c:numFmt formatCode="General" sourceLinked="1"/>
        <c:majorTickMark val="out"/>
        <c:minorTickMark val="none"/>
        <c:tickLblPos val="nextTo"/>
        <c:spPr>
          <a:ln w="3177">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580714080"/>
        <c:crosses val="autoZero"/>
        <c:crossBetween val="between"/>
      </c:valAx>
      <c:spPr>
        <a:solidFill>
          <a:srgbClr val="FFFFFF"/>
        </a:solidFill>
        <a:ln w="25416">
          <a:noFill/>
        </a:ln>
      </c:spPr>
    </c:plotArea>
    <c:plotVisOnly val="1"/>
    <c:dispBlanksAs val="gap"/>
    <c:showDLblsOverMax val="0"/>
  </c:chart>
  <c:spPr>
    <a:solidFill>
      <a:srgbClr val="FFFFFF"/>
    </a:solidFill>
    <a:ln>
      <a:noFill/>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1850</TotalTime>
  <Pages>28</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60072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30</cp:revision>
  <cp:lastPrinted>2009-02-06T08:36:00Z</cp:lastPrinted>
  <dcterms:created xsi:type="dcterms:W3CDTF">2015-03-22T11:10:00Z</dcterms:created>
  <dcterms:modified xsi:type="dcterms:W3CDTF">2016-03-11T09:40:00Z</dcterms:modified>
</cp:coreProperties>
</file>