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7C7BBA" w:rsidRDefault="007C7BBA" w:rsidP="007C7BBA">
      <w:pPr>
        <w:pStyle w:val="aff"/>
        <w:rPr>
          <w:lang w:val="uk-UA"/>
        </w:rPr>
      </w:pPr>
      <w:r>
        <w:rPr>
          <w:lang w:val="uk-UA"/>
        </w:rPr>
        <w:t>ДЕРЖАВНА УСТАНОВА</w:t>
      </w:r>
    </w:p>
    <w:p w:rsidR="007C7BBA" w:rsidRPr="00AD70FC" w:rsidRDefault="007C7BBA" w:rsidP="007C7BBA">
      <w:pPr>
        <w:pStyle w:val="aff"/>
        <w:rPr>
          <w:lang w:val="uk-UA"/>
        </w:rPr>
      </w:pPr>
      <w:r>
        <w:rPr>
          <w:lang w:val="uk-UA"/>
        </w:rPr>
        <w:t>«</w:t>
      </w:r>
      <w:r w:rsidRPr="00AD70FC">
        <w:rPr>
          <w:lang w:val="uk-UA"/>
        </w:rPr>
        <w:t xml:space="preserve">ІНСТИТУТ ЕПІДЕМІОЛОГІЇ ТА ІНФЕКЦІЙНИХ ХВОРОБ </w:t>
      </w:r>
    </w:p>
    <w:p w:rsidR="007C7BBA" w:rsidRDefault="007C7BBA" w:rsidP="007C7BBA">
      <w:pPr>
        <w:pStyle w:val="aff"/>
        <w:rPr>
          <w:lang w:val="uk-UA"/>
        </w:rPr>
      </w:pPr>
      <w:r>
        <w:rPr>
          <w:lang w:val="uk-UA"/>
        </w:rPr>
        <w:t>ІМ</w:t>
      </w:r>
      <w:r w:rsidRPr="00AD70FC">
        <w:rPr>
          <w:lang w:val="uk-UA"/>
        </w:rPr>
        <w:t>. Л.В. ГРОМАШЕВСЬКОГО</w:t>
      </w:r>
    </w:p>
    <w:p w:rsidR="007C7BBA" w:rsidRPr="00AD70FC" w:rsidRDefault="007C7BBA" w:rsidP="007C7BBA">
      <w:pPr>
        <w:pStyle w:val="aff"/>
        <w:rPr>
          <w:lang w:val="uk-UA"/>
        </w:rPr>
      </w:pPr>
      <w:r>
        <w:rPr>
          <w:lang w:val="uk-UA"/>
        </w:rPr>
        <w:t>АКАДЕМІЇ</w:t>
      </w:r>
      <w:r w:rsidRPr="00AD70FC">
        <w:rPr>
          <w:lang w:val="uk-UA"/>
        </w:rPr>
        <w:t xml:space="preserve"> МЕДИЧНИХ НАУК УКРАЇНИ</w:t>
      </w:r>
      <w:r>
        <w:rPr>
          <w:lang w:val="uk-UA"/>
        </w:rPr>
        <w:t>»</w:t>
      </w:r>
    </w:p>
    <w:p w:rsidR="007C7BBA" w:rsidRDefault="007C7BBA" w:rsidP="007C7BBA">
      <w:pPr>
        <w:pStyle w:val="aff"/>
        <w:rPr>
          <w:lang w:val="uk-UA"/>
        </w:rPr>
      </w:pPr>
    </w:p>
    <w:p w:rsidR="007C7BBA" w:rsidRPr="00AD70FC" w:rsidRDefault="007C7BBA" w:rsidP="007C7BBA">
      <w:pPr>
        <w:widowControl w:val="0"/>
        <w:spacing w:line="360" w:lineRule="auto"/>
        <w:rPr>
          <w:color w:val="000000"/>
          <w:sz w:val="28"/>
          <w:lang w:val="uk-UA"/>
        </w:rPr>
      </w:pPr>
    </w:p>
    <w:p w:rsidR="007C7BBA" w:rsidRPr="00AD70FC" w:rsidRDefault="007C7BBA" w:rsidP="007C7BBA">
      <w:pPr>
        <w:widowControl w:val="0"/>
        <w:spacing w:line="360" w:lineRule="auto"/>
        <w:rPr>
          <w:color w:val="000000"/>
          <w:sz w:val="28"/>
          <w:lang w:val="uk-UA"/>
        </w:rPr>
      </w:pPr>
    </w:p>
    <w:p w:rsidR="007C7BBA" w:rsidRPr="00AD70FC" w:rsidRDefault="007C7BBA" w:rsidP="007C7BBA">
      <w:pPr>
        <w:pStyle w:val="10"/>
        <w:keepNext w:val="0"/>
        <w:widowControl w:val="0"/>
        <w:spacing w:line="360" w:lineRule="auto"/>
        <w:rPr>
          <w:sz w:val="32"/>
        </w:rPr>
      </w:pPr>
      <w:r w:rsidRPr="00AD70FC">
        <w:rPr>
          <w:sz w:val="32"/>
        </w:rPr>
        <w:t>Копійченко Ярослава Ігорівна</w:t>
      </w:r>
    </w:p>
    <w:p w:rsidR="007C7BBA" w:rsidRPr="00AD70FC" w:rsidRDefault="007C7BBA" w:rsidP="007C7BBA">
      <w:pPr>
        <w:widowControl w:val="0"/>
        <w:spacing w:line="360" w:lineRule="auto"/>
        <w:rPr>
          <w:sz w:val="28"/>
          <w:lang w:val="uk-UA"/>
        </w:rPr>
      </w:pPr>
    </w:p>
    <w:p w:rsidR="007C7BBA" w:rsidRPr="00AD70FC" w:rsidRDefault="007C7BBA" w:rsidP="007C7BBA">
      <w:pPr>
        <w:widowControl w:val="0"/>
        <w:spacing w:line="360" w:lineRule="auto"/>
        <w:rPr>
          <w:sz w:val="28"/>
          <w:lang w:val="uk-UA"/>
        </w:rPr>
      </w:pPr>
    </w:p>
    <w:p w:rsidR="007C7BBA" w:rsidRPr="008C3CFB" w:rsidRDefault="007C7BBA" w:rsidP="007C7BBA">
      <w:pPr>
        <w:pStyle w:val="10"/>
        <w:widowControl w:val="0"/>
        <w:spacing w:line="360" w:lineRule="auto"/>
        <w:jc w:val="right"/>
        <w:rPr>
          <w:b/>
        </w:rPr>
      </w:pPr>
      <w:r>
        <w:rPr>
          <w:b/>
        </w:rPr>
        <w:t>УДК 616.36-002-022:616.34-008.87]</w:t>
      </w:r>
      <w:r w:rsidRPr="008C3CFB">
        <w:rPr>
          <w:b/>
        </w:rPr>
        <w:t>-074-085</w:t>
      </w:r>
    </w:p>
    <w:p w:rsidR="007C7BBA" w:rsidRPr="00AD70FC" w:rsidRDefault="007C7BBA" w:rsidP="007C7BBA">
      <w:pPr>
        <w:widowControl w:val="0"/>
        <w:spacing w:line="360" w:lineRule="auto"/>
        <w:jc w:val="center"/>
        <w:rPr>
          <w:b/>
          <w:sz w:val="28"/>
          <w:lang w:val="uk-UA"/>
        </w:rPr>
      </w:pPr>
    </w:p>
    <w:p w:rsidR="007C7BBA" w:rsidRPr="00AD70FC" w:rsidRDefault="007C7BBA" w:rsidP="007C7BBA">
      <w:pPr>
        <w:widowControl w:val="0"/>
        <w:spacing w:line="360" w:lineRule="auto"/>
        <w:jc w:val="center"/>
        <w:rPr>
          <w:b/>
          <w:sz w:val="28"/>
          <w:lang w:val="uk-UA"/>
        </w:rPr>
      </w:pPr>
    </w:p>
    <w:p w:rsidR="007C7BBA" w:rsidRPr="00AD70FC" w:rsidRDefault="007C7BBA" w:rsidP="007C7BBA">
      <w:pPr>
        <w:pStyle w:val="a7"/>
        <w:spacing w:line="360" w:lineRule="auto"/>
        <w:jc w:val="center"/>
        <w:rPr>
          <w:caps/>
          <w:sz w:val="28"/>
          <w:lang w:val="uk-UA"/>
        </w:rPr>
      </w:pPr>
      <w:r w:rsidRPr="00AD70FC">
        <w:rPr>
          <w:b/>
          <w:sz w:val="28"/>
          <w:lang w:val="uk-UA"/>
        </w:rPr>
        <w:t>КЛІНІКО-</w:t>
      </w:r>
      <w:r w:rsidRPr="00AD70FC">
        <w:rPr>
          <w:b/>
          <w:caps/>
          <w:sz w:val="28"/>
          <w:szCs w:val="28"/>
          <w:lang w:val="uk-UA"/>
        </w:rPr>
        <w:t>лабораторні</w:t>
      </w:r>
      <w:r w:rsidRPr="00AD70FC">
        <w:rPr>
          <w:b/>
          <w:sz w:val="28"/>
          <w:lang w:val="uk-UA"/>
        </w:rPr>
        <w:t xml:space="preserve"> ПОКАЗНИКИ ПЕРЕБІГУ ТА КОРЕКЦІЯ ПОРУШЕНЬ МІКРОБІОЦЕ</w:t>
      </w:r>
      <w:r>
        <w:rPr>
          <w:b/>
          <w:sz w:val="28"/>
          <w:lang w:val="uk-UA"/>
        </w:rPr>
        <w:t xml:space="preserve">НОЗУ КИШОК У ХВОРИХ НА ВІРУСНИЙ </w:t>
      </w:r>
      <w:r w:rsidRPr="00AD70FC">
        <w:rPr>
          <w:b/>
          <w:sz w:val="28"/>
          <w:lang w:val="uk-UA"/>
        </w:rPr>
        <w:t>ГЕПАТИТ А</w:t>
      </w:r>
    </w:p>
    <w:p w:rsidR="007C7BBA" w:rsidRPr="00AD70FC" w:rsidRDefault="007C7BBA" w:rsidP="007C7BBA">
      <w:pPr>
        <w:pStyle w:val="a5"/>
        <w:widowControl w:val="0"/>
        <w:spacing w:line="360" w:lineRule="auto"/>
        <w:jc w:val="center"/>
        <w:rPr>
          <w:b/>
          <w:color w:val="000000"/>
        </w:rPr>
      </w:pPr>
    </w:p>
    <w:p w:rsidR="007C7BBA" w:rsidRPr="00AD70FC" w:rsidRDefault="007C7BBA" w:rsidP="007C7BBA">
      <w:pPr>
        <w:pStyle w:val="a5"/>
        <w:widowControl w:val="0"/>
        <w:spacing w:line="360" w:lineRule="auto"/>
        <w:jc w:val="center"/>
        <w:rPr>
          <w:b/>
          <w:color w:val="000000"/>
        </w:rPr>
      </w:pPr>
    </w:p>
    <w:p w:rsidR="007C7BBA" w:rsidRPr="00AD70FC" w:rsidRDefault="007C7BBA" w:rsidP="007C7BBA">
      <w:pPr>
        <w:pStyle w:val="a5"/>
        <w:widowControl w:val="0"/>
        <w:spacing w:line="360" w:lineRule="auto"/>
        <w:jc w:val="center"/>
        <w:rPr>
          <w:caps/>
          <w:color w:val="000000"/>
          <w:szCs w:val="28"/>
        </w:rPr>
      </w:pPr>
      <w:r w:rsidRPr="00AD70FC">
        <w:rPr>
          <w:caps/>
          <w:color w:val="000000"/>
          <w:szCs w:val="28"/>
        </w:rPr>
        <w:t>14.01.13 – інфекційні хвороби</w:t>
      </w:r>
    </w:p>
    <w:p w:rsidR="007C7BBA" w:rsidRPr="00AD70FC" w:rsidRDefault="007C7BBA" w:rsidP="007C7BBA">
      <w:pPr>
        <w:pStyle w:val="a5"/>
        <w:widowControl w:val="0"/>
        <w:spacing w:line="360" w:lineRule="auto"/>
        <w:jc w:val="center"/>
        <w:rPr>
          <w:caps/>
          <w:color w:val="000000"/>
          <w:szCs w:val="28"/>
        </w:rPr>
      </w:pPr>
    </w:p>
    <w:p w:rsidR="007C7BBA" w:rsidRDefault="007C7BBA" w:rsidP="007C7BBA">
      <w:pPr>
        <w:pStyle w:val="a5"/>
        <w:widowControl w:val="0"/>
        <w:spacing w:line="360" w:lineRule="auto"/>
        <w:jc w:val="center"/>
        <w:rPr>
          <w:caps/>
          <w:color w:val="000000"/>
          <w:szCs w:val="28"/>
        </w:rPr>
      </w:pPr>
    </w:p>
    <w:p w:rsidR="007C7BBA" w:rsidRPr="00AD70FC" w:rsidRDefault="007C7BBA" w:rsidP="007C7BBA">
      <w:pPr>
        <w:pStyle w:val="a5"/>
        <w:widowControl w:val="0"/>
        <w:spacing w:line="360" w:lineRule="auto"/>
        <w:jc w:val="center"/>
        <w:rPr>
          <w:caps/>
          <w:color w:val="000000"/>
          <w:szCs w:val="28"/>
        </w:rPr>
      </w:pPr>
    </w:p>
    <w:p w:rsidR="007C7BBA" w:rsidRPr="008C3CFB" w:rsidRDefault="007C7BBA" w:rsidP="007C7BBA">
      <w:pPr>
        <w:pStyle w:val="a5"/>
        <w:widowControl w:val="0"/>
        <w:spacing w:line="360" w:lineRule="auto"/>
        <w:jc w:val="center"/>
        <w:rPr>
          <w:color w:val="000000"/>
          <w:szCs w:val="28"/>
        </w:rPr>
      </w:pPr>
      <w:r w:rsidRPr="008C3CFB">
        <w:rPr>
          <w:color w:val="000000"/>
          <w:szCs w:val="28"/>
        </w:rPr>
        <w:t xml:space="preserve">автореферат </w:t>
      </w:r>
    </w:p>
    <w:p w:rsidR="007C7BBA" w:rsidRPr="008C3CFB" w:rsidRDefault="007C7BBA" w:rsidP="007C7BBA">
      <w:pPr>
        <w:pStyle w:val="a5"/>
        <w:widowControl w:val="0"/>
        <w:spacing w:line="360" w:lineRule="auto"/>
        <w:jc w:val="center"/>
        <w:rPr>
          <w:caps/>
          <w:color w:val="000000"/>
        </w:rPr>
      </w:pPr>
      <w:r w:rsidRPr="008C3CFB">
        <w:rPr>
          <w:caps/>
          <w:color w:val="000000"/>
        </w:rPr>
        <w:lastRenderedPageBreak/>
        <w:t>дисертації на здобуття наукового ступеня</w:t>
      </w:r>
    </w:p>
    <w:p w:rsidR="007C7BBA" w:rsidRPr="008C3CFB" w:rsidRDefault="007C7BBA" w:rsidP="007C7BBA">
      <w:pPr>
        <w:pStyle w:val="a5"/>
        <w:widowControl w:val="0"/>
        <w:spacing w:line="360" w:lineRule="auto"/>
        <w:jc w:val="center"/>
        <w:rPr>
          <w:caps/>
          <w:szCs w:val="28"/>
        </w:rPr>
      </w:pPr>
      <w:r w:rsidRPr="008C3CFB">
        <w:rPr>
          <w:caps/>
          <w:color w:val="000000"/>
        </w:rPr>
        <w:t>кандидата медичних наук</w:t>
      </w:r>
      <w:r w:rsidRPr="008C3CFB">
        <w:rPr>
          <w:caps/>
          <w:szCs w:val="28"/>
        </w:rPr>
        <w:t xml:space="preserve"> </w:t>
      </w:r>
    </w:p>
    <w:p w:rsidR="007C7BBA" w:rsidRPr="00AD70FC" w:rsidRDefault="007C7BBA" w:rsidP="007C7BBA">
      <w:pPr>
        <w:pStyle w:val="a5"/>
        <w:widowControl w:val="0"/>
        <w:spacing w:line="360" w:lineRule="auto"/>
        <w:jc w:val="center"/>
        <w:rPr>
          <w:szCs w:val="28"/>
        </w:rPr>
      </w:pPr>
    </w:p>
    <w:p w:rsidR="007C7BBA" w:rsidRPr="00AD70FC" w:rsidRDefault="007C7BBA" w:rsidP="007C7BBA">
      <w:pPr>
        <w:pStyle w:val="a5"/>
        <w:widowControl w:val="0"/>
        <w:spacing w:line="360" w:lineRule="auto"/>
        <w:jc w:val="center"/>
        <w:rPr>
          <w:szCs w:val="28"/>
        </w:rPr>
      </w:pPr>
    </w:p>
    <w:p w:rsidR="007C7BBA" w:rsidRPr="00AD70FC" w:rsidRDefault="007C7BBA" w:rsidP="007C7BBA">
      <w:pPr>
        <w:pStyle w:val="a5"/>
        <w:widowControl w:val="0"/>
        <w:spacing w:line="360" w:lineRule="auto"/>
        <w:jc w:val="center"/>
        <w:rPr>
          <w:szCs w:val="28"/>
        </w:rPr>
      </w:pPr>
    </w:p>
    <w:p w:rsidR="007C7BBA" w:rsidRDefault="007C7BBA" w:rsidP="007C7BBA">
      <w:pPr>
        <w:pStyle w:val="a5"/>
        <w:widowControl w:val="0"/>
        <w:spacing w:line="360" w:lineRule="auto"/>
        <w:jc w:val="center"/>
        <w:rPr>
          <w:caps/>
          <w:szCs w:val="28"/>
        </w:rPr>
      </w:pPr>
      <w:r w:rsidRPr="00174939">
        <w:rPr>
          <w:caps/>
          <w:szCs w:val="28"/>
        </w:rPr>
        <w:t>Київ 2009</w:t>
      </w:r>
    </w:p>
    <w:p w:rsidR="007C7BBA" w:rsidRPr="00174939" w:rsidRDefault="007C7BBA" w:rsidP="007C7BBA">
      <w:pPr>
        <w:pStyle w:val="a5"/>
        <w:widowControl w:val="0"/>
        <w:spacing w:line="360" w:lineRule="auto"/>
        <w:jc w:val="center"/>
        <w:rPr>
          <w:caps/>
          <w:color w:val="000000"/>
          <w:szCs w:val="28"/>
        </w:rPr>
      </w:pPr>
    </w:p>
    <w:p w:rsidR="007C7BBA" w:rsidRPr="00AD70FC" w:rsidRDefault="007C7BBA" w:rsidP="007C7BBA">
      <w:pPr>
        <w:ind w:firstLine="567"/>
        <w:rPr>
          <w:i/>
          <w:sz w:val="28"/>
          <w:szCs w:val="28"/>
          <w:lang w:val="uk-UA"/>
        </w:rPr>
      </w:pPr>
      <w:r w:rsidRPr="00AD70FC">
        <w:rPr>
          <w:i/>
          <w:sz w:val="28"/>
          <w:szCs w:val="28"/>
          <w:lang w:val="uk-UA"/>
        </w:rPr>
        <w:t>Дисертацією є рукопис.</w:t>
      </w:r>
    </w:p>
    <w:p w:rsidR="007C7BBA" w:rsidRPr="00AD70FC" w:rsidRDefault="007C7BBA" w:rsidP="007C7BBA">
      <w:pPr>
        <w:ind w:firstLine="567"/>
        <w:jc w:val="center"/>
        <w:rPr>
          <w:b/>
          <w:sz w:val="32"/>
          <w:szCs w:val="32"/>
          <w:lang w:val="uk-UA"/>
        </w:rPr>
      </w:pPr>
    </w:p>
    <w:p w:rsidR="007C7BBA" w:rsidRPr="00AD70FC" w:rsidRDefault="007C7BBA" w:rsidP="007C7BBA">
      <w:pPr>
        <w:tabs>
          <w:tab w:val="left" w:pos="567"/>
        </w:tabs>
        <w:ind w:firstLine="567"/>
        <w:jc w:val="both"/>
        <w:rPr>
          <w:sz w:val="28"/>
          <w:szCs w:val="28"/>
          <w:lang w:val="uk-UA"/>
        </w:rPr>
      </w:pPr>
      <w:r w:rsidRPr="00AD70FC">
        <w:rPr>
          <w:sz w:val="28"/>
          <w:szCs w:val="28"/>
          <w:lang w:val="uk-UA"/>
        </w:rPr>
        <w:t xml:space="preserve">Робота виконана в Харківському національному медичному університеті МОЗ України. </w:t>
      </w:r>
    </w:p>
    <w:p w:rsidR="007C7BBA" w:rsidRPr="00AD70FC" w:rsidRDefault="007C7BBA" w:rsidP="007C7BBA">
      <w:pPr>
        <w:tabs>
          <w:tab w:val="left" w:pos="567"/>
        </w:tabs>
        <w:ind w:firstLine="567"/>
        <w:jc w:val="both"/>
        <w:rPr>
          <w:sz w:val="28"/>
          <w:szCs w:val="28"/>
          <w:lang w:val="uk-UA"/>
        </w:rPr>
      </w:pPr>
    </w:p>
    <w:p w:rsidR="007C7BBA" w:rsidRPr="00AD70FC" w:rsidRDefault="007C7BBA" w:rsidP="007C7BBA">
      <w:pPr>
        <w:tabs>
          <w:tab w:val="left" w:pos="567"/>
        </w:tabs>
        <w:ind w:firstLine="567"/>
        <w:jc w:val="both"/>
        <w:rPr>
          <w:sz w:val="28"/>
          <w:szCs w:val="28"/>
          <w:lang w:val="uk-UA"/>
        </w:rPr>
      </w:pPr>
      <w:r w:rsidRPr="00AD70FC">
        <w:rPr>
          <w:sz w:val="28"/>
          <w:szCs w:val="28"/>
          <w:lang w:val="uk-UA"/>
        </w:rPr>
        <w:t>Науковий керівник:</w:t>
      </w:r>
    </w:p>
    <w:p w:rsidR="007C7BBA" w:rsidRPr="00AD70FC" w:rsidRDefault="007C7BBA" w:rsidP="007C7BBA">
      <w:pPr>
        <w:tabs>
          <w:tab w:val="left" w:pos="567"/>
        </w:tabs>
        <w:ind w:firstLine="567"/>
        <w:jc w:val="both"/>
        <w:rPr>
          <w:sz w:val="28"/>
          <w:szCs w:val="28"/>
          <w:lang w:val="uk-UA"/>
        </w:rPr>
      </w:pPr>
      <w:r w:rsidRPr="00AD70FC">
        <w:rPr>
          <w:sz w:val="28"/>
          <w:szCs w:val="28"/>
          <w:lang w:val="uk-UA"/>
        </w:rPr>
        <w:t>доктор медичних наук, професор Козько Володимир Миколайович, Харківський національний медичний університет МОЗ України, завідувач кафедри інфекційних хвороб.</w:t>
      </w:r>
    </w:p>
    <w:p w:rsidR="007C7BBA" w:rsidRPr="00AD70FC" w:rsidRDefault="007C7BBA" w:rsidP="007C7BBA">
      <w:pPr>
        <w:tabs>
          <w:tab w:val="left" w:pos="567"/>
        </w:tabs>
        <w:ind w:firstLine="567"/>
        <w:jc w:val="both"/>
        <w:rPr>
          <w:sz w:val="32"/>
          <w:szCs w:val="32"/>
          <w:lang w:val="uk-UA"/>
        </w:rPr>
      </w:pPr>
    </w:p>
    <w:p w:rsidR="007C7BBA" w:rsidRPr="00AD70FC" w:rsidRDefault="007C7BBA" w:rsidP="007C7BBA">
      <w:pPr>
        <w:tabs>
          <w:tab w:val="left" w:pos="567"/>
        </w:tabs>
        <w:ind w:firstLine="567"/>
        <w:rPr>
          <w:sz w:val="28"/>
          <w:szCs w:val="28"/>
          <w:lang w:val="uk-UA"/>
        </w:rPr>
      </w:pPr>
      <w:r w:rsidRPr="00AD70FC">
        <w:rPr>
          <w:sz w:val="28"/>
          <w:szCs w:val="28"/>
          <w:lang w:val="uk-UA"/>
        </w:rPr>
        <w:t>Офіційні опоненти:</w:t>
      </w:r>
    </w:p>
    <w:p w:rsidR="007C7BBA" w:rsidRPr="003948CC" w:rsidRDefault="007C7BBA" w:rsidP="007C7BBA">
      <w:pPr>
        <w:pStyle w:val="a7"/>
        <w:ind w:left="0"/>
        <w:jc w:val="both"/>
        <w:rPr>
          <w:sz w:val="28"/>
          <w:szCs w:val="28"/>
          <w:lang w:val="uk-UA"/>
        </w:rPr>
      </w:pPr>
      <w:r w:rsidRPr="008E4908">
        <w:rPr>
          <w:sz w:val="28"/>
          <w:szCs w:val="28"/>
          <w:lang w:val="uk-UA"/>
        </w:rPr>
        <w:t>доктор медичних наук, п</w:t>
      </w:r>
      <w:r>
        <w:rPr>
          <w:sz w:val="28"/>
          <w:szCs w:val="28"/>
          <w:lang w:val="uk-UA"/>
        </w:rPr>
        <w:t>рофесор, З</w:t>
      </w:r>
      <w:r w:rsidRPr="003948CC">
        <w:rPr>
          <w:sz w:val="28"/>
          <w:szCs w:val="28"/>
          <w:lang w:val="uk-UA" w:eastAsia="uk-UA"/>
        </w:rPr>
        <w:t>аслужений діяч науки</w:t>
      </w:r>
      <w:r>
        <w:rPr>
          <w:sz w:val="28"/>
          <w:szCs w:val="28"/>
          <w:lang w:val="uk-UA" w:eastAsia="uk-UA"/>
        </w:rPr>
        <w:t xml:space="preserve"> </w:t>
      </w:r>
      <w:r w:rsidRPr="003948CC">
        <w:rPr>
          <w:sz w:val="28"/>
          <w:szCs w:val="28"/>
          <w:lang w:val="uk-UA" w:eastAsia="uk-UA"/>
        </w:rPr>
        <w:t>і технік</w:t>
      </w:r>
      <w:r>
        <w:rPr>
          <w:sz w:val="28"/>
          <w:szCs w:val="28"/>
          <w:lang w:val="uk-UA" w:eastAsia="uk-UA"/>
        </w:rPr>
        <w:t>и</w:t>
      </w:r>
      <w:r w:rsidRPr="003948CC">
        <w:rPr>
          <w:sz w:val="28"/>
          <w:szCs w:val="28"/>
          <w:lang w:val="uk-UA" w:eastAsia="uk-UA"/>
        </w:rPr>
        <w:t xml:space="preserve"> України</w:t>
      </w:r>
      <w:r w:rsidRPr="008E4908">
        <w:rPr>
          <w:sz w:val="28"/>
          <w:szCs w:val="28"/>
          <w:lang w:val="uk-UA"/>
        </w:rPr>
        <w:t xml:space="preserve"> </w:t>
      </w:r>
      <w:r w:rsidRPr="003948CC">
        <w:rPr>
          <w:b/>
          <w:sz w:val="28"/>
          <w:szCs w:val="28"/>
          <w:lang w:val="uk-UA"/>
        </w:rPr>
        <w:t>Гураль Анатолій Леонтійович</w:t>
      </w:r>
      <w:r>
        <w:rPr>
          <w:sz w:val="28"/>
          <w:szCs w:val="28"/>
          <w:lang w:val="uk-UA"/>
        </w:rPr>
        <w:t>, ДУ «</w:t>
      </w:r>
      <w:r w:rsidRPr="008E4908">
        <w:rPr>
          <w:sz w:val="28"/>
          <w:szCs w:val="28"/>
          <w:lang w:val="uk-UA"/>
        </w:rPr>
        <w:t xml:space="preserve">Інститут епідеміології та інфекційних хвороб ім. </w:t>
      </w:r>
      <w:r>
        <w:rPr>
          <w:sz w:val="28"/>
          <w:szCs w:val="28"/>
          <w:lang w:val="uk-UA"/>
        </w:rPr>
        <w:t xml:space="preserve">Л.В. Громашевського АМН </w:t>
      </w:r>
      <w:r w:rsidRPr="00617439">
        <w:rPr>
          <w:sz w:val="28"/>
          <w:szCs w:val="28"/>
          <w:lang w:val="uk-UA"/>
        </w:rPr>
        <w:t>України»</w:t>
      </w:r>
      <w:r>
        <w:rPr>
          <w:sz w:val="28"/>
          <w:szCs w:val="28"/>
          <w:lang w:val="uk-UA"/>
        </w:rPr>
        <w:t>,</w:t>
      </w:r>
      <w:r w:rsidRPr="003948CC">
        <w:rPr>
          <w:lang w:val="uk-UA" w:eastAsia="uk-UA"/>
        </w:rPr>
        <w:t xml:space="preserve"> </w:t>
      </w:r>
      <w:r w:rsidRPr="003948CC">
        <w:rPr>
          <w:sz w:val="28"/>
          <w:szCs w:val="28"/>
          <w:lang w:val="uk-UA" w:eastAsia="uk-UA"/>
        </w:rPr>
        <w:t>лабораторі</w:t>
      </w:r>
      <w:r>
        <w:rPr>
          <w:sz w:val="28"/>
          <w:szCs w:val="28"/>
          <w:lang w:val="uk-UA" w:eastAsia="uk-UA"/>
        </w:rPr>
        <w:t>я</w:t>
      </w:r>
      <w:r w:rsidRPr="003948CC">
        <w:rPr>
          <w:sz w:val="28"/>
          <w:szCs w:val="28"/>
          <w:lang w:val="uk-UA" w:eastAsia="uk-UA"/>
        </w:rPr>
        <w:t xml:space="preserve"> вірусних гепатитів і ВІЛ</w:t>
      </w:r>
      <w:r>
        <w:rPr>
          <w:sz w:val="28"/>
          <w:szCs w:val="28"/>
          <w:lang w:val="uk-UA" w:eastAsia="uk-UA"/>
        </w:rPr>
        <w:t>-інфекції, з</w:t>
      </w:r>
      <w:r w:rsidRPr="003948CC">
        <w:rPr>
          <w:sz w:val="28"/>
          <w:szCs w:val="28"/>
          <w:lang w:val="uk-UA" w:eastAsia="uk-UA"/>
        </w:rPr>
        <w:t>авідувач</w:t>
      </w:r>
      <w:r>
        <w:rPr>
          <w:sz w:val="28"/>
          <w:szCs w:val="28"/>
          <w:lang w:val="uk-UA" w:eastAsia="uk-UA"/>
        </w:rPr>
        <w:t xml:space="preserve"> лабораторії</w:t>
      </w:r>
    </w:p>
    <w:p w:rsidR="007C7BBA" w:rsidRPr="007C7BBA" w:rsidRDefault="007C7BBA" w:rsidP="007C7BBA">
      <w:pPr>
        <w:tabs>
          <w:tab w:val="left" w:pos="567"/>
        </w:tabs>
        <w:ind w:firstLine="567"/>
        <w:jc w:val="both"/>
        <w:rPr>
          <w:sz w:val="28"/>
          <w:szCs w:val="28"/>
          <w:lang w:val="uk-UA"/>
        </w:rPr>
      </w:pPr>
    </w:p>
    <w:p w:rsidR="007C7BBA" w:rsidRPr="00617439" w:rsidRDefault="007C7BBA" w:rsidP="007C7BBA">
      <w:pPr>
        <w:tabs>
          <w:tab w:val="left" w:pos="567"/>
        </w:tabs>
        <w:jc w:val="both"/>
        <w:rPr>
          <w:sz w:val="28"/>
          <w:szCs w:val="28"/>
          <w:lang w:val="uk-UA"/>
        </w:rPr>
      </w:pPr>
      <w:r w:rsidRPr="00B107B4">
        <w:rPr>
          <w:sz w:val="28"/>
          <w:szCs w:val="28"/>
          <w:lang w:val="uk-UA"/>
        </w:rPr>
        <w:t xml:space="preserve">кандидат медичних наук, </w:t>
      </w:r>
      <w:r w:rsidRPr="00E855EF">
        <w:rPr>
          <w:b/>
          <w:sz w:val="28"/>
          <w:szCs w:val="28"/>
          <w:lang w:val="uk-UA"/>
        </w:rPr>
        <w:t>Трихліб Володимир Іванович</w:t>
      </w:r>
      <w:r w:rsidRPr="00B107B4">
        <w:rPr>
          <w:sz w:val="28"/>
          <w:szCs w:val="28"/>
          <w:lang w:val="uk-UA"/>
        </w:rPr>
        <w:t>, начальник</w:t>
      </w:r>
      <w:r>
        <w:rPr>
          <w:sz w:val="28"/>
          <w:szCs w:val="28"/>
          <w:lang w:val="uk-UA"/>
        </w:rPr>
        <w:t xml:space="preserve"> клініки</w:t>
      </w:r>
      <w:r w:rsidRPr="00B107B4">
        <w:rPr>
          <w:sz w:val="28"/>
          <w:szCs w:val="28"/>
          <w:lang w:val="uk-UA"/>
        </w:rPr>
        <w:t xml:space="preserve"> інфекційних хвороб</w:t>
      </w:r>
      <w:r>
        <w:rPr>
          <w:sz w:val="28"/>
          <w:szCs w:val="28"/>
          <w:lang w:val="uk-UA"/>
        </w:rPr>
        <w:t xml:space="preserve"> Головного військово-медичного клінічного центру, </w:t>
      </w:r>
      <w:r w:rsidRPr="00B107B4">
        <w:rPr>
          <w:sz w:val="28"/>
          <w:szCs w:val="28"/>
          <w:lang w:val="uk-UA"/>
        </w:rPr>
        <w:t>головний інфекціоніст міністерства оборони України.</w:t>
      </w:r>
    </w:p>
    <w:p w:rsidR="007C7BBA" w:rsidRPr="00D577C3" w:rsidRDefault="007C7BBA" w:rsidP="007C7BBA">
      <w:pPr>
        <w:tabs>
          <w:tab w:val="left" w:pos="567"/>
        </w:tabs>
        <w:ind w:firstLine="567"/>
        <w:jc w:val="both"/>
        <w:rPr>
          <w:sz w:val="28"/>
          <w:szCs w:val="28"/>
          <w:lang w:val="uk-UA"/>
        </w:rPr>
      </w:pPr>
    </w:p>
    <w:p w:rsidR="007C7BBA" w:rsidRPr="00D577C3" w:rsidRDefault="007C7BBA" w:rsidP="007C7BBA">
      <w:pPr>
        <w:tabs>
          <w:tab w:val="left" w:pos="567"/>
        </w:tabs>
        <w:ind w:firstLine="567"/>
        <w:jc w:val="both"/>
        <w:rPr>
          <w:sz w:val="28"/>
          <w:szCs w:val="28"/>
          <w:lang w:val="uk-UA"/>
        </w:rPr>
      </w:pPr>
    </w:p>
    <w:p w:rsidR="007C7BBA" w:rsidRPr="00D577C3" w:rsidRDefault="007C7BBA" w:rsidP="007C7BBA">
      <w:pPr>
        <w:tabs>
          <w:tab w:val="left" w:pos="567"/>
        </w:tabs>
        <w:ind w:firstLine="567"/>
        <w:jc w:val="both"/>
        <w:rPr>
          <w:sz w:val="28"/>
          <w:szCs w:val="28"/>
          <w:lang w:val="uk-UA"/>
        </w:rPr>
      </w:pPr>
    </w:p>
    <w:p w:rsidR="007C7BBA" w:rsidRPr="00AD70FC" w:rsidRDefault="007C7BBA" w:rsidP="007C7BBA">
      <w:pPr>
        <w:tabs>
          <w:tab w:val="left" w:pos="567"/>
        </w:tabs>
        <w:ind w:firstLine="567"/>
        <w:jc w:val="both"/>
        <w:rPr>
          <w:sz w:val="28"/>
          <w:szCs w:val="28"/>
          <w:lang w:val="uk-UA"/>
        </w:rPr>
      </w:pPr>
      <w:r w:rsidRPr="00AD70FC">
        <w:rPr>
          <w:sz w:val="28"/>
          <w:szCs w:val="28"/>
          <w:lang w:val="uk-UA"/>
        </w:rPr>
        <w:lastRenderedPageBreak/>
        <w:t xml:space="preserve">Захист відбудеться </w:t>
      </w:r>
      <w:r w:rsidRPr="000F35DF">
        <w:rPr>
          <w:sz w:val="28"/>
          <w:szCs w:val="28"/>
          <w:lang w:val="uk-UA"/>
        </w:rPr>
        <w:t>16</w:t>
      </w:r>
      <w:r w:rsidRPr="00D577C3">
        <w:rPr>
          <w:sz w:val="28"/>
          <w:szCs w:val="28"/>
          <w:lang w:val="uk-UA"/>
        </w:rPr>
        <w:t xml:space="preserve"> квітня 2009 року</w:t>
      </w:r>
      <w:r w:rsidRPr="00AD70FC">
        <w:rPr>
          <w:sz w:val="28"/>
          <w:szCs w:val="28"/>
          <w:lang w:val="uk-UA"/>
        </w:rPr>
        <w:t xml:space="preserve"> об 11:00 годині на засіданні спеціалізованої вченої ради Д 26.614.01 при ДУ „Інститут епідеміології та інфекційних хвороб ім. Л.В. Громашевського АМН України” за адресою: </w:t>
      </w:r>
      <w:smartTag w:uri="urn:schemas-microsoft-com:office:smarttags" w:element="metricconverter">
        <w:smartTagPr>
          <w:attr w:name="ProductID" w:val="01015, м"/>
        </w:smartTagPr>
        <w:r w:rsidRPr="00AD70FC">
          <w:rPr>
            <w:sz w:val="28"/>
            <w:szCs w:val="28"/>
            <w:lang w:val="uk-UA"/>
          </w:rPr>
          <w:t>01015, м</w:t>
        </w:r>
      </w:smartTag>
      <w:r w:rsidRPr="00AD70FC">
        <w:rPr>
          <w:sz w:val="28"/>
          <w:szCs w:val="28"/>
          <w:lang w:val="uk-UA"/>
        </w:rPr>
        <w:t>. Київ, вул. Мазепи, 23.</w:t>
      </w:r>
    </w:p>
    <w:p w:rsidR="007C7BBA" w:rsidRPr="00AD70FC" w:rsidRDefault="007C7BBA" w:rsidP="007C7BBA">
      <w:pPr>
        <w:tabs>
          <w:tab w:val="left" w:pos="567"/>
        </w:tabs>
        <w:ind w:firstLine="567"/>
        <w:rPr>
          <w:b/>
          <w:sz w:val="32"/>
          <w:szCs w:val="32"/>
          <w:lang w:val="uk-UA"/>
        </w:rPr>
      </w:pPr>
    </w:p>
    <w:p w:rsidR="007C7BBA" w:rsidRPr="00AD70FC" w:rsidRDefault="007C7BBA" w:rsidP="007C7BBA">
      <w:pPr>
        <w:tabs>
          <w:tab w:val="left" w:pos="567"/>
        </w:tabs>
        <w:ind w:firstLine="567"/>
        <w:rPr>
          <w:b/>
          <w:sz w:val="32"/>
          <w:szCs w:val="32"/>
          <w:lang w:val="uk-UA"/>
        </w:rPr>
      </w:pPr>
    </w:p>
    <w:p w:rsidR="007C7BBA" w:rsidRPr="00AD70FC" w:rsidRDefault="007C7BBA" w:rsidP="007C7BBA">
      <w:pPr>
        <w:tabs>
          <w:tab w:val="left" w:pos="567"/>
        </w:tabs>
        <w:ind w:firstLine="567"/>
        <w:rPr>
          <w:b/>
          <w:sz w:val="32"/>
          <w:szCs w:val="32"/>
          <w:lang w:val="uk-UA"/>
        </w:rPr>
      </w:pPr>
    </w:p>
    <w:p w:rsidR="007C7BBA" w:rsidRPr="00AD70FC" w:rsidRDefault="007C7BBA" w:rsidP="007C7BBA">
      <w:pPr>
        <w:tabs>
          <w:tab w:val="left" w:pos="567"/>
        </w:tabs>
        <w:ind w:firstLine="567"/>
        <w:rPr>
          <w:b/>
          <w:sz w:val="32"/>
          <w:szCs w:val="32"/>
          <w:lang w:val="uk-UA"/>
        </w:rPr>
      </w:pPr>
    </w:p>
    <w:p w:rsidR="007C7BBA" w:rsidRPr="00AD70FC" w:rsidRDefault="007C7BBA" w:rsidP="007C7BBA">
      <w:pPr>
        <w:tabs>
          <w:tab w:val="left" w:pos="567"/>
        </w:tabs>
        <w:ind w:firstLine="567"/>
        <w:jc w:val="both"/>
        <w:rPr>
          <w:sz w:val="28"/>
          <w:szCs w:val="28"/>
          <w:lang w:val="uk-UA"/>
        </w:rPr>
      </w:pPr>
      <w:r w:rsidRPr="00AD70FC">
        <w:rPr>
          <w:sz w:val="28"/>
          <w:szCs w:val="28"/>
          <w:lang w:val="uk-UA"/>
        </w:rPr>
        <w:t>З дисертацією можна ознайомитись у бібліотеці ДУ „Інститут епідеміології та інфекційних хвороб ім. Л.В. Громашевського АМН України” за адресою:</w:t>
      </w:r>
      <w:r>
        <w:rPr>
          <w:sz w:val="28"/>
          <w:szCs w:val="28"/>
          <w:lang w:val="uk-UA"/>
        </w:rPr>
        <w:t xml:space="preserve"> </w:t>
      </w:r>
      <w:smartTag w:uri="urn:schemas-microsoft-com:office:smarttags" w:element="metricconverter">
        <w:smartTagPr>
          <w:attr w:name="ProductID" w:val="03038, м"/>
        </w:smartTagPr>
        <w:r w:rsidRPr="00AD70FC">
          <w:rPr>
            <w:sz w:val="28"/>
            <w:szCs w:val="28"/>
            <w:lang w:val="uk-UA"/>
          </w:rPr>
          <w:t>03038, м</w:t>
        </w:r>
      </w:smartTag>
      <w:r w:rsidRPr="00AD70FC">
        <w:rPr>
          <w:sz w:val="28"/>
          <w:szCs w:val="28"/>
          <w:lang w:val="uk-UA"/>
        </w:rPr>
        <w:t>. Київ, вул. Миколи Амосова, 5.</w:t>
      </w:r>
    </w:p>
    <w:p w:rsidR="007C7BBA" w:rsidRDefault="007C7BBA" w:rsidP="007C7BBA">
      <w:pPr>
        <w:tabs>
          <w:tab w:val="left" w:pos="567"/>
        </w:tabs>
        <w:ind w:firstLine="567"/>
        <w:rPr>
          <w:sz w:val="28"/>
          <w:szCs w:val="28"/>
          <w:lang w:val="uk-UA"/>
        </w:rPr>
      </w:pPr>
    </w:p>
    <w:p w:rsidR="007C7BBA" w:rsidRDefault="007C7BBA" w:rsidP="007C7BBA">
      <w:pPr>
        <w:tabs>
          <w:tab w:val="left" w:pos="567"/>
        </w:tabs>
        <w:ind w:firstLine="567"/>
        <w:rPr>
          <w:sz w:val="28"/>
          <w:szCs w:val="28"/>
          <w:lang w:val="uk-UA"/>
        </w:rPr>
      </w:pPr>
    </w:p>
    <w:p w:rsidR="007C7BBA" w:rsidRPr="00AD70FC" w:rsidRDefault="007C7BBA" w:rsidP="007C7BBA">
      <w:pPr>
        <w:tabs>
          <w:tab w:val="left" w:pos="567"/>
        </w:tabs>
        <w:ind w:firstLine="567"/>
        <w:rPr>
          <w:sz w:val="28"/>
          <w:szCs w:val="28"/>
          <w:lang w:val="uk-UA"/>
        </w:rPr>
      </w:pPr>
      <w:r w:rsidRPr="00AD70FC">
        <w:rPr>
          <w:sz w:val="28"/>
          <w:szCs w:val="28"/>
          <w:lang w:val="uk-UA"/>
        </w:rPr>
        <w:t xml:space="preserve">Автореферат розісланий </w:t>
      </w:r>
      <w:r>
        <w:rPr>
          <w:sz w:val="28"/>
          <w:szCs w:val="28"/>
          <w:lang w:val="uk-UA"/>
        </w:rPr>
        <w:t>„______”___________________2009</w:t>
      </w:r>
      <w:r w:rsidRPr="00AD70FC">
        <w:rPr>
          <w:sz w:val="28"/>
          <w:szCs w:val="28"/>
          <w:lang w:val="uk-UA"/>
        </w:rPr>
        <w:t xml:space="preserve"> р.</w:t>
      </w:r>
    </w:p>
    <w:p w:rsidR="007C7BBA" w:rsidRPr="00AD70FC" w:rsidRDefault="007C7BBA" w:rsidP="007C7BBA">
      <w:pPr>
        <w:tabs>
          <w:tab w:val="left" w:pos="567"/>
        </w:tabs>
        <w:ind w:firstLine="567"/>
        <w:rPr>
          <w:sz w:val="28"/>
          <w:szCs w:val="28"/>
          <w:lang w:val="uk-UA"/>
        </w:rPr>
      </w:pPr>
    </w:p>
    <w:p w:rsidR="007C7BBA" w:rsidRPr="00AD70FC" w:rsidRDefault="007C7BBA" w:rsidP="007C7BBA">
      <w:pPr>
        <w:tabs>
          <w:tab w:val="left" w:pos="567"/>
        </w:tabs>
        <w:ind w:firstLine="567"/>
        <w:rPr>
          <w:sz w:val="28"/>
          <w:szCs w:val="28"/>
          <w:lang w:val="uk-UA"/>
        </w:rPr>
      </w:pPr>
    </w:p>
    <w:p w:rsidR="007C7BBA" w:rsidRPr="00AD70FC" w:rsidRDefault="007C7BBA" w:rsidP="007C7BBA">
      <w:pPr>
        <w:ind w:firstLine="567"/>
        <w:rPr>
          <w:sz w:val="28"/>
          <w:szCs w:val="28"/>
          <w:lang w:val="uk-UA"/>
        </w:rPr>
      </w:pPr>
    </w:p>
    <w:p w:rsidR="007C7BBA" w:rsidRPr="00AD70FC" w:rsidRDefault="007C7BBA" w:rsidP="007C7BBA">
      <w:pPr>
        <w:ind w:firstLine="567"/>
        <w:rPr>
          <w:sz w:val="28"/>
          <w:szCs w:val="28"/>
          <w:lang w:val="uk-UA"/>
        </w:rPr>
      </w:pPr>
      <w:r w:rsidRPr="00AD70FC">
        <w:rPr>
          <w:sz w:val="28"/>
          <w:szCs w:val="28"/>
          <w:lang w:val="uk-UA"/>
        </w:rPr>
        <w:t>Вчений секретар</w:t>
      </w:r>
    </w:p>
    <w:p w:rsidR="007C7BBA" w:rsidRPr="00AD70FC" w:rsidRDefault="007C7BBA" w:rsidP="007C7BBA">
      <w:pPr>
        <w:ind w:firstLine="567"/>
        <w:rPr>
          <w:sz w:val="28"/>
          <w:szCs w:val="28"/>
          <w:lang w:val="uk-UA"/>
        </w:rPr>
      </w:pPr>
      <w:r>
        <w:rPr>
          <w:sz w:val="28"/>
          <w:szCs w:val="28"/>
          <w:lang w:val="uk-UA"/>
        </w:rPr>
        <w:t>с</w:t>
      </w:r>
      <w:r w:rsidRPr="00AD70FC">
        <w:rPr>
          <w:sz w:val="28"/>
          <w:szCs w:val="28"/>
          <w:lang w:val="uk-UA"/>
        </w:rPr>
        <w:t>пеціалізованої вченої ради</w:t>
      </w:r>
      <w:r>
        <w:rPr>
          <w:sz w:val="28"/>
          <w:szCs w:val="28"/>
          <w:lang w:val="uk-UA"/>
        </w:rPr>
        <w:t>,</w:t>
      </w:r>
      <w:r w:rsidRPr="00AD70FC">
        <w:rPr>
          <w:sz w:val="28"/>
          <w:szCs w:val="28"/>
          <w:lang w:val="uk-UA"/>
        </w:rPr>
        <w:t xml:space="preserve"> </w:t>
      </w:r>
    </w:p>
    <w:p w:rsidR="007C7BBA" w:rsidRPr="00AD70FC" w:rsidRDefault="007C7BBA" w:rsidP="007C7BBA">
      <w:pPr>
        <w:ind w:firstLine="567"/>
        <w:rPr>
          <w:sz w:val="28"/>
          <w:szCs w:val="28"/>
          <w:lang w:val="uk-UA"/>
        </w:rPr>
      </w:pPr>
      <w:r>
        <w:rPr>
          <w:sz w:val="28"/>
          <w:szCs w:val="28"/>
          <w:lang w:val="uk-UA"/>
        </w:rPr>
        <w:t xml:space="preserve">кандидат медичних наук </w:t>
      </w:r>
      <w:r w:rsidRPr="00AD70FC">
        <w:rPr>
          <w:sz w:val="28"/>
          <w:szCs w:val="28"/>
          <w:lang w:val="uk-UA"/>
        </w:rPr>
        <w:tab/>
      </w:r>
      <w:r w:rsidRPr="00AD70FC">
        <w:rPr>
          <w:sz w:val="28"/>
          <w:szCs w:val="28"/>
          <w:lang w:val="uk-UA"/>
        </w:rPr>
        <w:tab/>
      </w:r>
      <w:r w:rsidRPr="00AD70FC">
        <w:rPr>
          <w:sz w:val="28"/>
          <w:szCs w:val="28"/>
          <w:lang w:val="uk-UA"/>
        </w:rPr>
        <w:tab/>
      </w:r>
      <w:r w:rsidRPr="00AD70FC">
        <w:rPr>
          <w:sz w:val="28"/>
          <w:szCs w:val="28"/>
          <w:lang w:val="uk-UA"/>
        </w:rPr>
        <w:tab/>
      </w:r>
      <w:r w:rsidRPr="00AD70FC">
        <w:rPr>
          <w:sz w:val="28"/>
          <w:szCs w:val="28"/>
          <w:lang w:val="uk-UA"/>
        </w:rPr>
        <w:tab/>
      </w:r>
      <w:r w:rsidRPr="00AD70FC">
        <w:rPr>
          <w:sz w:val="28"/>
          <w:szCs w:val="28"/>
          <w:lang w:val="uk-UA"/>
        </w:rPr>
        <w:tab/>
        <w:t xml:space="preserve"> О.Л. Панасюк</w:t>
      </w:r>
    </w:p>
    <w:p w:rsidR="007C7BBA" w:rsidRPr="008E4908" w:rsidRDefault="007C7BBA" w:rsidP="007C7BBA">
      <w:pPr>
        <w:pStyle w:val="31"/>
        <w:ind w:left="0" w:firstLine="567"/>
        <w:jc w:val="center"/>
        <w:rPr>
          <w:b/>
          <w:sz w:val="28"/>
          <w:szCs w:val="28"/>
          <w:lang w:val="uk-UA"/>
        </w:rPr>
      </w:pPr>
      <w:r w:rsidRPr="00AD70FC">
        <w:rPr>
          <w:b/>
          <w:sz w:val="32"/>
          <w:szCs w:val="32"/>
          <w:lang w:val="uk-UA"/>
        </w:rPr>
        <w:br w:type="page"/>
      </w:r>
      <w:r w:rsidRPr="008E4908">
        <w:rPr>
          <w:b/>
          <w:sz w:val="28"/>
          <w:szCs w:val="28"/>
          <w:lang w:val="uk-UA"/>
        </w:rPr>
        <w:lastRenderedPageBreak/>
        <w:t>ЗАГАЛЬНА ХАРАКТЕРИСТИКА РОБОТИ</w:t>
      </w:r>
    </w:p>
    <w:p w:rsidR="007C7BBA" w:rsidRPr="00AD70FC" w:rsidRDefault="007C7BBA" w:rsidP="007C7BBA">
      <w:pPr>
        <w:pStyle w:val="a7"/>
        <w:tabs>
          <w:tab w:val="left" w:pos="567"/>
        </w:tabs>
        <w:spacing w:after="0"/>
        <w:ind w:left="0" w:firstLine="567"/>
        <w:jc w:val="both"/>
        <w:rPr>
          <w:sz w:val="28"/>
          <w:szCs w:val="28"/>
          <w:lang w:val="uk-UA"/>
        </w:rPr>
      </w:pPr>
      <w:r w:rsidRPr="00AD70FC">
        <w:rPr>
          <w:b/>
          <w:sz w:val="28"/>
          <w:szCs w:val="28"/>
          <w:lang w:val="uk-UA"/>
        </w:rPr>
        <w:t xml:space="preserve">Актуальність теми. </w:t>
      </w:r>
      <w:r w:rsidRPr="00AD70FC">
        <w:rPr>
          <w:sz w:val="28"/>
          <w:szCs w:val="28"/>
          <w:lang w:val="uk-UA"/>
        </w:rPr>
        <w:t>ГА до цього часу залишається однією з актуальних проблем медичної науки та о</w:t>
      </w:r>
      <w:r>
        <w:rPr>
          <w:sz w:val="28"/>
          <w:szCs w:val="28"/>
          <w:lang w:val="uk-UA"/>
        </w:rPr>
        <w:t>хорони здоров’я України. Це пов’язано</w:t>
      </w:r>
      <w:r w:rsidRPr="00AD70FC">
        <w:rPr>
          <w:sz w:val="28"/>
          <w:szCs w:val="28"/>
          <w:lang w:val="uk-UA"/>
        </w:rPr>
        <w:t xml:space="preserve"> з широким розповсюдженням хвороби, ураженням різних груп населення, достатньо високим рівнем захворюваності (</w:t>
      </w:r>
      <w:r>
        <w:rPr>
          <w:sz w:val="28"/>
          <w:szCs w:val="28"/>
          <w:lang w:val="uk-UA"/>
        </w:rPr>
        <w:t xml:space="preserve">Возіанова Ж.І., 2001; </w:t>
      </w:r>
      <w:r w:rsidRPr="00AD70FC">
        <w:rPr>
          <w:sz w:val="28"/>
          <w:szCs w:val="28"/>
          <w:lang w:val="uk-UA"/>
        </w:rPr>
        <w:t>Солоніна О.М., 2001;</w:t>
      </w:r>
      <w:r>
        <w:rPr>
          <w:sz w:val="28"/>
          <w:szCs w:val="28"/>
          <w:lang w:val="uk-UA"/>
        </w:rPr>
        <w:t xml:space="preserve"> </w:t>
      </w:r>
      <w:r w:rsidRPr="00AD70FC">
        <w:rPr>
          <w:sz w:val="28"/>
          <w:szCs w:val="28"/>
          <w:lang w:val="uk-UA"/>
        </w:rPr>
        <w:t>Андрейчин М.А. та ін., 2004).</w:t>
      </w:r>
      <w:r>
        <w:rPr>
          <w:sz w:val="28"/>
          <w:szCs w:val="28"/>
          <w:lang w:val="uk-UA"/>
        </w:rPr>
        <w:t xml:space="preserve"> </w:t>
      </w:r>
    </w:p>
    <w:p w:rsidR="007C7BBA" w:rsidRPr="00C156B4" w:rsidRDefault="007C7BBA" w:rsidP="007C7BBA">
      <w:pPr>
        <w:pStyle w:val="31"/>
        <w:tabs>
          <w:tab w:val="left" w:pos="567"/>
        </w:tabs>
        <w:spacing w:after="0"/>
        <w:ind w:left="0" w:firstLine="567"/>
        <w:jc w:val="both"/>
        <w:rPr>
          <w:sz w:val="28"/>
          <w:szCs w:val="28"/>
          <w:lang w:val="uk-UA"/>
        </w:rPr>
      </w:pPr>
      <w:r w:rsidRPr="00AD70FC">
        <w:rPr>
          <w:sz w:val="28"/>
          <w:szCs w:val="28"/>
          <w:lang w:val="uk-UA"/>
        </w:rPr>
        <w:t xml:space="preserve">Не </w:t>
      </w:r>
      <w:r>
        <w:rPr>
          <w:sz w:val="28"/>
          <w:szCs w:val="28"/>
          <w:lang w:val="uk-UA"/>
        </w:rPr>
        <w:t xml:space="preserve">зважаючи </w:t>
      </w:r>
      <w:r w:rsidRPr="00AD70FC">
        <w:rPr>
          <w:sz w:val="28"/>
          <w:szCs w:val="28"/>
          <w:lang w:val="uk-UA"/>
        </w:rPr>
        <w:t>на тенденцію, що намітилась в останні роки, до зниження захворюваності</w:t>
      </w:r>
      <w:r>
        <w:rPr>
          <w:sz w:val="28"/>
          <w:szCs w:val="28"/>
          <w:lang w:val="uk-UA"/>
        </w:rPr>
        <w:t xml:space="preserve"> на</w:t>
      </w:r>
      <w:r w:rsidRPr="00AD70FC">
        <w:rPr>
          <w:sz w:val="28"/>
          <w:szCs w:val="28"/>
          <w:lang w:val="uk-UA"/>
        </w:rPr>
        <w:t xml:space="preserve"> ГА, ця інфекція продовжує </w:t>
      </w:r>
      <w:r>
        <w:rPr>
          <w:sz w:val="28"/>
          <w:szCs w:val="28"/>
          <w:lang w:val="uk-UA"/>
        </w:rPr>
        <w:t xml:space="preserve">займати одне з </w:t>
      </w:r>
      <w:r w:rsidRPr="00560508">
        <w:rPr>
          <w:sz w:val="28"/>
          <w:szCs w:val="28"/>
          <w:lang w:val="uk-UA"/>
        </w:rPr>
        <w:t xml:space="preserve">провідних </w:t>
      </w:r>
      <w:r>
        <w:rPr>
          <w:sz w:val="28"/>
          <w:szCs w:val="28"/>
          <w:lang w:val="uk-UA"/>
        </w:rPr>
        <w:t>місць у</w:t>
      </w:r>
      <w:r w:rsidRPr="00AD70FC">
        <w:rPr>
          <w:sz w:val="28"/>
          <w:szCs w:val="28"/>
          <w:lang w:val="uk-UA"/>
        </w:rPr>
        <w:t xml:space="preserve"> загальній структурі інфекційних хвороб. Так, у 2005 році показник захворюваності ГА в Україні с</w:t>
      </w:r>
      <w:r>
        <w:rPr>
          <w:sz w:val="28"/>
          <w:szCs w:val="28"/>
          <w:lang w:val="uk-UA"/>
        </w:rPr>
        <w:t>танови</w:t>
      </w:r>
      <w:r w:rsidRPr="00AD70FC">
        <w:rPr>
          <w:sz w:val="28"/>
          <w:szCs w:val="28"/>
          <w:lang w:val="uk-UA"/>
        </w:rPr>
        <w:t>в 43,29</w:t>
      </w:r>
      <w:r>
        <w:rPr>
          <w:sz w:val="28"/>
          <w:szCs w:val="28"/>
          <w:lang w:val="uk-UA"/>
        </w:rPr>
        <w:t xml:space="preserve"> </w:t>
      </w:r>
      <w:r w:rsidRPr="00AD70FC">
        <w:rPr>
          <w:sz w:val="32"/>
          <w:szCs w:val="32"/>
          <w:vertAlign w:val="superscript"/>
          <w:lang w:val="uk-UA"/>
        </w:rPr>
        <w:t>о</w:t>
      </w:r>
      <w:r w:rsidRPr="00AD70FC">
        <w:rPr>
          <w:sz w:val="28"/>
          <w:szCs w:val="28"/>
          <w:lang w:val="uk-UA"/>
        </w:rPr>
        <w:t>/</w:t>
      </w:r>
      <w:r w:rsidRPr="00AD70FC">
        <w:rPr>
          <w:sz w:val="28"/>
          <w:szCs w:val="28"/>
          <w:vertAlign w:val="subscript"/>
          <w:lang w:val="uk-UA"/>
        </w:rPr>
        <w:t>оооо</w:t>
      </w:r>
      <w:r w:rsidRPr="00AD70FC">
        <w:rPr>
          <w:sz w:val="28"/>
          <w:szCs w:val="28"/>
          <w:lang w:val="uk-UA"/>
        </w:rPr>
        <w:t>,</w:t>
      </w:r>
      <w:r w:rsidRPr="00AD70FC">
        <w:rPr>
          <w:sz w:val="28"/>
          <w:szCs w:val="28"/>
          <w:vertAlign w:val="subscript"/>
          <w:lang w:val="uk-UA"/>
        </w:rPr>
        <w:t xml:space="preserve"> </w:t>
      </w:r>
      <w:r w:rsidRPr="00AD70FC">
        <w:rPr>
          <w:sz w:val="28"/>
          <w:szCs w:val="28"/>
          <w:lang w:val="uk-UA"/>
        </w:rPr>
        <w:t>у 2006 році – 24,37</w:t>
      </w:r>
      <w:r>
        <w:rPr>
          <w:sz w:val="28"/>
          <w:szCs w:val="28"/>
          <w:lang w:val="uk-UA"/>
        </w:rPr>
        <w:t xml:space="preserve"> </w:t>
      </w:r>
      <w:r w:rsidRPr="00AD70FC">
        <w:rPr>
          <w:sz w:val="32"/>
          <w:szCs w:val="32"/>
          <w:vertAlign w:val="superscript"/>
          <w:lang w:val="uk-UA"/>
        </w:rPr>
        <w:t>о</w:t>
      </w:r>
      <w:r w:rsidRPr="00AD70FC">
        <w:rPr>
          <w:sz w:val="28"/>
          <w:szCs w:val="28"/>
          <w:lang w:val="uk-UA"/>
        </w:rPr>
        <w:t>/</w:t>
      </w:r>
      <w:r w:rsidRPr="00AD70FC">
        <w:rPr>
          <w:sz w:val="28"/>
          <w:szCs w:val="28"/>
          <w:vertAlign w:val="subscript"/>
          <w:lang w:val="uk-UA"/>
        </w:rPr>
        <w:t>оооо</w:t>
      </w:r>
      <w:r w:rsidRPr="00AD70FC">
        <w:rPr>
          <w:sz w:val="28"/>
          <w:szCs w:val="28"/>
          <w:lang w:val="uk-UA"/>
        </w:rPr>
        <w:t>, у 2007 році – 16,86</w:t>
      </w:r>
      <w:r>
        <w:rPr>
          <w:sz w:val="28"/>
          <w:szCs w:val="28"/>
          <w:lang w:val="uk-UA"/>
        </w:rPr>
        <w:t xml:space="preserve"> </w:t>
      </w:r>
      <w:r w:rsidRPr="00AD70FC">
        <w:rPr>
          <w:sz w:val="32"/>
          <w:szCs w:val="32"/>
          <w:vertAlign w:val="superscript"/>
          <w:lang w:val="uk-UA"/>
        </w:rPr>
        <w:t>о</w:t>
      </w:r>
      <w:r w:rsidRPr="00AD70FC">
        <w:rPr>
          <w:sz w:val="28"/>
          <w:szCs w:val="28"/>
          <w:lang w:val="uk-UA"/>
        </w:rPr>
        <w:t>/</w:t>
      </w:r>
      <w:r w:rsidRPr="00AD70FC">
        <w:rPr>
          <w:sz w:val="28"/>
          <w:szCs w:val="28"/>
          <w:vertAlign w:val="subscript"/>
          <w:lang w:val="uk-UA"/>
        </w:rPr>
        <w:t>оооо</w:t>
      </w:r>
      <w:r w:rsidRPr="00AD70FC">
        <w:rPr>
          <w:sz w:val="28"/>
          <w:szCs w:val="28"/>
          <w:lang w:val="uk-UA"/>
        </w:rPr>
        <w:t>.</w:t>
      </w:r>
    </w:p>
    <w:p w:rsidR="007C7BBA" w:rsidRPr="00AD70FC" w:rsidRDefault="007C7BBA" w:rsidP="007C7BBA">
      <w:pPr>
        <w:pStyle w:val="31"/>
        <w:tabs>
          <w:tab w:val="left" w:pos="567"/>
        </w:tabs>
        <w:spacing w:after="0"/>
        <w:ind w:left="0" w:firstLine="567"/>
        <w:jc w:val="both"/>
        <w:rPr>
          <w:sz w:val="28"/>
          <w:szCs w:val="28"/>
          <w:lang w:val="uk-UA"/>
        </w:rPr>
      </w:pPr>
      <w:r>
        <w:rPr>
          <w:sz w:val="28"/>
          <w:szCs w:val="28"/>
          <w:lang w:val="uk-UA"/>
        </w:rPr>
        <w:t>У</w:t>
      </w:r>
      <w:r w:rsidRPr="00AD70FC">
        <w:rPr>
          <w:sz w:val="28"/>
          <w:szCs w:val="28"/>
          <w:lang w:val="uk-UA"/>
        </w:rPr>
        <w:t xml:space="preserve"> літературі наведен</w:t>
      </w:r>
      <w:r>
        <w:rPr>
          <w:sz w:val="28"/>
          <w:szCs w:val="28"/>
          <w:lang w:val="uk-UA"/>
        </w:rPr>
        <w:t>о суперечливі дані що</w:t>
      </w:r>
      <w:r w:rsidRPr="00AD70FC">
        <w:rPr>
          <w:sz w:val="28"/>
          <w:szCs w:val="28"/>
          <w:lang w:val="uk-UA"/>
        </w:rPr>
        <w:t>до епідеміології, патогенезу, клініки та перебігу ГА. Одні дослідники вважають ГА доброякісною інфекцією, я</w:t>
      </w:r>
      <w:r>
        <w:rPr>
          <w:sz w:val="28"/>
          <w:szCs w:val="28"/>
          <w:lang w:val="uk-UA"/>
        </w:rPr>
        <w:t>ка не потребує лікування, інші в</w:t>
      </w:r>
      <w:r w:rsidRPr="00AD70FC">
        <w:rPr>
          <w:sz w:val="28"/>
          <w:szCs w:val="28"/>
          <w:lang w:val="uk-UA"/>
        </w:rPr>
        <w:t xml:space="preserve">казують на наявність тяжких, фульмінантних форм та розвиток ускладнень, насамперед у пацієнтів з фоновою патологією, особливо гепатитом </w:t>
      </w:r>
      <w:r>
        <w:rPr>
          <w:sz w:val="28"/>
          <w:szCs w:val="28"/>
          <w:lang w:val="uk-UA"/>
        </w:rPr>
        <w:t>В та гепатитом С. Все частіше з</w:t>
      </w:r>
      <w:r w:rsidRPr="00AD70FC">
        <w:rPr>
          <w:sz w:val="28"/>
          <w:szCs w:val="28"/>
          <w:lang w:val="uk-UA"/>
        </w:rPr>
        <w:t>’являється інформація про злоякісні форми (1,0</w:t>
      </w:r>
      <w:r>
        <w:rPr>
          <w:sz w:val="28"/>
          <w:szCs w:val="28"/>
          <w:lang w:val="uk-UA"/>
        </w:rPr>
        <w:t>–</w:t>
      </w:r>
      <w:r w:rsidRPr="00AD70FC">
        <w:rPr>
          <w:sz w:val="28"/>
          <w:szCs w:val="28"/>
          <w:lang w:val="uk-UA"/>
        </w:rPr>
        <w:t>1,5</w:t>
      </w:r>
      <w:r>
        <w:rPr>
          <w:sz w:val="28"/>
          <w:szCs w:val="28"/>
          <w:lang w:val="uk-UA"/>
        </w:rPr>
        <w:t xml:space="preserve"> </w:t>
      </w:r>
      <w:r w:rsidRPr="00AD70FC">
        <w:rPr>
          <w:sz w:val="28"/>
          <w:szCs w:val="28"/>
          <w:lang w:val="uk-UA"/>
        </w:rPr>
        <w:t>%)</w:t>
      </w:r>
      <w:r>
        <w:rPr>
          <w:sz w:val="28"/>
          <w:szCs w:val="28"/>
          <w:lang w:val="uk-UA"/>
        </w:rPr>
        <w:t xml:space="preserve">, перебіг </w:t>
      </w:r>
      <w:r w:rsidRPr="00AD70FC">
        <w:rPr>
          <w:sz w:val="28"/>
          <w:szCs w:val="28"/>
          <w:lang w:val="uk-UA"/>
        </w:rPr>
        <w:t>і</w:t>
      </w:r>
      <w:r>
        <w:rPr>
          <w:sz w:val="28"/>
          <w:szCs w:val="28"/>
          <w:lang w:val="uk-UA"/>
        </w:rPr>
        <w:t>з</w:t>
      </w:r>
      <w:r w:rsidRPr="00AD70FC">
        <w:rPr>
          <w:sz w:val="28"/>
          <w:szCs w:val="28"/>
          <w:lang w:val="uk-UA"/>
        </w:rPr>
        <w:t xml:space="preserve"> затяжною реконвалесценцією (8</w:t>
      </w:r>
      <w:r>
        <w:rPr>
          <w:sz w:val="28"/>
          <w:szCs w:val="28"/>
          <w:lang w:val="uk-UA"/>
        </w:rPr>
        <w:t>–</w:t>
      </w:r>
      <w:r w:rsidRPr="00AD70FC">
        <w:rPr>
          <w:sz w:val="28"/>
          <w:szCs w:val="28"/>
          <w:lang w:val="uk-UA"/>
        </w:rPr>
        <w:t>15</w:t>
      </w:r>
      <w:r>
        <w:rPr>
          <w:sz w:val="28"/>
          <w:szCs w:val="28"/>
          <w:lang w:val="uk-UA"/>
        </w:rPr>
        <w:t xml:space="preserve"> </w:t>
      </w:r>
      <w:r w:rsidRPr="00AD70FC">
        <w:rPr>
          <w:sz w:val="28"/>
          <w:szCs w:val="28"/>
          <w:lang w:val="uk-UA"/>
        </w:rPr>
        <w:t>%), збільшення кількості холестатичного варіант</w:t>
      </w:r>
      <w:r>
        <w:rPr>
          <w:sz w:val="28"/>
          <w:szCs w:val="28"/>
          <w:lang w:val="uk-UA"/>
        </w:rPr>
        <w:t>а</w:t>
      </w:r>
      <w:r w:rsidRPr="00AD70FC">
        <w:rPr>
          <w:sz w:val="28"/>
          <w:szCs w:val="28"/>
          <w:lang w:val="uk-UA"/>
        </w:rPr>
        <w:t xml:space="preserve"> (3,7</w:t>
      </w:r>
      <w:r>
        <w:rPr>
          <w:sz w:val="28"/>
          <w:szCs w:val="28"/>
          <w:lang w:val="uk-UA"/>
        </w:rPr>
        <w:t>–</w:t>
      </w:r>
      <w:r w:rsidRPr="00AD70FC">
        <w:rPr>
          <w:sz w:val="28"/>
          <w:szCs w:val="28"/>
          <w:lang w:val="uk-UA"/>
        </w:rPr>
        <w:t>5</w:t>
      </w:r>
      <w:r>
        <w:rPr>
          <w:sz w:val="28"/>
          <w:szCs w:val="28"/>
          <w:lang w:val="uk-UA"/>
        </w:rPr>
        <w:t xml:space="preserve"> </w:t>
      </w:r>
      <w:r w:rsidRPr="00AD70FC">
        <w:rPr>
          <w:sz w:val="28"/>
          <w:szCs w:val="28"/>
          <w:lang w:val="uk-UA"/>
        </w:rPr>
        <w:t>%) та рецидивів. ГА може стати тригером аутоімунних порушень, які на певному етапі набувають самостійного значення (</w:t>
      </w:r>
      <w:r w:rsidRPr="00AD70FC">
        <w:rPr>
          <w:sz w:val="28"/>
          <w:lang w:val="uk-UA"/>
        </w:rPr>
        <w:t>Kocak N., Saltik I.N., 2001)</w:t>
      </w:r>
      <w:r w:rsidRPr="00AD70FC">
        <w:rPr>
          <w:sz w:val="28"/>
          <w:szCs w:val="28"/>
          <w:lang w:val="uk-UA"/>
        </w:rPr>
        <w:t>.</w:t>
      </w:r>
    </w:p>
    <w:p w:rsidR="007C7BBA" w:rsidRPr="00AD70FC" w:rsidRDefault="007C7BBA" w:rsidP="007C7BBA">
      <w:pPr>
        <w:pStyle w:val="31"/>
        <w:tabs>
          <w:tab w:val="left" w:pos="567"/>
        </w:tabs>
        <w:spacing w:after="0"/>
        <w:ind w:left="0" w:firstLine="567"/>
        <w:jc w:val="both"/>
        <w:rPr>
          <w:sz w:val="28"/>
          <w:szCs w:val="28"/>
          <w:lang w:val="uk-UA"/>
        </w:rPr>
      </w:pPr>
      <w:r w:rsidRPr="00AD70FC">
        <w:rPr>
          <w:sz w:val="28"/>
          <w:szCs w:val="28"/>
          <w:lang w:val="uk-UA"/>
        </w:rPr>
        <w:t>В останні п’ять років зареєстровано переміщення максимальних показників захворюваності на старші вікові групи. Відомо, що з віком вірогідність розвитку тяжкого та затяжного перебігу ГА зростає. Все</w:t>
      </w:r>
      <w:r>
        <w:rPr>
          <w:sz w:val="28"/>
          <w:szCs w:val="28"/>
          <w:lang w:val="uk-UA"/>
        </w:rPr>
        <w:t xml:space="preserve"> ц</w:t>
      </w:r>
      <w:r w:rsidRPr="00AD70FC">
        <w:rPr>
          <w:sz w:val="28"/>
          <w:szCs w:val="28"/>
          <w:lang w:val="uk-UA"/>
        </w:rPr>
        <w:t>е частіше привертає увагу клініцистів до цього захворювання (Блохіна Н.П</w:t>
      </w:r>
      <w:r>
        <w:rPr>
          <w:sz w:val="28"/>
          <w:szCs w:val="28"/>
          <w:lang w:val="uk-UA"/>
        </w:rPr>
        <w:t>.</w:t>
      </w:r>
      <w:r w:rsidRPr="00AD70FC">
        <w:rPr>
          <w:sz w:val="28"/>
          <w:szCs w:val="28"/>
          <w:lang w:val="uk-UA"/>
        </w:rPr>
        <w:t xml:space="preserve"> та ін., 2007).</w:t>
      </w:r>
    </w:p>
    <w:p w:rsidR="007C7BBA" w:rsidRPr="00AD70FC" w:rsidRDefault="007C7BBA" w:rsidP="007C7BBA">
      <w:pPr>
        <w:pStyle w:val="31"/>
        <w:tabs>
          <w:tab w:val="left" w:pos="567"/>
        </w:tabs>
        <w:spacing w:after="0"/>
        <w:ind w:left="0" w:firstLine="567"/>
        <w:jc w:val="both"/>
        <w:rPr>
          <w:sz w:val="28"/>
          <w:szCs w:val="28"/>
          <w:lang w:val="uk-UA"/>
        </w:rPr>
      </w:pPr>
      <w:r>
        <w:rPr>
          <w:sz w:val="28"/>
          <w:szCs w:val="28"/>
          <w:lang w:val="uk-UA"/>
        </w:rPr>
        <w:t>У</w:t>
      </w:r>
      <w:r w:rsidRPr="00AD70FC">
        <w:rPr>
          <w:sz w:val="28"/>
          <w:szCs w:val="28"/>
          <w:lang w:val="uk-UA"/>
        </w:rPr>
        <w:t xml:space="preserve"> роботах А.Ф. Фролова (1995) показана можливість тривалої персистенції </w:t>
      </w:r>
      <w:r w:rsidRPr="00560508">
        <w:rPr>
          <w:sz w:val="28"/>
          <w:szCs w:val="28"/>
          <w:lang w:val="uk-UA"/>
        </w:rPr>
        <w:t>вірусу гепатиту А в</w:t>
      </w:r>
      <w:r w:rsidRPr="00AD70FC">
        <w:rPr>
          <w:sz w:val="28"/>
          <w:szCs w:val="28"/>
          <w:lang w:val="uk-UA"/>
        </w:rPr>
        <w:t xml:space="preserve"> організмі людини, що </w:t>
      </w:r>
      <w:r>
        <w:rPr>
          <w:sz w:val="28"/>
          <w:szCs w:val="28"/>
          <w:lang w:val="uk-UA"/>
        </w:rPr>
        <w:t xml:space="preserve">стало </w:t>
      </w:r>
      <w:r w:rsidRPr="00AD70FC">
        <w:rPr>
          <w:sz w:val="28"/>
          <w:szCs w:val="28"/>
          <w:lang w:val="uk-UA"/>
        </w:rPr>
        <w:t>приводом для обговорення можливості парентерального та трансплацентарно</w:t>
      </w:r>
      <w:r>
        <w:rPr>
          <w:sz w:val="28"/>
          <w:szCs w:val="28"/>
          <w:lang w:val="uk-UA"/>
        </w:rPr>
        <w:t>го шляхів передачі інфекції як у</w:t>
      </w:r>
      <w:r w:rsidRPr="00AD70FC">
        <w:rPr>
          <w:sz w:val="28"/>
          <w:szCs w:val="28"/>
          <w:lang w:val="uk-UA"/>
        </w:rPr>
        <w:t xml:space="preserve"> вітчизняній, так і за</w:t>
      </w:r>
      <w:r>
        <w:rPr>
          <w:sz w:val="28"/>
          <w:szCs w:val="28"/>
          <w:lang w:val="uk-UA"/>
        </w:rPr>
        <w:t>рубіж</w:t>
      </w:r>
      <w:r w:rsidRPr="00AD70FC">
        <w:rPr>
          <w:sz w:val="28"/>
          <w:szCs w:val="28"/>
          <w:lang w:val="uk-UA"/>
        </w:rPr>
        <w:t>ній літературі (Крамарєв С.О. та ін., 2006</w:t>
      </w:r>
      <w:r>
        <w:rPr>
          <w:sz w:val="28"/>
          <w:szCs w:val="28"/>
          <w:lang w:val="uk-UA"/>
        </w:rPr>
        <w:t>;</w:t>
      </w:r>
      <w:r w:rsidRPr="00AD70FC">
        <w:rPr>
          <w:sz w:val="28"/>
          <w:szCs w:val="28"/>
          <w:lang w:val="uk-UA"/>
        </w:rPr>
        <w:t xml:space="preserve"> Allard R. et el., 2001;</w:t>
      </w:r>
      <w:r w:rsidRPr="00AD70FC">
        <w:rPr>
          <w:sz w:val="28"/>
          <w:lang w:val="uk-UA"/>
        </w:rPr>
        <w:t xml:space="preserve"> </w:t>
      </w:r>
      <w:r w:rsidRPr="00AD70FC">
        <w:rPr>
          <w:sz w:val="28"/>
          <w:szCs w:val="28"/>
          <w:lang w:val="uk-UA"/>
        </w:rPr>
        <w:t xml:space="preserve">Leino T., 2002). </w:t>
      </w:r>
    </w:p>
    <w:p w:rsidR="007C7BBA" w:rsidRPr="00AD70FC" w:rsidRDefault="007C7BBA" w:rsidP="007C7BBA">
      <w:pPr>
        <w:pStyle w:val="31"/>
        <w:tabs>
          <w:tab w:val="left" w:pos="567"/>
        </w:tabs>
        <w:spacing w:after="0"/>
        <w:ind w:left="0" w:firstLine="567"/>
        <w:jc w:val="both"/>
        <w:rPr>
          <w:sz w:val="28"/>
          <w:szCs w:val="28"/>
          <w:lang w:val="uk-UA"/>
        </w:rPr>
      </w:pPr>
      <w:r>
        <w:rPr>
          <w:sz w:val="28"/>
          <w:szCs w:val="28"/>
          <w:lang w:val="uk-UA"/>
        </w:rPr>
        <w:t>Фундаментальні роботи щ</w:t>
      </w:r>
      <w:r w:rsidRPr="00AD70FC">
        <w:rPr>
          <w:sz w:val="28"/>
          <w:szCs w:val="28"/>
          <w:lang w:val="uk-UA"/>
        </w:rPr>
        <w:t>о</w:t>
      </w:r>
      <w:r>
        <w:rPr>
          <w:sz w:val="28"/>
          <w:szCs w:val="28"/>
          <w:lang w:val="uk-UA"/>
        </w:rPr>
        <w:t>до</w:t>
      </w:r>
      <w:r w:rsidRPr="00AD70FC">
        <w:rPr>
          <w:sz w:val="28"/>
          <w:szCs w:val="28"/>
          <w:lang w:val="uk-UA"/>
        </w:rPr>
        <w:t xml:space="preserve"> клінічни</w:t>
      </w:r>
      <w:r>
        <w:rPr>
          <w:sz w:val="28"/>
          <w:szCs w:val="28"/>
          <w:lang w:val="uk-UA"/>
        </w:rPr>
        <w:t>х</w:t>
      </w:r>
      <w:r w:rsidRPr="00AD70FC">
        <w:rPr>
          <w:sz w:val="28"/>
          <w:szCs w:val="28"/>
          <w:lang w:val="uk-UA"/>
        </w:rPr>
        <w:t xml:space="preserve"> аспект</w:t>
      </w:r>
      <w:r>
        <w:rPr>
          <w:sz w:val="28"/>
          <w:szCs w:val="28"/>
          <w:lang w:val="uk-UA"/>
        </w:rPr>
        <w:t>ів ГА датуються 70–</w:t>
      </w:r>
      <w:r w:rsidRPr="00AD70FC">
        <w:rPr>
          <w:sz w:val="28"/>
          <w:szCs w:val="28"/>
          <w:lang w:val="uk-UA"/>
        </w:rPr>
        <w:t xml:space="preserve">80 роками, останнім часом </w:t>
      </w:r>
      <w:r>
        <w:rPr>
          <w:sz w:val="28"/>
          <w:szCs w:val="28"/>
          <w:lang w:val="uk-UA"/>
        </w:rPr>
        <w:t>з’явля</w:t>
      </w:r>
      <w:r w:rsidRPr="00AD70FC">
        <w:rPr>
          <w:sz w:val="28"/>
          <w:szCs w:val="28"/>
          <w:lang w:val="uk-UA"/>
        </w:rPr>
        <w:t xml:space="preserve">ються лише фрагментарні свідчення стосовно його клініки та перебігу </w:t>
      </w:r>
      <w:r w:rsidRPr="00AD70FC">
        <w:rPr>
          <w:caps/>
          <w:sz w:val="28"/>
          <w:szCs w:val="28"/>
          <w:lang w:val="uk-UA"/>
        </w:rPr>
        <w:t>(</w:t>
      </w:r>
      <w:r w:rsidRPr="00AD70FC">
        <w:rPr>
          <w:sz w:val="28"/>
          <w:szCs w:val="28"/>
          <w:lang w:val="uk-UA"/>
        </w:rPr>
        <w:t>Саєнко Т.Є., 2004</w:t>
      </w:r>
      <w:r>
        <w:rPr>
          <w:sz w:val="28"/>
          <w:szCs w:val="28"/>
          <w:lang w:val="uk-UA"/>
        </w:rPr>
        <w:t>; Крамарєв С.О.та інш., 2006</w:t>
      </w:r>
      <w:r w:rsidRPr="00AD70FC">
        <w:rPr>
          <w:sz w:val="28"/>
          <w:szCs w:val="28"/>
          <w:lang w:val="uk-UA"/>
        </w:rPr>
        <w:t>).</w:t>
      </w:r>
    </w:p>
    <w:p w:rsidR="007C7BBA" w:rsidRPr="00AD70FC" w:rsidRDefault="007C7BBA" w:rsidP="007C7BBA">
      <w:pPr>
        <w:pStyle w:val="31"/>
        <w:tabs>
          <w:tab w:val="left" w:pos="567"/>
        </w:tabs>
        <w:spacing w:after="0"/>
        <w:ind w:left="0" w:firstLine="567"/>
        <w:jc w:val="both"/>
        <w:rPr>
          <w:sz w:val="28"/>
          <w:szCs w:val="28"/>
          <w:lang w:val="uk-UA"/>
        </w:rPr>
      </w:pPr>
      <w:r w:rsidRPr="00AD70FC">
        <w:rPr>
          <w:sz w:val="28"/>
          <w:szCs w:val="28"/>
          <w:lang w:val="uk-UA"/>
        </w:rPr>
        <w:t>Перебіг ГА в цілому залежить від стану гомеостазу організму хворих, динамічного функціонування і</w:t>
      </w:r>
      <w:r>
        <w:rPr>
          <w:sz w:val="28"/>
          <w:szCs w:val="28"/>
          <w:lang w:val="uk-UA"/>
        </w:rPr>
        <w:t>мунної, нейроендокринної систем</w:t>
      </w:r>
      <w:r w:rsidRPr="00AD70FC">
        <w:rPr>
          <w:sz w:val="28"/>
          <w:szCs w:val="28"/>
          <w:lang w:val="uk-UA"/>
        </w:rPr>
        <w:t xml:space="preserve"> та стану мікробіоценозу кишок. Вивченню стану біоценозу при ГА присвя</w:t>
      </w:r>
      <w:r>
        <w:rPr>
          <w:sz w:val="28"/>
          <w:szCs w:val="28"/>
          <w:lang w:val="uk-UA"/>
        </w:rPr>
        <w:t>чено незначну</w:t>
      </w:r>
      <w:r w:rsidRPr="00AD70FC">
        <w:rPr>
          <w:sz w:val="28"/>
          <w:szCs w:val="28"/>
          <w:lang w:val="uk-UA"/>
        </w:rPr>
        <w:t xml:space="preserve"> кількість робіт, дані їх дос</w:t>
      </w:r>
      <w:r>
        <w:rPr>
          <w:sz w:val="28"/>
          <w:szCs w:val="28"/>
          <w:lang w:val="uk-UA"/>
        </w:rPr>
        <w:t>ить</w:t>
      </w:r>
      <w:r w:rsidRPr="00AD70FC">
        <w:rPr>
          <w:sz w:val="28"/>
          <w:szCs w:val="28"/>
          <w:lang w:val="uk-UA"/>
        </w:rPr>
        <w:t xml:space="preserve"> суперечливі та дискутабельні – від повного заперечення наявності дисбактеріозу кишечник</w:t>
      </w:r>
      <w:r>
        <w:rPr>
          <w:sz w:val="28"/>
          <w:szCs w:val="28"/>
          <w:lang w:val="uk-UA"/>
        </w:rPr>
        <w:t xml:space="preserve">а до </w:t>
      </w:r>
      <w:r w:rsidRPr="00AD70FC">
        <w:rPr>
          <w:sz w:val="28"/>
          <w:szCs w:val="28"/>
          <w:lang w:val="uk-UA"/>
        </w:rPr>
        <w:t xml:space="preserve">тверджень про розвиток декомпенсованих його форм </w:t>
      </w:r>
      <w:r w:rsidRPr="001E7EDB">
        <w:rPr>
          <w:sz w:val="28"/>
          <w:szCs w:val="28"/>
          <w:lang w:val="uk-UA"/>
        </w:rPr>
        <w:t>(Румянцев В.Г., 2004; Саєнко Т.Є., 2004; Бондаренко А.В., 2005; Крамарєв С.О. т</w:t>
      </w:r>
      <w:r>
        <w:rPr>
          <w:sz w:val="28"/>
          <w:szCs w:val="28"/>
          <w:lang w:val="uk-UA"/>
        </w:rPr>
        <w:t>а ін., 2006</w:t>
      </w:r>
      <w:r w:rsidRPr="00AD70FC">
        <w:rPr>
          <w:sz w:val="28"/>
          <w:szCs w:val="28"/>
          <w:lang w:val="uk-UA"/>
        </w:rPr>
        <w:t xml:space="preserve">). При порушеннях біоценозу виділяється значна кількість токсинів, які продукуються </w:t>
      </w:r>
      <w:r>
        <w:rPr>
          <w:sz w:val="28"/>
          <w:szCs w:val="28"/>
          <w:lang w:val="uk-UA"/>
        </w:rPr>
        <w:t>УПМ</w:t>
      </w:r>
      <w:r w:rsidRPr="00AD70FC">
        <w:rPr>
          <w:sz w:val="28"/>
          <w:szCs w:val="28"/>
          <w:lang w:val="uk-UA"/>
        </w:rPr>
        <w:t xml:space="preserve">. Крім того, послаблюється детоксикація токсичних метаболітів, які утворюються в процесі травлення (Маянский А.Н., 2002; </w:t>
      </w:r>
      <w:r w:rsidRPr="00AD70FC">
        <w:rPr>
          <w:sz w:val="28"/>
          <w:lang w:val="uk-UA"/>
        </w:rPr>
        <w:t>Lul L., 2001)</w:t>
      </w:r>
      <w:r w:rsidRPr="00AD70FC">
        <w:rPr>
          <w:sz w:val="28"/>
          <w:szCs w:val="28"/>
          <w:lang w:val="uk-UA"/>
        </w:rPr>
        <w:t>.</w:t>
      </w:r>
    </w:p>
    <w:p w:rsidR="007C7BBA" w:rsidRPr="00AD70FC" w:rsidRDefault="007C7BBA" w:rsidP="007C7BBA">
      <w:pPr>
        <w:pStyle w:val="a5"/>
        <w:tabs>
          <w:tab w:val="left" w:pos="567"/>
        </w:tabs>
        <w:ind w:firstLine="567"/>
        <w:jc w:val="both"/>
        <w:rPr>
          <w:caps/>
          <w:szCs w:val="28"/>
        </w:rPr>
      </w:pPr>
      <w:r w:rsidRPr="00AD70FC">
        <w:rPr>
          <w:caps/>
          <w:szCs w:val="28"/>
        </w:rPr>
        <w:lastRenderedPageBreak/>
        <w:t>Велике значення для формування противірусного захисту організму має мікрофлора кишок. Завдяки феномену молекулярної мімікрії і наявності рецепторів, набутих від епітелію макроорганізму, мікрофлора отримує зд</w:t>
      </w:r>
      <w:r>
        <w:rPr>
          <w:caps/>
          <w:szCs w:val="28"/>
        </w:rPr>
        <w:t>атні</w:t>
      </w:r>
      <w:r w:rsidRPr="00AD70FC">
        <w:rPr>
          <w:caps/>
          <w:szCs w:val="28"/>
        </w:rPr>
        <w:t xml:space="preserve">сть до перехвату </w:t>
      </w:r>
      <w:r>
        <w:rPr>
          <w:caps/>
          <w:szCs w:val="28"/>
        </w:rPr>
        <w:t>та виведення вірусів (Урсова Н.І</w:t>
      </w:r>
      <w:r w:rsidRPr="00AD70FC">
        <w:rPr>
          <w:caps/>
          <w:szCs w:val="28"/>
        </w:rPr>
        <w:t>., 2003).</w:t>
      </w:r>
    </w:p>
    <w:p w:rsidR="007C7BBA" w:rsidRPr="00AD70FC" w:rsidRDefault="007C7BBA" w:rsidP="007C7BBA">
      <w:pPr>
        <w:pStyle w:val="a5"/>
        <w:tabs>
          <w:tab w:val="left" w:pos="567"/>
        </w:tabs>
        <w:ind w:firstLine="567"/>
        <w:jc w:val="both"/>
        <w:rPr>
          <w:caps/>
          <w:szCs w:val="28"/>
        </w:rPr>
      </w:pPr>
      <w:r w:rsidRPr="00AD70FC">
        <w:rPr>
          <w:caps/>
          <w:szCs w:val="28"/>
        </w:rPr>
        <w:t xml:space="preserve">Відомо, що від функціональної </w:t>
      </w:r>
      <w:r>
        <w:rPr>
          <w:caps/>
          <w:szCs w:val="28"/>
        </w:rPr>
        <w:t>здатності</w:t>
      </w:r>
      <w:r w:rsidRPr="00AD70FC">
        <w:rPr>
          <w:caps/>
          <w:szCs w:val="28"/>
        </w:rPr>
        <w:t xml:space="preserve"> мікробіоценозу кишок залежить ріве</w:t>
      </w:r>
      <w:r>
        <w:rPr>
          <w:caps/>
          <w:szCs w:val="28"/>
        </w:rPr>
        <w:t xml:space="preserve">нь </w:t>
      </w:r>
      <w:r w:rsidRPr="00AD70FC">
        <w:rPr>
          <w:caps/>
          <w:szCs w:val="28"/>
        </w:rPr>
        <w:t>SIgА в копрофільтратах (Левченко Я.М., 2000;</w:t>
      </w:r>
      <w:r>
        <w:rPr>
          <w:caps/>
          <w:szCs w:val="28"/>
        </w:rPr>
        <w:t xml:space="preserve"> </w:t>
      </w:r>
      <w:r w:rsidRPr="00AD70FC">
        <w:rPr>
          <w:caps/>
          <w:szCs w:val="28"/>
        </w:rPr>
        <w:t>Ардатс</w:t>
      </w:r>
      <w:r>
        <w:rPr>
          <w:caps/>
          <w:szCs w:val="28"/>
        </w:rPr>
        <w:t>ь</w:t>
      </w:r>
      <w:r w:rsidRPr="00AD70FC">
        <w:rPr>
          <w:caps/>
          <w:szCs w:val="28"/>
        </w:rPr>
        <w:t>ка М.Д., 2001). Зв'язуючись безпосередньо з вірусом, SIgA порушує початковий етап вірусної репродукції – адсорбцію на поверхні клітин і перешкоджає проникненню до внутрішнього середовища організму (Мельников О.Ф., Заболотн</w:t>
      </w:r>
      <w:r>
        <w:rPr>
          <w:caps/>
          <w:szCs w:val="28"/>
        </w:rPr>
        <w:t>ий Д.І</w:t>
      </w:r>
      <w:r w:rsidRPr="00AD70FC">
        <w:rPr>
          <w:caps/>
          <w:szCs w:val="28"/>
        </w:rPr>
        <w:t>., 2004). Слід</w:t>
      </w:r>
      <w:r>
        <w:rPr>
          <w:caps/>
          <w:szCs w:val="28"/>
        </w:rPr>
        <w:t xml:space="preserve"> відзначити, що наукових робіт д</w:t>
      </w:r>
      <w:r w:rsidRPr="00AD70FC">
        <w:rPr>
          <w:caps/>
          <w:szCs w:val="28"/>
        </w:rPr>
        <w:t>о вивченн</w:t>
      </w:r>
      <w:r>
        <w:rPr>
          <w:caps/>
          <w:szCs w:val="28"/>
        </w:rPr>
        <w:t>я</w:t>
      </w:r>
      <w:r w:rsidRPr="00AD70FC">
        <w:rPr>
          <w:caps/>
          <w:szCs w:val="28"/>
        </w:rPr>
        <w:t xml:space="preserve"> SIgА у хворих на ГА у доступній літературі нами знайдено не було.</w:t>
      </w:r>
    </w:p>
    <w:p w:rsidR="007C7BBA" w:rsidRPr="00AD70FC" w:rsidRDefault="007C7BBA" w:rsidP="007C7BBA">
      <w:pPr>
        <w:pStyle w:val="a5"/>
        <w:tabs>
          <w:tab w:val="left" w:pos="567"/>
        </w:tabs>
        <w:ind w:firstLine="567"/>
        <w:jc w:val="both"/>
        <w:rPr>
          <w:caps/>
        </w:rPr>
      </w:pPr>
      <w:r w:rsidRPr="00AD70FC">
        <w:rPr>
          <w:caps/>
        </w:rPr>
        <w:t>Тяжкість інтоксикаційного синдрому, запальні зміни та цитоліз визначають перебі</w:t>
      </w:r>
      <w:r>
        <w:rPr>
          <w:caps/>
        </w:rPr>
        <w:t>г вірусного гепатиту (Волчкова Є</w:t>
      </w:r>
      <w:r w:rsidRPr="00AD70FC">
        <w:rPr>
          <w:caps/>
        </w:rPr>
        <w:t xml:space="preserve">.В. та ін., 2004). Основна антиендотоксична функція в організмі належить БГФ (Володін Н.Н. та ін., 2000). Проте комплексного вивчення різних показників БГФ у хворих на ГА не проводилося, не був виявлений зв’язок між їх рівнями та </w:t>
      </w:r>
      <w:r>
        <w:rPr>
          <w:caps/>
        </w:rPr>
        <w:t>ступенем дисбактеріозу кишечника</w:t>
      </w:r>
      <w:r w:rsidRPr="00AD70FC">
        <w:rPr>
          <w:caps/>
        </w:rPr>
        <w:t>.</w:t>
      </w:r>
    </w:p>
    <w:p w:rsidR="007C7BBA" w:rsidRDefault="007C7BBA" w:rsidP="007C7BBA">
      <w:pPr>
        <w:tabs>
          <w:tab w:val="left" w:pos="567"/>
        </w:tabs>
        <w:ind w:firstLine="567"/>
        <w:jc w:val="both"/>
        <w:rPr>
          <w:sz w:val="28"/>
          <w:szCs w:val="28"/>
          <w:lang w:val="uk-UA"/>
        </w:rPr>
      </w:pPr>
      <w:r w:rsidRPr="00AD70FC">
        <w:rPr>
          <w:sz w:val="28"/>
          <w:lang w:val="uk-UA"/>
        </w:rPr>
        <w:t xml:space="preserve">На сьогоднішній день в лікуванні хворих на </w:t>
      </w:r>
      <w:r>
        <w:rPr>
          <w:sz w:val="28"/>
          <w:lang w:val="uk-UA"/>
        </w:rPr>
        <w:t xml:space="preserve">ГА основним напрямком </w:t>
      </w:r>
      <w:r w:rsidRPr="00AD70FC">
        <w:rPr>
          <w:sz w:val="28"/>
          <w:lang w:val="uk-UA"/>
        </w:rPr>
        <w:t>є патогенетична терапія. Це пов’язано з тим, що застосування противірусних препаратів вважаєт</w:t>
      </w:r>
      <w:r>
        <w:rPr>
          <w:sz w:val="28"/>
          <w:lang w:val="uk-UA"/>
        </w:rPr>
        <w:t>ься недоцільним. В</w:t>
      </w:r>
      <w:r w:rsidRPr="00AD70FC">
        <w:rPr>
          <w:sz w:val="28"/>
          <w:lang w:val="uk-UA"/>
        </w:rPr>
        <w:t xml:space="preserve">икладене </w:t>
      </w:r>
      <w:r>
        <w:rPr>
          <w:sz w:val="28"/>
          <w:lang w:val="uk-UA"/>
        </w:rPr>
        <w:t>зумовлю</w:t>
      </w:r>
      <w:r w:rsidRPr="00AD70FC">
        <w:rPr>
          <w:sz w:val="28"/>
          <w:lang w:val="uk-UA"/>
        </w:rPr>
        <w:t>є необхідність обґрунтування напрямків удосконалення патогенетичної терапії хворих на ГА та апробації окремих з них.</w:t>
      </w:r>
      <w:r w:rsidRPr="00AD70FC">
        <w:rPr>
          <w:sz w:val="28"/>
          <w:szCs w:val="28"/>
          <w:lang w:val="uk-UA"/>
        </w:rPr>
        <w:t xml:space="preserve"> </w:t>
      </w:r>
    </w:p>
    <w:p w:rsidR="007C7BBA" w:rsidRPr="00AD70FC" w:rsidRDefault="007C7BBA" w:rsidP="007C7BBA">
      <w:pPr>
        <w:tabs>
          <w:tab w:val="left" w:pos="567"/>
        </w:tabs>
        <w:ind w:firstLine="567"/>
        <w:jc w:val="both"/>
        <w:rPr>
          <w:sz w:val="28"/>
          <w:lang w:val="uk-UA"/>
        </w:rPr>
      </w:pPr>
      <w:r w:rsidRPr="00AD70FC">
        <w:rPr>
          <w:sz w:val="28"/>
          <w:szCs w:val="28"/>
          <w:lang w:val="uk-UA"/>
        </w:rPr>
        <w:t xml:space="preserve">Отже, комплексне вивчення </w:t>
      </w:r>
      <w:r>
        <w:rPr>
          <w:sz w:val="28"/>
          <w:szCs w:val="28"/>
          <w:lang w:val="uk-UA"/>
        </w:rPr>
        <w:t xml:space="preserve">у хворих на </w:t>
      </w:r>
      <w:r w:rsidRPr="00AD70FC">
        <w:rPr>
          <w:sz w:val="28"/>
          <w:szCs w:val="28"/>
          <w:lang w:val="uk-UA"/>
        </w:rPr>
        <w:t>ГА стану мікрофлори товстої кишки, динаміки БГФ, показників SIgA залежно від тяжкості хвороби є актуальним. Установлення кореляційних зв’язків між заявленими показниками дозволить отримати більш повне уявлення про патогенетичні процеси, що дозволить розробити к</w:t>
      </w:r>
      <w:r>
        <w:rPr>
          <w:sz w:val="28"/>
          <w:szCs w:val="28"/>
          <w:lang w:val="uk-UA"/>
        </w:rPr>
        <w:t xml:space="preserve">ритерії прогнозування перебігу </w:t>
      </w:r>
      <w:r w:rsidRPr="00AD70FC">
        <w:rPr>
          <w:sz w:val="28"/>
          <w:szCs w:val="28"/>
          <w:lang w:val="uk-UA"/>
        </w:rPr>
        <w:t>ГА та покр</w:t>
      </w:r>
      <w:r>
        <w:rPr>
          <w:sz w:val="28"/>
          <w:szCs w:val="28"/>
          <w:lang w:val="uk-UA"/>
        </w:rPr>
        <w:t>ащити патогенетичне лікування.</w:t>
      </w:r>
    </w:p>
    <w:p w:rsidR="007C7BBA" w:rsidRPr="00AD70FC" w:rsidRDefault="007C7BBA" w:rsidP="007C7BBA">
      <w:pPr>
        <w:pStyle w:val="a5"/>
        <w:tabs>
          <w:tab w:val="left" w:pos="567"/>
        </w:tabs>
        <w:ind w:firstLine="567"/>
        <w:jc w:val="both"/>
        <w:rPr>
          <w:b/>
          <w:caps/>
          <w:szCs w:val="28"/>
        </w:rPr>
      </w:pPr>
      <w:r w:rsidRPr="00AD70FC">
        <w:rPr>
          <w:b/>
          <w:caps/>
          <w:szCs w:val="28"/>
        </w:rPr>
        <w:t>Зв’язок роботи з науковими програмами, планами, темами.</w:t>
      </w:r>
    </w:p>
    <w:p w:rsidR="007C7BBA" w:rsidRPr="00FD7966" w:rsidRDefault="007C7BBA" w:rsidP="007C7BBA">
      <w:pPr>
        <w:pStyle w:val="Normal"/>
        <w:tabs>
          <w:tab w:val="left" w:pos="567"/>
        </w:tabs>
        <w:ind w:firstLine="567"/>
        <w:rPr>
          <w:sz w:val="28"/>
          <w:lang w:val="uk-UA"/>
        </w:rPr>
      </w:pPr>
      <w:r>
        <w:rPr>
          <w:sz w:val="28"/>
          <w:szCs w:val="28"/>
          <w:lang w:val="uk-UA"/>
        </w:rPr>
        <w:t>Наукову роботу виконано</w:t>
      </w:r>
      <w:r w:rsidRPr="00AD70FC">
        <w:rPr>
          <w:sz w:val="28"/>
          <w:szCs w:val="28"/>
          <w:lang w:val="uk-UA"/>
        </w:rPr>
        <w:t xml:space="preserve"> відповідно до науково-дослідної роботи кафедри інфекційних хвороб Харківського національного медичного університету: “Вивчення стану </w:t>
      </w:r>
      <w:r w:rsidRPr="00AD70FC">
        <w:rPr>
          <w:sz w:val="28"/>
          <w:szCs w:val="28"/>
          <w:lang w:val="uk-UA"/>
        </w:rPr>
        <w:lastRenderedPageBreak/>
        <w:t>компенсаторних механізмів адаптації до інфекційного процесу, патогенетичне обґрунтування використання та удосконалення медикаментозних засобів лікування</w:t>
      </w:r>
      <w:r w:rsidRPr="00AD70FC">
        <w:rPr>
          <w:sz w:val="28"/>
          <w:lang w:val="uk-UA"/>
        </w:rPr>
        <w:t xml:space="preserve"> захворювань, що викликані бактеріями, вірусами, вірусно-бактеріальними і вірусними асоціаціями при гострому та затяжному перебігу”, </w:t>
      </w:r>
      <w:r>
        <w:rPr>
          <w:sz w:val="28"/>
          <w:lang w:val="uk-UA"/>
        </w:rPr>
        <w:t>номер</w:t>
      </w:r>
      <w:r w:rsidRPr="00AD70FC">
        <w:rPr>
          <w:sz w:val="28"/>
          <w:lang w:val="uk-UA"/>
        </w:rPr>
        <w:t xml:space="preserve"> державної реєстрації 01980002614</w:t>
      </w:r>
      <w:r w:rsidRPr="00FD7966">
        <w:rPr>
          <w:sz w:val="28"/>
          <w:lang w:val="uk-UA"/>
        </w:rPr>
        <w:t xml:space="preserve">. </w:t>
      </w:r>
    </w:p>
    <w:p w:rsidR="007C7BBA" w:rsidRDefault="007C7BBA" w:rsidP="007C7BBA">
      <w:pPr>
        <w:pStyle w:val="a5"/>
        <w:tabs>
          <w:tab w:val="left" w:pos="567"/>
        </w:tabs>
        <w:ind w:firstLine="567"/>
        <w:jc w:val="both"/>
        <w:rPr>
          <w:caps/>
          <w:szCs w:val="28"/>
        </w:rPr>
      </w:pPr>
      <w:r w:rsidRPr="00BD1AA9">
        <w:rPr>
          <w:b/>
          <w:caps/>
        </w:rPr>
        <w:t>Мета дослідження:</w:t>
      </w:r>
      <w:r w:rsidRPr="00FD6FCF">
        <w:rPr>
          <w:caps/>
        </w:rPr>
        <w:t xml:space="preserve"> </w:t>
      </w:r>
      <w:r w:rsidRPr="00FD6FCF">
        <w:rPr>
          <w:caps/>
          <w:szCs w:val="28"/>
        </w:rPr>
        <w:t xml:space="preserve">удосконалення прогнозування перебігу </w:t>
      </w:r>
      <w:r>
        <w:rPr>
          <w:caps/>
          <w:szCs w:val="28"/>
        </w:rPr>
        <w:t>гепатиту А</w:t>
      </w:r>
      <w:r w:rsidRPr="00FD6FCF">
        <w:rPr>
          <w:caps/>
          <w:szCs w:val="28"/>
        </w:rPr>
        <w:t xml:space="preserve"> та патогенетичної терапії хворих на основі виявлення стану мікробіоценозу товстої кишки, рівнів </w:t>
      </w:r>
      <w:r>
        <w:rPr>
          <w:caps/>
          <w:szCs w:val="28"/>
        </w:rPr>
        <w:t>секреторного імуноглобуліну А</w:t>
      </w:r>
      <w:r w:rsidRPr="00FD6FCF">
        <w:rPr>
          <w:caps/>
          <w:szCs w:val="28"/>
        </w:rPr>
        <w:t xml:space="preserve"> в копрофільтратах та реакцій </w:t>
      </w:r>
      <w:r>
        <w:rPr>
          <w:caps/>
          <w:szCs w:val="28"/>
        </w:rPr>
        <w:t>білків гострої фази</w:t>
      </w:r>
      <w:r w:rsidRPr="00FD6FCF">
        <w:rPr>
          <w:caps/>
          <w:szCs w:val="28"/>
        </w:rPr>
        <w:t>.</w:t>
      </w:r>
    </w:p>
    <w:p w:rsidR="007C7BBA" w:rsidRPr="00FD6FCF" w:rsidRDefault="007C7BBA" w:rsidP="007C7BBA">
      <w:pPr>
        <w:pStyle w:val="a5"/>
        <w:tabs>
          <w:tab w:val="left" w:pos="567"/>
        </w:tabs>
        <w:ind w:firstLine="567"/>
        <w:jc w:val="both"/>
        <w:rPr>
          <w:b/>
          <w:caps/>
          <w:u w:val="single"/>
        </w:rPr>
      </w:pPr>
      <w:r w:rsidRPr="00BD1AA9">
        <w:rPr>
          <w:b/>
          <w:caps/>
        </w:rPr>
        <w:t xml:space="preserve">Завдання </w:t>
      </w:r>
      <w:r w:rsidRPr="00617439">
        <w:rPr>
          <w:b/>
          <w:caps/>
        </w:rPr>
        <w:t>дослідження:</w:t>
      </w:r>
    </w:p>
    <w:p w:rsidR="007C7BBA" w:rsidRPr="00D20AF8" w:rsidRDefault="007C7BBA" w:rsidP="007C7BBA">
      <w:pPr>
        <w:pStyle w:val="a5"/>
        <w:numPr>
          <w:ilvl w:val="0"/>
          <w:numId w:val="4"/>
        </w:numPr>
        <w:tabs>
          <w:tab w:val="clear" w:pos="720"/>
          <w:tab w:val="num" w:pos="0"/>
          <w:tab w:val="left" w:pos="567"/>
        </w:tabs>
        <w:suppressAutoHyphens w:val="0"/>
        <w:spacing w:after="0"/>
        <w:ind w:left="0" w:firstLine="567"/>
        <w:jc w:val="both"/>
        <w:rPr>
          <w:caps/>
        </w:rPr>
      </w:pPr>
      <w:r>
        <w:rPr>
          <w:caps/>
        </w:rPr>
        <w:t>Проаналізувати</w:t>
      </w:r>
      <w:r w:rsidRPr="00D20AF8">
        <w:rPr>
          <w:caps/>
        </w:rPr>
        <w:t xml:space="preserve"> клінічну характеристику ГА на сучасному етапі. </w:t>
      </w:r>
    </w:p>
    <w:p w:rsidR="007C7BBA" w:rsidRPr="00D20AF8" w:rsidRDefault="007C7BBA" w:rsidP="007C7BBA">
      <w:pPr>
        <w:numPr>
          <w:ilvl w:val="0"/>
          <w:numId w:val="4"/>
        </w:numPr>
        <w:tabs>
          <w:tab w:val="clear" w:pos="720"/>
          <w:tab w:val="num" w:pos="0"/>
          <w:tab w:val="left" w:pos="567"/>
        </w:tabs>
        <w:spacing w:after="0" w:line="240" w:lineRule="auto"/>
        <w:ind w:left="0" w:firstLine="567"/>
        <w:jc w:val="both"/>
        <w:rPr>
          <w:sz w:val="28"/>
          <w:lang w:val="uk-UA"/>
        </w:rPr>
      </w:pPr>
      <w:r w:rsidRPr="00D20AF8">
        <w:rPr>
          <w:sz w:val="28"/>
          <w:lang w:val="uk-UA"/>
        </w:rPr>
        <w:t xml:space="preserve">Вивчити видовий склад, популяційний рівень </w:t>
      </w:r>
      <w:r w:rsidRPr="00D20AF8">
        <w:rPr>
          <w:sz w:val="28"/>
          <w:szCs w:val="28"/>
          <w:lang w:val="uk-UA"/>
        </w:rPr>
        <w:t xml:space="preserve">мікрофлори товстої кишки та </w:t>
      </w:r>
      <w:r w:rsidRPr="00D20AF8">
        <w:rPr>
          <w:sz w:val="28"/>
          <w:lang w:val="uk-UA"/>
        </w:rPr>
        <w:t>вміст SIgA в копрофільтратах у хворих на ГА.</w:t>
      </w:r>
    </w:p>
    <w:p w:rsidR="007C7BBA" w:rsidRPr="00D20AF8" w:rsidRDefault="007C7BBA" w:rsidP="007C7BBA">
      <w:pPr>
        <w:numPr>
          <w:ilvl w:val="0"/>
          <w:numId w:val="4"/>
        </w:numPr>
        <w:tabs>
          <w:tab w:val="clear" w:pos="720"/>
          <w:tab w:val="num" w:pos="0"/>
          <w:tab w:val="left" w:pos="567"/>
        </w:tabs>
        <w:spacing w:after="0" w:line="240" w:lineRule="auto"/>
        <w:ind w:left="0" w:firstLine="567"/>
        <w:jc w:val="both"/>
        <w:rPr>
          <w:sz w:val="28"/>
          <w:lang w:val="uk-UA"/>
        </w:rPr>
      </w:pPr>
      <w:r w:rsidRPr="00D20AF8">
        <w:rPr>
          <w:sz w:val="28"/>
          <w:lang w:val="uk-UA"/>
        </w:rPr>
        <w:t>Провести дослідження рівнів БГФ у сироватці крові залежно від тяжкості хвороби та ступеня дисбактеріозу товстої кишки.</w:t>
      </w:r>
    </w:p>
    <w:p w:rsidR="007C7BBA" w:rsidRPr="00D20AF8" w:rsidRDefault="007C7BBA" w:rsidP="007C7BBA">
      <w:pPr>
        <w:numPr>
          <w:ilvl w:val="0"/>
          <w:numId w:val="4"/>
        </w:numPr>
        <w:tabs>
          <w:tab w:val="clear" w:pos="720"/>
          <w:tab w:val="num" w:pos="0"/>
          <w:tab w:val="left" w:pos="567"/>
        </w:tabs>
        <w:spacing w:after="0" w:line="240" w:lineRule="auto"/>
        <w:ind w:left="0" w:firstLine="567"/>
        <w:jc w:val="both"/>
        <w:rPr>
          <w:sz w:val="28"/>
          <w:lang w:val="uk-UA"/>
        </w:rPr>
      </w:pPr>
      <w:r w:rsidRPr="00D20AF8">
        <w:rPr>
          <w:sz w:val="28"/>
          <w:lang w:val="uk-UA"/>
        </w:rPr>
        <w:t>Установити кореляційні зв’язки між станом мікробіоценозу і показниками місцевого імунітету товстої кишки та рівнями БГФ.</w:t>
      </w:r>
    </w:p>
    <w:p w:rsidR="007C7BBA" w:rsidRPr="00FD7966" w:rsidRDefault="007C7BBA" w:rsidP="007C7BBA">
      <w:pPr>
        <w:numPr>
          <w:ilvl w:val="0"/>
          <w:numId w:val="4"/>
        </w:numPr>
        <w:tabs>
          <w:tab w:val="clear" w:pos="720"/>
          <w:tab w:val="num" w:pos="0"/>
          <w:tab w:val="left" w:pos="567"/>
        </w:tabs>
        <w:spacing w:after="0" w:line="240" w:lineRule="auto"/>
        <w:ind w:left="0" w:firstLine="567"/>
        <w:jc w:val="both"/>
        <w:rPr>
          <w:i/>
          <w:sz w:val="28"/>
          <w:lang w:val="uk-UA"/>
        </w:rPr>
      </w:pPr>
      <w:r w:rsidRPr="00D20AF8">
        <w:rPr>
          <w:sz w:val="28"/>
          <w:lang w:val="uk-UA"/>
        </w:rPr>
        <w:t>Розробити критерії прогнозування перебігу ГА.</w:t>
      </w:r>
    </w:p>
    <w:p w:rsidR="007C7BBA" w:rsidRPr="00FD7966" w:rsidRDefault="007C7BBA" w:rsidP="007C7BBA">
      <w:pPr>
        <w:numPr>
          <w:ilvl w:val="0"/>
          <w:numId w:val="4"/>
        </w:numPr>
        <w:tabs>
          <w:tab w:val="clear" w:pos="720"/>
          <w:tab w:val="num" w:pos="0"/>
          <w:tab w:val="left" w:pos="567"/>
        </w:tabs>
        <w:spacing w:after="0" w:line="240" w:lineRule="auto"/>
        <w:ind w:left="0" w:firstLine="567"/>
        <w:jc w:val="both"/>
        <w:rPr>
          <w:sz w:val="28"/>
          <w:lang w:val="uk-UA"/>
        </w:rPr>
      </w:pPr>
      <w:r w:rsidRPr="00FD7966">
        <w:rPr>
          <w:sz w:val="28"/>
          <w:lang w:val="uk-UA"/>
        </w:rPr>
        <w:t xml:space="preserve">Оцінити клінічну ефективність, вплив на мікробіоценоз товстої кишки, рівень екскреції SIgA і вміст БГФ лактулози при легкому перебігу ГА та комбінації лактулози з альтаном при середньотяжкому перебігу хвороби. </w:t>
      </w:r>
    </w:p>
    <w:p w:rsidR="007C7BBA" w:rsidRDefault="007C7BBA" w:rsidP="007C7BBA">
      <w:pPr>
        <w:tabs>
          <w:tab w:val="left" w:pos="567"/>
        </w:tabs>
        <w:ind w:firstLine="567"/>
        <w:jc w:val="both"/>
        <w:rPr>
          <w:sz w:val="28"/>
          <w:szCs w:val="28"/>
          <w:lang w:val="uk-UA"/>
        </w:rPr>
      </w:pPr>
      <w:r w:rsidRPr="00FD7966">
        <w:rPr>
          <w:b/>
          <w:sz w:val="28"/>
          <w:lang w:val="uk-UA"/>
        </w:rPr>
        <w:t>Об’єкт дослідження:</w:t>
      </w:r>
      <w:r w:rsidRPr="00FD7966">
        <w:rPr>
          <w:sz w:val="28"/>
          <w:lang w:val="uk-UA"/>
        </w:rPr>
        <w:t xml:space="preserve"> хворі на ГА з легким та середньотяжки</w:t>
      </w:r>
      <w:r>
        <w:rPr>
          <w:sz w:val="28"/>
          <w:lang w:val="uk-UA"/>
        </w:rPr>
        <w:t>м перебігом</w:t>
      </w:r>
      <w:r w:rsidRPr="003D56DD">
        <w:rPr>
          <w:sz w:val="28"/>
          <w:szCs w:val="28"/>
          <w:lang w:val="uk-UA"/>
        </w:rPr>
        <w:t>.</w:t>
      </w:r>
    </w:p>
    <w:p w:rsidR="007C7BBA" w:rsidRDefault="007C7BBA" w:rsidP="007C7BBA">
      <w:pPr>
        <w:pStyle w:val="Normal1"/>
        <w:widowControl w:val="0"/>
        <w:tabs>
          <w:tab w:val="left" w:pos="567"/>
        </w:tabs>
        <w:ind w:firstLine="567"/>
        <w:jc w:val="both"/>
        <w:rPr>
          <w:sz w:val="28"/>
          <w:szCs w:val="28"/>
          <w:lang w:val="uk-UA"/>
        </w:rPr>
      </w:pPr>
      <w:r w:rsidRPr="006036B9">
        <w:rPr>
          <w:b/>
          <w:color w:val="000000"/>
          <w:sz w:val="28"/>
          <w:szCs w:val="28"/>
          <w:lang w:val="uk-UA"/>
        </w:rPr>
        <w:t>Предмет дослідження:</w:t>
      </w:r>
      <w:r>
        <w:rPr>
          <w:b/>
          <w:color w:val="000000"/>
          <w:sz w:val="28"/>
          <w:szCs w:val="28"/>
          <w:lang w:val="uk-UA"/>
        </w:rPr>
        <w:t xml:space="preserve"> </w:t>
      </w:r>
      <w:r>
        <w:rPr>
          <w:sz w:val="28"/>
          <w:szCs w:val="28"/>
          <w:lang w:val="uk-UA"/>
        </w:rPr>
        <w:t>з</w:t>
      </w:r>
      <w:r w:rsidRPr="003D56DD">
        <w:rPr>
          <w:sz w:val="28"/>
          <w:szCs w:val="28"/>
          <w:lang w:val="uk-UA"/>
        </w:rPr>
        <w:t>акономірності взаємозв’язку між тяжкістю хвороби і її перебігом, станом мікро</w:t>
      </w:r>
      <w:r>
        <w:rPr>
          <w:sz w:val="28"/>
          <w:szCs w:val="28"/>
          <w:lang w:val="uk-UA"/>
        </w:rPr>
        <w:t xml:space="preserve">флори товстої кишки, рівнями </w:t>
      </w:r>
      <w:r w:rsidRPr="00547EDE">
        <w:rPr>
          <w:sz w:val="28"/>
          <w:szCs w:val="28"/>
          <w:lang w:val="uk-UA"/>
        </w:rPr>
        <w:t>SIgA</w:t>
      </w:r>
      <w:r>
        <w:rPr>
          <w:sz w:val="28"/>
          <w:szCs w:val="28"/>
          <w:lang w:val="uk-UA"/>
        </w:rPr>
        <w:t xml:space="preserve"> та білків гострої фази у хворих на ГА</w:t>
      </w:r>
      <w:r w:rsidRPr="003D56DD">
        <w:rPr>
          <w:sz w:val="28"/>
          <w:szCs w:val="28"/>
          <w:lang w:val="uk-UA"/>
        </w:rPr>
        <w:t xml:space="preserve"> та їх динаміка залежно від методів патогенетичного лікування.</w:t>
      </w:r>
    </w:p>
    <w:p w:rsidR="007C7BBA" w:rsidRPr="00174939" w:rsidRDefault="007C7BBA" w:rsidP="007C7BBA">
      <w:pPr>
        <w:pStyle w:val="a7"/>
        <w:tabs>
          <w:tab w:val="left" w:pos="567"/>
        </w:tabs>
        <w:spacing w:after="0"/>
        <w:ind w:left="0" w:firstLine="567"/>
        <w:jc w:val="both"/>
        <w:rPr>
          <w:sz w:val="28"/>
          <w:szCs w:val="28"/>
          <w:lang w:val="uk-UA"/>
        </w:rPr>
      </w:pPr>
      <w:r w:rsidRPr="00174939">
        <w:rPr>
          <w:b/>
          <w:sz w:val="28"/>
          <w:szCs w:val="28"/>
          <w:lang w:val="uk-UA"/>
        </w:rPr>
        <w:t>Методи дослідження</w:t>
      </w:r>
      <w:r w:rsidRPr="00174939">
        <w:rPr>
          <w:sz w:val="28"/>
          <w:szCs w:val="28"/>
          <w:lang w:val="uk-UA"/>
        </w:rPr>
        <w:t>:</w:t>
      </w:r>
      <w:r>
        <w:rPr>
          <w:sz w:val="28"/>
          <w:szCs w:val="28"/>
          <w:lang w:val="uk-UA"/>
        </w:rPr>
        <w:t xml:space="preserve"> у роботі використано </w:t>
      </w:r>
      <w:r w:rsidRPr="00174939">
        <w:rPr>
          <w:sz w:val="28"/>
          <w:szCs w:val="28"/>
          <w:lang w:val="uk-UA"/>
        </w:rPr>
        <w:t xml:space="preserve">загальноприйняті </w:t>
      </w:r>
      <w:r>
        <w:rPr>
          <w:sz w:val="28"/>
          <w:szCs w:val="28"/>
          <w:lang w:val="uk-UA"/>
        </w:rPr>
        <w:t xml:space="preserve">епідеміологічні, клінічні, </w:t>
      </w:r>
      <w:r w:rsidRPr="00415641">
        <w:rPr>
          <w:sz w:val="28"/>
          <w:szCs w:val="28"/>
          <w:lang w:val="uk-UA"/>
        </w:rPr>
        <w:t>бактеріологічн</w:t>
      </w:r>
      <w:r>
        <w:rPr>
          <w:sz w:val="28"/>
          <w:szCs w:val="28"/>
          <w:lang w:val="uk-UA"/>
        </w:rPr>
        <w:t>і,</w:t>
      </w:r>
      <w:r w:rsidRPr="00174939">
        <w:rPr>
          <w:sz w:val="28"/>
          <w:szCs w:val="28"/>
          <w:lang w:val="uk-UA"/>
        </w:rPr>
        <w:t xml:space="preserve"> </w:t>
      </w:r>
      <w:r>
        <w:rPr>
          <w:sz w:val="28"/>
          <w:szCs w:val="28"/>
          <w:lang w:val="uk-UA"/>
        </w:rPr>
        <w:t xml:space="preserve">серологічні, інструментальні, статистичні та </w:t>
      </w:r>
      <w:r w:rsidRPr="00174939">
        <w:rPr>
          <w:sz w:val="28"/>
          <w:szCs w:val="28"/>
          <w:lang w:val="uk-UA"/>
        </w:rPr>
        <w:t xml:space="preserve">спеціальні біохімічні </w:t>
      </w:r>
      <w:r>
        <w:rPr>
          <w:sz w:val="28"/>
          <w:szCs w:val="28"/>
          <w:lang w:val="uk-UA"/>
        </w:rPr>
        <w:t xml:space="preserve">й імунологічні методи дослідження. </w:t>
      </w:r>
    </w:p>
    <w:p w:rsidR="007C7BBA" w:rsidRPr="00B92F86" w:rsidRDefault="007C7BBA" w:rsidP="007C7BBA">
      <w:pPr>
        <w:tabs>
          <w:tab w:val="left" w:pos="567"/>
        </w:tabs>
        <w:ind w:firstLine="567"/>
        <w:jc w:val="both"/>
        <w:rPr>
          <w:sz w:val="28"/>
          <w:szCs w:val="28"/>
          <w:lang w:val="uk-UA"/>
        </w:rPr>
      </w:pPr>
      <w:r w:rsidRPr="00B92F86">
        <w:rPr>
          <w:b/>
          <w:sz w:val="28"/>
          <w:szCs w:val="28"/>
          <w:lang w:val="uk-UA"/>
        </w:rPr>
        <w:t xml:space="preserve">Наукова новизна отриманих результатів. </w:t>
      </w:r>
      <w:r w:rsidRPr="00B92F86">
        <w:rPr>
          <w:sz w:val="28"/>
          <w:szCs w:val="28"/>
          <w:lang w:val="uk-UA"/>
        </w:rPr>
        <w:t xml:space="preserve">У результаті проведених досліджень поглиблено уявлення про патогенез та клінічні прояви ГА на </w:t>
      </w:r>
      <w:r w:rsidRPr="00B92F86">
        <w:rPr>
          <w:sz w:val="28"/>
          <w:szCs w:val="28"/>
          <w:lang w:val="uk-UA"/>
        </w:rPr>
        <w:lastRenderedPageBreak/>
        <w:t>сучасному етапі. Отримано нові дані про видовий склад та популяційний рівень мікрофлори товстої кишки у хворих на ГА з різним ступенем тяжкості перебігу хвороби. Вперше визначено показники SIgA у хворих на ГА залежно від тяжкості патологічного процесу та стану мікробіоценозу кишечника. Досліджено динаміку БГФ та визначено їх взаємозв’язки з вмістом SIgA та станом мікрофлори товстої кишки. Установлено кореляційні зв’язки між вказаними показниками і на їх основі розроблено критерії прогнозування перебігу ГА. Доведено, що відсутність підвищення таких показників як рівень SIgA в копрофільтратах т</w:t>
      </w:r>
      <w:r>
        <w:rPr>
          <w:sz w:val="28"/>
          <w:szCs w:val="28"/>
          <w:lang w:val="uk-UA"/>
        </w:rPr>
        <w:t>а вмісту БГФ (СРБ</w:t>
      </w:r>
      <w:r w:rsidRPr="00B92F86">
        <w:rPr>
          <w:sz w:val="28"/>
          <w:szCs w:val="28"/>
          <w:lang w:val="uk-UA"/>
        </w:rPr>
        <w:t xml:space="preserve">, </w:t>
      </w:r>
      <w:r>
        <w:rPr>
          <w:sz w:val="28"/>
          <w:szCs w:val="28"/>
          <w:lang w:val="uk-UA"/>
        </w:rPr>
        <w:t>ГГ</w:t>
      </w:r>
      <w:r w:rsidRPr="00B92F86">
        <w:rPr>
          <w:sz w:val="28"/>
          <w:szCs w:val="28"/>
          <w:lang w:val="uk-UA"/>
        </w:rPr>
        <w:t xml:space="preserve">, </w:t>
      </w:r>
      <w:r>
        <w:rPr>
          <w:sz w:val="28"/>
          <w:szCs w:val="28"/>
          <w:lang w:val="uk-UA"/>
        </w:rPr>
        <w:t>ЦП</w:t>
      </w:r>
      <w:r w:rsidRPr="00B92F86">
        <w:rPr>
          <w:sz w:val="28"/>
          <w:szCs w:val="28"/>
          <w:lang w:val="uk-UA"/>
        </w:rPr>
        <w:t xml:space="preserve">) в період наростання клінічних проявів хвороби є прогностично несприятливою ознакою.Удосконалено підхід до терапевтичної тактики стосовно хворих на ГА з урахуванням тяжкості хвороби. Оцінено терапевтичну ефективність пребіотика лактулози і альтану та можливість їх використання в комплексній терапії ГА. Вперше показано, що застосування цих препаратів сприяє скороченню тривалості клінічної симптоматики, нормалізації мікробіологічних, біохімічних та імунологічних показників. </w:t>
      </w:r>
    </w:p>
    <w:p w:rsidR="007C7BBA" w:rsidRPr="00325E76" w:rsidRDefault="007C7BBA" w:rsidP="007C7BBA">
      <w:pPr>
        <w:pStyle w:val="a5"/>
        <w:tabs>
          <w:tab w:val="left" w:pos="567"/>
        </w:tabs>
        <w:ind w:firstLine="567"/>
        <w:jc w:val="both"/>
        <w:rPr>
          <w:caps/>
          <w:szCs w:val="28"/>
        </w:rPr>
      </w:pPr>
      <w:r>
        <w:rPr>
          <w:b/>
          <w:caps/>
          <w:szCs w:val="28"/>
        </w:rPr>
        <w:t>Практичне значення отрима</w:t>
      </w:r>
      <w:r w:rsidRPr="00B92F86">
        <w:rPr>
          <w:b/>
          <w:caps/>
          <w:szCs w:val="28"/>
        </w:rPr>
        <w:t xml:space="preserve">них результатів. </w:t>
      </w:r>
      <w:r w:rsidRPr="00B92F86">
        <w:rPr>
          <w:caps/>
          <w:szCs w:val="28"/>
        </w:rPr>
        <w:t>Запропоновано застосування показників стану мікробіоценозу та місцевого імунітету товстої кишки, а також рівнів БГФ в гострому періоді хвороби як додаткових критеріїв</w:t>
      </w:r>
      <w:r w:rsidRPr="00A974FB">
        <w:rPr>
          <w:caps/>
          <w:szCs w:val="28"/>
        </w:rPr>
        <w:t xml:space="preserve"> прогнозування перебігу ГА</w:t>
      </w:r>
      <w:r>
        <w:rPr>
          <w:caps/>
          <w:szCs w:val="28"/>
        </w:rPr>
        <w:t xml:space="preserve"> </w:t>
      </w:r>
      <w:r w:rsidRPr="00F84F60">
        <w:rPr>
          <w:caps/>
          <w:szCs w:val="28"/>
        </w:rPr>
        <w:t>(</w:t>
      </w:r>
      <w:r>
        <w:rPr>
          <w:caps/>
          <w:szCs w:val="28"/>
        </w:rPr>
        <w:t xml:space="preserve">Патент 36147 Україна. </w:t>
      </w:r>
      <w:r w:rsidRPr="00F84F60">
        <w:rPr>
          <w:caps/>
        </w:rPr>
        <w:t>Спосіб прогнозування перебігу вірусного гепатиту А</w:t>
      </w:r>
      <w:r>
        <w:rPr>
          <w:caps/>
        </w:rPr>
        <w:t xml:space="preserve">. В.М. Козько, Я.І. Копійченко, </w:t>
      </w:r>
      <w:r w:rsidRPr="00325E76">
        <w:rPr>
          <w:caps/>
        </w:rPr>
        <w:t>Д.Б. Пеньков. 2008, Бюл. № 19.</w:t>
      </w:r>
      <w:r>
        <w:rPr>
          <w:szCs w:val="28"/>
        </w:rPr>
        <w:t>–</w:t>
      </w:r>
      <w:r>
        <w:rPr>
          <w:caps/>
        </w:rPr>
        <w:t xml:space="preserve">8 </w:t>
      </w:r>
      <w:r w:rsidRPr="00325E76">
        <w:rPr>
          <w:caps/>
        </w:rPr>
        <w:t>с.</w:t>
      </w:r>
      <w:r w:rsidRPr="00325E76">
        <w:rPr>
          <w:caps/>
          <w:szCs w:val="28"/>
        </w:rPr>
        <w:t xml:space="preserve">). </w:t>
      </w:r>
    </w:p>
    <w:p w:rsidR="007C7BBA" w:rsidRPr="00DB6CEB" w:rsidRDefault="007C7BBA" w:rsidP="007C7BBA">
      <w:pPr>
        <w:tabs>
          <w:tab w:val="left" w:pos="567"/>
        </w:tabs>
        <w:ind w:firstLine="567"/>
        <w:jc w:val="both"/>
        <w:rPr>
          <w:sz w:val="28"/>
          <w:szCs w:val="28"/>
          <w:lang w:val="uk-UA"/>
        </w:rPr>
      </w:pPr>
      <w:r w:rsidRPr="00325E76">
        <w:rPr>
          <w:sz w:val="28"/>
          <w:lang w:val="uk-UA"/>
        </w:rPr>
        <w:t>Патогенетично обґрунтован</w:t>
      </w:r>
      <w:r>
        <w:rPr>
          <w:sz w:val="28"/>
          <w:lang w:val="uk-UA"/>
        </w:rPr>
        <w:t xml:space="preserve">о </w:t>
      </w:r>
      <w:r w:rsidRPr="00325E76">
        <w:rPr>
          <w:sz w:val="28"/>
          <w:lang w:val="uk-UA"/>
        </w:rPr>
        <w:t>схем</w:t>
      </w:r>
      <w:r>
        <w:rPr>
          <w:sz w:val="28"/>
          <w:lang w:val="uk-UA"/>
        </w:rPr>
        <w:t>у</w:t>
      </w:r>
      <w:r w:rsidRPr="00325E76">
        <w:rPr>
          <w:sz w:val="28"/>
          <w:lang w:val="uk-UA"/>
        </w:rPr>
        <w:t xml:space="preserve"> застосування препаратів лактулози і альтану в комплексній терапії ГА. Доведений позитивний вплив цих препаратів на загальноклінічний стан хворих, нормалізацію показників мікробіоценозу товстої кишки, вмісту SIgA в копрофільтратах та рівнів БГФ </w:t>
      </w:r>
      <w:r w:rsidRPr="00325E76">
        <w:rPr>
          <w:sz w:val="28"/>
          <w:szCs w:val="28"/>
          <w:lang w:val="uk-UA"/>
        </w:rPr>
        <w:t xml:space="preserve">(Патент </w:t>
      </w:r>
      <w:r w:rsidRPr="00DB6CEB">
        <w:rPr>
          <w:sz w:val="28"/>
          <w:szCs w:val="28"/>
          <w:lang w:val="uk-UA"/>
        </w:rPr>
        <w:t>37</w:t>
      </w:r>
      <w:r>
        <w:rPr>
          <w:sz w:val="28"/>
          <w:szCs w:val="28"/>
          <w:lang w:val="uk-UA"/>
        </w:rPr>
        <w:t>070</w:t>
      </w:r>
      <w:r w:rsidRPr="00325E76">
        <w:rPr>
          <w:sz w:val="28"/>
          <w:szCs w:val="28"/>
          <w:lang w:val="uk-UA"/>
        </w:rPr>
        <w:t xml:space="preserve"> Україна. </w:t>
      </w:r>
      <w:r w:rsidRPr="00325E76">
        <w:rPr>
          <w:sz w:val="28"/>
          <w:lang w:val="uk-UA"/>
        </w:rPr>
        <w:t>Спосіб корекції мікропейзажу товстої кишки у хворих на вірусний гепатит А з легким та середньотяжким перебігом хвороби.</w:t>
      </w:r>
      <w:r w:rsidRPr="00325E76">
        <w:rPr>
          <w:sz w:val="28"/>
          <w:szCs w:val="28"/>
          <w:lang w:val="uk-UA"/>
        </w:rPr>
        <w:t xml:space="preserve"> В.М. Козько, </w:t>
      </w:r>
      <w:r>
        <w:rPr>
          <w:sz w:val="28"/>
          <w:szCs w:val="28"/>
          <w:lang w:val="uk-UA"/>
        </w:rPr>
        <w:br w:type="textWrapping" w:clear="all"/>
      </w:r>
      <w:r w:rsidRPr="00325E76">
        <w:rPr>
          <w:sz w:val="28"/>
          <w:szCs w:val="28"/>
          <w:lang w:val="uk-UA"/>
        </w:rPr>
        <w:t xml:space="preserve">Я.І. Копійченко, А.В. Бондаренко, А.В. Сохань, Д.Б. Пеньков. 2008, Бюл. </w:t>
      </w:r>
      <w:r w:rsidRPr="00DB6CEB">
        <w:rPr>
          <w:sz w:val="28"/>
          <w:szCs w:val="28"/>
          <w:lang w:val="uk-UA"/>
        </w:rPr>
        <w:t>№ 21. –10</w:t>
      </w:r>
      <w:r>
        <w:rPr>
          <w:sz w:val="28"/>
          <w:szCs w:val="28"/>
          <w:lang w:val="uk-UA"/>
        </w:rPr>
        <w:t xml:space="preserve"> </w:t>
      </w:r>
      <w:r w:rsidRPr="00DB6CEB">
        <w:rPr>
          <w:sz w:val="28"/>
          <w:szCs w:val="28"/>
          <w:lang w:val="uk-UA"/>
        </w:rPr>
        <w:t>с.).</w:t>
      </w:r>
    </w:p>
    <w:p w:rsidR="007C7BBA" w:rsidRPr="00B92F86" w:rsidRDefault="007C7BBA" w:rsidP="007C7BBA">
      <w:pPr>
        <w:pStyle w:val="a5"/>
        <w:tabs>
          <w:tab w:val="left" w:pos="567"/>
        </w:tabs>
        <w:ind w:firstLine="567"/>
        <w:jc w:val="both"/>
      </w:pPr>
      <w:r w:rsidRPr="00C31EA8">
        <w:rPr>
          <w:b/>
          <w:caps/>
          <w:szCs w:val="28"/>
        </w:rPr>
        <w:t xml:space="preserve">Особистий внесок здобувача. </w:t>
      </w:r>
      <w:r w:rsidRPr="00B92F86">
        <w:rPr>
          <w:caps/>
          <w:szCs w:val="28"/>
        </w:rPr>
        <w:t xml:space="preserve">Дисертаційна робота виконана і написана здобувачем самостійно. Автором особисто сформульована і обґрунтована наукова тема, самостійно проаналізована і систематизована сучасна наукова література за обраною темою, проведені інформаційно-патентний пошук, клінічні спостереження за хворими, здійснені статистична обробка, аналіз, інтерпретація та узагальнення отриманих результатів, </w:t>
      </w:r>
      <w:r w:rsidRPr="00B92F86">
        <w:rPr>
          <w:caps/>
          <w:szCs w:val="28"/>
        </w:rPr>
        <w:lastRenderedPageBreak/>
        <w:t>написані всі розділи роботи, сформульовані висновки та практичні рекомендації. Дисертант підготував матеріали до публікацій, оформив дисертаційну роботу</w:t>
      </w:r>
      <w:r w:rsidRPr="00B92F86">
        <w:t xml:space="preserve">. </w:t>
      </w:r>
    </w:p>
    <w:p w:rsidR="007C7BBA" w:rsidRPr="007F0894" w:rsidRDefault="007C7BBA" w:rsidP="007C7BBA">
      <w:pPr>
        <w:pStyle w:val="a5"/>
        <w:tabs>
          <w:tab w:val="left" w:pos="567"/>
        </w:tabs>
        <w:ind w:firstLine="567"/>
        <w:jc w:val="both"/>
        <w:rPr>
          <w:caps/>
        </w:rPr>
      </w:pPr>
      <w:r w:rsidRPr="007F0894">
        <w:rPr>
          <w:b/>
          <w:caps/>
        </w:rPr>
        <w:t>Апробація результатів дисертації</w:t>
      </w:r>
      <w:r w:rsidRPr="007F0894">
        <w:rPr>
          <w:caps/>
        </w:rPr>
        <w:t>.</w:t>
      </w:r>
      <w:r>
        <w:rPr>
          <w:caps/>
        </w:rPr>
        <w:t xml:space="preserve"> </w:t>
      </w:r>
      <w:r w:rsidRPr="007F0894">
        <w:rPr>
          <w:caps/>
        </w:rPr>
        <w:t>Основні положення результатів досліджень висвітлен</w:t>
      </w:r>
      <w:r>
        <w:rPr>
          <w:caps/>
        </w:rPr>
        <w:t>о</w:t>
      </w:r>
      <w:r w:rsidRPr="007F0894">
        <w:rPr>
          <w:caps/>
        </w:rPr>
        <w:t xml:space="preserve"> й оприлюднен</w:t>
      </w:r>
      <w:r>
        <w:rPr>
          <w:caps/>
        </w:rPr>
        <w:t>о</w:t>
      </w:r>
      <w:r w:rsidRPr="007F0894">
        <w:rPr>
          <w:caps/>
        </w:rPr>
        <w:t xml:space="preserve"> у формі доповідей на науково-практичній конференції з міжнародною участю «Хвороби печінки в практиці клініциста» </w:t>
      </w:r>
      <w:r>
        <w:rPr>
          <w:caps/>
        </w:rPr>
        <w:br w:type="textWrapping" w:clear="all"/>
      </w:r>
      <w:r w:rsidRPr="007F0894">
        <w:rPr>
          <w:caps/>
        </w:rPr>
        <w:t>(</w:t>
      </w:r>
      <w:r>
        <w:rPr>
          <w:caps/>
        </w:rPr>
        <w:t xml:space="preserve">м. </w:t>
      </w:r>
      <w:r w:rsidRPr="007F0894">
        <w:rPr>
          <w:caps/>
        </w:rPr>
        <w:t>Харків, 2007 р.); міжнародній науково-практичній конференції студентів, молодих вчених, лікарів та викладачів «Актуальні питання експериментальної та клінічної медицини» (</w:t>
      </w:r>
      <w:r>
        <w:rPr>
          <w:caps/>
        </w:rPr>
        <w:t xml:space="preserve">м. </w:t>
      </w:r>
      <w:r w:rsidRPr="007F0894">
        <w:rPr>
          <w:caps/>
        </w:rPr>
        <w:t>Суми, 2007 р.); міжвузівських конференціях молодих вчених «Медицина третього тисячоліття» (</w:t>
      </w:r>
      <w:r>
        <w:rPr>
          <w:caps/>
        </w:rPr>
        <w:t xml:space="preserve">м. </w:t>
      </w:r>
      <w:r w:rsidRPr="007F0894">
        <w:rPr>
          <w:caps/>
        </w:rPr>
        <w:t>Харків, 2007 р., 2008 р.); науково-практичній конференції з участю міжнародних спеціалістів «Сучасні підходи до діагност</w:t>
      </w:r>
      <w:r>
        <w:rPr>
          <w:caps/>
        </w:rPr>
        <w:t>ики та лікування у клінічній інф</w:t>
      </w:r>
      <w:r w:rsidRPr="007F0894">
        <w:rPr>
          <w:caps/>
        </w:rPr>
        <w:t>ектології» (</w:t>
      </w:r>
      <w:r>
        <w:rPr>
          <w:caps/>
        </w:rPr>
        <w:t>м.</w:t>
      </w:r>
      <w:r w:rsidRPr="007F0894">
        <w:rPr>
          <w:caps/>
        </w:rPr>
        <w:t xml:space="preserve"> Харків, 2007 р.); </w:t>
      </w:r>
      <w:r>
        <w:rPr>
          <w:caps/>
        </w:rPr>
        <w:br w:type="textWrapping" w:clear="all"/>
      </w:r>
      <w:r w:rsidRPr="007F0894">
        <w:rPr>
          <w:caps/>
        </w:rPr>
        <w:t xml:space="preserve">IV міжнародній медико-фармацевтичній конференції студентів і молодих вчених </w:t>
      </w:r>
      <w:r>
        <w:rPr>
          <w:caps/>
        </w:rPr>
        <w:br w:type="textWrapping" w:clear="all"/>
      </w:r>
      <w:r w:rsidRPr="007F0894">
        <w:rPr>
          <w:caps/>
        </w:rPr>
        <w:t>(</w:t>
      </w:r>
      <w:r>
        <w:rPr>
          <w:caps/>
        </w:rPr>
        <w:t xml:space="preserve">м. </w:t>
      </w:r>
      <w:r w:rsidRPr="007F0894">
        <w:rPr>
          <w:caps/>
        </w:rPr>
        <w:t>Чернівці, 2007 р.), засіданнях обласної Асоціації інфекціоністів м. Харкова.</w:t>
      </w:r>
    </w:p>
    <w:p w:rsidR="007C7BBA" w:rsidRPr="003D4BBE" w:rsidRDefault="007C7BBA" w:rsidP="007C7BBA">
      <w:pPr>
        <w:pStyle w:val="22"/>
        <w:tabs>
          <w:tab w:val="left" w:pos="567"/>
        </w:tabs>
        <w:spacing w:after="0" w:line="240" w:lineRule="auto"/>
        <w:ind w:left="0" w:firstLine="567"/>
        <w:jc w:val="both"/>
        <w:rPr>
          <w:sz w:val="28"/>
          <w:szCs w:val="28"/>
          <w:lang w:val="uk-UA"/>
        </w:rPr>
      </w:pPr>
      <w:r w:rsidRPr="003D4BBE">
        <w:rPr>
          <w:b/>
          <w:sz w:val="28"/>
          <w:szCs w:val="28"/>
          <w:lang w:val="uk-UA"/>
        </w:rPr>
        <w:t xml:space="preserve">Впровадження результатів досліджень. </w:t>
      </w:r>
      <w:r w:rsidRPr="003D4BBE">
        <w:rPr>
          <w:sz w:val="28"/>
          <w:szCs w:val="28"/>
          <w:lang w:val="uk-UA"/>
        </w:rPr>
        <w:t xml:space="preserve">Матеріали дисертаційної роботи впроваджені в лікувально-діагностичний процес у відділеннях Обласної клінічної інфекційної лікарні м. Харкова, Обласної клінічної лікарні м. Полтави, Обласної клінічної лікарні м. Луганська, використовуються у навчальному процесі на кафедрах інфекційних хвороб Харківського національного медичного університету, Української медичної стоматологічної академії (м. Полтава), кафедрі клінічної імунології, алергології та медичної генетики Луганського державного медичного університету </w:t>
      </w:r>
    </w:p>
    <w:p w:rsidR="007C7BBA" w:rsidRPr="002D0186" w:rsidRDefault="007C7BBA" w:rsidP="007C7BBA">
      <w:pPr>
        <w:pStyle w:val="a5"/>
        <w:widowControl w:val="0"/>
        <w:tabs>
          <w:tab w:val="left" w:pos="567"/>
        </w:tabs>
        <w:ind w:firstLine="567"/>
        <w:jc w:val="both"/>
        <w:rPr>
          <w:caps/>
        </w:rPr>
      </w:pPr>
      <w:r w:rsidRPr="002D0186">
        <w:rPr>
          <w:b/>
          <w:caps/>
          <w:szCs w:val="28"/>
        </w:rPr>
        <w:t xml:space="preserve">Публікації. </w:t>
      </w:r>
      <w:r w:rsidRPr="002D0186">
        <w:rPr>
          <w:caps/>
          <w:szCs w:val="28"/>
        </w:rPr>
        <w:t>Основні положення дисертаційного дослідження опубліковано</w:t>
      </w:r>
      <w:r>
        <w:rPr>
          <w:caps/>
          <w:szCs w:val="28"/>
        </w:rPr>
        <w:t xml:space="preserve"> в 18</w:t>
      </w:r>
      <w:r w:rsidRPr="002D0186">
        <w:rPr>
          <w:caps/>
          <w:szCs w:val="28"/>
        </w:rPr>
        <w:t xml:space="preserve"> роботах (4 статті</w:t>
      </w:r>
      <w:r w:rsidRPr="002D0186">
        <w:rPr>
          <w:caps/>
        </w:rPr>
        <w:t xml:space="preserve"> у фахових виданнях, що затв</w:t>
      </w:r>
      <w:r>
        <w:rPr>
          <w:caps/>
        </w:rPr>
        <w:t>ерджені ВАК України, решта</w:t>
      </w:r>
      <w:r w:rsidRPr="002D0186">
        <w:rPr>
          <w:caps/>
        </w:rPr>
        <w:t xml:space="preserve"> – у матеріалах і тезах з’їздів і конференцій) та двох деклараційних патентах. </w:t>
      </w:r>
    </w:p>
    <w:p w:rsidR="007C7BBA" w:rsidRPr="007F0894" w:rsidRDefault="007C7BBA" w:rsidP="007C7BBA">
      <w:pPr>
        <w:pStyle w:val="a5"/>
        <w:tabs>
          <w:tab w:val="left" w:pos="567"/>
        </w:tabs>
        <w:ind w:firstLine="567"/>
        <w:jc w:val="both"/>
        <w:rPr>
          <w:b/>
          <w:caps/>
        </w:rPr>
      </w:pPr>
      <w:r w:rsidRPr="007F0894">
        <w:rPr>
          <w:b/>
          <w:caps/>
        </w:rPr>
        <w:t>Структура і обсяг дисертації.</w:t>
      </w:r>
      <w:r>
        <w:rPr>
          <w:b/>
          <w:caps/>
        </w:rPr>
        <w:t xml:space="preserve"> </w:t>
      </w:r>
      <w:r>
        <w:rPr>
          <w:caps/>
        </w:rPr>
        <w:t>Роботу викладено</w:t>
      </w:r>
      <w:r w:rsidRPr="007F0894">
        <w:rPr>
          <w:caps/>
        </w:rPr>
        <w:t xml:space="preserve"> за загальноприйнятою формою на </w:t>
      </w:r>
      <w:r w:rsidRPr="00C27D99">
        <w:rPr>
          <w:caps/>
        </w:rPr>
        <w:t>15</w:t>
      </w:r>
      <w:r>
        <w:rPr>
          <w:caps/>
        </w:rPr>
        <w:t>7</w:t>
      </w:r>
      <w:r w:rsidRPr="0065196B">
        <w:rPr>
          <w:caps/>
        </w:rPr>
        <w:t xml:space="preserve"> сторінках машинописного тексту, вона включає вступ, огляд літератури, 7 розділів власних досліджень, аналіз і узагальнення результатів, висновки й практичні рекомендації, список налічує 3</w:t>
      </w:r>
      <w:r>
        <w:rPr>
          <w:caps/>
        </w:rPr>
        <w:t>73</w:t>
      </w:r>
      <w:r w:rsidRPr="007F0894">
        <w:rPr>
          <w:caps/>
        </w:rPr>
        <w:t xml:space="preserve"> </w:t>
      </w:r>
      <w:r>
        <w:rPr>
          <w:caps/>
        </w:rPr>
        <w:t>найменування</w:t>
      </w:r>
      <w:r w:rsidRPr="007F0894">
        <w:rPr>
          <w:caps/>
        </w:rPr>
        <w:t xml:space="preserve"> літературних</w:t>
      </w:r>
      <w:r>
        <w:rPr>
          <w:caps/>
        </w:rPr>
        <w:t xml:space="preserve"> джерел, з них кирилицею – </w:t>
      </w:r>
      <w:r w:rsidRPr="007F0894">
        <w:rPr>
          <w:caps/>
        </w:rPr>
        <w:t>23</w:t>
      </w:r>
      <w:r>
        <w:rPr>
          <w:caps/>
        </w:rPr>
        <w:t>1</w:t>
      </w:r>
      <w:r w:rsidRPr="007F0894">
        <w:rPr>
          <w:caps/>
        </w:rPr>
        <w:t xml:space="preserve">, латиницею </w:t>
      </w:r>
      <w:r>
        <w:rPr>
          <w:caps/>
        </w:rPr>
        <w:t>–</w:t>
      </w:r>
      <w:r w:rsidRPr="007F0894">
        <w:rPr>
          <w:caps/>
        </w:rPr>
        <w:t xml:space="preserve"> 1</w:t>
      </w:r>
      <w:r>
        <w:rPr>
          <w:caps/>
        </w:rPr>
        <w:t>42</w:t>
      </w:r>
      <w:r w:rsidRPr="007F0894">
        <w:rPr>
          <w:caps/>
        </w:rPr>
        <w:t xml:space="preserve">. Робота </w:t>
      </w:r>
      <w:r w:rsidRPr="0021202D">
        <w:rPr>
          <w:caps/>
        </w:rPr>
        <w:t>містить 26 таблиць, 10 рисунків.</w:t>
      </w:r>
    </w:p>
    <w:p w:rsidR="007C7BBA" w:rsidRPr="00AD70FC" w:rsidRDefault="007C7BBA" w:rsidP="007C7BBA">
      <w:pPr>
        <w:pStyle w:val="a5"/>
        <w:tabs>
          <w:tab w:val="left" w:pos="567"/>
        </w:tabs>
        <w:ind w:firstLine="567"/>
        <w:jc w:val="both"/>
        <w:rPr>
          <w:b/>
          <w:caps/>
        </w:rPr>
      </w:pPr>
    </w:p>
    <w:p w:rsidR="007C7BBA" w:rsidRPr="00AD70FC" w:rsidRDefault="007C7BBA" w:rsidP="007C7BBA">
      <w:pPr>
        <w:pStyle w:val="22"/>
        <w:tabs>
          <w:tab w:val="left" w:pos="567"/>
        </w:tabs>
        <w:spacing w:line="240" w:lineRule="auto"/>
        <w:ind w:left="0" w:firstLine="567"/>
        <w:jc w:val="center"/>
        <w:rPr>
          <w:b/>
          <w:sz w:val="28"/>
          <w:lang w:val="uk-UA"/>
        </w:rPr>
      </w:pPr>
      <w:r w:rsidRPr="00AD70FC">
        <w:rPr>
          <w:b/>
          <w:sz w:val="28"/>
          <w:lang w:val="uk-UA"/>
        </w:rPr>
        <w:t>ОСНОВНИЙ ЗМІСТ РОБОТИ</w:t>
      </w:r>
    </w:p>
    <w:p w:rsidR="007C7BBA" w:rsidRPr="00AD70FC" w:rsidRDefault="007C7BBA" w:rsidP="007C7BBA">
      <w:pPr>
        <w:pStyle w:val="a9"/>
        <w:tabs>
          <w:tab w:val="left" w:pos="567"/>
        </w:tabs>
        <w:ind w:firstLine="567"/>
        <w:jc w:val="both"/>
      </w:pPr>
      <w:r w:rsidRPr="00AD70FC">
        <w:rPr>
          <w:b w:val="0"/>
        </w:rPr>
        <w:lastRenderedPageBreak/>
        <w:t>Об’єкт і методи дослідження</w:t>
      </w:r>
      <w:r w:rsidRPr="00AD70FC">
        <w:t>. Дослідження проводилися на кафедрі інфекційних хвороб Харківського національного медичного університ</w:t>
      </w:r>
      <w:r>
        <w:t>ету і клінічній базі кафедри – О</w:t>
      </w:r>
      <w:r w:rsidRPr="00AD70FC">
        <w:t>бласній клінічній інфекційній лікарні м. Харкова. Клінічні спостереження здійснювалися в гепатологічних відділеннях лікарні.</w:t>
      </w:r>
    </w:p>
    <w:p w:rsidR="007C7BBA" w:rsidRPr="00AD70FC" w:rsidRDefault="007C7BBA" w:rsidP="007C7BBA">
      <w:pPr>
        <w:pStyle w:val="a9"/>
        <w:tabs>
          <w:tab w:val="left" w:pos="567"/>
        </w:tabs>
        <w:ind w:firstLine="567"/>
        <w:jc w:val="both"/>
      </w:pPr>
      <w:r w:rsidRPr="00AD70FC">
        <w:t>Клінічн</w:t>
      </w:r>
      <w:r>
        <w:t>і, мікробіологічні, біохімічні та</w:t>
      </w:r>
      <w:r w:rsidRPr="00AD70FC">
        <w:t xml:space="preserve"> імуно</w:t>
      </w:r>
      <w:r>
        <w:t>логічні дослідження виконувалися</w:t>
      </w:r>
      <w:r w:rsidRPr="00AD70FC">
        <w:t xml:space="preserve"> у відповідних лабораторіях лікарні. Визначення рівнів </w:t>
      </w:r>
      <w:r w:rsidRPr="002D0186">
        <w:t xml:space="preserve">ЦП і </w:t>
      </w:r>
      <w:r w:rsidRPr="002D0186">
        <w:br w:type="textWrapping" w:clear="all"/>
      </w:r>
      <w:r w:rsidRPr="00AD70FC">
        <w:t>ГГ – в лабораторії ТОВ фірми «Б.А.Т.» м. Харкова.</w:t>
      </w:r>
    </w:p>
    <w:p w:rsidR="007C7BBA" w:rsidRPr="00AD70FC" w:rsidRDefault="007C7BBA" w:rsidP="007C7BBA">
      <w:pPr>
        <w:pStyle w:val="a7"/>
        <w:tabs>
          <w:tab w:val="left" w:pos="567"/>
        </w:tabs>
        <w:spacing w:after="0"/>
        <w:ind w:left="0" w:firstLine="567"/>
        <w:jc w:val="both"/>
        <w:rPr>
          <w:sz w:val="28"/>
          <w:lang w:val="uk-UA"/>
        </w:rPr>
      </w:pPr>
      <w:r w:rsidRPr="00AD70FC">
        <w:rPr>
          <w:sz w:val="28"/>
          <w:lang w:val="uk-UA"/>
        </w:rPr>
        <w:t>Об'єкто</w:t>
      </w:r>
      <w:r>
        <w:rPr>
          <w:sz w:val="28"/>
          <w:lang w:val="uk-UA"/>
        </w:rPr>
        <w:t xml:space="preserve">м нагляду були 199 хворих на </w:t>
      </w:r>
      <w:r w:rsidRPr="00AD70FC">
        <w:rPr>
          <w:sz w:val="28"/>
          <w:lang w:val="uk-UA"/>
        </w:rPr>
        <w:t>ГА віком від 16 до 66 років та 32 особи контрольної групи. Серед загальної кількості хворих 31 чоловік поступ</w:t>
      </w:r>
      <w:r>
        <w:rPr>
          <w:sz w:val="28"/>
          <w:lang w:val="uk-UA"/>
        </w:rPr>
        <w:t xml:space="preserve">ив у стаціонар під час спалаху </w:t>
      </w:r>
      <w:r w:rsidRPr="00AD70FC">
        <w:rPr>
          <w:sz w:val="28"/>
          <w:lang w:val="uk-UA"/>
        </w:rPr>
        <w:t>ГА в селищі Черкаська Лозова Харківської області в березні 2005 року.</w:t>
      </w:r>
    </w:p>
    <w:p w:rsidR="007C7BBA" w:rsidRPr="00AD70FC" w:rsidRDefault="007C7BBA" w:rsidP="007C7BBA">
      <w:pPr>
        <w:pStyle w:val="22"/>
        <w:tabs>
          <w:tab w:val="left" w:pos="567"/>
        </w:tabs>
        <w:spacing w:after="0" w:line="240" w:lineRule="auto"/>
        <w:ind w:left="0" w:firstLine="567"/>
        <w:jc w:val="both"/>
        <w:rPr>
          <w:sz w:val="28"/>
          <w:szCs w:val="28"/>
          <w:lang w:val="uk-UA"/>
        </w:rPr>
      </w:pPr>
      <w:r w:rsidRPr="00AD70FC">
        <w:rPr>
          <w:sz w:val="28"/>
          <w:szCs w:val="28"/>
          <w:lang w:val="uk-UA"/>
        </w:rPr>
        <w:t>Верифікація діагнозу проводилася на основі клініко-епідеміологічних даних, результатів лабораторних та інструментальних досліджень. Усім хворим нар</w:t>
      </w:r>
      <w:r>
        <w:rPr>
          <w:sz w:val="28"/>
          <w:szCs w:val="28"/>
          <w:lang w:val="uk-UA"/>
        </w:rPr>
        <w:t>івні</w:t>
      </w:r>
      <w:r w:rsidRPr="00AD70FC">
        <w:rPr>
          <w:sz w:val="28"/>
          <w:szCs w:val="28"/>
          <w:lang w:val="uk-UA"/>
        </w:rPr>
        <w:t xml:space="preserve"> з постійним клінічним наглядом проводили загальноприйняті та спеціальні біохімічні та імунологічні обстеження. Загальноприйнятими методами досліджували клінічні аналізи крові, сечі, печінкові проби, кал на дисбактеріоз, коагулограму, протеінограму. Маркери вірусних гепатитів виявляли методом ІФА </w:t>
      </w:r>
      <w:r>
        <w:rPr>
          <w:sz w:val="28"/>
          <w:szCs w:val="28"/>
          <w:lang w:val="uk-UA"/>
        </w:rPr>
        <w:t>і</w:t>
      </w:r>
      <w:r w:rsidRPr="00AD70FC">
        <w:rPr>
          <w:sz w:val="28"/>
          <w:szCs w:val="28"/>
          <w:lang w:val="uk-UA"/>
        </w:rPr>
        <w:t>з застосуванням комерційних тест-систем «Вектогеп А-IgM –</w:t>
      </w:r>
      <w:r>
        <w:rPr>
          <w:sz w:val="28"/>
          <w:szCs w:val="28"/>
          <w:lang w:val="uk-UA"/>
        </w:rPr>
        <w:t xml:space="preserve"> </w:t>
      </w:r>
      <w:r w:rsidRPr="00AD70FC">
        <w:rPr>
          <w:sz w:val="28"/>
          <w:szCs w:val="28"/>
          <w:lang w:val="uk-UA"/>
        </w:rPr>
        <w:t>стрип» виробництва ЗАТ «Вектор-Бест» (м. Новосибірс</w:t>
      </w:r>
      <w:r>
        <w:rPr>
          <w:sz w:val="28"/>
          <w:szCs w:val="28"/>
          <w:lang w:val="uk-UA"/>
        </w:rPr>
        <w:t>ь</w:t>
      </w:r>
      <w:r w:rsidRPr="00AD70FC">
        <w:rPr>
          <w:sz w:val="28"/>
          <w:szCs w:val="28"/>
          <w:lang w:val="uk-UA"/>
        </w:rPr>
        <w:t xml:space="preserve">к, Росія). </w:t>
      </w:r>
    </w:p>
    <w:p w:rsidR="007C7BBA" w:rsidRPr="00AD70FC" w:rsidRDefault="007C7BBA" w:rsidP="007C7BBA">
      <w:pPr>
        <w:pStyle w:val="aff3"/>
        <w:widowControl w:val="0"/>
        <w:tabs>
          <w:tab w:val="left" w:pos="567"/>
        </w:tabs>
        <w:ind w:firstLine="567"/>
        <w:jc w:val="both"/>
        <w:rPr>
          <w:sz w:val="28"/>
          <w:szCs w:val="28"/>
          <w:lang w:val="uk-UA"/>
        </w:rPr>
      </w:pPr>
      <w:r w:rsidRPr="00AD70FC">
        <w:rPr>
          <w:sz w:val="28"/>
          <w:szCs w:val="28"/>
          <w:lang w:val="uk-UA"/>
        </w:rPr>
        <w:t>Спеціальні біохімічні та імунологічні дослідження проводили на 1 та 20</w:t>
      </w:r>
      <w:r>
        <w:rPr>
          <w:sz w:val="28"/>
          <w:szCs w:val="28"/>
          <w:lang w:val="uk-UA"/>
        </w:rPr>
        <w:t>–</w:t>
      </w:r>
      <w:r w:rsidRPr="00AD70FC">
        <w:rPr>
          <w:sz w:val="28"/>
          <w:szCs w:val="28"/>
          <w:lang w:val="uk-UA"/>
        </w:rPr>
        <w:t>22 добу перебування у стаціонарі (гострий період та період ранньої реконвалесценції). Рівень СРБ</w:t>
      </w:r>
      <w:r>
        <w:rPr>
          <w:sz w:val="28"/>
          <w:szCs w:val="28"/>
          <w:lang w:val="uk-UA"/>
        </w:rPr>
        <w:t xml:space="preserve"> у</w:t>
      </w:r>
      <w:r w:rsidRPr="00AD70FC">
        <w:rPr>
          <w:sz w:val="28"/>
          <w:szCs w:val="28"/>
          <w:lang w:val="uk-UA"/>
        </w:rPr>
        <w:t xml:space="preserve"> сироватці крові ми досліджували методом ІФА </w:t>
      </w:r>
      <w:r>
        <w:rPr>
          <w:sz w:val="28"/>
          <w:szCs w:val="28"/>
          <w:lang w:val="uk-UA"/>
        </w:rPr>
        <w:t>і</w:t>
      </w:r>
      <w:r w:rsidRPr="00AD70FC">
        <w:rPr>
          <w:sz w:val="28"/>
          <w:szCs w:val="28"/>
          <w:lang w:val="uk-UA"/>
        </w:rPr>
        <w:t>з застосуванням тест-системи для кількісного визнач</w:t>
      </w:r>
      <w:r>
        <w:rPr>
          <w:sz w:val="28"/>
          <w:szCs w:val="28"/>
          <w:lang w:val="uk-UA"/>
        </w:rPr>
        <w:t>ення С-реактивного протеїну (ТОВ.</w:t>
      </w:r>
      <w:r w:rsidRPr="00AD70FC">
        <w:rPr>
          <w:sz w:val="28"/>
          <w:szCs w:val="28"/>
          <w:lang w:val="uk-UA"/>
        </w:rPr>
        <w:t xml:space="preserve"> Укрмедсервіс, м.</w:t>
      </w:r>
      <w:r>
        <w:rPr>
          <w:sz w:val="28"/>
          <w:szCs w:val="28"/>
          <w:lang w:val="uk-UA"/>
        </w:rPr>
        <w:t xml:space="preserve"> </w:t>
      </w:r>
      <w:r w:rsidRPr="00AD70FC">
        <w:rPr>
          <w:sz w:val="28"/>
          <w:szCs w:val="28"/>
          <w:lang w:val="uk-UA"/>
        </w:rPr>
        <w:t>Донецьк).</w:t>
      </w:r>
      <w:r>
        <w:rPr>
          <w:sz w:val="28"/>
          <w:szCs w:val="28"/>
          <w:lang w:val="uk-UA"/>
        </w:rPr>
        <w:t xml:space="preserve"> ГГ визначали за</w:t>
      </w:r>
      <w:r w:rsidRPr="00AD70FC">
        <w:rPr>
          <w:sz w:val="28"/>
          <w:szCs w:val="28"/>
          <w:lang w:val="uk-UA"/>
        </w:rPr>
        <w:t xml:space="preserve"> гемоглобінзв’язуюч</w:t>
      </w:r>
      <w:r>
        <w:rPr>
          <w:sz w:val="28"/>
          <w:szCs w:val="28"/>
          <w:lang w:val="uk-UA"/>
        </w:rPr>
        <w:t>ою здатністю</w:t>
      </w:r>
      <w:r w:rsidRPr="00AD70FC">
        <w:rPr>
          <w:sz w:val="28"/>
          <w:szCs w:val="28"/>
          <w:lang w:val="uk-UA"/>
        </w:rPr>
        <w:t xml:space="preserve"> сироватки крові фотометричним методом. Визначення активності ЦП проводили модифікованим методом H.A. Ravin (С.В. Бестужева, В.Г. Колб). </w:t>
      </w:r>
    </w:p>
    <w:p w:rsidR="007C7BBA" w:rsidRPr="00AD70FC" w:rsidRDefault="007C7BBA" w:rsidP="007C7BBA">
      <w:pPr>
        <w:pStyle w:val="a5"/>
        <w:tabs>
          <w:tab w:val="left" w:pos="567"/>
        </w:tabs>
        <w:ind w:firstLine="567"/>
        <w:jc w:val="both"/>
        <w:rPr>
          <w:caps/>
        </w:rPr>
      </w:pPr>
      <w:r w:rsidRPr="00AD70FC">
        <w:rPr>
          <w:caps/>
          <w:szCs w:val="28"/>
        </w:rPr>
        <w:t>Стан місцевого імунітету оцінювали</w:t>
      </w:r>
      <w:r w:rsidRPr="00AD70FC">
        <w:rPr>
          <w:caps/>
        </w:rPr>
        <w:t xml:space="preserve"> шляхом кількісного аналізу SІgA в копрофільтратах, застосовували метод ІФА з використанням тест-системи «IgA секреторний» ІФА-Бест виробництва ЗАТ «Вектор-</w:t>
      </w:r>
      <w:r w:rsidRPr="0091085C">
        <w:rPr>
          <w:caps/>
        </w:rPr>
        <w:t>Бест»</w:t>
      </w:r>
      <w:r w:rsidRPr="00AD70FC">
        <w:rPr>
          <w:caps/>
        </w:rPr>
        <w:t xml:space="preserve"> </w:t>
      </w:r>
      <w:r>
        <w:rPr>
          <w:caps/>
        </w:rPr>
        <w:t xml:space="preserve">(Росия, </w:t>
      </w:r>
      <w:r>
        <w:rPr>
          <w:caps/>
        </w:rPr>
        <w:br w:type="textWrapping" w:clear="all"/>
      </w:r>
      <w:r w:rsidRPr="00AD70FC">
        <w:rPr>
          <w:caps/>
        </w:rPr>
        <w:t>м. Новосибірс</w:t>
      </w:r>
      <w:r>
        <w:rPr>
          <w:caps/>
        </w:rPr>
        <w:t>ьк</w:t>
      </w:r>
      <w:r w:rsidRPr="00AD70FC">
        <w:rPr>
          <w:caps/>
        </w:rPr>
        <w:t xml:space="preserve">). </w:t>
      </w:r>
    </w:p>
    <w:p w:rsidR="007C7BBA" w:rsidRPr="00AD70FC" w:rsidRDefault="007C7BBA" w:rsidP="007C7BBA">
      <w:pPr>
        <w:tabs>
          <w:tab w:val="left" w:pos="567"/>
        </w:tabs>
        <w:ind w:firstLine="567"/>
        <w:jc w:val="both"/>
        <w:rPr>
          <w:sz w:val="28"/>
          <w:lang w:val="uk-UA"/>
        </w:rPr>
      </w:pPr>
      <w:r w:rsidRPr="00AD70FC">
        <w:rPr>
          <w:sz w:val="28"/>
          <w:lang w:val="uk-UA"/>
        </w:rPr>
        <w:t xml:space="preserve">Ефективність лікування препаратами лактулози і альтану оцінювали на підставі клінічних, біохімічних даних, показників мікробіоценозу товстої кишки, динаміки рівня </w:t>
      </w:r>
      <w:r w:rsidRPr="00AD70FC">
        <w:rPr>
          <w:sz w:val="28"/>
          <w:szCs w:val="28"/>
          <w:lang w:val="uk-UA"/>
        </w:rPr>
        <w:t>SІgA</w:t>
      </w:r>
      <w:r>
        <w:rPr>
          <w:sz w:val="28"/>
          <w:lang w:val="uk-UA"/>
        </w:rPr>
        <w:t xml:space="preserve"> в копрофільтратах та рівнів БГФ у</w:t>
      </w:r>
      <w:r w:rsidRPr="00AD70FC">
        <w:rPr>
          <w:sz w:val="28"/>
          <w:lang w:val="uk-UA"/>
        </w:rPr>
        <w:t xml:space="preserve"> динаміці хвороби.</w:t>
      </w:r>
    </w:p>
    <w:p w:rsidR="007C7BBA" w:rsidRPr="00AD70FC" w:rsidRDefault="007C7BBA" w:rsidP="007C7BBA">
      <w:pPr>
        <w:tabs>
          <w:tab w:val="left" w:pos="567"/>
        </w:tabs>
        <w:ind w:firstLine="567"/>
        <w:jc w:val="both"/>
        <w:rPr>
          <w:sz w:val="28"/>
          <w:szCs w:val="28"/>
          <w:lang w:val="uk-UA"/>
        </w:rPr>
      </w:pPr>
      <w:r w:rsidRPr="00AD70FC">
        <w:rPr>
          <w:sz w:val="28"/>
          <w:szCs w:val="28"/>
          <w:lang w:val="uk-UA"/>
        </w:rPr>
        <w:t>Результати досліджень опрацьовано методом варіаційної статистики</w:t>
      </w:r>
      <w:r>
        <w:rPr>
          <w:sz w:val="28"/>
          <w:szCs w:val="28"/>
          <w:lang w:val="uk-UA"/>
        </w:rPr>
        <w:t xml:space="preserve"> із </w:t>
      </w:r>
      <w:r w:rsidRPr="00AD70FC">
        <w:rPr>
          <w:sz w:val="28"/>
          <w:szCs w:val="28"/>
          <w:lang w:val="uk-UA"/>
        </w:rPr>
        <w:t xml:space="preserve">застосуванням </w:t>
      </w:r>
      <w:r>
        <w:rPr>
          <w:sz w:val="28"/>
          <w:szCs w:val="28"/>
          <w:lang w:val="uk-UA"/>
        </w:rPr>
        <w:t xml:space="preserve">комп’ютерних </w:t>
      </w:r>
      <w:r w:rsidRPr="00AD70FC">
        <w:rPr>
          <w:sz w:val="28"/>
          <w:szCs w:val="28"/>
          <w:lang w:val="uk-UA"/>
        </w:rPr>
        <w:t>програм</w:t>
      </w:r>
      <w:r>
        <w:rPr>
          <w:sz w:val="28"/>
          <w:szCs w:val="28"/>
          <w:lang w:val="uk-UA"/>
        </w:rPr>
        <w:t>.</w:t>
      </w:r>
      <w:r w:rsidRPr="00AD70FC">
        <w:rPr>
          <w:sz w:val="28"/>
          <w:szCs w:val="28"/>
          <w:lang w:val="uk-UA"/>
        </w:rPr>
        <w:t xml:space="preserve"> Вірогідність розходжень визначали за допомогою критерію Ст'юдента</w:t>
      </w:r>
      <w:r>
        <w:rPr>
          <w:sz w:val="28"/>
          <w:szCs w:val="28"/>
          <w:lang w:val="uk-UA"/>
        </w:rPr>
        <w:t>.</w:t>
      </w:r>
      <w:r w:rsidRPr="00AD70FC">
        <w:rPr>
          <w:sz w:val="28"/>
          <w:szCs w:val="28"/>
          <w:lang w:val="uk-UA"/>
        </w:rPr>
        <w:t xml:space="preserve"> Структурний аналіз отриманих результатів проведено за допомогою метод</w:t>
      </w:r>
      <w:r>
        <w:rPr>
          <w:sz w:val="28"/>
          <w:szCs w:val="28"/>
          <w:lang w:val="uk-UA"/>
        </w:rPr>
        <w:t>у</w:t>
      </w:r>
      <w:r w:rsidRPr="00AD70FC">
        <w:rPr>
          <w:sz w:val="28"/>
          <w:szCs w:val="28"/>
          <w:lang w:val="uk-UA"/>
        </w:rPr>
        <w:t xml:space="preserve"> кореляційних структур за А.М.</w:t>
      </w:r>
      <w:r>
        <w:rPr>
          <w:sz w:val="28"/>
          <w:szCs w:val="28"/>
          <w:lang w:val="uk-UA"/>
        </w:rPr>
        <w:t xml:space="preserve"> </w:t>
      </w:r>
      <w:r w:rsidRPr="00AD70FC">
        <w:rPr>
          <w:sz w:val="28"/>
          <w:szCs w:val="28"/>
          <w:lang w:val="uk-UA"/>
        </w:rPr>
        <w:t>Зосимовим (1993). Для розробки кр</w:t>
      </w:r>
      <w:r>
        <w:rPr>
          <w:sz w:val="28"/>
          <w:szCs w:val="28"/>
          <w:lang w:val="uk-UA"/>
        </w:rPr>
        <w:t xml:space="preserve">итеріїв прогнозування перебігу </w:t>
      </w:r>
      <w:r w:rsidRPr="00AD70FC">
        <w:rPr>
          <w:sz w:val="28"/>
          <w:szCs w:val="28"/>
          <w:lang w:val="uk-UA"/>
        </w:rPr>
        <w:t xml:space="preserve">ГА застосовували неоднорідну послідовну процедуру Вальда-Генкіна (1964). </w:t>
      </w:r>
    </w:p>
    <w:p w:rsidR="007C7BBA" w:rsidRPr="00AD70FC" w:rsidRDefault="007C7BBA" w:rsidP="007C7BBA">
      <w:pPr>
        <w:tabs>
          <w:tab w:val="left" w:pos="567"/>
        </w:tabs>
        <w:ind w:firstLine="567"/>
        <w:jc w:val="both"/>
        <w:rPr>
          <w:sz w:val="28"/>
          <w:szCs w:val="28"/>
          <w:lang w:val="uk-UA"/>
        </w:rPr>
      </w:pPr>
      <w:r w:rsidRPr="00AD70FC">
        <w:rPr>
          <w:b/>
          <w:sz w:val="28"/>
          <w:szCs w:val="28"/>
          <w:lang w:val="uk-UA"/>
        </w:rPr>
        <w:lastRenderedPageBreak/>
        <w:t xml:space="preserve">Результати досліджень та їх обговорення. </w:t>
      </w:r>
      <w:r>
        <w:rPr>
          <w:sz w:val="28"/>
          <w:szCs w:val="28"/>
          <w:lang w:val="uk-UA"/>
        </w:rPr>
        <w:t xml:space="preserve">Середній вік хворих на </w:t>
      </w:r>
      <w:r w:rsidRPr="00AD70FC">
        <w:rPr>
          <w:sz w:val="28"/>
          <w:szCs w:val="28"/>
          <w:lang w:val="uk-UA"/>
        </w:rPr>
        <w:t>ГА склав 32,22 рок</w:t>
      </w:r>
      <w:r>
        <w:rPr>
          <w:sz w:val="28"/>
          <w:szCs w:val="28"/>
          <w:lang w:val="uk-UA"/>
        </w:rPr>
        <w:t>и</w:t>
      </w:r>
      <w:r w:rsidRPr="00AD70FC">
        <w:rPr>
          <w:sz w:val="28"/>
          <w:szCs w:val="28"/>
          <w:lang w:val="uk-UA"/>
        </w:rPr>
        <w:t xml:space="preserve">: серед жінок – 32,35, серед чоловіків – 32,01. Більшість пацієнтів були у віці </w:t>
      </w:r>
      <w:r>
        <w:rPr>
          <w:sz w:val="28"/>
          <w:szCs w:val="28"/>
          <w:lang w:val="uk-UA"/>
        </w:rPr>
        <w:t>21–40 (54</w:t>
      </w:r>
      <w:r w:rsidRPr="009F3BEE">
        <w:rPr>
          <w:sz w:val="28"/>
          <w:szCs w:val="28"/>
          <w:lang w:val="uk-UA"/>
        </w:rPr>
        <w:t>,</w:t>
      </w:r>
      <w:r>
        <w:rPr>
          <w:sz w:val="28"/>
          <w:szCs w:val="28"/>
          <w:lang w:val="uk-UA"/>
        </w:rPr>
        <w:t xml:space="preserve">78 %) років. Під час спалаху </w:t>
      </w:r>
      <w:r w:rsidRPr="00AD70FC">
        <w:rPr>
          <w:sz w:val="28"/>
          <w:szCs w:val="28"/>
          <w:lang w:val="uk-UA"/>
        </w:rPr>
        <w:t>ГА в селищі Черкаська Лозова основною групою хворих були молоді люди віком від 16 д</w:t>
      </w:r>
      <w:r>
        <w:rPr>
          <w:sz w:val="28"/>
          <w:szCs w:val="28"/>
          <w:lang w:val="uk-UA"/>
        </w:rPr>
        <w:t>о 30 років (83,8 %), що свідчить про</w:t>
      </w:r>
      <w:r w:rsidRPr="00AD70FC">
        <w:rPr>
          <w:sz w:val="28"/>
          <w:szCs w:val="28"/>
          <w:lang w:val="uk-UA"/>
        </w:rPr>
        <w:t xml:space="preserve"> значну інтенсивність епідемі</w:t>
      </w:r>
      <w:r>
        <w:rPr>
          <w:sz w:val="28"/>
          <w:szCs w:val="28"/>
          <w:lang w:val="uk-UA"/>
        </w:rPr>
        <w:t>чного процесу у цьо</w:t>
      </w:r>
      <w:r w:rsidRPr="00AD70FC">
        <w:rPr>
          <w:sz w:val="28"/>
          <w:szCs w:val="28"/>
          <w:lang w:val="uk-UA"/>
        </w:rPr>
        <w:t>му селищі.</w:t>
      </w:r>
    </w:p>
    <w:p w:rsidR="007C7BBA" w:rsidRPr="00AD70FC" w:rsidRDefault="007C7BBA" w:rsidP="007C7BBA">
      <w:pPr>
        <w:pStyle w:val="22"/>
        <w:tabs>
          <w:tab w:val="left" w:pos="567"/>
        </w:tabs>
        <w:spacing w:after="0" w:line="240" w:lineRule="auto"/>
        <w:ind w:left="0" w:firstLine="567"/>
        <w:jc w:val="both"/>
        <w:rPr>
          <w:sz w:val="28"/>
          <w:lang w:val="uk-UA"/>
        </w:rPr>
      </w:pPr>
      <w:r w:rsidRPr="00AD70FC">
        <w:rPr>
          <w:sz w:val="28"/>
          <w:lang w:val="uk-UA"/>
        </w:rPr>
        <w:t>Усі обстежені мали маніфестну форму хвороби: у 194 (97,49</w:t>
      </w:r>
      <w:r>
        <w:rPr>
          <w:sz w:val="28"/>
          <w:lang w:val="uk-UA"/>
        </w:rPr>
        <w:t xml:space="preserve"> </w:t>
      </w:r>
      <w:r w:rsidRPr="00AD70FC">
        <w:rPr>
          <w:sz w:val="28"/>
          <w:lang w:val="uk-UA"/>
        </w:rPr>
        <w:t>%) зареєстрован</w:t>
      </w:r>
      <w:r>
        <w:rPr>
          <w:sz w:val="28"/>
          <w:lang w:val="uk-UA"/>
        </w:rPr>
        <w:t>о</w:t>
      </w:r>
      <w:r w:rsidRPr="00AD70FC">
        <w:rPr>
          <w:sz w:val="28"/>
          <w:lang w:val="uk-UA"/>
        </w:rPr>
        <w:t xml:space="preserve"> типов</w:t>
      </w:r>
      <w:r>
        <w:rPr>
          <w:sz w:val="28"/>
          <w:lang w:val="uk-UA"/>
        </w:rPr>
        <w:t>у</w:t>
      </w:r>
      <w:r w:rsidRPr="00AD70FC">
        <w:rPr>
          <w:sz w:val="28"/>
          <w:lang w:val="uk-UA"/>
        </w:rPr>
        <w:t xml:space="preserve"> жовтяничн</w:t>
      </w:r>
      <w:r>
        <w:rPr>
          <w:sz w:val="28"/>
          <w:lang w:val="uk-UA"/>
        </w:rPr>
        <w:t>у</w:t>
      </w:r>
      <w:r w:rsidRPr="00AD70FC">
        <w:rPr>
          <w:sz w:val="28"/>
          <w:lang w:val="uk-UA"/>
        </w:rPr>
        <w:t xml:space="preserve"> форм</w:t>
      </w:r>
      <w:r>
        <w:rPr>
          <w:sz w:val="28"/>
          <w:lang w:val="uk-UA"/>
        </w:rPr>
        <w:t>у</w:t>
      </w:r>
      <w:r w:rsidRPr="00AD70FC">
        <w:rPr>
          <w:sz w:val="28"/>
          <w:lang w:val="uk-UA"/>
        </w:rPr>
        <w:t>, у 5 (2,51</w:t>
      </w:r>
      <w:r>
        <w:rPr>
          <w:sz w:val="28"/>
          <w:lang w:val="uk-UA"/>
        </w:rPr>
        <w:t xml:space="preserve"> </w:t>
      </w:r>
      <w:r w:rsidRPr="00AD70FC">
        <w:rPr>
          <w:sz w:val="28"/>
          <w:lang w:val="uk-UA"/>
        </w:rPr>
        <w:t>%)</w:t>
      </w:r>
      <w:r>
        <w:rPr>
          <w:sz w:val="28"/>
          <w:lang w:val="uk-UA"/>
        </w:rPr>
        <w:t xml:space="preserve"> –</w:t>
      </w:r>
      <w:r w:rsidRPr="00AD70FC">
        <w:rPr>
          <w:sz w:val="28"/>
          <w:lang w:val="uk-UA"/>
        </w:rPr>
        <w:t xml:space="preserve"> безжовтяничн</w:t>
      </w:r>
      <w:r>
        <w:rPr>
          <w:sz w:val="28"/>
          <w:lang w:val="uk-UA"/>
        </w:rPr>
        <w:t>у</w:t>
      </w:r>
      <w:r w:rsidRPr="00AD70FC">
        <w:rPr>
          <w:sz w:val="28"/>
          <w:lang w:val="uk-UA"/>
        </w:rPr>
        <w:t xml:space="preserve">. </w:t>
      </w:r>
      <w:r>
        <w:rPr>
          <w:sz w:val="28"/>
          <w:lang w:val="uk-UA"/>
        </w:rPr>
        <w:t>З</w:t>
      </w:r>
      <w:r w:rsidRPr="00AD70FC">
        <w:rPr>
          <w:sz w:val="28"/>
          <w:lang w:val="uk-UA"/>
        </w:rPr>
        <w:t>алежно від тяжкості перебігу хвороби пацієнт</w:t>
      </w:r>
      <w:r>
        <w:rPr>
          <w:sz w:val="28"/>
          <w:lang w:val="uk-UA"/>
        </w:rPr>
        <w:t>ів</w:t>
      </w:r>
      <w:r w:rsidRPr="00AD70FC">
        <w:rPr>
          <w:sz w:val="28"/>
          <w:lang w:val="uk-UA"/>
        </w:rPr>
        <w:t xml:space="preserve"> бул</w:t>
      </w:r>
      <w:r>
        <w:rPr>
          <w:sz w:val="28"/>
          <w:lang w:val="uk-UA"/>
        </w:rPr>
        <w:t>о</w:t>
      </w:r>
      <w:r w:rsidRPr="00AD70FC">
        <w:rPr>
          <w:sz w:val="28"/>
          <w:lang w:val="uk-UA"/>
        </w:rPr>
        <w:t xml:space="preserve"> поділен</w:t>
      </w:r>
      <w:r>
        <w:rPr>
          <w:sz w:val="28"/>
          <w:lang w:val="uk-UA"/>
        </w:rPr>
        <w:t>о</w:t>
      </w:r>
      <w:r w:rsidRPr="00AD70FC">
        <w:rPr>
          <w:sz w:val="28"/>
          <w:lang w:val="uk-UA"/>
        </w:rPr>
        <w:t xml:space="preserve"> на дві групи. Першу групу нагляду склали 111 (55,78</w:t>
      </w:r>
      <w:r>
        <w:rPr>
          <w:sz w:val="28"/>
          <w:lang w:val="uk-UA"/>
        </w:rPr>
        <w:t xml:space="preserve"> </w:t>
      </w:r>
      <w:r w:rsidRPr="00AD70FC">
        <w:rPr>
          <w:sz w:val="28"/>
          <w:lang w:val="uk-UA"/>
        </w:rPr>
        <w:t>%) хворих, у яких діагностовано легку форму хвороби, другу групу – 88</w:t>
      </w:r>
      <w:r>
        <w:rPr>
          <w:sz w:val="28"/>
          <w:lang w:val="uk-UA"/>
        </w:rPr>
        <w:t xml:space="preserve"> (44,22 %) з середньою тяжкістю </w:t>
      </w:r>
      <w:r w:rsidRPr="00AD70FC">
        <w:rPr>
          <w:sz w:val="28"/>
          <w:lang w:val="uk-UA"/>
        </w:rPr>
        <w:t>ГА. Затяжна реконвалесценція хвороби (до 54</w:t>
      </w:r>
      <w:r>
        <w:rPr>
          <w:sz w:val="28"/>
          <w:szCs w:val="28"/>
          <w:lang w:val="uk-UA"/>
        </w:rPr>
        <w:t>–</w:t>
      </w:r>
      <w:r w:rsidRPr="00AD70FC">
        <w:rPr>
          <w:sz w:val="28"/>
          <w:lang w:val="uk-UA"/>
        </w:rPr>
        <w:t>62 днів) відмічалася у 16 хворих (14,81</w:t>
      </w:r>
      <w:r>
        <w:rPr>
          <w:sz w:val="28"/>
          <w:lang w:val="uk-UA"/>
        </w:rPr>
        <w:t xml:space="preserve"> </w:t>
      </w:r>
      <w:r w:rsidRPr="00AD70FC">
        <w:rPr>
          <w:sz w:val="28"/>
          <w:lang w:val="uk-UA"/>
        </w:rPr>
        <w:t xml:space="preserve">%). </w:t>
      </w:r>
    </w:p>
    <w:p w:rsidR="007C7BBA" w:rsidRPr="00AD70FC" w:rsidRDefault="007C7BBA" w:rsidP="007C7BBA">
      <w:pPr>
        <w:pStyle w:val="22"/>
        <w:tabs>
          <w:tab w:val="left" w:pos="567"/>
        </w:tabs>
        <w:spacing w:after="0" w:line="240" w:lineRule="auto"/>
        <w:ind w:left="0" w:firstLine="567"/>
        <w:jc w:val="both"/>
        <w:rPr>
          <w:sz w:val="28"/>
          <w:lang w:val="uk-UA"/>
        </w:rPr>
      </w:pPr>
      <w:r w:rsidRPr="00AD70FC">
        <w:rPr>
          <w:sz w:val="28"/>
          <w:lang w:val="uk-UA"/>
        </w:rPr>
        <w:t>Аналіз епіданамнезу показав, що у 48 пацієнтів (24</w:t>
      </w:r>
      <w:r>
        <w:rPr>
          <w:sz w:val="28"/>
          <w:lang w:val="uk-UA"/>
        </w:rPr>
        <w:t xml:space="preserve">,12 %) був контакт з хворими на </w:t>
      </w:r>
      <w:r w:rsidRPr="00AD70FC">
        <w:rPr>
          <w:sz w:val="28"/>
          <w:lang w:val="uk-UA"/>
        </w:rPr>
        <w:t>ГА, 99 (49,75</w:t>
      </w:r>
      <w:r>
        <w:rPr>
          <w:sz w:val="28"/>
          <w:lang w:val="uk-UA"/>
        </w:rPr>
        <w:t xml:space="preserve"> </w:t>
      </w:r>
      <w:r w:rsidRPr="00AD70FC">
        <w:rPr>
          <w:sz w:val="28"/>
          <w:lang w:val="uk-UA"/>
        </w:rPr>
        <w:t>%) вживали некип'ячену воду або немиті овочі і фрукти, 52 (26,13</w:t>
      </w:r>
      <w:r>
        <w:rPr>
          <w:sz w:val="28"/>
          <w:lang w:val="uk-UA"/>
        </w:rPr>
        <w:t xml:space="preserve"> </w:t>
      </w:r>
      <w:r w:rsidRPr="00AD70FC">
        <w:rPr>
          <w:sz w:val="28"/>
          <w:lang w:val="uk-UA"/>
        </w:rPr>
        <w:t xml:space="preserve">%) не могли </w:t>
      </w:r>
      <w:r>
        <w:rPr>
          <w:sz w:val="28"/>
          <w:lang w:val="uk-UA"/>
        </w:rPr>
        <w:t>зазначити</w:t>
      </w:r>
      <w:r w:rsidRPr="009F3BEE">
        <w:rPr>
          <w:sz w:val="28"/>
          <w:lang w:val="uk-UA"/>
        </w:rPr>
        <w:t xml:space="preserve"> </w:t>
      </w:r>
      <w:r>
        <w:rPr>
          <w:sz w:val="28"/>
          <w:lang w:val="uk-UA"/>
        </w:rPr>
        <w:t>джерело інфекції</w:t>
      </w:r>
      <w:r w:rsidRPr="00AD70FC">
        <w:rPr>
          <w:sz w:val="28"/>
          <w:lang w:val="uk-UA"/>
        </w:rPr>
        <w:t>. Офіційно установлено, що с</w:t>
      </w:r>
      <w:r>
        <w:rPr>
          <w:sz w:val="28"/>
          <w:lang w:val="uk-UA"/>
        </w:rPr>
        <w:t xml:space="preserve">палах </w:t>
      </w:r>
      <w:r w:rsidRPr="00AD70FC">
        <w:rPr>
          <w:sz w:val="28"/>
          <w:lang w:val="uk-UA"/>
        </w:rPr>
        <w:t>ГА в селищі Черкаська Лозова був пов'язаний з вживанням неякісної води.</w:t>
      </w:r>
    </w:p>
    <w:p w:rsidR="007C7BBA" w:rsidRPr="00AD70FC" w:rsidRDefault="007C7BBA" w:rsidP="007C7BBA">
      <w:pPr>
        <w:pStyle w:val="a5"/>
        <w:tabs>
          <w:tab w:val="left" w:pos="567"/>
        </w:tabs>
        <w:ind w:firstLine="567"/>
        <w:jc w:val="both"/>
        <w:rPr>
          <w:caps/>
        </w:rPr>
      </w:pPr>
      <w:r w:rsidRPr="00AD70FC">
        <w:rPr>
          <w:caps/>
        </w:rPr>
        <w:t>Більшість хворих (64,82</w:t>
      </w:r>
      <w:r>
        <w:rPr>
          <w:caps/>
        </w:rPr>
        <w:t xml:space="preserve"> </w:t>
      </w:r>
      <w:r w:rsidRPr="00AD70FC">
        <w:rPr>
          <w:caps/>
        </w:rPr>
        <w:t>%) були госпіталізовані на 5</w:t>
      </w:r>
      <w:r>
        <w:rPr>
          <w:szCs w:val="28"/>
        </w:rPr>
        <w:t>–</w:t>
      </w:r>
      <w:r w:rsidRPr="00AD70FC">
        <w:rPr>
          <w:caps/>
        </w:rPr>
        <w:t>7 день хвороби при появі жовтяниці, на 8</w:t>
      </w:r>
      <w:r>
        <w:rPr>
          <w:szCs w:val="28"/>
        </w:rPr>
        <w:t>–</w:t>
      </w:r>
      <w:r w:rsidRPr="00AD70FC">
        <w:rPr>
          <w:caps/>
        </w:rPr>
        <w:t>10 день – 34,17</w:t>
      </w:r>
      <w:r>
        <w:rPr>
          <w:caps/>
        </w:rPr>
        <w:t xml:space="preserve"> </w:t>
      </w:r>
      <w:r w:rsidRPr="00AD70FC">
        <w:rPr>
          <w:caps/>
        </w:rPr>
        <w:t>%, пізніше 11 дня – 2 (1,01</w:t>
      </w:r>
      <w:r>
        <w:rPr>
          <w:caps/>
        </w:rPr>
        <w:t xml:space="preserve"> </w:t>
      </w:r>
      <w:r w:rsidRPr="00AD70FC">
        <w:rPr>
          <w:caps/>
        </w:rPr>
        <w:t>%) хворих. Тривал</w:t>
      </w:r>
      <w:r>
        <w:rPr>
          <w:caps/>
        </w:rPr>
        <w:t xml:space="preserve">ість переджовтяничного періоду </w:t>
      </w:r>
      <w:r w:rsidRPr="00AD70FC">
        <w:rPr>
          <w:caps/>
        </w:rPr>
        <w:t>ГА в середньому склала 5 днів. Основними варіантами його був змішаний (78 хворих – 39,19</w:t>
      </w:r>
      <w:r>
        <w:rPr>
          <w:caps/>
        </w:rPr>
        <w:t xml:space="preserve"> </w:t>
      </w:r>
      <w:r w:rsidRPr="00AD70FC">
        <w:rPr>
          <w:caps/>
        </w:rPr>
        <w:t>%) та псевдогрипозний (65 хворих – 32,66</w:t>
      </w:r>
      <w:r>
        <w:rPr>
          <w:caps/>
        </w:rPr>
        <w:t xml:space="preserve"> </w:t>
      </w:r>
      <w:r w:rsidRPr="00AD70FC">
        <w:rPr>
          <w:caps/>
        </w:rPr>
        <w:t xml:space="preserve">%). </w:t>
      </w:r>
    </w:p>
    <w:p w:rsidR="007C7BBA" w:rsidRPr="00AD70FC" w:rsidRDefault="007C7BBA" w:rsidP="007C7BBA">
      <w:pPr>
        <w:pStyle w:val="a5"/>
        <w:tabs>
          <w:tab w:val="left" w:pos="567"/>
        </w:tabs>
        <w:ind w:right="-55" w:firstLine="567"/>
        <w:jc w:val="both"/>
        <w:rPr>
          <w:caps/>
        </w:rPr>
      </w:pPr>
      <w:r>
        <w:rPr>
          <w:caps/>
        </w:rPr>
        <w:t>Основними скаргами хворих у</w:t>
      </w:r>
      <w:r w:rsidRPr="00AD70FC">
        <w:rPr>
          <w:caps/>
        </w:rPr>
        <w:t xml:space="preserve"> переджовтяничний період були: гострий початок хвороби (96,48</w:t>
      </w:r>
      <w:r>
        <w:rPr>
          <w:caps/>
        </w:rPr>
        <w:t xml:space="preserve"> </w:t>
      </w:r>
      <w:r w:rsidRPr="00AD70FC">
        <w:rPr>
          <w:caps/>
        </w:rPr>
        <w:t>%), пі</w:t>
      </w:r>
      <w:r w:rsidRPr="00AD70FC">
        <w:rPr>
          <w:caps/>
        </w:rPr>
        <w:t>д</w:t>
      </w:r>
      <w:r w:rsidRPr="00AD70FC">
        <w:rPr>
          <w:caps/>
        </w:rPr>
        <w:t>вищення температури тіла (93,97</w:t>
      </w:r>
      <w:r>
        <w:rPr>
          <w:caps/>
        </w:rPr>
        <w:t xml:space="preserve"> </w:t>
      </w:r>
      <w:r w:rsidRPr="00AD70FC">
        <w:rPr>
          <w:caps/>
        </w:rPr>
        <w:t>%), загальна слабкість (96,48</w:t>
      </w:r>
      <w:r>
        <w:rPr>
          <w:caps/>
        </w:rPr>
        <w:t xml:space="preserve"> </w:t>
      </w:r>
      <w:r w:rsidRPr="00AD70FC">
        <w:rPr>
          <w:caps/>
        </w:rPr>
        <w:t>%), зниження апетиту (91,46</w:t>
      </w:r>
      <w:r>
        <w:rPr>
          <w:caps/>
        </w:rPr>
        <w:t xml:space="preserve"> </w:t>
      </w:r>
      <w:r w:rsidRPr="00AD70FC">
        <w:rPr>
          <w:caps/>
        </w:rPr>
        <w:t>%), іноді анорексія (5,03</w:t>
      </w:r>
      <w:r>
        <w:rPr>
          <w:caps/>
        </w:rPr>
        <w:t xml:space="preserve"> </w:t>
      </w:r>
      <w:r w:rsidRPr="00AD70FC">
        <w:rPr>
          <w:caps/>
        </w:rPr>
        <w:t>%), нудота (92,37</w:t>
      </w:r>
      <w:r>
        <w:rPr>
          <w:caps/>
        </w:rPr>
        <w:t xml:space="preserve"> </w:t>
      </w:r>
      <w:r w:rsidRPr="00AD70FC">
        <w:rPr>
          <w:caps/>
        </w:rPr>
        <w:t>%), відчуття дискомфорту в животі (67,33</w:t>
      </w:r>
      <w:r>
        <w:rPr>
          <w:caps/>
        </w:rPr>
        <w:t xml:space="preserve"> </w:t>
      </w:r>
      <w:r w:rsidRPr="00AD70FC">
        <w:rPr>
          <w:caps/>
        </w:rPr>
        <w:t>%), біль у животі (39,19</w:t>
      </w:r>
      <w:r>
        <w:rPr>
          <w:caps/>
        </w:rPr>
        <w:t xml:space="preserve"> </w:t>
      </w:r>
      <w:r w:rsidRPr="00AD70FC">
        <w:rPr>
          <w:caps/>
        </w:rPr>
        <w:t>%), блювота (31,16</w:t>
      </w:r>
      <w:r>
        <w:rPr>
          <w:caps/>
        </w:rPr>
        <w:t xml:space="preserve"> %), м’язово-суглобовий біль (</w:t>
      </w:r>
      <w:r w:rsidRPr="00AD70FC">
        <w:rPr>
          <w:caps/>
        </w:rPr>
        <w:t>29,65</w:t>
      </w:r>
      <w:r>
        <w:rPr>
          <w:caps/>
        </w:rPr>
        <w:t xml:space="preserve"> </w:t>
      </w:r>
      <w:r w:rsidRPr="00AD70FC">
        <w:rPr>
          <w:caps/>
        </w:rPr>
        <w:t>%), дисфункція кишечник</w:t>
      </w:r>
      <w:r>
        <w:rPr>
          <w:caps/>
        </w:rPr>
        <w:t>а</w:t>
      </w:r>
      <w:r w:rsidRPr="00AD70FC">
        <w:rPr>
          <w:caps/>
        </w:rPr>
        <w:t xml:space="preserve"> у вигляді закрепу чи послаблення випорожнень (27,14</w:t>
      </w:r>
      <w:r>
        <w:rPr>
          <w:caps/>
        </w:rPr>
        <w:t xml:space="preserve"> </w:t>
      </w:r>
      <w:r w:rsidRPr="00AD70FC">
        <w:rPr>
          <w:caps/>
        </w:rPr>
        <w:t>%).</w:t>
      </w:r>
    </w:p>
    <w:p w:rsidR="007C7BBA" w:rsidRPr="00AD70FC" w:rsidRDefault="007C7BBA" w:rsidP="007C7BBA">
      <w:pPr>
        <w:pStyle w:val="22"/>
        <w:tabs>
          <w:tab w:val="left" w:pos="567"/>
        </w:tabs>
        <w:spacing w:after="0" w:line="240" w:lineRule="auto"/>
        <w:ind w:left="0" w:firstLine="567"/>
        <w:jc w:val="both"/>
        <w:rPr>
          <w:sz w:val="28"/>
          <w:lang w:val="uk-UA"/>
        </w:rPr>
      </w:pPr>
      <w:r w:rsidRPr="00AD70FC">
        <w:rPr>
          <w:sz w:val="28"/>
          <w:lang w:val="uk-UA"/>
        </w:rPr>
        <w:t>У хворих другої групи симптоми інтоксикації були більш вираженими з самого початку хвороби: температура тіла у більшості була фебрильною чи високою фебрильною (69,32</w:t>
      </w:r>
      <w:r>
        <w:rPr>
          <w:sz w:val="28"/>
          <w:lang w:val="uk-UA"/>
        </w:rPr>
        <w:t xml:space="preserve"> </w:t>
      </w:r>
      <w:r w:rsidRPr="00AD70FC">
        <w:rPr>
          <w:sz w:val="28"/>
          <w:lang w:val="uk-UA"/>
        </w:rPr>
        <w:t>%), реєструвались загальна слабкість (100</w:t>
      </w:r>
      <w:r>
        <w:rPr>
          <w:sz w:val="28"/>
          <w:lang w:val="uk-UA"/>
        </w:rPr>
        <w:t xml:space="preserve"> </w:t>
      </w:r>
      <w:r w:rsidRPr="00AD70FC">
        <w:rPr>
          <w:sz w:val="28"/>
          <w:lang w:val="uk-UA"/>
        </w:rPr>
        <w:t>%), зниження апетиту (82,95</w:t>
      </w:r>
      <w:r>
        <w:rPr>
          <w:sz w:val="28"/>
          <w:lang w:val="uk-UA"/>
        </w:rPr>
        <w:t xml:space="preserve"> </w:t>
      </w:r>
      <w:r w:rsidRPr="00AD70FC">
        <w:rPr>
          <w:sz w:val="28"/>
          <w:lang w:val="uk-UA"/>
        </w:rPr>
        <w:t>%), іноді анорексія (11,36</w:t>
      </w:r>
      <w:r>
        <w:rPr>
          <w:sz w:val="28"/>
          <w:lang w:val="uk-UA"/>
        </w:rPr>
        <w:t xml:space="preserve"> </w:t>
      </w:r>
      <w:r w:rsidRPr="00AD70FC">
        <w:rPr>
          <w:sz w:val="28"/>
          <w:lang w:val="uk-UA"/>
        </w:rPr>
        <w:t>%), м’язово-суглобовий біль (34,10</w:t>
      </w:r>
      <w:r>
        <w:rPr>
          <w:sz w:val="28"/>
          <w:lang w:val="uk-UA"/>
        </w:rPr>
        <w:t xml:space="preserve"> </w:t>
      </w:r>
      <w:r w:rsidRPr="00AD70FC">
        <w:rPr>
          <w:sz w:val="28"/>
          <w:lang w:val="uk-UA"/>
        </w:rPr>
        <w:t>%), головний біль (10,23</w:t>
      </w:r>
      <w:r>
        <w:rPr>
          <w:sz w:val="28"/>
          <w:lang w:val="uk-UA"/>
        </w:rPr>
        <w:t xml:space="preserve"> </w:t>
      </w:r>
      <w:r w:rsidRPr="00AD70FC">
        <w:rPr>
          <w:sz w:val="28"/>
          <w:lang w:val="uk-UA"/>
        </w:rPr>
        <w:t>%), запаморочення (19,32</w:t>
      </w:r>
      <w:r>
        <w:rPr>
          <w:sz w:val="28"/>
          <w:lang w:val="uk-UA"/>
        </w:rPr>
        <w:t xml:space="preserve"> </w:t>
      </w:r>
      <w:r w:rsidRPr="00AD70FC">
        <w:rPr>
          <w:sz w:val="28"/>
          <w:lang w:val="uk-UA"/>
        </w:rPr>
        <w:t xml:space="preserve">%), дратівливість </w:t>
      </w:r>
      <w:r>
        <w:rPr>
          <w:sz w:val="28"/>
          <w:lang w:val="uk-UA"/>
        </w:rPr>
        <w:br w:type="textWrapping" w:clear="all"/>
      </w:r>
      <w:r w:rsidRPr="00AD70FC">
        <w:rPr>
          <w:sz w:val="28"/>
          <w:lang w:val="uk-UA"/>
        </w:rPr>
        <w:t>(15,91</w:t>
      </w:r>
      <w:r>
        <w:rPr>
          <w:sz w:val="28"/>
          <w:lang w:val="uk-UA"/>
        </w:rPr>
        <w:t xml:space="preserve"> </w:t>
      </w:r>
      <w:r w:rsidRPr="00AD70FC">
        <w:rPr>
          <w:sz w:val="28"/>
          <w:lang w:val="uk-UA"/>
        </w:rPr>
        <w:t>%).</w:t>
      </w:r>
    </w:p>
    <w:p w:rsidR="007C7BBA" w:rsidRPr="00AD70FC" w:rsidRDefault="007C7BBA" w:rsidP="007C7BBA">
      <w:pPr>
        <w:pStyle w:val="a5"/>
        <w:tabs>
          <w:tab w:val="left" w:pos="567"/>
        </w:tabs>
        <w:ind w:right="-82" w:firstLine="567"/>
        <w:jc w:val="both"/>
        <w:rPr>
          <w:caps/>
        </w:rPr>
      </w:pPr>
      <w:r w:rsidRPr="00AD70FC">
        <w:rPr>
          <w:caps/>
        </w:rPr>
        <w:t>Диспепсичний синдром проявлявся нудотою (88,64</w:t>
      </w:r>
      <w:r>
        <w:rPr>
          <w:caps/>
        </w:rPr>
        <w:t xml:space="preserve"> </w:t>
      </w:r>
      <w:r w:rsidRPr="00AD70FC">
        <w:rPr>
          <w:caps/>
        </w:rPr>
        <w:t>%), відчуттям дискомфорту у животі (93,19</w:t>
      </w:r>
      <w:r>
        <w:rPr>
          <w:caps/>
        </w:rPr>
        <w:t xml:space="preserve"> </w:t>
      </w:r>
      <w:r w:rsidRPr="00AD70FC">
        <w:rPr>
          <w:caps/>
        </w:rPr>
        <w:t>%), болем у животі (52,27</w:t>
      </w:r>
      <w:r>
        <w:rPr>
          <w:caps/>
        </w:rPr>
        <w:t xml:space="preserve"> </w:t>
      </w:r>
      <w:r w:rsidRPr="00AD70FC">
        <w:rPr>
          <w:caps/>
        </w:rPr>
        <w:t>%), блювотою, частіше повторною</w:t>
      </w:r>
      <w:r>
        <w:rPr>
          <w:caps/>
        </w:rPr>
        <w:t xml:space="preserve"> (13,64 %), дисфункцією кишечника</w:t>
      </w:r>
      <w:r w:rsidRPr="00AD70FC">
        <w:rPr>
          <w:caps/>
        </w:rPr>
        <w:t xml:space="preserve"> </w:t>
      </w:r>
      <w:r>
        <w:rPr>
          <w:caps/>
        </w:rPr>
        <w:t>у</w:t>
      </w:r>
      <w:r w:rsidRPr="00AD70FC">
        <w:rPr>
          <w:caps/>
        </w:rPr>
        <w:t xml:space="preserve"> вигляді закрепу (21,59</w:t>
      </w:r>
      <w:r>
        <w:rPr>
          <w:caps/>
        </w:rPr>
        <w:t xml:space="preserve"> </w:t>
      </w:r>
      <w:r w:rsidRPr="00AD70FC">
        <w:rPr>
          <w:caps/>
        </w:rPr>
        <w:t>%) чи послаблення випорожнень (18,18</w:t>
      </w:r>
      <w:r>
        <w:rPr>
          <w:caps/>
        </w:rPr>
        <w:t xml:space="preserve"> </w:t>
      </w:r>
      <w:r w:rsidRPr="00AD70FC">
        <w:rPr>
          <w:caps/>
        </w:rPr>
        <w:t>%).</w:t>
      </w:r>
    </w:p>
    <w:p w:rsidR="007C7BBA" w:rsidRPr="00AD70FC" w:rsidRDefault="007C7BBA" w:rsidP="007C7BBA">
      <w:pPr>
        <w:pStyle w:val="a5"/>
        <w:tabs>
          <w:tab w:val="left" w:pos="567"/>
        </w:tabs>
        <w:ind w:right="-82" w:firstLine="567"/>
        <w:jc w:val="both"/>
        <w:rPr>
          <w:caps/>
        </w:rPr>
      </w:pPr>
      <w:r w:rsidRPr="00AD70FC">
        <w:rPr>
          <w:caps/>
        </w:rPr>
        <w:lastRenderedPageBreak/>
        <w:t>Тривалість пропасниці у 45 хворих (40,54</w:t>
      </w:r>
      <w:r>
        <w:rPr>
          <w:caps/>
        </w:rPr>
        <w:t xml:space="preserve"> </w:t>
      </w:r>
      <w:r w:rsidRPr="00AD70FC">
        <w:rPr>
          <w:caps/>
        </w:rPr>
        <w:t>%) першої групи була 4-5 днів, у 38 (34,23</w:t>
      </w:r>
      <w:r>
        <w:rPr>
          <w:caps/>
        </w:rPr>
        <w:t xml:space="preserve"> </w:t>
      </w:r>
      <w:r w:rsidRPr="00AD70FC">
        <w:rPr>
          <w:caps/>
        </w:rPr>
        <w:t>%) – 2</w:t>
      </w:r>
      <w:r>
        <w:rPr>
          <w:szCs w:val="28"/>
        </w:rPr>
        <w:t>–</w:t>
      </w:r>
      <w:r w:rsidRPr="00AD70FC">
        <w:rPr>
          <w:caps/>
        </w:rPr>
        <w:t>3 дні, у 7</w:t>
      </w:r>
      <w:r>
        <w:rPr>
          <w:caps/>
        </w:rPr>
        <w:t xml:space="preserve"> </w:t>
      </w:r>
      <w:r w:rsidRPr="00AD70FC">
        <w:rPr>
          <w:caps/>
        </w:rPr>
        <w:t>(6,31</w:t>
      </w:r>
      <w:r>
        <w:rPr>
          <w:caps/>
        </w:rPr>
        <w:t xml:space="preserve"> </w:t>
      </w:r>
      <w:r w:rsidRPr="00AD70FC">
        <w:rPr>
          <w:caps/>
        </w:rPr>
        <w:t>%) – більше 5 днів. У 32 пацієнтів (36,36</w:t>
      </w:r>
      <w:r>
        <w:rPr>
          <w:caps/>
        </w:rPr>
        <w:t xml:space="preserve"> </w:t>
      </w:r>
      <w:r w:rsidRPr="00AD70FC">
        <w:rPr>
          <w:caps/>
        </w:rPr>
        <w:t xml:space="preserve">%) другої групи підвищена температура </w:t>
      </w:r>
      <w:r>
        <w:rPr>
          <w:caps/>
        </w:rPr>
        <w:t>трималася</w:t>
      </w:r>
      <w:r w:rsidRPr="00AD70FC">
        <w:rPr>
          <w:caps/>
        </w:rPr>
        <w:t xml:space="preserve"> 4</w:t>
      </w:r>
      <w:r>
        <w:rPr>
          <w:szCs w:val="28"/>
        </w:rPr>
        <w:t>–</w:t>
      </w:r>
      <w:r w:rsidRPr="00AD70FC">
        <w:rPr>
          <w:caps/>
        </w:rPr>
        <w:t>5 днів, у 25 (28,41</w:t>
      </w:r>
      <w:r>
        <w:rPr>
          <w:caps/>
        </w:rPr>
        <w:t xml:space="preserve"> </w:t>
      </w:r>
      <w:r w:rsidRPr="00AD70FC">
        <w:rPr>
          <w:caps/>
        </w:rPr>
        <w:t>%) – 2</w:t>
      </w:r>
      <w:r>
        <w:rPr>
          <w:szCs w:val="28"/>
        </w:rPr>
        <w:t>–</w:t>
      </w:r>
      <w:r w:rsidRPr="00AD70FC">
        <w:rPr>
          <w:caps/>
        </w:rPr>
        <w:t>3 дні, у 20 (22,73</w:t>
      </w:r>
      <w:r>
        <w:rPr>
          <w:caps/>
        </w:rPr>
        <w:t xml:space="preserve"> </w:t>
      </w:r>
      <w:r w:rsidRPr="00AD70FC">
        <w:rPr>
          <w:caps/>
        </w:rPr>
        <w:t>%) – більше 5. Симптоми інтоксикації та диспепсії зберігались в обох групах весь переджовтяничний період.</w:t>
      </w:r>
    </w:p>
    <w:p w:rsidR="007C7BBA" w:rsidRPr="00AD70FC" w:rsidRDefault="007C7BBA" w:rsidP="007C7BBA">
      <w:pPr>
        <w:pStyle w:val="a5"/>
        <w:tabs>
          <w:tab w:val="left" w:pos="567"/>
        </w:tabs>
        <w:ind w:right="-82" w:firstLine="567"/>
        <w:jc w:val="both"/>
        <w:rPr>
          <w:caps/>
        </w:rPr>
      </w:pPr>
      <w:r w:rsidRPr="00AD70FC">
        <w:rPr>
          <w:caps/>
        </w:rPr>
        <w:t>Клінічна симптоматика</w:t>
      </w:r>
      <w:r>
        <w:rPr>
          <w:caps/>
        </w:rPr>
        <w:t xml:space="preserve"> жовтяничного періоду складалася</w:t>
      </w:r>
      <w:r w:rsidRPr="00AD70FC">
        <w:rPr>
          <w:caps/>
        </w:rPr>
        <w:t xml:space="preserve"> з ряду суб'є</w:t>
      </w:r>
      <w:r>
        <w:rPr>
          <w:caps/>
        </w:rPr>
        <w:t>ктивних і об'єктивних проявів. У</w:t>
      </w:r>
      <w:r w:rsidRPr="00AD70FC">
        <w:rPr>
          <w:caps/>
        </w:rPr>
        <w:t xml:space="preserve"> періоді зростання клінічних проявів більшість хворих скаржились на стомлюваність (93,46</w:t>
      </w:r>
      <w:r>
        <w:rPr>
          <w:caps/>
        </w:rPr>
        <w:t xml:space="preserve"> </w:t>
      </w:r>
      <w:r w:rsidRPr="00AD70FC">
        <w:rPr>
          <w:caps/>
        </w:rPr>
        <w:t>%), зниження апетиту (51,26</w:t>
      </w:r>
      <w:r>
        <w:rPr>
          <w:caps/>
        </w:rPr>
        <w:t xml:space="preserve"> </w:t>
      </w:r>
      <w:r w:rsidRPr="00AD70FC">
        <w:rPr>
          <w:caps/>
        </w:rPr>
        <w:t>%), нудоту (30,65</w:t>
      </w:r>
      <w:r>
        <w:rPr>
          <w:caps/>
        </w:rPr>
        <w:t xml:space="preserve"> </w:t>
      </w:r>
      <w:r w:rsidRPr="00AD70FC">
        <w:rPr>
          <w:caps/>
        </w:rPr>
        <w:t>%), загальну слабкість (87,93</w:t>
      </w:r>
      <w:r>
        <w:rPr>
          <w:caps/>
        </w:rPr>
        <w:t xml:space="preserve"> </w:t>
      </w:r>
      <w:r w:rsidRPr="00AD70FC">
        <w:rPr>
          <w:caps/>
        </w:rPr>
        <w:t xml:space="preserve">%). В меншій мірі </w:t>
      </w:r>
      <w:r>
        <w:rPr>
          <w:caps/>
        </w:rPr>
        <w:t>зберігали</w:t>
      </w:r>
      <w:r w:rsidRPr="00AD70FC">
        <w:rPr>
          <w:caps/>
        </w:rPr>
        <w:t>с</w:t>
      </w:r>
      <w:r>
        <w:rPr>
          <w:caps/>
        </w:rPr>
        <w:t>я</w:t>
      </w:r>
      <w:r w:rsidRPr="00AD70FC">
        <w:rPr>
          <w:caps/>
        </w:rPr>
        <w:t xml:space="preserve"> такі симптоми інтоксикації як головний біль (5,53</w:t>
      </w:r>
      <w:r>
        <w:rPr>
          <w:caps/>
        </w:rPr>
        <w:t xml:space="preserve"> </w:t>
      </w:r>
      <w:r w:rsidRPr="00AD70FC">
        <w:rPr>
          <w:caps/>
        </w:rPr>
        <w:t>%), м’язово-суглобовий біль (11,56</w:t>
      </w:r>
      <w:r>
        <w:rPr>
          <w:caps/>
        </w:rPr>
        <w:t xml:space="preserve"> </w:t>
      </w:r>
      <w:r w:rsidRPr="00AD70FC">
        <w:rPr>
          <w:caps/>
        </w:rPr>
        <w:t>%), запаморочення та дратівливість (9,54</w:t>
      </w:r>
      <w:r>
        <w:rPr>
          <w:caps/>
        </w:rPr>
        <w:t xml:space="preserve"> </w:t>
      </w:r>
      <w:r w:rsidRPr="00AD70FC">
        <w:rPr>
          <w:caps/>
        </w:rPr>
        <w:t xml:space="preserve">%). Температура тіла </w:t>
      </w:r>
      <w:r>
        <w:rPr>
          <w:caps/>
        </w:rPr>
        <w:t>держалася</w:t>
      </w:r>
      <w:r w:rsidRPr="00AD70FC">
        <w:rPr>
          <w:caps/>
        </w:rPr>
        <w:t xml:space="preserve"> у 27 пацієнтів (13,57</w:t>
      </w:r>
      <w:r>
        <w:rPr>
          <w:caps/>
        </w:rPr>
        <w:t xml:space="preserve"> </w:t>
      </w:r>
      <w:r w:rsidRPr="00AD70FC">
        <w:rPr>
          <w:caps/>
        </w:rPr>
        <w:t>%) протя</w:t>
      </w:r>
      <w:r>
        <w:rPr>
          <w:caps/>
        </w:rPr>
        <w:t>гом</w:t>
      </w:r>
      <w:r w:rsidRPr="00AD70FC">
        <w:rPr>
          <w:caps/>
        </w:rPr>
        <w:t xml:space="preserve"> 2</w:t>
      </w:r>
      <w:r>
        <w:rPr>
          <w:szCs w:val="28"/>
        </w:rPr>
        <w:t>–</w:t>
      </w:r>
      <w:r w:rsidRPr="00AD70FC">
        <w:rPr>
          <w:caps/>
        </w:rPr>
        <w:t xml:space="preserve">4 днів жовтяничного періоду, підвищувалась до субфебрильних цифр. </w:t>
      </w:r>
    </w:p>
    <w:p w:rsidR="007C7BBA" w:rsidRDefault="007C7BBA" w:rsidP="007C7BBA">
      <w:pPr>
        <w:pStyle w:val="a5"/>
        <w:tabs>
          <w:tab w:val="left" w:pos="567"/>
        </w:tabs>
        <w:ind w:right="-82" w:firstLine="567"/>
        <w:jc w:val="both"/>
        <w:rPr>
          <w:caps/>
        </w:rPr>
      </w:pPr>
      <w:r w:rsidRPr="00AD70FC">
        <w:rPr>
          <w:caps/>
        </w:rPr>
        <w:t>Диспепсичний синдром проявлявся почуттям важкості (65,33</w:t>
      </w:r>
      <w:r>
        <w:rPr>
          <w:caps/>
        </w:rPr>
        <w:t xml:space="preserve"> </w:t>
      </w:r>
      <w:r w:rsidRPr="00AD70FC">
        <w:rPr>
          <w:caps/>
        </w:rPr>
        <w:t>%) та болем у правому підребер’ї (50,25</w:t>
      </w:r>
      <w:r>
        <w:rPr>
          <w:caps/>
        </w:rPr>
        <w:t xml:space="preserve"> </w:t>
      </w:r>
      <w:r w:rsidRPr="00AD70FC">
        <w:rPr>
          <w:caps/>
        </w:rPr>
        <w:t>%), в епігастрії (37,19</w:t>
      </w:r>
      <w:r>
        <w:rPr>
          <w:caps/>
        </w:rPr>
        <w:t xml:space="preserve"> </w:t>
      </w:r>
      <w:r w:rsidRPr="00AD70FC">
        <w:rPr>
          <w:caps/>
        </w:rPr>
        <w:t>%), сухістю (28,64</w:t>
      </w:r>
      <w:r>
        <w:rPr>
          <w:caps/>
        </w:rPr>
        <w:t xml:space="preserve"> </w:t>
      </w:r>
      <w:r w:rsidRPr="00AD70FC">
        <w:rPr>
          <w:caps/>
        </w:rPr>
        <w:t>%) та гіркотою (8,54</w:t>
      </w:r>
      <w:r>
        <w:rPr>
          <w:caps/>
        </w:rPr>
        <w:t xml:space="preserve"> </w:t>
      </w:r>
      <w:r w:rsidRPr="00AD70FC">
        <w:rPr>
          <w:caps/>
        </w:rPr>
        <w:t>%) у роті, блювотою (6,53</w:t>
      </w:r>
      <w:r>
        <w:rPr>
          <w:caps/>
        </w:rPr>
        <w:t xml:space="preserve"> </w:t>
      </w:r>
      <w:r w:rsidRPr="00AD70FC">
        <w:rPr>
          <w:caps/>
        </w:rPr>
        <w:t>%), метеоризмом (17,09</w:t>
      </w:r>
      <w:r>
        <w:rPr>
          <w:caps/>
        </w:rPr>
        <w:t xml:space="preserve"> %), дисфункцією кишечника</w:t>
      </w:r>
      <w:r w:rsidRPr="00AD70FC">
        <w:rPr>
          <w:caps/>
        </w:rPr>
        <w:t xml:space="preserve"> у вигляді закрепу (10,55</w:t>
      </w:r>
      <w:r>
        <w:rPr>
          <w:caps/>
        </w:rPr>
        <w:t xml:space="preserve"> </w:t>
      </w:r>
      <w:r w:rsidRPr="00AD70FC">
        <w:rPr>
          <w:caps/>
        </w:rPr>
        <w:t>%) чи послаблення випорожнень (6,03</w:t>
      </w:r>
      <w:r>
        <w:rPr>
          <w:caps/>
        </w:rPr>
        <w:t xml:space="preserve"> </w:t>
      </w:r>
      <w:r w:rsidRPr="00AD70FC">
        <w:rPr>
          <w:caps/>
        </w:rPr>
        <w:t>%), відразою до запахів (1,51</w:t>
      </w:r>
      <w:r>
        <w:rPr>
          <w:caps/>
        </w:rPr>
        <w:t xml:space="preserve"> </w:t>
      </w:r>
      <w:r w:rsidRPr="00AD70FC">
        <w:rPr>
          <w:caps/>
        </w:rPr>
        <w:t xml:space="preserve">%). </w:t>
      </w:r>
    </w:p>
    <w:p w:rsidR="007C7BBA" w:rsidRPr="00AD70FC" w:rsidRDefault="007C7BBA" w:rsidP="007C7BBA">
      <w:pPr>
        <w:pStyle w:val="a5"/>
        <w:tabs>
          <w:tab w:val="left" w:pos="567"/>
        </w:tabs>
        <w:ind w:right="-82" w:firstLine="567"/>
        <w:jc w:val="both"/>
        <w:rPr>
          <w:caps/>
        </w:rPr>
      </w:pPr>
      <w:r w:rsidRPr="00E53AC9">
        <w:rPr>
          <w:caps/>
        </w:rPr>
        <w:t>Об'єктивно виявлялися збільшення і ущільнення печінки (100 %) і болючість її при пальпації (85,93 %), жовтяниця склер і шкіри (97,49 %), темна сеча і ахолія (97,49 %), збільшення селезінки (26,13 %). Зареєстровано симптоми ураження серцево-судинної системи: брадикардія (35,68 %), зниження артеріального тиску (77,39 %), приглушеність серцевих тонів (39,20 %).</w:t>
      </w:r>
    </w:p>
    <w:p w:rsidR="007C7BBA" w:rsidRPr="00AD70FC" w:rsidRDefault="007C7BBA" w:rsidP="007C7BBA">
      <w:pPr>
        <w:pStyle w:val="a5"/>
        <w:tabs>
          <w:tab w:val="left" w:pos="567"/>
        </w:tabs>
        <w:ind w:right="-82" w:firstLine="567"/>
        <w:jc w:val="both"/>
        <w:rPr>
          <w:caps/>
        </w:rPr>
      </w:pPr>
      <w:r w:rsidRPr="00AD70FC">
        <w:rPr>
          <w:caps/>
        </w:rPr>
        <w:t xml:space="preserve">Збільшення печінки до </w:t>
      </w:r>
      <w:smartTag w:uri="urn:schemas-microsoft-com:office:smarttags" w:element="metricconverter">
        <w:smartTagPr>
          <w:attr w:name="ProductID" w:val="2 см"/>
        </w:smartTagPr>
        <w:r w:rsidRPr="00AD70FC">
          <w:rPr>
            <w:caps/>
          </w:rPr>
          <w:t>2 см</w:t>
        </w:r>
      </w:smartTag>
      <w:r w:rsidRPr="00AD70FC">
        <w:rPr>
          <w:caps/>
        </w:rPr>
        <w:t xml:space="preserve"> </w:t>
      </w:r>
      <w:r>
        <w:rPr>
          <w:caps/>
        </w:rPr>
        <w:t>спостерігалося</w:t>
      </w:r>
      <w:r w:rsidRPr="00AD70FC">
        <w:rPr>
          <w:caps/>
        </w:rPr>
        <w:t xml:space="preserve"> у 95 (47,73</w:t>
      </w:r>
      <w:r>
        <w:rPr>
          <w:caps/>
        </w:rPr>
        <w:t xml:space="preserve"> %) хворих на </w:t>
      </w:r>
      <w:r w:rsidRPr="00AD70FC">
        <w:rPr>
          <w:caps/>
        </w:rPr>
        <w:t xml:space="preserve">ГА, від 2,1 до </w:t>
      </w:r>
      <w:smartTag w:uri="urn:schemas-microsoft-com:office:smarttags" w:element="metricconverter">
        <w:smartTagPr>
          <w:attr w:name="ProductID" w:val="3,0 см"/>
        </w:smartTagPr>
        <w:r w:rsidRPr="00AD70FC">
          <w:rPr>
            <w:caps/>
          </w:rPr>
          <w:t>3,0 см</w:t>
        </w:r>
      </w:smartTag>
      <w:r w:rsidRPr="00AD70FC">
        <w:rPr>
          <w:caps/>
        </w:rPr>
        <w:t xml:space="preserve"> – у 78 (39,20</w:t>
      </w:r>
      <w:r>
        <w:rPr>
          <w:caps/>
        </w:rPr>
        <w:t xml:space="preserve"> </w:t>
      </w:r>
      <w:r w:rsidRPr="00AD70FC">
        <w:rPr>
          <w:caps/>
        </w:rPr>
        <w:t xml:space="preserve">%) пацієнтів, від 3,1 до </w:t>
      </w:r>
      <w:smartTag w:uri="urn:schemas-microsoft-com:office:smarttags" w:element="metricconverter">
        <w:smartTagPr>
          <w:attr w:name="ProductID" w:val="4,0 см"/>
        </w:smartTagPr>
        <w:r w:rsidRPr="00AD70FC">
          <w:rPr>
            <w:caps/>
          </w:rPr>
          <w:t>4,0 см</w:t>
        </w:r>
      </w:smartTag>
      <w:r w:rsidRPr="00AD70FC">
        <w:rPr>
          <w:caps/>
        </w:rPr>
        <w:t xml:space="preserve"> – у 18 (9,05</w:t>
      </w:r>
      <w:r>
        <w:rPr>
          <w:caps/>
        </w:rPr>
        <w:t xml:space="preserve"> </w:t>
      </w:r>
      <w:r w:rsidRPr="00AD70FC">
        <w:rPr>
          <w:caps/>
        </w:rPr>
        <w:t>% ), більше 4,1 – у 8 (4,02</w:t>
      </w:r>
      <w:r>
        <w:rPr>
          <w:caps/>
        </w:rPr>
        <w:t xml:space="preserve"> </w:t>
      </w:r>
      <w:r w:rsidRPr="00AD70FC">
        <w:rPr>
          <w:caps/>
        </w:rPr>
        <w:t xml:space="preserve">%). Ущільнення консистенції печінки при пальпації </w:t>
      </w:r>
      <w:r w:rsidRPr="002D0186">
        <w:rPr>
          <w:caps/>
        </w:rPr>
        <w:t>відзначено в</w:t>
      </w:r>
      <w:r w:rsidRPr="00AD70FC">
        <w:rPr>
          <w:caps/>
        </w:rPr>
        <w:t xml:space="preserve"> усіх хворих. Таки</w:t>
      </w:r>
      <w:r>
        <w:rPr>
          <w:caps/>
        </w:rPr>
        <w:t xml:space="preserve">м чином, у більшості хворих на </w:t>
      </w:r>
      <w:r w:rsidRPr="00AD70FC">
        <w:rPr>
          <w:caps/>
        </w:rPr>
        <w:t>ГА печінка була збільшена на 1</w:t>
      </w:r>
      <w:r>
        <w:rPr>
          <w:szCs w:val="28"/>
        </w:rPr>
        <w:t>–</w:t>
      </w:r>
      <w:r w:rsidRPr="00AD70FC">
        <w:rPr>
          <w:caps/>
        </w:rPr>
        <w:t xml:space="preserve">2 см. </w:t>
      </w:r>
    </w:p>
    <w:p w:rsidR="007C7BBA" w:rsidRPr="00AD70FC" w:rsidRDefault="007C7BBA" w:rsidP="007C7BBA">
      <w:pPr>
        <w:pStyle w:val="a5"/>
        <w:tabs>
          <w:tab w:val="left" w:pos="567"/>
        </w:tabs>
        <w:ind w:firstLine="567"/>
        <w:jc w:val="both"/>
        <w:rPr>
          <w:caps/>
        </w:rPr>
      </w:pPr>
      <w:r w:rsidRPr="00AD70FC">
        <w:rPr>
          <w:caps/>
        </w:rPr>
        <w:t xml:space="preserve">Порівняння двох груп нагляду свідчить про більш виразні симптоми інтоксикації та диспепсії у хворих другої групи. Серед </w:t>
      </w:r>
      <w:r>
        <w:rPr>
          <w:caps/>
        </w:rPr>
        <w:t>пацієнтів</w:t>
      </w:r>
      <w:r w:rsidRPr="00AD70FC">
        <w:rPr>
          <w:caps/>
        </w:rPr>
        <w:t xml:space="preserve"> першої групи симптоми інтоксикації (підвищення температури тіла, головний біль, м’язово-суглобовий біль) зменшувались при появі жовтяниці. Прояви астенії: стомлюваність (90,99</w:t>
      </w:r>
      <w:r>
        <w:rPr>
          <w:caps/>
        </w:rPr>
        <w:t xml:space="preserve"> </w:t>
      </w:r>
      <w:r w:rsidRPr="00AD70FC">
        <w:rPr>
          <w:caps/>
        </w:rPr>
        <w:t>%), загальна слабкість (87,39</w:t>
      </w:r>
      <w:r>
        <w:rPr>
          <w:caps/>
        </w:rPr>
        <w:t xml:space="preserve"> </w:t>
      </w:r>
      <w:r w:rsidRPr="00AD70FC">
        <w:rPr>
          <w:caps/>
        </w:rPr>
        <w:t xml:space="preserve">%), зниження апетиту </w:t>
      </w:r>
      <w:r>
        <w:rPr>
          <w:caps/>
        </w:rPr>
        <w:br w:type="textWrapping" w:clear="all"/>
      </w:r>
      <w:r w:rsidRPr="00AD70FC">
        <w:rPr>
          <w:caps/>
        </w:rPr>
        <w:t>(23,42</w:t>
      </w:r>
      <w:r>
        <w:rPr>
          <w:caps/>
        </w:rPr>
        <w:t xml:space="preserve"> </w:t>
      </w:r>
      <w:r w:rsidRPr="00AD70FC">
        <w:rPr>
          <w:caps/>
        </w:rPr>
        <w:t>%) зберігались довше.</w:t>
      </w:r>
    </w:p>
    <w:p w:rsidR="007C7BBA" w:rsidRPr="00AD70FC" w:rsidRDefault="007C7BBA" w:rsidP="007C7BBA">
      <w:pPr>
        <w:pStyle w:val="a5"/>
        <w:tabs>
          <w:tab w:val="left" w:pos="567"/>
        </w:tabs>
        <w:ind w:firstLine="567"/>
        <w:jc w:val="both"/>
        <w:rPr>
          <w:caps/>
        </w:rPr>
      </w:pPr>
      <w:r w:rsidRPr="00AD70FC">
        <w:rPr>
          <w:caps/>
        </w:rPr>
        <w:lastRenderedPageBreak/>
        <w:t>Диспепсичний синдром реєструвався протя</w:t>
      </w:r>
      <w:r>
        <w:rPr>
          <w:caps/>
        </w:rPr>
        <w:t>гом</w:t>
      </w:r>
      <w:r w:rsidRPr="00AD70FC">
        <w:rPr>
          <w:caps/>
        </w:rPr>
        <w:t xml:space="preserve"> 4</w:t>
      </w:r>
      <w:r>
        <w:rPr>
          <w:szCs w:val="28"/>
        </w:rPr>
        <w:t>–</w:t>
      </w:r>
      <w:r w:rsidRPr="00AD70FC">
        <w:rPr>
          <w:caps/>
        </w:rPr>
        <w:t>5 днів, проявлявся почуттям важкості (43,24</w:t>
      </w:r>
      <w:r>
        <w:rPr>
          <w:caps/>
        </w:rPr>
        <w:t xml:space="preserve"> </w:t>
      </w:r>
      <w:r w:rsidRPr="00AD70FC">
        <w:rPr>
          <w:caps/>
        </w:rPr>
        <w:t>%) і болем (21,62</w:t>
      </w:r>
      <w:r>
        <w:rPr>
          <w:caps/>
        </w:rPr>
        <w:t xml:space="preserve"> </w:t>
      </w:r>
      <w:r w:rsidRPr="00AD70FC">
        <w:rPr>
          <w:caps/>
        </w:rPr>
        <w:t>%) у правому підребер’ї, почуттям важкості в епігастрії (20,72</w:t>
      </w:r>
      <w:r>
        <w:rPr>
          <w:caps/>
        </w:rPr>
        <w:t xml:space="preserve"> </w:t>
      </w:r>
      <w:r w:rsidRPr="00AD70FC">
        <w:rPr>
          <w:caps/>
        </w:rPr>
        <w:t>%), нудотою (9,01</w:t>
      </w:r>
      <w:r>
        <w:rPr>
          <w:caps/>
        </w:rPr>
        <w:t xml:space="preserve"> </w:t>
      </w:r>
      <w:r w:rsidRPr="00AD70FC">
        <w:rPr>
          <w:caps/>
        </w:rPr>
        <w:t>%), сухістю (17,12</w:t>
      </w:r>
      <w:r>
        <w:rPr>
          <w:caps/>
        </w:rPr>
        <w:t xml:space="preserve"> </w:t>
      </w:r>
      <w:r w:rsidRPr="00AD70FC">
        <w:rPr>
          <w:caps/>
        </w:rPr>
        <w:t>%) та гіркотою в роті (5,42</w:t>
      </w:r>
      <w:r>
        <w:rPr>
          <w:caps/>
        </w:rPr>
        <w:t xml:space="preserve"> </w:t>
      </w:r>
      <w:r w:rsidRPr="00AD70FC">
        <w:rPr>
          <w:caps/>
        </w:rPr>
        <w:t xml:space="preserve">%), </w:t>
      </w:r>
    </w:p>
    <w:p w:rsidR="007C7BBA" w:rsidRPr="00AD70FC" w:rsidRDefault="007C7BBA" w:rsidP="007C7BBA">
      <w:pPr>
        <w:pStyle w:val="a5"/>
        <w:tabs>
          <w:tab w:val="left" w:pos="567"/>
        </w:tabs>
        <w:ind w:firstLine="567"/>
        <w:jc w:val="both"/>
        <w:rPr>
          <w:caps/>
        </w:rPr>
      </w:pPr>
      <w:r>
        <w:rPr>
          <w:caps/>
        </w:rPr>
        <w:t>Жовтяниця</w:t>
      </w:r>
      <w:r w:rsidRPr="00AD70FC">
        <w:rPr>
          <w:caps/>
        </w:rPr>
        <w:t xml:space="preserve"> склер, слизових оболонок, шкіри</w:t>
      </w:r>
      <w:r>
        <w:rPr>
          <w:caps/>
        </w:rPr>
        <w:t xml:space="preserve"> різної виразності відмічалась в у</w:t>
      </w:r>
      <w:r w:rsidRPr="00AD70FC">
        <w:rPr>
          <w:caps/>
        </w:rPr>
        <w:t>сіх хворих типовою формою (95,50</w:t>
      </w:r>
      <w:r>
        <w:rPr>
          <w:caps/>
        </w:rPr>
        <w:t xml:space="preserve"> </w:t>
      </w:r>
      <w:r w:rsidRPr="00AD70FC">
        <w:rPr>
          <w:caps/>
        </w:rPr>
        <w:t xml:space="preserve">%). Збільшення печінки, ущільнення її </w:t>
      </w:r>
      <w:r>
        <w:rPr>
          <w:caps/>
        </w:rPr>
        <w:t>консистенції були в усіх хворих</w:t>
      </w:r>
      <w:r w:rsidRPr="00AD70FC">
        <w:rPr>
          <w:caps/>
        </w:rPr>
        <w:t>, а болючість печінки при пальпації у 92 пацієнтів (82,88 %). Збі</w:t>
      </w:r>
      <w:r>
        <w:rPr>
          <w:caps/>
        </w:rPr>
        <w:t xml:space="preserve">льшення селезінки виявлено у 20 </w:t>
      </w:r>
      <w:r w:rsidRPr="00AD70FC">
        <w:rPr>
          <w:caps/>
        </w:rPr>
        <w:t>(18,02</w:t>
      </w:r>
      <w:r>
        <w:rPr>
          <w:caps/>
        </w:rPr>
        <w:t xml:space="preserve"> </w:t>
      </w:r>
      <w:r w:rsidRPr="00AD70FC">
        <w:rPr>
          <w:caps/>
        </w:rPr>
        <w:t>%) хворих.</w:t>
      </w:r>
    </w:p>
    <w:p w:rsidR="007C7BBA" w:rsidRPr="00AD70FC" w:rsidRDefault="007C7BBA" w:rsidP="007C7BBA">
      <w:pPr>
        <w:pStyle w:val="a5"/>
        <w:tabs>
          <w:tab w:val="left" w:pos="567"/>
        </w:tabs>
        <w:ind w:firstLine="567"/>
        <w:jc w:val="both"/>
        <w:rPr>
          <w:caps/>
        </w:rPr>
      </w:pPr>
      <w:r w:rsidRPr="00AD70FC">
        <w:rPr>
          <w:caps/>
        </w:rPr>
        <w:t>У хворих другої групи симптоми інтоксикації зменшувались через 2</w:t>
      </w:r>
      <w:r>
        <w:rPr>
          <w:szCs w:val="28"/>
        </w:rPr>
        <w:t>–</w:t>
      </w:r>
      <w:r w:rsidRPr="00AD70FC">
        <w:rPr>
          <w:caps/>
        </w:rPr>
        <w:t>3 дні жовтяниці, часто після проведення дезінтокс</w:t>
      </w:r>
      <w:r>
        <w:rPr>
          <w:caps/>
        </w:rPr>
        <w:t>и</w:t>
      </w:r>
      <w:r w:rsidRPr="00AD70FC">
        <w:rPr>
          <w:caps/>
        </w:rPr>
        <w:t>каційної терапії. Реєстрували стомлюваність (96,59</w:t>
      </w:r>
      <w:r>
        <w:rPr>
          <w:caps/>
        </w:rPr>
        <w:t xml:space="preserve"> </w:t>
      </w:r>
      <w:r w:rsidRPr="00AD70FC">
        <w:rPr>
          <w:caps/>
        </w:rPr>
        <w:t>%), загальну слабкість (88,64</w:t>
      </w:r>
      <w:r>
        <w:rPr>
          <w:caps/>
        </w:rPr>
        <w:t xml:space="preserve"> </w:t>
      </w:r>
      <w:r w:rsidRPr="00AD70FC">
        <w:rPr>
          <w:caps/>
        </w:rPr>
        <w:t xml:space="preserve">%), зниження апетиту </w:t>
      </w:r>
      <w:r>
        <w:rPr>
          <w:caps/>
        </w:rPr>
        <w:br w:type="textWrapping" w:clear="all"/>
      </w:r>
      <w:r w:rsidRPr="00AD70FC">
        <w:rPr>
          <w:caps/>
        </w:rPr>
        <w:t>(86,36</w:t>
      </w:r>
      <w:r>
        <w:rPr>
          <w:caps/>
        </w:rPr>
        <w:t xml:space="preserve"> </w:t>
      </w:r>
      <w:r w:rsidRPr="00AD70FC">
        <w:rPr>
          <w:caps/>
        </w:rPr>
        <w:t>%), м’язово-суглобовий біль (34,10</w:t>
      </w:r>
      <w:r>
        <w:rPr>
          <w:caps/>
        </w:rPr>
        <w:t xml:space="preserve"> %). </w:t>
      </w:r>
      <w:r w:rsidRPr="00AD70FC">
        <w:rPr>
          <w:caps/>
        </w:rPr>
        <w:t>Протя</w:t>
      </w:r>
      <w:r>
        <w:rPr>
          <w:caps/>
        </w:rPr>
        <w:t>гом</w:t>
      </w:r>
      <w:r w:rsidRPr="00AD70FC">
        <w:rPr>
          <w:caps/>
        </w:rPr>
        <w:t xml:space="preserve"> 1</w:t>
      </w:r>
      <w:r>
        <w:rPr>
          <w:szCs w:val="28"/>
        </w:rPr>
        <w:t>–</w:t>
      </w:r>
      <w:r w:rsidRPr="00AD70FC">
        <w:rPr>
          <w:caps/>
        </w:rPr>
        <w:t>2 днів у 20 (22,73</w:t>
      </w:r>
      <w:r>
        <w:rPr>
          <w:caps/>
        </w:rPr>
        <w:t xml:space="preserve"> </w:t>
      </w:r>
      <w:r w:rsidRPr="00AD70FC">
        <w:rPr>
          <w:caps/>
        </w:rPr>
        <w:t>%) пацієнтів зберігалось підвищення температури тіла до субфебрильних цифр.</w:t>
      </w:r>
    </w:p>
    <w:p w:rsidR="007C7BBA" w:rsidRPr="00AD70FC" w:rsidRDefault="007C7BBA" w:rsidP="007C7BBA">
      <w:pPr>
        <w:pStyle w:val="a5"/>
        <w:tabs>
          <w:tab w:val="left" w:pos="567"/>
        </w:tabs>
        <w:ind w:firstLine="567"/>
        <w:jc w:val="both"/>
        <w:rPr>
          <w:caps/>
        </w:rPr>
      </w:pPr>
      <w:r w:rsidRPr="00AD70FC">
        <w:rPr>
          <w:caps/>
        </w:rPr>
        <w:t>Диспепсичний синдром проявлявся болем (88,64</w:t>
      </w:r>
      <w:r>
        <w:rPr>
          <w:caps/>
        </w:rPr>
        <w:t xml:space="preserve"> %</w:t>
      </w:r>
      <w:r w:rsidRPr="00AD70FC">
        <w:rPr>
          <w:caps/>
        </w:rPr>
        <w:t>) та почуттям важкості (93,19</w:t>
      </w:r>
      <w:r>
        <w:rPr>
          <w:caps/>
        </w:rPr>
        <w:t xml:space="preserve"> </w:t>
      </w:r>
      <w:r w:rsidRPr="00AD70FC">
        <w:rPr>
          <w:caps/>
        </w:rPr>
        <w:t>%) у правому підребер’ї, в епігастрії (57,95</w:t>
      </w:r>
      <w:r>
        <w:rPr>
          <w:caps/>
        </w:rPr>
        <w:t xml:space="preserve"> </w:t>
      </w:r>
      <w:r w:rsidRPr="00AD70FC">
        <w:rPr>
          <w:caps/>
        </w:rPr>
        <w:t>%), нудотою (57,95%), сухістю (43,18</w:t>
      </w:r>
      <w:r>
        <w:rPr>
          <w:caps/>
        </w:rPr>
        <w:t xml:space="preserve"> </w:t>
      </w:r>
      <w:r w:rsidRPr="00AD70FC">
        <w:rPr>
          <w:caps/>
        </w:rPr>
        <w:t>%) та гіркотою (12,50</w:t>
      </w:r>
      <w:r>
        <w:rPr>
          <w:caps/>
        </w:rPr>
        <w:t xml:space="preserve"> </w:t>
      </w:r>
      <w:r w:rsidRPr="00AD70FC">
        <w:rPr>
          <w:caps/>
        </w:rPr>
        <w:t>%) в роті, метеоризмом (23,86</w:t>
      </w:r>
      <w:r>
        <w:rPr>
          <w:caps/>
        </w:rPr>
        <w:t xml:space="preserve"> </w:t>
      </w:r>
      <w:r w:rsidRPr="00AD70FC">
        <w:rPr>
          <w:caps/>
        </w:rPr>
        <w:t xml:space="preserve">%), закрепами </w:t>
      </w:r>
      <w:r>
        <w:rPr>
          <w:caps/>
        </w:rPr>
        <w:br w:type="textWrapping" w:clear="all"/>
      </w:r>
      <w:r w:rsidRPr="00AD70FC">
        <w:rPr>
          <w:caps/>
        </w:rPr>
        <w:t>(11,36</w:t>
      </w:r>
      <w:r>
        <w:rPr>
          <w:caps/>
        </w:rPr>
        <w:t xml:space="preserve"> </w:t>
      </w:r>
      <w:r w:rsidRPr="00AD70FC">
        <w:rPr>
          <w:caps/>
        </w:rPr>
        <w:t>%), блювотою (10,24</w:t>
      </w:r>
      <w:r>
        <w:rPr>
          <w:caps/>
        </w:rPr>
        <w:t xml:space="preserve"> </w:t>
      </w:r>
      <w:r w:rsidRPr="00AD70FC">
        <w:rPr>
          <w:caps/>
        </w:rPr>
        <w:t>%), послабленням випорожнень (7,95</w:t>
      </w:r>
      <w:r>
        <w:rPr>
          <w:caps/>
        </w:rPr>
        <w:t xml:space="preserve"> </w:t>
      </w:r>
      <w:r w:rsidRPr="00AD70FC">
        <w:rPr>
          <w:caps/>
        </w:rPr>
        <w:t xml:space="preserve">%). </w:t>
      </w:r>
    </w:p>
    <w:p w:rsidR="007C7BBA" w:rsidRPr="00AD70FC" w:rsidRDefault="007C7BBA" w:rsidP="007C7BBA">
      <w:pPr>
        <w:pStyle w:val="a5"/>
        <w:tabs>
          <w:tab w:val="left" w:pos="567"/>
        </w:tabs>
        <w:ind w:firstLine="567"/>
        <w:jc w:val="both"/>
        <w:rPr>
          <w:caps/>
        </w:rPr>
      </w:pPr>
      <w:r w:rsidRPr="00AD70FC">
        <w:rPr>
          <w:caps/>
        </w:rPr>
        <w:t>Симптом</w:t>
      </w:r>
      <w:r>
        <w:rPr>
          <w:caps/>
        </w:rPr>
        <w:t>и жовтяниці: темна сеча, ахолія, жовтяниця</w:t>
      </w:r>
      <w:r w:rsidRPr="00AD70FC">
        <w:rPr>
          <w:caps/>
        </w:rPr>
        <w:t xml:space="preserve"> склер, слизових оболонок і шкіри були виявлені в усіх хворих. Свербіж шкіри відмічався у 52 (59,09</w:t>
      </w:r>
      <w:r>
        <w:rPr>
          <w:caps/>
        </w:rPr>
        <w:t xml:space="preserve"> </w:t>
      </w:r>
      <w:r w:rsidRPr="00AD70FC">
        <w:rPr>
          <w:caps/>
        </w:rPr>
        <w:t>%) пацієнтів, іноді дуже інтенсивний з розчухами на шкірі. Частіше він був у хв</w:t>
      </w:r>
      <w:r>
        <w:rPr>
          <w:caps/>
        </w:rPr>
        <w:t xml:space="preserve">орих з холестатичним варіантом </w:t>
      </w:r>
      <w:r w:rsidRPr="00AD70FC">
        <w:rPr>
          <w:caps/>
        </w:rPr>
        <w:t>ГА.</w:t>
      </w:r>
    </w:p>
    <w:p w:rsidR="007C7BBA" w:rsidRPr="00AD70FC" w:rsidRDefault="007C7BBA" w:rsidP="007C7BBA">
      <w:pPr>
        <w:pStyle w:val="a5"/>
        <w:tabs>
          <w:tab w:val="left" w:pos="567"/>
        </w:tabs>
        <w:ind w:firstLine="567"/>
        <w:jc w:val="both"/>
        <w:rPr>
          <w:caps/>
        </w:rPr>
      </w:pPr>
      <w:r w:rsidRPr="00AD70FC">
        <w:rPr>
          <w:caps/>
        </w:rPr>
        <w:t>Збільшення і ущільнення консистенції печінки при пальпації зареєстровано в усіх хворих (100</w:t>
      </w:r>
      <w:r>
        <w:rPr>
          <w:caps/>
        </w:rPr>
        <w:t xml:space="preserve"> </w:t>
      </w:r>
      <w:r w:rsidRPr="00AD70FC">
        <w:rPr>
          <w:caps/>
        </w:rPr>
        <w:t>%), болючість її – у 79 (89,77</w:t>
      </w:r>
      <w:r>
        <w:rPr>
          <w:caps/>
        </w:rPr>
        <w:t xml:space="preserve"> </w:t>
      </w:r>
      <w:r w:rsidRPr="00AD70FC">
        <w:rPr>
          <w:caps/>
        </w:rPr>
        <w:t>%), збільшення селезінки – у 32 (36,36</w:t>
      </w:r>
      <w:r>
        <w:rPr>
          <w:caps/>
        </w:rPr>
        <w:t xml:space="preserve"> </w:t>
      </w:r>
      <w:r w:rsidRPr="00AD70FC">
        <w:rPr>
          <w:caps/>
        </w:rPr>
        <w:t xml:space="preserve">%). У хворих цієї групи збільшення печінки до </w:t>
      </w:r>
      <w:smartTag w:uri="urn:schemas-microsoft-com:office:smarttags" w:element="metricconverter">
        <w:smartTagPr>
          <w:attr w:name="ProductID" w:val="2 см"/>
        </w:smartTagPr>
        <w:r w:rsidRPr="00AD70FC">
          <w:rPr>
            <w:caps/>
          </w:rPr>
          <w:t>2 см</w:t>
        </w:r>
      </w:smartTag>
      <w:r w:rsidRPr="00AD70FC">
        <w:rPr>
          <w:caps/>
        </w:rPr>
        <w:t xml:space="preserve"> відзначено у 31 </w:t>
      </w:r>
      <w:r>
        <w:rPr>
          <w:caps/>
        </w:rPr>
        <w:br w:type="textWrapping" w:clear="all"/>
      </w:r>
      <w:r w:rsidRPr="00AD70FC">
        <w:rPr>
          <w:caps/>
        </w:rPr>
        <w:t>(35,23</w:t>
      </w:r>
      <w:r>
        <w:rPr>
          <w:caps/>
        </w:rPr>
        <w:t xml:space="preserve"> </w:t>
      </w:r>
      <w:r w:rsidRPr="00AD70FC">
        <w:rPr>
          <w:caps/>
        </w:rPr>
        <w:t xml:space="preserve">%) пацієнта, від 2,1 до </w:t>
      </w:r>
      <w:smartTag w:uri="urn:schemas-microsoft-com:office:smarttags" w:element="metricconverter">
        <w:smartTagPr>
          <w:attr w:name="ProductID" w:val="3 см"/>
        </w:smartTagPr>
        <w:r w:rsidRPr="00AD70FC">
          <w:rPr>
            <w:caps/>
          </w:rPr>
          <w:t>3 см</w:t>
        </w:r>
      </w:smartTag>
      <w:r w:rsidRPr="00AD70FC">
        <w:rPr>
          <w:caps/>
        </w:rPr>
        <w:t xml:space="preserve"> – у 38 (43,18</w:t>
      </w:r>
      <w:r>
        <w:rPr>
          <w:caps/>
        </w:rPr>
        <w:t xml:space="preserve"> %), від 3,1 до </w:t>
      </w:r>
      <w:smartTag w:uri="urn:schemas-microsoft-com:office:smarttags" w:element="metricconverter">
        <w:smartTagPr>
          <w:attr w:name="ProductID" w:val="4 см"/>
        </w:smartTagPr>
        <w:r w:rsidRPr="00AD70FC">
          <w:rPr>
            <w:caps/>
          </w:rPr>
          <w:t>4 см</w:t>
        </w:r>
      </w:smartTag>
      <w:r w:rsidRPr="00AD70FC">
        <w:rPr>
          <w:caps/>
        </w:rPr>
        <w:t xml:space="preserve"> – </w:t>
      </w:r>
      <w:r>
        <w:rPr>
          <w:caps/>
        </w:rPr>
        <w:t>в</w:t>
      </w:r>
      <w:r w:rsidRPr="00AD70FC">
        <w:rPr>
          <w:caps/>
        </w:rPr>
        <w:t xml:space="preserve"> 11 (12,50</w:t>
      </w:r>
      <w:r>
        <w:rPr>
          <w:caps/>
        </w:rPr>
        <w:t xml:space="preserve"> </w:t>
      </w:r>
      <w:r w:rsidRPr="00AD70FC">
        <w:rPr>
          <w:caps/>
        </w:rPr>
        <w:t>%) і більше 4,1см – у 8 (9,09</w:t>
      </w:r>
      <w:r>
        <w:rPr>
          <w:caps/>
        </w:rPr>
        <w:t xml:space="preserve"> </w:t>
      </w:r>
      <w:r w:rsidRPr="00AD70FC">
        <w:rPr>
          <w:caps/>
        </w:rPr>
        <w:t xml:space="preserve">%). </w:t>
      </w:r>
    </w:p>
    <w:p w:rsidR="007C7BBA" w:rsidRPr="00AD70FC" w:rsidRDefault="007C7BBA" w:rsidP="007C7BBA">
      <w:pPr>
        <w:pStyle w:val="a5"/>
        <w:tabs>
          <w:tab w:val="left" w:pos="567"/>
        </w:tabs>
        <w:ind w:firstLine="567"/>
        <w:jc w:val="both"/>
        <w:rPr>
          <w:caps/>
        </w:rPr>
      </w:pPr>
      <w:r w:rsidRPr="00AD70FC">
        <w:rPr>
          <w:caps/>
        </w:rPr>
        <w:t>Таким</w:t>
      </w:r>
      <w:r>
        <w:rPr>
          <w:caps/>
        </w:rPr>
        <w:t xml:space="preserve"> чином, у жовтяничному періоді </w:t>
      </w:r>
      <w:r w:rsidRPr="00AD70FC">
        <w:rPr>
          <w:caps/>
        </w:rPr>
        <w:t>ГА на тлі жовтяниці найдовше зберігались симптоми астенії та диспепсії, швидкого покращенн</w:t>
      </w:r>
      <w:r>
        <w:rPr>
          <w:caps/>
        </w:rPr>
        <w:t xml:space="preserve">я самопочуття не відмічалось, </w:t>
      </w:r>
      <w:r w:rsidRPr="00AD70FC">
        <w:rPr>
          <w:caps/>
        </w:rPr>
        <w:t xml:space="preserve">з'являлися ознаки ураження інших органів дигестивної системи, особливо у хворих </w:t>
      </w:r>
      <w:r>
        <w:rPr>
          <w:caps/>
        </w:rPr>
        <w:t>другої</w:t>
      </w:r>
      <w:r w:rsidRPr="00AD70FC">
        <w:rPr>
          <w:caps/>
        </w:rPr>
        <w:t xml:space="preserve"> групи. </w:t>
      </w:r>
    </w:p>
    <w:p w:rsidR="007C7BBA" w:rsidRPr="00AD70FC" w:rsidRDefault="007C7BBA" w:rsidP="007C7BBA">
      <w:pPr>
        <w:pStyle w:val="a7"/>
        <w:tabs>
          <w:tab w:val="left" w:pos="567"/>
        </w:tabs>
        <w:spacing w:after="0"/>
        <w:ind w:left="0" w:firstLine="567"/>
        <w:jc w:val="both"/>
        <w:rPr>
          <w:sz w:val="28"/>
          <w:lang w:val="uk-UA"/>
        </w:rPr>
      </w:pPr>
      <w:r w:rsidRPr="00AD70FC">
        <w:rPr>
          <w:sz w:val="28"/>
          <w:lang w:val="uk-UA"/>
        </w:rPr>
        <w:t xml:space="preserve">Аналіз результатів загальноклінічних методів дослідження показав, </w:t>
      </w:r>
      <w:r>
        <w:rPr>
          <w:sz w:val="28"/>
          <w:lang w:val="uk-UA"/>
        </w:rPr>
        <w:t xml:space="preserve">що </w:t>
      </w:r>
      <w:r w:rsidRPr="00AD70FC">
        <w:rPr>
          <w:sz w:val="28"/>
          <w:lang w:val="uk-UA"/>
        </w:rPr>
        <w:t>у крові та сечі хворих частіше зберігались фізіологічні параметри багатьох елементів. У копрограмі, як</w:t>
      </w:r>
      <w:r>
        <w:rPr>
          <w:sz w:val="28"/>
          <w:lang w:val="uk-UA"/>
        </w:rPr>
        <w:t>у</w:t>
      </w:r>
      <w:r w:rsidRPr="00AD70FC">
        <w:rPr>
          <w:sz w:val="28"/>
          <w:lang w:val="uk-UA"/>
        </w:rPr>
        <w:t xml:space="preserve"> </w:t>
      </w:r>
      <w:r>
        <w:rPr>
          <w:sz w:val="28"/>
          <w:lang w:val="uk-UA"/>
        </w:rPr>
        <w:t>було</w:t>
      </w:r>
      <w:r w:rsidRPr="00AD70FC">
        <w:rPr>
          <w:sz w:val="28"/>
          <w:lang w:val="uk-UA"/>
        </w:rPr>
        <w:t xml:space="preserve"> проведен</w:t>
      </w:r>
      <w:r>
        <w:rPr>
          <w:sz w:val="28"/>
          <w:lang w:val="uk-UA"/>
        </w:rPr>
        <w:t>о</w:t>
      </w:r>
      <w:r w:rsidRPr="00AD70FC">
        <w:rPr>
          <w:sz w:val="28"/>
          <w:lang w:val="uk-UA"/>
        </w:rPr>
        <w:t xml:space="preserve"> у 108 хворих, виявлен</w:t>
      </w:r>
      <w:r>
        <w:rPr>
          <w:sz w:val="28"/>
          <w:lang w:val="uk-UA"/>
        </w:rPr>
        <w:t>о</w:t>
      </w:r>
      <w:r w:rsidRPr="00AD70FC">
        <w:rPr>
          <w:sz w:val="28"/>
          <w:lang w:val="uk-UA"/>
        </w:rPr>
        <w:t xml:space="preserve"> зміни </w:t>
      </w:r>
      <w:r w:rsidRPr="00AD70FC">
        <w:rPr>
          <w:sz w:val="28"/>
          <w:lang w:val="uk-UA"/>
        </w:rPr>
        <w:lastRenderedPageBreak/>
        <w:t>фізичних властивостей випорожнень у 23 (21,30</w:t>
      </w:r>
      <w:r>
        <w:rPr>
          <w:sz w:val="28"/>
          <w:lang w:val="uk-UA"/>
        </w:rPr>
        <w:t xml:space="preserve"> </w:t>
      </w:r>
      <w:r w:rsidRPr="00AD70FC">
        <w:rPr>
          <w:sz w:val="28"/>
          <w:lang w:val="uk-UA"/>
        </w:rPr>
        <w:t>%) пацієнтів, ознаки порушення перетравлювання та утилізації у 79 (73,15</w:t>
      </w:r>
      <w:r>
        <w:rPr>
          <w:sz w:val="28"/>
          <w:lang w:val="uk-UA"/>
        </w:rPr>
        <w:t xml:space="preserve"> </w:t>
      </w:r>
      <w:r w:rsidRPr="00AD70FC">
        <w:rPr>
          <w:sz w:val="28"/>
          <w:lang w:val="uk-UA"/>
        </w:rPr>
        <w:t>%), збільшування кількості йодофільної флори у 29 (26,85</w:t>
      </w:r>
      <w:r>
        <w:rPr>
          <w:sz w:val="28"/>
          <w:lang w:val="uk-UA"/>
        </w:rPr>
        <w:t xml:space="preserve"> </w:t>
      </w:r>
      <w:r w:rsidRPr="00AD70FC">
        <w:rPr>
          <w:sz w:val="28"/>
          <w:lang w:val="uk-UA"/>
        </w:rPr>
        <w:t>%) та дріжджоподібних грибів у 7</w:t>
      </w:r>
      <w:r>
        <w:rPr>
          <w:sz w:val="28"/>
          <w:lang w:val="uk-UA"/>
        </w:rPr>
        <w:t xml:space="preserve"> </w:t>
      </w:r>
      <w:r w:rsidRPr="00AD70FC">
        <w:rPr>
          <w:sz w:val="28"/>
          <w:lang w:val="uk-UA"/>
        </w:rPr>
        <w:t>(6,48</w:t>
      </w:r>
      <w:r>
        <w:rPr>
          <w:sz w:val="28"/>
          <w:lang w:val="uk-UA"/>
        </w:rPr>
        <w:t xml:space="preserve"> </w:t>
      </w:r>
      <w:r w:rsidRPr="00AD70FC">
        <w:rPr>
          <w:sz w:val="28"/>
          <w:lang w:val="uk-UA"/>
        </w:rPr>
        <w:t>%). Слабко позитивна реакція на стеркобілін відмічалась у 44 (40,74</w:t>
      </w:r>
      <w:r>
        <w:rPr>
          <w:sz w:val="28"/>
          <w:lang w:val="uk-UA"/>
        </w:rPr>
        <w:t xml:space="preserve"> </w:t>
      </w:r>
      <w:r w:rsidRPr="00AD70FC">
        <w:rPr>
          <w:sz w:val="28"/>
          <w:lang w:val="uk-UA"/>
        </w:rPr>
        <w:t>%), негативна – у 64 (59,26</w:t>
      </w:r>
      <w:r>
        <w:rPr>
          <w:sz w:val="28"/>
          <w:lang w:val="uk-UA"/>
        </w:rPr>
        <w:t xml:space="preserve"> </w:t>
      </w:r>
      <w:r w:rsidRPr="00AD70FC">
        <w:rPr>
          <w:sz w:val="28"/>
          <w:lang w:val="uk-UA"/>
        </w:rPr>
        <w:t xml:space="preserve">%) пацієнтів. </w:t>
      </w:r>
    </w:p>
    <w:p w:rsidR="007C7BBA" w:rsidRPr="00AD70FC" w:rsidRDefault="007C7BBA" w:rsidP="007C7BBA">
      <w:pPr>
        <w:pStyle w:val="31"/>
        <w:tabs>
          <w:tab w:val="left" w:pos="567"/>
        </w:tabs>
        <w:spacing w:after="0"/>
        <w:ind w:left="0" w:firstLine="567"/>
        <w:jc w:val="both"/>
        <w:rPr>
          <w:sz w:val="28"/>
          <w:lang w:val="uk-UA"/>
        </w:rPr>
      </w:pPr>
      <w:r w:rsidRPr="00AD70FC">
        <w:rPr>
          <w:sz w:val="28"/>
          <w:lang w:val="uk-UA"/>
        </w:rPr>
        <w:t>Аналізуючи результати дослідження видільної функції печінки, необх</w:t>
      </w:r>
      <w:r>
        <w:rPr>
          <w:sz w:val="28"/>
          <w:lang w:val="uk-UA"/>
        </w:rPr>
        <w:t xml:space="preserve">ідно зазначити, що у хворих на </w:t>
      </w:r>
      <w:r w:rsidRPr="00AD70FC">
        <w:rPr>
          <w:sz w:val="28"/>
          <w:lang w:val="uk-UA"/>
        </w:rPr>
        <w:t>ГА спостерігалося підвищення кількості загального білірубіну крові та його фракцій (97,49</w:t>
      </w:r>
      <w:r>
        <w:rPr>
          <w:sz w:val="28"/>
          <w:lang w:val="uk-UA"/>
        </w:rPr>
        <w:t xml:space="preserve"> </w:t>
      </w:r>
      <w:r w:rsidRPr="00AD70FC">
        <w:rPr>
          <w:sz w:val="28"/>
          <w:lang w:val="uk-UA"/>
        </w:rPr>
        <w:t xml:space="preserve">%). Вміст їх зростав пропорційно тяжкості патологічного процесу. </w:t>
      </w:r>
    </w:p>
    <w:p w:rsidR="007C7BBA" w:rsidRPr="00F71182" w:rsidRDefault="007C7BBA" w:rsidP="007C7BBA">
      <w:pPr>
        <w:pStyle w:val="31"/>
        <w:tabs>
          <w:tab w:val="left" w:pos="567"/>
        </w:tabs>
        <w:spacing w:after="0"/>
        <w:ind w:left="0" w:firstLine="567"/>
        <w:jc w:val="both"/>
        <w:rPr>
          <w:sz w:val="28"/>
          <w:lang w:val="uk-UA"/>
        </w:rPr>
      </w:pPr>
      <w:r w:rsidRPr="00AD70FC">
        <w:rPr>
          <w:sz w:val="28"/>
          <w:lang w:val="uk-UA"/>
        </w:rPr>
        <w:t>Порушення синтетичної функції печінки проявлялись в усіх хворих підвищенням тимолової, зниженням сулемової проб. Тимолова проба зростала залежно від</w:t>
      </w:r>
      <w:r>
        <w:rPr>
          <w:sz w:val="28"/>
          <w:lang w:val="uk-UA"/>
        </w:rPr>
        <w:t xml:space="preserve"> тяжкості процесу (</w:t>
      </w:r>
      <w:r w:rsidRPr="00E53AC9">
        <w:rPr>
          <w:i/>
          <w:sz w:val="28"/>
          <w:lang w:val="uk-UA"/>
        </w:rPr>
        <w:t>Р</w:t>
      </w:r>
      <w:r>
        <w:rPr>
          <w:sz w:val="28"/>
          <w:lang w:val="uk-UA"/>
        </w:rPr>
        <w:t>&lt;0,01). В</w:t>
      </w:r>
      <w:r w:rsidRPr="00AD70FC">
        <w:rPr>
          <w:sz w:val="28"/>
          <w:lang w:val="uk-UA"/>
        </w:rPr>
        <w:t xml:space="preserve"> обстежених хворих обох груп ми не виявили суттєвої різниці між рівнями сулемової проби (</w:t>
      </w:r>
      <w:r w:rsidRPr="00E53AC9">
        <w:rPr>
          <w:i/>
          <w:sz w:val="28"/>
          <w:lang w:val="uk-UA"/>
        </w:rPr>
        <w:t>Р</w:t>
      </w:r>
      <w:r w:rsidRPr="00AD70FC">
        <w:rPr>
          <w:sz w:val="28"/>
          <w:lang w:val="uk-UA"/>
        </w:rPr>
        <w:t xml:space="preserve">&gt;0,05). Гіперферментемія мала місце в усіх хворих, найбільші значення були при середньотяжкій </w:t>
      </w:r>
      <w:r w:rsidRPr="00F71182">
        <w:rPr>
          <w:sz w:val="28"/>
          <w:lang w:val="uk-UA"/>
        </w:rPr>
        <w:t>формі (</w:t>
      </w:r>
      <w:r w:rsidRPr="00E53AC9">
        <w:rPr>
          <w:i/>
          <w:sz w:val="28"/>
          <w:lang w:val="uk-UA"/>
        </w:rPr>
        <w:t>Р</w:t>
      </w:r>
      <w:r w:rsidRPr="00F71182">
        <w:rPr>
          <w:sz w:val="28"/>
          <w:lang w:val="uk-UA"/>
        </w:rPr>
        <w:t>&lt;0,01).</w:t>
      </w:r>
    </w:p>
    <w:p w:rsidR="007C7BBA" w:rsidRPr="00AD70FC" w:rsidRDefault="007C7BBA" w:rsidP="007C7BBA">
      <w:pPr>
        <w:pStyle w:val="33"/>
        <w:tabs>
          <w:tab w:val="left" w:pos="567"/>
        </w:tabs>
        <w:spacing w:after="0"/>
        <w:ind w:firstLine="567"/>
        <w:jc w:val="both"/>
        <w:rPr>
          <w:sz w:val="28"/>
        </w:rPr>
      </w:pPr>
      <w:r w:rsidRPr="00AD70FC">
        <w:rPr>
          <w:sz w:val="28"/>
        </w:rPr>
        <w:t xml:space="preserve">Протеїнограма у хворих першої групи була в межах фізіологічної норми, у хворих другої групи характеризувалась короткочасною помірною гіпопротеїнемією (61,12±0,59 г/л). </w:t>
      </w:r>
    </w:p>
    <w:p w:rsidR="007C7BBA" w:rsidRPr="00AD70FC" w:rsidRDefault="007C7BBA" w:rsidP="007C7BBA">
      <w:pPr>
        <w:pStyle w:val="22"/>
        <w:tabs>
          <w:tab w:val="left" w:pos="567"/>
        </w:tabs>
        <w:spacing w:after="0" w:line="240" w:lineRule="auto"/>
        <w:ind w:left="0" w:firstLine="567"/>
        <w:jc w:val="both"/>
        <w:rPr>
          <w:sz w:val="28"/>
          <w:lang w:val="uk-UA"/>
        </w:rPr>
      </w:pPr>
      <w:r w:rsidRPr="00F71182">
        <w:rPr>
          <w:sz w:val="28"/>
          <w:lang w:val="uk-UA"/>
        </w:rPr>
        <w:t xml:space="preserve">Протромбіновий індекс та рівень фібриногену в жовтяничний період знижувалися нижче норми в усіх хворих, вміст їх залежав від тяжкості ГА. У хворих першої групи ці значення знижувались недостовірно – протромбін в середньому склав 78,23±0,89 </w:t>
      </w:r>
      <w:r>
        <w:rPr>
          <w:sz w:val="28"/>
          <w:lang w:val="uk-UA"/>
        </w:rPr>
        <w:t xml:space="preserve">% </w:t>
      </w:r>
      <w:r w:rsidRPr="00F71182">
        <w:rPr>
          <w:sz w:val="28"/>
          <w:lang w:val="uk-UA"/>
        </w:rPr>
        <w:t>(</w:t>
      </w:r>
      <w:r w:rsidRPr="00E53AC9">
        <w:rPr>
          <w:i/>
          <w:sz w:val="28"/>
          <w:lang w:val="uk-UA"/>
        </w:rPr>
        <w:t>Р</w:t>
      </w:r>
      <w:r w:rsidRPr="00F71182">
        <w:rPr>
          <w:sz w:val="28"/>
          <w:lang w:val="uk-UA"/>
        </w:rPr>
        <w:t>&gt;0,05), фібриноген – 1,6±0.67 (</w:t>
      </w:r>
      <w:r w:rsidRPr="00E53AC9">
        <w:rPr>
          <w:i/>
          <w:sz w:val="28"/>
          <w:lang w:val="uk-UA"/>
        </w:rPr>
        <w:t>Р</w:t>
      </w:r>
      <w:r w:rsidRPr="00F71182">
        <w:rPr>
          <w:sz w:val="28"/>
          <w:lang w:val="uk-UA"/>
        </w:rPr>
        <w:t>&gt;0,05), а друга співвідносно 70,56±0,93</w:t>
      </w:r>
      <w:r>
        <w:rPr>
          <w:sz w:val="28"/>
          <w:lang w:val="uk-UA"/>
        </w:rPr>
        <w:t xml:space="preserve"> % (</w:t>
      </w:r>
      <w:r w:rsidRPr="00E53AC9">
        <w:rPr>
          <w:i/>
          <w:sz w:val="28"/>
          <w:lang w:val="uk-UA"/>
        </w:rPr>
        <w:t>Р</w:t>
      </w:r>
      <w:r w:rsidRPr="00AD70FC">
        <w:rPr>
          <w:sz w:val="28"/>
          <w:lang w:val="uk-UA"/>
        </w:rPr>
        <w:t>&lt;0,05) та 1,6±0,74</w:t>
      </w:r>
      <w:r>
        <w:rPr>
          <w:sz w:val="28"/>
          <w:lang w:val="uk-UA"/>
        </w:rPr>
        <w:t xml:space="preserve"> % (</w:t>
      </w:r>
      <w:r w:rsidRPr="00E53AC9">
        <w:rPr>
          <w:i/>
          <w:sz w:val="28"/>
          <w:lang w:val="uk-UA"/>
        </w:rPr>
        <w:t>Р</w:t>
      </w:r>
      <w:r w:rsidRPr="00AD70FC">
        <w:rPr>
          <w:sz w:val="28"/>
          <w:lang w:val="uk-UA"/>
        </w:rPr>
        <w:t>&lt;0,05).</w:t>
      </w:r>
    </w:p>
    <w:p w:rsidR="007C7BBA" w:rsidRDefault="007C7BBA" w:rsidP="007C7BBA">
      <w:pPr>
        <w:tabs>
          <w:tab w:val="left" w:pos="567"/>
        </w:tabs>
        <w:ind w:firstLine="567"/>
        <w:jc w:val="both"/>
        <w:rPr>
          <w:sz w:val="28"/>
          <w:szCs w:val="28"/>
          <w:lang w:val="uk-UA"/>
        </w:rPr>
      </w:pPr>
      <w:r w:rsidRPr="00AD70FC">
        <w:rPr>
          <w:sz w:val="28"/>
          <w:szCs w:val="28"/>
          <w:lang w:val="uk-UA"/>
        </w:rPr>
        <w:t>При вивченні мікробного пейзажу</w:t>
      </w:r>
      <w:r>
        <w:rPr>
          <w:sz w:val="28"/>
          <w:szCs w:val="28"/>
          <w:lang w:val="uk-UA"/>
        </w:rPr>
        <w:t xml:space="preserve"> товстої кишки у 108 хворих на </w:t>
      </w:r>
      <w:r w:rsidRPr="00AD70FC">
        <w:rPr>
          <w:sz w:val="28"/>
          <w:szCs w:val="28"/>
          <w:lang w:val="uk-UA"/>
        </w:rPr>
        <w:t>ГА уста</w:t>
      </w:r>
      <w:r>
        <w:rPr>
          <w:sz w:val="28"/>
          <w:szCs w:val="28"/>
          <w:lang w:val="uk-UA"/>
        </w:rPr>
        <w:t>новлено, що навіть легкий перебіг</w:t>
      </w:r>
      <w:r w:rsidRPr="00AD70FC">
        <w:rPr>
          <w:sz w:val="28"/>
          <w:szCs w:val="28"/>
          <w:lang w:val="uk-UA"/>
        </w:rPr>
        <w:t xml:space="preserve"> </w:t>
      </w:r>
      <w:r>
        <w:rPr>
          <w:sz w:val="28"/>
          <w:szCs w:val="28"/>
          <w:lang w:val="uk-UA"/>
        </w:rPr>
        <w:t xml:space="preserve">захворювання характеризується </w:t>
      </w:r>
      <w:r w:rsidRPr="00AD70FC">
        <w:rPr>
          <w:sz w:val="28"/>
          <w:szCs w:val="28"/>
          <w:lang w:val="uk-UA"/>
        </w:rPr>
        <w:t xml:space="preserve">зміною мікробіоценозу кишок. Аналіз бактеріограм калу виявив у 25 </w:t>
      </w:r>
      <w:r>
        <w:rPr>
          <w:sz w:val="28"/>
          <w:szCs w:val="28"/>
          <w:lang w:val="uk-UA"/>
        </w:rPr>
        <w:t>(</w:t>
      </w:r>
      <w:r w:rsidRPr="00AD70FC">
        <w:rPr>
          <w:sz w:val="28"/>
          <w:szCs w:val="28"/>
          <w:lang w:val="uk-UA"/>
        </w:rPr>
        <w:t>23,15</w:t>
      </w:r>
      <w:r>
        <w:rPr>
          <w:sz w:val="28"/>
          <w:szCs w:val="28"/>
          <w:lang w:val="uk-UA"/>
        </w:rPr>
        <w:t xml:space="preserve"> </w:t>
      </w:r>
      <w:r w:rsidRPr="00AD70FC">
        <w:rPr>
          <w:sz w:val="28"/>
          <w:szCs w:val="28"/>
          <w:lang w:val="uk-UA"/>
        </w:rPr>
        <w:t>%) хворих дисбактеріоз кишечник</w:t>
      </w:r>
      <w:r>
        <w:rPr>
          <w:sz w:val="28"/>
          <w:szCs w:val="28"/>
          <w:lang w:val="uk-UA"/>
        </w:rPr>
        <w:t>а</w:t>
      </w:r>
      <w:r w:rsidRPr="00AD70FC">
        <w:rPr>
          <w:sz w:val="28"/>
          <w:szCs w:val="28"/>
          <w:lang w:val="uk-UA"/>
        </w:rPr>
        <w:t xml:space="preserve"> </w:t>
      </w:r>
      <w:r>
        <w:rPr>
          <w:sz w:val="28"/>
          <w:szCs w:val="28"/>
          <w:lang w:val="uk-UA"/>
        </w:rPr>
        <w:t>1-го</w:t>
      </w:r>
      <w:r w:rsidRPr="00AD70FC">
        <w:rPr>
          <w:sz w:val="28"/>
          <w:szCs w:val="28"/>
          <w:lang w:val="uk-UA"/>
        </w:rPr>
        <w:t xml:space="preserve"> ступеня</w:t>
      </w:r>
      <w:r>
        <w:rPr>
          <w:sz w:val="28"/>
          <w:szCs w:val="28"/>
          <w:lang w:val="uk-UA"/>
        </w:rPr>
        <w:t xml:space="preserve"> (рис.1</w:t>
      </w:r>
      <w:r w:rsidRPr="00AD70FC">
        <w:rPr>
          <w:sz w:val="28"/>
          <w:szCs w:val="28"/>
          <w:lang w:val="uk-UA"/>
        </w:rPr>
        <w:t xml:space="preserve">), що проявлялось </w:t>
      </w:r>
      <w:r w:rsidRPr="00FF5047">
        <w:rPr>
          <w:sz w:val="28"/>
          <w:szCs w:val="28"/>
          <w:lang w:val="uk-UA"/>
        </w:rPr>
        <w:t>зменшенням аеробної флори, посиленням колонізації кишкової палички зі слабко вираженими ферментативними властивостями.</w:t>
      </w:r>
      <w:r w:rsidRPr="00AD70FC">
        <w:rPr>
          <w:sz w:val="28"/>
          <w:szCs w:val="28"/>
          <w:lang w:val="uk-UA"/>
        </w:rPr>
        <w:t xml:space="preserve"> </w:t>
      </w:r>
    </w:p>
    <w:p w:rsidR="007C7BBA" w:rsidRPr="00AD70FC" w:rsidRDefault="007C7BBA" w:rsidP="007C7BBA">
      <w:pPr>
        <w:tabs>
          <w:tab w:val="left" w:pos="567"/>
        </w:tabs>
        <w:ind w:firstLine="567"/>
        <w:jc w:val="center"/>
        <w:rPr>
          <w:sz w:val="28"/>
          <w:lang w:val="uk-UA"/>
        </w:rPr>
      </w:pPr>
      <w:r w:rsidRPr="00AD70FC">
        <w:rPr>
          <w:noProof/>
          <w:sz w:val="28"/>
          <w:lang w:eastAsia="ru-RU"/>
        </w:rPr>
        <w:drawing>
          <wp:inline distT="0" distB="0" distL="0" distR="0">
            <wp:extent cx="5250815" cy="189801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7BBA" w:rsidRPr="00AD70FC" w:rsidRDefault="007C7BBA" w:rsidP="007C7BBA">
      <w:pPr>
        <w:tabs>
          <w:tab w:val="left" w:pos="567"/>
        </w:tabs>
        <w:ind w:firstLine="357"/>
        <w:jc w:val="center"/>
        <w:rPr>
          <w:sz w:val="28"/>
          <w:szCs w:val="28"/>
          <w:lang w:val="uk-UA"/>
        </w:rPr>
      </w:pPr>
      <w:r>
        <w:rPr>
          <w:sz w:val="28"/>
          <w:szCs w:val="28"/>
          <w:lang w:val="uk-UA"/>
        </w:rPr>
        <w:t xml:space="preserve">Рис.1 Розподіл хворих на </w:t>
      </w:r>
      <w:r w:rsidRPr="00AD70FC">
        <w:rPr>
          <w:sz w:val="28"/>
          <w:szCs w:val="28"/>
          <w:lang w:val="uk-UA"/>
        </w:rPr>
        <w:t xml:space="preserve">ГА залежно від </w:t>
      </w:r>
    </w:p>
    <w:p w:rsidR="007C7BBA" w:rsidRPr="00AD70FC" w:rsidRDefault="007C7BBA" w:rsidP="007C7BBA">
      <w:pPr>
        <w:tabs>
          <w:tab w:val="left" w:pos="567"/>
        </w:tabs>
        <w:ind w:firstLine="357"/>
        <w:jc w:val="center"/>
        <w:rPr>
          <w:sz w:val="28"/>
          <w:szCs w:val="28"/>
          <w:lang w:val="uk-UA"/>
        </w:rPr>
      </w:pPr>
      <w:r w:rsidRPr="00AD70FC">
        <w:rPr>
          <w:sz w:val="28"/>
          <w:szCs w:val="28"/>
          <w:lang w:val="uk-UA"/>
        </w:rPr>
        <w:t>мікробіоценозу товстої кишки</w:t>
      </w:r>
    </w:p>
    <w:p w:rsidR="007C7BBA" w:rsidRPr="00AD70FC" w:rsidRDefault="007C7BBA" w:rsidP="007C7BBA">
      <w:pPr>
        <w:tabs>
          <w:tab w:val="left" w:pos="567"/>
        </w:tabs>
        <w:ind w:firstLine="357"/>
        <w:jc w:val="center"/>
        <w:rPr>
          <w:sz w:val="28"/>
          <w:szCs w:val="28"/>
          <w:lang w:val="uk-UA"/>
        </w:rPr>
      </w:pPr>
    </w:p>
    <w:p w:rsidR="007C7BBA" w:rsidRPr="00AD70FC" w:rsidRDefault="007C7BBA" w:rsidP="007C7BBA">
      <w:pPr>
        <w:tabs>
          <w:tab w:val="left" w:pos="567"/>
        </w:tabs>
        <w:ind w:firstLine="539"/>
        <w:jc w:val="both"/>
        <w:rPr>
          <w:sz w:val="28"/>
          <w:lang w:val="uk-UA"/>
        </w:rPr>
      </w:pPr>
      <w:r w:rsidRPr="00AD70FC">
        <w:rPr>
          <w:sz w:val="28"/>
          <w:lang w:val="uk-UA"/>
        </w:rPr>
        <w:t>У 54 (50,00</w:t>
      </w:r>
      <w:r>
        <w:rPr>
          <w:sz w:val="28"/>
          <w:lang w:val="uk-UA"/>
        </w:rPr>
        <w:t xml:space="preserve"> </w:t>
      </w:r>
      <w:r w:rsidRPr="00AD70FC">
        <w:rPr>
          <w:sz w:val="28"/>
          <w:lang w:val="uk-UA"/>
        </w:rPr>
        <w:t xml:space="preserve">%) обстежених зареєстрований дисбактеріоз </w:t>
      </w:r>
      <w:r>
        <w:rPr>
          <w:sz w:val="28"/>
          <w:lang w:val="uk-UA"/>
        </w:rPr>
        <w:t>2-</w:t>
      </w:r>
      <w:r w:rsidRPr="00AD70FC">
        <w:rPr>
          <w:sz w:val="28"/>
          <w:lang w:val="uk-UA"/>
        </w:rPr>
        <w:t xml:space="preserve">го ступеня. У цих хворих на </w:t>
      </w:r>
      <w:r>
        <w:rPr>
          <w:sz w:val="28"/>
          <w:lang w:val="uk-UA"/>
        </w:rPr>
        <w:t>фоні</w:t>
      </w:r>
      <w:r w:rsidRPr="00AD70FC">
        <w:rPr>
          <w:sz w:val="28"/>
          <w:lang w:val="uk-UA"/>
        </w:rPr>
        <w:t xml:space="preserve"> незначного зниження біфідо- та лактобактерій виявлялися змінення ешеріхій (зменшення кількості нормальної кишкової палички, збільшення числа атипових штамів, поява гемолізуючих колоній), стафілококи, УПМ та гриби роду Candida у невеликій кількості.</w:t>
      </w:r>
    </w:p>
    <w:p w:rsidR="007C7BBA" w:rsidRPr="00AD70FC" w:rsidRDefault="007C7BBA" w:rsidP="007C7BBA">
      <w:pPr>
        <w:tabs>
          <w:tab w:val="left" w:pos="567"/>
        </w:tabs>
        <w:ind w:firstLine="539"/>
        <w:jc w:val="both"/>
        <w:rPr>
          <w:sz w:val="28"/>
          <w:lang w:val="uk-UA"/>
        </w:rPr>
      </w:pPr>
      <w:r w:rsidRPr="00AD70FC">
        <w:rPr>
          <w:sz w:val="28"/>
          <w:szCs w:val="28"/>
          <w:lang w:val="uk-UA"/>
        </w:rPr>
        <w:t>У 22 (20,37</w:t>
      </w:r>
      <w:r>
        <w:rPr>
          <w:sz w:val="28"/>
          <w:szCs w:val="28"/>
          <w:lang w:val="uk-UA"/>
        </w:rPr>
        <w:t xml:space="preserve"> </w:t>
      </w:r>
      <w:r w:rsidRPr="00AD70FC">
        <w:rPr>
          <w:sz w:val="28"/>
          <w:szCs w:val="28"/>
          <w:lang w:val="uk-UA"/>
        </w:rPr>
        <w:t xml:space="preserve">%) пацієнтів відмічалися значно знижений рівень біфідо- та лактобактерій, різке зниження кількості кишкової палички, яка здебільшого була представлена атиповими штамами, виражене розростання УПМ, частіше в асоціаціях, що відповідало дисбактеріозу </w:t>
      </w:r>
      <w:r>
        <w:rPr>
          <w:sz w:val="28"/>
          <w:szCs w:val="28"/>
          <w:lang w:val="uk-UA"/>
        </w:rPr>
        <w:t>3-го</w:t>
      </w:r>
      <w:r w:rsidRPr="00AD70FC">
        <w:rPr>
          <w:sz w:val="28"/>
          <w:szCs w:val="28"/>
          <w:lang w:val="uk-UA"/>
        </w:rPr>
        <w:t xml:space="preserve"> ступеня. Нормобіоценоз зафіксований лише у 7 (6,48</w:t>
      </w:r>
      <w:r>
        <w:rPr>
          <w:sz w:val="28"/>
          <w:szCs w:val="28"/>
          <w:lang w:val="uk-UA"/>
        </w:rPr>
        <w:t xml:space="preserve"> </w:t>
      </w:r>
      <w:r w:rsidRPr="00AD70FC">
        <w:rPr>
          <w:sz w:val="28"/>
          <w:szCs w:val="28"/>
          <w:lang w:val="uk-UA"/>
        </w:rPr>
        <w:t>%) пацієнтів.</w:t>
      </w:r>
    </w:p>
    <w:p w:rsidR="007C7BBA" w:rsidRPr="00AD70FC" w:rsidRDefault="007C7BBA" w:rsidP="007C7BBA">
      <w:pPr>
        <w:tabs>
          <w:tab w:val="left" w:pos="567"/>
        </w:tabs>
        <w:ind w:firstLine="357"/>
        <w:jc w:val="both"/>
        <w:rPr>
          <w:sz w:val="28"/>
          <w:szCs w:val="28"/>
          <w:lang w:val="uk-UA"/>
        </w:rPr>
      </w:pPr>
      <w:r>
        <w:rPr>
          <w:sz w:val="28"/>
          <w:szCs w:val="28"/>
          <w:lang w:val="uk-UA"/>
        </w:rPr>
        <w:t>Встановлено</w:t>
      </w:r>
      <w:r w:rsidRPr="00AD70FC">
        <w:rPr>
          <w:sz w:val="28"/>
          <w:szCs w:val="28"/>
          <w:lang w:val="uk-UA"/>
        </w:rPr>
        <w:t xml:space="preserve"> взаємозалежність між змінами мікробіоценозу товс</w:t>
      </w:r>
      <w:r>
        <w:rPr>
          <w:sz w:val="28"/>
          <w:szCs w:val="28"/>
          <w:lang w:val="uk-UA"/>
        </w:rPr>
        <w:t xml:space="preserve">тої кишки та тяжкістю перебігу ГА. У хворих на </w:t>
      </w:r>
      <w:r w:rsidRPr="00AD70FC">
        <w:rPr>
          <w:sz w:val="28"/>
          <w:szCs w:val="28"/>
          <w:lang w:val="uk-UA"/>
        </w:rPr>
        <w:t>ГА з легким перебігом хвороби зареєстр</w:t>
      </w:r>
      <w:r>
        <w:rPr>
          <w:sz w:val="28"/>
          <w:szCs w:val="28"/>
          <w:lang w:val="uk-UA"/>
        </w:rPr>
        <w:t>овано 1-й та 2-</w:t>
      </w:r>
      <w:r w:rsidRPr="00AD70FC">
        <w:rPr>
          <w:sz w:val="28"/>
          <w:szCs w:val="28"/>
          <w:lang w:val="uk-UA"/>
        </w:rPr>
        <w:t>й ступені дисбактеріозу у 54 (88,51</w:t>
      </w:r>
      <w:r>
        <w:rPr>
          <w:sz w:val="28"/>
          <w:szCs w:val="28"/>
          <w:lang w:val="uk-UA"/>
        </w:rPr>
        <w:t xml:space="preserve"> </w:t>
      </w:r>
      <w:r w:rsidRPr="00AD70FC">
        <w:rPr>
          <w:sz w:val="28"/>
          <w:szCs w:val="28"/>
          <w:lang w:val="uk-UA"/>
        </w:rPr>
        <w:t xml:space="preserve">%) хворих та нормобіоценоз у 7 </w:t>
      </w:r>
      <w:r>
        <w:rPr>
          <w:sz w:val="28"/>
          <w:szCs w:val="28"/>
          <w:lang w:val="uk-UA"/>
        </w:rPr>
        <w:br w:type="textWrapping" w:clear="all"/>
      </w:r>
      <w:r w:rsidRPr="00AD70FC">
        <w:rPr>
          <w:sz w:val="28"/>
          <w:szCs w:val="28"/>
          <w:lang w:val="uk-UA"/>
        </w:rPr>
        <w:t>(11,49</w:t>
      </w:r>
      <w:r>
        <w:rPr>
          <w:sz w:val="28"/>
          <w:szCs w:val="28"/>
          <w:lang w:val="uk-UA"/>
        </w:rPr>
        <w:t xml:space="preserve"> </w:t>
      </w:r>
      <w:r w:rsidRPr="00AD70FC">
        <w:rPr>
          <w:sz w:val="28"/>
          <w:szCs w:val="28"/>
          <w:lang w:val="uk-UA"/>
        </w:rPr>
        <w:t>%). Характер виявлених змін мікробіоценозу товстої кишки дозволив установити у 25 (53,19</w:t>
      </w:r>
      <w:r>
        <w:rPr>
          <w:sz w:val="28"/>
          <w:szCs w:val="28"/>
          <w:lang w:val="uk-UA"/>
        </w:rPr>
        <w:t xml:space="preserve"> %) хворих на </w:t>
      </w:r>
      <w:r w:rsidRPr="00AD70FC">
        <w:rPr>
          <w:sz w:val="28"/>
          <w:szCs w:val="28"/>
          <w:lang w:val="uk-UA"/>
        </w:rPr>
        <w:t xml:space="preserve">ГА з середньою тяжкістю </w:t>
      </w:r>
      <w:r>
        <w:rPr>
          <w:sz w:val="28"/>
          <w:szCs w:val="28"/>
          <w:lang w:val="uk-UA"/>
        </w:rPr>
        <w:t>2-й</w:t>
      </w:r>
      <w:r w:rsidRPr="00AD70FC">
        <w:rPr>
          <w:sz w:val="28"/>
          <w:szCs w:val="28"/>
          <w:lang w:val="uk-UA"/>
        </w:rPr>
        <w:t xml:space="preserve"> ступінь дисбактеріозу, у 22 (46,81</w:t>
      </w:r>
      <w:r>
        <w:rPr>
          <w:sz w:val="28"/>
          <w:szCs w:val="28"/>
          <w:lang w:val="uk-UA"/>
        </w:rPr>
        <w:t xml:space="preserve"> </w:t>
      </w:r>
      <w:r w:rsidRPr="00AD70FC">
        <w:rPr>
          <w:sz w:val="28"/>
          <w:szCs w:val="28"/>
          <w:lang w:val="uk-UA"/>
        </w:rPr>
        <w:t xml:space="preserve">%) – </w:t>
      </w:r>
      <w:r>
        <w:rPr>
          <w:sz w:val="28"/>
          <w:szCs w:val="28"/>
          <w:lang w:val="uk-UA"/>
        </w:rPr>
        <w:t>3-</w:t>
      </w:r>
      <w:r w:rsidRPr="00AD70FC">
        <w:rPr>
          <w:sz w:val="28"/>
          <w:szCs w:val="28"/>
          <w:lang w:val="uk-UA"/>
        </w:rPr>
        <w:t>й ступінь.</w:t>
      </w:r>
    </w:p>
    <w:p w:rsidR="007C7BBA" w:rsidRDefault="007C7BBA" w:rsidP="007C7BBA">
      <w:pPr>
        <w:ind w:firstLine="540"/>
        <w:jc w:val="both"/>
        <w:rPr>
          <w:sz w:val="28"/>
          <w:szCs w:val="28"/>
          <w:lang w:val="uk-UA"/>
        </w:rPr>
      </w:pPr>
      <w:r w:rsidRPr="00AD70FC">
        <w:rPr>
          <w:sz w:val="28"/>
          <w:szCs w:val="28"/>
          <w:lang w:val="uk-UA"/>
        </w:rPr>
        <w:t xml:space="preserve">Дослідження рівня SIgA в копрофільтратах </w:t>
      </w:r>
      <w:r>
        <w:rPr>
          <w:sz w:val="28"/>
          <w:szCs w:val="28"/>
          <w:lang w:val="uk-UA"/>
        </w:rPr>
        <w:t xml:space="preserve">було проведено у 108 хворих на </w:t>
      </w:r>
      <w:r w:rsidRPr="00AD70FC">
        <w:rPr>
          <w:sz w:val="28"/>
          <w:szCs w:val="28"/>
          <w:lang w:val="uk-UA"/>
        </w:rPr>
        <w:t>ГА. Установлено, що у 80 (74,07</w:t>
      </w:r>
      <w:r>
        <w:rPr>
          <w:sz w:val="28"/>
          <w:szCs w:val="28"/>
          <w:lang w:val="uk-UA"/>
        </w:rPr>
        <w:t xml:space="preserve"> </w:t>
      </w:r>
      <w:r w:rsidRPr="00AD70FC">
        <w:rPr>
          <w:sz w:val="28"/>
          <w:szCs w:val="28"/>
          <w:lang w:val="uk-UA"/>
        </w:rPr>
        <w:t>%) хворих виявлен</w:t>
      </w:r>
      <w:r>
        <w:rPr>
          <w:sz w:val="28"/>
          <w:szCs w:val="28"/>
          <w:lang w:val="uk-UA"/>
        </w:rPr>
        <w:t>о</w:t>
      </w:r>
      <w:r w:rsidRPr="00AD70FC">
        <w:rPr>
          <w:sz w:val="28"/>
          <w:szCs w:val="28"/>
          <w:lang w:val="uk-UA"/>
        </w:rPr>
        <w:t xml:space="preserve"> позитивні показники екскреції з калом SIgA. </w:t>
      </w:r>
      <w:r w:rsidRPr="000E132A">
        <w:rPr>
          <w:sz w:val="28"/>
          <w:szCs w:val="28"/>
          <w:lang w:val="uk-UA"/>
        </w:rPr>
        <w:t>Рівень його склав 1,4±0,15 г/л, що в 5,6 разів перевищило значення контрольної групи (</w:t>
      </w:r>
      <w:r w:rsidRPr="005B570C">
        <w:rPr>
          <w:i/>
          <w:sz w:val="28"/>
          <w:szCs w:val="28"/>
          <w:lang w:val="uk-UA"/>
        </w:rPr>
        <w:t>Р</w:t>
      </w:r>
      <w:r w:rsidRPr="000E132A">
        <w:rPr>
          <w:sz w:val="28"/>
          <w:szCs w:val="28"/>
          <w:lang w:val="uk-UA"/>
        </w:rPr>
        <w:t xml:space="preserve">&lt;0,01). Найбільша частота позитивних результатів (80,85 %) зафіксована при середньотяжкому перебігу ГА (друга група), де вони зустрічались більш ніж в 2 рази частіше, як в осіб контрольної групи і в 1,2 рази ніж у хворих першої групи (табл.1). Рівень SIgA, який виділявся з фекаліями, у </w:t>
      </w:r>
      <w:r>
        <w:rPr>
          <w:sz w:val="28"/>
          <w:szCs w:val="28"/>
          <w:lang w:val="uk-UA"/>
        </w:rPr>
        <w:t>пацієнтів</w:t>
      </w:r>
      <w:r w:rsidRPr="000E132A">
        <w:rPr>
          <w:sz w:val="28"/>
          <w:szCs w:val="28"/>
          <w:lang w:val="uk-UA"/>
        </w:rPr>
        <w:t xml:space="preserve"> другої групи достовірно вищий в порівнянні з показниками першої (</w:t>
      </w:r>
      <w:r w:rsidRPr="005B570C">
        <w:rPr>
          <w:i/>
          <w:sz w:val="28"/>
          <w:szCs w:val="28"/>
          <w:lang w:val="uk-UA"/>
        </w:rPr>
        <w:t>Р</w:t>
      </w:r>
      <w:r w:rsidRPr="000E132A">
        <w:rPr>
          <w:sz w:val="28"/>
          <w:szCs w:val="28"/>
          <w:lang w:val="uk-UA"/>
        </w:rPr>
        <w:t>&lt;0,01) і контрольної груп (</w:t>
      </w:r>
      <w:r w:rsidRPr="005B570C">
        <w:rPr>
          <w:i/>
          <w:sz w:val="28"/>
          <w:szCs w:val="28"/>
          <w:lang w:val="uk-UA"/>
        </w:rPr>
        <w:t>Р</w:t>
      </w:r>
      <w:r w:rsidRPr="000E132A">
        <w:rPr>
          <w:sz w:val="28"/>
          <w:szCs w:val="28"/>
          <w:lang w:val="uk-UA"/>
        </w:rPr>
        <w:t>&lt;0,01).</w:t>
      </w:r>
    </w:p>
    <w:p w:rsidR="007C7BBA" w:rsidRPr="00AD70FC" w:rsidRDefault="007C7BBA" w:rsidP="007C7BBA">
      <w:pPr>
        <w:ind w:firstLine="540"/>
        <w:jc w:val="both"/>
        <w:rPr>
          <w:sz w:val="28"/>
          <w:lang w:val="uk-UA"/>
        </w:rPr>
      </w:pPr>
      <w:r w:rsidRPr="00AD70FC">
        <w:rPr>
          <w:sz w:val="28"/>
          <w:lang w:val="uk-UA"/>
        </w:rPr>
        <w:t>Приймаючи до уваги існуючий зв</w:t>
      </w:r>
      <w:r>
        <w:rPr>
          <w:sz w:val="28"/>
          <w:lang w:val="uk-UA"/>
        </w:rPr>
        <w:t xml:space="preserve">'язок між тяжкістю перебігу </w:t>
      </w:r>
      <w:r w:rsidRPr="00AD70FC">
        <w:rPr>
          <w:sz w:val="28"/>
          <w:lang w:val="uk-UA"/>
        </w:rPr>
        <w:t>ГА та станом мікробіоценозу кишок, а також з показниками секреції SIgA з фека</w:t>
      </w:r>
      <w:r>
        <w:rPr>
          <w:sz w:val="28"/>
          <w:lang w:val="uk-UA"/>
        </w:rPr>
        <w:t>ліями, ми провели дослідження щодо встановлення</w:t>
      </w:r>
      <w:r w:rsidRPr="00AD70FC">
        <w:rPr>
          <w:sz w:val="28"/>
          <w:lang w:val="uk-UA"/>
        </w:rPr>
        <w:t xml:space="preserve"> взаємозв'язків між показниками імуноглобуліну та ступенем дисбактеріозу кишок. Проведене дослідження показало, що найбільша кількість позитивних результатів була при дисбактеріозі товстої кишки 2-го (85,19</w:t>
      </w:r>
      <w:r>
        <w:rPr>
          <w:sz w:val="28"/>
          <w:lang w:val="uk-UA"/>
        </w:rPr>
        <w:t xml:space="preserve"> </w:t>
      </w:r>
      <w:r w:rsidRPr="00AD70FC">
        <w:rPr>
          <w:sz w:val="28"/>
          <w:lang w:val="uk-UA"/>
        </w:rPr>
        <w:t>%) та 3-го (77,27</w:t>
      </w:r>
      <w:r>
        <w:rPr>
          <w:sz w:val="28"/>
          <w:lang w:val="uk-UA"/>
        </w:rPr>
        <w:t xml:space="preserve"> </w:t>
      </w:r>
      <w:r w:rsidRPr="00AD70FC">
        <w:rPr>
          <w:sz w:val="28"/>
          <w:lang w:val="uk-UA"/>
        </w:rPr>
        <w:t xml:space="preserve">%) ступенів, у хворих з нормоценозом </w:t>
      </w:r>
      <w:r>
        <w:rPr>
          <w:sz w:val="28"/>
          <w:lang w:val="uk-UA"/>
        </w:rPr>
        <w:t>ц</w:t>
      </w:r>
      <w:r w:rsidRPr="00AD70FC">
        <w:rPr>
          <w:sz w:val="28"/>
          <w:lang w:val="uk-UA"/>
        </w:rPr>
        <w:t>ей відсоток не відрізнявся від контрольної групи.</w:t>
      </w:r>
    </w:p>
    <w:p w:rsidR="007C7BBA" w:rsidRPr="00DE1608" w:rsidRDefault="007C7BBA" w:rsidP="007C7BBA">
      <w:pPr>
        <w:pStyle w:val="a7"/>
        <w:spacing w:after="0"/>
        <w:ind w:left="0" w:firstLine="567"/>
        <w:jc w:val="right"/>
        <w:rPr>
          <w:i/>
          <w:sz w:val="28"/>
          <w:lang w:val="uk-UA"/>
        </w:rPr>
      </w:pPr>
      <w:r w:rsidRPr="00DE1608">
        <w:rPr>
          <w:i/>
          <w:sz w:val="28"/>
          <w:lang w:val="uk-UA"/>
        </w:rPr>
        <w:t>Таблиця 1</w:t>
      </w:r>
    </w:p>
    <w:p w:rsidR="007C7BBA" w:rsidRPr="00C31EA8" w:rsidRDefault="007C7BBA" w:rsidP="007C7BBA">
      <w:pPr>
        <w:pStyle w:val="31"/>
        <w:spacing w:after="0"/>
        <w:ind w:left="0" w:firstLine="357"/>
        <w:jc w:val="center"/>
        <w:rPr>
          <w:sz w:val="28"/>
          <w:lang w:val="uk-UA"/>
        </w:rPr>
      </w:pPr>
      <w:r w:rsidRPr="00C31EA8">
        <w:rPr>
          <w:sz w:val="28"/>
          <w:lang w:val="uk-UA"/>
        </w:rPr>
        <w:t>Показники SIgA у хворих на ГА залежно від тяжкості хвороби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350"/>
        <w:gridCol w:w="1350"/>
        <w:gridCol w:w="1320"/>
        <w:gridCol w:w="1020"/>
        <w:gridCol w:w="900"/>
      </w:tblGrid>
      <w:tr w:rsidR="007C7BBA" w:rsidRPr="00AD70FC" w:rsidTr="00B90BA0">
        <w:tblPrEx>
          <w:tblCellMar>
            <w:top w:w="0" w:type="dxa"/>
            <w:bottom w:w="0" w:type="dxa"/>
          </w:tblCellMar>
        </w:tblPrEx>
        <w:trPr>
          <w:cantSplit/>
        </w:trPr>
        <w:tc>
          <w:tcPr>
            <w:tcW w:w="2340" w:type="dxa"/>
            <w:vMerge w:val="restart"/>
          </w:tcPr>
          <w:p w:rsidR="007C7BBA" w:rsidRPr="00AD70FC" w:rsidRDefault="007C7BBA" w:rsidP="00B90BA0">
            <w:pPr>
              <w:pStyle w:val="31"/>
              <w:spacing w:after="0"/>
              <w:ind w:left="0"/>
              <w:rPr>
                <w:sz w:val="24"/>
                <w:lang w:val="uk-UA"/>
              </w:rPr>
            </w:pPr>
            <w:r w:rsidRPr="00AD70FC">
              <w:rPr>
                <w:sz w:val="24"/>
                <w:lang w:val="uk-UA"/>
              </w:rPr>
              <w:t>Групи обстеження</w:t>
            </w:r>
          </w:p>
        </w:tc>
        <w:tc>
          <w:tcPr>
            <w:tcW w:w="7200" w:type="dxa"/>
            <w:gridSpan w:val="6"/>
          </w:tcPr>
          <w:p w:rsidR="007C7BBA" w:rsidRPr="00AD70FC" w:rsidRDefault="007C7BBA" w:rsidP="00B90BA0">
            <w:pPr>
              <w:pStyle w:val="31"/>
              <w:spacing w:after="0"/>
              <w:ind w:left="0"/>
              <w:jc w:val="center"/>
              <w:rPr>
                <w:sz w:val="24"/>
                <w:lang w:val="uk-UA"/>
              </w:rPr>
            </w:pPr>
            <w:r w:rsidRPr="00AD70FC">
              <w:rPr>
                <w:sz w:val="24"/>
                <w:lang w:val="uk-UA"/>
              </w:rPr>
              <w:t>Статистичні показники</w:t>
            </w:r>
          </w:p>
        </w:tc>
      </w:tr>
      <w:tr w:rsidR="007C7BBA" w:rsidRPr="00AD70FC" w:rsidTr="00B90BA0">
        <w:tblPrEx>
          <w:tblCellMar>
            <w:top w:w="0" w:type="dxa"/>
            <w:bottom w:w="0" w:type="dxa"/>
          </w:tblCellMar>
        </w:tblPrEx>
        <w:trPr>
          <w:cantSplit/>
          <w:trHeight w:val="210"/>
        </w:trPr>
        <w:tc>
          <w:tcPr>
            <w:tcW w:w="2340" w:type="dxa"/>
            <w:vMerge/>
          </w:tcPr>
          <w:p w:rsidR="007C7BBA" w:rsidRPr="00AD70FC" w:rsidRDefault="007C7BBA" w:rsidP="00B90BA0">
            <w:pPr>
              <w:pStyle w:val="31"/>
              <w:spacing w:after="0"/>
              <w:ind w:left="0"/>
              <w:rPr>
                <w:sz w:val="24"/>
                <w:lang w:val="uk-UA"/>
              </w:rPr>
            </w:pPr>
          </w:p>
        </w:tc>
        <w:tc>
          <w:tcPr>
            <w:tcW w:w="1260" w:type="dxa"/>
            <w:vMerge w:val="restart"/>
          </w:tcPr>
          <w:p w:rsidR="007C7BBA" w:rsidRPr="005B570C" w:rsidRDefault="007C7BBA" w:rsidP="00B90BA0">
            <w:pPr>
              <w:pStyle w:val="31"/>
              <w:spacing w:after="0"/>
              <w:ind w:left="0"/>
              <w:jc w:val="center"/>
              <w:rPr>
                <w:i/>
                <w:sz w:val="24"/>
                <w:lang w:val="uk-UA"/>
              </w:rPr>
            </w:pPr>
            <w:r w:rsidRPr="005B570C">
              <w:rPr>
                <w:i/>
                <w:sz w:val="24"/>
                <w:lang w:val="uk-UA"/>
              </w:rPr>
              <w:t>n</w:t>
            </w:r>
          </w:p>
        </w:tc>
        <w:tc>
          <w:tcPr>
            <w:tcW w:w="2700" w:type="dxa"/>
            <w:gridSpan w:val="2"/>
          </w:tcPr>
          <w:p w:rsidR="007C7BBA" w:rsidRPr="00AD70FC" w:rsidRDefault="007C7BBA" w:rsidP="00B90BA0">
            <w:pPr>
              <w:pStyle w:val="31"/>
              <w:spacing w:after="0"/>
              <w:ind w:left="0"/>
              <w:jc w:val="center"/>
              <w:rPr>
                <w:sz w:val="24"/>
                <w:vertAlign w:val="subscript"/>
                <w:lang w:val="uk-UA"/>
              </w:rPr>
            </w:pPr>
            <w:r w:rsidRPr="005B570C">
              <w:rPr>
                <w:i/>
                <w:sz w:val="24"/>
                <w:lang w:val="uk-UA"/>
              </w:rPr>
              <w:t>n</w:t>
            </w:r>
            <w:r w:rsidRPr="00AD70FC">
              <w:rPr>
                <w:sz w:val="24"/>
                <w:lang w:val="uk-UA"/>
              </w:rPr>
              <w:t>-</w:t>
            </w:r>
            <w:r w:rsidRPr="005B570C">
              <w:rPr>
                <w:i/>
                <w:sz w:val="24"/>
                <w:lang w:val="uk-UA"/>
              </w:rPr>
              <w:t>n</w:t>
            </w:r>
            <w:r w:rsidRPr="005B570C">
              <w:rPr>
                <w:i/>
                <w:sz w:val="24"/>
                <w:vertAlign w:val="subscript"/>
                <w:lang w:val="uk-UA"/>
              </w:rPr>
              <w:t>0</w:t>
            </w:r>
          </w:p>
        </w:tc>
        <w:tc>
          <w:tcPr>
            <w:tcW w:w="1320" w:type="dxa"/>
            <w:vMerge w:val="restart"/>
          </w:tcPr>
          <w:p w:rsidR="007C7BBA" w:rsidRPr="00AD70FC" w:rsidRDefault="007C7BBA" w:rsidP="00B90BA0">
            <w:pPr>
              <w:pStyle w:val="31"/>
              <w:spacing w:after="0"/>
              <w:ind w:left="0"/>
              <w:jc w:val="center"/>
              <w:rPr>
                <w:sz w:val="24"/>
                <w:lang w:val="uk-UA"/>
              </w:rPr>
            </w:pPr>
            <w:r w:rsidRPr="005B570C">
              <w:rPr>
                <w:i/>
                <w:sz w:val="24"/>
                <w:lang w:val="uk-UA"/>
              </w:rPr>
              <w:t>M</w:t>
            </w:r>
            <w:r w:rsidRPr="00AD70FC">
              <w:rPr>
                <w:sz w:val="24"/>
                <w:lang w:val="uk-UA"/>
              </w:rPr>
              <w:t xml:space="preserve"> ± </w:t>
            </w:r>
            <w:r w:rsidRPr="005B570C">
              <w:rPr>
                <w:i/>
                <w:sz w:val="24"/>
                <w:lang w:val="uk-UA"/>
              </w:rPr>
              <w:t>m</w:t>
            </w:r>
            <w:r w:rsidRPr="00AD70FC">
              <w:rPr>
                <w:sz w:val="24"/>
                <w:lang w:val="uk-UA"/>
              </w:rPr>
              <w:t>,</w:t>
            </w:r>
          </w:p>
          <w:p w:rsidR="007C7BBA" w:rsidRPr="00AD70FC" w:rsidRDefault="007C7BBA" w:rsidP="00B90BA0">
            <w:pPr>
              <w:pStyle w:val="31"/>
              <w:spacing w:after="0"/>
              <w:ind w:left="0"/>
              <w:jc w:val="center"/>
              <w:rPr>
                <w:sz w:val="24"/>
                <w:lang w:val="uk-UA"/>
              </w:rPr>
            </w:pPr>
            <w:r w:rsidRPr="00AD70FC">
              <w:rPr>
                <w:sz w:val="24"/>
                <w:lang w:val="uk-UA"/>
              </w:rPr>
              <w:t>г/л</w:t>
            </w:r>
          </w:p>
        </w:tc>
        <w:tc>
          <w:tcPr>
            <w:tcW w:w="1020" w:type="dxa"/>
            <w:vMerge w:val="restart"/>
          </w:tcPr>
          <w:p w:rsidR="007C7BBA" w:rsidRPr="005B570C" w:rsidRDefault="007C7BBA" w:rsidP="00B90BA0">
            <w:pPr>
              <w:pStyle w:val="31"/>
              <w:spacing w:after="0"/>
              <w:ind w:left="0"/>
              <w:jc w:val="center"/>
              <w:rPr>
                <w:i/>
                <w:sz w:val="24"/>
                <w:vertAlign w:val="subscript"/>
                <w:lang w:val="uk-UA"/>
              </w:rPr>
            </w:pPr>
            <w:r w:rsidRPr="005B570C">
              <w:rPr>
                <w:i/>
                <w:sz w:val="24"/>
                <w:lang w:val="uk-UA"/>
              </w:rPr>
              <w:t>Р</w:t>
            </w:r>
            <w:r w:rsidRPr="005B570C">
              <w:rPr>
                <w:i/>
                <w:sz w:val="24"/>
                <w:vertAlign w:val="subscript"/>
                <w:lang w:val="uk-UA"/>
              </w:rPr>
              <w:t>1</w:t>
            </w:r>
          </w:p>
        </w:tc>
        <w:tc>
          <w:tcPr>
            <w:tcW w:w="900" w:type="dxa"/>
            <w:vMerge w:val="restart"/>
          </w:tcPr>
          <w:p w:rsidR="007C7BBA" w:rsidRPr="005B570C" w:rsidRDefault="007C7BBA" w:rsidP="00B90BA0">
            <w:pPr>
              <w:pStyle w:val="31"/>
              <w:spacing w:after="0"/>
              <w:ind w:left="0"/>
              <w:jc w:val="center"/>
              <w:rPr>
                <w:i/>
                <w:sz w:val="24"/>
                <w:vertAlign w:val="subscript"/>
                <w:lang w:val="uk-UA"/>
              </w:rPr>
            </w:pPr>
            <w:r w:rsidRPr="005B570C">
              <w:rPr>
                <w:i/>
                <w:sz w:val="24"/>
                <w:lang w:val="uk-UA"/>
              </w:rPr>
              <w:t>Р</w:t>
            </w:r>
            <w:r w:rsidRPr="005B570C">
              <w:rPr>
                <w:i/>
                <w:sz w:val="24"/>
                <w:vertAlign w:val="subscript"/>
                <w:lang w:val="uk-UA"/>
              </w:rPr>
              <w:t>2</w:t>
            </w:r>
          </w:p>
        </w:tc>
      </w:tr>
      <w:tr w:rsidR="007C7BBA" w:rsidRPr="00AD70FC" w:rsidTr="00B90BA0">
        <w:tblPrEx>
          <w:tblCellMar>
            <w:top w:w="0" w:type="dxa"/>
            <w:bottom w:w="0" w:type="dxa"/>
          </w:tblCellMar>
        </w:tblPrEx>
        <w:trPr>
          <w:cantSplit/>
          <w:trHeight w:val="210"/>
        </w:trPr>
        <w:tc>
          <w:tcPr>
            <w:tcW w:w="2340" w:type="dxa"/>
            <w:vMerge/>
          </w:tcPr>
          <w:p w:rsidR="007C7BBA" w:rsidRPr="00AD70FC" w:rsidRDefault="007C7BBA" w:rsidP="00B90BA0">
            <w:pPr>
              <w:pStyle w:val="31"/>
              <w:spacing w:after="0"/>
              <w:ind w:left="0"/>
              <w:rPr>
                <w:sz w:val="24"/>
                <w:lang w:val="uk-UA"/>
              </w:rPr>
            </w:pPr>
          </w:p>
        </w:tc>
        <w:tc>
          <w:tcPr>
            <w:tcW w:w="1260" w:type="dxa"/>
            <w:vMerge/>
          </w:tcPr>
          <w:p w:rsidR="007C7BBA" w:rsidRPr="00AD70FC" w:rsidRDefault="007C7BBA" w:rsidP="00B90BA0">
            <w:pPr>
              <w:pStyle w:val="31"/>
              <w:spacing w:after="0"/>
              <w:ind w:left="0" w:firstLine="360"/>
              <w:jc w:val="center"/>
              <w:rPr>
                <w:sz w:val="24"/>
                <w:lang w:val="uk-UA"/>
              </w:rPr>
            </w:pPr>
          </w:p>
        </w:tc>
        <w:tc>
          <w:tcPr>
            <w:tcW w:w="1350" w:type="dxa"/>
          </w:tcPr>
          <w:p w:rsidR="007C7BBA" w:rsidRPr="00AD70FC" w:rsidRDefault="007C7BBA" w:rsidP="00B90BA0">
            <w:pPr>
              <w:pStyle w:val="31"/>
              <w:spacing w:after="0"/>
              <w:ind w:left="0"/>
              <w:jc w:val="center"/>
              <w:rPr>
                <w:sz w:val="24"/>
                <w:lang w:val="uk-UA"/>
              </w:rPr>
            </w:pPr>
            <w:r w:rsidRPr="00AD70FC">
              <w:rPr>
                <w:sz w:val="24"/>
                <w:lang w:val="uk-UA"/>
              </w:rPr>
              <w:t>абс.</w:t>
            </w:r>
          </w:p>
        </w:tc>
        <w:tc>
          <w:tcPr>
            <w:tcW w:w="1350" w:type="dxa"/>
          </w:tcPr>
          <w:p w:rsidR="007C7BBA" w:rsidRPr="00AD70FC" w:rsidRDefault="007C7BBA" w:rsidP="00B90BA0">
            <w:pPr>
              <w:pStyle w:val="31"/>
              <w:spacing w:after="0"/>
              <w:ind w:left="0"/>
              <w:jc w:val="center"/>
              <w:rPr>
                <w:sz w:val="24"/>
                <w:lang w:val="uk-UA"/>
              </w:rPr>
            </w:pPr>
            <w:r w:rsidRPr="00AD70FC">
              <w:rPr>
                <w:sz w:val="24"/>
                <w:lang w:val="uk-UA"/>
              </w:rPr>
              <w:t>%</w:t>
            </w:r>
          </w:p>
        </w:tc>
        <w:tc>
          <w:tcPr>
            <w:tcW w:w="1320" w:type="dxa"/>
            <w:vMerge/>
          </w:tcPr>
          <w:p w:rsidR="007C7BBA" w:rsidRPr="00AD70FC" w:rsidRDefault="007C7BBA" w:rsidP="00B90BA0">
            <w:pPr>
              <w:pStyle w:val="31"/>
              <w:spacing w:after="0"/>
              <w:ind w:left="0" w:firstLine="360"/>
              <w:jc w:val="center"/>
              <w:rPr>
                <w:sz w:val="24"/>
                <w:lang w:val="uk-UA"/>
              </w:rPr>
            </w:pPr>
          </w:p>
        </w:tc>
        <w:tc>
          <w:tcPr>
            <w:tcW w:w="1020" w:type="dxa"/>
            <w:vMerge/>
          </w:tcPr>
          <w:p w:rsidR="007C7BBA" w:rsidRPr="00AD70FC" w:rsidRDefault="007C7BBA" w:rsidP="00B90BA0">
            <w:pPr>
              <w:pStyle w:val="31"/>
              <w:spacing w:after="0"/>
              <w:ind w:left="0" w:firstLine="360"/>
              <w:jc w:val="center"/>
              <w:rPr>
                <w:sz w:val="24"/>
                <w:lang w:val="uk-UA"/>
              </w:rPr>
            </w:pPr>
          </w:p>
        </w:tc>
        <w:tc>
          <w:tcPr>
            <w:tcW w:w="900" w:type="dxa"/>
            <w:vMerge/>
          </w:tcPr>
          <w:p w:rsidR="007C7BBA" w:rsidRPr="00AD70FC" w:rsidRDefault="007C7BBA" w:rsidP="00B90BA0">
            <w:pPr>
              <w:pStyle w:val="31"/>
              <w:spacing w:after="0"/>
              <w:ind w:left="0" w:firstLine="360"/>
              <w:jc w:val="center"/>
              <w:rPr>
                <w:sz w:val="24"/>
                <w:lang w:val="uk-UA"/>
              </w:rPr>
            </w:pPr>
          </w:p>
        </w:tc>
      </w:tr>
      <w:tr w:rsidR="007C7BBA" w:rsidRPr="00AD70FC" w:rsidTr="00B90BA0">
        <w:tblPrEx>
          <w:tblCellMar>
            <w:top w:w="0" w:type="dxa"/>
            <w:bottom w:w="0" w:type="dxa"/>
          </w:tblCellMar>
        </w:tblPrEx>
        <w:trPr>
          <w:trHeight w:val="397"/>
        </w:trPr>
        <w:tc>
          <w:tcPr>
            <w:tcW w:w="2340" w:type="dxa"/>
          </w:tcPr>
          <w:p w:rsidR="007C7BBA" w:rsidRPr="00AD70FC" w:rsidRDefault="007C7BBA" w:rsidP="00B90BA0">
            <w:pPr>
              <w:pStyle w:val="31"/>
              <w:spacing w:after="0"/>
              <w:ind w:left="0"/>
              <w:rPr>
                <w:sz w:val="24"/>
                <w:lang w:val="uk-UA"/>
              </w:rPr>
            </w:pPr>
            <w:r>
              <w:rPr>
                <w:sz w:val="24"/>
                <w:lang w:val="uk-UA"/>
              </w:rPr>
              <w:t xml:space="preserve">Перша </w:t>
            </w:r>
          </w:p>
        </w:tc>
        <w:tc>
          <w:tcPr>
            <w:tcW w:w="1260" w:type="dxa"/>
          </w:tcPr>
          <w:p w:rsidR="007C7BBA" w:rsidRPr="00AD70FC" w:rsidRDefault="007C7BBA" w:rsidP="00B90BA0">
            <w:pPr>
              <w:pStyle w:val="31"/>
              <w:spacing w:after="0"/>
              <w:ind w:left="0"/>
              <w:jc w:val="center"/>
              <w:rPr>
                <w:sz w:val="24"/>
                <w:lang w:val="uk-UA"/>
              </w:rPr>
            </w:pPr>
            <w:r w:rsidRPr="00AD70FC">
              <w:rPr>
                <w:sz w:val="24"/>
                <w:lang w:val="uk-UA"/>
              </w:rPr>
              <w:t>61</w:t>
            </w:r>
          </w:p>
        </w:tc>
        <w:tc>
          <w:tcPr>
            <w:tcW w:w="1350" w:type="dxa"/>
          </w:tcPr>
          <w:p w:rsidR="007C7BBA" w:rsidRPr="00AD70FC" w:rsidRDefault="007C7BBA" w:rsidP="00B90BA0">
            <w:pPr>
              <w:pStyle w:val="31"/>
              <w:spacing w:after="0"/>
              <w:ind w:left="0" w:firstLine="12"/>
              <w:jc w:val="center"/>
              <w:rPr>
                <w:sz w:val="24"/>
                <w:lang w:val="uk-UA"/>
              </w:rPr>
            </w:pPr>
            <w:r w:rsidRPr="00AD70FC">
              <w:rPr>
                <w:sz w:val="24"/>
                <w:lang w:val="uk-UA"/>
              </w:rPr>
              <w:t>42</w:t>
            </w:r>
          </w:p>
        </w:tc>
        <w:tc>
          <w:tcPr>
            <w:tcW w:w="1350" w:type="dxa"/>
          </w:tcPr>
          <w:p w:rsidR="007C7BBA" w:rsidRPr="00AD70FC" w:rsidRDefault="007C7BBA" w:rsidP="00B90BA0">
            <w:pPr>
              <w:pStyle w:val="31"/>
              <w:ind w:left="0"/>
              <w:jc w:val="center"/>
              <w:rPr>
                <w:sz w:val="24"/>
                <w:lang w:val="uk-UA"/>
              </w:rPr>
            </w:pPr>
            <w:r w:rsidRPr="00AD70FC">
              <w:rPr>
                <w:sz w:val="24"/>
                <w:lang w:val="uk-UA"/>
              </w:rPr>
              <w:t>68,85</w:t>
            </w:r>
          </w:p>
        </w:tc>
        <w:tc>
          <w:tcPr>
            <w:tcW w:w="1320" w:type="dxa"/>
          </w:tcPr>
          <w:p w:rsidR="007C7BBA" w:rsidRPr="00AD70FC" w:rsidRDefault="007C7BBA" w:rsidP="00B90BA0">
            <w:pPr>
              <w:pStyle w:val="31"/>
              <w:spacing w:after="0"/>
              <w:ind w:left="0"/>
              <w:jc w:val="center"/>
              <w:rPr>
                <w:sz w:val="24"/>
                <w:lang w:val="uk-UA"/>
              </w:rPr>
            </w:pPr>
            <w:r>
              <w:rPr>
                <w:sz w:val="24"/>
                <w:lang w:val="uk-UA"/>
              </w:rPr>
              <w:t>0,90±</w:t>
            </w:r>
            <w:r w:rsidRPr="00AD70FC">
              <w:rPr>
                <w:sz w:val="24"/>
                <w:lang w:val="uk-UA"/>
              </w:rPr>
              <w:t>0,10</w:t>
            </w:r>
          </w:p>
        </w:tc>
        <w:tc>
          <w:tcPr>
            <w:tcW w:w="1020" w:type="dxa"/>
          </w:tcPr>
          <w:p w:rsidR="007C7BBA" w:rsidRPr="00AD70FC" w:rsidRDefault="007C7BBA" w:rsidP="00B90BA0">
            <w:pPr>
              <w:pStyle w:val="31"/>
              <w:spacing w:after="0"/>
              <w:ind w:left="0" w:firstLine="12"/>
              <w:jc w:val="center"/>
              <w:rPr>
                <w:sz w:val="24"/>
                <w:lang w:val="uk-UA"/>
              </w:rPr>
            </w:pPr>
            <w:r w:rsidRPr="00AD70FC">
              <w:rPr>
                <w:sz w:val="24"/>
                <w:lang w:val="uk-UA"/>
              </w:rPr>
              <w:t>&lt;0,01</w:t>
            </w:r>
          </w:p>
        </w:tc>
        <w:tc>
          <w:tcPr>
            <w:tcW w:w="900" w:type="dxa"/>
          </w:tcPr>
          <w:p w:rsidR="007C7BBA" w:rsidRPr="00AD70FC" w:rsidRDefault="007C7BBA" w:rsidP="00B90BA0">
            <w:pPr>
              <w:pStyle w:val="31"/>
              <w:spacing w:after="0"/>
              <w:ind w:left="0"/>
              <w:jc w:val="center"/>
              <w:rPr>
                <w:sz w:val="24"/>
                <w:lang w:val="uk-UA"/>
              </w:rPr>
            </w:pPr>
            <w:r w:rsidRPr="00AD70FC">
              <w:rPr>
                <w:sz w:val="24"/>
                <w:lang w:val="uk-UA"/>
              </w:rPr>
              <w:t>&lt;0,01</w:t>
            </w:r>
          </w:p>
        </w:tc>
      </w:tr>
      <w:tr w:rsidR="007C7BBA" w:rsidRPr="00AD70FC" w:rsidTr="00B90BA0">
        <w:tblPrEx>
          <w:tblCellMar>
            <w:top w:w="0" w:type="dxa"/>
            <w:bottom w:w="0" w:type="dxa"/>
          </w:tblCellMar>
        </w:tblPrEx>
        <w:trPr>
          <w:trHeight w:val="398"/>
        </w:trPr>
        <w:tc>
          <w:tcPr>
            <w:tcW w:w="2340" w:type="dxa"/>
          </w:tcPr>
          <w:p w:rsidR="007C7BBA" w:rsidRPr="00AD70FC" w:rsidRDefault="007C7BBA" w:rsidP="00B90BA0">
            <w:pPr>
              <w:pStyle w:val="31"/>
              <w:spacing w:after="0"/>
              <w:ind w:left="0"/>
              <w:rPr>
                <w:sz w:val="24"/>
                <w:lang w:val="uk-UA"/>
              </w:rPr>
            </w:pPr>
            <w:r>
              <w:rPr>
                <w:sz w:val="24"/>
                <w:lang w:val="uk-UA"/>
              </w:rPr>
              <w:t xml:space="preserve">Друга </w:t>
            </w:r>
          </w:p>
        </w:tc>
        <w:tc>
          <w:tcPr>
            <w:tcW w:w="1260" w:type="dxa"/>
          </w:tcPr>
          <w:p w:rsidR="007C7BBA" w:rsidRPr="00AD70FC" w:rsidRDefault="007C7BBA" w:rsidP="00B90BA0">
            <w:pPr>
              <w:pStyle w:val="31"/>
              <w:spacing w:after="0"/>
              <w:ind w:left="0"/>
              <w:jc w:val="center"/>
              <w:rPr>
                <w:sz w:val="24"/>
                <w:lang w:val="uk-UA"/>
              </w:rPr>
            </w:pPr>
            <w:r w:rsidRPr="00AD70FC">
              <w:rPr>
                <w:sz w:val="24"/>
                <w:lang w:val="uk-UA"/>
              </w:rPr>
              <w:t>47</w:t>
            </w:r>
          </w:p>
        </w:tc>
        <w:tc>
          <w:tcPr>
            <w:tcW w:w="1350" w:type="dxa"/>
          </w:tcPr>
          <w:p w:rsidR="007C7BBA" w:rsidRPr="00AD70FC" w:rsidRDefault="007C7BBA" w:rsidP="00B90BA0">
            <w:pPr>
              <w:pStyle w:val="31"/>
              <w:ind w:left="0" w:firstLine="12"/>
              <w:jc w:val="center"/>
              <w:rPr>
                <w:sz w:val="24"/>
                <w:lang w:val="uk-UA"/>
              </w:rPr>
            </w:pPr>
            <w:r w:rsidRPr="00AD70FC">
              <w:rPr>
                <w:sz w:val="24"/>
                <w:lang w:val="uk-UA"/>
              </w:rPr>
              <w:t>38</w:t>
            </w:r>
          </w:p>
        </w:tc>
        <w:tc>
          <w:tcPr>
            <w:tcW w:w="1350" w:type="dxa"/>
          </w:tcPr>
          <w:p w:rsidR="007C7BBA" w:rsidRPr="00AD70FC" w:rsidRDefault="007C7BBA" w:rsidP="00B90BA0">
            <w:pPr>
              <w:pStyle w:val="31"/>
              <w:ind w:left="0"/>
              <w:jc w:val="center"/>
              <w:rPr>
                <w:sz w:val="24"/>
                <w:lang w:val="uk-UA"/>
              </w:rPr>
            </w:pPr>
            <w:r w:rsidRPr="00AD70FC">
              <w:rPr>
                <w:sz w:val="24"/>
                <w:lang w:val="uk-UA"/>
              </w:rPr>
              <w:t>80,85</w:t>
            </w:r>
          </w:p>
        </w:tc>
        <w:tc>
          <w:tcPr>
            <w:tcW w:w="1320" w:type="dxa"/>
          </w:tcPr>
          <w:p w:rsidR="007C7BBA" w:rsidRPr="00AD70FC" w:rsidRDefault="007C7BBA" w:rsidP="00B90BA0">
            <w:pPr>
              <w:pStyle w:val="31"/>
              <w:spacing w:after="0"/>
              <w:ind w:left="0"/>
              <w:jc w:val="center"/>
              <w:rPr>
                <w:sz w:val="24"/>
                <w:lang w:val="uk-UA"/>
              </w:rPr>
            </w:pPr>
            <w:r>
              <w:rPr>
                <w:sz w:val="24"/>
                <w:lang w:val="uk-UA"/>
              </w:rPr>
              <w:t>2,30</w:t>
            </w:r>
            <w:r w:rsidRPr="00AD70FC">
              <w:rPr>
                <w:sz w:val="24"/>
                <w:lang w:val="uk-UA"/>
              </w:rPr>
              <w:t>±0,18</w:t>
            </w:r>
          </w:p>
        </w:tc>
        <w:tc>
          <w:tcPr>
            <w:tcW w:w="1020" w:type="dxa"/>
          </w:tcPr>
          <w:p w:rsidR="007C7BBA" w:rsidRPr="00AD70FC" w:rsidRDefault="007C7BBA" w:rsidP="00B90BA0">
            <w:pPr>
              <w:pStyle w:val="31"/>
              <w:spacing w:after="0"/>
              <w:ind w:left="0" w:firstLine="12"/>
              <w:jc w:val="center"/>
              <w:rPr>
                <w:sz w:val="24"/>
                <w:lang w:val="uk-UA"/>
              </w:rPr>
            </w:pPr>
            <w:r w:rsidRPr="00AD70FC">
              <w:rPr>
                <w:sz w:val="24"/>
                <w:lang w:val="uk-UA"/>
              </w:rPr>
              <w:t>&lt;0,01</w:t>
            </w:r>
          </w:p>
        </w:tc>
        <w:tc>
          <w:tcPr>
            <w:tcW w:w="900" w:type="dxa"/>
          </w:tcPr>
          <w:p w:rsidR="007C7BBA" w:rsidRPr="00AD70FC" w:rsidRDefault="007C7BBA" w:rsidP="00B90BA0">
            <w:pPr>
              <w:pStyle w:val="31"/>
              <w:spacing w:after="0"/>
              <w:ind w:left="0"/>
              <w:jc w:val="center"/>
              <w:rPr>
                <w:sz w:val="24"/>
                <w:lang w:val="uk-UA"/>
              </w:rPr>
            </w:pPr>
          </w:p>
        </w:tc>
      </w:tr>
      <w:tr w:rsidR="007C7BBA" w:rsidRPr="00AD70FC" w:rsidTr="00B90BA0">
        <w:tblPrEx>
          <w:tblCellMar>
            <w:top w:w="0" w:type="dxa"/>
            <w:bottom w:w="0" w:type="dxa"/>
          </w:tblCellMar>
        </w:tblPrEx>
        <w:trPr>
          <w:trHeight w:val="398"/>
        </w:trPr>
        <w:tc>
          <w:tcPr>
            <w:tcW w:w="2340" w:type="dxa"/>
          </w:tcPr>
          <w:p w:rsidR="007C7BBA" w:rsidRPr="00AD70FC" w:rsidRDefault="007C7BBA" w:rsidP="00B90BA0">
            <w:pPr>
              <w:pStyle w:val="31"/>
              <w:spacing w:after="0"/>
              <w:ind w:left="0"/>
              <w:rPr>
                <w:sz w:val="24"/>
                <w:lang w:val="uk-UA"/>
              </w:rPr>
            </w:pPr>
            <w:r>
              <w:rPr>
                <w:sz w:val="24"/>
                <w:lang w:val="uk-UA"/>
              </w:rPr>
              <w:t xml:space="preserve">Контрольна </w:t>
            </w:r>
          </w:p>
        </w:tc>
        <w:tc>
          <w:tcPr>
            <w:tcW w:w="1260" w:type="dxa"/>
          </w:tcPr>
          <w:p w:rsidR="007C7BBA" w:rsidRPr="00AD70FC" w:rsidRDefault="007C7BBA" w:rsidP="00B90BA0">
            <w:pPr>
              <w:pStyle w:val="31"/>
              <w:spacing w:after="0"/>
              <w:ind w:left="0"/>
              <w:jc w:val="center"/>
              <w:rPr>
                <w:sz w:val="24"/>
                <w:lang w:val="uk-UA"/>
              </w:rPr>
            </w:pPr>
            <w:r w:rsidRPr="00AD70FC">
              <w:rPr>
                <w:sz w:val="24"/>
                <w:lang w:val="uk-UA"/>
              </w:rPr>
              <w:t>32</w:t>
            </w:r>
          </w:p>
        </w:tc>
        <w:tc>
          <w:tcPr>
            <w:tcW w:w="1350" w:type="dxa"/>
          </w:tcPr>
          <w:p w:rsidR="007C7BBA" w:rsidRPr="00AD70FC" w:rsidRDefault="007C7BBA" w:rsidP="00B90BA0">
            <w:pPr>
              <w:pStyle w:val="31"/>
              <w:spacing w:after="0"/>
              <w:ind w:left="0" w:firstLine="12"/>
              <w:jc w:val="center"/>
              <w:rPr>
                <w:sz w:val="24"/>
                <w:lang w:val="uk-UA"/>
              </w:rPr>
            </w:pPr>
            <w:r w:rsidRPr="00AD70FC">
              <w:rPr>
                <w:sz w:val="24"/>
                <w:lang w:val="uk-UA"/>
              </w:rPr>
              <w:t>12</w:t>
            </w:r>
          </w:p>
        </w:tc>
        <w:tc>
          <w:tcPr>
            <w:tcW w:w="1350" w:type="dxa"/>
          </w:tcPr>
          <w:p w:rsidR="007C7BBA" w:rsidRPr="00AD70FC" w:rsidRDefault="007C7BBA" w:rsidP="00B90BA0">
            <w:pPr>
              <w:pStyle w:val="31"/>
              <w:spacing w:after="0"/>
              <w:ind w:left="0"/>
              <w:jc w:val="center"/>
              <w:rPr>
                <w:sz w:val="24"/>
                <w:lang w:val="uk-UA"/>
              </w:rPr>
            </w:pPr>
            <w:r w:rsidRPr="00AD70FC">
              <w:rPr>
                <w:sz w:val="24"/>
                <w:lang w:val="uk-UA"/>
              </w:rPr>
              <w:t>37,50</w:t>
            </w:r>
          </w:p>
        </w:tc>
        <w:tc>
          <w:tcPr>
            <w:tcW w:w="1320" w:type="dxa"/>
          </w:tcPr>
          <w:p w:rsidR="007C7BBA" w:rsidRPr="00AD70FC" w:rsidRDefault="007C7BBA" w:rsidP="00B90BA0">
            <w:pPr>
              <w:pStyle w:val="31"/>
              <w:spacing w:after="0"/>
              <w:ind w:left="0"/>
              <w:jc w:val="center"/>
              <w:rPr>
                <w:sz w:val="24"/>
                <w:lang w:val="uk-UA"/>
              </w:rPr>
            </w:pPr>
            <w:r w:rsidRPr="00AD70FC">
              <w:rPr>
                <w:sz w:val="24"/>
                <w:lang w:val="uk-UA"/>
              </w:rPr>
              <w:t>0,25±0,08</w:t>
            </w:r>
          </w:p>
        </w:tc>
        <w:tc>
          <w:tcPr>
            <w:tcW w:w="1020" w:type="dxa"/>
          </w:tcPr>
          <w:p w:rsidR="007C7BBA" w:rsidRPr="00AD70FC" w:rsidRDefault="007C7BBA" w:rsidP="00B90BA0">
            <w:pPr>
              <w:pStyle w:val="31"/>
              <w:spacing w:after="0"/>
              <w:ind w:left="0" w:firstLine="12"/>
              <w:jc w:val="center"/>
              <w:rPr>
                <w:sz w:val="24"/>
                <w:lang w:val="uk-UA"/>
              </w:rPr>
            </w:pPr>
          </w:p>
        </w:tc>
        <w:tc>
          <w:tcPr>
            <w:tcW w:w="900" w:type="dxa"/>
          </w:tcPr>
          <w:p w:rsidR="007C7BBA" w:rsidRPr="00AD70FC" w:rsidRDefault="007C7BBA" w:rsidP="00B90BA0">
            <w:pPr>
              <w:pStyle w:val="31"/>
              <w:spacing w:after="0"/>
              <w:ind w:left="0"/>
              <w:jc w:val="center"/>
              <w:rPr>
                <w:sz w:val="24"/>
                <w:lang w:val="uk-UA"/>
              </w:rPr>
            </w:pPr>
          </w:p>
        </w:tc>
      </w:tr>
    </w:tbl>
    <w:p w:rsidR="007C7BBA" w:rsidRPr="00F71182" w:rsidRDefault="007C7BBA" w:rsidP="007C7BBA">
      <w:pPr>
        <w:jc w:val="both"/>
        <w:rPr>
          <w:sz w:val="24"/>
          <w:szCs w:val="24"/>
          <w:lang w:val="uk-UA"/>
        </w:rPr>
      </w:pPr>
      <w:r>
        <w:rPr>
          <w:sz w:val="24"/>
          <w:lang w:val="uk-UA"/>
        </w:rPr>
        <w:t>Примітки:</w:t>
      </w:r>
      <w:r>
        <w:rPr>
          <w:sz w:val="24"/>
          <w:szCs w:val="24"/>
          <w:lang w:val="uk-UA"/>
        </w:rPr>
        <w:t xml:space="preserve">1. </w:t>
      </w:r>
      <w:r w:rsidRPr="005B570C">
        <w:rPr>
          <w:i/>
          <w:sz w:val="24"/>
          <w:szCs w:val="24"/>
          <w:lang w:val="uk-UA"/>
        </w:rPr>
        <w:t>Р</w:t>
      </w:r>
      <w:r w:rsidRPr="005B570C">
        <w:rPr>
          <w:i/>
          <w:sz w:val="24"/>
          <w:szCs w:val="24"/>
          <w:vertAlign w:val="subscript"/>
          <w:lang w:val="uk-UA"/>
        </w:rPr>
        <w:t>1</w:t>
      </w:r>
      <w:r w:rsidRPr="00F71182">
        <w:rPr>
          <w:sz w:val="24"/>
          <w:szCs w:val="24"/>
          <w:vertAlign w:val="subscript"/>
          <w:lang w:val="uk-UA"/>
        </w:rPr>
        <w:t xml:space="preserve"> </w:t>
      </w:r>
      <w:r>
        <w:rPr>
          <w:sz w:val="24"/>
          <w:szCs w:val="24"/>
          <w:lang w:val="uk-UA"/>
        </w:rPr>
        <w:t>–</w:t>
      </w:r>
      <w:r w:rsidRPr="00F71182">
        <w:rPr>
          <w:sz w:val="24"/>
          <w:szCs w:val="24"/>
          <w:lang w:val="uk-UA"/>
        </w:rPr>
        <w:t xml:space="preserve"> достовірність відмінностей хворих на ГА та контрольної групи;</w:t>
      </w:r>
    </w:p>
    <w:p w:rsidR="007C7BBA" w:rsidRDefault="007C7BBA" w:rsidP="007C7BBA">
      <w:pPr>
        <w:ind w:firstLine="360"/>
        <w:jc w:val="both"/>
        <w:rPr>
          <w:sz w:val="24"/>
          <w:lang w:val="uk-UA"/>
        </w:rPr>
      </w:pPr>
      <w:r w:rsidRPr="00F71182">
        <w:rPr>
          <w:sz w:val="24"/>
          <w:szCs w:val="24"/>
          <w:lang w:val="uk-UA"/>
        </w:rPr>
        <w:t xml:space="preserve">            2.</w:t>
      </w:r>
      <w:r>
        <w:rPr>
          <w:sz w:val="24"/>
          <w:lang w:val="uk-UA"/>
        </w:rPr>
        <w:t xml:space="preserve"> </w:t>
      </w:r>
      <w:r w:rsidRPr="005B570C">
        <w:rPr>
          <w:i/>
          <w:sz w:val="24"/>
          <w:lang w:val="uk-UA"/>
        </w:rPr>
        <w:t>Р</w:t>
      </w:r>
      <w:r w:rsidRPr="005B570C">
        <w:rPr>
          <w:i/>
          <w:sz w:val="24"/>
          <w:vertAlign w:val="subscript"/>
          <w:lang w:val="uk-UA"/>
        </w:rPr>
        <w:t>2</w:t>
      </w:r>
      <w:r w:rsidRPr="00AD70FC">
        <w:rPr>
          <w:sz w:val="24"/>
          <w:lang w:val="uk-UA"/>
        </w:rPr>
        <w:t xml:space="preserve"> </w:t>
      </w:r>
      <w:r>
        <w:rPr>
          <w:sz w:val="24"/>
          <w:lang w:val="uk-UA"/>
        </w:rPr>
        <w:t>–</w:t>
      </w:r>
      <w:r w:rsidRPr="00AD70FC">
        <w:rPr>
          <w:sz w:val="24"/>
          <w:lang w:val="uk-UA"/>
        </w:rPr>
        <w:t xml:space="preserve"> достовірність відмінностей хворих </w:t>
      </w:r>
      <w:r>
        <w:rPr>
          <w:sz w:val="24"/>
          <w:lang w:val="uk-UA"/>
        </w:rPr>
        <w:t xml:space="preserve">на </w:t>
      </w:r>
      <w:r w:rsidRPr="00AD70FC">
        <w:rPr>
          <w:sz w:val="24"/>
          <w:lang w:val="uk-UA"/>
        </w:rPr>
        <w:t xml:space="preserve">ГА </w:t>
      </w:r>
      <w:r>
        <w:rPr>
          <w:sz w:val="24"/>
          <w:lang w:val="uk-UA"/>
        </w:rPr>
        <w:t>першо</w:t>
      </w:r>
      <w:r w:rsidRPr="00AD70FC">
        <w:rPr>
          <w:sz w:val="24"/>
          <w:lang w:val="uk-UA"/>
        </w:rPr>
        <w:t xml:space="preserve">ї та </w:t>
      </w:r>
      <w:r>
        <w:rPr>
          <w:sz w:val="24"/>
          <w:lang w:val="uk-UA"/>
        </w:rPr>
        <w:t>друго</w:t>
      </w:r>
      <w:r w:rsidRPr="00AD70FC">
        <w:rPr>
          <w:sz w:val="24"/>
          <w:lang w:val="uk-UA"/>
        </w:rPr>
        <w:t>ї груп.</w:t>
      </w:r>
    </w:p>
    <w:p w:rsidR="007C7BBA" w:rsidRPr="00AD70FC" w:rsidRDefault="007C7BBA" w:rsidP="007C7BBA">
      <w:pPr>
        <w:ind w:firstLine="360"/>
        <w:jc w:val="right"/>
        <w:rPr>
          <w:sz w:val="24"/>
          <w:lang w:val="uk-UA"/>
        </w:rPr>
      </w:pPr>
    </w:p>
    <w:p w:rsidR="007C7BBA" w:rsidRPr="00AD70FC" w:rsidRDefault="007C7BBA" w:rsidP="007C7BBA">
      <w:pPr>
        <w:ind w:firstLine="540"/>
        <w:jc w:val="both"/>
        <w:rPr>
          <w:sz w:val="28"/>
          <w:lang w:val="uk-UA"/>
        </w:rPr>
      </w:pPr>
      <w:r w:rsidRPr="00AD70FC">
        <w:rPr>
          <w:sz w:val="28"/>
          <w:lang w:val="uk-UA"/>
        </w:rPr>
        <w:t>Найбільш достовірні відмінності показників SIgA виявлені п</w:t>
      </w:r>
      <w:r>
        <w:rPr>
          <w:sz w:val="28"/>
          <w:lang w:val="uk-UA"/>
        </w:rPr>
        <w:t>ри дисбактеріозі 3-го ступеня (</w:t>
      </w:r>
      <w:r>
        <w:rPr>
          <w:i/>
          <w:sz w:val="28"/>
          <w:lang w:val="uk-UA"/>
        </w:rPr>
        <w:t>Р</w:t>
      </w:r>
      <w:r w:rsidRPr="00AD70FC">
        <w:rPr>
          <w:sz w:val="28"/>
          <w:lang w:val="uk-UA"/>
        </w:rPr>
        <w:t>&lt;0,01) і достовірно незмінними були при нормальному біоценозі кишок (</w:t>
      </w:r>
      <w:r>
        <w:rPr>
          <w:i/>
          <w:sz w:val="28"/>
          <w:lang w:val="uk-UA"/>
        </w:rPr>
        <w:t>Р</w:t>
      </w:r>
      <w:r w:rsidRPr="00AD70FC">
        <w:rPr>
          <w:sz w:val="28"/>
          <w:lang w:val="uk-UA"/>
        </w:rPr>
        <w:t>&gt;0,05). Менш суттєвими, але достовірно значущими були зміни при дисбактеріозі 2-го (</w:t>
      </w:r>
      <w:r>
        <w:rPr>
          <w:i/>
          <w:sz w:val="28"/>
          <w:lang w:val="uk-UA"/>
        </w:rPr>
        <w:t>Р</w:t>
      </w:r>
      <w:r w:rsidRPr="00AD70FC">
        <w:rPr>
          <w:sz w:val="28"/>
          <w:lang w:val="uk-UA"/>
        </w:rPr>
        <w:t>&lt;0,01) і 1-го (</w:t>
      </w:r>
      <w:r>
        <w:rPr>
          <w:i/>
          <w:sz w:val="28"/>
          <w:lang w:val="uk-UA"/>
        </w:rPr>
        <w:t>Р</w:t>
      </w:r>
      <w:r w:rsidRPr="00AD70FC">
        <w:rPr>
          <w:sz w:val="28"/>
          <w:lang w:val="uk-UA"/>
        </w:rPr>
        <w:t>&lt;0,01) ступенів.</w:t>
      </w:r>
    </w:p>
    <w:p w:rsidR="007C7BBA" w:rsidRPr="00AD70FC" w:rsidRDefault="007C7BBA" w:rsidP="007C7BBA">
      <w:pPr>
        <w:ind w:firstLine="540"/>
        <w:jc w:val="both"/>
        <w:rPr>
          <w:sz w:val="28"/>
          <w:lang w:val="uk-UA"/>
        </w:rPr>
      </w:pPr>
      <w:r w:rsidRPr="00AD70FC">
        <w:rPr>
          <w:sz w:val="28"/>
          <w:lang w:val="uk-UA"/>
        </w:rPr>
        <w:t>Також ми дослідили характер кореляційного зв’язку між рівнем SIgA в копрофільтратах та кількістю вмісту біфідо-, лактобактерій, УПМ, які частіше виявлялись при дослідженні мікробіоти товстої кишки (протей, клебсієла, гриби роду Сandida, ентеробактер, цитробактер). Виявлений зворотний середній зв'язок між рівнем SIgA та кількістю біфідобактерій (</w:t>
      </w:r>
      <w:r w:rsidRPr="005B570C">
        <w:rPr>
          <w:i/>
          <w:sz w:val="28"/>
          <w:lang w:val="uk-UA"/>
        </w:rPr>
        <w:t>r</w:t>
      </w:r>
      <w:r w:rsidRPr="00AD70FC">
        <w:rPr>
          <w:sz w:val="28"/>
          <w:lang w:val="uk-UA"/>
        </w:rPr>
        <w:t xml:space="preserve">=-0,69; </w:t>
      </w:r>
      <w:r w:rsidRPr="005B570C">
        <w:rPr>
          <w:i/>
          <w:sz w:val="28"/>
          <w:lang w:val="uk-UA"/>
        </w:rPr>
        <w:t>td</w:t>
      </w:r>
      <w:r w:rsidRPr="00AD70FC">
        <w:rPr>
          <w:sz w:val="28"/>
          <w:lang w:val="uk-UA"/>
        </w:rPr>
        <w:t xml:space="preserve">=8,50) і лактобактерій </w:t>
      </w:r>
      <w:r>
        <w:rPr>
          <w:sz w:val="28"/>
          <w:lang w:val="uk-UA"/>
        </w:rPr>
        <w:br w:type="textWrapping" w:clear="all"/>
      </w:r>
      <w:r w:rsidRPr="00AD70FC">
        <w:rPr>
          <w:sz w:val="28"/>
          <w:lang w:val="uk-UA"/>
        </w:rPr>
        <w:t>(</w:t>
      </w:r>
      <w:r w:rsidRPr="005B570C">
        <w:rPr>
          <w:i/>
          <w:sz w:val="28"/>
          <w:lang w:val="uk-UA"/>
        </w:rPr>
        <w:t>r</w:t>
      </w:r>
      <w:r w:rsidRPr="00AD70FC">
        <w:rPr>
          <w:sz w:val="28"/>
          <w:lang w:val="uk-UA"/>
        </w:rPr>
        <w:t xml:space="preserve">=-0,62, </w:t>
      </w:r>
      <w:r w:rsidRPr="005B570C">
        <w:rPr>
          <w:i/>
          <w:sz w:val="28"/>
          <w:lang w:val="uk-UA"/>
        </w:rPr>
        <w:t>td</w:t>
      </w:r>
      <w:r w:rsidRPr="00AD70FC">
        <w:rPr>
          <w:sz w:val="28"/>
          <w:lang w:val="uk-UA"/>
        </w:rPr>
        <w:t>=7,43), прямий середній зв'язок між</w:t>
      </w:r>
      <w:r>
        <w:rPr>
          <w:sz w:val="28"/>
          <w:lang w:val="uk-UA"/>
        </w:rPr>
        <w:t xml:space="preserve"> рівнем SIgA та кількістю протея</w:t>
      </w:r>
      <w:r w:rsidRPr="00AD70FC">
        <w:rPr>
          <w:sz w:val="28"/>
          <w:lang w:val="uk-UA"/>
        </w:rPr>
        <w:t xml:space="preserve"> (</w:t>
      </w:r>
      <w:r w:rsidRPr="005B570C">
        <w:rPr>
          <w:i/>
          <w:sz w:val="28"/>
          <w:lang w:val="uk-UA"/>
        </w:rPr>
        <w:t>r</w:t>
      </w:r>
      <w:r w:rsidRPr="00AD70FC">
        <w:rPr>
          <w:sz w:val="28"/>
          <w:lang w:val="uk-UA"/>
        </w:rPr>
        <w:t xml:space="preserve">=0,60; </w:t>
      </w:r>
      <w:r w:rsidRPr="005B570C">
        <w:rPr>
          <w:i/>
          <w:sz w:val="28"/>
          <w:lang w:val="uk-UA"/>
        </w:rPr>
        <w:t>td</w:t>
      </w:r>
      <w:r w:rsidRPr="00AD70FC">
        <w:rPr>
          <w:sz w:val="28"/>
          <w:lang w:val="uk-UA"/>
        </w:rPr>
        <w:t>=7,10) і клебсієли (</w:t>
      </w:r>
      <w:r w:rsidRPr="005B570C">
        <w:rPr>
          <w:i/>
          <w:sz w:val="28"/>
          <w:lang w:val="uk-UA"/>
        </w:rPr>
        <w:t>r</w:t>
      </w:r>
      <w:r w:rsidRPr="00AD70FC">
        <w:rPr>
          <w:sz w:val="28"/>
          <w:lang w:val="uk-UA"/>
        </w:rPr>
        <w:t xml:space="preserve">=0,52; </w:t>
      </w:r>
      <w:r w:rsidRPr="005B570C">
        <w:rPr>
          <w:i/>
          <w:sz w:val="28"/>
          <w:lang w:val="uk-UA"/>
        </w:rPr>
        <w:t>td</w:t>
      </w:r>
      <w:r w:rsidRPr="00AD70FC">
        <w:rPr>
          <w:sz w:val="28"/>
          <w:lang w:val="uk-UA"/>
        </w:rPr>
        <w:t>=5,77), а також прямий слабкий зв'язок між кількістю ентеробактерій (</w:t>
      </w:r>
      <w:r w:rsidRPr="005B570C">
        <w:rPr>
          <w:i/>
          <w:sz w:val="28"/>
          <w:lang w:val="uk-UA"/>
        </w:rPr>
        <w:t>r</w:t>
      </w:r>
      <w:r>
        <w:rPr>
          <w:sz w:val="28"/>
          <w:lang w:val="uk-UA"/>
        </w:rPr>
        <w:t xml:space="preserve">=0,24, </w:t>
      </w:r>
      <w:r w:rsidRPr="005B570C">
        <w:rPr>
          <w:i/>
          <w:sz w:val="28"/>
          <w:lang w:val="uk-UA"/>
        </w:rPr>
        <w:t>td</w:t>
      </w:r>
      <w:r w:rsidRPr="00AD70FC">
        <w:rPr>
          <w:sz w:val="28"/>
          <w:lang w:val="uk-UA"/>
        </w:rPr>
        <w:t>=2,51), цитробактерій (</w:t>
      </w:r>
      <w:r w:rsidRPr="005B570C">
        <w:rPr>
          <w:i/>
          <w:sz w:val="28"/>
          <w:lang w:val="uk-UA"/>
        </w:rPr>
        <w:t>r</w:t>
      </w:r>
      <w:r w:rsidRPr="00AD70FC">
        <w:rPr>
          <w:sz w:val="28"/>
          <w:lang w:val="uk-UA"/>
        </w:rPr>
        <w:t xml:space="preserve">=0,25, </w:t>
      </w:r>
      <w:r w:rsidRPr="005B570C">
        <w:rPr>
          <w:i/>
          <w:sz w:val="28"/>
          <w:lang w:val="uk-UA"/>
        </w:rPr>
        <w:t>td</w:t>
      </w:r>
      <w:r w:rsidRPr="00AD70FC">
        <w:rPr>
          <w:sz w:val="28"/>
          <w:lang w:val="uk-UA"/>
        </w:rPr>
        <w:t>=2,62), грибів роду Сandida (</w:t>
      </w:r>
      <w:r w:rsidRPr="005B570C">
        <w:rPr>
          <w:i/>
          <w:sz w:val="28"/>
          <w:lang w:val="uk-UA"/>
        </w:rPr>
        <w:t>r</w:t>
      </w:r>
      <w:r>
        <w:rPr>
          <w:sz w:val="28"/>
          <w:lang w:val="uk-UA"/>
        </w:rPr>
        <w:t xml:space="preserve">=0,28, </w:t>
      </w:r>
      <w:r w:rsidRPr="005B570C">
        <w:rPr>
          <w:i/>
          <w:sz w:val="28"/>
          <w:lang w:val="uk-UA"/>
        </w:rPr>
        <w:t>td</w:t>
      </w:r>
      <w:r w:rsidRPr="00AD70FC">
        <w:rPr>
          <w:sz w:val="28"/>
          <w:lang w:val="uk-UA"/>
        </w:rPr>
        <w:t>=2,95) та рівнем SIgА.</w:t>
      </w:r>
    </w:p>
    <w:p w:rsidR="007C7BBA" w:rsidRPr="00AD70FC" w:rsidRDefault="007C7BBA" w:rsidP="007C7BBA">
      <w:pPr>
        <w:ind w:firstLine="540"/>
        <w:jc w:val="both"/>
        <w:rPr>
          <w:sz w:val="28"/>
          <w:lang w:val="uk-UA"/>
        </w:rPr>
      </w:pPr>
      <w:r w:rsidRPr="00AD70FC">
        <w:rPr>
          <w:sz w:val="28"/>
          <w:lang w:val="uk-UA"/>
        </w:rPr>
        <w:t>Вивчення показників БГФ у сироватці крові (СРБ, ГГ, ЦП) було проведено у 32 осіб контрольної групи та 96 хворих на ГА. З них 56 (58,33</w:t>
      </w:r>
      <w:r>
        <w:rPr>
          <w:sz w:val="28"/>
          <w:lang w:val="uk-UA"/>
        </w:rPr>
        <w:t xml:space="preserve"> </w:t>
      </w:r>
      <w:r w:rsidRPr="00AD70FC">
        <w:rPr>
          <w:sz w:val="28"/>
          <w:lang w:val="uk-UA"/>
        </w:rPr>
        <w:t xml:space="preserve">%) </w:t>
      </w:r>
      <w:r>
        <w:rPr>
          <w:sz w:val="28"/>
          <w:lang w:val="uk-UA"/>
        </w:rPr>
        <w:t>пацієнтів</w:t>
      </w:r>
      <w:r w:rsidRPr="00AD70FC">
        <w:rPr>
          <w:sz w:val="28"/>
          <w:lang w:val="uk-UA"/>
        </w:rPr>
        <w:t xml:space="preserve"> були з </w:t>
      </w:r>
      <w:r>
        <w:rPr>
          <w:sz w:val="28"/>
          <w:lang w:val="uk-UA"/>
        </w:rPr>
        <w:t>першо</w:t>
      </w:r>
      <w:r w:rsidRPr="00AD70FC">
        <w:rPr>
          <w:sz w:val="28"/>
          <w:lang w:val="uk-UA"/>
        </w:rPr>
        <w:t>ї гр</w:t>
      </w:r>
      <w:r>
        <w:rPr>
          <w:sz w:val="28"/>
          <w:lang w:val="uk-UA"/>
        </w:rPr>
        <w:t>упи нагляду і 40 (41,67 %) – з друго</w:t>
      </w:r>
      <w:r w:rsidRPr="00AD70FC">
        <w:rPr>
          <w:sz w:val="28"/>
          <w:lang w:val="uk-UA"/>
        </w:rPr>
        <w:t>ї</w:t>
      </w:r>
      <w:r>
        <w:rPr>
          <w:sz w:val="28"/>
          <w:lang w:val="uk-UA"/>
        </w:rPr>
        <w:t xml:space="preserve"> (табл. 2</w:t>
      </w:r>
      <w:r w:rsidRPr="00AD70FC">
        <w:rPr>
          <w:sz w:val="28"/>
          <w:lang w:val="uk-UA"/>
        </w:rPr>
        <w:t>).</w:t>
      </w:r>
    </w:p>
    <w:p w:rsidR="007C7BBA" w:rsidRPr="00DE1608" w:rsidRDefault="007C7BBA" w:rsidP="007C7BBA">
      <w:pPr>
        <w:pStyle w:val="a7"/>
        <w:ind w:firstLine="360"/>
        <w:jc w:val="right"/>
        <w:rPr>
          <w:i/>
          <w:sz w:val="28"/>
          <w:lang w:val="uk-UA"/>
        </w:rPr>
      </w:pPr>
      <w:r w:rsidRPr="00DE1608">
        <w:rPr>
          <w:i/>
          <w:sz w:val="28"/>
          <w:lang w:val="uk-UA"/>
        </w:rPr>
        <w:t>Таблиця 2</w:t>
      </w:r>
    </w:p>
    <w:p w:rsidR="007C7BBA" w:rsidRPr="00C31EA8" w:rsidRDefault="007C7BBA" w:rsidP="007C7BBA">
      <w:pPr>
        <w:pStyle w:val="31"/>
        <w:spacing w:after="0"/>
        <w:ind w:left="357" w:firstLine="357"/>
        <w:jc w:val="center"/>
        <w:rPr>
          <w:sz w:val="28"/>
          <w:lang w:val="uk-UA"/>
        </w:rPr>
      </w:pPr>
      <w:r w:rsidRPr="00C31EA8">
        <w:rPr>
          <w:sz w:val="28"/>
          <w:lang w:val="uk-UA"/>
        </w:rPr>
        <w:t>Показники БГФ хворих на ГА в розпал хвороби</w:t>
      </w:r>
    </w:p>
    <w:p w:rsidR="007C7BBA" w:rsidRPr="00C31EA8" w:rsidRDefault="007C7BBA" w:rsidP="007C7BBA">
      <w:pPr>
        <w:pStyle w:val="31"/>
        <w:spacing w:after="0"/>
        <w:ind w:left="357" w:firstLine="357"/>
        <w:jc w:val="center"/>
        <w:rPr>
          <w:sz w:val="28"/>
          <w:lang w:val="uk-UA"/>
        </w:rPr>
      </w:pPr>
      <w:r w:rsidRPr="00C31EA8">
        <w:rPr>
          <w:sz w:val="28"/>
          <w:lang w:val="uk-UA"/>
        </w:rPr>
        <w:t>залежно від тяжкості перебігу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33"/>
        <w:gridCol w:w="2448"/>
        <w:gridCol w:w="2449"/>
        <w:gridCol w:w="2449"/>
      </w:tblGrid>
      <w:tr w:rsidR="007C7BBA" w:rsidRPr="00AD70FC" w:rsidTr="00B90BA0">
        <w:tblPrEx>
          <w:tblCellMar>
            <w:top w:w="0" w:type="dxa"/>
            <w:bottom w:w="0" w:type="dxa"/>
          </w:tblCellMar>
        </w:tblPrEx>
        <w:trPr>
          <w:cantSplit/>
        </w:trPr>
        <w:tc>
          <w:tcPr>
            <w:tcW w:w="1728" w:type="dxa"/>
            <w:vMerge w:val="restart"/>
          </w:tcPr>
          <w:p w:rsidR="007C7BBA" w:rsidRPr="00AD70FC" w:rsidRDefault="007C7BBA" w:rsidP="00B90BA0">
            <w:pPr>
              <w:pStyle w:val="31"/>
              <w:spacing w:after="0"/>
              <w:ind w:left="0"/>
              <w:jc w:val="both"/>
              <w:rPr>
                <w:sz w:val="24"/>
                <w:lang w:val="uk-UA"/>
              </w:rPr>
            </w:pPr>
            <w:r w:rsidRPr="00AD70FC">
              <w:rPr>
                <w:sz w:val="24"/>
                <w:lang w:val="uk-UA"/>
              </w:rPr>
              <w:t>Групи обстеження</w:t>
            </w:r>
          </w:p>
        </w:tc>
        <w:tc>
          <w:tcPr>
            <w:tcW w:w="1033" w:type="dxa"/>
            <w:vMerge w:val="restart"/>
          </w:tcPr>
          <w:p w:rsidR="007C7BBA" w:rsidRPr="00C72F06" w:rsidRDefault="007C7BBA" w:rsidP="00B90BA0">
            <w:pPr>
              <w:pStyle w:val="31"/>
              <w:spacing w:after="0"/>
              <w:ind w:left="0"/>
              <w:jc w:val="center"/>
              <w:rPr>
                <w:i/>
                <w:sz w:val="24"/>
                <w:lang w:val="uk-UA"/>
              </w:rPr>
            </w:pPr>
            <w:r w:rsidRPr="00C72F06">
              <w:rPr>
                <w:i/>
                <w:sz w:val="24"/>
                <w:lang w:val="uk-UA"/>
              </w:rPr>
              <w:t>n</w:t>
            </w:r>
          </w:p>
        </w:tc>
        <w:tc>
          <w:tcPr>
            <w:tcW w:w="7346" w:type="dxa"/>
            <w:gridSpan w:val="3"/>
          </w:tcPr>
          <w:p w:rsidR="007C7BBA" w:rsidRPr="00AD70FC" w:rsidRDefault="007C7BBA" w:rsidP="00B90BA0">
            <w:pPr>
              <w:pStyle w:val="31"/>
              <w:spacing w:after="0"/>
              <w:ind w:left="0"/>
              <w:jc w:val="center"/>
              <w:rPr>
                <w:sz w:val="24"/>
                <w:lang w:val="uk-UA"/>
              </w:rPr>
            </w:pPr>
            <w:r>
              <w:rPr>
                <w:sz w:val="24"/>
                <w:lang w:val="uk-UA"/>
              </w:rPr>
              <w:t xml:space="preserve">Статистичні показники </w:t>
            </w:r>
            <w:r w:rsidRPr="00C72F06">
              <w:rPr>
                <w:i/>
                <w:sz w:val="24"/>
                <w:lang w:val="uk-UA"/>
              </w:rPr>
              <w:t>M</w:t>
            </w:r>
            <w:r>
              <w:rPr>
                <w:sz w:val="24"/>
                <w:lang w:val="uk-UA"/>
              </w:rPr>
              <w:t>±</w:t>
            </w:r>
            <w:r w:rsidRPr="00C72F06">
              <w:rPr>
                <w:i/>
                <w:sz w:val="24"/>
                <w:lang w:val="uk-UA"/>
              </w:rPr>
              <w:t>m</w:t>
            </w:r>
          </w:p>
        </w:tc>
      </w:tr>
      <w:tr w:rsidR="007C7BBA" w:rsidRPr="00AD70FC" w:rsidTr="00B90BA0">
        <w:tblPrEx>
          <w:tblCellMar>
            <w:top w:w="0" w:type="dxa"/>
            <w:bottom w:w="0" w:type="dxa"/>
          </w:tblCellMar>
        </w:tblPrEx>
        <w:trPr>
          <w:cantSplit/>
          <w:trHeight w:val="484"/>
        </w:trPr>
        <w:tc>
          <w:tcPr>
            <w:tcW w:w="1728" w:type="dxa"/>
            <w:vMerge/>
          </w:tcPr>
          <w:p w:rsidR="007C7BBA" w:rsidRPr="00AD70FC" w:rsidRDefault="007C7BBA" w:rsidP="00B90BA0">
            <w:pPr>
              <w:jc w:val="both"/>
              <w:rPr>
                <w:lang w:val="uk-UA"/>
              </w:rPr>
            </w:pPr>
          </w:p>
        </w:tc>
        <w:tc>
          <w:tcPr>
            <w:tcW w:w="1033" w:type="dxa"/>
            <w:vMerge/>
          </w:tcPr>
          <w:p w:rsidR="007C7BBA" w:rsidRPr="00AD70FC" w:rsidRDefault="007C7BBA" w:rsidP="00B90BA0">
            <w:pPr>
              <w:jc w:val="center"/>
              <w:rPr>
                <w:lang w:val="uk-UA"/>
              </w:rPr>
            </w:pPr>
          </w:p>
        </w:tc>
        <w:tc>
          <w:tcPr>
            <w:tcW w:w="2448" w:type="dxa"/>
          </w:tcPr>
          <w:p w:rsidR="007C7BBA" w:rsidRPr="000F2245" w:rsidRDefault="007C7BBA" w:rsidP="00B90BA0">
            <w:pPr>
              <w:pStyle w:val="31"/>
              <w:spacing w:after="0"/>
              <w:ind w:left="0"/>
              <w:jc w:val="center"/>
              <w:rPr>
                <w:sz w:val="24"/>
                <w:lang w:val="uk-UA"/>
              </w:rPr>
            </w:pPr>
            <w:r w:rsidRPr="00AD70FC">
              <w:rPr>
                <w:sz w:val="24"/>
                <w:lang w:val="uk-UA"/>
              </w:rPr>
              <w:t>СРБ (г/л)</w:t>
            </w:r>
          </w:p>
        </w:tc>
        <w:tc>
          <w:tcPr>
            <w:tcW w:w="2449" w:type="dxa"/>
          </w:tcPr>
          <w:p w:rsidR="007C7BBA" w:rsidRPr="000F2245" w:rsidRDefault="007C7BBA" w:rsidP="00B90BA0">
            <w:pPr>
              <w:pStyle w:val="31"/>
              <w:spacing w:after="0"/>
              <w:ind w:left="0"/>
              <w:jc w:val="center"/>
              <w:rPr>
                <w:sz w:val="24"/>
                <w:lang w:val="uk-UA"/>
              </w:rPr>
            </w:pPr>
            <w:r w:rsidRPr="00AD70FC">
              <w:rPr>
                <w:sz w:val="24"/>
                <w:lang w:val="uk-UA"/>
              </w:rPr>
              <w:t>ГГ (г/л)</w:t>
            </w:r>
          </w:p>
        </w:tc>
        <w:tc>
          <w:tcPr>
            <w:tcW w:w="2449" w:type="dxa"/>
          </w:tcPr>
          <w:p w:rsidR="007C7BBA" w:rsidRPr="00AD70FC" w:rsidRDefault="007C7BBA" w:rsidP="00B90BA0">
            <w:pPr>
              <w:pStyle w:val="31"/>
              <w:spacing w:after="0"/>
              <w:ind w:left="0"/>
              <w:jc w:val="center"/>
              <w:rPr>
                <w:sz w:val="24"/>
                <w:vertAlign w:val="subscript"/>
                <w:lang w:val="uk-UA"/>
              </w:rPr>
            </w:pPr>
            <w:r w:rsidRPr="00AD70FC">
              <w:rPr>
                <w:sz w:val="24"/>
                <w:lang w:val="uk-UA"/>
              </w:rPr>
              <w:t>ЦП (мг/л)</w:t>
            </w:r>
          </w:p>
        </w:tc>
      </w:tr>
      <w:tr w:rsidR="007C7BBA" w:rsidRPr="00AD70FC" w:rsidTr="00B90BA0">
        <w:tblPrEx>
          <w:tblCellMar>
            <w:top w:w="0" w:type="dxa"/>
            <w:bottom w:w="0" w:type="dxa"/>
          </w:tblCellMar>
        </w:tblPrEx>
        <w:trPr>
          <w:trHeight w:val="557"/>
        </w:trPr>
        <w:tc>
          <w:tcPr>
            <w:tcW w:w="1728" w:type="dxa"/>
          </w:tcPr>
          <w:p w:rsidR="007C7BBA" w:rsidRPr="00AD70FC" w:rsidRDefault="007C7BBA" w:rsidP="00B90BA0">
            <w:pPr>
              <w:jc w:val="both"/>
              <w:rPr>
                <w:sz w:val="24"/>
                <w:szCs w:val="24"/>
                <w:lang w:val="uk-UA"/>
              </w:rPr>
            </w:pPr>
            <w:r>
              <w:rPr>
                <w:sz w:val="24"/>
                <w:szCs w:val="24"/>
                <w:lang w:val="uk-UA"/>
              </w:rPr>
              <w:t xml:space="preserve">Загальна </w:t>
            </w:r>
          </w:p>
        </w:tc>
        <w:tc>
          <w:tcPr>
            <w:tcW w:w="1033" w:type="dxa"/>
          </w:tcPr>
          <w:p w:rsidR="007C7BBA" w:rsidRPr="00AD70FC" w:rsidRDefault="007C7BBA" w:rsidP="00B90BA0">
            <w:pPr>
              <w:jc w:val="center"/>
              <w:rPr>
                <w:sz w:val="24"/>
                <w:szCs w:val="24"/>
                <w:lang w:val="uk-UA"/>
              </w:rPr>
            </w:pPr>
            <w:r w:rsidRPr="00AD70FC">
              <w:rPr>
                <w:sz w:val="24"/>
                <w:szCs w:val="24"/>
                <w:lang w:val="uk-UA"/>
              </w:rPr>
              <w:t>96</w:t>
            </w:r>
          </w:p>
        </w:tc>
        <w:tc>
          <w:tcPr>
            <w:tcW w:w="2448" w:type="dxa"/>
          </w:tcPr>
          <w:p w:rsidR="007C7BBA" w:rsidRPr="00AD70FC" w:rsidRDefault="007C7BBA" w:rsidP="00B90BA0">
            <w:pPr>
              <w:pStyle w:val="31"/>
              <w:spacing w:after="0"/>
              <w:ind w:left="0"/>
              <w:jc w:val="center"/>
              <w:rPr>
                <w:sz w:val="24"/>
                <w:lang w:val="uk-UA"/>
              </w:rPr>
            </w:pPr>
            <w:r w:rsidRPr="00AD70FC">
              <w:rPr>
                <w:sz w:val="24"/>
                <w:lang w:val="uk-UA"/>
              </w:rPr>
              <w:t>28,20±1,20</w:t>
            </w:r>
            <w:r w:rsidRPr="00AD70FC">
              <w:rPr>
                <w:sz w:val="24"/>
                <w:szCs w:val="24"/>
                <w:vertAlign w:val="superscript"/>
                <w:lang w:val="uk-UA"/>
              </w:rPr>
              <w:t>1</w:t>
            </w:r>
          </w:p>
        </w:tc>
        <w:tc>
          <w:tcPr>
            <w:tcW w:w="2449" w:type="dxa"/>
          </w:tcPr>
          <w:p w:rsidR="007C7BBA" w:rsidRPr="00AD70FC" w:rsidRDefault="007C7BBA" w:rsidP="00B90BA0">
            <w:pPr>
              <w:pStyle w:val="31"/>
              <w:ind w:left="0"/>
              <w:jc w:val="center"/>
              <w:rPr>
                <w:sz w:val="24"/>
                <w:lang w:val="uk-UA"/>
              </w:rPr>
            </w:pPr>
            <w:r w:rsidRPr="00AD70FC">
              <w:rPr>
                <w:sz w:val="24"/>
                <w:lang w:val="uk-UA"/>
              </w:rPr>
              <w:t>2,28±0,04</w:t>
            </w:r>
            <w:r w:rsidRPr="00AD70FC">
              <w:rPr>
                <w:sz w:val="24"/>
                <w:szCs w:val="24"/>
                <w:vertAlign w:val="superscript"/>
                <w:lang w:val="uk-UA"/>
              </w:rPr>
              <w:t>1</w:t>
            </w:r>
          </w:p>
        </w:tc>
        <w:tc>
          <w:tcPr>
            <w:tcW w:w="2449" w:type="dxa"/>
          </w:tcPr>
          <w:p w:rsidR="007C7BBA" w:rsidRPr="00AD70FC" w:rsidRDefault="007C7BBA" w:rsidP="00B90BA0">
            <w:pPr>
              <w:pStyle w:val="31"/>
              <w:spacing w:after="0"/>
              <w:ind w:left="0"/>
              <w:jc w:val="center"/>
              <w:rPr>
                <w:sz w:val="24"/>
                <w:lang w:val="uk-UA"/>
              </w:rPr>
            </w:pPr>
            <w:r w:rsidRPr="00AD70FC">
              <w:rPr>
                <w:sz w:val="24"/>
                <w:lang w:val="uk-UA"/>
              </w:rPr>
              <w:t>601,19±12,70</w:t>
            </w:r>
            <w:r w:rsidRPr="00AD70FC">
              <w:rPr>
                <w:sz w:val="24"/>
                <w:szCs w:val="24"/>
                <w:vertAlign w:val="superscript"/>
                <w:lang w:val="uk-UA"/>
              </w:rPr>
              <w:t>1</w:t>
            </w:r>
          </w:p>
        </w:tc>
      </w:tr>
      <w:tr w:rsidR="007C7BBA" w:rsidRPr="00AD70FC" w:rsidTr="00B90BA0">
        <w:tblPrEx>
          <w:tblCellMar>
            <w:top w:w="0" w:type="dxa"/>
            <w:bottom w:w="0" w:type="dxa"/>
          </w:tblCellMar>
        </w:tblPrEx>
        <w:trPr>
          <w:trHeight w:val="557"/>
        </w:trPr>
        <w:tc>
          <w:tcPr>
            <w:tcW w:w="1728" w:type="dxa"/>
          </w:tcPr>
          <w:p w:rsidR="007C7BBA" w:rsidRPr="00AD70FC" w:rsidRDefault="007C7BBA" w:rsidP="00B90BA0">
            <w:pPr>
              <w:pStyle w:val="31"/>
              <w:spacing w:after="0"/>
              <w:ind w:left="0"/>
              <w:jc w:val="both"/>
              <w:rPr>
                <w:sz w:val="24"/>
                <w:lang w:val="uk-UA"/>
              </w:rPr>
            </w:pPr>
            <w:r>
              <w:rPr>
                <w:sz w:val="24"/>
                <w:lang w:val="uk-UA"/>
              </w:rPr>
              <w:t>Перша</w:t>
            </w:r>
          </w:p>
        </w:tc>
        <w:tc>
          <w:tcPr>
            <w:tcW w:w="1033" w:type="dxa"/>
          </w:tcPr>
          <w:p w:rsidR="007C7BBA" w:rsidRPr="00AD70FC" w:rsidRDefault="007C7BBA" w:rsidP="00B90BA0">
            <w:pPr>
              <w:pStyle w:val="31"/>
              <w:ind w:left="0"/>
              <w:jc w:val="center"/>
              <w:rPr>
                <w:sz w:val="24"/>
                <w:lang w:val="uk-UA"/>
              </w:rPr>
            </w:pPr>
            <w:r w:rsidRPr="00AD70FC">
              <w:rPr>
                <w:sz w:val="24"/>
                <w:lang w:val="uk-UA"/>
              </w:rPr>
              <w:t>56</w:t>
            </w:r>
          </w:p>
        </w:tc>
        <w:tc>
          <w:tcPr>
            <w:tcW w:w="2448" w:type="dxa"/>
          </w:tcPr>
          <w:p w:rsidR="007C7BBA" w:rsidRPr="00AD70FC" w:rsidRDefault="007C7BBA" w:rsidP="00B90BA0">
            <w:pPr>
              <w:pStyle w:val="31"/>
              <w:spacing w:after="0"/>
              <w:ind w:left="0"/>
              <w:jc w:val="center"/>
              <w:rPr>
                <w:sz w:val="24"/>
                <w:lang w:val="uk-UA"/>
              </w:rPr>
            </w:pPr>
            <w:r w:rsidRPr="00AD70FC">
              <w:rPr>
                <w:sz w:val="24"/>
                <w:lang w:val="uk-UA"/>
              </w:rPr>
              <w:t>19,57±0,45</w:t>
            </w:r>
            <w:r w:rsidRPr="00AD70FC">
              <w:rPr>
                <w:sz w:val="24"/>
                <w:szCs w:val="24"/>
                <w:vertAlign w:val="superscript"/>
                <w:lang w:val="uk-UA"/>
              </w:rPr>
              <w:t>1</w:t>
            </w:r>
            <w:r w:rsidRPr="00AD70FC">
              <w:rPr>
                <w:sz w:val="24"/>
                <w:lang w:val="uk-UA"/>
              </w:rPr>
              <w:t xml:space="preserve"> </w:t>
            </w:r>
          </w:p>
        </w:tc>
        <w:tc>
          <w:tcPr>
            <w:tcW w:w="2449" w:type="dxa"/>
          </w:tcPr>
          <w:p w:rsidR="007C7BBA" w:rsidRPr="00AD70FC" w:rsidRDefault="007C7BBA" w:rsidP="00B90BA0">
            <w:pPr>
              <w:pStyle w:val="31"/>
              <w:ind w:left="0"/>
              <w:jc w:val="center"/>
              <w:rPr>
                <w:sz w:val="24"/>
                <w:lang w:val="uk-UA"/>
              </w:rPr>
            </w:pPr>
            <w:r w:rsidRPr="00AD70FC">
              <w:rPr>
                <w:sz w:val="24"/>
                <w:lang w:val="uk-UA"/>
              </w:rPr>
              <w:t>1,98±0,09</w:t>
            </w:r>
            <w:r w:rsidRPr="00AD70FC">
              <w:rPr>
                <w:sz w:val="24"/>
                <w:szCs w:val="24"/>
                <w:vertAlign w:val="superscript"/>
                <w:lang w:val="uk-UA"/>
              </w:rPr>
              <w:t>1</w:t>
            </w:r>
          </w:p>
        </w:tc>
        <w:tc>
          <w:tcPr>
            <w:tcW w:w="2449" w:type="dxa"/>
          </w:tcPr>
          <w:p w:rsidR="007C7BBA" w:rsidRPr="00AD70FC" w:rsidRDefault="007C7BBA" w:rsidP="00B90BA0">
            <w:pPr>
              <w:pStyle w:val="31"/>
              <w:spacing w:after="0"/>
              <w:ind w:left="0"/>
              <w:jc w:val="center"/>
              <w:rPr>
                <w:sz w:val="24"/>
                <w:lang w:val="uk-UA"/>
              </w:rPr>
            </w:pPr>
            <w:r w:rsidRPr="00AD70FC">
              <w:rPr>
                <w:sz w:val="24"/>
                <w:lang w:val="uk-UA"/>
              </w:rPr>
              <w:t>556,38±16,70</w:t>
            </w:r>
            <w:r w:rsidRPr="00AD70FC">
              <w:rPr>
                <w:sz w:val="24"/>
                <w:szCs w:val="24"/>
                <w:vertAlign w:val="superscript"/>
                <w:lang w:val="uk-UA"/>
              </w:rPr>
              <w:t>1</w:t>
            </w:r>
          </w:p>
          <w:p w:rsidR="007C7BBA" w:rsidRPr="00AD70FC" w:rsidRDefault="007C7BBA" w:rsidP="00B90BA0">
            <w:pPr>
              <w:pStyle w:val="31"/>
              <w:spacing w:after="0"/>
              <w:ind w:left="0"/>
              <w:jc w:val="center"/>
              <w:rPr>
                <w:sz w:val="24"/>
                <w:lang w:val="uk-UA"/>
              </w:rPr>
            </w:pPr>
          </w:p>
        </w:tc>
      </w:tr>
      <w:tr w:rsidR="007C7BBA" w:rsidRPr="00AD70FC" w:rsidTr="00B90BA0">
        <w:tblPrEx>
          <w:tblCellMar>
            <w:top w:w="0" w:type="dxa"/>
            <w:bottom w:w="0" w:type="dxa"/>
          </w:tblCellMar>
        </w:tblPrEx>
        <w:trPr>
          <w:trHeight w:val="557"/>
        </w:trPr>
        <w:tc>
          <w:tcPr>
            <w:tcW w:w="1728" w:type="dxa"/>
          </w:tcPr>
          <w:p w:rsidR="007C7BBA" w:rsidRPr="00AD70FC" w:rsidRDefault="007C7BBA" w:rsidP="00B90BA0">
            <w:pPr>
              <w:pStyle w:val="31"/>
              <w:ind w:left="0"/>
              <w:jc w:val="both"/>
              <w:rPr>
                <w:sz w:val="24"/>
                <w:lang w:val="uk-UA"/>
              </w:rPr>
            </w:pPr>
            <w:r>
              <w:rPr>
                <w:sz w:val="24"/>
                <w:lang w:val="uk-UA"/>
              </w:rPr>
              <w:t xml:space="preserve">Друга </w:t>
            </w:r>
          </w:p>
        </w:tc>
        <w:tc>
          <w:tcPr>
            <w:tcW w:w="1033" w:type="dxa"/>
          </w:tcPr>
          <w:p w:rsidR="007C7BBA" w:rsidRPr="00AD70FC" w:rsidRDefault="007C7BBA" w:rsidP="00B90BA0">
            <w:pPr>
              <w:pStyle w:val="31"/>
              <w:ind w:left="0"/>
              <w:jc w:val="center"/>
              <w:rPr>
                <w:sz w:val="24"/>
                <w:lang w:val="uk-UA"/>
              </w:rPr>
            </w:pPr>
            <w:r w:rsidRPr="00AD70FC">
              <w:rPr>
                <w:sz w:val="24"/>
                <w:lang w:val="uk-UA"/>
              </w:rPr>
              <w:t>40</w:t>
            </w:r>
          </w:p>
        </w:tc>
        <w:tc>
          <w:tcPr>
            <w:tcW w:w="2448" w:type="dxa"/>
          </w:tcPr>
          <w:p w:rsidR="007C7BBA" w:rsidRPr="00AD70FC" w:rsidRDefault="007C7BBA" w:rsidP="00B90BA0">
            <w:pPr>
              <w:pStyle w:val="31"/>
              <w:spacing w:after="0"/>
              <w:ind w:left="0"/>
              <w:jc w:val="center"/>
              <w:rPr>
                <w:sz w:val="24"/>
                <w:lang w:val="uk-UA"/>
              </w:rPr>
            </w:pPr>
            <w:r w:rsidRPr="00AD70FC">
              <w:rPr>
                <w:sz w:val="24"/>
                <w:lang w:val="uk-UA"/>
              </w:rPr>
              <w:t>40,30±1,35</w:t>
            </w:r>
            <w:r w:rsidRPr="00AD70FC">
              <w:rPr>
                <w:sz w:val="24"/>
                <w:szCs w:val="24"/>
                <w:vertAlign w:val="superscript"/>
                <w:lang w:val="uk-UA"/>
              </w:rPr>
              <w:t>1,2</w:t>
            </w:r>
          </w:p>
        </w:tc>
        <w:tc>
          <w:tcPr>
            <w:tcW w:w="2449" w:type="dxa"/>
          </w:tcPr>
          <w:p w:rsidR="007C7BBA" w:rsidRPr="00AD70FC" w:rsidRDefault="007C7BBA" w:rsidP="00B90BA0">
            <w:pPr>
              <w:pStyle w:val="31"/>
              <w:ind w:left="0"/>
              <w:jc w:val="center"/>
              <w:rPr>
                <w:sz w:val="24"/>
                <w:lang w:val="uk-UA"/>
              </w:rPr>
            </w:pPr>
            <w:r w:rsidRPr="00AD70FC">
              <w:rPr>
                <w:sz w:val="24"/>
                <w:lang w:val="uk-UA"/>
              </w:rPr>
              <w:t>2,31±0,07</w:t>
            </w:r>
            <w:r w:rsidRPr="00AD70FC">
              <w:rPr>
                <w:sz w:val="24"/>
                <w:szCs w:val="24"/>
                <w:vertAlign w:val="superscript"/>
                <w:lang w:val="uk-UA"/>
              </w:rPr>
              <w:t>1,2</w:t>
            </w:r>
          </w:p>
        </w:tc>
        <w:tc>
          <w:tcPr>
            <w:tcW w:w="2449" w:type="dxa"/>
          </w:tcPr>
          <w:p w:rsidR="007C7BBA" w:rsidRPr="00AD70FC" w:rsidRDefault="007C7BBA" w:rsidP="00B90BA0">
            <w:pPr>
              <w:pStyle w:val="31"/>
              <w:spacing w:after="0"/>
              <w:ind w:left="0"/>
              <w:jc w:val="center"/>
              <w:rPr>
                <w:sz w:val="24"/>
                <w:lang w:val="uk-UA"/>
              </w:rPr>
            </w:pPr>
            <w:r w:rsidRPr="00AD70FC">
              <w:rPr>
                <w:sz w:val="24"/>
                <w:lang w:val="uk-UA"/>
              </w:rPr>
              <w:t>663,93±15,02</w:t>
            </w:r>
            <w:r w:rsidRPr="00AD70FC">
              <w:rPr>
                <w:sz w:val="24"/>
                <w:szCs w:val="24"/>
                <w:vertAlign w:val="superscript"/>
                <w:lang w:val="uk-UA"/>
              </w:rPr>
              <w:t>1,2</w:t>
            </w:r>
          </w:p>
          <w:p w:rsidR="007C7BBA" w:rsidRPr="00AD70FC" w:rsidRDefault="007C7BBA" w:rsidP="00B90BA0">
            <w:pPr>
              <w:pStyle w:val="31"/>
              <w:spacing w:after="0"/>
              <w:ind w:left="0"/>
              <w:jc w:val="center"/>
              <w:rPr>
                <w:sz w:val="24"/>
                <w:lang w:val="uk-UA"/>
              </w:rPr>
            </w:pPr>
          </w:p>
        </w:tc>
      </w:tr>
      <w:tr w:rsidR="007C7BBA" w:rsidRPr="00AD70FC" w:rsidTr="00B90BA0">
        <w:tblPrEx>
          <w:tblCellMar>
            <w:top w:w="0" w:type="dxa"/>
            <w:bottom w:w="0" w:type="dxa"/>
          </w:tblCellMar>
        </w:tblPrEx>
        <w:trPr>
          <w:trHeight w:val="557"/>
        </w:trPr>
        <w:tc>
          <w:tcPr>
            <w:tcW w:w="1728" w:type="dxa"/>
          </w:tcPr>
          <w:p w:rsidR="007C7BBA" w:rsidRPr="00AD70FC" w:rsidRDefault="007C7BBA" w:rsidP="00B90BA0">
            <w:pPr>
              <w:pStyle w:val="31"/>
              <w:spacing w:after="0"/>
              <w:ind w:left="0"/>
              <w:jc w:val="both"/>
              <w:rPr>
                <w:sz w:val="24"/>
                <w:lang w:val="uk-UA"/>
              </w:rPr>
            </w:pPr>
            <w:r>
              <w:rPr>
                <w:sz w:val="24"/>
                <w:lang w:val="uk-UA"/>
              </w:rPr>
              <w:t xml:space="preserve">Контрольна </w:t>
            </w:r>
          </w:p>
        </w:tc>
        <w:tc>
          <w:tcPr>
            <w:tcW w:w="1033" w:type="dxa"/>
          </w:tcPr>
          <w:p w:rsidR="007C7BBA" w:rsidRPr="00AD70FC" w:rsidRDefault="007C7BBA" w:rsidP="00B90BA0">
            <w:pPr>
              <w:pStyle w:val="31"/>
              <w:spacing w:after="0"/>
              <w:ind w:left="0"/>
              <w:jc w:val="center"/>
              <w:rPr>
                <w:sz w:val="24"/>
                <w:lang w:val="uk-UA"/>
              </w:rPr>
            </w:pPr>
            <w:r w:rsidRPr="00AD70FC">
              <w:rPr>
                <w:sz w:val="24"/>
                <w:lang w:val="uk-UA"/>
              </w:rPr>
              <w:t>32</w:t>
            </w:r>
          </w:p>
        </w:tc>
        <w:tc>
          <w:tcPr>
            <w:tcW w:w="2448" w:type="dxa"/>
          </w:tcPr>
          <w:p w:rsidR="007C7BBA" w:rsidRPr="00AD70FC" w:rsidRDefault="007C7BBA" w:rsidP="00B90BA0">
            <w:pPr>
              <w:pStyle w:val="31"/>
              <w:spacing w:after="0"/>
              <w:ind w:left="0"/>
              <w:jc w:val="center"/>
              <w:rPr>
                <w:sz w:val="24"/>
                <w:lang w:val="uk-UA"/>
              </w:rPr>
            </w:pPr>
            <w:r w:rsidRPr="00AD70FC">
              <w:rPr>
                <w:sz w:val="24"/>
                <w:lang w:val="uk-UA"/>
              </w:rPr>
              <w:t>2,90±0,27</w:t>
            </w:r>
          </w:p>
        </w:tc>
        <w:tc>
          <w:tcPr>
            <w:tcW w:w="2449" w:type="dxa"/>
          </w:tcPr>
          <w:p w:rsidR="007C7BBA" w:rsidRPr="00AD70FC" w:rsidRDefault="007C7BBA" w:rsidP="00B90BA0">
            <w:pPr>
              <w:jc w:val="center"/>
              <w:rPr>
                <w:sz w:val="24"/>
                <w:szCs w:val="24"/>
                <w:lang w:val="uk-UA"/>
              </w:rPr>
            </w:pPr>
            <w:r w:rsidRPr="00AD70FC">
              <w:rPr>
                <w:sz w:val="24"/>
                <w:szCs w:val="24"/>
                <w:lang w:val="uk-UA"/>
              </w:rPr>
              <w:t>0,95±0,45</w:t>
            </w:r>
          </w:p>
        </w:tc>
        <w:tc>
          <w:tcPr>
            <w:tcW w:w="2449" w:type="dxa"/>
          </w:tcPr>
          <w:p w:rsidR="007C7BBA" w:rsidRPr="00AD70FC" w:rsidRDefault="007C7BBA" w:rsidP="00B90BA0">
            <w:pPr>
              <w:pStyle w:val="31"/>
              <w:spacing w:after="0"/>
              <w:ind w:left="0"/>
              <w:jc w:val="center"/>
              <w:rPr>
                <w:sz w:val="24"/>
                <w:lang w:val="uk-UA"/>
              </w:rPr>
            </w:pPr>
            <w:r w:rsidRPr="00AD70FC">
              <w:rPr>
                <w:sz w:val="24"/>
                <w:lang w:val="uk-UA"/>
              </w:rPr>
              <w:t>340±40</w:t>
            </w:r>
          </w:p>
        </w:tc>
      </w:tr>
    </w:tbl>
    <w:p w:rsidR="007C7BBA" w:rsidRPr="00AD70FC" w:rsidRDefault="007C7BBA" w:rsidP="007C7BBA">
      <w:pPr>
        <w:jc w:val="both"/>
        <w:rPr>
          <w:sz w:val="24"/>
          <w:lang w:val="uk-UA"/>
        </w:rPr>
      </w:pPr>
      <w:r w:rsidRPr="00AD70FC">
        <w:rPr>
          <w:sz w:val="24"/>
          <w:lang w:val="uk-UA"/>
        </w:rPr>
        <w:t>Примітки: 1</w:t>
      </w:r>
      <w:r w:rsidRPr="00AD70FC">
        <w:rPr>
          <w:sz w:val="24"/>
          <w:vertAlign w:val="subscript"/>
          <w:lang w:val="uk-UA"/>
        </w:rPr>
        <w:t xml:space="preserve"> </w:t>
      </w:r>
      <w:r>
        <w:rPr>
          <w:sz w:val="24"/>
          <w:lang w:val="uk-UA"/>
        </w:rPr>
        <w:t>–</w:t>
      </w:r>
      <w:r w:rsidRPr="00AD70FC">
        <w:rPr>
          <w:sz w:val="24"/>
          <w:lang w:val="uk-UA"/>
        </w:rPr>
        <w:t xml:space="preserve"> достовірність відмінностей </w:t>
      </w:r>
      <w:r>
        <w:rPr>
          <w:sz w:val="24"/>
          <w:lang w:val="uk-UA"/>
        </w:rPr>
        <w:t xml:space="preserve">хворих на </w:t>
      </w:r>
      <w:r w:rsidRPr="00AD70FC">
        <w:rPr>
          <w:sz w:val="24"/>
          <w:lang w:val="uk-UA"/>
        </w:rPr>
        <w:t>ГА та контрольної групи;</w:t>
      </w:r>
    </w:p>
    <w:p w:rsidR="007C7BBA" w:rsidRPr="00AD70FC" w:rsidRDefault="007C7BBA" w:rsidP="007C7BBA">
      <w:pPr>
        <w:ind w:firstLine="360"/>
        <w:jc w:val="both"/>
        <w:rPr>
          <w:lang w:val="uk-UA"/>
        </w:rPr>
      </w:pPr>
      <w:r w:rsidRPr="00AD70FC">
        <w:rPr>
          <w:sz w:val="24"/>
          <w:lang w:val="uk-UA"/>
        </w:rPr>
        <w:lastRenderedPageBreak/>
        <w:t xml:space="preserve">             2</w:t>
      </w:r>
      <w:r>
        <w:rPr>
          <w:sz w:val="24"/>
          <w:lang w:val="uk-UA"/>
        </w:rPr>
        <w:t xml:space="preserve"> –</w:t>
      </w:r>
      <w:r w:rsidRPr="00AD70FC">
        <w:rPr>
          <w:sz w:val="24"/>
          <w:lang w:val="uk-UA"/>
        </w:rPr>
        <w:t xml:space="preserve"> достовірність відмінностей хворих на ГА 1-ї та 2-ї груп.</w:t>
      </w:r>
    </w:p>
    <w:p w:rsidR="007C7BBA" w:rsidRPr="00AD70FC" w:rsidRDefault="007C7BBA" w:rsidP="007C7BBA">
      <w:pPr>
        <w:pStyle w:val="31"/>
        <w:spacing w:after="0"/>
        <w:ind w:left="0" w:firstLine="540"/>
        <w:jc w:val="both"/>
        <w:rPr>
          <w:sz w:val="28"/>
          <w:lang w:val="uk-UA"/>
        </w:rPr>
      </w:pPr>
      <w:r w:rsidRPr="00AD70FC">
        <w:rPr>
          <w:sz w:val="28"/>
          <w:lang w:val="uk-UA"/>
        </w:rPr>
        <w:t>Визнач</w:t>
      </w:r>
      <w:r>
        <w:rPr>
          <w:sz w:val="28"/>
          <w:lang w:val="uk-UA"/>
        </w:rPr>
        <w:t xml:space="preserve">ення СРБ показало, що у розпал </w:t>
      </w:r>
      <w:r w:rsidRPr="00AD70FC">
        <w:rPr>
          <w:sz w:val="28"/>
          <w:lang w:val="uk-UA"/>
        </w:rPr>
        <w:t xml:space="preserve">ГА рівень його значно підвищувався в порівнянні з групою здорових осіб як в першій, так і в другій групах. Однак, у хворих з середньотяжким перебігом хвороби вміст СРБ в крові збільшувався в 13,90 раз, а при легкій </w:t>
      </w:r>
      <w:r>
        <w:rPr>
          <w:sz w:val="28"/>
          <w:lang w:val="uk-UA"/>
        </w:rPr>
        <w:t xml:space="preserve">– </w:t>
      </w:r>
      <w:r w:rsidRPr="00AD70FC">
        <w:rPr>
          <w:sz w:val="28"/>
          <w:lang w:val="uk-UA"/>
        </w:rPr>
        <w:t>в 6,75. Середня концентрація його склала у пацієн</w:t>
      </w:r>
      <w:r>
        <w:rPr>
          <w:sz w:val="28"/>
          <w:lang w:val="uk-UA"/>
        </w:rPr>
        <w:t>тів першої групи 19,57±0,45 г/л, а друго</w:t>
      </w:r>
      <w:r w:rsidRPr="00AD70FC">
        <w:rPr>
          <w:sz w:val="28"/>
          <w:lang w:val="uk-UA"/>
        </w:rPr>
        <w:t>ї –</w:t>
      </w:r>
      <w:r>
        <w:rPr>
          <w:sz w:val="28"/>
          <w:lang w:val="uk-UA"/>
        </w:rPr>
        <w:t xml:space="preserve"> </w:t>
      </w:r>
      <w:r w:rsidRPr="00AD70FC">
        <w:rPr>
          <w:sz w:val="28"/>
          <w:lang w:val="uk-UA"/>
        </w:rPr>
        <w:t>40,30±1,35 г/л.</w:t>
      </w:r>
    </w:p>
    <w:p w:rsidR="007C7BBA" w:rsidRPr="00AD70FC" w:rsidRDefault="007C7BBA" w:rsidP="007C7BBA">
      <w:pPr>
        <w:pStyle w:val="a7"/>
        <w:spacing w:after="0"/>
        <w:ind w:left="0" w:firstLine="540"/>
        <w:jc w:val="both"/>
        <w:rPr>
          <w:sz w:val="28"/>
          <w:lang w:val="uk-UA"/>
        </w:rPr>
      </w:pPr>
      <w:r w:rsidRPr="00AD70FC">
        <w:rPr>
          <w:sz w:val="28"/>
          <w:lang w:val="uk-UA"/>
        </w:rPr>
        <w:t>Ми проаналізували результати дослідження СРБ у</w:t>
      </w:r>
      <w:r>
        <w:rPr>
          <w:sz w:val="28"/>
          <w:lang w:val="uk-UA"/>
        </w:rPr>
        <w:t xml:space="preserve"> хворих на ГА залежно</w:t>
      </w:r>
      <w:r w:rsidRPr="00AD70FC">
        <w:rPr>
          <w:sz w:val="28"/>
          <w:lang w:val="uk-UA"/>
        </w:rPr>
        <w:t xml:space="preserve"> від ступеня дисбактеріозу товстої кишки. Найбільш суттєве підвищення СРБ (у 14,57 рази) відзначалося при дисбактеріозі 3-го ступеня. При нормобіоценозі показники його мали найменше зростання (у 3,06 рази).</w:t>
      </w:r>
    </w:p>
    <w:p w:rsidR="007C7BBA" w:rsidRPr="00966EC1" w:rsidRDefault="007C7BBA" w:rsidP="007C7BBA">
      <w:pPr>
        <w:pStyle w:val="a7"/>
        <w:spacing w:after="0"/>
        <w:ind w:left="0" w:firstLine="540"/>
        <w:jc w:val="both"/>
        <w:rPr>
          <w:sz w:val="28"/>
          <w:lang w:val="uk-UA"/>
        </w:rPr>
      </w:pPr>
      <w:r w:rsidRPr="00AD70FC">
        <w:rPr>
          <w:sz w:val="28"/>
          <w:lang w:val="uk-UA"/>
        </w:rPr>
        <w:t>Дослідження рівня ГГ виявило підвищення п</w:t>
      </w:r>
      <w:r>
        <w:rPr>
          <w:sz w:val="28"/>
          <w:lang w:val="uk-UA"/>
        </w:rPr>
        <w:t xml:space="preserve">оказників при легкому перебігу </w:t>
      </w:r>
      <w:r w:rsidRPr="00AD70FC">
        <w:rPr>
          <w:sz w:val="28"/>
          <w:lang w:val="uk-UA"/>
        </w:rPr>
        <w:t>ГА в 2,08 рази, середній рівень склав 1,98±0,09 г/л. При середньотяжкому перебігу хвороби зростання ГГ було</w:t>
      </w:r>
      <w:r>
        <w:rPr>
          <w:sz w:val="28"/>
          <w:lang w:val="uk-UA"/>
        </w:rPr>
        <w:t xml:space="preserve"> в 2,33 рази, значення його станови</w:t>
      </w:r>
      <w:r w:rsidRPr="00AD70FC">
        <w:rPr>
          <w:sz w:val="28"/>
          <w:lang w:val="uk-UA"/>
        </w:rPr>
        <w:t>ло 2,21±0,07 г/л. Аналіз результатів дослідження ГГ показав, що найбільш значне підвищення його</w:t>
      </w:r>
      <w:r>
        <w:rPr>
          <w:sz w:val="28"/>
          <w:lang w:val="uk-UA"/>
        </w:rPr>
        <w:t xml:space="preserve"> рівнів зареєстровано у хворих ГА, який протік</w:t>
      </w:r>
      <w:r w:rsidRPr="00AD70FC">
        <w:rPr>
          <w:sz w:val="28"/>
          <w:lang w:val="uk-UA"/>
        </w:rPr>
        <w:t>ав на тлі дисбактеріозу 3-го ступеня (2,32±0,12 г/л)</w:t>
      </w:r>
      <w:r>
        <w:rPr>
          <w:sz w:val="28"/>
          <w:lang w:val="uk-UA"/>
        </w:rPr>
        <w:t>,</w:t>
      </w:r>
      <w:r w:rsidRPr="00AD70FC">
        <w:rPr>
          <w:sz w:val="28"/>
          <w:lang w:val="uk-UA"/>
        </w:rPr>
        <w:t xml:space="preserve"> і найменші показники були у пацієнтів з н</w:t>
      </w:r>
      <w:r>
        <w:rPr>
          <w:sz w:val="28"/>
          <w:lang w:val="uk-UA"/>
        </w:rPr>
        <w:t>ормобіоценозом (1,81±0,10 г/л).·</w:t>
      </w:r>
    </w:p>
    <w:p w:rsidR="007C7BBA" w:rsidRPr="00AD70FC" w:rsidRDefault="007C7BBA" w:rsidP="007C7BBA">
      <w:pPr>
        <w:pStyle w:val="a7"/>
        <w:spacing w:after="0"/>
        <w:ind w:left="0" w:firstLine="540"/>
        <w:jc w:val="both"/>
        <w:rPr>
          <w:sz w:val="28"/>
          <w:lang w:val="uk-UA"/>
        </w:rPr>
      </w:pPr>
      <w:r w:rsidRPr="00AD70FC">
        <w:rPr>
          <w:sz w:val="28"/>
          <w:lang w:val="uk-UA"/>
        </w:rPr>
        <w:t>Вивчення мідьзалежного металопротеїну ЦП визначило його статистично дост</w:t>
      </w:r>
      <w:r>
        <w:rPr>
          <w:sz w:val="28"/>
          <w:lang w:val="uk-UA"/>
        </w:rPr>
        <w:t>овірне підвищення у хворих як першої, так і друго</w:t>
      </w:r>
      <w:r w:rsidRPr="00AD70FC">
        <w:rPr>
          <w:sz w:val="28"/>
          <w:lang w:val="uk-UA"/>
        </w:rPr>
        <w:t>ї груп (</w:t>
      </w:r>
      <w:r w:rsidRPr="00EC330E">
        <w:rPr>
          <w:i/>
          <w:sz w:val="28"/>
          <w:lang w:val="uk-UA"/>
        </w:rPr>
        <w:t>Р</w:t>
      </w:r>
      <w:r w:rsidRPr="00AD70FC">
        <w:rPr>
          <w:sz w:val="28"/>
          <w:lang w:val="uk-UA"/>
        </w:rPr>
        <w:t>&lt; 0,01). Рівень зростання ЦП залежав від тяжкості хвороби. У хворих першої групи він збільшувався в порівнянні з контрольною групою в 1,6 рази і досягав рівня 556,38±16,70 мг/л, другої – в 1,9 рази, рівень був 663,93±15,02 мг/л.</w:t>
      </w:r>
    </w:p>
    <w:p w:rsidR="007C7BBA" w:rsidRPr="00AD70FC" w:rsidRDefault="007C7BBA" w:rsidP="007C7BBA">
      <w:pPr>
        <w:pStyle w:val="a7"/>
        <w:spacing w:after="0"/>
        <w:ind w:left="0" w:firstLine="540"/>
        <w:jc w:val="both"/>
        <w:rPr>
          <w:sz w:val="28"/>
          <w:lang w:val="uk-UA"/>
        </w:rPr>
      </w:pPr>
      <w:r w:rsidRPr="00AD70FC">
        <w:rPr>
          <w:sz w:val="28"/>
          <w:lang w:val="uk-UA"/>
        </w:rPr>
        <w:t xml:space="preserve">Дослідження ЦП в залежності від стану мікрофлори товстої кишки показало, що найбільш високі показники його були у хворих з дисбактеріозом 3-го ступеня (682,48±20,56), найменші – при нормобіоценозі (520,15±19,52). </w:t>
      </w:r>
    </w:p>
    <w:p w:rsidR="007C7BBA" w:rsidRPr="00AD70FC" w:rsidRDefault="007C7BBA" w:rsidP="007C7BBA">
      <w:pPr>
        <w:pStyle w:val="a7"/>
        <w:spacing w:after="0"/>
        <w:ind w:left="0" w:firstLine="540"/>
        <w:jc w:val="both"/>
        <w:rPr>
          <w:sz w:val="28"/>
          <w:lang w:val="uk-UA"/>
        </w:rPr>
      </w:pPr>
      <w:r w:rsidRPr="00AD70FC">
        <w:rPr>
          <w:sz w:val="28"/>
          <w:lang w:val="uk-UA"/>
        </w:rPr>
        <w:t>В</w:t>
      </w:r>
      <w:r>
        <w:rPr>
          <w:sz w:val="28"/>
          <w:lang w:val="uk-UA"/>
        </w:rPr>
        <w:t xml:space="preserve">міст БГФ у сироватці хворих на </w:t>
      </w:r>
      <w:r w:rsidRPr="00AD70FC">
        <w:rPr>
          <w:sz w:val="28"/>
          <w:lang w:val="uk-UA"/>
        </w:rPr>
        <w:t>ГА був пов'язаний зі ступенем дисбактеріозу товстої кишки. Найбільш суттєве підвищення їх відзначалося при дисбактеріозі 3-го ступеня. При нормобіоценозі показники мали найменше зростання.</w:t>
      </w:r>
    </w:p>
    <w:p w:rsidR="007C7BBA" w:rsidRPr="00D43B63" w:rsidRDefault="007C7BBA" w:rsidP="007C7BBA">
      <w:pPr>
        <w:pStyle w:val="a5"/>
        <w:ind w:firstLine="540"/>
        <w:jc w:val="both"/>
        <w:rPr>
          <w:caps/>
          <w:szCs w:val="28"/>
        </w:rPr>
      </w:pPr>
      <w:r w:rsidRPr="00AD70FC">
        <w:rPr>
          <w:caps/>
          <w:szCs w:val="28"/>
        </w:rPr>
        <w:t xml:space="preserve">Інтерпретація якості кореляційних зв’язків виявила взаємозалежності між рівнями анаеробів (біфідо-та лактобактерій) </w:t>
      </w:r>
      <w:r w:rsidRPr="00D43B63">
        <w:rPr>
          <w:caps/>
          <w:szCs w:val="28"/>
        </w:rPr>
        <w:t xml:space="preserve">і УПМ (протей, гриби роду Сandida, ентеробактер, цитробактер, клебсієла), показниками SIgA та активністю БГФ. </w:t>
      </w:r>
    </w:p>
    <w:p w:rsidR="007C7BBA" w:rsidRPr="00AD70FC" w:rsidRDefault="007C7BBA" w:rsidP="007C7BBA">
      <w:pPr>
        <w:pStyle w:val="a7"/>
        <w:spacing w:after="0"/>
        <w:ind w:left="0" w:firstLine="540"/>
        <w:jc w:val="both"/>
        <w:rPr>
          <w:sz w:val="28"/>
          <w:szCs w:val="28"/>
          <w:lang w:val="uk-UA"/>
        </w:rPr>
      </w:pPr>
      <w:r w:rsidRPr="00AD70FC">
        <w:rPr>
          <w:sz w:val="28"/>
          <w:szCs w:val="28"/>
          <w:lang w:val="uk-UA"/>
        </w:rPr>
        <w:t>Аналізуючи результати нагляд</w:t>
      </w:r>
      <w:r>
        <w:rPr>
          <w:sz w:val="28"/>
          <w:szCs w:val="28"/>
          <w:lang w:val="uk-UA"/>
        </w:rPr>
        <w:t>у за хворими (16 осіб), у яких ГА протік</w:t>
      </w:r>
      <w:r w:rsidRPr="00AD70FC">
        <w:rPr>
          <w:sz w:val="28"/>
          <w:szCs w:val="28"/>
          <w:lang w:val="uk-UA"/>
        </w:rPr>
        <w:t>ав із затяжною реконвалесценцією, ми виявили, що в усіх пацієнтів на 3</w:t>
      </w:r>
      <w:r>
        <w:rPr>
          <w:sz w:val="28"/>
          <w:szCs w:val="28"/>
          <w:lang w:val="uk-UA"/>
        </w:rPr>
        <w:t>–</w:t>
      </w:r>
      <w:r w:rsidRPr="00AD70FC">
        <w:rPr>
          <w:sz w:val="28"/>
          <w:szCs w:val="28"/>
          <w:lang w:val="uk-UA"/>
        </w:rPr>
        <w:t>4-му тижні хвороби в патологічний процес утягувалися інші органи дигестивної системи. У 7 пацієнтів показники мікробіоценозу відповідали 2-му ступеню дисбактеріозу, у 9 – 3-му ступеню, відмічалась</w:t>
      </w:r>
      <w:r>
        <w:rPr>
          <w:sz w:val="28"/>
          <w:szCs w:val="28"/>
          <w:lang w:val="uk-UA"/>
        </w:rPr>
        <w:t xml:space="preserve"> контамінація товстого кишечника</w:t>
      </w:r>
      <w:r w:rsidRPr="00AD70FC">
        <w:rPr>
          <w:sz w:val="28"/>
          <w:szCs w:val="28"/>
          <w:lang w:val="uk-UA"/>
        </w:rPr>
        <w:t xml:space="preserve"> різними </w:t>
      </w:r>
      <w:r w:rsidRPr="00023CA9">
        <w:rPr>
          <w:sz w:val="28"/>
          <w:szCs w:val="28"/>
          <w:lang w:val="uk-UA"/>
        </w:rPr>
        <w:t xml:space="preserve">представниками УПМ. Середній рівень SIgA у </w:t>
      </w:r>
      <w:r w:rsidRPr="00023CA9">
        <w:rPr>
          <w:sz w:val="28"/>
          <w:szCs w:val="28"/>
          <w:lang w:val="uk-UA"/>
        </w:rPr>
        <w:lastRenderedPageBreak/>
        <w:t xml:space="preserve">копрофільтратах цих хворих в період наростання клінічних проявів хвороби </w:t>
      </w:r>
      <w:r>
        <w:rPr>
          <w:sz w:val="28"/>
          <w:szCs w:val="28"/>
          <w:lang w:val="uk-UA"/>
        </w:rPr>
        <w:t>був нижчи</w:t>
      </w:r>
      <w:r w:rsidRPr="00023CA9">
        <w:rPr>
          <w:sz w:val="28"/>
          <w:szCs w:val="28"/>
          <w:lang w:val="uk-UA"/>
        </w:rPr>
        <w:t>м за контрольну групу (0,18±0,</w:t>
      </w:r>
      <w:r>
        <w:rPr>
          <w:sz w:val="28"/>
          <w:szCs w:val="28"/>
          <w:lang w:val="uk-UA"/>
        </w:rPr>
        <w:t>09 г/л). Підвищення рівня</w:t>
      </w:r>
      <w:r w:rsidRPr="00023CA9">
        <w:rPr>
          <w:sz w:val="28"/>
          <w:szCs w:val="28"/>
          <w:lang w:val="uk-UA"/>
        </w:rPr>
        <w:t xml:space="preserve"> імуноглобуліну відмічалося лише на 6</w:t>
      </w:r>
      <w:r>
        <w:rPr>
          <w:sz w:val="28"/>
          <w:szCs w:val="28"/>
          <w:lang w:val="uk-UA"/>
        </w:rPr>
        <w:t>–</w:t>
      </w:r>
      <w:r w:rsidRPr="00023CA9">
        <w:rPr>
          <w:sz w:val="28"/>
          <w:szCs w:val="28"/>
          <w:lang w:val="uk-UA"/>
        </w:rPr>
        <w:t>7 тиждень</w:t>
      </w:r>
      <w:r w:rsidRPr="00AD70FC">
        <w:rPr>
          <w:sz w:val="28"/>
          <w:szCs w:val="28"/>
          <w:lang w:val="uk-UA"/>
        </w:rPr>
        <w:t xml:space="preserve"> хвороби, що співпадало з клінічним видужанням, нормалізацією показників печінкових проб та покращенням стану біоценозу товстої кишки. В гострий період хвороби на тлі максимального підвищення загального білірубіну </w:t>
      </w:r>
      <w:r>
        <w:rPr>
          <w:sz w:val="28"/>
          <w:szCs w:val="28"/>
          <w:lang w:val="uk-UA"/>
        </w:rPr>
        <w:t>та АлАТ зареєстровано</w:t>
      </w:r>
      <w:r w:rsidRPr="00AD70FC">
        <w:rPr>
          <w:sz w:val="28"/>
          <w:szCs w:val="28"/>
          <w:lang w:val="uk-UA"/>
        </w:rPr>
        <w:t xml:space="preserve"> низькі показники ус</w:t>
      </w:r>
      <w:r>
        <w:rPr>
          <w:sz w:val="28"/>
          <w:szCs w:val="28"/>
          <w:lang w:val="uk-UA"/>
        </w:rPr>
        <w:t>іх БГФ. Середній рівень СРБ станови</w:t>
      </w:r>
      <w:r w:rsidRPr="00AD70FC">
        <w:rPr>
          <w:sz w:val="28"/>
          <w:szCs w:val="28"/>
          <w:lang w:val="uk-UA"/>
        </w:rPr>
        <w:t>в 6,25±0,90 г/л, ГГ – 1,12±0,24 г/л, ЦП – 470,12±38,92 мг/л. Напевно, причиною затяжної реконвалесценції та нашарувань ускладнень зі сторони інших органів ШКТ у цих хворих є розлади імунорегуляторної та антиоксидантної функцій організму на тлі зменшення резервних можливостей печінки.</w:t>
      </w:r>
    </w:p>
    <w:p w:rsidR="007C7BBA" w:rsidRPr="00AD70FC" w:rsidRDefault="007C7BBA" w:rsidP="007C7BBA">
      <w:pPr>
        <w:pStyle w:val="a7"/>
        <w:spacing w:after="0"/>
        <w:ind w:left="0" w:firstLine="540"/>
        <w:jc w:val="both"/>
        <w:rPr>
          <w:sz w:val="28"/>
          <w:lang w:val="uk-UA"/>
        </w:rPr>
      </w:pPr>
      <w:r w:rsidRPr="00AD70FC">
        <w:rPr>
          <w:sz w:val="28"/>
          <w:szCs w:val="28"/>
          <w:lang w:val="uk-UA"/>
        </w:rPr>
        <w:t xml:space="preserve">Ми провели порівняльне значення </w:t>
      </w:r>
      <w:r w:rsidRPr="00AD70FC">
        <w:rPr>
          <w:sz w:val="28"/>
          <w:lang w:val="uk-UA"/>
        </w:rPr>
        <w:t>л</w:t>
      </w:r>
      <w:r w:rsidRPr="00AD70FC">
        <w:rPr>
          <w:sz w:val="28"/>
          <w:lang w:val="uk-UA"/>
        </w:rPr>
        <w:t>а</w:t>
      </w:r>
      <w:r w:rsidRPr="00AD70FC">
        <w:rPr>
          <w:sz w:val="28"/>
          <w:lang w:val="uk-UA"/>
        </w:rPr>
        <w:t xml:space="preserve">бораторних </w:t>
      </w:r>
      <w:r w:rsidRPr="00AD70FC">
        <w:rPr>
          <w:sz w:val="28"/>
          <w:szCs w:val="28"/>
          <w:lang w:val="uk-UA"/>
        </w:rPr>
        <w:t xml:space="preserve">ознак </w:t>
      </w:r>
      <w:r>
        <w:rPr>
          <w:sz w:val="28"/>
          <w:lang w:val="uk-UA"/>
        </w:rPr>
        <w:t xml:space="preserve">у хворих на </w:t>
      </w:r>
      <w:r w:rsidRPr="00AD70FC">
        <w:rPr>
          <w:sz w:val="28"/>
          <w:lang w:val="uk-UA"/>
        </w:rPr>
        <w:t xml:space="preserve">ГА, </w:t>
      </w:r>
      <w:r>
        <w:rPr>
          <w:sz w:val="28"/>
          <w:szCs w:val="28"/>
          <w:lang w:val="uk-UA"/>
        </w:rPr>
        <w:t>який протік</w:t>
      </w:r>
      <w:r w:rsidRPr="00AD70FC">
        <w:rPr>
          <w:sz w:val="28"/>
          <w:szCs w:val="28"/>
          <w:lang w:val="uk-UA"/>
        </w:rPr>
        <w:t xml:space="preserve">ав без ускладнень та з затяжною реконвалесценцією. З цією метою застосовано неоднорідну послідовну процедуру Вальда-Генкіна. </w:t>
      </w:r>
      <w:r w:rsidRPr="00AD70FC">
        <w:rPr>
          <w:sz w:val="28"/>
          <w:lang w:val="uk-UA"/>
        </w:rPr>
        <w:t>Проведений розрахунок показав, що висока прогностична інформативність (</w:t>
      </w:r>
      <w:r w:rsidRPr="00584E91">
        <w:rPr>
          <w:i/>
          <w:sz w:val="28"/>
          <w:lang w:val="uk-UA"/>
        </w:rPr>
        <w:t>І</w:t>
      </w:r>
      <w:r w:rsidRPr="00AD70FC">
        <w:rPr>
          <w:sz w:val="28"/>
          <w:lang w:val="uk-UA"/>
        </w:rPr>
        <w:t>≥1,0) встановлена для таких лабораторних показників як зменшення рівнів біфідо- (</w:t>
      </w:r>
      <w:r w:rsidRPr="00584E91">
        <w:rPr>
          <w:i/>
          <w:sz w:val="28"/>
          <w:lang w:val="uk-UA"/>
        </w:rPr>
        <w:t>І</w:t>
      </w:r>
      <w:r w:rsidRPr="00AD70FC">
        <w:rPr>
          <w:sz w:val="28"/>
          <w:lang w:val="uk-UA"/>
        </w:rPr>
        <w:t>=1,50), лактобактерій (</w:t>
      </w:r>
      <w:r w:rsidRPr="00953A08">
        <w:rPr>
          <w:i/>
          <w:sz w:val="28"/>
          <w:lang w:val="uk-UA"/>
        </w:rPr>
        <w:t>І</w:t>
      </w:r>
      <w:r w:rsidRPr="00AD70FC">
        <w:rPr>
          <w:sz w:val="28"/>
          <w:lang w:val="uk-UA"/>
        </w:rPr>
        <w:t>=1,35), нормальні показники рівня УПМ (</w:t>
      </w:r>
      <w:r w:rsidRPr="00953A08">
        <w:rPr>
          <w:i/>
          <w:sz w:val="28"/>
          <w:lang w:val="uk-UA"/>
        </w:rPr>
        <w:t>І</w:t>
      </w:r>
      <w:r w:rsidRPr="00AD70FC">
        <w:rPr>
          <w:sz w:val="28"/>
          <w:lang w:val="uk-UA"/>
        </w:rPr>
        <w:t>=1,10), збільшення (</w:t>
      </w:r>
      <w:r w:rsidRPr="00953A08">
        <w:rPr>
          <w:i/>
          <w:sz w:val="28"/>
          <w:lang w:val="uk-UA"/>
        </w:rPr>
        <w:t>І</w:t>
      </w:r>
      <w:r w:rsidRPr="00AD70FC">
        <w:rPr>
          <w:sz w:val="28"/>
          <w:lang w:val="uk-UA"/>
        </w:rPr>
        <w:t>=2,29) або зменшення (</w:t>
      </w:r>
      <w:r w:rsidRPr="00953A08">
        <w:rPr>
          <w:i/>
          <w:sz w:val="28"/>
          <w:lang w:val="uk-UA"/>
        </w:rPr>
        <w:t>І</w:t>
      </w:r>
      <w:r w:rsidRPr="00AD70FC">
        <w:rPr>
          <w:sz w:val="28"/>
          <w:lang w:val="uk-UA"/>
        </w:rPr>
        <w:t xml:space="preserve">=4,16) </w:t>
      </w:r>
      <w:r w:rsidRPr="00AD70FC">
        <w:rPr>
          <w:sz w:val="28"/>
          <w:szCs w:val="28"/>
          <w:lang w:val="uk-UA"/>
        </w:rPr>
        <w:t>вмісту SIgA</w:t>
      </w:r>
      <w:r w:rsidRPr="00AD70FC">
        <w:rPr>
          <w:sz w:val="28"/>
          <w:lang w:val="uk-UA"/>
        </w:rPr>
        <w:t xml:space="preserve"> в копрофільтратах та рівнів СРБ (</w:t>
      </w:r>
      <w:r w:rsidRPr="00953A08">
        <w:rPr>
          <w:i/>
          <w:sz w:val="28"/>
          <w:lang w:val="uk-UA"/>
        </w:rPr>
        <w:t>І</w:t>
      </w:r>
      <w:r w:rsidRPr="00AD70FC">
        <w:rPr>
          <w:sz w:val="28"/>
          <w:lang w:val="uk-UA"/>
        </w:rPr>
        <w:t xml:space="preserve">=2,35, </w:t>
      </w:r>
      <w:r w:rsidRPr="00953A08">
        <w:rPr>
          <w:i/>
          <w:sz w:val="28"/>
          <w:lang w:val="uk-UA"/>
        </w:rPr>
        <w:t>І</w:t>
      </w:r>
      <w:r w:rsidRPr="00AD70FC">
        <w:rPr>
          <w:sz w:val="28"/>
          <w:lang w:val="uk-UA"/>
        </w:rPr>
        <w:t>=3,00 співвідносно), ГГ (</w:t>
      </w:r>
      <w:r w:rsidRPr="00953A08">
        <w:rPr>
          <w:i/>
          <w:sz w:val="28"/>
          <w:lang w:val="uk-UA"/>
        </w:rPr>
        <w:t>І</w:t>
      </w:r>
      <w:r w:rsidRPr="00AD70FC">
        <w:rPr>
          <w:sz w:val="28"/>
          <w:lang w:val="uk-UA"/>
        </w:rPr>
        <w:t xml:space="preserve">=3,23, </w:t>
      </w:r>
      <w:r w:rsidRPr="00953A08">
        <w:rPr>
          <w:i/>
          <w:sz w:val="28"/>
          <w:lang w:val="uk-UA"/>
        </w:rPr>
        <w:t>І</w:t>
      </w:r>
      <w:r w:rsidRPr="00AD70FC">
        <w:rPr>
          <w:sz w:val="28"/>
          <w:lang w:val="uk-UA"/>
        </w:rPr>
        <w:t>=3,75) та ЦП (</w:t>
      </w:r>
      <w:r w:rsidRPr="00953A08">
        <w:rPr>
          <w:i/>
          <w:sz w:val="28"/>
          <w:lang w:val="uk-UA"/>
        </w:rPr>
        <w:t>І</w:t>
      </w:r>
      <w:r w:rsidRPr="00AD70FC">
        <w:rPr>
          <w:sz w:val="28"/>
          <w:lang w:val="uk-UA"/>
        </w:rPr>
        <w:t>=2,39,</w:t>
      </w:r>
      <w:r w:rsidRPr="00953A08">
        <w:rPr>
          <w:i/>
          <w:sz w:val="28"/>
          <w:lang w:val="uk-UA"/>
        </w:rPr>
        <w:t xml:space="preserve"> І</w:t>
      </w:r>
      <w:r w:rsidRPr="00AD70FC">
        <w:rPr>
          <w:sz w:val="28"/>
          <w:lang w:val="uk-UA"/>
        </w:rPr>
        <w:t xml:space="preserve">=4,03). </w:t>
      </w:r>
    </w:p>
    <w:p w:rsidR="007C7BBA" w:rsidRPr="00AD70FC" w:rsidRDefault="007C7BBA" w:rsidP="007C7BBA">
      <w:pPr>
        <w:pStyle w:val="a7"/>
        <w:spacing w:after="0"/>
        <w:ind w:left="0" w:firstLine="540"/>
        <w:jc w:val="both"/>
        <w:rPr>
          <w:sz w:val="28"/>
          <w:lang w:val="uk-UA"/>
        </w:rPr>
      </w:pPr>
      <w:r>
        <w:rPr>
          <w:sz w:val="28"/>
          <w:lang w:val="uk-UA"/>
        </w:rPr>
        <w:t>Середню прогностичну</w:t>
      </w:r>
      <w:r w:rsidRPr="00AD70FC">
        <w:rPr>
          <w:sz w:val="28"/>
          <w:lang w:val="uk-UA"/>
        </w:rPr>
        <w:t xml:space="preserve"> інформати</w:t>
      </w:r>
      <w:r>
        <w:rPr>
          <w:sz w:val="28"/>
          <w:lang w:val="uk-UA"/>
        </w:rPr>
        <w:t>вність (0,99≥</w:t>
      </w:r>
      <w:r w:rsidRPr="00953A08">
        <w:rPr>
          <w:i/>
          <w:sz w:val="28"/>
          <w:lang w:val="uk-UA"/>
        </w:rPr>
        <w:t>І</w:t>
      </w:r>
      <w:r>
        <w:rPr>
          <w:sz w:val="28"/>
          <w:lang w:val="uk-UA"/>
        </w:rPr>
        <w:t>≥0,50) встановлено·</w:t>
      </w:r>
      <w:r w:rsidRPr="00AD70FC">
        <w:rPr>
          <w:sz w:val="28"/>
          <w:lang w:val="uk-UA"/>
        </w:rPr>
        <w:t>для таких показників як відсутність порушень травлення в копрограмі (</w:t>
      </w:r>
      <w:r w:rsidRPr="00953A08">
        <w:rPr>
          <w:i/>
          <w:sz w:val="28"/>
          <w:lang w:val="uk-UA"/>
        </w:rPr>
        <w:t>І</w:t>
      </w:r>
      <w:r w:rsidRPr="00AD70FC">
        <w:rPr>
          <w:sz w:val="28"/>
          <w:lang w:val="uk-UA"/>
        </w:rPr>
        <w:t>=0,52), показники білірубіну &lt;100 мкмоль/л (</w:t>
      </w:r>
      <w:r w:rsidRPr="00953A08">
        <w:rPr>
          <w:i/>
          <w:sz w:val="28"/>
          <w:lang w:val="uk-UA"/>
        </w:rPr>
        <w:t>І</w:t>
      </w:r>
      <w:r w:rsidRPr="00AD70FC">
        <w:rPr>
          <w:sz w:val="28"/>
          <w:lang w:val="uk-UA"/>
        </w:rPr>
        <w:t>=0,77) і АлАТ &lt;5 ммоль/(ч</w:t>
      </w:r>
      <w:r>
        <w:rPr>
          <w:sz w:val="28"/>
          <w:lang w:val="uk-UA"/>
        </w:rPr>
        <w:t>·</w:t>
      </w:r>
      <w:r w:rsidRPr="00AD70FC">
        <w:rPr>
          <w:sz w:val="28"/>
          <w:lang w:val="uk-UA"/>
        </w:rPr>
        <w:t>л) (</w:t>
      </w:r>
      <w:r w:rsidRPr="00953A08">
        <w:rPr>
          <w:i/>
          <w:sz w:val="28"/>
          <w:lang w:val="uk-UA"/>
        </w:rPr>
        <w:t>І</w:t>
      </w:r>
      <w:r w:rsidRPr="00AD70FC">
        <w:rPr>
          <w:sz w:val="28"/>
          <w:lang w:val="uk-UA"/>
        </w:rPr>
        <w:t>=0,54).</w:t>
      </w:r>
      <w:r>
        <w:rPr>
          <w:sz w:val="28"/>
          <w:lang w:val="uk-UA"/>
        </w:rPr>
        <w:t xml:space="preserve"> </w:t>
      </w:r>
      <w:r w:rsidRPr="00AD70FC">
        <w:rPr>
          <w:sz w:val="28"/>
          <w:lang w:val="uk-UA"/>
        </w:rPr>
        <w:t>Інші показники мали недостатню інформативність, що дозволило не включати їх в подальші математичні розрахунки.</w:t>
      </w:r>
    </w:p>
    <w:p w:rsidR="007C7BBA" w:rsidRPr="00AD70FC" w:rsidRDefault="007C7BBA" w:rsidP="007C7BBA">
      <w:pPr>
        <w:pStyle w:val="a7"/>
        <w:spacing w:after="0"/>
        <w:ind w:left="0" w:firstLine="540"/>
        <w:jc w:val="both"/>
        <w:rPr>
          <w:sz w:val="28"/>
          <w:szCs w:val="28"/>
          <w:lang w:val="uk-UA"/>
        </w:rPr>
      </w:pPr>
      <w:r w:rsidRPr="00AD70FC">
        <w:rPr>
          <w:sz w:val="28"/>
          <w:lang w:val="uk-UA"/>
        </w:rPr>
        <w:t>Аналіз показників ПК та їх інформативності дозволив виявити, що основними предикторами сприятливого перебігу є невисокі цифри білірубіну і</w:t>
      </w:r>
      <w:r>
        <w:rPr>
          <w:sz w:val="28"/>
          <w:lang w:val="uk-UA"/>
        </w:rPr>
        <w:t xml:space="preserve"> АлАТ, відсутність порушень </w:t>
      </w:r>
      <w:r w:rsidRPr="00AD70FC">
        <w:rPr>
          <w:sz w:val="28"/>
          <w:lang w:val="uk-UA"/>
        </w:rPr>
        <w:t xml:space="preserve">травлення в копрограмі, незначне зниження біфідо- та лактобактерій </w:t>
      </w:r>
      <w:r w:rsidRPr="00AD70FC">
        <w:rPr>
          <w:sz w:val="28"/>
          <w:szCs w:val="28"/>
          <w:lang w:val="uk-UA"/>
        </w:rPr>
        <w:t>та нормальна кількість УПМ</w:t>
      </w:r>
      <w:r w:rsidRPr="00AD70FC">
        <w:rPr>
          <w:sz w:val="28"/>
          <w:lang w:val="uk-UA"/>
        </w:rPr>
        <w:t xml:space="preserve"> в кишечнику, підвищені рівні </w:t>
      </w:r>
      <w:r w:rsidRPr="00AD70FC">
        <w:rPr>
          <w:sz w:val="28"/>
          <w:szCs w:val="28"/>
          <w:lang w:val="uk-UA"/>
        </w:rPr>
        <w:t>SIgA в копрофільтратах і БГФ (</w:t>
      </w:r>
      <w:r w:rsidRPr="00AD70FC">
        <w:rPr>
          <w:sz w:val="28"/>
          <w:lang w:val="uk-UA"/>
        </w:rPr>
        <w:t>ГГ, СРБ, ЦП) в сироватці крові в гострий період хвороби.</w:t>
      </w:r>
    </w:p>
    <w:p w:rsidR="007C7BBA" w:rsidRPr="00AD70FC" w:rsidRDefault="007C7BBA" w:rsidP="007C7BBA">
      <w:pPr>
        <w:pStyle w:val="a7"/>
        <w:spacing w:after="0"/>
        <w:ind w:left="0" w:firstLine="540"/>
        <w:jc w:val="both"/>
        <w:rPr>
          <w:sz w:val="28"/>
          <w:lang w:val="uk-UA"/>
        </w:rPr>
      </w:pPr>
      <w:r>
        <w:rPr>
          <w:sz w:val="28"/>
          <w:szCs w:val="28"/>
          <w:lang w:val="uk-UA"/>
        </w:rPr>
        <w:t xml:space="preserve">При несприятливому перебігу </w:t>
      </w:r>
      <w:r w:rsidRPr="00AD70FC">
        <w:rPr>
          <w:sz w:val="28"/>
          <w:szCs w:val="28"/>
          <w:lang w:val="uk-UA"/>
        </w:rPr>
        <w:t xml:space="preserve">ГА (з ускладненнями та затяжною реконвалесценцією) </w:t>
      </w:r>
      <w:r w:rsidRPr="00AD70FC">
        <w:rPr>
          <w:sz w:val="28"/>
          <w:lang w:val="uk-UA"/>
        </w:rPr>
        <w:t xml:space="preserve">найбільш інформативними лабораторними ознаками є підвищення білірубіну </w:t>
      </w:r>
      <w:r w:rsidRPr="00E87769">
        <w:rPr>
          <w:sz w:val="28"/>
          <w:lang w:val="uk-UA"/>
        </w:rPr>
        <w:t>більш ніж на 100 мкмоль/л</w:t>
      </w:r>
      <w:r w:rsidRPr="00AD70FC">
        <w:rPr>
          <w:sz w:val="28"/>
          <w:lang w:val="uk-UA"/>
        </w:rPr>
        <w:t xml:space="preserve"> і АлАТ &gt;5 ммоль</w:t>
      </w:r>
      <w:r>
        <w:rPr>
          <w:sz w:val="28"/>
          <w:lang w:val="uk-UA"/>
        </w:rPr>
        <w:t>/</w:t>
      </w:r>
      <w:r w:rsidRPr="00AD70FC">
        <w:rPr>
          <w:sz w:val="28"/>
          <w:lang w:val="uk-UA"/>
        </w:rPr>
        <w:t>(ч</w:t>
      </w:r>
      <w:r>
        <w:rPr>
          <w:sz w:val="28"/>
          <w:lang w:val="uk-UA"/>
        </w:rPr>
        <w:t>·</w:t>
      </w:r>
      <w:r w:rsidRPr="00AD70FC">
        <w:rPr>
          <w:sz w:val="28"/>
          <w:lang w:val="uk-UA"/>
        </w:rPr>
        <w:t xml:space="preserve">л), значне зниження біфідо- і лактобактерій, низькі рівні </w:t>
      </w:r>
      <w:r w:rsidRPr="00AD70FC">
        <w:rPr>
          <w:sz w:val="28"/>
          <w:szCs w:val="28"/>
          <w:lang w:val="uk-UA"/>
        </w:rPr>
        <w:t>SIgA в копрофільтратах та рівні</w:t>
      </w:r>
      <w:r w:rsidRPr="00AD70FC">
        <w:rPr>
          <w:sz w:val="28"/>
          <w:lang w:val="uk-UA"/>
        </w:rPr>
        <w:t xml:space="preserve"> ЦП, ГГ і СРБ в гострий період хвороби.</w:t>
      </w:r>
    </w:p>
    <w:p w:rsidR="007C7BBA" w:rsidRPr="00AD70FC" w:rsidRDefault="007C7BBA" w:rsidP="007C7BBA">
      <w:pPr>
        <w:pStyle w:val="a7"/>
        <w:spacing w:after="0"/>
        <w:ind w:left="0" w:firstLine="357"/>
        <w:jc w:val="both"/>
        <w:rPr>
          <w:sz w:val="28"/>
          <w:lang w:val="uk-UA"/>
        </w:rPr>
      </w:pPr>
      <w:r w:rsidRPr="00AD70FC">
        <w:rPr>
          <w:sz w:val="28"/>
          <w:szCs w:val="28"/>
          <w:lang w:val="uk-UA"/>
        </w:rPr>
        <w:t>На основі математичного аналізу розроблено а</w:t>
      </w:r>
      <w:r>
        <w:rPr>
          <w:sz w:val="28"/>
          <w:szCs w:val="28"/>
          <w:lang w:val="uk-UA"/>
        </w:rPr>
        <w:t xml:space="preserve">лгоритм прогнозування перебігу </w:t>
      </w:r>
      <w:r w:rsidRPr="00AD70FC">
        <w:rPr>
          <w:sz w:val="28"/>
          <w:szCs w:val="28"/>
          <w:lang w:val="uk-UA"/>
        </w:rPr>
        <w:t>ГА</w:t>
      </w:r>
      <w:r w:rsidRPr="00AD70FC">
        <w:rPr>
          <w:sz w:val="28"/>
          <w:lang w:val="uk-UA"/>
        </w:rPr>
        <w:t xml:space="preserve">, який без застосування комп’ютерних програм на ранніх етапах захворювання після обстеження хворого дозволяє виявити наявність </w:t>
      </w:r>
      <w:r w:rsidRPr="00AD70FC">
        <w:rPr>
          <w:sz w:val="28"/>
          <w:lang w:val="uk-UA"/>
        </w:rPr>
        <w:lastRenderedPageBreak/>
        <w:t>передумов для розвитку можливих ускладнень, що визначить адекватність лікувальних з</w:t>
      </w:r>
      <w:r w:rsidRPr="00AD70FC">
        <w:rPr>
          <w:sz w:val="28"/>
          <w:lang w:val="uk-UA"/>
        </w:rPr>
        <w:t>а</w:t>
      </w:r>
      <w:r w:rsidRPr="00AD70FC">
        <w:rPr>
          <w:sz w:val="28"/>
          <w:lang w:val="uk-UA"/>
        </w:rPr>
        <w:t>ходів.</w:t>
      </w:r>
    </w:p>
    <w:p w:rsidR="007C7BBA" w:rsidRPr="00AD70FC" w:rsidRDefault="007C7BBA" w:rsidP="007C7BBA">
      <w:pPr>
        <w:tabs>
          <w:tab w:val="num" w:pos="0"/>
        </w:tabs>
        <w:ind w:firstLine="540"/>
        <w:jc w:val="both"/>
        <w:rPr>
          <w:sz w:val="28"/>
          <w:lang w:val="uk-UA"/>
        </w:rPr>
      </w:pPr>
      <w:r w:rsidRPr="00AD70FC">
        <w:rPr>
          <w:sz w:val="28"/>
          <w:lang w:val="uk-UA"/>
        </w:rPr>
        <w:t>Актуальність проблеми патогенетичного лікування хворих на</w:t>
      </w:r>
      <w:r>
        <w:rPr>
          <w:sz w:val="28"/>
          <w:lang w:val="uk-UA"/>
        </w:rPr>
        <w:t xml:space="preserve"> </w:t>
      </w:r>
      <w:r w:rsidRPr="00AD70FC">
        <w:rPr>
          <w:sz w:val="28"/>
          <w:lang w:val="uk-UA"/>
        </w:rPr>
        <w:t>ГА, незважаючи на значні успіхи в його проведенні, не зменшилася. Клінічний досвід свідчить про те, що використання загальноприйнятих схем не забезпечує надійного терапевтичного ефекту. Тому пошук нових засобів і методів патогенетичного ліку</w:t>
      </w:r>
      <w:r>
        <w:rPr>
          <w:sz w:val="28"/>
          <w:lang w:val="uk-UA"/>
        </w:rPr>
        <w:t xml:space="preserve">вання хворих на </w:t>
      </w:r>
      <w:r w:rsidRPr="00AD70FC">
        <w:rPr>
          <w:sz w:val="28"/>
          <w:lang w:val="uk-UA"/>
        </w:rPr>
        <w:t xml:space="preserve">ГА є одним з важливих завдань сучасної інфектології. </w:t>
      </w:r>
    </w:p>
    <w:p w:rsidR="007C7BBA" w:rsidRPr="00AD70FC" w:rsidRDefault="007C7BBA" w:rsidP="007C7BBA">
      <w:pPr>
        <w:pStyle w:val="a5"/>
        <w:ind w:firstLine="540"/>
        <w:jc w:val="both"/>
        <w:rPr>
          <w:caps/>
        </w:rPr>
      </w:pPr>
      <w:r w:rsidRPr="00AD70FC">
        <w:rPr>
          <w:caps/>
        </w:rPr>
        <w:t>Багатьма авторами переконливо доведено, що при проведенні стандартної терапії в періоді реконвалесценції автори не відмічали нормалізації мікробіоценозу, а іноді реєстрували його погіршання (Саєнко Т.Є., 2004</w:t>
      </w:r>
      <w:r>
        <w:rPr>
          <w:caps/>
        </w:rPr>
        <w:t xml:space="preserve">; </w:t>
      </w:r>
      <w:r w:rsidRPr="00AD70FC">
        <w:rPr>
          <w:caps/>
        </w:rPr>
        <w:t>Бондаренко А.В.</w:t>
      </w:r>
      <w:r>
        <w:rPr>
          <w:caps/>
        </w:rPr>
        <w:t>, Великоданов Г.Л., 2005;</w:t>
      </w:r>
      <w:r w:rsidRPr="00AD70FC">
        <w:rPr>
          <w:caps/>
        </w:rPr>
        <w:t xml:space="preserve"> Крамарєв С.</w:t>
      </w:r>
      <w:r>
        <w:rPr>
          <w:caps/>
        </w:rPr>
        <w:t>О</w:t>
      </w:r>
      <w:r w:rsidRPr="00AD70FC">
        <w:rPr>
          <w:caps/>
        </w:rPr>
        <w:t>. та ін., 2006).</w:t>
      </w:r>
    </w:p>
    <w:p w:rsidR="007C7BBA" w:rsidRPr="00AD70FC" w:rsidRDefault="007C7BBA" w:rsidP="007C7BBA">
      <w:pPr>
        <w:pStyle w:val="31"/>
        <w:spacing w:after="0"/>
        <w:ind w:left="0" w:firstLine="540"/>
        <w:jc w:val="both"/>
        <w:rPr>
          <w:sz w:val="28"/>
          <w:lang w:val="uk-UA"/>
        </w:rPr>
      </w:pPr>
      <w:r w:rsidRPr="00AD70FC">
        <w:rPr>
          <w:sz w:val="28"/>
          <w:lang w:val="uk-UA"/>
        </w:rPr>
        <w:t>При легкому перебігу хвороби переважно дисбактеріоз товстої кишки був незначним, без вегетації УПМ, або відсутнім. Тому для корекції порушень мікробіоценозу у хв</w:t>
      </w:r>
      <w:r>
        <w:rPr>
          <w:sz w:val="28"/>
          <w:lang w:val="uk-UA"/>
        </w:rPr>
        <w:t xml:space="preserve">орих з легким перебігом </w:t>
      </w:r>
      <w:r w:rsidRPr="00AD70FC">
        <w:rPr>
          <w:sz w:val="28"/>
          <w:lang w:val="uk-UA"/>
        </w:rPr>
        <w:t xml:space="preserve">ГА на тлі стандартної терапії ми застосовували препарати лактулози (Нормазе, Дюфалак, Лактувит). </w:t>
      </w:r>
    </w:p>
    <w:p w:rsidR="007C7BBA" w:rsidRPr="00AD70FC" w:rsidRDefault="007C7BBA" w:rsidP="007C7BBA">
      <w:pPr>
        <w:pStyle w:val="31"/>
        <w:spacing w:after="0"/>
        <w:ind w:left="0" w:firstLine="540"/>
        <w:jc w:val="both"/>
        <w:rPr>
          <w:sz w:val="28"/>
          <w:lang w:val="uk-UA"/>
        </w:rPr>
      </w:pPr>
      <w:r w:rsidRPr="00AD70FC">
        <w:rPr>
          <w:sz w:val="28"/>
          <w:lang w:val="uk-UA"/>
        </w:rPr>
        <w:t>У хворих з середньотяжким перебігом були виявлені виразні порушення мікрофлори з розростанням УПМ, часто в контамінаціях. Л</w:t>
      </w:r>
      <w:r w:rsidRPr="00AD70FC">
        <w:rPr>
          <w:sz w:val="28"/>
          <w:szCs w:val="28"/>
          <w:lang w:val="uk-UA"/>
        </w:rPr>
        <w:t xml:space="preserve">актулоза не має прямої антибактеріальної дії на УПМ і мало впливає на рівень їх вегетації. </w:t>
      </w:r>
      <w:r w:rsidRPr="00AD70FC">
        <w:rPr>
          <w:sz w:val="28"/>
          <w:lang w:val="uk-UA"/>
        </w:rPr>
        <w:t xml:space="preserve">Це </w:t>
      </w:r>
      <w:r>
        <w:rPr>
          <w:sz w:val="28"/>
          <w:lang w:val="uk-UA"/>
        </w:rPr>
        <w:t>с</w:t>
      </w:r>
      <w:r w:rsidRPr="00AD70FC">
        <w:rPr>
          <w:sz w:val="28"/>
          <w:szCs w:val="28"/>
          <w:lang w:val="uk-UA"/>
        </w:rPr>
        <w:t xml:space="preserve">понукало </w:t>
      </w:r>
      <w:r w:rsidRPr="00AD70FC">
        <w:rPr>
          <w:sz w:val="28"/>
          <w:lang w:val="uk-UA"/>
        </w:rPr>
        <w:t xml:space="preserve">нас </w:t>
      </w:r>
      <w:r>
        <w:rPr>
          <w:sz w:val="28"/>
          <w:lang w:val="uk-UA"/>
        </w:rPr>
        <w:t xml:space="preserve">до </w:t>
      </w:r>
      <w:r w:rsidRPr="00AD70FC">
        <w:rPr>
          <w:sz w:val="28"/>
          <w:lang w:val="uk-UA"/>
        </w:rPr>
        <w:t>застосува</w:t>
      </w:r>
      <w:r>
        <w:rPr>
          <w:sz w:val="28"/>
          <w:lang w:val="uk-UA"/>
        </w:rPr>
        <w:t>ння</w:t>
      </w:r>
      <w:r w:rsidRPr="00AD70FC">
        <w:rPr>
          <w:sz w:val="28"/>
          <w:lang w:val="uk-UA"/>
        </w:rPr>
        <w:t xml:space="preserve"> </w:t>
      </w:r>
      <w:r>
        <w:rPr>
          <w:sz w:val="28"/>
          <w:lang w:val="uk-UA"/>
        </w:rPr>
        <w:t>у</w:t>
      </w:r>
      <w:r w:rsidRPr="00AD70FC">
        <w:rPr>
          <w:sz w:val="28"/>
          <w:lang w:val="uk-UA"/>
        </w:rPr>
        <w:t xml:space="preserve"> лікуванні цих хворих препаратів лактулози та альтану.</w:t>
      </w:r>
    </w:p>
    <w:p w:rsidR="007C7BBA" w:rsidRPr="00AD70FC" w:rsidRDefault="007C7BBA" w:rsidP="007C7BBA">
      <w:pPr>
        <w:pStyle w:val="a5"/>
        <w:ind w:firstLine="540"/>
        <w:jc w:val="both"/>
        <w:rPr>
          <w:caps/>
          <w:szCs w:val="28"/>
        </w:rPr>
      </w:pPr>
      <w:r w:rsidRPr="00AD70FC">
        <w:rPr>
          <w:caps/>
          <w:szCs w:val="28"/>
        </w:rPr>
        <w:t>З метою вивчення ефективності терапії лактулозою та альтаном ми провели в динаміці патологічного процесу мікробіологічне дослідження вмісту товстої кишки та рівнів SIgA в к</w:t>
      </w:r>
      <w:r>
        <w:rPr>
          <w:caps/>
          <w:szCs w:val="28"/>
        </w:rPr>
        <w:t xml:space="preserve">опрофільтратах у 108 хворих на </w:t>
      </w:r>
      <w:r w:rsidRPr="00AD70FC">
        <w:rPr>
          <w:caps/>
          <w:szCs w:val="28"/>
        </w:rPr>
        <w:t>ГА</w:t>
      </w:r>
      <w:r>
        <w:rPr>
          <w:caps/>
          <w:szCs w:val="28"/>
        </w:rPr>
        <w:t xml:space="preserve"> (з першо</w:t>
      </w:r>
      <w:r w:rsidRPr="00AD70FC">
        <w:rPr>
          <w:caps/>
          <w:szCs w:val="28"/>
        </w:rPr>
        <w:t xml:space="preserve">ї групи – 61 хворий, з </w:t>
      </w:r>
      <w:r>
        <w:rPr>
          <w:caps/>
          <w:szCs w:val="28"/>
        </w:rPr>
        <w:t>друго</w:t>
      </w:r>
      <w:r w:rsidRPr="00AD70FC">
        <w:rPr>
          <w:caps/>
          <w:szCs w:val="28"/>
        </w:rPr>
        <w:t>ї – 47) і визначення показників БГФ у 96 пацієнтів.</w:t>
      </w:r>
    </w:p>
    <w:p w:rsidR="007C7BBA" w:rsidRPr="00AD70FC" w:rsidRDefault="007C7BBA" w:rsidP="007C7BBA">
      <w:pPr>
        <w:pStyle w:val="a5"/>
        <w:ind w:firstLine="540"/>
        <w:jc w:val="both"/>
        <w:rPr>
          <w:caps/>
          <w:szCs w:val="28"/>
        </w:rPr>
      </w:pPr>
      <w:r w:rsidRPr="00AD70FC">
        <w:rPr>
          <w:caps/>
          <w:szCs w:val="28"/>
        </w:rPr>
        <w:t>Залежно від проведеного лікування обидві групи були поділено на дві</w:t>
      </w:r>
      <w:r>
        <w:rPr>
          <w:caps/>
          <w:szCs w:val="28"/>
        </w:rPr>
        <w:t xml:space="preserve"> підгрупи (перша А, перша Б, друга А, друга Б). До першої А (20 хворих) та другої </w:t>
      </w:r>
      <w:r w:rsidRPr="00AD70FC">
        <w:rPr>
          <w:caps/>
          <w:szCs w:val="28"/>
        </w:rPr>
        <w:t>А (19 хв</w:t>
      </w:r>
      <w:r>
        <w:rPr>
          <w:caps/>
          <w:szCs w:val="28"/>
        </w:rPr>
        <w:t>орих) підгруп увійшли пацієнти, які</w:t>
      </w:r>
      <w:r w:rsidRPr="00AD70FC">
        <w:rPr>
          <w:caps/>
          <w:szCs w:val="28"/>
        </w:rPr>
        <w:t xml:space="preserve"> одержували стандартну терапію, </w:t>
      </w:r>
      <w:r>
        <w:rPr>
          <w:caps/>
          <w:szCs w:val="28"/>
        </w:rPr>
        <w:t>що</w:t>
      </w:r>
      <w:r w:rsidRPr="00AD70FC">
        <w:rPr>
          <w:caps/>
          <w:szCs w:val="28"/>
        </w:rPr>
        <w:t xml:space="preserve"> включала: постільний режим до сечового кризу з поступовим його розширенням залежно від тяжкості хвороби; дієту №</w:t>
      </w:r>
      <w:r>
        <w:rPr>
          <w:caps/>
          <w:szCs w:val="28"/>
        </w:rPr>
        <w:t xml:space="preserve"> </w:t>
      </w:r>
      <w:r w:rsidRPr="00AD70FC">
        <w:rPr>
          <w:caps/>
          <w:szCs w:val="28"/>
        </w:rPr>
        <w:t>5а, 5 зі зростанням калоражу від 2000 ккал/добу до 3000 ккал/добу; добовий об'єм рідини складав 40</w:t>
      </w:r>
      <w:r>
        <w:rPr>
          <w:szCs w:val="28"/>
        </w:rPr>
        <w:t>–</w:t>
      </w:r>
      <w:r w:rsidRPr="00AD70FC">
        <w:rPr>
          <w:caps/>
          <w:szCs w:val="28"/>
        </w:rPr>
        <w:t>50 мл/кг маси тіла хворого, симптоматична терапія (ентеросорбенти, жовчогінні препарати, дезінтокс</w:t>
      </w:r>
      <w:r>
        <w:rPr>
          <w:caps/>
          <w:szCs w:val="28"/>
        </w:rPr>
        <w:t>и</w:t>
      </w:r>
      <w:r w:rsidRPr="00AD70FC">
        <w:rPr>
          <w:caps/>
          <w:szCs w:val="28"/>
        </w:rPr>
        <w:t>каційна інфузі</w:t>
      </w:r>
      <w:r>
        <w:rPr>
          <w:caps/>
          <w:szCs w:val="28"/>
        </w:rPr>
        <w:t>й</w:t>
      </w:r>
      <w:r w:rsidRPr="00AD70FC">
        <w:rPr>
          <w:caps/>
          <w:szCs w:val="28"/>
        </w:rPr>
        <w:t xml:space="preserve">на терапія, мембраностабілізатори). </w:t>
      </w:r>
    </w:p>
    <w:p w:rsidR="007C7BBA" w:rsidRPr="00AD70FC" w:rsidRDefault="007C7BBA" w:rsidP="007C7BBA">
      <w:pPr>
        <w:pStyle w:val="a5"/>
        <w:ind w:firstLine="540"/>
        <w:jc w:val="both"/>
        <w:rPr>
          <w:caps/>
          <w:szCs w:val="28"/>
        </w:rPr>
      </w:pPr>
      <w:r>
        <w:rPr>
          <w:caps/>
          <w:szCs w:val="28"/>
        </w:rPr>
        <w:t xml:space="preserve">До першої </w:t>
      </w:r>
      <w:r w:rsidRPr="00AD70FC">
        <w:rPr>
          <w:caps/>
          <w:szCs w:val="28"/>
        </w:rPr>
        <w:t>Б підгрупи – 41 хворий з легким перебігом хвороби, які на тлі стандартної терапії оде</w:t>
      </w:r>
      <w:r>
        <w:rPr>
          <w:caps/>
          <w:szCs w:val="28"/>
        </w:rPr>
        <w:t xml:space="preserve">ржували </w:t>
      </w:r>
      <w:r>
        <w:rPr>
          <w:caps/>
          <w:szCs w:val="28"/>
        </w:rPr>
        <w:lastRenderedPageBreak/>
        <w:t xml:space="preserve">препарати лактулози. В другу </w:t>
      </w:r>
      <w:r w:rsidRPr="00AD70FC">
        <w:rPr>
          <w:caps/>
          <w:szCs w:val="28"/>
        </w:rPr>
        <w:t>Б підгрупу увійшло 28 хворих з середньотяжким перебігом хвороби, які отримували на тлі стандартної терапії препарати лактулози та альтан.</w:t>
      </w:r>
    </w:p>
    <w:p w:rsidR="007C7BBA" w:rsidRPr="00AD70FC" w:rsidRDefault="007C7BBA" w:rsidP="007C7BBA">
      <w:pPr>
        <w:ind w:firstLine="540"/>
        <w:jc w:val="both"/>
        <w:rPr>
          <w:sz w:val="28"/>
          <w:szCs w:val="28"/>
          <w:lang w:val="uk-UA"/>
        </w:rPr>
      </w:pPr>
      <w:r w:rsidRPr="00AD70FC">
        <w:rPr>
          <w:sz w:val="28"/>
          <w:szCs w:val="28"/>
          <w:lang w:val="uk-UA"/>
        </w:rPr>
        <w:t>Препарати лактулози усі хворі приймали в дозі 10</w:t>
      </w:r>
      <w:r>
        <w:rPr>
          <w:sz w:val="28"/>
          <w:szCs w:val="28"/>
          <w:lang w:val="uk-UA"/>
        </w:rPr>
        <w:t>–</w:t>
      </w:r>
      <w:r w:rsidRPr="00AD70FC">
        <w:rPr>
          <w:sz w:val="28"/>
          <w:szCs w:val="28"/>
          <w:lang w:val="uk-UA"/>
        </w:rPr>
        <w:t xml:space="preserve">15 мл </w:t>
      </w:r>
      <w:r>
        <w:rPr>
          <w:sz w:val="28"/>
          <w:szCs w:val="28"/>
          <w:lang w:val="uk-UA"/>
        </w:rPr>
        <w:t>три</w:t>
      </w:r>
      <w:r w:rsidRPr="00AD70FC">
        <w:rPr>
          <w:sz w:val="28"/>
          <w:szCs w:val="28"/>
          <w:lang w:val="uk-UA"/>
        </w:rPr>
        <w:t xml:space="preserve"> рази на добу протя</w:t>
      </w:r>
      <w:r>
        <w:rPr>
          <w:sz w:val="28"/>
          <w:szCs w:val="28"/>
          <w:lang w:val="uk-UA"/>
        </w:rPr>
        <w:t>гом трьох</w:t>
      </w:r>
      <w:r w:rsidRPr="00AD70FC">
        <w:rPr>
          <w:sz w:val="28"/>
          <w:szCs w:val="28"/>
          <w:lang w:val="uk-UA"/>
        </w:rPr>
        <w:t xml:space="preserve"> тижнів. Альтан (</w:t>
      </w:r>
      <w:r>
        <w:rPr>
          <w:sz w:val="28"/>
          <w:szCs w:val="28"/>
          <w:lang w:val="uk-UA"/>
        </w:rPr>
        <w:t xml:space="preserve">виробник – </w:t>
      </w:r>
      <w:r w:rsidRPr="00AD70FC">
        <w:rPr>
          <w:sz w:val="28"/>
          <w:szCs w:val="28"/>
          <w:lang w:val="uk-UA"/>
        </w:rPr>
        <w:t>Борщагівський хіміко-фармацевтичн</w:t>
      </w:r>
      <w:r>
        <w:rPr>
          <w:sz w:val="28"/>
          <w:szCs w:val="28"/>
          <w:lang w:val="uk-UA"/>
        </w:rPr>
        <w:t>ий</w:t>
      </w:r>
      <w:r w:rsidRPr="00AD70FC">
        <w:rPr>
          <w:sz w:val="28"/>
          <w:szCs w:val="28"/>
          <w:lang w:val="uk-UA"/>
        </w:rPr>
        <w:t xml:space="preserve"> завод) приймали в дозі </w:t>
      </w:r>
      <w:smartTag w:uri="urn:schemas-microsoft-com:office:smarttags" w:element="metricconverter">
        <w:smartTagPr>
          <w:attr w:name="ProductID" w:val="0,01 г"/>
        </w:smartTagPr>
        <w:r w:rsidRPr="00AD70FC">
          <w:rPr>
            <w:sz w:val="28"/>
            <w:szCs w:val="28"/>
            <w:lang w:val="uk-UA"/>
          </w:rPr>
          <w:t>0,01 г</w:t>
        </w:r>
      </w:smartTag>
      <w:r w:rsidRPr="00AD70FC">
        <w:rPr>
          <w:sz w:val="28"/>
          <w:szCs w:val="28"/>
          <w:lang w:val="uk-UA"/>
        </w:rPr>
        <w:t xml:space="preserve"> тричі на добу за 15</w:t>
      </w:r>
      <w:r>
        <w:rPr>
          <w:sz w:val="28"/>
          <w:szCs w:val="28"/>
          <w:lang w:val="uk-UA"/>
        </w:rPr>
        <w:t>–</w:t>
      </w:r>
      <w:r w:rsidRPr="00AD70FC">
        <w:rPr>
          <w:sz w:val="28"/>
          <w:szCs w:val="28"/>
          <w:lang w:val="uk-UA"/>
        </w:rPr>
        <w:t>20 хв. до прийому їжі протя</w:t>
      </w:r>
      <w:r>
        <w:rPr>
          <w:sz w:val="28"/>
          <w:szCs w:val="28"/>
          <w:lang w:val="uk-UA"/>
        </w:rPr>
        <w:t>гом трьох</w:t>
      </w:r>
      <w:r w:rsidRPr="00AD70FC">
        <w:rPr>
          <w:sz w:val="28"/>
          <w:szCs w:val="28"/>
          <w:lang w:val="uk-UA"/>
        </w:rPr>
        <w:t xml:space="preserve"> тижнів.</w:t>
      </w:r>
    </w:p>
    <w:p w:rsidR="007C7BBA" w:rsidRPr="00AD70FC" w:rsidRDefault="007C7BBA" w:rsidP="007C7BBA">
      <w:pPr>
        <w:pStyle w:val="33"/>
        <w:spacing w:after="0"/>
        <w:ind w:firstLine="540"/>
        <w:jc w:val="both"/>
        <w:rPr>
          <w:sz w:val="28"/>
          <w:szCs w:val="28"/>
        </w:rPr>
      </w:pPr>
      <w:r w:rsidRPr="00AD70FC">
        <w:rPr>
          <w:sz w:val="28"/>
          <w:szCs w:val="28"/>
        </w:rPr>
        <w:t>На тлі терапії у хворих обох груп відмічалося поліпшення клінічних показників у вигляді зникнення або зменшення виразності</w:t>
      </w:r>
      <w:r w:rsidRPr="00AD70FC">
        <w:t xml:space="preserve"> </w:t>
      </w:r>
      <w:r w:rsidRPr="00AD70FC">
        <w:rPr>
          <w:sz w:val="28"/>
          <w:szCs w:val="28"/>
        </w:rPr>
        <w:t>основних симптомів захворювання, але це відбувалось в різні терміни хвороби. У хворих підгруп</w:t>
      </w:r>
      <w:r>
        <w:rPr>
          <w:sz w:val="28"/>
          <w:szCs w:val="28"/>
        </w:rPr>
        <w:t xml:space="preserve"> першої </w:t>
      </w:r>
      <w:r w:rsidRPr="00AD70FC">
        <w:rPr>
          <w:sz w:val="28"/>
          <w:szCs w:val="28"/>
        </w:rPr>
        <w:t xml:space="preserve">Б та </w:t>
      </w:r>
      <w:r>
        <w:rPr>
          <w:sz w:val="28"/>
          <w:szCs w:val="28"/>
        </w:rPr>
        <w:t xml:space="preserve">другої </w:t>
      </w:r>
      <w:r w:rsidRPr="00AD70FC">
        <w:rPr>
          <w:sz w:val="28"/>
          <w:szCs w:val="28"/>
        </w:rPr>
        <w:t>Б значно раніше наступала нормалізація клінічних симптомів ніж у пацієнтів, які отримували лише стандартну терапію.</w:t>
      </w:r>
    </w:p>
    <w:p w:rsidR="007C7BBA" w:rsidRPr="00AD70FC" w:rsidRDefault="007C7BBA" w:rsidP="007C7BBA">
      <w:pPr>
        <w:pStyle w:val="33"/>
        <w:spacing w:after="0"/>
        <w:ind w:firstLine="540"/>
        <w:jc w:val="both"/>
        <w:rPr>
          <w:sz w:val="28"/>
          <w:szCs w:val="28"/>
        </w:rPr>
      </w:pPr>
      <w:r w:rsidRPr="00AD70FC">
        <w:rPr>
          <w:sz w:val="28"/>
          <w:szCs w:val="28"/>
        </w:rPr>
        <w:t xml:space="preserve">Аналіз якісних та кількісних показників мікробіоценозу порожнини товстої кишки показав, що в усіх хворих </w:t>
      </w:r>
      <w:r>
        <w:rPr>
          <w:sz w:val="28"/>
          <w:szCs w:val="28"/>
        </w:rPr>
        <w:t xml:space="preserve">першої </w:t>
      </w:r>
      <w:r w:rsidRPr="00AD70FC">
        <w:rPr>
          <w:sz w:val="28"/>
          <w:szCs w:val="28"/>
        </w:rPr>
        <w:t>Б підгрупи та у 19 (67,86</w:t>
      </w:r>
      <w:r>
        <w:rPr>
          <w:sz w:val="28"/>
          <w:szCs w:val="28"/>
        </w:rPr>
        <w:t xml:space="preserve"> %) осіб другої </w:t>
      </w:r>
      <w:r w:rsidRPr="00AD70FC">
        <w:rPr>
          <w:sz w:val="28"/>
          <w:szCs w:val="28"/>
        </w:rPr>
        <w:t>Б підгрупи терапія сприяла нормалізації мікрофлори товстої кишки (табл. 3). У 9 (32,14</w:t>
      </w:r>
      <w:r>
        <w:rPr>
          <w:sz w:val="28"/>
          <w:szCs w:val="28"/>
        </w:rPr>
        <w:t xml:space="preserve"> %) пацієнтів другої </w:t>
      </w:r>
      <w:r w:rsidRPr="00AD70FC">
        <w:rPr>
          <w:sz w:val="28"/>
          <w:szCs w:val="28"/>
        </w:rPr>
        <w:t>Б підгрупи призначення комплексу препаратів зменш</w:t>
      </w:r>
      <w:r>
        <w:rPr>
          <w:sz w:val="28"/>
          <w:szCs w:val="28"/>
        </w:rPr>
        <w:t>увало ступі</w:t>
      </w:r>
      <w:r w:rsidRPr="00AD70FC">
        <w:rPr>
          <w:sz w:val="28"/>
          <w:szCs w:val="28"/>
        </w:rPr>
        <w:t>н</w:t>
      </w:r>
      <w:r>
        <w:rPr>
          <w:sz w:val="28"/>
          <w:szCs w:val="28"/>
        </w:rPr>
        <w:t>ь</w:t>
      </w:r>
      <w:r w:rsidRPr="00AD70FC">
        <w:rPr>
          <w:sz w:val="28"/>
          <w:szCs w:val="28"/>
        </w:rPr>
        <w:t xml:space="preserve"> мікроекологічни</w:t>
      </w:r>
      <w:r>
        <w:rPr>
          <w:sz w:val="28"/>
          <w:szCs w:val="28"/>
        </w:rPr>
        <w:t>х порушень, але нормобіоценоз не</w:t>
      </w:r>
      <w:r w:rsidRPr="00AD70FC">
        <w:rPr>
          <w:sz w:val="28"/>
          <w:szCs w:val="28"/>
        </w:rPr>
        <w:t xml:space="preserve"> реєструвався. </w:t>
      </w:r>
    </w:p>
    <w:p w:rsidR="007C7BBA" w:rsidRPr="00DE1608" w:rsidRDefault="007C7BBA" w:rsidP="007C7BBA">
      <w:pPr>
        <w:pStyle w:val="33"/>
        <w:spacing w:after="0"/>
        <w:ind w:firstLine="540"/>
        <w:jc w:val="right"/>
        <w:rPr>
          <w:b/>
          <w:i/>
          <w:sz w:val="28"/>
          <w:szCs w:val="28"/>
        </w:rPr>
      </w:pPr>
      <w:r w:rsidRPr="00DE1608">
        <w:rPr>
          <w:i/>
          <w:sz w:val="28"/>
          <w:szCs w:val="28"/>
        </w:rPr>
        <w:t>Таблиця 3</w:t>
      </w:r>
    </w:p>
    <w:p w:rsidR="007C7BBA" w:rsidRPr="00C31EA8" w:rsidRDefault="007C7BBA" w:rsidP="007C7BBA">
      <w:pPr>
        <w:pStyle w:val="6"/>
        <w:ind w:firstLine="357"/>
        <w:jc w:val="center"/>
        <w:rPr>
          <w:b w:val="0"/>
        </w:rPr>
      </w:pPr>
      <w:r w:rsidRPr="00C31EA8">
        <w:rPr>
          <w:b w:val="0"/>
        </w:rPr>
        <w:t>Динаміка популяційного рівня мікроорганізмів порожнини товстої кишки у хворих на ГА в процесі лікування</w:t>
      </w:r>
    </w:p>
    <w:tbl>
      <w:tblPr>
        <w:tblStyle w:val="ad"/>
        <w:tblW w:w="0" w:type="auto"/>
        <w:tblLook w:val="01E0" w:firstRow="1" w:lastRow="1" w:firstColumn="1" w:lastColumn="1" w:noHBand="0" w:noVBand="0"/>
      </w:tblPr>
      <w:tblGrid>
        <w:gridCol w:w="1808"/>
        <w:gridCol w:w="1269"/>
        <w:gridCol w:w="1194"/>
        <w:gridCol w:w="1194"/>
        <w:gridCol w:w="1156"/>
        <w:gridCol w:w="1418"/>
        <w:gridCol w:w="1306"/>
      </w:tblGrid>
      <w:tr w:rsidR="007C7BBA" w:rsidRPr="00AD70FC" w:rsidTr="00B90BA0">
        <w:tc>
          <w:tcPr>
            <w:tcW w:w="1955" w:type="dxa"/>
            <w:vMerge w:val="restart"/>
          </w:tcPr>
          <w:p w:rsidR="007C7BBA" w:rsidRPr="00AB19A5" w:rsidRDefault="007C7BBA" w:rsidP="00B90BA0">
            <w:pPr>
              <w:pStyle w:val="33"/>
              <w:jc w:val="center"/>
              <w:rPr>
                <w:sz w:val="24"/>
                <w:szCs w:val="24"/>
              </w:rPr>
            </w:pPr>
            <w:r w:rsidRPr="00AB19A5">
              <w:rPr>
                <w:sz w:val="24"/>
                <w:szCs w:val="24"/>
              </w:rPr>
              <w:t xml:space="preserve">Мікроорганізми, </w:t>
            </w:r>
            <w:r>
              <w:rPr>
                <w:sz w:val="24"/>
                <w:szCs w:val="24"/>
                <w:lang w:val="en-US"/>
              </w:rPr>
              <w:t xml:space="preserve">lg </w:t>
            </w:r>
            <w:r w:rsidRPr="00AB19A5">
              <w:rPr>
                <w:sz w:val="24"/>
                <w:szCs w:val="24"/>
              </w:rPr>
              <w:t>КУО/г</w:t>
            </w:r>
          </w:p>
        </w:tc>
        <w:tc>
          <w:tcPr>
            <w:tcW w:w="8182" w:type="dxa"/>
            <w:gridSpan w:val="6"/>
          </w:tcPr>
          <w:p w:rsidR="007C7BBA" w:rsidRPr="00AD70FC" w:rsidRDefault="007C7BBA" w:rsidP="00B90BA0">
            <w:pPr>
              <w:pStyle w:val="33"/>
              <w:jc w:val="center"/>
              <w:rPr>
                <w:sz w:val="24"/>
                <w:szCs w:val="24"/>
              </w:rPr>
            </w:pPr>
            <w:r>
              <w:rPr>
                <w:sz w:val="24"/>
                <w:szCs w:val="24"/>
              </w:rPr>
              <w:t xml:space="preserve">Хворі на </w:t>
            </w:r>
            <w:r w:rsidRPr="00AD70FC">
              <w:rPr>
                <w:sz w:val="24"/>
                <w:szCs w:val="24"/>
              </w:rPr>
              <w:t>ГА</w:t>
            </w:r>
          </w:p>
        </w:tc>
      </w:tr>
      <w:tr w:rsidR="007C7BBA" w:rsidRPr="00AD70FC" w:rsidTr="00B90BA0">
        <w:tc>
          <w:tcPr>
            <w:tcW w:w="1955" w:type="dxa"/>
            <w:vMerge/>
          </w:tcPr>
          <w:p w:rsidR="007C7BBA" w:rsidRPr="00AD70FC" w:rsidRDefault="007C7BBA" w:rsidP="00B90BA0">
            <w:pPr>
              <w:pStyle w:val="33"/>
              <w:jc w:val="both"/>
              <w:rPr>
                <w:sz w:val="24"/>
                <w:szCs w:val="24"/>
              </w:rPr>
            </w:pPr>
          </w:p>
        </w:tc>
        <w:tc>
          <w:tcPr>
            <w:tcW w:w="3995" w:type="dxa"/>
            <w:gridSpan w:val="3"/>
          </w:tcPr>
          <w:p w:rsidR="007C7BBA" w:rsidRPr="00AD70FC" w:rsidRDefault="007C7BBA" w:rsidP="00B90BA0">
            <w:pPr>
              <w:jc w:val="center"/>
              <w:rPr>
                <w:sz w:val="24"/>
                <w:szCs w:val="24"/>
                <w:lang w:val="uk-UA"/>
              </w:rPr>
            </w:pPr>
            <w:r>
              <w:rPr>
                <w:sz w:val="24"/>
                <w:szCs w:val="24"/>
                <w:lang w:val="uk-UA"/>
              </w:rPr>
              <w:t>перша</w:t>
            </w:r>
            <w:r w:rsidRPr="00AD70FC">
              <w:rPr>
                <w:sz w:val="24"/>
                <w:szCs w:val="24"/>
                <w:lang w:val="uk-UA"/>
              </w:rPr>
              <w:t xml:space="preserve"> група (</w:t>
            </w:r>
            <w:r w:rsidRPr="00D71A4D">
              <w:rPr>
                <w:i/>
                <w:sz w:val="24"/>
                <w:szCs w:val="24"/>
                <w:lang w:val="uk-UA"/>
              </w:rPr>
              <w:t>n</w:t>
            </w:r>
            <w:r w:rsidRPr="00AD70FC">
              <w:rPr>
                <w:sz w:val="24"/>
                <w:szCs w:val="24"/>
                <w:lang w:val="uk-UA"/>
              </w:rPr>
              <w:t>=61)</w:t>
            </w:r>
          </w:p>
        </w:tc>
        <w:tc>
          <w:tcPr>
            <w:tcW w:w="4187" w:type="dxa"/>
            <w:gridSpan w:val="3"/>
          </w:tcPr>
          <w:p w:rsidR="007C7BBA" w:rsidRPr="00AD70FC" w:rsidRDefault="007C7BBA" w:rsidP="00B90BA0">
            <w:pPr>
              <w:jc w:val="center"/>
              <w:rPr>
                <w:sz w:val="24"/>
                <w:szCs w:val="24"/>
                <w:lang w:val="uk-UA"/>
              </w:rPr>
            </w:pPr>
            <w:r>
              <w:rPr>
                <w:sz w:val="24"/>
                <w:szCs w:val="24"/>
                <w:lang w:val="uk-UA"/>
              </w:rPr>
              <w:t>друг</w:t>
            </w:r>
            <w:r w:rsidRPr="00AD70FC">
              <w:rPr>
                <w:sz w:val="24"/>
                <w:szCs w:val="24"/>
                <w:lang w:val="uk-UA"/>
              </w:rPr>
              <w:t>а група (</w:t>
            </w:r>
            <w:r w:rsidRPr="00D71A4D">
              <w:rPr>
                <w:i/>
                <w:sz w:val="24"/>
                <w:szCs w:val="24"/>
                <w:lang w:val="uk-UA"/>
              </w:rPr>
              <w:t>n</w:t>
            </w:r>
            <w:r w:rsidRPr="00AD70FC">
              <w:rPr>
                <w:sz w:val="24"/>
                <w:szCs w:val="24"/>
                <w:lang w:val="uk-UA"/>
              </w:rPr>
              <w:t>=47)</w:t>
            </w:r>
          </w:p>
        </w:tc>
      </w:tr>
      <w:tr w:rsidR="007C7BBA" w:rsidRPr="00AD70FC" w:rsidTr="00B90BA0">
        <w:tc>
          <w:tcPr>
            <w:tcW w:w="1955" w:type="dxa"/>
            <w:vMerge/>
          </w:tcPr>
          <w:p w:rsidR="007C7BBA" w:rsidRPr="00AD70FC" w:rsidRDefault="007C7BBA" w:rsidP="00B90BA0">
            <w:pPr>
              <w:pStyle w:val="33"/>
              <w:jc w:val="both"/>
              <w:rPr>
                <w:sz w:val="24"/>
                <w:szCs w:val="24"/>
              </w:rPr>
            </w:pPr>
          </w:p>
        </w:tc>
        <w:tc>
          <w:tcPr>
            <w:tcW w:w="1364" w:type="dxa"/>
          </w:tcPr>
          <w:p w:rsidR="007C7BBA" w:rsidRPr="00AD70FC" w:rsidRDefault="007C7BBA" w:rsidP="00B90BA0">
            <w:pPr>
              <w:jc w:val="center"/>
              <w:rPr>
                <w:sz w:val="24"/>
                <w:szCs w:val="24"/>
                <w:lang w:val="uk-UA"/>
              </w:rPr>
            </w:pPr>
            <w:r w:rsidRPr="00AD70FC">
              <w:rPr>
                <w:sz w:val="24"/>
                <w:szCs w:val="24"/>
                <w:lang w:val="uk-UA"/>
              </w:rPr>
              <w:t>До лікування</w:t>
            </w:r>
          </w:p>
        </w:tc>
        <w:tc>
          <w:tcPr>
            <w:tcW w:w="1285" w:type="dxa"/>
          </w:tcPr>
          <w:p w:rsidR="007C7BBA" w:rsidRPr="00AD70FC" w:rsidRDefault="007C7BBA" w:rsidP="00B90BA0">
            <w:pPr>
              <w:jc w:val="center"/>
              <w:rPr>
                <w:sz w:val="24"/>
                <w:szCs w:val="24"/>
                <w:lang w:val="uk-UA"/>
              </w:rPr>
            </w:pPr>
            <w:r>
              <w:rPr>
                <w:sz w:val="24"/>
                <w:szCs w:val="24"/>
                <w:lang w:val="uk-UA"/>
              </w:rPr>
              <w:t xml:space="preserve">Перша </w:t>
            </w:r>
            <w:r w:rsidRPr="00AD70FC">
              <w:rPr>
                <w:sz w:val="24"/>
                <w:szCs w:val="24"/>
                <w:lang w:val="uk-UA"/>
              </w:rPr>
              <w:t>А (</w:t>
            </w:r>
            <w:r w:rsidRPr="00D71A4D">
              <w:rPr>
                <w:i/>
                <w:sz w:val="24"/>
                <w:szCs w:val="24"/>
                <w:lang w:val="uk-UA"/>
              </w:rPr>
              <w:t>n</w:t>
            </w:r>
            <w:r w:rsidRPr="00AD70FC">
              <w:rPr>
                <w:sz w:val="24"/>
                <w:szCs w:val="24"/>
                <w:lang w:val="uk-UA"/>
              </w:rPr>
              <w:t>=20)</w:t>
            </w:r>
          </w:p>
        </w:tc>
        <w:tc>
          <w:tcPr>
            <w:tcW w:w="1346" w:type="dxa"/>
          </w:tcPr>
          <w:p w:rsidR="007C7BBA" w:rsidRPr="00AD70FC" w:rsidRDefault="007C7BBA" w:rsidP="00B90BA0">
            <w:pPr>
              <w:jc w:val="center"/>
              <w:rPr>
                <w:sz w:val="24"/>
                <w:szCs w:val="24"/>
                <w:lang w:val="uk-UA"/>
              </w:rPr>
            </w:pPr>
            <w:r>
              <w:rPr>
                <w:sz w:val="24"/>
                <w:szCs w:val="24"/>
                <w:lang w:val="uk-UA"/>
              </w:rPr>
              <w:t xml:space="preserve">Перша </w:t>
            </w:r>
            <w:r w:rsidRPr="00AD70FC">
              <w:rPr>
                <w:sz w:val="24"/>
                <w:szCs w:val="24"/>
                <w:lang w:val="uk-UA"/>
              </w:rPr>
              <w:t>Б (</w:t>
            </w:r>
            <w:r w:rsidRPr="00D71A4D">
              <w:rPr>
                <w:i/>
                <w:sz w:val="24"/>
                <w:szCs w:val="24"/>
                <w:lang w:val="uk-UA"/>
              </w:rPr>
              <w:t>n</w:t>
            </w:r>
            <w:r w:rsidRPr="00AD70FC">
              <w:rPr>
                <w:sz w:val="24"/>
                <w:szCs w:val="24"/>
                <w:lang w:val="uk-UA"/>
              </w:rPr>
              <w:t>=41)</w:t>
            </w:r>
          </w:p>
        </w:tc>
        <w:tc>
          <w:tcPr>
            <w:tcW w:w="1291" w:type="dxa"/>
          </w:tcPr>
          <w:p w:rsidR="007C7BBA" w:rsidRPr="00AD70FC" w:rsidRDefault="007C7BBA" w:rsidP="00B90BA0">
            <w:pPr>
              <w:jc w:val="center"/>
              <w:rPr>
                <w:sz w:val="24"/>
                <w:szCs w:val="24"/>
                <w:lang w:val="uk-UA"/>
              </w:rPr>
            </w:pPr>
            <w:r w:rsidRPr="00AD70FC">
              <w:rPr>
                <w:sz w:val="24"/>
                <w:szCs w:val="24"/>
                <w:lang w:val="uk-UA"/>
              </w:rPr>
              <w:t>До лікування</w:t>
            </w:r>
          </w:p>
        </w:tc>
        <w:tc>
          <w:tcPr>
            <w:tcW w:w="1508" w:type="dxa"/>
          </w:tcPr>
          <w:p w:rsidR="007C7BBA" w:rsidRPr="00AD70FC" w:rsidRDefault="007C7BBA" w:rsidP="00B90BA0">
            <w:pPr>
              <w:jc w:val="center"/>
              <w:rPr>
                <w:sz w:val="24"/>
                <w:szCs w:val="24"/>
                <w:lang w:val="uk-UA"/>
              </w:rPr>
            </w:pPr>
            <w:r>
              <w:rPr>
                <w:sz w:val="24"/>
                <w:szCs w:val="24"/>
                <w:lang w:val="uk-UA"/>
              </w:rPr>
              <w:t xml:space="preserve">Друга </w:t>
            </w:r>
            <w:r w:rsidRPr="00AD70FC">
              <w:rPr>
                <w:sz w:val="24"/>
                <w:szCs w:val="24"/>
                <w:lang w:val="uk-UA"/>
              </w:rPr>
              <w:t>А (</w:t>
            </w:r>
            <w:r w:rsidRPr="00D71A4D">
              <w:rPr>
                <w:i/>
                <w:sz w:val="24"/>
                <w:szCs w:val="24"/>
                <w:lang w:val="uk-UA"/>
              </w:rPr>
              <w:t>n</w:t>
            </w:r>
            <w:r w:rsidRPr="00AD70FC">
              <w:rPr>
                <w:sz w:val="24"/>
                <w:szCs w:val="24"/>
                <w:lang w:val="uk-UA"/>
              </w:rPr>
              <w:t>=19)</w:t>
            </w:r>
          </w:p>
        </w:tc>
        <w:tc>
          <w:tcPr>
            <w:tcW w:w="1388" w:type="dxa"/>
          </w:tcPr>
          <w:p w:rsidR="007C7BBA" w:rsidRPr="00AD70FC" w:rsidRDefault="007C7BBA" w:rsidP="00B90BA0">
            <w:pPr>
              <w:jc w:val="center"/>
              <w:rPr>
                <w:sz w:val="24"/>
                <w:szCs w:val="24"/>
                <w:lang w:val="uk-UA"/>
              </w:rPr>
            </w:pPr>
            <w:r>
              <w:rPr>
                <w:sz w:val="24"/>
                <w:szCs w:val="24"/>
                <w:lang w:val="uk-UA"/>
              </w:rPr>
              <w:t xml:space="preserve">Друга </w:t>
            </w:r>
            <w:r w:rsidRPr="00AD70FC">
              <w:rPr>
                <w:sz w:val="24"/>
                <w:szCs w:val="24"/>
                <w:lang w:val="uk-UA"/>
              </w:rPr>
              <w:t>Б (</w:t>
            </w:r>
            <w:r w:rsidRPr="00D71A4D">
              <w:rPr>
                <w:i/>
                <w:sz w:val="24"/>
                <w:szCs w:val="24"/>
                <w:lang w:val="uk-UA"/>
              </w:rPr>
              <w:t>n</w:t>
            </w:r>
            <w:r w:rsidRPr="00AD70FC">
              <w:rPr>
                <w:sz w:val="24"/>
                <w:szCs w:val="24"/>
                <w:lang w:val="uk-UA"/>
              </w:rPr>
              <w:t>=28)</w:t>
            </w:r>
          </w:p>
        </w:tc>
      </w:tr>
      <w:tr w:rsidR="007C7BBA" w:rsidRPr="00AD70FC" w:rsidTr="00B90BA0">
        <w:tc>
          <w:tcPr>
            <w:tcW w:w="1955" w:type="dxa"/>
          </w:tcPr>
          <w:p w:rsidR="007C7BBA" w:rsidRPr="00073F1C" w:rsidRDefault="007C7BBA" w:rsidP="00B90BA0">
            <w:pPr>
              <w:jc w:val="center"/>
              <w:rPr>
                <w:sz w:val="24"/>
                <w:szCs w:val="24"/>
                <w:lang w:val="uk-UA"/>
              </w:rPr>
            </w:pPr>
            <w:r w:rsidRPr="00073F1C">
              <w:rPr>
                <w:sz w:val="24"/>
                <w:szCs w:val="24"/>
                <w:lang w:val="uk-UA"/>
              </w:rPr>
              <w:t>1</w:t>
            </w:r>
          </w:p>
        </w:tc>
        <w:tc>
          <w:tcPr>
            <w:tcW w:w="1364" w:type="dxa"/>
          </w:tcPr>
          <w:p w:rsidR="007C7BBA" w:rsidRPr="00073F1C" w:rsidRDefault="007C7BBA" w:rsidP="00B90BA0">
            <w:pPr>
              <w:jc w:val="center"/>
              <w:rPr>
                <w:sz w:val="24"/>
                <w:szCs w:val="24"/>
                <w:lang w:val="uk-UA"/>
              </w:rPr>
            </w:pPr>
            <w:r w:rsidRPr="00073F1C">
              <w:rPr>
                <w:sz w:val="24"/>
                <w:szCs w:val="24"/>
                <w:lang w:val="uk-UA"/>
              </w:rPr>
              <w:t>2</w:t>
            </w:r>
          </w:p>
        </w:tc>
        <w:tc>
          <w:tcPr>
            <w:tcW w:w="1285" w:type="dxa"/>
          </w:tcPr>
          <w:p w:rsidR="007C7BBA" w:rsidRPr="00073F1C" w:rsidRDefault="007C7BBA" w:rsidP="00B90BA0">
            <w:pPr>
              <w:jc w:val="center"/>
              <w:rPr>
                <w:sz w:val="24"/>
                <w:szCs w:val="24"/>
                <w:lang w:val="uk-UA"/>
              </w:rPr>
            </w:pPr>
            <w:r w:rsidRPr="00073F1C">
              <w:rPr>
                <w:sz w:val="24"/>
                <w:szCs w:val="24"/>
                <w:lang w:val="uk-UA"/>
              </w:rPr>
              <w:t>3</w:t>
            </w:r>
          </w:p>
        </w:tc>
        <w:tc>
          <w:tcPr>
            <w:tcW w:w="1346" w:type="dxa"/>
          </w:tcPr>
          <w:p w:rsidR="007C7BBA" w:rsidRPr="00073F1C" w:rsidRDefault="007C7BBA" w:rsidP="00B90BA0">
            <w:pPr>
              <w:jc w:val="center"/>
              <w:rPr>
                <w:sz w:val="24"/>
                <w:szCs w:val="24"/>
                <w:lang w:val="uk-UA"/>
              </w:rPr>
            </w:pPr>
            <w:r w:rsidRPr="00073F1C">
              <w:rPr>
                <w:sz w:val="24"/>
                <w:szCs w:val="24"/>
                <w:lang w:val="uk-UA"/>
              </w:rPr>
              <w:t>4</w:t>
            </w:r>
          </w:p>
        </w:tc>
        <w:tc>
          <w:tcPr>
            <w:tcW w:w="1291" w:type="dxa"/>
          </w:tcPr>
          <w:p w:rsidR="007C7BBA" w:rsidRPr="00073F1C" w:rsidRDefault="007C7BBA" w:rsidP="00B90BA0">
            <w:pPr>
              <w:jc w:val="center"/>
              <w:rPr>
                <w:sz w:val="24"/>
                <w:szCs w:val="24"/>
                <w:lang w:val="uk-UA"/>
              </w:rPr>
            </w:pPr>
            <w:r w:rsidRPr="00073F1C">
              <w:rPr>
                <w:sz w:val="24"/>
                <w:szCs w:val="24"/>
                <w:lang w:val="uk-UA"/>
              </w:rPr>
              <w:t>5</w:t>
            </w:r>
          </w:p>
        </w:tc>
        <w:tc>
          <w:tcPr>
            <w:tcW w:w="1508" w:type="dxa"/>
          </w:tcPr>
          <w:p w:rsidR="007C7BBA" w:rsidRPr="00073F1C" w:rsidRDefault="007C7BBA" w:rsidP="00B90BA0">
            <w:pPr>
              <w:jc w:val="center"/>
              <w:rPr>
                <w:sz w:val="24"/>
                <w:szCs w:val="24"/>
                <w:lang w:val="uk-UA"/>
              </w:rPr>
            </w:pPr>
            <w:r w:rsidRPr="00073F1C">
              <w:rPr>
                <w:sz w:val="24"/>
                <w:szCs w:val="24"/>
                <w:lang w:val="uk-UA"/>
              </w:rPr>
              <w:t>6</w:t>
            </w:r>
          </w:p>
        </w:tc>
        <w:tc>
          <w:tcPr>
            <w:tcW w:w="1388" w:type="dxa"/>
          </w:tcPr>
          <w:p w:rsidR="007C7BBA" w:rsidRPr="00073F1C" w:rsidRDefault="007C7BBA" w:rsidP="00B90BA0">
            <w:pPr>
              <w:jc w:val="center"/>
              <w:rPr>
                <w:sz w:val="24"/>
                <w:szCs w:val="24"/>
                <w:lang w:val="uk-UA"/>
              </w:rPr>
            </w:pPr>
            <w:r w:rsidRPr="00073F1C">
              <w:rPr>
                <w:sz w:val="24"/>
                <w:szCs w:val="24"/>
                <w:lang w:val="uk-UA"/>
              </w:rPr>
              <w:t>7</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Біфідобактерії</w:t>
            </w:r>
          </w:p>
        </w:tc>
        <w:tc>
          <w:tcPr>
            <w:tcW w:w="1364" w:type="dxa"/>
          </w:tcPr>
          <w:p w:rsidR="007C7BBA" w:rsidRPr="00AD70FC" w:rsidRDefault="007C7BBA" w:rsidP="00B90BA0">
            <w:pPr>
              <w:jc w:val="center"/>
              <w:rPr>
                <w:sz w:val="24"/>
                <w:lang w:val="uk-UA"/>
              </w:rPr>
            </w:pPr>
            <w:r w:rsidRPr="00AD70FC">
              <w:rPr>
                <w:sz w:val="24"/>
                <w:lang w:val="uk-UA"/>
              </w:rPr>
              <w:t>8,52±0,29</w:t>
            </w:r>
          </w:p>
          <w:p w:rsidR="007C7BBA" w:rsidRPr="00AD70FC" w:rsidRDefault="007C7BBA" w:rsidP="00B90BA0">
            <w:pPr>
              <w:jc w:val="center"/>
              <w:rPr>
                <w:sz w:val="24"/>
                <w:lang w:val="uk-UA"/>
              </w:rPr>
            </w:pPr>
            <w:r w:rsidRPr="00AD70FC">
              <w:rPr>
                <w:sz w:val="24"/>
                <w:lang w:val="uk-UA"/>
              </w:rPr>
              <w:t>(9,54±0,21)</w:t>
            </w:r>
          </w:p>
        </w:tc>
        <w:tc>
          <w:tcPr>
            <w:tcW w:w="1285" w:type="dxa"/>
          </w:tcPr>
          <w:p w:rsidR="007C7BBA" w:rsidRPr="00AD70FC" w:rsidRDefault="007C7BBA" w:rsidP="00B90BA0">
            <w:pPr>
              <w:jc w:val="center"/>
              <w:rPr>
                <w:sz w:val="24"/>
                <w:szCs w:val="24"/>
                <w:vertAlign w:val="superscript"/>
                <w:lang w:val="uk-UA"/>
              </w:rPr>
            </w:pPr>
            <w:r w:rsidRPr="00AD70FC">
              <w:rPr>
                <w:sz w:val="24"/>
                <w:szCs w:val="24"/>
                <w:lang w:val="uk-UA"/>
              </w:rPr>
              <w:t>8,77±0,22</w:t>
            </w:r>
            <w:r w:rsidRPr="00AD70FC">
              <w:rPr>
                <w:sz w:val="24"/>
                <w:szCs w:val="24"/>
                <w:vertAlign w:val="superscript"/>
                <w:lang w:val="uk-UA"/>
              </w:rPr>
              <w:t>2</w:t>
            </w:r>
          </w:p>
        </w:tc>
        <w:tc>
          <w:tcPr>
            <w:tcW w:w="1346" w:type="dxa"/>
          </w:tcPr>
          <w:p w:rsidR="007C7BBA" w:rsidRPr="00AD70FC" w:rsidRDefault="007C7BBA" w:rsidP="00B90BA0">
            <w:pPr>
              <w:jc w:val="center"/>
              <w:rPr>
                <w:sz w:val="24"/>
                <w:szCs w:val="24"/>
                <w:vertAlign w:val="superscript"/>
                <w:lang w:val="uk-UA"/>
              </w:rPr>
            </w:pPr>
            <w:r w:rsidRPr="00AD70FC">
              <w:rPr>
                <w:sz w:val="24"/>
                <w:szCs w:val="24"/>
                <w:lang w:val="uk-UA"/>
              </w:rPr>
              <w:t>9,26±0,32</w:t>
            </w:r>
            <w:r w:rsidRPr="00AD70FC">
              <w:rPr>
                <w:sz w:val="24"/>
                <w:szCs w:val="24"/>
                <w:vertAlign w:val="superscript"/>
                <w:lang w:val="uk-UA"/>
              </w:rPr>
              <w:t>3</w:t>
            </w:r>
          </w:p>
        </w:tc>
        <w:tc>
          <w:tcPr>
            <w:tcW w:w="1291" w:type="dxa"/>
          </w:tcPr>
          <w:p w:rsidR="007C7BBA" w:rsidRPr="00AD70FC" w:rsidRDefault="007C7BBA" w:rsidP="00B90BA0">
            <w:pPr>
              <w:jc w:val="center"/>
              <w:rPr>
                <w:sz w:val="24"/>
                <w:szCs w:val="24"/>
                <w:lang w:val="uk-UA"/>
              </w:rPr>
            </w:pPr>
            <w:r w:rsidRPr="00AD70FC">
              <w:rPr>
                <w:sz w:val="24"/>
                <w:szCs w:val="24"/>
                <w:lang w:val="uk-UA"/>
              </w:rPr>
              <w:t>7,24±0,30</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7,45±0,18</w:t>
            </w:r>
            <w:r w:rsidRPr="00AD70FC">
              <w:rPr>
                <w:sz w:val="24"/>
                <w:szCs w:val="24"/>
                <w:vertAlign w:val="superscript"/>
                <w:lang w:val="uk-UA"/>
              </w:rPr>
              <w:t>1,2,3</w:t>
            </w:r>
          </w:p>
        </w:tc>
        <w:tc>
          <w:tcPr>
            <w:tcW w:w="1388" w:type="dxa"/>
          </w:tcPr>
          <w:p w:rsidR="007C7BBA" w:rsidRPr="00AD70FC" w:rsidRDefault="007C7BBA" w:rsidP="00B90BA0">
            <w:pPr>
              <w:rPr>
                <w:sz w:val="24"/>
                <w:szCs w:val="24"/>
                <w:lang w:val="uk-UA"/>
              </w:rPr>
            </w:pPr>
            <w:r w:rsidRPr="00AD70FC">
              <w:rPr>
                <w:sz w:val="24"/>
                <w:szCs w:val="24"/>
                <w:lang w:val="uk-UA"/>
              </w:rPr>
              <w:t>8,60±0,21</w:t>
            </w:r>
            <w:r w:rsidRPr="00AD70FC">
              <w:rPr>
                <w:sz w:val="24"/>
                <w:szCs w:val="24"/>
                <w:vertAlign w:val="superscript"/>
                <w:lang w:val="uk-UA"/>
              </w:rPr>
              <w:t>2,3</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Лактобактерії</w:t>
            </w:r>
          </w:p>
        </w:tc>
        <w:tc>
          <w:tcPr>
            <w:tcW w:w="1364" w:type="dxa"/>
          </w:tcPr>
          <w:p w:rsidR="007C7BBA" w:rsidRPr="00AD70FC" w:rsidRDefault="007C7BBA" w:rsidP="00B90BA0">
            <w:pPr>
              <w:jc w:val="center"/>
              <w:rPr>
                <w:sz w:val="24"/>
                <w:lang w:val="uk-UA"/>
              </w:rPr>
            </w:pPr>
            <w:r w:rsidRPr="00AD70FC">
              <w:rPr>
                <w:sz w:val="24"/>
                <w:lang w:val="uk-UA"/>
              </w:rPr>
              <w:t>6,74±0,20</w:t>
            </w:r>
          </w:p>
          <w:p w:rsidR="007C7BBA" w:rsidRPr="00AD70FC" w:rsidRDefault="007C7BBA" w:rsidP="00B90BA0">
            <w:pPr>
              <w:jc w:val="center"/>
              <w:rPr>
                <w:sz w:val="24"/>
                <w:lang w:val="uk-UA"/>
              </w:rPr>
            </w:pPr>
            <w:r w:rsidRPr="00AD70FC">
              <w:rPr>
                <w:sz w:val="24"/>
                <w:lang w:val="uk-UA"/>
              </w:rPr>
              <w:t>(7,64±0,22)</w:t>
            </w:r>
          </w:p>
        </w:tc>
        <w:tc>
          <w:tcPr>
            <w:tcW w:w="1285" w:type="dxa"/>
          </w:tcPr>
          <w:p w:rsidR="007C7BBA" w:rsidRPr="00AD70FC" w:rsidRDefault="007C7BBA" w:rsidP="00B90BA0">
            <w:pPr>
              <w:jc w:val="center"/>
              <w:rPr>
                <w:sz w:val="24"/>
                <w:szCs w:val="24"/>
                <w:lang w:val="uk-UA"/>
              </w:rPr>
            </w:pPr>
            <w:r w:rsidRPr="00AD70FC">
              <w:rPr>
                <w:sz w:val="24"/>
                <w:szCs w:val="24"/>
                <w:lang w:val="uk-UA"/>
              </w:rPr>
              <w:t>7,01±0,38</w:t>
            </w:r>
          </w:p>
        </w:tc>
        <w:tc>
          <w:tcPr>
            <w:tcW w:w="1346" w:type="dxa"/>
          </w:tcPr>
          <w:p w:rsidR="007C7BBA" w:rsidRPr="00AD70FC" w:rsidRDefault="007C7BBA" w:rsidP="00B90BA0">
            <w:pPr>
              <w:jc w:val="center"/>
              <w:rPr>
                <w:sz w:val="24"/>
                <w:szCs w:val="24"/>
                <w:vertAlign w:val="superscript"/>
                <w:lang w:val="uk-UA"/>
              </w:rPr>
            </w:pPr>
            <w:r w:rsidRPr="00AD70FC">
              <w:rPr>
                <w:sz w:val="24"/>
                <w:szCs w:val="24"/>
                <w:lang w:val="uk-UA"/>
              </w:rPr>
              <w:t>7,56±0,34</w:t>
            </w:r>
            <w:r w:rsidRPr="00AD70FC">
              <w:rPr>
                <w:sz w:val="24"/>
                <w:szCs w:val="24"/>
                <w:vertAlign w:val="superscript"/>
                <w:lang w:val="uk-UA"/>
              </w:rPr>
              <w:t>3</w:t>
            </w:r>
          </w:p>
        </w:tc>
        <w:tc>
          <w:tcPr>
            <w:tcW w:w="1291" w:type="dxa"/>
          </w:tcPr>
          <w:p w:rsidR="007C7BBA" w:rsidRPr="00AD70FC" w:rsidRDefault="007C7BBA" w:rsidP="00B90BA0">
            <w:pPr>
              <w:jc w:val="center"/>
              <w:rPr>
                <w:sz w:val="24"/>
                <w:szCs w:val="24"/>
                <w:lang w:val="uk-UA"/>
              </w:rPr>
            </w:pPr>
            <w:r w:rsidRPr="00AD70FC">
              <w:rPr>
                <w:sz w:val="24"/>
                <w:szCs w:val="24"/>
                <w:lang w:val="uk-UA"/>
              </w:rPr>
              <w:t>6,15±0,24</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6,46±0,44</w:t>
            </w:r>
            <w:r w:rsidRPr="00AD70FC">
              <w:rPr>
                <w:sz w:val="24"/>
                <w:szCs w:val="24"/>
                <w:vertAlign w:val="superscript"/>
                <w:lang w:val="uk-UA"/>
              </w:rPr>
              <w:t>1,2</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7,06±0,34</w:t>
            </w:r>
            <w:r w:rsidRPr="00AD70FC">
              <w:rPr>
                <w:sz w:val="24"/>
                <w:szCs w:val="24"/>
                <w:vertAlign w:val="superscript"/>
                <w:lang w:val="uk-UA"/>
              </w:rPr>
              <w:t>3</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Нормальна кишкова паличка</w:t>
            </w:r>
          </w:p>
        </w:tc>
        <w:tc>
          <w:tcPr>
            <w:tcW w:w="1364" w:type="dxa"/>
          </w:tcPr>
          <w:p w:rsidR="007C7BBA" w:rsidRPr="00AD70FC" w:rsidRDefault="007C7BBA" w:rsidP="00B90BA0">
            <w:pPr>
              <w:jc w:val="center"/>
              <w:rPr>
                <w:sz w:val="24"/>
                <w:lang w:val="uk-UA"/>
              </w:rPr>
            </w:pPr>
            <w:r w:rsidRPr="00AD70FC">
              <w:rPr>
                <w:sz w:val="24"/>
                <w:lang w:val="uk-UA"/>
              </w:rPr>
              <w:t>7,48±0,38</w:t>
            </w:r>
          </w:p>
          <w:p w:rsidR="007C7BBA" w:rsidRPr="00AD70FC" w:rsidRDefault="007C7BBA" w:rsidP="00B90BA0">
            <w:pPr>
              <w:jc w:val="center"/>
              <w:rPr>
                <w:sz w:val="24"/>
                <w:lang w:val="uk-UA"/>
              </w:rPr>
            </w:pPr>
            <w:r w:rsidRPr="00AD70FC">
              <w:rPr>
                <w:sz w:val="24"/>
                <w:lang w:val="uk-UA"/>
              </w:rPr>
              <w:t>(8,30±0,16)</w:t>
            </w:r>
          </w:p>
        </w:tc>
        <w:tc>
          <w:tcPr>
            <w:tcW w:w="1285" w:type="dxa"/>
          </w:tcPr>
          <w:p w:rsidR="007C7BBA" w:rsidRPr="00AD70FC" w:rsidRDefault="007C7BBA" w:rsidP="00B90BA0">
            <w:pPr>
              <w:jc w:val="center"/>
              <w:rPr>
                <w:sz w:val="24"/>
                <w:szCs w:val="24"/>
                <w:vertAlign w:val="superscript"/>
                <w:lang w:val="uk-UA"/>
              </w:rPr>
            </w:pPr>
            <w:r w:rsidRPr="00AD70FC">
              <w:rPr>
                <w:sz w:val="24"/>
                <w:szCs w:val="24"/>
                <w:lang w:val="uk-UA"/>
              </w:rPr>
              <w:t>7,45±0,28</w:t>
            </w:r>
            <w:r w:rsidRPr="00AD70FC">
              <w:rPr>
                <w:sz w:val="24"/>
                <w:szCs w:val="24"/>
                <w:vertAlign w:val="superscript"/>
                <w:lang w:val="uk-UA"/>
              </w:rPr>
              <w:t>2</w:t>
            </w:r>
          </w:p>
        </w:tc>
        <w:tc>
          <w:tcPr>
            <w:tcW w:w="1346" w:type="dxa"/>
          </w:tcPr>
          <w:p w:rsidR="007C7BBA" w:rsidRPr="00AD70FC" w:rsidRDefault="007C7BBA" w:rsidP="00B90BA0">
            <w:pPr>
              <w:jc w:val="center"/>
              <w:rPr>
                <w:sz w:val="24"/>
                <w:szCs w:val="24"/>
                <w:lang w:val="uk-UA"/>
              </w:rPr>
            </w:pPr>
            <w:r w:rsidRPr="00AD70FC">
              <w:rPr>
                <w:sz w:val="24"/>
                <w:szCs w:val="24"/>
                <w:lang w:val="uk-UA"/>
              </w:rPr>
              <w:t>8,36±0,31</w:t>
            </w:r>
            <w:r w:rsidRPr="00AD70FC">
              <w:rPr>
                <w:sz w:val="24"/>
                <w:szCs w:val="24"/>
                <w:vertAlign w:val="superscript"/>
                <w:lang w:val="uk-UA"/>
              </w:rPr>
              <w:t>3</w:t>
            </w:r>
          </w:p>
        </w:tc>
        <w:tc>
          <w:tcPr>
            <w:tcW w:w="1291" w:type="dxa"/>
          </w:tcPr>
          <w:p w:rsidR="007C7BBA" w:rsidRPr="00AD70FC" w:rsidRDefault="007C7BBA" w:rsidP="00B90BA0">
            <w:pPr>
              <w:jc w:val="center"/>
              <w:rPr>
                <w:sz w:val="24"/>
                <w:szCs w:val="24"/>
                <w:lang w:val="uk-UA"/>
              </w:rPr>
            </w:pPr>
            <w:r w:rsidRPr="00AD70FC">
              <w:rPr>
                <w:sz w:val="24"/>
                <w:szCs w:val="24"/>
                <w:lang w:val="uk-UA"/>
              </w:rPr>
              <w:t>7,13±0,40</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7,23±0,36</w:t>
            </w:r>
            <w:r w:rsidRPr="00AD70FC">
              <w:rPr>
                <w:sz w:val="24"/>
                <w:szCs w:val="24"/>
                <w:vertAlign w:val="superscript"/>
                <w:lang w:val="uk-UA"/>
              </w:rPr>
              <w:t>1,2</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8,18±0,26</w:t>
            </w:r>
            <w:r w:rsidRPr="00AD70FC">
              <w:rPr>
                <w:sz w:val="24"/>
                <w:szCs w:val="24"/>
                <w:vertAlign w:val="superscript"/>
                <w:lang w:val="uk-UA"/>
              </w:rPr>
              <w:t>3</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 xml:space="preserve">Кишкові палички зі зниженими ферментативн. </w:t>
            </w:r>
            <w:r>
              <w:rPr>
                <w:sz w:val="24"/>
                <w:lang w:val="uk-UA"/>
              </w:rPr>
              <w:t>в</w:t>
            </w:r>
            <w:r w:rsidRPr="00AD70FC">
              <w:rPr>
                <w:sz w:val="24"/>
                <w:lang w:val="uk-UA"/>
              </w:rPr>
              <w:t>ластив</w:t>
            </w:r>
            <w:r>
              <w:rPr>
                <w:sz w:val="24"/>
                <w:lang w:val="uk-UA"/>
              </w:rPr>
              <w:t>.</w:t>
            </w:r>
            <w:r w:rsidRPr="00AD70FC">
              <w:rPr>
                <w:sz w:val="24"/>
                <w:lang w:val="uk-UA"/>
              </w:rPr>
              <w:t xml:space="preserve"> </w:t>
            </w:r>
          </w:p>
        </w:tc>
        <w:tc>
          <w:tcPr>
            <w:tcW w:w="1364" w:type="dxa"/>
          </w:tcPr>
          <w:p w:rsidR="007C7BBA" w:rsidRPr="00AD70FC" w:rsidRDefault="007C7BBA" w:rsidP="00B90BA0">
            <w:pPr>
              <w:jc w:val="center"/>
              <w:rPr>
                <w:sz w:val="24"/>
                <w:lang w:val="uk-UA"/>
              </w:rPr>
            </w:pPr>
            <w:r w:rsidRPr="00AD70FC">
              <w:rPr>
                <w:sz w:val="24"/>
                <w:lang w:val="uk-UA"/>
              </w:rPr>
              <w:t>5,42±0,25</w:t>
            </w:r>
          </w:p>
          <w:p w:rsidR="007C7BBA" w:rsidRPr="00AD70FC" w:rsidRDefault="007C7BBA" w:rsidP="00B90BA0">
            <w:pPr>
              <w:jc w:val="center"/>
              <w:rPr>
                <w:sz w:val="24"/>
                <w:lang w:val="uk-UA"/>
              </w:rPr>
            </w:pPr>
            <w:r w:rsidRPr="00AD70FC">
              <w:rPr>
                <w:sz w:val="24"/>
                <w:lang w:val="uk-UA"/>
              </w:rPr>
              <w:t>(4,78±0,28)</w:t>
            </w:r>
          </w:p>
        </w:tc>
        <w:tc>
          <w:tcPr>
            <w:tcW w:w="1285" w:type="dxa"/>
          </w:tcPr>
          <w:p w:rsidR="007C7BBA" w:rsidRPr="00AD70FC" w:rsidRDefault="007C7BBA" w:rsidP="00B90BA0">
            <w:pPr>
              <w:jc w:val="center"/>
              <w:rPr>
                <w:sz w:val="24"/>
                <w:szCs w:val="24"/>
                <w:vertAlign w:val="superscript"/>
                <w:lang w:val="uk-UA"/>
              </w:rPr>
            </w:pPr>
            <w:r w:rsidRPr="00AD70FC">
              <w:rPr>
                <w:sz w:val="24"/>
                <w:szCs w:val="24"/>
                <w:lang w:val="uk-UA"/>
              </w:rPr>
              <w:t>5,41±0,19</w:t>
            </w:r>
            <w:r w:rsidRPr="00AD70FC">
              <w:rPr>
                <w:sz w:val="24"/>
                <w:szCs w:val="24"/>
                <w:vertAlign w:val="superscript"/>
                <w:lang w:val="uk-UA"/>
              </w:rPr>
              <w:t>2</w:t>
            </w:r>
          </w:p>
        </w:tc>
        <w:tc>
          <w:tcPr>
            <w:tcW w:w="1346" w:type="dxa"/>
          </w:tcPr>
          <w:p w:rsidR="007C7BBA" w:rsidRPr="00AD70FC" w:rsidRDefault="007C7BBA" w:rsidP="00B90BA0">
            <w:pPr>
              <w:jc w:val="center"/>
              <w:rPr>
                <w:sz w:val="24"/>
                <w:szCs w:val="24"/>
                <w:vertAlign w:val="superscript"/>
                <w:lang w:val="uk-UA"/>
              </w:rPr>
            </w:pPr>
            <w:r w:rsidRPr="00AD70FC">
              <w:rPr>
                <w:sz w:val="24"/>
                <w:szCs w:val="24"/>
                <w:lang w:val="uk-UA"/>
              </w:rPr>
              <w:t>4,69±0,24</w:t>
            </w:r>
            <w:r w:rsidRPr="00AD70FC">
              <w:rPr>
                <w:sz w:val="24"/>
                <w:szCs w:val="24"/>
                <w:vertAlign w:val="superscript"/>
                <w:lang w:val="uk-UA"/>
              </w:rPr>
              <w:t>3</w:t>
            </w:r>
          </w:p>
        </w:tc>
        <w:tc>
          <w:tcPr>
            <w:tcW w:w="1291" w:type="dxa"/>
          </w:tcPr>
          <w:p w:rsidR="007C7BBA" w:rsidRPr="00AD70FC" w:rsidRDefault="007C7BBA" w:rsidP="00B90BA0">
            <w:pPr>
              <w:jc w:val="center"/>
              <w:rPr>
                <w:sz w:val="24"/>
                <w:szCs w:val="24"/>
                <w:lang w:val="uk-UA"/>
              </w:rPr>
            </w:pPr>
            <w:r w:rsidRPr="00AD70FC">
              <w:rPr>
                <w:sz w:val="24"/>
                <w:szCs w:val="24"/>
                <w:lang w:val="uk-UA"/>
              </w:rPr>
              <w:t>6,14±0,36</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6,16±0,28</w:t>
            </w:r>
            <w:r w:rsidRPr="00AD70FC">
              <w:rPr>
                <w:sz w:val="24"/>
                <w:szCs w:val="24"/>
                <w:vertAlign w:val="superscript"/>
                <w:lang w:val="uk-UA"/>
              </w:rPr>
              <w:t>1,2</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5,12±0,31</w:t>
            </w:r>
            <w:r w:rsidRPr="00AD70FC">
              <w:rPr>
                <w:sz w:val="24"/>
                <w:szCs w:val="24"/>
                <w:vertAlign w:val="superscript"/>
                <w:lang w:val="uk-UA"/>
              </w:rPr>
              <w:t>3</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Гемолітичні кишкові палички</w:t>
            </w:r>
          </w:p>
        </w:tc>
        <w:tc>
          <w:tcPr>
            <w:tcW w:w="1364" w:type="dxa"/>
          </w:tcPr>
          <w:p w:rsidR="007C7BBA" w:rsidRPr="00AD70FC" w:rsidRDefault="007C7BBA" w:rsidP="00B90BA0">
            <w:pPr>
              <w:jc w:val="center"/>
              <w:rPr>
                <w:sz w:val="24"/>
                <w:lang w:val="uk-UA"/>
              </w:rPr>
            </w:pPr>
            <w:r w:rsidRPr="00AD70FC">
              <w:rPr>
                <w:sz w:val="24"/>
                <w:lang w:val="uk-UA"/>
              </w:rPr>
              <w:t>5,45±0,42</w:t>
            </w:r>
          </w:p>
          <w:p w:rsidR="007C7BBA" w:rsidRPr="00AD70FC" w:rsidRDefault="007C7BBA" w:rsidP="00B90BA0">
            <w:pPr>
              <w:jc w:val="center"/>
              <w:rPr>
                <w:sz w:val="24"/>
                <w:lang w:val="uk-UA"/>
              </w:rPr>
            </w:pPr>
            <w:r w:rsidRPr="00AD70FC">
              <w:rPr>
                <w:sz w:val="24"/>
                <w:lang w:val="uk-UA"/>
              </w:rPr>
              <w:t>(відсутні)</w:t>
            </w:r>
          </w:p>
        </w:tc>
        <w:tc>
          <w:tcPr>
            <w:tcW w:w="1285" w:type="dxa"/>
          </w:tcPr>
          <w:p w:rsidR="007C7BBA" w:rsidRPr="00AD70FC" w:rsidRDefault="007C7BBA" w:rsidP="00B90BA0">
            <w:pPr>
              <w:jc w:val="center"/>
              <w:rPr>
                <w:sz w:val="24"/>
                <w:szCs w:val="24"/>
                <w:vertAlign w:val="superscript"/>
                <w:lang w:val="uk-UA"/>
              </w:rPr>
            </w:pPr>
            <w:r w:rsidRPr="00AD70FC">
              <w:rPr>
                <w:sz w:val="24"/>
                <w:szCs w:val="24"/>
                <w:lang w:val="uk-UA"/>
              </w:rPr>
              <w:t>3,81±0,22</w:t>
            </w:r>
            <w:r w:rsidRPr="00AD70FC">
              <w:rPr>
                <w:sz w:val="24"/>
                <w:szCs w:val="24"/>
                <w:vertAlign w:val="superscript"/>
                <w:lang w:val="uk-UA"/>
              </w:rPr>
              <w:t>3</w:t>
            </w:r>
          </w:p>
        </w:tc>
        <w:tc>
          <w:tcPr>
            <w:tcW w:w="1346" w:type="dxa"/>
          </w:tcPr>
          <w:p w:rsidR="007C7BBA" w:rsidRPr="00AD70FC" w:rsidRDefault="007C7BBA" w:rsidP="00B90BA0">
            <w:pPr>
              <w:jc w:val="center"/>
              <w:rPr>
                <w:sz w:val="24"/>
                <w:szCs w:val="24"/>
                <w:lang w:val="uk-UA"/>
              </w:rPr>
            </w:pPr>
            <w:r w:rsidRPr="00AD70FC">
              <w:rPr>
                <w:sz w:val="24"/>
                <w:szCs w:val="24"/>
                <w:lang w:val="uk-UA"/>
              </w:rPr>
              <w:t>-</w:t>
            </w:r>
          </w:p>
        </w:tc>
        <w:tc>
          <w:tcPr>
            <w:tcW w:w="1291" w:type="dxa"/>
          </w:tcPr>
          <w:p w:rsidR="007C7BBA" w:rsidRPr="00AD70FC" w:rsidRDefault="007C7BBA" w:rsidP="00B90BA0">
            <w:pPr>
              <w:jc w:val="center"/>
              <w:rPr>
                <w:sz w:val="24"/>
                <w:szCs w:val="24"/>
                <w:lang w:val="uk-UA"/>
              </w:rPr>
            </w:pPr>
            <w:r w:rsidRPr="00AD70FC">
              <w:rPr>
                <w:sz w:val="24"/>
                <w:szCs w:val="24"/>
                <w:lang w:val="uk-UA"/>
              </w:rPr>
              <w:t>6,85±0, 21</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5,70±0,34</w:t>
            </w:r>
            <w:r w:rsidRPr="00AD70FC">
              <w:rPr>
                <w:sz w:val="24"/>
                <w:szCs w:val="24"/>
                <w:vertAlign w:val="superscript"/>
                <w:lang w:val="uk-UA"/>
              </w:rPr>
              <w:t>1,2,3</w:t>
            </w:r>
          </w:p>
        </w:tc>
        <w:tc>
          <w:tcPr>
            <w:tcW w:w="1388" w:type="dxa"/>
          </w:tcPr>
          <w:p w:rsidR="007C7BBA" w:rsidRPr="00AD70FC" w:rsidRDefault="007C7BBA" w:rsidP="00B90BA0">
            <w:pPr>
              <w:jc w:val="center"/>
              <w:rPr>
                <w:sz w:val="24"/>
                <w:szCs w:val="24"/>
                <w:lang w:val="uk-UA"/>
              </w:rPr>
            </w:pPr>
            <w:r w:rsidRPr="00AD70FC">
              <w:rPr>
                <w:sz w:val="24"/>
                <w:szCs w:val="24"/>
                <w:lang w:val="uk-UA"/>
              </w:rPr>
              <w:t>-</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lastRenderedPageBreak/>
              <w:t>Протеї</w:t>
            </w:r>
          </w:p>
        </w:tc>
        <w:tc>
          <w:tcPr>
            <w:tcW w:w="1364" w:type="dxa"/>
          </w:tcPr>
          <w:p w:rsidR="007C7BBA" w:rsidRPr="00AD70FC" w:rsidRDefault="007C7BBA" w:rsidP="00B90BA0">
            <w:pPr>
              <w:jc w:val="center"/>
              <w:rPr>
                <w:sz w:val="24"/>
                <w:lang w:val="uk-UA"/>
              </w:rPr>
            </w:pPr>
            <w:r w:rsidRPr="00AD70FC">
              <w:rPr>
                <w:sz w:val="24"/>
                <w:lang w:val="uk-UA"/>
              </w:rPr>
              <w:t>4,21±0,28</w:t>
            </w:r>
          </w:p>
          <w:p w:rsidR="007C7BBA" w:rsidRPr="00AD70FC" w:rsidRDefault="007C7BBA" w:rsidP="00B90BA0">
            <w:pPr>
              <w:jc w:val="center"/>
              <w:rPr>
                <w:sz w:val="24"/>
                <w:lang w:val="uk-UA"/>
              </w:rPr>
            </w:pPr>
            <w:r w:rsidRPr="00AD70FC">
              <w:rPr>
                <w:sz w:val="24"/>
                <w:lang w:val="uk-UA"/>
              </w:rPr>
              <w:t>(3,28±0,32)</w:t>
            </w:r>
          </w:p>
        </w:tc>
        <w:tc>
          <w:tcPr>
            <w:tcW w:w="1285" w:type="dxa"/>
          </w:tcPr>
          <w:p w:rsidR="007C7BBA" w:rsidRPr="00AD70FC" w:rsidRDefault="007C7BBA" w:rsidP="00B90BA0">
            <w:pPr>
              <w:jc w:val="center"/>
              <w:rPr>
                <w:sz w:val="24"/>
                <w:szCs w:val="24"/>
                <w:lang w:val="uk-UA"/>
              </w:rPr>
            </w:pPr>
            <w:r w:rsidRPr="00AD70FC">
              <w:rPr>
                <w:sz w:val="24"/>
                <w:szCs w:val="24"/>
                <w:lang w:val="uk-UA"/>
              </w:rPr>
              <w:t>3,75±0,38</w:t>
            </w:r>
          </w:p>
        </w:tc>
        <w:tc>
          <w:tcPr>
            <w:tcW w:w="1346" w:type="dxa"/>
          </w:tcPr>
          <w:p w:rsidR="007C7BBA" w:rsidRPr="00AD70FC" w:rsidRDefault="007C7BBA" w:rsidP="00B90BA0">
            <w:pPr>
              <w:jc w:val="center"/>
              <w:rPr>
                <w:sz w:val="24"/>
                <w:szCs w:val="24"/>
                <w:lang w:val="uk-UA"/>
              </w:rPr>
            </w:pPr>
            <w:r w:rsidRPr="00AD70FC">
              <w:rPr>
                <w:sz w:val="24"/>
                <w:szCs w:val="24"/>
                <w:lang w:val="uk-UA"/>
              </w:rPr>
              <w:t>-</w:t>
            </w:r>
          </w:p>
        </w:tc>
        <w:tc>
          <w:tcPr>
            <w:tcW w:w="1291" w:type="dxa"/>
          </w:tcPr>
          <w:p w:rsidR="007C7BBA" w:rsidRPr="00AD70FC" w:rsidRDefault="007C7BBA" w:rsidP="00B90BA0">
            <w:pPr>
              <w:jc w:val="center"/>
              <w:rPr>
                <w:sz w:val="24"/>
                <w:szCs w:val="24"/>
                <w:lang w:val="uk-UA"/>
              </w:rPr>
            </w:pPr>
            <w:r w:rsidRPr="00AD70FC">
              <w:rPr>
                <w:sz w:val="24"/>
                <w:szCs w:val="24"/>
                <w:lang w:val="uk-UA"/>
              </w:rPr>
              <w:t>5,28±0,27</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4,53±0,28</w:t>
            </w:r>
            <w:r w:rsidRPr="00AD70FC">
              <w:rPr>
                <w:sz w:val="24"/>
                <w:szCs w:val="24"/>
                <w:vertAlign w:val="superscript"/>
                <w:lang w:val="uk-UA"/>
              </w:rPr>
              <w:t>2</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3,68±0,34</w:t>
            </w:r>
            <w:r w:rsidRPr="00AD70FC">
              <w:rPr>
                <w:sz w:val="24"/>
                <w:szCs w:val="24"/>
                <w:vertAlign w:val="superscript"/>
                <w:lang w:val="uk-UA"/>
              </w:rPr>
              <w:t>2,3</w:t>
            </w:r>
          </w:p>
        </w:tc>
      </w:tr>
      <w:tr w:rsidR="007C7BBA" w:rsidRPr="00AD70FC" w:rsidTr="00B90BA0">
        <w:tc>
          <w:tcPr>
            <w:tcW w:w="1955" w:type="dxa"/>
            <w:tcBorders>
              <w:bottom w:val="single" w:sz="4" w:space="0" w:color="auto"/>
            </w:tcBorders>
          </w:tcPr>
          <w:p w:rsidR="007C7BBA" w:rsidRPr="00AD70FC" w:rsidRDefault="007C7BBA" w:rsidP="00B90BA0">
            <w:pPr>
              <w:rPr>
                <w:sz w:val="24"/>
                <w:lang w:val="uk-UA"/>
              </w:rPr>
            </w:pPr>
            <w:r w:rsidRPr="00AD70FC">
              <w:rPr>
                <w:sz w:val="24"/>
                <w:lang w:val="uk-UA"/>
              </w:rPr>
              <w:t>Ентеробактер</w:t>
            </w:r>
          </w:p>
        </w:tc>
        <w:tc>
          <w:tcPr>
            <w:tcW w:w="1364" w:type="dxa"/>
            <w:tcBorders>
              <w:bottom w:val="single" w:sz="4" w:space="0" w:color="auto"/>
            </w:tcBorders>
          </w:tcPr>
          <w:p w:rsidR="007C7BBA" w:rsidRPr="00AD70FC" w:rsidRDefault="007C7BBA" w:rsidP="00B90BA0">
            <w:pPr>
              <w:jc w:val="center"/>
              <w:rPr>
                <w:sz w:val="24"/>
                <w:lang w:val="uk-UA"/>
              </w:rPr>
            </w:pPr>
            <w:r w:rsidRPr="00AD70FC">
              <w:rPr>
                <w:sz w:val="24"/>
                <w:lang w:val="uk-UA"/>
              </w:rPr>
              <w:t>7,13±0,30</w:t>
            </w:r>
          </w:p>
          <w:p w:rsidR="007C7BBA" w:rsidRPr="00AD70FC" w:rsidRDefault="007C7BBA" w:rsidP="00B90BA0">
            <w:pPr>
              <w:jc w:val="center"/>
              <w:rPr>
                <w:sz w:val="24"/>
                <w:lang w:val="uk-UA"/>
              </w:rPr>
            </w:pPr>
            <w:r w:rsidRPr="00AD70FC">
              <w:rPr>
                <w:sz w:val="24"/>
                <w:lang w:val="uk-UA"/>
              </w:rPr>
              <w:t>(відсутні)</w:t>
            </w:r>
          </w:p>
        </w:tc>
        <w:tc>
          <w:tcPr>
            <w:tcW w:w="1285" w:type="dxa"/>
            <w:tcBorders>
              <w:bottom w:val="single" w:sz="4" w:space="0" w:color="auto"/>
            </w:tcBorders>
          </w:tcPr>
          <w:p w:rsidR="007C7BBA" w:rsidRPr="00AD70FC" w:rsidRDefault="007C7BBA" w:rsidP="00B90BA0">
            <w:pPr>
              <w:jc w:val="center"/>
              <w:rPr>
                <w:sz w:val="24"/>
                <w:szCs w:val="24"/>
                <w:vertAlign w:val="superscript"/>
                <w:lang w:val="uk-UA"/>
              </w:rPr>
            </w:pPr>
            <w:r w:rsidRPr="00AD70FC">
              <w:rPr>
                <w:sz w:val="24"/>
                <w:szCs w:val="24"/>
                <w:lang w:val="uk-UA"/>
              </w:rPr>
              <w:t>6,05±0,29</w:t>
            </w:r>
            <w:r w:rsidRPr="00AD70FC">
              <w:rPr>
                <w:sz w:val="24"/>
                <w:szCs w:val="24"/>
                <w:vertAlign w:val="superscript"/>
                <w:lang w:val="uk-UA"/>
              </w:rPr>
              <w:t>3</w:t>
            </w:r>
          </w:p>
        </w:tc>
        <w:tc>
          <w:tcPr>
            <w:tcW w:w="1346"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w:t>
            </w:r>
          </w:p>
        </w:tc>
        <w:tc>
          <w:tcPr>
            <w:tcW w:w="1291"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8,22±0,34</w:t>
            </w:r>
          </w:p>
        </w:tc>
        <w:tc>
          <w:tcPr>
            <w:tcW w:w="1508" w:type="dxa"/>
            <w:tcBorders>
              <w:bottom w:val="single" w:sz="4" w:space="0" w:color="auto"/>
            </w:tcBorders>
          </w:tcPr>
          <w:p w:rsidR="007C7BBA" w:rsidRPr="00AD70FC" w:rsidRDefault="007C7BBA" w:rsidP="00B90BA0">
            <w:pPr>
              <w:jc w:val="center"/>
              <w:rPr>
                <w:sz w:val="24"/>
                <w:szCs w:val="24"/>
                <w:vertAlign w:val="superscript"/>
                <w:lang w:val="uk-UA"/>
              </w:rPr>
            </w:pPr>
            <w:r w:rsidRPr="00AD70FC">
              <w:rPr>
                <w:sz w:val="24"/>
                <w:szCs w:val="24"/>
                <w:lang w:val="uk-UA"/>
              </w:rPr>
              <w:t>7,01±0,41</w:t>
            </w:r>
            <w:r w:rsidRPr="00AD70FC">
              <w:rPr>
                <w:sz w:val="24"/>
                <w:szCs w:val="24"/>
                <w:vertAlign w:val="superscript"/>
                <w:lang w:val="uk-UA"/>
              </w:rPr>
              <w:t>1,2,3</w:t>
            </w:r>
          </w:p>
        </w:tc>
        <w:tc>
          <w:tcPr>
            <w:tcW w:w="1388"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 xml:space="preserve"> -</w:t>
            </w:r>
          </w:p>
        </w:tc>
      </w:tr>
      <w:tr w:rsidR="007C7BBA" w:rsidRPr="00AD70FC" w:rsidTr="00B90BA0">
        <w:tc>
          <w:tcPr>
            <w:tcW w:w="1955" w:type="dxa"/>
            <w:tcBorders>
              <w:bottom w:val="single" w:sz="4" w:space="0" w:color="auto"/>
            </w:tcBorders>
          </w:tcPr>
          <w:p w:rsidR="007C7BBA" w:rsidRPr="00AD70FC" w:rsidRDefault="007C7BBA" w:rsidP="00B90BA0">
            <w:pPr>
              <w:rPr>
                <w:sz w:val="24"/>
                <w:lang w:val="uk-UA"/>
              </w:rPr>
            </w:pPr>
            <w:r w:rsidRPr="00AD70FC">
              <w:rPr>
                <w:sz w:val="24"/>
                <w:lang w:val="uk-UA"/>
              </w:rPr>
              <w:t>Цитробактер</w:t>
            </w:r>
          </w:p>
        </w:tc>
        <w:tc>
          <w:tcPr>
            <w:tcW w:w="1364" w:type="dxa"/>
            <w:tcBorders>
              <w:bottom w:val="single" w:sz="4" w:space="0" w:color="auto"/>
            </w:tcBorders>
          </w:tcPr>
          <w:p w:rsidR="007C7BBA" w:rsidRPr="00AD70FC" w:rsidRDefault="007C7BBA" w:rsidP="00B90BA0">
            <w:pPr>
              <w:jc w:val="center"/>
              <w:rPr>
                <w:sz w:val="24"/>
                <w:lang w:val="uk-UA"/>
              </w:rPr>
            </w:pPr>
            <w:r w:rsidRPr="00AD70FC">
              <w:rPr>
                <w:sz w:val="24"/>
                <w:lang w:val="uk-UA"/>
              </w:rPr>
              <w:t>6,57±0,27</w:t>
            </w:r>
          </w:p>
          <w:p w:rsidR="007C7BBA" w:rsidRPr="00AD70FC" w:rsidRDefault="007C7BBA" w:rsidP="00B90BA0">
            <w:pPr>
              <w:jc w:val="center"/>
              <w:rPr>
                <w:sz w:val="24"/>
                <w:lang w:val="uk-UA"/>
              </w:rPr>
            </w:pPr>
            <w:r w:rsidRPr="00AD70FC">
              <w:rPr>
                <w:sz w:val="24"/>
                <w:lang w:val="uk-UA"/>
              </w:rPr>
              <w:t>(відсутні)</w:t>
            </w:r>
          </w:p>
        </w:tc>
        <w:tc>
          <w:tcPr>
            <w:tcW w:w="1285"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5,87±0,26</w:t>
            </w:r>
          </w:p>
        </w:tc>
        <w:tc>
          <w:tcPr>
            <w:tcW w:w="1346"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w:t>
            </w:r>
          </w:p>
        </w:tc>
        <w:tc>
          <w:tcPr>
            <w:tcW w:w="1291"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6,57±0,27</w:t>
            </w:r>
          </w:p>
        </w:tc>
        <w:tc>
          <w:tcPr>
            <w:tcW w:w="1508" w:type="dxa"/>
            <w:tcBorders>
              <w:bottom w:val="single" w:sz="4" w:space="0" w:color="auto"/>
            </w:tcBorders>
          </w:tcPr>
          <w:p w:rsidR="007C7BBA" w:rsidRPr="00AD70FC" w:rsidRDefault="007C7BBA" w:rsidP="00B90BA0">
            <w:pPr>
              <w:jc w:val="center"/>
              <w:rPr>
                <w:sz w:val="24"/>
                <w:szCs w:val="24"/>
                <w:vertAlign w:val="superscript"/>
                <w:lang w:val="uk-UA"/>
              </w:rPr>
            </w:pPr>
            <w:r w:rsidRPr="00AD70FC">
              <w:rPr>
                <w:sz w:val="24"/>
                <w:szCs w:val="24"/>
                <w:lang w:val="uk-UA"/>
              </w:rPr>
              <w:t>6,07±0,32</w:t>
            </w:r>
            <w:r w:rsidRPr="00AD70FC">
              <w:rPr>
                <w:sz w:val="24"/>
                <w:szCs w:val="24"/>
                <w:vertAlign w:val="superscript"/>
                <w:lang w:val="uk-UA"/>
              </w:rPr>
              <w:t>1,2,3</w:t>
            </w:r>
          </w:p>
        </w:tc>
        <w:tc>
          <w:tcPr>
            <w:tcW w:w="1388" w:type="dxa"/>
            <w:tcBorders>
              <w:bottom w:val="single" w:sz="4" w:space="0" w:color="auto"/>
            </w:tcBorders>
          </w:tcPr>
          <w:p w:rsidR="007C7BBA" w:rsidRPr="00AD70FC" w:rsidRDefault="007C7BBA" w:rsidP="00B90BA0">
            <w:pPr>
              <w:jc w:val="center"/>
              <w:rPr>
                <w:sz w:val="24"/>
                <w:szCs w:val="24"/>
                <w:lang w:val="uk-UA"/>
              </w:rPr>
            </w:pPr>
            <w:r w:rsidRPr="00AD70FC">
              <w:rPr>
                <w:sz w:val="24"/>
                <w:szCs w:val="24"/>
                <w:lang w:val="uk-UA"/>
              </w:rPr>
              <w:t xml:space="preserve"> -</w:t>
            </w:r>
          </w:p>
        </w:tc>
      </w:tr>
      <w:tr w:rsidR="007C7BBA" w:rsidRPr="00AD70FC" w:rsidTr="00B90BA0">
        <w:tc>
          <w:tcPr>
            <w:tcW w:w="10137" w:type="dxa"/>
            <w:gridSpan w:val="7"/>
            <w:tcBorders>
              <w:top w:val="nil"/>
              <w:left w:val="nil"/>
              <w:right w:val="nil"/>
            </w:tcBorders>
          </w:tcPr>
          <w:p w:rsidR="007C7BBA" w:rsidRPr="00DE1608" w:rsidRDefault="007C7BBA" w:rsidP="00B90BA0">
            <w:pPr>
              <w:jc w:val="right"/>
              <w:rPr>
                <w:i/>
                <w:sz w:val="28"/>
                <w:szCs w:val="28"/>
                <w:lang w:val="uk-UA"/>
              </w:rPr>
            </w:pPr>
            <w:r w:rsidRPr="00DE1608">
              <w:rPr>
                <w:i/>
                <w:sz w:val="28"/>
                <w:szCs w:val="28"/>
                <w:lang w:val="uk-UA"/>
              </w:rPr>
              <w:t>Продовж. табл. 3</w:t>
            </w:r>
          </w:p>
        </w:tc>
      </w:tr>
      <w:tr w:rsidR="007C7BBA" w:rsidRPr="00AD70FC" w:rsidTr="00B90BA0">
        <w:tc>
          <w:tcPr>
            <w:tcW w:w="1955" w:type="dxa"/>
          </w:tcPr>
          <w:p w:rsidR="007C7BBA" w:rsidRPr="00073F1C" w:rsidRDefault="007C7BBA" w:rsidP="00B90BA0">
            <w:pPr>
              <w:jc w:val="center"/>
              <w:rPr>
                <w:sz w:val="24"/>
                <w:szCs w:val="24"/>
                <w:lang w:val="uk-UA"/>
              </w:rPr>
            </w:pPr>
            <w:r w:rsidRPr="00073F1C">
              <w:rPr>
                <w:sz w:val="24"/>
                <w:szCs w:val="24"/>
                <w:lang w:val="uk-UA"/>
              </w:rPr>
              <w:t>1</w:t>
            </w:r>
          </w:p>
        </w:tc>
        <w:tc>
          <w:tcPr>
            <w:tcW w:w="1364" w:type="dxa"/>
          </w:tcPr>
          <w:p w:rsidR="007C7BBA" w:rsidRPr="00073F1C" w:rsidRDefault="007C7BBA" w:rsidP="00B90BA0">
            <w:pPr>
              <w:jc w:val="center"/>
              <w:rPr>
                <w:sz w:val="24"/>
                <w:szCs w:val="24"/>
                <w:lang w:val="uk-UA"/>
              </w:rPr>
            </w:pPr>
            <w:r w:rsidRPr="00073F1C">
              <w:rPr>
                <w:sz w:val="24"/>
                <w:szCs w:val="24"/>
                <w:lang w:val="uk-UA"/>
              </w:rPr>
              <w:t>2</w:t>
            </w:r>
          </w:p>
        </w:tc>
        <w:tc>
          <w:tcPr>
            <w:tcW w:w="1285" w:type="dxa"/>
          </w:tcPr>
          <w:p w:rsidR="007C7BBA" w:rsidRPr="00073F1C" w:rsidRDefault="007C7BBA" w:rsidP="00B90BA0">
            <w:pPr>
              <w:jc w:val="center"/>
              <w:rPr>
                <w:sz w:val="24"/>
                <w:szCs w:val="24"/>
                <w:lang w:val="uk-UA"/>
              </w:rPr>
            </w:pPr>
            <w:r w:rsidRPr="00073F1C">
              <w:rPr>
                <w:sz w:val="24"/>
                <w:szCs w:val="24"/>
                <w:lang w:val="uk-UA"/>
              </w:rPr>
              <w:t>3</w:t>
            </w:r>
          </w:p>
        </w:tc>
        <w:tc>
          <w:tcPr>
            <w:tcW w:w="1346" w:type="dxa"/>
          </w:tcPr>
          <w:p w:rsidR="007C7BBA" w:rsidRPr="00073F1C" w:rsidRDefault="007C7BBA" w:rsidP="00B90BA0">
            <w:pPr>
              <w:jc w:val="center"/>
              <w:rPr>
                <w:sz w:val="24"/>
                <w:szCs w:val="24"/>
                <w:lang w:val="uk-UA"/>
              </w:rPr>
            </w:pPr>
            <w:r w:rsidRPr="00073F1C">
              <w:rPr>
                <w:sz w:val="24"/>
                <w:szCs w:val="24"/>
                <w:lang w:val="uk-UA"/>
              </w:rPr>
              <w:t>4</w:t>
            </w:r>
          </w:p>
        </w:tc>
        <w:tc>
          <w:tcPr>
            <w:tcW w:w="1291" w:type="dxa"/>
          </w:tcPr>
          <w:p w:rsidR="007C7BBA" w:rsidRPr="00073F1C" w:rsidRDefault="007C7BBA" w:rsidP="00B90BA0">
            <w:pPr>
              <w:jc w:val="center"/>
              <w:rPr>
                <w:sz w:val="24"/>
                <w:szCs w:val="24"/>
                <w:lang w:val="uk-UA"/>
              </w:rPr>
            </w:pPr>
            <w:r w:rsidRPr="00073F1C">
              <w:rPr>
                <w:sz w:val="24"/>
                <w:szCs w:val="24"/>
                <w:lang w:val="uk-UA"/>
              </w:rPr>
              <w:t>5</w:t>
            </w:r>
          </w:p>
        </w:tc>
        <w:tc>
          <w:tcPr>
            <w:tcW w:w="1508" w:type="dxa"/>
          </w:tcPr>
          <w:p w:rsidR="007C7BBA" w:rsidRPr="00073F1C" w:rsidRDefault="007C7BBA" w:rsidP="00B90BA0">
            <w:pPr>
              <w:jc w:val="center"/>
              <w:rPr>
                <w:sz w:val="24"/>
                <w:szCs w:val="24"/>
                <w:lang w:val="uk-UA"/>
              </w:rPr>
            </w:pPr>
            <w:r w:rsidRPr="00073F1C">
              <w:rPr>
                <w:sz w:val="24"/>
                <w:szCs w:val="24"/>
                <w:lang w:val="uk-UA"/>
              </w:rPr>
              <w:t>6</w:t>
            </w:r>
          </w:p>
        </w:tc>
        <w:tc>
          <w:tcPr>
            <w:tcW w:w="1388" w:type="dxa"/>
          </w:tcPr>
          <w:p w:rsidR="007C7BBA" w:rsidRPr="00073F1C" w:rsidRDefault="007C7BBA" w:rsidP="00B90BA0">
            <w:pPr>
              <w:jc w:val="center"/>
              <w:rPr>
                <w:sz w:val="24"/>
                <w:szCs w:val="24"/>
                <w:lang w:val="uk-UA"/>
              </w:rPr>
            </w:pPr>
            <w:r w:rsidRPr="00073F1C">
              <w:rPr>
                <w:sz w:val="24"/>
                <w:szCs w:val="24"/>
                <w:lang w:val="uk-UA"/>
              </w:rPr>
              <w:t>7</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Клебсієла</w:t>
            </w:r>
          </w:p>
        </w:tc>
        <w:tc>
          <w:tcPr>
            <w:tcW w:w="1364" w:type="dxa"/>
          </w:tcPr>
          <w:p w:rsidR="007C7BBA" w:rsidRPr="00AD70FC" w:rsidRDefault="007C7BBA" w:rsidP="00B90BA0">
            <w:pPr>
              <w:jc w:val="center"/>
              <w:rPr>
                <w:sz w:val="24"/>
                <w:lang w:val="uk-UA"/>
              </w:rPr>
            </w:pPr>
            <w:r w:rsidRPr="00AD70FC">
              <w:rPr>
                <w:sz w:val="24"/>
                <w:lang w:val="uk-UA"/>
              </w:rPr>
              <w:t>5,54±0,26</w:t>
            </w:r>
          </w:p>
          <w:p w:rsidR="007C7BBA" w:rsidRPr="00AD70FC" w:rsidRDefault="007C7BBA" w:rsidP="00B90BA0">
            <w:pPr>
              <w:jc w:val="center"/>
              <w:rPr>
                <w:sz w:val="24"/>
                <w:lang w:val="uk-UA"/>
              </w:rPr>
            </w:pPr>
            <w:r w:rsidRPr="00AD70FC">
              <w:rPr>
                <w:sz w:val="24"/>
                <w:lang w:val="uk-UA"/>
              </w:rPr>
              <w:t>(відсутні)</w:t>
            </w:r>
          </w:p>
        </w:tc>
        <w:tc>
          <w:tcPr>
            <w:tcW w:w="1285" w:type="dxa"/>
          </w:tcPr>
          <w:p w:rsidR="007C7BBA" w:rsidRPr="00AD70FC" w:rsidRDefault="007C7BBA" w:rsidP="00B90BA0">
            <w:pPr>
              <w:jc w:val="center"/>
              <w:rPr>
                <w:sz w:val="24"/>
                <w:szCs w:val="24"/>
                <w:vertAlign w:val="superscript"/>
                <w:lang w:val="uk-UA"/>
              </w:rPr>
            </w:pPr>
            <w:r w:rsidRPr="00AD70FC">
              <w:rPr>
                <w:sz w:val="24"/>
                <w:szCs w:val="24"/>
                <w:lang w:val="uk-UA"/>
              </w:rPr>
              <w:t>5,09±0,33</w:t>
            </w:r>
            <w:r w:rsidRPr="00AD70FC">
              <w:rPr>
                <w:sz w:val="24"/>
                <w:szCs w:val="24"/>
                <w:vertAlign w:val="superscript"/>
                <w:lang w:val="uk-UA"/>
              </w:rPr>
              <w:t>3</w:t>
            </w:r>
          </w:p>
        </w:tc>
        <w:tc>
          <w:tcPr>
            <w:tcW w:w="1346" w:type="dxa"/>
          </w:tcPr>
          <w:p w:rsidR="007C7BBA" w:rsidRPr="00AD70FC" w:rsidRDefault="007C7BBA" w:rsidP="00B90BA0">
            <w:pPr>
              <w:jc w:val="center"/>
              <w:rPr>
                <w:sz w:val="24"/>
                <w:szCs w:val="24"/>
                <w:lang w:val="uk-UA"/>
              </w:rPr>
            </w:pPr>
            <w:r w:rsidRPr="00AD70FC">
              <w:rPr>
                <w:sz w:val="24"/>
                <w:szCs w:val="24"/>
                <w:lang w:val="uk-UA"/>
              </w:rPr>
              <w:t>-</w:t>
            </w:r>
          </w:p>
        </w:tc>
        <w:tc>
          <w:tcPr>
            <w:tcW w:w="1291" w:type="dxa"/>
          </w:tcPr>
          <w:p w:rsidR="007C7BBA" w:rsidRPr="00AD70FC" w:rsidRDefault="007C7BBA" w:rsidP="00B90BA0">
            <w:pPr>
              <w:jc w:val="center"/>
              <w:rPr>
                <w:sz w:val="24"/>
                <w:szCs w:val="24"/>
                <w:lang w:val="uk-UA"/>
              </w:rPr>
            </w:pPr>
            <w:r w:rsidRPr="00AD70FC">
              <w:rPr>
                <w:sz w:val="24"/>
                <w:szCs w:val="24"/>
                <w:lang w:val="uk-UA"/>
              </w:rPr>
              <w:t>6,16±0,31</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4,98±0,38</w:t>
            </w:r>
            <w:r w:rsidRPr="00AD70FC">
              <w:rPr>
                <w:sz w:val="24"/>
                <w:szCs w:val="24"/>
                <w:vertAlign w:val="superscript"/>
                <w:lang w:val="uk-UA"/>
              </w:rPr>
              <w:t>1,2,3</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2,11±0,37</w:t>
            </w:r>
            <w:r w:rsidRPr="00AD70FC">
              <w:rPr>
                <w:sz w:val="24"/>
                <w:szCs w:val="24"/>
                <w:vertAlign w:val="superscript"/>
                <w:lang w:val="uk-UA"/>
              </w:rPr>
              <w:t>2,3</w:t>
            </w:r>
          </w:p>
        </w:tc>
      </w:tr>
      <w:tr w:rsidR="007C7BBA" w:rsidRPr="00AD70FC" w:rsidTr="00B90BA0">
        <w:tc>
          <w:tcPr>
            <w:tcW w:w="1955" w:type="dxa"/>
          </w:tcPr>
          <w:p w:rsidR="007C7BBA" w:rsidRPr="00AD70FC" w:rsidRDefault="007C7BBA" w:rsidP="00B90BA0">
            <w:pPr>
              <w:rPr>
                <w:sz w:val="24"/>
                <w:lang w:val="uk-UA"/>
              </w:rPr>
            </w:pPr>
            <w:r w:rsidRPr="00AD70FC">
              <w:rPr>
                <w:sz w:val="24"/>
                <w:lang w:val="uk-UA"/>
              </w:rPr>
              <w:t>Гриби роду Candida</w:t>
            </w:r>
          </w:p>
        </w:tc>
        <w:tc>
          <w:tcPr>
            <w:tcW w:w="1364" w:type="dxa"/>
          </w:tcPr>
          <w:p w:rsidR="007C7BBA" w:rsidRPr="00AD70FC" w:rsidRDefault="007C7BBA" w:rsidP="00B90BA0">
            <w:pPr>
              <w:jc w:val="center"/>
              <w:rPr>
                <w:sz w:val="24"/>
                <w:lang w:val="uk-UA"/>
              </w:rPr>
            </w:pPr>
            <w:r w:rsidRPr="00AD70FC">
              <w:rPr>
                <w:sz w:val="24"/>
                <w:lang w:val="uk-UA"/>
              </w:rPr>
              <w:t>4,25±0,38</w:t>
            </w:r>
          </w:p>
          <w:p w:rsidR="007C7BBA" w:rsidRPr="00AD70FC" w:rsidRDefault="007C7BBA" w:rsidP="00B90BA0">
            <w:pPr>
              <w:jc w:val="center"/>
              <w:rPr>
                <w:sz w:val="24"/>
                <w:lang w:val="uk-UA"/>
              </w:rPr>
            </w:pPr>
            <w:r w:rsidRPr="00AD70FC">
              <w:rPr>
                <w:sz w:val="24"/>
                <w:lang w:val="uk-UA"/>
              </w:rPr>
              <w:t>(2,89±0,29)</w:t>
            </w:r>
          </w:p>
        </w:tc>
        <w:tc>
          <w:tcPr>
            <w:tcW w:w="1285" w:type="dxa"/>
          </w:tcPr>
          <w:p w:rsidR="007C7BBA" w:rsidRPr="00AD70FC" w:rsidRDefault="007C7BBA" w:rsidP="00B90BA0">
            <w:pPr>
              <w:jc w:val="center"/>
              <w:rPr>
                <w:sz w:val="24"/>
                <w:szCs w:val="24"/>
                <w:lang w:val="uk-UA"/>
              </w:rPr>
            </w:pPr>
            <w:r w:rsidRPr="00AD70FC">
              <w:rPr>
                <w:sz w:val="24"/>
                <w:szCs w:val="24"/>
                <w:lang w:val="uk-UA"/>
              </w:rPr>
              <w:t>3,38±0,22</w:t>
            </w:r>
          </w:p>
        </w:tc>
        <w:tc>
          <w:tcPr>
            <w:tcW w:w="1346" w:type="dxa"/>
          </w:tcPr>
          <w:p w:rsidR="007C7BBA" w:rsidRPr="00AD70FC" w:rsidRDefault="007C7BBA" w:rsidP="00B90BA0">
            <w:pPr>
              <w:jc w:val="center"/>
              <w:rPr>
                <w:sz w:val="24"/>
                <w:szCs w:val="24"/>
                <w:vertAlign w:val="superscript"/>
                <w:lang w:val="uk-UA"/>
              </w:rPr>
            </w:pPr>
            <w:r w:rsidRPr="00AD70FC">
              <w:rPr>
                <w:sz w:val="24"/>
                <w:szCs w:val="24"/>
                <w:lang w:val="uk-UA"/>
              </w:rPr>
              <w:t>3,01±0,27</w:t>
            </w:r>
            <w:r w:rsidRPr="00AD70FC">
              <w:rPr>
                <w:sz w:val="24"/>
                <w:szCs w:val="24"/>
                <w:vertAlign w:val="superscript"/>
                <w:lang w:val="uk-UA"/>
              </w:rPr>
              <w:t>3</w:t>
            </w:r>
          </w:p>
        </w:tc>
        <w:tc>
          <w:tcPr>
            <w:tcW w:w="1291" w:type="dxa"/>
          </w:tcPr>
          <w:p w:rsidR="007C7BBA" w:rsidRPr="00AD70FC" w:rsidRDefault="007C7BBA" w:rsidP="00B90BA0">
            <w:pPr>
              <w:jc w:val="center"/>
              <w:rPr>
                <w:sz w:val="24"/>
                <w:szCs w:val="24"/>
                <w:lang w:val="uk-UA"/>
              </w:rPr>
            </w:pPr>
            <w:r w:rsidRPr="00AD70FC">
              <w:rPr>
                <w:sz w:val="24"/>
                <w:szCs w:val="24"/>
                <w:lang w:val="uk-UA"/>
              </w:rPr>
              <w:t>5,32±0,23</w:t>
            </w:r>
          </w:p>
        </w:tc>
        <w:tc>
          <w:tcPr>
            <w:tcW w:w="1508" w:type="dxa"/>
          </w:tcPr>
          <w:p w:rsidR="007C7BBA" w:rsidRPr="00AD70FC" w:rsidRDefault="007C7BBA" w:rsidP="00B90BA0">
            <w:pPr>
              <w:jc w:val="center"/>
              <w:rPr>
                <w:sz w:val="24"/>
                <w:szCs w:val="24"/>
                <w:vertAlign w:val="superscript"/>
                <w:lang w:val="uk-UA"/>
              </w:rPr>
            </w:pPr>
            <w:r w:rsidRPr="00AD70FC">
              <w:rPr>
                <w:sz w:val="24"/>
                <w:szCs w:val="24"/>
                <w:lang w:val="uk-UA"/>
              </w:rPr>
              <w:t>4,71±0,31</w:t>
            </w:r>
            <w:r w:rsidRPr="00AD70FC">
              <w:rPr>
                <w:sz w:val="24"/>
                <w:szCs w:val="24"/>
                <w:vertAlign w:val="superscript"/>
                <w:lang w:val="uk-UA"/>
              </w:rPr>
              <w:t>1,2</w:t>
            </w:r>
          </w:p>
        </w:tc>
        <w:tc>
          <w:tcPr>
            <w:tcW w:w="1388" w:type="dxa"/>
          </w:tcPr>
          <w:p w:rsidR="007C7BBA" w:rsidRPr="00AD70FC" w:rsidRDefault="007C7BBA" w:rsidP="00B90BA0">
            <w:pPr>
              <w:jc w:val="center"/>
              <w:rPr>
                <w:sz w:val="24"/>
                <w:szCs w:val="24"/>
                <w:vertAlign w:val="superscript"/>
                <w:lang w:val="uk-UA"/>
              </w:rPr>
            </w:pPr>
            <w:r w:rsidRPr="00AD70FC">
              <w:rPr>
                <w:sz w:val="24"/>
                <w:szCs w:val="24"/>
                <w:lang w:val="uk-UA"/>
              </w:rPr>
              <w:t>3,28±0,30</w:t>
            </w:r>
            <w:r w:rsidRPr="00AD70FC">
              <w:rPr>
                <w:sz w:val="24"/>
                <w:szCs w:val="24"/>
                <w:vertAlign w:val="superscript"/>
                <w:lang w:val="uk-UA"/>
              </w:rPr>
              <w:t>3</w:t>
            </w:r>
          </w:p>
        </w:tc>
      </w:tr>
    </w:tbl>
    <w:p w:rsidR="007C7BBA" w:rsidRPr="00AD70FC" w:rsidRDefault="007C7BBA" w:rsidP="007C7BBA">
      <w:pPr>
        <w:widowControl w:val="0"/>
        <w:ind w:firstLine="360"/>
        <w:jc w:val="both"/>
        <w:rPr>
          <w:sz w:val="24"/>
          <w:szCs w:val="24"/>
          <w:lang w:val="uk-UA"/>
        </w:rPr>
      </w:pPr>
      <w:r w:rsidRPr="00AD70FC">
        <w:rPr>
          <w:sz w:val="24"/>
          <w:szCs w:val="24"/>
          <w:lang w:val="uk-UA"/>
        </w:rPr>
        <w:t>Пр</w:t>
      </w:r>
      <w:r>
        <w:rPr>
          <w:sz w:val="24"/>
          <w:szCs w:val="24"/>
          <w:lang w:val="uk-UA"/>
        </w:rPr>
        <w:t>имітки: 1). в дужках відображено</w:t>
      </w:r>
      <w:r w:rsidRPr="00AD70FC">
        <w:rPr>
          <w:sz w:val="24"/>
          <w:szCs w:val="24"/>
          <w:lang w:val="uk-UA"/>
        </w:rPr>
        <w:t xml:space="preserve"> дані контрольної групи;</w:t>
      </w:r>
    </w:p>
    <w:p w:rsidR="007C7BBA" w:rsidRPr="00AD70FC" w:rsidRDefault="007C7BBA" w:rsidP="007C7BBA">
      <w:pPr>
        <w:pStyle w:val="33"/>
        <w:tabs>
          <w:tab w:val="left" w:pos="1620"/>
        </w:tabs>
        <w:ind w:firstLine="360"/>
        <w:jc w:val="both"/>
        <w:rPr>
          <w:sz w:val="24"/>
          <w:szCs w:val="24"/>
        </w:rPr>
      </w:pPr>
      <w:r w:rsidRPr="00AD70FC">
        <w:rPr>
          <w:sz w:val="24"/>
          <w:szCs w:val="24"/>
        </w:rPr>
        <w:t xml:space="preserve">                   2). </w:t>
      </w:r>
      <w:r w:rsidRPr="00AD70FC">
        <w:rPr>
          <w:sz w:val="24"/>
          <w:szCs w:val="24"/>
          <w:vertAlign w:val="superscript"/>
        </w:rPr>
        <w:t xml:space="preserve">1 </w:t>
      </w:r>
      <w:r w:rsidRPr="00AD70FC">
        <w:rPr>
          <w:sz w:val="24"/>
          <w:szCs w:val="24"/>
        </w:rPr>
        <w:t xml:space="preserve">– достовірність відмінностей між підгрупами; </w:t>
      </w:r>
      <w:r w:rsidRPr="00AD70FC">
        <w:rPr>
          <w:sz w:val="24"/>
          <w:szCs w:val="24"/>
          <w:vertAlign w:val="superscript"/>
        </w:rPr>
        <w:t>2</w:t>
      </w:r>
      <w:r w:rsidRPr="00AD70FC">
        <w:rPr>
          <w:sz w:val="24"/>
          <w:szCs w:val="24"/>
        </w:rPr>
        <w:t xml:space="preserve"> – достовірність відмінн</w:t>
      </w:r>
      <w:r>
        <w:rPr>
          <w:sz w:val="24"/>
          <w:szCs w:val="24"/>
        </w:rPr>
        <w:t xml:space="preserve">остей між підгрупами хворих на </w:t>
      </w:r>
      <w:r w:rsidRPr="00AD70FC">
        <w:rPr>
          <w:sz w:val="24"/>
          <w:szCs w:val="24"/>
        </w:rPr>
        <w:t xml:space="preserve">ГА та контрольною групою; </w:t>
      </w:r>
      <w:r w:rsidRPr="00AD70FC">
        <w:rPr>
          <w:sz w:val="24"/>
          <w:szCs w:val="24"/>
          <w:vertAlign w:val="superscript"/>
        </w:rPr>
        <w:t>3</w:t>
      </w:r>
      <w:r w:rsidRPr="00AD70FC">
        <w:rPr>
          <w:sz w:val="24"/>
          <w:szCs w:val="24"/>
        </w:rPr>
        <w:t xml:space="preserve"> – достов</w:t>
      </w:r>
      <w:r>
        <w:rPr>
          <w:sz w:val="24"/>
          <w:szCs w:val="24"/>
        </w:rPr>
        <w:t xml:space="preserve">ірність відмінностей хворих на </w:t>
      </w:r>
      <w:r w:rsidRPr="00AD70FC">
        <w:rPr>
          <w:sz w:val="24"/>
          <w:szCs w:val="24"/>
        </w:rPr>
        <w:t>ГА до і після лікування.</w:t>
      </w:r>
    </w:p>
    <w:p w:rsidR="007C7BBA" w:rsidRPr="00AD70FC" w:rsidRDefault="007C7BBA" w:rsidP="007C7BBA">
      <w:pPr>
        <w:pStyle w:val="31"/>
        <w:spacing w:after="0"/>
        <w:ind w:left="0" w:firstLine="540"/>
        <w:jc w:val="both"/>
        <w:rPr>
          <w:sz w:val="28"/>
          <w:szCs w:val="28"/>
          <w:lang w:val="uk-UA"/>
        </w:rPr>
      </w:pPr>
      <w:r w:rsidRPr="00073F1C">
        <w:rPr>
          <w:sz w:val="28"/>
          <w:szCs w:val="28"/>
          <w:lang w:val="uk-UA"/>
        </w:rPr>
        <w:t>Рівень SIgA в копрофільтратах зменшується по мірі видужання хворих в усіх підгрупах дослідження, але не завжди досягаючи норми. В першій Б і другій Б</w:t>
      </w:r>
      <w:r>
        <w:rPr>
          <w:sz w:val="28"/>
          <w:szCs w:val="28"/>
          <w:lang w:val="uk-UA"/>
        </w:rPr>
        <w:t xml:space="preserve"> підгрупах</w:t>
      </w:r>
      <w:r w:rsidRPr="00AD70FC">
        <w:rPr>
          <w:sz w:val="28"/>
          <w:szCs w:val="28"/>
          <w:lang w:val="uk-UA"/>
        </w:rPr>
        <w:t xml:space="preserve"> </w:t>
      </w:r>
      <w:r>
        <w:rPr>
          <w:sz w:val="28"/>
          <w:szCs w:val="28"/>
          <w:lang w:val="uk-UA"/>
        </w:rPr>
        <w:t>зафіксовано</w:t>
      </w:r>
      <w:r w:rsidRPr="00AD70FC">
        <w:rPr>
          <w:sz w:val="28"/>
          <w:szCs w:val="28"/>
          <w:lang w:val="uk-UA"/>
        </w:rPr>
        <w:t xml:space="preserve"> нормалізаці</w:t>
      </w:r>
      <w:r>
        <w:rPr>
          <w:sz w:val="28"/>
          <w:szCs w:val="28"/>
          <w:lang w:val="uk-UA"/>
        </w:rPr>
        <w:t xml:space="preserve">ю </w:t>
      </w:r>
      <w:r w:rsidRPr="00AD70FC">
        <w:rPr>
          <w:sz w:val="28"/>
          <w:szCs w:val="28"/>
          <w:lang w:val="uk-UA"/>
        </w:rPr>
        <w:t>показників SIgA в копрофільтратах на 15</w:t>
      </w:r>
      <w:r>
        <w:rPr>
          <w:sz w:val="28"/>
          <w:szCs w:val="28"/>
          <w:lang w:val="uk-UA"/>
        </w:rPr>
        <w:t>–</w:t>
      </w:r>
      <w:r w:rsidRPr="00AD70FC">
        <w:rPr>
          <w:sz w:val="28"/>
          <w:szCs w:val="28"/>
          <w:lang w:val="uk-UA"/>
        </w:rPr>
        <w:t>16 день лікування (рис.</w:t>
      </w:r>
      <w:r>
        <w:rPr>
          <w:sz w:val="28"/>
          <w:szCs w:val="28"/>
          <w:lang w:val="uk-UA"/>
        </w:rPr>
        <w:t xml:space="preserve"> 2</w:t>
      </w:r>
      <w:r w:rsidRPr="00AD70FC">
        <w:rPr>
          <w:sz w:val="28"/>
          <w:szCs w:val="28"/>
          <w:lang w:val="uk-UA"/>
        </w:rPr>
        <w:t>).</w:t>
      </w:r>
    </w:p>
    <w:p w:rsidR="007C7BBA" w:rsidRPr="00AD70FC" w:rsidRDefault="007C7BBA" w:rsidP="007C7BBA">
      <w:pPr>
        <w:pStyle w:val="31"/>
        <w:spacing w:after="0"/>
        <w:ind w:left="0" w:firstLine="540"/>
        <w:jc w:val="both"/>
        <w:rPr>
          <w:sz w:val="28"/>
          <w:szCs w:val="28"/>
          <w:lang w:val="uk-UA"/>
        </w:rPr>
      </w:pPr>
      <w:r w:rsidRPr="00AD70FC">
        <w:rPr>
          <w:sz w:val="28"/>
          <w:szCs w:val="28"/>
          <w:lang w:val="uk-UA"/>
        </w:rPr>
        <w:t xml:space="preserve">Рівень SIgA у хворих </w:t>
      </w:r>
      <w:r>
        <w:rPr>
          <w:sz w:val="28"/>
          <w:szCs w:val="28"/>
          <w:lang w:val="uk-UA"/>
        </w:rPr>
        <w:t xml:space="preserve">першої </w:t>
      </w:r>
      <w:r w:rsidRPr="00AD70FC">
        <w:rPr>
          <w:sz w:val="28"/>
          <w:szCs w:val="28"/>
          <w:lang w:val="uk-UA"/>
        </w:rPr>
        <w:t xml:space="preserve">А підгрупи знизився в 1,73 рази, у осіб </w:t>
      </w:r>
      <w:r>
        <w:rPr>
          <w:sz w:val="28"/>
          <w:szCs w:val="28"/>
          <w:lang w:val="uk-UA"/>
        </w:rPr>
        <w:t xml:space="preserve">другої </w:t>
      </w:r>
      <w:r w:rsidRPr="00AD70FC">
        <w:rPr>
          <w:sz w:val="28"/>
          <w:szCs w:val="28"/>
          <w:lang w:val="uk-UA"/>
        </w:rPr>
        <w:t>А підгрупи – в 2,21 рази. Однак показники SIgA залишалис</w:t>
      </w:r>
      <w:r>
        <w:rPr>
          <w:sz w:val="28"/>
          <w:szCs w:val="28"/>
          <w:lang w:val="uk-UA"/>
        </w:rPr>
        <w:t>я</w:t>
      </w:r>
      <w:r w:rsidRPr="00AD70FC">
        <w:rPr>
          <w:sz w:val="28"/>
          <w:szCs w:val="28"/>
          <w:lang w:val="uk-UA"/>
        </w:rPr>
        <w:t xml:space="preserve"> достовірно підвищеними в обох підгрупах. </w:t>
      </w:r>
    </w:p>
    <w:p w:rsidR="007C7BBA" w:rsidRPr="00AD70FC" w:rsidRDefault="007C7BBA" w:rsidP="007C7BBA">
      <w:pPr>
        <w:pStyle w:val="31"/>
        <w:spacing w:after="0"/>
        <w:ind w:left="0" w:firstLine="540"/>
        <w:jc w:val="both"/>
        <w:rPr>
          <w:sz w:val="28"/>
          <w:szCs w:val="28"/>
          <w:lang w:val="uk-UA"/>
        </w:rPr>
      </w:pPr>
      <w:r w:rsidRPr="00AD70FC">
        <w:rPr>
          <w:sz w:val="28"/>
          <w:szCs w:val="28"/>
          <w:lang w:val="uk-UA"/>
        </w:rPr>
        <w:t>Таким чином, вміст SIgA в копрофільтратах як одного із показників, які відображають стан місцевого імунітету, залежить від популяційного рівня представників мікробіо</w:t>
      </w:r>
      <w:r>
        <w:rPr>
          <w:sz w:val="28"/>
          <w:szCs w:val="28"/>
          <w:lang w:val="uk-UA"/>
        </w:rPr>
        <w:t xml:space="preserve">ти кишечника, особливо УПМ. </w:t>
      </w:r>
    </w:p>
    <w:p w:rsidR="007C7BBA" w:rsidRPr="00AD70FC" w:rsidRDefault="007C7BBA" w:rsidP="007C7BBA">
      <w:pPr>
        <w:pStyle w:val="33"/>
        <w:ind w:firstLine="540"/>
        <w:jc w:val="both"/>
        <w:rPr>
          <w:sz w:val="28"/>
          <w:szCs w:val="28"/>
        </w:rPr>
      </w:pPr>
    </w:p>
    <w:p w:rsidR="007C7BBA" w:rsidRPr="00AD70FC" w:rsidRDefault="007C7BBA" w:rsidP="007C7BBA">
      <w:pPr>
        <w:pStyle w:val="31"/>
        <w:spacing w:after="0"/>
        <w:ind w:left="0"/>
        <w:jc w:val="center"/>
        <w:rPr>
          <w:sz w:val="28"/>
          <w:lang w:val="uk-UA"/>
        </w:rPr>
      </w:pPr>
      <w:r w:rsidRPr="00AD70FC">
        <w:rPr>
          <w:noProof/>
          <w:sz w:val="28"/>
        </w:rPr>
        <w:lastRenderedPageBreak/>
        <w:drawing>
          <wp:inline distT="0" distB="0" distL="0" distR="0">
            <wp:extent cx="3823970" cy="1828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D70FC">
        <w:rPr>
          <w:noProof/>
          <w:sz w:val="28"/>
        </w:rPr>
        <w:drawing>
          <wp:inline distT="0" distB="0" distL="0" distR="0">
            <wp:extent cx="3823970" cy="1828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7BBA" w:rsidRPr="00AD70FC" w:rsidRDefault="007C7BBA" w:rsidP="007C7BBA">
      <w:pPr>
        <w:pStyle w:val="31"/>
        <w:spacing w:after="0"/>
        <w:ind w:left="0"/>
        <w:jc w:val="center"/>
        <w:rPr>
          <w:sz w:val="28"/>
          <w:lang w:val="uk-UA"/>
        </w:rPr>
      </w:pPr>
      <w:r w:rsidRPr="00AD70FC">
        <w:rPr>
          <w:sz w:val="28"/>
          <w:lang w:val="uk-UA"/>
        </w:rPr>
        <w:t xml:space="preserve">Рис.2 Динаміка показників </w:t>
      </w:r>
      <w:r w:rsidRPr="00AD70FC">
        <w:rPr>
          <w:sz w:val="28"/>
          <w:szCs w:val="28"/>
          <w:lang w:val="uk-UA"/>
        </w:rPr>
        <w:t>SIgA (г/л) у</w:t>
      </w:r>
      <w:r>
        <w:rPr>
          <w:sz w:val="28"/>
          <w:lang w:val="uk-UA"/>
        </w:rPr>
        <w:t xml:space="preserve"> хворих на </w:t>
      </w:r>
      <w:r w:rsidRPr="00AD70FC">
        <w:rPr>
          <w:sz w:val="28"/>
          <w:lang w:val="uk-UA"/>
        </w:rPr>
        <w:t>ГА</w:t>
      </w:r>
    </w:p>
    <w:p w:rsidR="007C7BBA" w:rsidRPr="00AD70FC" w:rsidRDefault="007C7BBA" w:rsidP="007C7BBA">
      <w:pPr>
        <w:pStyle w:val="31"/>
        <w:spacing w:after="0"/>
        <w:ind w:left="360" w:firstLine="360"/>
        <w:jc w:val="center"/>
        <w:rPr>
          <w:sz w:val="28"/>
          <w:lang w:val="uk-UA"/>
        </w:rPr>
      </w:pPr>
      <w:r w:rsidRPr="00AD70FC">
        <w:rPr>
          <w:sz w:val="28"/>
          <w:lang w:val="uk-UA"/>
        </w:rPr>
        <w:t>залежно від схем лікування</w:t>
      </w:r>
    </w:p>
    <w:p w:rsidR="007C7BBA" w:rsidRDefault="007C7BBA" w:rsidP="007C7BBA">
      <w:pPr>
        <w:ind w:firstLine="540"/>
        <w:jc w:val="both"/>
        <w:rPr>
          <w:sz w:val="28"/>
          <w:lang w:val="uk-UA"/>
        </w:rPr>
      </w:pPr>
      <w:r>
        <w:rPr>
          <w:sz w:val="28"/>
          <w:lang w:val="uk-UA"/>
        </w:rPr>
        <w:t>У</w:t>
      </w:r>
      <w:r w:rsidRPr="00AD70FC">
        <w:rPr>
          <w:sz w:val="28"/>
          <w:lang w:val="uk-UA"/>
        </w:rPr>
        <w:t xml:space="preserve"> порівнянні </w:t>
      </w:r>
      <w:r>
        <w:rPr>
          <w:sz w:val="28"/>
          <w:lang w:val="uk-UA"/>
        </w:rPr>
        <w:t>з контрольною групою зафіксовано</w:t>
      </w:r>
      <w:r w:rsidRPr="00AD70FC">
        <w:rPr>
          <w:sz w:val="28"/>
          <w:lang w:val="uk-UA"/>
        </w:rPr>
        <w:t xml:space="preserve"> нормалізаці</w:t>
      </w:r>
      <w:r>
        <w:rPr>
          <w:sz w:val="28"/>
          <w:lang w:val="uk-UA"/>
        </w:rPr>
        <w:t>ю показників усіх БГФ в перші</w:t>
      </w:r>
      <w:r w:rsidRPr="00AD70FC">
        <w:rPr>
          <w:sz w:val="28"/>
          <w:lang w:val="uk-UA"/>
        </w:rPr>
        <w:t xml:space="preserve">й групі незалежно від способів лікування. Значення показників в </w:t>
      </w:r>
      <w:r>
        <w:rPr>
          <w:sz w:val="28"/>
          <w:lang w:val="uk-UA"/>
        </w:rPr>
        <w:t>пер</w:t>
      </w:r>
      <w:r w:rsidRPr="00F86C35">
        <w:rPr>
          <w:sz w:val="28"/>
          <w:lang w:val="uk-UA"/>
        </w:rPr>
        <w:t>шій А підгрупі були незначно вищими ніж в першій Б підгрупі (табл.4).</w:t>
      </w:r>
      <w:r w:rsidRPr="00DE1608">
        <w:rPr>
          <w:sz w:val="28"/>
          <w:lang w:val="uk-UA"/>
        </w:rPr>
        <w:t xml:space="preserve"> </w:t>
      </w:r>
    </w:p>
    <w:p w:rsidR="007C7BBA" w:rsidRPr="00F86C35" w:rsidRDefault="007C7BBA" w:rsidP="007C7BBA">
      <w:pPr>
        <w:ind w:firstLine="540"/>
        <w:jc w:val="both"/>
        <w:rPr>
          <w:sz w:val="28"/>
          <w:lang w:val="uk-UA"/>
        </w:rPr>
      </w:pPr>
      <w:r>
        <w:rPr>
          <w:sz w:val="28"/>
          <w:lang w:val="uk-UA"/>
        </w:rPr>
        <w:t xml:space="preserve">У другій </w:t>
      </w:r>
      <w:r w:rsidRPr="00AD70FC">
        <w:rPr>
          <w:sz w:val="28"/>
          <w:lang w:val="uk-UA"/>
        </w:rPr>
        <w:t>Б підгрупі також відмічен</w:t>
      </w:r>
      <w:r>
        <w:rPr>
          <w:sz w:val="28"/>
          <w:lang w:val="uk-UA"/>
        </w:rPr>
        <w:t>о нормалізацію</w:t>
      </w:r>
      <w:r w:rsidRPr="00AD70FC">
        <w:rPr>
          <w:sz w:val="28"/>
          <w:lang w:val="uk-UA"/>
        </w:rPr>
        <w:t xml:space="preserve"> усіх показників БГФ, в той час як у </w:t>
      </w:r>
      <w:r>
        <w:rPr>
          <w:sz w:val="28"/>
          <w:lang w:val="uk-UA"/>
        </w:rPr>
        <w:t xml:space="preserve">другій </w:t>
      </w:r>
      <w:r w:rsidRPr="00AD70FC">
        <w:rPr>
          <w:sz w:val="28"/>
          <w:lang w:val="uk-UA"/>
        </w:rPr>
        <w:t xml:space="preserve">А підгрупі її не наступило. Порівняння цих підгруп </w:t>
      </w:r>
      <w:r>
        <w:rPr>
          <w:sz w:val="28"/>
          <w:lang w:val="uk-UA"/>
        </w:rPr>
        <w:t>між собою показало достовірну (</w:t>
      </w:r>
      <w:r w:rsidRPr="00DE1608">
        <w:rPr>
          <w:i/>
          <w:sz w:val="28"/>
          <w:lang w:val="uk-UA"/>
        </w:rPr>
        <w:t>Р</w:t>
      </w:r>
      <w:r w:rsidRPr="00AD70FC">
        <w:rPr>
          <w:sz w:val="28"/>
          <w:lang w:val="uk-UA"/>
        </w:rPr>
        <w:t>&lt;0,05) різницю середніх рівнів СРБ і</w:t>
      </w:r>
      <w:r>
        <w:rPr>
          <w:sz w:val="28"/>
          <w:lang w:val="uk-UA"/>
        </w:rPr>
        <w:t xml:space="preserve"> ГГ та відсутність різниці ЦП (</w:t>
      </w:r>
      <w:r>
        <w:rPr>
          <w:i/>
          <w:sz w:val="28"/>
          <w:lang w:val="uk-UA"/>
        </w:rPr>
        <w:t>Р</w:t>
      </w:r>
      <w:r w:rsidRPr="00AD70FC">
        <w:rPr>
          <w:sz w:val="28"/>
          <w:lang w:val="uk-UA"/>
        </w:rPr>
        <w:t>&gt;0,05).</w:t>
      </w:r>
    </w:p>
    <w:p w:rsidR="007C7BBA" w:rsidRPr="00DE1608" w:rsidRDefault="007C7BBA" w:rsidP="007C7BBA">
      <w:pPr>
        <w:pStyle w:val="6"/>
        <w:ind w:firstLine="357"/>
        <w:jc w:val="right"/>
        <w:rPr>
          <w:b w:val="0"/>
          <w:i/>
        </w:rPr>
      </w:pPr>
      <w:r w:rsidRPr="00DE1608">
        <w:rPr>
          <w:b w:val="0"/>
          <w:i/>
        </w:rPr>
        <w:t>Таблиця 4</w:t>
      </w:r>
    </w:p>
    <w:p w:rsidR="007C7BBA" w:rsidRPr="00F86C35" w:rsidRDefault="007C7BBA" w:rsidP="007C7BBA">
      <w:pPr>
        <w:pStyle w:val="6"/>
        <w:ind w:firstLine="357"/>
        <w:jc w:val="center"/>
        <w:rPr>
          <w:b w:val="0"/>
        </w:rPr>
      </w:pPr>
      <w:r w:rsidRPr="00F86C35">
        <w:rPr>
          <w:b w:val="0"/>
        </w:rPr>
        <w:t>Динаміка БГФ у хворих на ГА в процесі лікування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2100"/>
        <w:gridCol w:w="2100"/>
        <w:gridCol w:w="2100"/>
      </w:tblGrid>
      <w:tr w:rsidR="007C7BBA" w:rsidRPr="00AD70FC" w:rsidTr="00B90BA0">
        <w:tblPrEx>
          <w:tblCellMar>
            <w:top w:w="0" w:type="dxa"/>
            <w:bottom w:w="0" w:type="dxa"/>
          </w:tblCellMar>
        </w:tblPrEx>
        <w:trPr>
          <w:trHeight w:val="434"/>
          <w:tblHeader/>
        </w:trPr>
        <w:tc>
          <w:tcPr>
            <w:tcW w:w="3780" w:type="dxa"/>
            <w:gridSpan w:val="2"/>
          </w:tcPr>
          <w:p w:rsidR="007C7BBA" w:rsidRPr="00AD70FC" w:rsidRDefault="007C7BBA" w:rsidP="00B90BA0">
            <w:pPr>
              <w:pStyle w:val="6"/>
              <w:jc w:val="center"/>
              <w:rPr>
                <w:b w:val="0"/>
                <w:sz w:val="24"/>
              </w:rPr>
            </w:pPr>
            <w:r w:rsidRPr="00AD70FC">
              <w:rPr>
                <w:b w:val="0"/>
                <w:sz w:val="24"/>
              </w:rPr>
              <w:t>Групи хворих</w:t>
            </w:r>
          </w:p>
        </w:tc>
        <w:tc>
          <w:tcPr>
            <w:tcW w:w="2100" w:type="dxa"/>
          </w:tcPr>
          <w:p w:rsidR="007C7BBA" w:rsidRPr="00AD70FC" w:rsidRDefault="007C7BBA" w:rsidP="00B90BA0">
            <w:pPr>
              <w:pStyle w:val="6"/>
              <w:jc w:val="center"/>
              <w:rPr>
                <w:b w:val="0"/>
                <w:sz w:val="24"/>
              </w:rPr>
            </w:pPr>
            <w:r w:rsidRPr="00AD70FC">
              <w:rPr>
                <w:b w:val="0"/>
                <w:sz w:val="24"/>
              </w:rPr>
              <w:t>СРБ (г/л)</w:t>
            </w:r>
          </w:p>
        </w:tc>
        <w:tc>
          <w:tcPr>
            <w:tcW w:w="2100" w:type="dxa"/>
          </w:tcPr>
          <w:p w:rsidR="007C7BBA" w:rsidRPr="00AD70FC" w:rsidRDefault="007C7BBA" w:rsidP="00B90BA0">
            <w:pPr>
              <w:pStyle w:val="6"/>
              <w:jc w:val="center"/>
              <w:rPr>
                <w:b w:val="0"/>
                <w:sz w:val="24"/>
              </w:rPr>
            </w:pPr>
            <w:r w:rsidRPr="00AD70FC">
              <w:rPr>
                <w:b w:val="0"/>
                <w:sz w:val="24"/>
              </w:rPr>
              <w:t>ГГ (г/л)</w:t>
            </w:r>
          </w:p>
        </w:tc>
        <w:tc>
          <w:tcPr>
            <w:tcW w:w="2100" w:type="dxa"/>
          </w:tcPr>
          <w:p w:rsidR="007C7BBA" w:rsidRPr="00AD70FC" w:rsidRDefault="007C7BBA" w:rsidP="00B90BA0">
            <w:pPr>
              <w:pStyle w:val="6"/>
              <w:jc w:val="center"/>
              <w:rPr>
                <w:b w:val="0"/>
                <w:sz w:val="24"/>
              </w:rPr>
            </w:pPr>
            <w:r w:rsidRPr="00AD70FC">
              <w:rPr>
                <w:b w:val="0"/>
                <w:sz w:val="24"/>
              </w:rPr>
              <w:t>ЦП (мг/л)</w:t>
            </w:r>
          </w:p>
        </w:tc>
      </w:tr>
      <w:tr w:rsidR="007C7BBA" w:rsidRPr="00AD70FC" w:rsidTr="00B90BA0">
        <w:tblPrEx>
          <w:tblCellMar>
            <w:top w:w="0" w:type="dxa"/>
            <w:bottom w:w="0" w:type="dxa"/>
          </w:tblCellMar>
        </w:tblPrEx>
        <w:trPr>
          <w:cantSplit/>
          <w:trHeight w:val="386"/>
        </w:trPr>
        <w:tc>
          <w:tcPr>
            <w:tcW w:w="720" w:type="dxa"/>
            <w:vMerge w:val="restart"/>
            <w:textDirection w:val="btLr"/>
          </w:tcPr>
          <w:p w:rsidR="007C7BBA" w:rsidRPr="00AD70FC" w:rsidRDefault="007C7BBA" w:rsidP="00B90BA0">
            <w:pPr>
              <w:pStyle w:val="6"/>
              <w:ind w:left="113" w:right="113"/>
              <w:jc w:val="center"/>
              <w:rPr>
                <w:b w:val="0"/>
                <w:sz w:val="24"/>
              </w:rPr>
            </w:pPr>
            <w:r>
              <w:rPr>
                <w:b w:val="0"/>
                <w:sz w:val="24"/>
              </w:rPr>
              <w:t>Перш</w:t>
            </w:r>
            <w:r w:rsidRPr="00AD70FC">
              <w:rPr>
                <w:b w:val="0"/>
                <w:sz w:val="24"/>
              </w:rPr>
              <w:t>а</w:t>
            </w:r>
          </w:p>
        </w:tc>
        <w:tc>
          <w:tcPr>
            <w:tcW w:w="3060" w:type="dxa"/>
          </w:tcPr>
          <w:p w:rsidR="007C7BBA" w:rsidRPr="00AD70FC" w:rsidRDefault="007C7BBA" w:rsidP="00B90BA0">
            <w:pPr>
              <w:pStyle w:val="6"/>
              <w:jc w:val="center"/>
              <w:rPr>
                <w:b w:val="0"/>
                <w:sz w:val="24"/>
              </w:rPr>
            </w:pPr>
            <w:r w:rsidRPr="00AD70FC">
              <w:rPr>
                <w:b w:val="0"/>
                <w:sz w:val="24"/>
              </w:rPr>
              <w:t>До лікування</w:t>
            </w:r>
          </w:p>
        </w:tc>
        <w:tc>
          <w:tcPr>
            <w:tcW w:w="2100" w:type="dxa"/>
          </w:tcPr>
          <w:p w:rsidR="007C7BBA" w:rsidRPr="00AD70FC" w:rsidRDefault="007C7BBA" w:rsidP="00B90BA0">
            <w:pPr>
              <w:jc w:val="center"/>
              <w:rPr>
                <w:bCs/>
                <w:sz w:val="24"/>
                <w:szCs w:val="24"/>
                <w:lang w:val="uk-UA"/>
              </w:rPr>
            </w:pPr>
            <w:r w:rsidRPr="00AD70FC">
              <w:rPr>
                <w:bCs/>
                <w:sz w:val="24"/>
                <w:szCs w:val="24"/>
                <w:lang w:val="uk-UA"/>
              </w:rPr>
              <w:t>19,57±0,05</w:t>
            </w:r>
          </w:p>
        </w:tc>
        <w:tc>
          <w:tcPr>
            <w:tcW w:w="2100" w:type="dxa"/>
          </w:tcPr>
          <w:p w:rsidR="007C7BBA" w:rsidRPr="00AD70FC" w:rsidRDefault="007C7BBA" w:rsidP="00B90BA0">
            <w:pPr>
              <w:jc w:val="center"/>
              <w:rPr>
                <w:bCs/>
                <w:sz w:val="24"/>
                <w:szCs w:val="24"/>
                <w:lang w:val="uk-UA"/>
              </w:rPr>
            </w:pPr>
            <w:r w:rsidRPr="00AD70FC">
              <w:rPr>
                <w:bCs/>
                <w:sz w:val="24"/>
                <w:szCs w:val="24"/>
                <w:lang w:val="uk-UA"/>
              </w:rPr>
              <w:t>1,98±0,09</w:t>
            </w:r>
          </w:p>
        </w:tc>
        <w:tc>
          <w:tcPr>
            <w:tcW w:w="2100" w:type="dxa"/>
          </w:tcPr>
          <w:p w:rsidR="007C7BBA" w:rsidRPr="00AD70FC" w:rsidRDefault="007C7BBA" w:rsidP="00B90BA0">
            <w:pPr>
              <w:jc w:val="center"/>
              <w:rPr>
                <w:bCs/>
                <w:sz w:val="24"/>
                <w:szCs w:val="24"/>
                <w:lang w:val="uk-UA"/>
              </w:rPr>
            </w:pPr>
            <w:r w:rsidRPr="00AD70FC">
              <w:rPr>
                <w:bCs/>
                <w:sz w:val="24"/>
                <w:szCs w:val="24"/>
                <w:lang w:val="uk-UA"/>
              </w:rPr>
              <w:t>556,38±16,70</w:t>
            </w:r>
          </w:p>
        </w:tc>
      </w:tr>
      <w:tr w:rsidR="007C7BBA" w:rsidRPr="00AD70FC" w:rsidTr="00B90BA0">
        <w:tblPrEx>
          <w:tblCellMar>
            <w:top w:w="0" w:type="dxa"/>
            <w:bottom w:w="0" w:type="dxa"/>
          </w:tblCellMar>
        </w:tblPrEx>
        <w:trPr>
          <w:cantSplit/>
          <w:trHeight w:val="517"/>
        </w:trPr>
        <w:tc>
          <w:tcPr>
            <w:tcW w:w="720" w:type="dxa"/>
            <w:vMerge/>
          </w:tcPr>
          <w:p w:rsidR="007C7BBA" w:rsidRPr="00AD70FC" w:rsidRDefault="007C7BBA" w:rsidP="00B90BA0">
            <w:pPr>
              <w:pStyle w:val="6"/>
              <w:jc w:val="center"/>
              <w:rPr>
                <w:b w:val="0"/>
                <w:sz w:val="24"/>
              </w:rPr>
            </w:pPr>
          </w:p>
        </w:tc>
        <w:tc>
          <w:tcPr>
            <w:tcW w:w="3060" w:type="dxa"/>
          </w:tcPr>
          <w:p w:rsidR="007C7BBA" w:rsidRPr="00AD70FC" w:rsidRDefault="007C7BBA" w:rsidP="00B90BA0">
            <w:pPr>
              <w:pStyle w:val="6"/>
              <w:jc w:val="center"/>
              <w:rPr>
                <w:b w:val="0"/>
                <w:sz w:val="24"/>
              </w:rPr>
            </w:pPr>
            <w:r w:rsidRPr="00AD70FC">
              <w:rPr>
                <w:b w:val="0"/>
                <w:sz w:val="24"/>
              </w:rPr>
              <w:t>1А підгрупа (</w:t>
            </w:r>
            <w:r w:rsidRPr="00302A87">
              <w:rPr>
                <w:b w:val="0"/>
                <w:i/>
                <w:sz w:val="24"/>
              </w:rPr>
              <w:t>n</w:t>
            </w:r>
            <w:r w:rsidRPr="00AD70FC">
              <w:rPr>
                <w:b w:val="0"/>
                <w:sz w:val="24"/>
              </w:rPr>
              <w:t>=20)</w:t>
            </w:r>
          </w:p>
        </w:tc>
        <w:tc>
          <w:tcPr>
            <w:tcW w:w="2100" w:type="dxa"/>
          </w:tcPr>
          <w:p w:rsidR="007C7BBA" w:rsidRPr="00AD70FC" w:rsidRDefault="007C7BBA" w:rsidP="00B90BA0">
            <w:pPr>
              <w:jc w:val="center"/>
              <w:rPr>
                <w:bCs/>
                <w:sz w:val="24"/>
                <w:szCs w:val="24"/>
                <w:lang w:val="uk-UA"/>
              </w:rPr>
            </w:pPr>
            <w:r w:rsidRPr="00AD70FC">
              <w:rPr>
                <w:bCs/>
                <w:sz w:val="24"/>
                <w:szCs w:val="24"/>
                <w:lang w:val="uk-UA"/>
              </w:rPr>
              <w:t>3,04±0,223</w:t>
            </w:r>
          </w:p>
        </w:tc>
        <w:tc>
          <w:tcPr>
            <w:tcW w:w="2100" w:type="dxa"/>
          </w:tcPr>
          <w:p w:rsidR="007C7BBA" w:rsidRPr="00AD70FC" w:rsidRDefault="007C7BBA" w:rsidP="00B90BA0">
            <w:pPr>
              <w:jc w:val="center"/>
              <w:rPr>
                <w:bCs/>
                <w:sz w:val="24"/>
                <w:szCs w:val="24"/>
                <w:lang w:val="uk-UA"/>
              </w:rPr>
            </w:pPr>
            <w:r w:rsidRPr="00AD70FC">
              <w:rPr>
                <w:bCs/>
                <w:sz w:val="24"/>
                <w:szCs w:val="24"/>
                <w:lang w:val="uk-UA"/>
              </w:rPr>
              <w:t>1,22±0,151,3</w:t>
            </w:r>
          </w:p>
        </w:tc>
        <w:tc>
          <w:tcPr>
            <w:tcW w:w="2100" w:type="dxa"/>
          </w:tcPr>
          <w:p w:rsidR="007C7BBA" w:rsidRPr="00AD70FC" w:rsidRDefault="007C7BBA" w:rsidP="00B90BA0">
            <w:pPr>
              <w:jc w:val="center"/>
              <w:rPr>
                <w:bCs/>
                <w:sz w:val="24"/>
                <w:szCs w:val="24"/>
                <w:lang w:val="uk-UA"/>
              </w:rPr>
            </w:pPr>
            <w:r w:rsidRPr="00AD70FC">
              <w:rPr>
                <w:bCs/>
                <w:sz w:val="24"/>
                <w:szCs w:val="24"/>
                <w:lang w:val="uk-UA"/>
              </w:rPr>
              <w:t>380,88±19,201,3</w:t>
            </w:r>
          </w:p>
        </w:tc>
      </w:tr>
      <w:tr w:rsidR="007C7BBA" w:rsidRPr="00AD70FC" w:rsidTr="00B90BA0">
        <w:tblPrEx>
          <w:tblCellMar>
            <w:top w:w="0" w:type="dxa"/>
            <w:bottom w:w="0" w:type="dxa"/>
          </w:tblCellMar>
        </w:tblPrEx>
        <w:trPr>
          <w:cantSplit/>
          <w:trHeight w:val="469"/>
        </w:trPr>
        <w:tc>
          <w:tcPr>
            <w:tcW w:w="720" w:type="dxa"/>
            <w:vMerge/>
          </w:tcPr>
          <w:p w:rsidR="007C7BBA" w:rsidRPr="00AD70FC" w:rsidRDefault="007C7BBA" w:rsidP="00B90BA0">
            <w:pPr>
              <w:pStyle w:val="6"/>
              <w:jc w:val="center"/>
              <w:rPr>
                <w:b w:val="0"/>
                <w:sz w:val="24"/>
              </w:rPr>
            </w:pPr>
          </w:p>
        </w:tc>
        <w:tc>
          <w:tcPr>
            <w:tcW w:w="3060" w:type="dxa"/>
          </w:tcPr>
          <w:p w:rsidR="007C7BBA" w:rsidRPr="00AD70FC" w:rsidRDefault="007C7BBA" w:rsidP="00B90BA0">
            <w:pPr>
              <w:pStyle w:val="6"/>
              <w:jc w:val="center"/>
              <w:rPr>
                <w:b w:val="0"/>
                <w:sz w:val="24"/>
              </w:rPr>
            </w:pPr>
            <w:r w:rsidRPr="00AD70FC">
              <w:rPr>
                <w:b w:val="0"/>
                <w:sz w:val="24"/>
              </w:rPr>
              <w:t>1Б підгрупа (</w:t>
            </w:r>
            <w:r w:rsidRPr="00302A87">
              <w:rPr>
                <w:b w:val="0"/>
                <w:i/>
                <w:sz w:val="24"/>
              </w:rPr>
              <w:t>n</w:t>
            </w:r>
            <w:r w:rsidRPr="00AD70FC">
              <w:rPr>
                <w:b w:val="0"/>
                <w:sz w:val="24"/>
              </w:rPr>
              <w:t xml:space="preserve">=36) </w:t>
            </w:r>
          </w:p>
        </w:tc>
        <w:tc>
          <w:tcPr>
            <w:tcW w:w="2100" w:type="dxa"/>
          </w:tcPr>
          <w:p w:rsidR="007C7BBA" w:rsidRPr="00AD70FC" w:rsidRDefault="007C7BBA" w:rsidP="00B90BA0">
            <w:pPr>
              <w:jc w:val="center"/>
              <w:rPr>
                <w:bCs/>
                <w:sz w:val="24"/>
                <w:szCs w:val="24"/>
                <w:lang w:val="uk-UA"/>
              </w:rPr>
            </w:pPr>
            <w:r w:rsidRPr="00AD70FC">
              <w:rPr>
                <w:bCs/>
                <w:sz w:val="24"/>
                <w:szCs w:val="24"/>
                <w:lang w:val="uk-UA"/>
              </w:rPr>
              <w:t>2,87±0,323</w:t>
            </w:r>
          </w:p>
        </w:tc>
        <w:tc>
          <w:tcPr>
            <w:tcW w:w="2100" w:type="dxa"/>
          </w:tcPr>
          <w:p w:rsidR="007C7BBA" w:rsidRPr="00AD70FC" w:rsidRDefault="007C7BBA" w:rsidP="00B90BA0">
            <w:pPr>
              <w:jc w:val="center"/>
              <w:rPr>
                <w:bCs/>
                <w:sz w:val="24"/>
                <w:szCs w:val="24"/>
                <w:lang w:val="uk-UA"/>
              </w:rPr>
            </w:pPr>
            <w:r w:rsidRPr="00AD70FC">
              <w:rPr>
                <w:bCs/>
                <w:sz w:val="24"/>
                <w:szCs w:val="24"/>
                <w:lang w:val="uk-UA"/>
              </w:rPr>
              <w:t>0,95±0,073</w:t>
            </w:r>
          </w:p>
        </w:tc>
        <w:tc>
          <w:tcPr>
            <w:tcW w:w="2100" w:type="dxa"/>
          </w:tcPr>
          <w:p w:rsidR="007C7BBA" w:rsidRPr="00AD70FC" w:rsidRDefault="007C7BBA" w:rsidP="00B90BA0">
            <w:pPr>
              <w:jc w:val="center"/>
              <w:rPr>
                <w:bCs/>
                <w:sz w:val="24"/>
                <w:szCs w:val="24"/>
                <w:lang w:val="uk-UA"/>
              </w:rPr>
            </w:pPr>
            <w:r w:rsidRPr="00AD70FC">
              <w:rPr>
                <w:bCs/>
                <w:sz w:val="24"/>
                <w:szCs w:val="24"/>
                <w:lang w:val="uk-UA"/>
              </w:rPr>
              <w:t>348,12±21,403</w:t>
            </w:r>
          </w:p>
        </w:tc>
      </w:tr>
      <w:tr w:rsidR="007C7BBA" w:rsidRPr="00AD70FC" w:rsidTr="00B90BA0">
        <w:tblPrEx>
          <w:tblCellMar>
            <w:top w:w="0" w:type="dxa"/>
            <w:bottom w:w="0" w:type="dxa"/>
          </w:tblCellMar>
        </w:tblPrEx>
        <w:trPr>
          <w:cantSplit/>
          <w:trHeight w:val="435"/>
        </w:trPr>
        <w:tc>
          <w:tcPr>
            <w:tcW w:w="720" w:type="dxa"/>
            <w:vMerge w:val="restart"/>
            <w:textDirection w:val="btLr"/>
          </w:tcPr>
          <w:p w:rsidR="007C7BBA" w:rsidRPr="00AD70FC" w:rsidRDefault="007C7BBA" w:rsidP="00B90BA0">
            <w:pPr>
              <w:pStyle w:val="6"/>
              <w:ind w:left="113" w:right="113"/>
              <w:jc w:val="center"/>
              <w:rPr>
                <w:b w:val="0"/>
                <w:sz w:val="24"/>
              </w:rPr>
            </w:pPr>
            <w:r>
              <w:rPr>
                <w:b w:val="0"/>
                <w:sz w:val="24"/>
              </w:rPr>
              <w:t>Друг</w:t>
            </w:r>
            <w:r w:rsidRPr="00AD70FC">
              <w:rPr>
                <w:b w:val="0"/>
                <w:sz w:val="24"/>
              </w:rPr>
              <w:t>а</w:t>
            </w:r>
          </w:p>
        </w:tc>
        <w:tc>
          <w:tcPr>
            <w:tcW w:w="3060" w:type="dxa"/>
          </w:tcPr>
          <w:p w:rsidR="007C7BBA" w:rsidRPr="00AD70FC" w:rsidRDefault="007C7BBA" w:rsidP="00B90BA0">
            <w:pPr>
              <w:pStyle w:val="6"/>
              <w:jc w:val="center"/>
              <w:rPr>
                <w:b w:val="0"/>
                <w:sz w:val="24"/>
              </w:rPr>
            </w:pPr>
            <w:r w:rsidRPr="00AD70FC">
              <w:rPr>
                <w:b w:val="0"/>
                <w:sz w:val="24"/>
              </w:rPr>
              <w:t>До лікування</w:t>
            </w:r>
          </w:p>
        </w:tc>
        <w:tc>
          <w:tcPr>
            <w:tcW w:w="2100" w:type="dxa"/>
          </w:tcPr>
          <w:p w:rsidR="007C7BBA" w:rsidRPr="00AD70FC" w:rsidRDefault="007C7BBA" w:rsidP="00B90BA0">
            <w:pPr>
              <w:jc w:val="center"/>
              <w:rPr>
                <w:bCs/>
                <w:sz w:val="24"/>
                <w:szCs w:val="24"/>
                <w:lang w:val="uk-UA"/>
              </w:rPr>
            </w:pPr>
            <w:r w:rsidRPr="00AD70FC">
              <w:rPr>
                <w:bCs/>
                <w:sz w:val="24"/>
                <w:szCs w:val="24"/>
                <w:lang w:val="uk-UA"/>
              </w:rPr>
              <w:t>40,30±1,35</w:t>
            </w:r>
          </w:p>
        </w:tc>
        <w:tc>
          <w:tcPr>
            <w:tcW w:w="2100" w:type="dxa"/>
          </w:tcPr>
          <w:p w:rsidR="007C7BBA" w:rsidRPr="00AD70FC" w:rsidRDefault="007C7BBA" w:rsidP="00B90BA0">
            <w:pPr>
              <w:jc w:val="center"/>
              <w:rPr>
                <w:bCs/>
                <w:sz w:val="24"/>
                <w:szCs w:val="24"/>
                <w:lang w:val="uk-UA"/>
              </w:rPr>
            </w:pPr>
            <w:r w:rsidRPr="00AD70FC">
              <w:rPr>
                <w:bCs/>
                <w:sz w:val="24"/>
                <w:szCs w:val="24"/>
                <w:lang w:val="uk-UA"/>
              </w:rPr>
              <w:t>2,31±0,07</w:t>
            </w:r>
          </w:p>
        </w:tc>
        <w:tc>
          <w:tcPr>
            <w:tcW w:w="2100" w:type="dxa"/>
          </w:tcPr>
          <w:p w:rsidR="007C7BBA" w:rsidRPr="00AD70FC" w:rsidRDefault="007C7BBA" w:rsidP="00B90BA0">
            <w:pPr>
              <w:jc w:val="center"/>
              <w:rPr>
                <w:bCs/>
                <w:sz w:val="24"/>
                <w:szCs w:val="24"/>
                <w:lang w:val="uk-UA"/>
              </w:rPr>
            </w:pPr>
            <w:r w:rsidRPr="00AD70FC">
              <w:rPr>
                <w:bCs/>
                <w:sz w:val="24"/>
                <w:szCs w:val="24"/>
                <w:lang w:val="uk-UA"/>
              </w:rPr>
              <w:t>663,93±15,02</w:t>
            </w:r>
          </w:p>
        </w:tc>
      </w:tr>
      <w:tr w:rsidR="007C7BBA" w:rsidRPr="00AD70FC" w:rsidTr="00B90BA0">
        <w:tblPrEx>
          <w:tblCellMar>
            <w:top w:w="0" w:type="dxa"/>
            <w:bottom w:w="0" w:type="dxa"/>
          </w:tblCellMar>
        </w:tblPrEx>
        <w:trPr>
          <w:cantSplit/>
          <w:trHeight w:val="553"/>
        </w:trPr>
        <w:tc>
          <w:tcPr>
            <w:tcW w:w="720" w:type="dxa"/>
            <w:vMerge/>
          </w:tcPr>
          <w:p w:rsidR="007C7BBA" w:rsidRPr="00AD70FC" w:rsidRDefault="007C7BBA" w:rsidP="00B90BA0">
            <w:pPr>
              <w:pStyle w:val="6"/>
              <w:jc w:val="center"/>
              <w:rPr>
                <w:b w:val="0"/>
                <w:sz w:val="24"/>
              </w:rPr>
            </w:pPr>
          </w:p>
        </w:tc>
        <w:tc>
          <w:tcPr>
            <w:tcW w:w="3060" w:type="dxa"/>
          </w:tcPr>
          <w:p w:rsidR="007C7BBA" w:rsidRPr="00AD70FC" w:rsidRDefault="007C7BBA" w:rsidP="00B90BA0">
            <w:pPr>
              <w:pStyle w:val="6"/>
              <w:jc w:val="center"/>
              <w:rPr>
                <w:b w:val="0"/>
                <w:sz w:val="24"/>
              </w:rPr>
            </w:pPr>
            <w:r w:rsidRPr="00AD70FC">
              <w:rPr>
                <w:b w:val="0"/>
                <w:sz w:val="24"/>
              </w:rPr>
              <w:t>2А підгрупа (</w:t>
            </w:r>
            <w:r w:rsidRPr="00302A87">
              <w:rPr>
                <w:b w:val="0"/>
                <w:i/>
                <w:sz w:val="24"/>
              </w:rPr>
              <w:t>n</w:t>
            </w:r>
            <w:r w:rsidRPr="00AD70FC">
              <w:rPr>
                <w:b w:val="0"/>
                <w:sz w:val="24"/>
              </w:rPr>
              <w:t>=19)</w:t>
            </w:r>
          </w:p>
        </w:tc>
        <w:tc>
          <w:tcPr>
            <w:tcW w:w="2100" w:type="dxa"/>
          </w:tcPr>
          <w:p w:rsidR="007C7BBA" w:rsidRPr="00AD70FC" w:rsidRDefault="007C7BBA" w:rsidP="00B90BA0">
            <w:pPr>
              <w:jc w:val="center"/>
              <w:rPr>
                <w:bCs/>
                <w:sz w:val="24"/>
                <w:szCs w:val="24"/>
                <w:lang w:val="uk-UA"/>
              </w:rPr>
            </w:pPr>
            <w:r w:rsidRPr="00AD70FC">
              <w:rPr>
                <w:bCs/>
                <w:sz w:val="24"/>
                <w:szCs w:val="24"/>
                <w:lang w:val="uk-UA"/>
              </w:rPr>
              <w:t>3,92±0,401,2,3</w:t>
            </w:r>
          </w:p>
        </w:tc>
        <w:tc>
          <w:tcPr>
            <w:tcW w:w="2100" w:type="dxa"/>
          </w:tcPr>
          <w:p w:rsidR="007C7BBA" w:rsidRPr="00AD70FC" w:rsidRDefault="007C7BBA" w:rsidP="00B90BA0">
            <w:pPr>
              <w:jc w:val="center"/>
              <w:rPr>
                <w:bCs/>
                <w:sz w:val="24"/>
                <w:szCs w:val="24"/>
                <w:lang w:val="uk-UA"/>
              </w:rPr>
            </w:pPr>
            <w:r w:rsidRPr="00AD70FC">
              <w:rPr>
                <w:bCs/>
                <w:sz w:val="24"/>
                <w:szCs w:val="24"/>
                <w:lang w:val="uk-UA"/>
              </w:rPr>
              <w:t>2,2±0,121,2</w:t>
            </w:r>
          </w:p>
        </w:tc>
        <w:tc>
          <w:tcPr>
            <w:tcW w:w="2100" w:type="dxa"/>
          </w:tcPr>
          <w:p w:rsidR="007C7BBA" w:rsidRPr="00AD70FC" w:rsidRDefault="007C7BBA" w:rsidP="00B90BA0">
            <w:pPr>
              <w:jc w:val="center"/>
              <w:rPr>
                <w:bCs/>
                <w:sz w:val="24"/>
                <w:szCs w:val="24"/>
                <w:lang w:val="uk-UA"/>
              </w:rPr>
            </w:pPr>
            <w:r w:rsidRPr="00AD70FC">
              <w:rPr>
                <w:bCs/>
                <w:sz w:val="24"/>
                <w:szCs w:val="24"/>
                <w:lang w:val="uk-UA"/>
              </w:rPr>
              <w:t>447,93±12,772,3</w:t>
            </w:r>
          </w:p>
        </w:tc>
      </w:tr>
      <w:tr w:rsidR="007C7BBA" w:rsidRPr="00AD70FC" w:rsidTr="00B90BA0">
        <w:tblPrEx>
          <w:tblCellMar>
            <w:top w:w="0" w:type="dxa"/>
            <w:bottom w:w="0" w:type="dxa"/>
          </w:tblCellMar>
        </w:tblPrEx>
        <w:trPr>
          <w:cantSplit/>
          <w:trHeight w:val="505"/>
        </w:trPr>
        <w:tc>
          <w:tcPr>
            <w:tcW w:w="720" w:type="dxa"/>
            <w:vMerge/>
          </w:tcPr>
          <w:p w:rsidR="007C7BBA" w:rsidRPr="00AD70FC" w:rsidRDefault="007C7BBA" w:rsidP="00B90BA0">
            <w:pPr>
              <w:pStyle w:val="6"/>
              <w:jc w:val="center"/>
              <w:rPr>
                <w:b w:val="0"/>
                <w:sz w:val="24"/>
              </w:rPr>
            </w:pPr>
          </w:p>
        </w:tc>
        <w:tc>
          <w:tcPr>
            <w:tcW w:w="3060" w:type="dxa"/>
          </w:tcPr>
          <w:p w:rsidR="007C7BBA" w:rsidRPr="00AD70FC" w:rsidRDefault="007C7BBA" w:rsidP="00B90BA0">
            <w:pPr>
              <w:pStyle w:val="6"/>
              <w:jc w:val="center"/>
              <w:rPr>
                <w:b w:val="0"/>
                <w:sz w:val="24"/>
              </w:rPr>
            </w:pPr>
            <w:r w:rsidRPr="00AD70FC">
              <w:rPr>
                <w:b w:val="0"/>
                <w:sz w:val="24"/>
              </w:rPr>
              <w:t>2Б підгрупа (</w:t>
            </w:r>
            <w:r w:rsidRPr="00302A87">
              <w:rPr>
                <w:b w:val="0"/>
                <w:i/>
                <w:sz w:val="24"/>
              </w:rPr>
              <w:t>n</w:t>
            </w:r>
            <w:r w:rsidRPr="00AD70FC">
              <w:rPr>
                <w:b w:val="0"/>
                <w:sz w:val="24"/>
              </w:rPr>
              <w:t>=21)</w:t>
            </w:r>
          </w:p>
        </w:tc>
        <w:tc>
          <w:tcPr>
            <w:tcW w:w="2100" w:type="dxa"/>
          </w:tcPr>
          <w:p w:rsidR="007C7BBA" w:rsidRPr="00AD70FC" w:rsidRDefault="007C7BBA" w:rsidP="00B90BA0">
            <w:pPr>
              <w:jc w:val="center"/>
              <w:rPr>
                <w:bCs/>
                <w:sz w:val="24"/>
                <w:szCs w:val="24"/>
                <w:lang w:val="uk-UA"/>
              </w:rPr>
            </w:pPr>
            <w:r w:rsidRPr="00AD70FC">
              <w:rPr>
                <w:bCs/>
                <w:sz w:val="24"/>
                <w:szCs w:val="24"/>
                <w:lang w:val="uk-UA"/>
              </w:rPr>
              <w:t>2,58±0,533</w:t>
            </w:r>
          </w:p>
        </w:tc>
        <w:tc>
          <w:tcPr>
            <w:tcW w:w="2100" w:type="dxa"/>
          </w:tcPr>
          <w:p w:rsidR="007C7BBA" w:rsidRPr="00AD70FC" w:rsidRDefault="007C7BBA" w:rsidP="00B90BA0">
            <w:pPr>
              <w:jc w:val="center"/>
              <w:rPr>
                <w:bCs/>
                <w:sz w:val="24"/>
                <w:szCs w:val="24"/>
                <w:lang w:val="uk-UA"/>
              </w:rPr>
            </w:pPr>
            <w:r w:rsidRPr="00AD70FC">
              <w:rPr>
                <w:bCs/>
                <w:sz w:val="24"/>
                <w:szCs w:val="24"/>
                <w:lang w:val="uk-UA"/>
              </w:rPr>
              <w:t>1,34±0,113</w:t>
            </w:r>
          </w:p>
        </w:tc>
        <w:tc>
          <w:tcPr>
            <w:tcW w:w="2100" w:type="dxa"/>
          </w:tcPr>
          <w:p w:rsidR="007C7BBA" w:rsidRPr="00AD70FC" w:rsidRDefault="007C7BBA" w:rsidP="00B90BA0">
            <w:pPr>
              <w:jc w:val="center"/>
              <w:rPr>
                <w:bCs/>
                <w:sz w:val="24"/>
                <w:szCs w:val="24"/>
                <w:lang w:val="uk-UA"/>
              </w:rPr>
            </w:pPr>
            <w:r w:rsidRPr="00AD70FC">
              <w:rPr>
                <w:bCs/>
                <w:sz w:val="24"/>
                <w:szCs w:val="24"/>
                <w:lang w:val="uk-UA"/>
              </w:rPr>
              <w:t>382,01±17,343</w:t>
            </w:r>
          </w:p>
        </w:tc>
      </w:tr>
      <w:tr w:rsidR="007C7BBA" w:rsidRPr="00AD70FC" w:rsidTr="00B90BA0">
        <w:tblPrEx>
          <w:tblCellMar>
            <w:top w:w="0" w:type="dxa"/>
            <w:bottom w:w="0" w:type="dxa"/>
          </w:tblCellMar>
        </w:tblPrEx>
        <w:trPr>
          <w:cantSplit/>
          <w:trHeight w:val="457"/>
        </w:trPr>
        <w:tc>
          <w:tcPr>
            <w:tcW w:w="3780" w:type="dxa"/>
            <w:gridSpan w:val="2"/>
          </w:tcPr>
          <w:p w:rsidR="007C7BBA" w:rsidRPr="00AD70FC" w:rsidRDefault="007C7BBA" w:rsidP="00B90BA0">
            <w:pPr>
              <w:pStyle w:val="6"/>
              <w:jc w:val="center"/>
              <w:rPr>
                <w:b w:val="0"/>
                <w:sz w:val="24"/>
              </w:rPr>
            </w:pPr>
            <w:r>
              <w:rPr>
                <w:b w:val="0"/>
                <w:sz w:val="24"/>
              </w:rPr>
              <w:t>Контрольна</w:t>
            </w:r>
            <w:r w:rsidRPr="00AD70FC">
              <w:rPr>
                <w:b w:val="0"/>
                <w:sz w:val="24"/>
              </w:rPr>
              <w:t xml:space="preserve"> (</w:t>
            </w:r>
            <w:r w:rsidRPr="00302A87">
              <w:rPr>
                <w:b w:val="0"/>
                <w:i/>
                <w:sz w:val="24"/>
              </w:rPr>
              <w:t>n</w:t>
            </w:r>
            <w:r w:rsidRPr="00AD70FC">
              <w:rPr>
                <w:b w:val="0"/>
                <w:sz w:val="24"/>
              </w:rPr>
              <w:t>=32)</w:t>
            </w:r>
          </w:p>
        </w:tc>
        <w:tc>
          <w:tcPr>
            <w:tcW w:w="2100" w:type="dxa"/>
          </w:tcPr>
          <w:p w:rsidR="007C7BBA" w:rsidRPr="00AD70FC" w:rsidRDefault="007C7BBA" w:rsidP="00B90BA0">
            <w:pPr>
              <w:jc w:val="center"/>
              <w:rPr>
                <w:bCs/>
                <w:sz w:val="24"/>
                <w:szCs w:val="24"/>
                <w:lang w:val="uk-UA"/>
              </w:rPr>
            </w:pPr>
            <w:r w:rsidRPr="00AD70FC">
              <w:rPr>
                <w:bCs/>
                <w:sz w:val="24"/>
                <w:szCs w:val="24"/>
                <w:lang w:val="uk-UA"/>
              </w:rPr>
              <w:t>2,90±0,27</w:t>
            </w:r>
          </w:p>
        </w:tc>
        <w:tc>
          <w:tcPr>
            <w:tcW w:w="2100" w:type="dxa"/>
          </w:tcPr>
          <w:p w:rsidR="007C7BBA" w:rsidRPr="00AD70FC" w:rsidRDefault="007C7BBA" w:rsidP="00B90BA0">
            <w:pPr>
              <w:jc w:val="center"/>
              <w:rPr>
                <w:bCs/>
                <w:sz w:val="24"/>
                <w:szCs w:val="24"/>
                <w:lang w:val="uk-UA"/>
              </w:rPr>
            </w:pPr>
            <w:r w:rsidRPr="00AD70FC">
              <w:rPr>
                <w:bCs/>
                <w:sz w:val="24"/>
                <w:szCs w:val="24"/>
                <w:lang w:val="uk-UA"/>
              </w:rPr>
              <w:t>0,95±0,45</w:t>
            </w:r>
          </w:p>
        </w:tc>
        <w:tc>
          <w:tcPr>
            <w:tcW w:w="2100" w:type="dxa"/>
          </w:tcPr>
          <w:p w:rsidR="007C7BBA" w:rsidRPr="00AD70FC" w:rsidRDefault="007C7BBA" w:rsidP="00B90BA0">
            <w:pPr>
              <w:jc w:val="center"/>
              <w:rPr>
                <w:bCs/>
                <w:sz w:val="24"/>
                <w:szCs w:val="24"/>
                <w:lang w:val="uk-UA"/>
              </w:rPr>
            </w:pPr>
            <w:r w:rsidRPr="00AD70FC">
              <w:rPr>
                <w:bCs/>
                <w:sz w:val="24"/>
                <w:szCs w:val="24"/>
                <w:lang w:val="uk-UA"/>
              </w:rPr>
              <w:t>340,00±40,00</w:t>
            </w:r>
          </w:p>
        </w:tc>
      </w:tr>
    </w:tbl>
    <w:p w:rsidR="007C7BBA" w:rsidRPr="00AD70FC" w:rsidRDefault="007C7BBA" w:rsidP="007C7BBA">
      <w:pPr>
        <w:jc w:val="both"/>
        <w:rPr>
          <w:sz w:val="24"/>
          <w:lang w:val="uk-UA"/>
        </w:rPr>
      </w:pPr>
      <w:r>
        <w:rPr>
          <w:sz w:val="24"/>
          <w:lang w:val="uk-UA"/>
        </w:rPr>
        <w:t>Примітка. Індекс</w:t>
      </w:r>
      <w:r w:rsidRPr="00AD70FC">
        <w:rPr>
          <w:sz w:val="24"/>
          <w:lang w:val="uk-UA"/>
        </w:rPr>
        <w:t xml:space="preserve"> </w:t>
      </w:r>
      <w:r w:rsidRPr="00AD70FC">
        <w:rPr>
          <w:sz w:val="24"/>
          <w:vertAlign w:val="superscript"/>
          <w:lang w:val="uk-UA"/>
        </w:rPr>
        <w:t>1</w:t>
      </w:r>
      <w:r w:rsidRPr="00AD70FC">
        <w:rPr>
          <w:sz w:val="24"/>
          <w:vertAlign w:val="subscript"/>
          <w:lang w:val="uk-UA"/>
        </w:rPr>
        <w:t xml:space="preserve"> </w:t>
      </w:r>
      <w:r w:rsidRPr="00AD70FC">
        <w:rPr>
          <w:sz w:val="24"/>
          <w:lang w:val="uk-UA"/>
        </w:rPr>
        <w:t>– достовірність відмінностей між підгрупами хворих на ГА;</w:t>
      </w:r>
    </w:p>
    <w:p w:rsidR="007C7BBA" w:rsidRPr="00AD70FC" w:rsidRDefault="007C7BBA" w:rsidP="007C7BBA">
      <w:pPr>
        <w:ind w:firstLine="360"/>
        <w:jc w:val="both"/>
        <w:rPr>
          <w:sz w:val="24"/>
          <w:szCs w:val="24"/>
          <w:lang w:val="uk-UA"/>
        </w:rPr>
      </w:pPr>
      <w:r w:rsidRPr="00AD70FC">
        <w:rPr>
          <w:lang w:val="uk-UA"/>
        </w:rPr>
        <w:lastRenderedPageBreak/>
        <w:t xml:space="preserve">            </w:t>
      </w:r>
      <w:r w:rsidRPr="00AD70FC">
        <w:rPr>
          <w:sz w:val="24"/>
          <w:szCs w:val="24"/>
          <w:lang w:val="uk-UA"/>
        </w:rPr>
        <w:t xml:space="preserve">  </w:t>
      </w:r>
      <w:r>
        <w:rPr>
          <w:sz w:val="24"/>
          <w:szCs w:val="24"/>
          <w:lang w:val="uk-UA"/>
        </w:rPr>
        <w:t xml:space="preserve">індекс </w:t>
      </w:r>
      <w:r w:rsidRPr="00AD70FC">
        <w:rPr>
          <w:sz w:val="24"/>
          <w:szCs w:val="24"/>
          <w:vertAlign w:val="superscript"/>
          <w:lang w:val="uk-UA"/>
        </w:rPr>
        <w:t>2</w:t>
      </w:r>
      <w:r w:rsidRPr="00AD70FC">
        <w:rPr>
          <w:sz w:val="24"/>
          <w:szCs w:val="24"/>
          <w:lang w:val="uk-UA"/>
        </w:rPr>
        <w:t xml:space="preserve"> – достовірність відмінностей між підгруп</w:t>
      </w:r>
      <w:r>
        <w:rPr>
          <w:sz w:val="24"/>
          <w:szCs w:val="24"/>
          <w:lang w:val="uk-UA"/>
        </w:rPr>
        <w:t xml:space="preserve">ами хворих на ГА та контрольною </w:t>
      </w:r>
      <w:r>
        <w:rPr>
          <w:sz w:val="24"/>
          <w:szCs w:val="24"/>
          <w:lang w:val="uk-UA"/>
        </w:rPr>
        <w:br w:type="textWrapping" w:clear="all"/>
        <w:t xml:space="preserve">                  </w:t>
      </w:r>
      <w:r w:rsidRPr="00AD70FC">
        <w:rPr>
          <w:sz w:val="24"/>
          <w:szCs w:val="24"/>
          <w:lang w:val="uk-UA"/>
        </w:rPr>
        <w:t xml:space="preserve">групою; </w:t>
      </w:r>
      <w:r>
        <w:rPr>
          <w:sz w:val="24"/>
          <w:szCs w:val="24"/>
          <w:lang w:val="uk-UA"/>
        </w:rPr>
        <w:t xml:space="preserve">індекс </w:t>
      </w:r>
      <w:r w:rsidRPr="00AD70FC">
        <w:rPr>
          <w:sz w:val="24"/>
          <w:szCs w:val="24"/>
          <w:vertAlign w:val="superscript"/>
          <w:lang w:val="uk-UA"/>
        </w:rPr>
        <w:t>3</w:t>
      </w:r>
      <w:r w:rsidRPr="00AD70FC">
        <w:rPr>
          <w:sz w:val="24"/>
          <w:szCs w:val="24"/>
          <w:lang w:val="uk-UA"/>
        </w:rPr>
        <w:t xml:space="preserve"> – достовірність відмінностей хвори</w:t>
      </w:r>
      <w:r>
        <w:rPr>
          <w:sz w:val="24"/>
          <w:szCs w:val="24"/>
          <w:lang w:val="uk-UA"/>
        </w:rPr>
        <w:t xml:space="preserve">х на </w:t>
      </w:r>
      <w:r w:rsidRPr="00AD70FC">
        <w:rPr>
          <w:sz w:val="24"/>
          <w:szCs w:val="24"/>
          <w:lang w:val="uk-UA"/>
        </w:rPr>
        <w:t>ГА до і після лікування.</w:t>
      </w:r>
    </w:p>
    <w:p w:rsidR="007C7BBA" w:rsidRPr="00AD70FC" w:rsidRDefault="007C7BBA" w:rsidP="007C7BBA">
      <w:pPr>
        <w:ind w:firstLine="540"/>
        <w:jc w:val="both"/>
        <w:rPr>
          <w:sz w:val="28"/>
          <w:lang w:val="uk-UA"/>
        </w:rPr>
      </w:pPr>
      <w:r w:rsidRPr="00AD70FC">
        <w:rPr>
          <w:sz w:val="28"/>
          <w:lang w:val="uk-UA"/>
        </w:rPr>
        <w:t xml:space="preserve">Динаміка БГФ в сироватці крові на тлі різних схем лікування інформативно відображає морфофункціональний стан печінки.  </w:t>
      </w:r>
    </w:p>
    <w:p w:rsidR="007C7BBA" w:rsidRDefault="007C7BBA" w:rsidP="007C7BBA">
      <w:pPr>
        <w:ind w:firstLine="540"/>
        <w:jc w:val="both"/>
        <w:rPr>
          <w:sz w:val="28"/>
          <w:lang w:val="uk-UA"/>
        </w:rPr>
      </w:pPr>
      <w:r w:rsidRPr="00AD70FC">
        <w:rPr>
          <w:sz w:val="28"/>
          <w:lang w:val="uk-UA"/>
        </w:rPr>
        <w:t>Результати, отримані при клінічному, біохімічному, бактеріологічному і імунологі</w:t>
      </w:r>
      <w:r>
        <w:rPr>
          <w:sz w:val="28"/>
          <w:lang w:val="uk-UA"/>
        </w:rPr>
        <w:t xml:space="preserve">чному дослідженнях у хворих на </w:t>
      </w:r>
      <w:r w:rsidRPr="00AD70FC">
        <w:rPr>
          <w:sz w:val="28"/>
          <w:lang w:val="uk-UA"/>
        </w:rPr>
        <w:t>Г</w:t>
      </w:r>
      <w:r>
        <w:rPr>
          <w:sz w:val="28"/>
          <w:lang w:val="uk-UA"/>
        </w:rPr>
        <w:t>А на тлі дисбактеріозу кишечника</w:t>
      </w:r>
      <w:r w:rsidRPr="00AD70FC">
        <w:rPr>
          <w:sz w:val="28"/>
          <w:lang w:val="uk-UA"/>
        </w:rPr>
        <w:t xml:space="preserve"> різного ступеня, показали високу ефективність застосування препаратів лактулози чи комплексу лактулози і альтану.</w:t>
      </w:r>
    </w:p>
    <w:p w:rsidR="007C7BBA" w:rsidRPr="00AD70FC" w:rsidRDefault="007C7BBA" w:rsidP="007C7BBA">
      <w:pPr>
        <w:ind w:firstLine="540"/>
        <w:jc w:val="both"/>
        <w:rPr>
          <w:sz w:val="28"/>
          <w:lang w:val="uk-UA"/>
        </w:rPr>
      </w:pPr>
    </w:p>
    <w:p w:rsidR="007C7BBA" w:rsidRDefault="007C7BBA" w:rsidP="007C7BBA">
      <w:pPr>
        <w:pStyle w:val="a5"/>
        <w:widowControl w:val="0"/>
        <w:ind w:firstLine="357"/>
        <w:jc w:val="center"/>
        <w:rPr>
          <w:b/>
        </w:rPr>
      </w:pPr>
      <w:r w:rsidRPr="00DE1608">
        <w:rPr>
          <w:b/>
        </w:rPr>
        <w:t>Висновки</w:t>
      </w:r>
    </w:p>
    <w:p w:rsidR="007C7BBA" w:rsidRDefault="007C7BBA" w:rsidP="007C7BBA">
      <w:pPr>
        <w:pStyle w:val="a5"/>
        <w:widowControl w:val="0"/>
        <w:ind w:firstLine="357"/>
        <w:jc w:val="both"/>
        <w:rPr>
          <w:caps/>
          <w:szCs w:val="28"/>
        </w:rPr>
      </w:pPr>
      <w:r>
        <w:rPr>
          <w:caps/>
          <w:szCs w:val="28"/>
        </w:rPr>
        <w:t>У дисертаційній</w:t>
      </w:r>
      <w:r w:rsidRPr="00F86C35">
        <w:rPr>
          <w:caps/>
          <w:szCs w:val="28"/>
        </w:rPr>
        <w:t xml:space="preserve"> </w:t>
      </w:r>
      <w:r>
        <w:rPr>
          <w:caps/>
          <w:szCs w:val="28"/>
        </w:rPr>
        <w:t xml:space="preserve">роботі наведені теоретичне узагальнення і нове вирішення наукової задачі, яка полягає в </w:t>
      </w:r>
      <w:r w:rsidRPr="00FD6FCF">
        <w:rPr>
          <w:caps/>
          <w:szCs w:val="28"/>
        </w:rPr>
        <w:t>удосконаленн</w:t>
      </w:r>
      <w:r>
        <w:rPr>
          <w:caps/>
          <w:szCs w:val="28"/>
        </w:rPr>
        <w:t>і</w:t>
      </w:r>
      <w:r w:rsidRPr="00FD6FCF">
        <w:rPr>
          <w:caps/>
          <w:szCs w:val="28"/>
        </w:rPr>
        <w:t xml:space="preserve"> прогнозування перебігу ГА та патогенетичної терапії хворих на основі виявлення стану мікробіоценозу товстої кишки, рівнів SIgА в копрофільтратах та реакцій БГФ.</w:t>
      </w:r>
    </w:p>
    <w:p w:rsidR="007C7BBA" w:rsidRPr="001D6A29" w:rsidRDefault="007C7BBA" w:rsidP="007C7BBA">
      <w:pPr>
        <w:pStyle w:val="a5"/>
        <w:numPr>
          <w:ilvl w:val="0"/>
          <w:numId w:val="6"/>
        </w:numPr>
        <w:tabs>
          <w:tab w:val="clear" w:pos="1080"/>
          <w:tab w:val="num" w:pos="0"/>
        </w:tabs>
        <w:suppressAutoHyphens w:val="0"/>
        <w:spacing w:after="0"/>
        <w:ind w:left="0" w:firstLine="540"/>
        <w:jc w:val="both"/>
        <w:rPr>
          <w:caps/>
          <w:szCs w:val="28"/>
        </w:rPr>
      </w:pPr>
      <w:r w:rsidRPr="001D6A29">
        <w:rPr>
          <w:caps/>
          <w:szCs w:val="28"/>
        </w:rPr>
        <w:t>На сучасному етапі швидкого покращення самопочуття при появі жовтяниці у хворих на ГА не відмічається, найдовше зберігаються симптоми астенії та диспепсії. У 16 хворих (14,81 %) реєструвалася затяжна реконвалесценція хвороби (до 54–62 днів).</w:t>
      </w:r>
    </w:p>
    <w:p w:rsidR="007C7BBA" w:rsidRPr="00D8493A" w:rsidRDefault="007C7BBA" w:rsidP="007C7BBA">
      <w:pPr>
        <w:pStyle w:val="a5"/>
        <w:numPr>
          <w:ilvl w:val="0"/>
          <w:numId w:val="6"/>
        </w:numPr>
        <w:tabs>
          <w:tab w:val="clear" w:pos="1080"/>
          <w:tab w:val="num" w:pos="0"/>
        </w:tabs>
        <w:suppressAutoHyphens w:val="0"/>
        <w:spacing w:after="0"/>
        <w:ind w:left="0" w:firstLine="540"/>
        <w:jc w:val="both"/>
        <w:rPr>
          <w:caps/>
          <w:szCs w:val="28"/>
        </w:rPr>
      </w:pPr>
      <w:r>
        <w:rPr>
          <w:caps/>
          <w:szCs w:val="28"/>
        </w:rPr>
        <w:t xml:space="preserve">У більшості пацієнтів (93,52 %) в гострий період </w:t>
      </w:r>
      <w:r w:rsidRPr="00AB19A5">
        <w:rPr>
          <w:caps/>
          <w:szCs w:val="28"/>
        </w:rPr>
        <w:t>ГА виявлений дисбактеріоз товстої кишки 1–3 ступенів. При легкому перебігу превалювали дисбактеріоз 1-го (40,98 %) і 2-го (47,54 %) ступенів, при середньотяжкому</w:t>
      </w:r>
      <w:r>
        <w:rPr>
          <w:caps/>
          <w:szCs w:val="28"/>
        </w:rPr>
        <w:t xml:space="preserve"> – дисбактеріоз 2-го (53,19 %) та 3-го (46,81 %) ступенів. Рівень екскреції SIgA з фекаліями був найвищим у хворих з 3-м ступенем дисбактеріозу </w:t>
      </w:r>
      <w:r w:rsidRPr="001D6A29">
        <w:rPr>
          <w:caps/>
          <w:szCs w:val="28"/>
        </w:rPr>
        <w:t>(</w:t>
      </w:r>
      <w:r w:rsidRPr="001D6A29">
        <w:rPr>
          <w:szCs w:val="28"/>
        </w:rPr>
        <w:t xml:space="preserve">2,8±0,20 </w:t>
      </w:r>
      <w:r w:rsidRPr="001D6A29">
        <w:rPr>
          <w:caps/>
          <w:szCs w:val="28"/>
        </w:rPr>
        <w:t>г/л)</w:t>
      </w:r>
      <w:r>
        <w:rPr>
          <w:caps/>
          <w:szCs w:val="28"/>
        </w:rPr>
        <w:t xml:space="preserve"> і </w:t>
      </w:r>
      <w:r w:rsidRPr="00D8493A">
        <w:rPr>
          <w:caps/>
          <w:szCs w:val="28"/>
        </w:rPr>
        <w:t>майже не змінювався при нормобіоценозі.</w:t>
      </w:r>
    </w:p>
    <w:p w:rsidR="007C7BBA" w:rsidRPr="00D8493A" w:rsidRDefault="007C7BBA" w:rsidP="007C7BBA">
      <w:pPr>
        <w:pStyle w:val="31"/>
        <w:numPr>
          <w:ilvl w:val="0"/>
          <w:numId w:val="6"/>
        </w:numPr>
        <w:tabs>
          <w:tab w:val="clear" w:pos="1080"/>
          <w:tab w:val="num" w:pos="0"/>
        </w:tabs>
        <w:spacing w:after="0"/>
        <w:ind w:left="0" w:firstLine="540"/>
        <w:jc w:val="both"/>
        <w:rPr>
          <w:sz w:val="28"/>
          <w:szCs w:val="28"/>
          <w:lang w:val="uk-UA"/>
        </w:rPr>
      </w:pPr>
      <w:r w:rsidRPr="00D8493A">
        <w:rPr>
          <w:sz w:val="28"/>
          <w:szCs w:val="28"/>
        </w:rPr>
        <w:t xml:space="preserve">У хворих на ГА, порівняно з показниками здорових людей, в розпал клінічних проявів підвищувалися рівні БГФ (СРБ до </w:t>
      </w:r>
      <w:r w:rsidRPr="00D8493A">
        <w:rPr>
          <w:sz w:val="28"/>
          <w:szCs w:val="28"/>
          <w:lang w:val="uk-UA"/>
        </w:rPr>
        <w:t>28,20±1,20 г/л,</w:t>
      </w:r>
      <w:r w:rsidRPr="00D8493A">
        <w:rPr>
          <w:sz w:val="28"/>
          <w:szCs w:val="28"/>
        </w:rPr>
        <w:t xml:space="preserve"> ГГ</w:t>
      </w:r>
      <w:r w:rsidRPr="00D8493A">
        <w:rPr>
          <w:sz w:val="28"/>
          <w:szCs w:val="28"/>
          <w:lang w:val="uk-UA"/>
        </w:rPr>
        <w:t xml:space="preserve"> </w:t>
      </w:r>
      <w:r w:rsidRPr="00D8493A">
        <w:rPr>
          <w:sz w:val="28"/>
          <w:szCs w:val="28"/>
        </w:rPr>
        <w:t xml:space="preserve">до </w:t>
      </w:r>
      <w:r w:rsidRPr="00D8493A">
        <w:rPr>
          <w:sz w:val="28"/>
          <w:szCs w:val="28"/>
          <w:lang w:val="uk-UA"/>
        </w:rPr>
        <w:t>2,28±0,04 г/л,</w:t>
      </w:r>
      <w:r w:rsidRPr="00D8493A">
        <w:rPr>
          <w:caps/>
          <w:sz w:val="28"/>
          <w:szCs w:val="28"/>
        </w:rPr>
        <w:t xml:space="preserve"> </w:t>
      </w:r>
      <w:r w:rsidRPr="00D8493A">
        <w:rPr>
          <w:sz w:val="28"/>
          <w:szCs w:val="28"/>
        </w:rPr>
        <w:t xml:space="preserve">ЦП </w:t>
      </w:r>
      <w:r>
        <w:rPr>
          <w:sz w:val="28"/>
          <w:szCs w:val="28"/>
          <w:lang w:val="uk-UA"/>
        </w:rPr>
        <w:t xml:space="preserve">до </w:t>
      </w:r>
      <w:r w:rsidRPr="00D8493A">
        <w:rPr>
          <w:sz w:val="28"/>
          <w:szCs w:val="28"/>
          <w:lang w:val="uk-UA"/>
        </w:rPr>
        <w:t>601,19±12,70</w:t>
      </w:r>
      <w:r w:rsidRPr="00D8493A">
        <w:rPr>
          <w:sz w:val="28"/>
          <w:szCs w:val="28"/>
          <w:vertAlign w:val="superscript"/>
          <w:lang w:val="uk-UA"/>
        </w:rPr>
        <w:t xml:space="preserve"> </w:t>
      </w:r>
      <w:r w:rsidRPr="00D8493A">
        <w:rPr>
          <w:sz w:val="28"/>
          <w:szCs w:val="28"/>
          <w:lang w:val="uk-UA"/>
        </w:rPr>
        <w:t>мг/л</w:t>
      </w:r>
      <w:r>
        <w:rPr>
          <w:sz w:val="28"/>
          <w:szCs w:val="28"/>
          <w:lang w:val="uk-UA"/>
        </w:rPr>
        <w:t>).</w:t>
      </w:r>
      <w:r w:rsidRPr="00D8493A">
        <w:rPr>
          <w:sz w:val="28"/>
          <w:szCs w:val="28"/>
        </w:rPr>
        <w:t xml:space="preserve"> Найвищими їх значення були при середньотяжкому перебігу, особливо у хворих з дисбактеріозом 3-го ступеня</w:t>
      </w:r>
      <w:r>
        <w:rPr>
          <w:sz w:val="28"/>
          <w:szCs w:val="28"/>
          <w:lang w:val="uk-UA"/>
        </w:rPr>
        <w:t xml:space="preserve"> </w:t>
      </w:r>
      <w:r w:rsidRPr="00D8493A">
        <w:rPr>
          <w:sz w:val="28"/>
          <w:szCs w:val="28"/>
          <w:lang w:val="uk-UA"/>
        </w:rPr>
        <w:t>(</w:t>
      </w:r>
      <w:r>
        <w:rPr>
          <w:sz w:val="28"/>
          <w:szCs w:val="28"/>
          <w:lang w:val="uk-UA"/>
        </w:rPr>
        <w:t xml:space="preserve">СРБ – </w:t>
      </w:r>
      <w:r w:rsidRPr="00D8493A">
        <w:rPr>
          <w:sz w:val="28"/>
          <w:szCs w:val="28"/>
          <w:lang w:val="uk-UA"/>
        </w:rPr>
        <w:t xml:space="preserve">42,26±1,04 г/л, </w:t>
      </w:r>
      <w:r>
        <w:rPr>
          <w:sz w:val="28"/>
          <w:szCs w:val="28"/>
          <w:lang w:val="uk-UA"/>
        </w:rPr>
        <w:t xml:space="preserve">ГГ – </w:t>
      </w:r>
      <w:r w:rsidRPr="00D8493A">
        <w:rPr>
          <w:sz w:val="28"/>
          <w:szCs w:val="28"/>
          <w:lang w:val="uk-UA"/>
        </w:rPr>
        <w:t xml:space="preserve">2,82±0,12 г/л, </w:t>
      </w:r>
      <w:r>
        <w:rPr>
          <w:sz w:val="28"/>
          <w:szCs w:val="28"/>
          <w:lang w:val="uk-UA"/>
        </w:rPr>
        <w:t xml:space="preserve">ЦП – </w:t>
      </w:r>
      <w:r w:rsidRPr="00D8493A">
        <w:rPr>
          <w:sz w:val="28"/>
          <w:szCs w:val="28"/>
          <w:lang w:val="uk-UA"/>
        </w:rPr>
        <w:t>2,82±0,12 мг/л)</w:t>
      </w:r>
      <w:r w:rsidRPr="00D8493A">
        <w:rPr>
          <w:sz w:val="28"/>
          <w:szCs w:val="28"/>
        </w:rPr>
        <w:t>.</w:t>
      </w:r>
    </w:p>
    <w:p w:rsidR="007C7BBA" w:rsidRPr="00315B88" w:rsidRDefault="007C7BBA" w:rsidP="007C7BBA">
      <w:pPr>
        <w:pStyle w:val="a5"/>
        <w:numPr>
          <w:ilvl w:val="0"/>
          <w:numId w:val="6"/>
        </w:numPr>
        <w:tabs>
          <w:tab w:val="clear" w:pos="1080"/>
          <w:tab w:val="num" w:pos="0"/>
        </w:tabs>
        <w:suppressAutoHyphens w:val="0"/>
        <w:spacing w:after="0"/>
        <w:ind w:left="0" w:firstLine="540"/>
        <w:jc w:val="both"/>
        <w:rPr>
          <w:caps/>
          <w:szCs w:val="28"/>
        </w:rPr>
      </w:pPr>
      <w:r w:rsidRPr="00D8493A">
        <w:rPr>
          <w:caps/>
          <w:szCs w:val="28"/>
        </w:rPr>
        <w:t>Рівні БГФ</w:t>
      </w:r>
      <w:r w:rsidRPr="00315B88">
        <w:rPr>
          <w:caps/>
          <w:szCs w:val="28"/>
        </w:rPr>
        <w:t xml:space="preserve"> корелювали з рівнями представників мікрофлори кишечник</w:t>
      </w:r>
      <w:r>
        <w:rPr>
          <w:caps/>
          <w:szCs w:val="28"/>
        </w:rPr>
        <w:t>а</w:t>
      </w:r>
      <w:r w:rsidRPr="00315B88">
        <w:rPr>
          <w:caps/>
          <w:szCs w:val="28"/>
        </w:rPr>
        <w:t>: з біфідо- та лактобактеріями виявлений зворотний зв'язок, а представниками УПМ –</w:t>
      </w:r>
      <w:r>
        <w:rPr>
          <w:caps/>
          <w:szCs w:val="28"/>
        </w:rPr>
        <w:t xml:space="preserve"> </w:t>
      </w:r>
      <w:r w:rsidRPr="00315B88">
        <w:rPr>
          <w:caps/>
          <w:szCs w:val="28"/>
        </w:rPr>
        <w:t>прямий. Також прямі кореляційні зв'язки виявлені між рівнями БГФ та SIg</w:t>
      </w:r>
      <w:r>
        <w:rPr>
          <w:caps/>
          <w:szCs w:val="28"/>
        </w:rPr>
        <w:t xml:space="preserve">A. Найбільш виражений </w:t>
      </w:r>
      <w:r w:rsidRPr="00D0543E">
        <w:rPr>
          <w:caps/>
          <w:szCs w:val="28"/>
        </w:rPr>
        <w:t>зв'язок установлено між ГГ</w:t>
      </w:r>
      <w:r w:rsidRPr="00315B88">
        <w:rPr>
          <w:caps/>
          <w:szCs w:val="28"/>
        </w:rPr>
        <w:t xml:space="preserve"> та SIgA.</w:t>
      </w:r>
    </w:p>
    <w:p w:rsidR="007C7BBA" w:rsidRPr="00E32427" w:rsidRDefault="007C7BBA" w:rsidP="007C7BBA">
      <w:pPr>
        <w:pStyle w:val="a5"/>
        <w:numPr>
          <w:ilvl w:val="0"/>
          <w:numId w:val="6"/>
        </w:numPr>
        <w:tabs>
          <w:tab w:val="clear" w:pos="1080"/>
          <w:tab w:val="num" w:pos="0"/>
        </w:tabs>
        <w:suppressAutoHyphens w:val="0"/>
        <w:spacing w:after="0"/>
        <w:ind w:left="0" w:firstLine="540"/>
        <w:jc w:val="both"/>
        <w:rPr>
          <w:caps/>
          <w:szCs w:val="28"/>
        </w:rPr>
      </w:pPr>
      <w:r w:rsidRPr="00315B88">
        <w:rPr>
          <w:caps/>
          <w:szCs w:val="28"/>
        </w:rPr>
        <w:lastRenderedPageBreak/>
        <w:t>При сприятливому перебігу ГА (</w:t>
      </w:r>
      <w:r>
        <w:rPr>
          <w:caps/>
          <w:szCs w:val="28"/>
        </w:rPr>
        <w:t xml:space="preserve">83,3 </w:t>
      </w:r>
      <w:r w:rsidRPr="00315B88">
        <w:rPr>
          <w:caps/>
          <w:szCs w:val="28"/>
        </w:rPr>
        <w:t xml:space="preserve">%) спостерігається підвищення SІgA в копрофільтратах та показників БГФ в період </w:t>
      </w:r>
      <w:r w:rsidRPr="00315B88">
        <w:rPr>
          <w:caps/>
        </w:rPr>
        <w:t>наростання</w:t>
      </w:r>
      <w:r>
        <w:rPr>
          <w:caps/>
        </w:rPr>
        <w:t xml:space="preserve"> клінічних проявів </w:t>
      </w:r>
      <w:r>
        <w:rPr>
          <w:caps/>
          <w:szCs w:val="28"/>
        </w:rPr>
        <w:t xml:space="preserve">хвороби. Несприятливий перебіг (16,7 %) характеризується відсутністю підвищення вказаних показників в цей </w:t>
      </w:r>
      <w:r>
        <w:rPr>
          <w:caps/>
        </w:rPr>
        <w:t xml:space="preserve">період </w:t>
      </w:r>
      <w:r w:rsidRPr="00315B88">
        <w:rPr>
          <w:caps/>
          <w:szCs w:val="28"/>
        </w:rPr>
        <w:t xml:space="preserve">(SІgA </w:t>
      </w:r>
      <w:r>
        <w:rPr>
          <w:caps/>
          <w:szCs w:val="28"/>
        </w:rPr>
        <w:t xml:space="preserve">– </w:t>
      </w:r>
      <w:r w:rsidRPr="00F853E2">
        <w:rPr>
          <w:szCs w:val="28"/>
        </w:rPr>
        <w:t xml:space="preserve">0,18±0,09 </w:t>
      </w:r>
      <w:r w:rsidRPr="00FC219C">
        <w:rPr>
          <w:caps/>
          <w:szCs w:val="28"/>
        </w:rPr>
        <w:t>г/л</w:t>
      </w:r>
      <w:r>
        <w:rPr>
          <w:caps/>
          <w:szCs w:val="28"/>
        </w:rPr>
        <w:t>,</w:t>
      </w:r>
      <w:r w:rsidRPr="00315B88">
        <w:rPr>
          <w:caps/>
          <w:szCs w:val="28"/>
        </w:rPr>
        <w:t xml:space="preserve"> СРБ</w:t>
      </w:r>
      <w:r>
        <w:rPr>
          <w:caps/>
          <w:szCs w:val="28"/>
        </w:rPr>
        <w:t xml:space="preserve"> –</w:t>
      </w:r>
      <w:r w:rsidRPr="00F853E2">
        <w:rPr>
          <w:szCs w:val="28"/>
        </w:rPr>
        <w:t xml:space="preserve"> 6,25±0,90 </w:t>
      </w:r>
      <w:r>
        <w:rPr>
          <w:caps/>
          <w:szCs w:val="28"/>
        </w:rPr>
        <w:t>г/л</w:t>
      </w:r>
      <w:r w:rsidRPr="00F853E2">
        <w:rPr>
          <w:szCs w:val="28"/>
        </w:rPr>
        <w:t xml:space="preserve">, ГГ –1,12±0,24 </w:t>
      </w:r>
      <w:r>
        <w:rPr>
          <w:caps/>
          <w:szCs w:val="28"/>
        </w:rPr>
        <w:t>г/л</w:t>
      </w:r>
      <w:r w:rsidRPr="00F853E2">
        <w:rPr>
          <w:szCs w:val="28"/>
        </w:rPr>
        <w:t xml:space="preserve">, ЦП – 470,12±38,92 </w:t>
      </w:r>
      <w:r w:rsidRPr="00FC219C">
        <w:rPr>
          <w:caps/>
          <w:szCs w:val="28"/>
        </w:rPr>
        <w:t>мг/л</w:t>
      </w:r>
      <w:r w:rsidRPr="00315B88">
        <w:rPr>
          <w:caps/>
          <w:szCs w:val="28"/>
        </w:rPr>
        <w:t>)</w:t>
      </w:r>
      <w:r>
        <w:rPr>
          <w:caps/>
        </w:rPr>
        <w:t>.</w:t>
      </w:r>
      <w:r>
        <w:rPr>
          <w:caps/>
          <w:szCs w:val="28"/>
        </w:rPr>
        <w:t xml:space="preserve"> На основі ранжирування інформативності лабораторних показників розроблено математичний алгоритм прогнозування перебігу ГА.</w:t>
      </w:r>
    </w:p>
    <w:p w:rsidR="007C7BBA" w:rsidRPr="00F853E2" w:rsidRDefault="007C7BBA" w:rsidP="007C7BBA">
      <w:pPr>
        <w:pStyle w:val="33"/>
        <w:numPr>
          <w:ilvl w:val="0"/>
          <w:numId w:val="6"/>
        </w:numPr>
        <w:tabs>
          <w:tab w:val="clear" w:pos="1080"/>
          <w:tab w:val="num" w:pos="0"/>
        </w:tabs>
        <w:spacing w:after="0"/>
        <w:ind w:left="0" w:firstLine="540"/>
        <w:jc w:val="both"/>
        <w:rPr>
          <w:sz w:val="28"/>
        </w:rPr>
      </w:pPr>
      <w:r w:rsidRPr="00E32427">
        <w:rPr>
          <w:sz w:val="28"/>
          <w:szCs w:val="28"/>
        </w:rPr>
        <w:t xml:space="preserve">Встановлені висока клінічна ефективність </w:t>
      </w:r>
      <w:r w:rsidRPr="00DE1608">
        <w:rPr>
          <w:sz w:val="28"/>
          <w:szCs w:val="28"/>
        </w:rPr>
        <w:t>(</w:t>
      </w:r>
      <w:r w:rsidRPr="00E32427">
        <w:rPr>
          <w:sz w:val="28"/>
          <w:szCs w:val="28"/>
        </w:rPr>
        <w:t>скорочення термінів</w:t>
      </w:r>
      <w:r w:rsidRPr="00E32427">
        <w:rPr>
          <w:i/>
          <w:sz w:val="28"/>
          <w:szCs w:val="28"/>
        </w:rPr>
        <w:t xml:space="preserve"> </w:t>
      </w:r>
      <w:r w:rsidRPr="00E32427">
        <w:rPr>
          <w:sz w:val="28"/>
          <w:szCs w:val="28"/>
        </w:rPr>
        <w:t xml:space="preserve">нормалізації основних клінічних синдромів та симптомів </w:t>
      </w:r>
      <w:r>
        <w:rPr>
          <w:sz w:val="28"/>
          <w:szCs w:val="28"/>
        </w:rPr>
        <w:t>на 3–5 діб при легкому перебігу хвороби та 5–7 при середньотяжкому</w:t>
      </w:r>
      <w:r w:rsidRPr="00E32427">
        <w:rPr>
          <w:sz w:val="28"/>
          <w:szCs w:val="28"/>
        </w:rPr>
        <w:t>), вплив на відновлення стану мікробіоценозу товстої кишки, нормалізацію показників SІgA в копрофільтратах та БГФ у сироватці крові препаратів лактулози при л</w:t>
      </w:r>
      <w:r>
        <w:rPr>
          <w:sz w:val="28"/>
          <w:szCs w:val="28"/>
        </w:rPr>
        <w:t>егкому</w:t>
      </w:r>
      <w:r w:rsidRPr="00E32427">
        <w:rPr>
          <w:sz w:val="28"/>
          <w:szCs w:val="28"/>
        </w:rPr>
        <w:t xml:space="preserve"> перебігу ГА та комбінації лактулози з альтаном при </w:t>
      </w:r>
      <w:r>
        <w:rPr>
          <w:sz w:val="28"/>
          <w:szCs w:val="28"/>
        </w:rPr>
        <w:t>середньотяжкому</w:t>
      </w:r>
      <w:r w:rsidRPr="00C52307">
        <w:rPr>
          <w:caps/>
          <w:sz w:val="28"/>
          <w:szCs w:val="28"/>
        </w:rPr>
        <w:t>.</w:t>
      </w:r>
    </w:p>
    <w:p w:rsidR="007C7BBA" w:rsidRDefault="007C7BBA" w:rsidP="007C7BBA">
      <w:pPr>
        <w:pStyle w:val="a5"/>
        <w:jc w:val="both"/>
        <w:rPr>
          <w:caps/>
          <w:szCs w:val="28"/>
        </w:rPr>
      </w:pPr>
    </w:p>
    <w:p w:rsidR="007C7BBA" w:rsidRPr="00120A95" w:rsidRDefault="007C7BBA" w:rsidP="007C7BBA">
      <w:pPr>
        <w:ind w:firstLine="360"/>
        <w:jc w:val="center"/>
        <w:rPr>
          <w:b/>
          <w:caps/>
          <w:sz w:val="28"/>
          <w:lang w:val="uk-UA"/>
        </w:rPr>
      </w:pPr>
      <w:r w:rsidRPr="00120A95">
        <w:rPr>
          <w:b/>
          <w:caps/>
          <w:sz w:val="28"/>
          <w:lang w:val="uk-UA"/>
        </w:rPr>
        <w:t>Практичні рекомендації</w:t>
      </w:r>
    </w:p>
    <w:p w:rsidR="007C7BBA" w:rsidRPr="00120A95" w:rsidRDefault="007C7BBA" w:rsidP="007C7BBA">
      <w:pPr>
        <w:numPr>
          <w:ilvl w:val="0"/>
          <w:numId w:val="5"/>
        </w:numPr>
        <w:spacing w:after="0" w:line="240" w:lineRule="auto"/>
        <w:ind w:left="0" w:firstLine="567"/>
        <w:jc w:val="both"/>
        <w:rPr>
          <w:sz w:val="28"/>
          <w:lang w:val="uk-UA"/>
        </w:rPr>
      </w:pPr>
      <w:r w:rsidRPr="00120A95">
        <w:rPr>
          <w:sz w:val="28"/>
          <w:lang w:val="uk-UA"/>
        </w:rPr>
        <w:t>З метою визначення направленості патологічного процесу та його перебігу у хворих на ГА поряд з загальноприйнятим комплексом обстеження доцільно використовувати дослідження калу на дисбактеріоз, вмісту SIgA в копрофільтратах та БГФ в сироватці крові.</w:t>
      </w:r>
    </w:p>
    <w:p w:rsidR="007C7BBA" w:rsidRDefault="007C7BBA" w:rsidP="007C7BBA">
      <w:pPr>
        <w:numPr>
          <w:ilvl w:val="0"/>
          <w:numId w:val="5"/>
        </w:numPr>
        <w:spacing w:after="0" w:line="240" w:lineRule="auto"/>
        <w:ind w:left="0" w:firstLine="567"/>
        <w:jc w:val="both"/>
        <w:rPr>
          <w:sz w:val="28"/>
          <w:lang w:val="uk-UA"/>
        </w:rPr>
      </w:pPr>
      <w:r w:rsidRPr="00120A95">
        <w:rPr>
          <w:sz w:val="28"/>
          <w:lang w:val="uk-UA"/>
        </w:rPr>
        <w:t>Для прогнозування перебігу ГА рекомендується використовувати пошукову систему на основі лабораторних ознак</w:t>
      </w:r>
      <w:r>
        <w:rPr>
          <w:sz w:val="28"/>
          <w:lang w:val="uk-UA"/>
        </w:rPr>
        <w:t xml:space="preserve"> (табл. 5)</w:t>
      </w:r>
      <w:r w:rsidRPr="00120A95">
        <w:rPr>
          <w:sz w:val="28"/>
          <w:lang w:val="uk-UA"/>
        </w:rPr>
        <w:t>. При досягненні суми прогностичних коефіцієнтів вище ніж «+13» ймовірність виникнення сприятливого перебігу складає 96,3%, нижче «-13» – несприятливого. Спосіб дозволяє своєчасно передбачити несприятливий перебіг ГА і провести корекцію терапевтичних заходів.</w:t>
      </w:r>
    </w:p>
    <w:p w:rsidR="007C7BBA" w:rsidRPr="00302A87" w:rsidRDefault="007C7BBA" w:rsidP="007C7BBA">
      <w:pPr>
        <w:jc w:val="right"/>
        <w:rPr>
          <w:i/>
          <w:sz w:val="28"/>
          <w:lang w:val="uk-UA"/>
        </w:rPr>
      </w:pPr>
      <w:r w:rsidRPr="00302A87">
        <w:rPr>
          <w:i/>
          <w:sz w:val="28"/>
          <w:lang w:val="uk-UA"/>
        </w:rPr>
        <w:t>Таблиця 5</w:t>
      </w:r>
    </w:p>
    <w:p w:rsidR="007C7BBA" w:rsidRPr="00120A95" w:rsidRDefault="007C7BBA" w:rsidP="007C7BBA">
      <w:pPr>
        <w:pStyle w:val="a7"/>
        <w:spacing w:after="0"/>
        <w:ind w:left="0" w:firstLine="357"/>
        <w:jc w:val="center"/>
        <w:rPr>
          <w:b/>
          <w:sz w:val="28"/>
          <w:lang w:val="uk-UA"/>
        </w:rPr>
      </w:pPr>
      <w:r w:rsidRPr="00120A95">
        <w:rPr>
          <w:b/>
          <w:sz w:val="28"/>
          <w:lang w:val="uk-UA"/>
        </w:rPr>
        <w:t xml:space="preserve">Пошукова система для прогнозування перебігу ГА </w:t>
      </w:r>
    </w:p>
    <w:p w:rsidR="007C7BBA" w:rsidRPr="00120A95" w:rsidRDefault="007C7BBA" w:rsidP="007C7BBA">
      <w:pPr>
        <w:pStyle w:val="a7"/>
        <w:spacing w:after="0"/>
        <w:ind w:left="0" w:firstLine="357"/>
        <w:jc w:val="center"/>
        <w:rPr>
          <w:b/>
          <w:sz w:val="28"/>
          <w:lang w:val="uk-UA"/>
        </w:rPr>
      </w:pPr>
      <w:r w:rsidRPr="00120A95">
        <w:rPr>
          <w:b/>
          <w:sz w:val="28"/>
          <w:lang w:val="uk-UA"/>
        </w:rPr>
        <w:t>на основі лабораторних ознак</w:t>
      </w:r>
    </w:p>
    <w:tbl>
      <w:tblPr>
        <w:tblStyle w:val="ad"/>
        <w:tblW w:w="0" w:type="auto"/>
        <w:tblInd w:w="108" w:type="dxa"/>
        <w:tblLook w:val="01E0" w:firstRow="1" w:lastRow="1" w:firstColumn="1" w:lastColumn="1" w:noHBand="0" w:noVBand="0"/>
      </w:tblPr>
      <w:tblGrid>
        <w:gridCol w:w="1743"/>
        <w:gridCol w:w="1765"/>
        <w:gridCol w:w="1747"/>
        <w:gridCol w:w="1951"/>
        <w:gridCol w:w="2031"/>
      </w:tblGrid>
      <w:tr w:rsidR="007C7BBA" w:rsidRPr="00120A95" w:rsidTr="00B90BA0">
        <w:tc>
          <w:tcPr>
            <w:tcW w:w="1753"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Ознаки</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Градація ознак</w:t>
            </w:r>
          </w:p>
        </w:tc>
        <w:tc>
          <w:tcPr>
            <w:tcW w:w="1751"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Діагностичний коефіцієнт</w:t>
            </w:r>
          </w:p>
        </w:tc>
        <w:tc>
          <w:tcPr>
            <w:tcW w:w="1991"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8"/>
                <w:lang w:val="uk-UA"/>
              </w:rPr>
            </w:pPr>
            <w:r w:rsidRPr="00120A95">
              <w:rPr>
                <w:sz w:val="24"/>
                <w:szCs w:val="24"/>
                <w:lang w:val="uk-UA"/>
              </w:rPr>
              <w:t>Інформативність</w:t>
            </w:r>
          </w:p>
        </w:tc>
        <w:tc>
          <w:tcPr>
            <w:tcW w:w="2445"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Загальна інформативність</w:t>
            </w:r>
          </w:p>
        </w:tc>
      </w:tr>
      <w:tr w:rsidR="007C7BBA" w:rsidRPr="00120A95" w:rsidTr="00B90BA0">
        <w:trPr>
          <w:trHeight w:val="675"/>
        </w:trPr>
        <w:tc>
          <w:tcPr>
            <w:tcW w:w="1753"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1</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3</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4</w:t>
            </w:r>
          </w:p>
        </w:tc>
        <w:tc>
          <w:tcPr>
            <w:tcW w:w="2445"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after="0"/>
              <w:ind w:left="0"/>
              <w:jc w:val="center"/>
              <w:rPr>
                <w:sz w:val="24"/>
                <w:szCs w:val="24"/>
                <w:lang w:val="uk-UA"/>
              </w:rPr>
            </w:pPr>
            <w:r w:rsidRPr="00120A95">
              <w:rPr>
                <w:sz w:val="24"/>
                <w:szCs w:val="24"/>
                <w:lang w:val="uk-UA"/>
              </w:rPr>
              <w:t>5</w:t>
            </w:r>
          </w:p>
        </w:tc>
      </w:tr>
      <w:tr w:rsidR="007C7BBA" w:rsidRPr="00120A95"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spacing w:line="240" w:lineRule="atLeast"/>
              <w:rPr>
                <w:sz w:val="28"/>
                <w:lang w:val="uk-UA"/>
              </w:rPr>
            </w:pPr>
            <w:r w:rsidRPr="00120A95">
              <w:rPr>
                <w:sz w:val="24"/>
                <w:szCs w:val="24"/>
                <w:lang w:val="uk-UA"/>
              </w:rPr>
              <w:t>Копрограма</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spacing w:line="240" w:lineRule="atLeast"/>
              <w:rPr>
                <w:sz w:val="24"/>
                <w:szCs w:val="24"/>
                <w:lang w:val="uk-UA"/>
              </w:rPr>
            </w:pPr>
            <w:r w:rsidRPr="00120A95">
              <w:rPr>
                <w:sz w:val="24"/>
                <w:szCs w:val="24"/>
                <w:lang w:val="uk-UA"/>
              </w:rPr>
              <w:t>з порушеннями перетравлення</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-2,81</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0,2</w:t>
            </w:r>
          </w:p>
        </w:tc>
        <w:tc>
          <w:tcPr>
            <w:tcW w:w="2445"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0,7</w:t>
            </w:r>
          </w:p>
        </w:tc>
      </w:tr>
      <w:tr w:rsidR="007C7BBA" w:rsidRPr="00120A95"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120A95">
              <w:rPr>
                <w:sz w:val="24"/>
                <w:szCs w:val="24"/>
                <w:lang w:val="uk-UA"/>
              </w:rPr>
              <w:t>без порушень перетравлення</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+3,22</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0,52</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120A95" w:rsidRDefault="007C7BBA" w:rsidP="00B90BA0">
            <w:pPr>
              <w:spacing w:line="240" w:lineRule="atLeast"/>
              <w:jc w:val="center"/>
              <w:rPr>
                <w:sz w:val="24"/>
                <w:szCs w:val="24"/>
                <w:lang w:val="uk-UA"/>
              </w:rPr>
            </w:pPr>
          </w:p>
        </w:tc>
      </w:tr>
      <w:tr w:rsidR="007C7BBA" w:rsidRPr="00120A95" w:rsidTr="00B90BA0">
        <w:trPr>
          <w:trHeight w:val="675"/>
        </w:trPr>
        <w:tc>
          <w:tcPr>
            <w:tcW w:w="9900" w:type="dxa"/>
            <w:gridSpan w:val="5"/>
            <w:tcBorders>
              <w:top w:val="nil"/>
              <w:left w:val="nil"/>
              <w:bottom w:val="single" w:sz="4" w:space="0" w:color="auto"/>
              <w:right w:val="nil"/>
            </w:tcBorders>
            <w:shd w:val="clear" w:color="auto" w:fill="auto"/>
            <w:vAlign w:val="center"/>
          </w:tcPr>
          <w:p w:rsidR="007C7BBA" w:rsidRPr="00302A87" w:rsidRDefault="007C7BBA" w:rsidP="00B90BA0">
            <w:pPr>
              <w:spacing w:line="240" w:lineRule="atLeast"/>
              <w:jc w:val="right"/>
              <w:rPr>
                <w:i/>
                <w:sz w:val="28"/>
                <w:szCs w:val="28"/>
                <w:lang w:val="uk-UA"/>
              </w:rPr>
            </w:pPr>
            <w:r w:rsidRPr="00302A87">
              <w:rPr>
                <w:i/>
                <w:sz w:val="28"/>
                <w:szCs w:val="28"/>
                <w:lang w:val="uk-UA"/>
              </w:rPr>
              <w:t>Продовж. табл. 5</w:t>
            </w:r>
          </w:p>
        </w:tc>
      </w:tr>
      <w:tr w:rsidR="007C7BBA" w:rsidRPr="00120A95" w:rsidTr="00B90BA0">
        <w:trPr>
          <w:trHeight w:val="675"/>
        </w:trPr>
        <w:tc>
          <w:tcPr>
            <w:tcW w:w="1753" w:type="dxa"/>
            <w:tcBorders>
              <w:left w:val="single" w:sz="4" w:space="0" w:color="auto"/>
              <w:bottom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1</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3</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4</w:t>
            </w:r>
          </w:p>
        </w:tc>
        <w:tc>
          <w:tcPr>
            <w:tcW w:w="2445" w:type="dxa"/>
            <w:tcBorders>
              <w:left w:val="single" w:sz="4" w:space="0" w:color="auto"/>
              <w:bottom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5</w:t>
            </w:r>
          </w:p>
        </w:tc>
      </w:tr>
      <w:tr w:rsidR="007C7BBA" w:rsidRPr="00120A95"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spacing w:line="240" w:lineRule="atLeast"/>
              <w:rPr>
                <w:sz w:val="24"/>
                <w:szCs w:val="24"/>
                <w:lang w:val="uk-UA"/>
              </w:rPr>
            </w:pPr>
            <w:r w:rsidRPr="00120A95">
              <w:rPr>
                <w:sz w:val="24"/>
                <w:szCs w:val="24"/>
                <w:lang w:val="uk-UA"/>
              </w:rPr>
              <w:lastRenderedPageBreak/>
              <w:t>АлАТ</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spacing w:line="240" w:lineRule="atLeast"/>
              <w:rPr>
                <w:sz w:val="24"/>
                <w:szCs w:val="24"/>
                <w:lang w:val="uk-UA"/>
              </w:rPr>
            </w:pPr>
            <w:r>
              <w:rPr>
                <w:sz w:val="24"/>
                <w:szCs w:val="24"/>
                <w:lang w:val="uk-UA"/>
              </w:rPr>
              <w:t>&lt;5 ммоль/(ч·</w:t>
            </w:r>
            <w:r w:rsidRPr="00120A95">
              <w:rPr>
                <w:sz w:val="24"/>
                <w:szCs w:val="24"/>
                <w:lang w:val="uk-UA"/>
              </w:rPr>
              <w:t>л)</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+3,51</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0,54</w:t>
            </w:r>
          </w:p>
        </w:tc>
        <w:tc>
          <w:tcPr>
            <w:tcW w:w="2445"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0,93</w:t>
            </w:r>
          </w:p>
        </w:tc>
      </w:tr>
      <w:tr w:rsidR="007C7BBA" w:rsidRPr="00120A95"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120A95"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Pr>
                <w:sz w:val="24"/>
                <w:szCs w:val="24"/>
                <w:lang w:val="uk-UA"/>
              </w:rPr>
              <w:t>&gt;5 ммоль/(ч·</w:t>
            </w:r>
            <w:r w:rsidRPr="00120A95">
              <w:rPr>
                <w:sz w:val="24"/>
                <w:szCs w:val="24"/>
                <w:lang w:val="uk-UA"/>
              </w:rPr>
              <w:t>л)</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-2,32</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0,39</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120A95" w:rsidRDefault="007C7BBA" w:rsidP="00B90BA0">
            <w:pPr>
              <w:spacing w:line="240" w:lineRule="atLeast"/>
              <w:jc w:val="center"/>
              <w:rPr>
                <w:sz w:val="24"/>
                <w:szCs w:val="24"/>
                <w:lang w:val="uk-UA"/>
              </w:rPr>
            </w:pPr>
          </w:p>
        </w:tc>
      </w:tr>
      <w:tr w:rsidR="007C7BBA" w:rsidRPr="00120A95"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spacing w:line="240" w:lineRule="atLeast"/>
              <w:rPr>
                <w:sz w:val="24"/>
                <w:szCs w:val="24"/>
                <w:lang w:val="uk-UA"/>
              </w:rPr>
            </w:pPr>
            <w:r w:rsidRPr="00120A95">
              <w:rPr>
                <w:sz w:val="24"/>
                <w:szCs w:val="24"/>
                <w:lang w:val="uk-UA"/>
              </w:rPr>
              <w:t>Білірубін</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spacing w:line="240" w:lineRule="atLeast"/>
              <w:rPr>
                <w:sz w:val="24"/>
                <w:szCs w:val="24"/>
                <w:lang w:val="uk-UA"/>
              </w:rPr>
            </w:pPr>
            <w:r w:rsidRPr="00120A95">
              <w:rPr>
                <w:sz w:val="24"/>
                <w:szCs w:val="24"/>
                <w:lang w:val="uk-UA"/>
              </w:rPr>
              <w:t>&lt;100 мкмоль/л</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+4,50</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0,77</w:t>
            </w:r>
          </w:p>
        </w:tc>
        <w:tc>
          <w:tcPr>
            <w:tcW w:w="2445" w:type="dxa"/>
            <w:vMerge w:val="restart"/>
            <w:tcBorders>
              <w:top w:val="single" w:sz="4" w:space="0" w:color="auto"/>
              <w:left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0,87</w:t>
            </w:r>
          </w:p>
        </w:tc>
      </w:tr>
      <w:tr w:rsidR="007C7BBA" w:rsidRPr="00120A95"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120A95"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120A95">
              <w:rPr>
                <w:sz w:val="24"/>
                <w:szCs w:val="24"/>
                <w:lang w:val="uk-UA"/>
              </w:rPr>
              <w:t>&gt;100 мкмоль/л</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-2,40</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0,10</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120A95"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 xml:space="preserve">Рівень </w:t>
            </w:r>
          </w:p>
          <w:p w:rsidR="007C7BBA" w:rsidRPr="00442C92" w:rsidRDefault="007C7BBA" w:rsidP="00B90BA0">
            <w:pPr>
              <w:spacing w:line="240" w:lineRule="atLeast"/>
              <w:rPr>
                <w:sz w:val="24"/>
                <w:szCs w:val="24"/>
                <w:lang w:val="uk-UA"/>
              </w:rPr>
            </w:pPr>
            <w:r w:rsidRPr="00442C92">
              <w:rPr>
                <w:sz w:val="24"/>
                <w:szCs w:val="24"/>
                <w:lang w:val="uk-UA"/>
              </w:rPr>
              <w:t>біфідобактерій</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-0,90</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0,01</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2,40</w:t>
            </w: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 10</w:t>
            </w:r>
            <w:r w:rsidRPr="00302A87">
              <w:rPr>
                <w:sz w:val="24"/>
                <w:szCs w:val="24"/>
                <w:vertAlign w:val="superscript"/>
                <w:lang w:val="uk-UA"/>
              </w:rPr>
              <w:t>7</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+6,99</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0,84</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 10</w:t>
            </w:r>
            <w:r w:rsidRPr="00302A87">
              <w:rPr>
                <w:sz w:val="24"/>
                <w:szCs w:val="24"/>
                <w:vertAlign w:val="superscript"/>
                <w:lang w:val="uk-UA"/>
              </w:rPr>
              <w:t>6</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+0,96</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0,05</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 &lt;10</w:t>
            </w:r>
            <w:r w:rsidRPr="00302A87">
              <w:rPr>
                <w:sz w:val="24"/>
                <w:szCs w:val="24"/>
                <w:vertAlign w:val="superscript"/>
                <w:lang w:val="uk-UA"/>
              </w:rPr>
              <w:t>6</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-10,17</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1,50</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 xml:space="preserve">Рівень </w:t>
            </w:r>
          </w:p>
          <w:p w:rsidR="007C7BBA" w:rsidRPr="00442C92" w:rsidRDefault="007C7BBA" w:rsidP="00B90BA0">
            <w:pPr>
              <w:spacing w:line="240" w:lineRule="atLeast"/>
              <w:rPr>
                <w:sz w:val="24"/>
                <w:szCs w:val="24"/>
                <w:lang w:val="uk-UA"/>
              </w:rPr>
            </w:pPr>
            <w:r w:rsidRPr="00442C92">
              <w:rPr>
                <w:sz w:val="24"/>
                <w:szCs w:val="24"/>
                <w:lang w:val="uk-UA"/>
              </w:rPr>
              <w:t>лактобактерій</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-0,50</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0,02</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2,11</w:t>
            </w: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 10</w:t>
            </w:r>
            <w:r w:rsidRPr="00302A87">
              <w:rPr>
                <w:sz w:val="24"/>
                <w:szCs w:val="24"/>
                <w:vertAlign w:val="superscript"/>
                <w:lang w:val="uk-UA"/>
              </w:rPr>
              <w:t>6</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+12,23</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1,35</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 10</w:t>
            </w:r>
            <w:r w:rsidRPr="00302A87">
              <w:rPr>
                <w:sz w:val="24"/>
                <w:szCs w:val="24"/>
                <w:vertAlign w:val="superscript"/>
                <w:lang w:val="uk-UA"/>
              </w:rPr>
              <w:t>5</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+1,7</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0,13</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зменшений до&lt;10</w:t>
            </w:r>
            <w:r w:rsidRPr="00302A87">
              <w:rPr>
                <w:sz w:val="24"/>
                <w:szCs w:val="24"/>
                <w:vertAlign w:val="superscript"/>
                <w:lang w:val="uk-UA"/>
              </w:rPr>
              <w:t>5</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-3,77</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0,61</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Рівень УПМ</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+7,6</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1,10</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jc w:val="center"/>
              <w:rPr>
                <w:sz w:val="24"/>
                <w:szCs w:val="24"/>
                <w:lang w:val="uk-UA"/>
              </w:rPr>
            </w:pPr>
            <w:r w:rsidRPr="00442C92">
              <w:rPr>
                <w:sz w:val="24"/>
                <w:szCs w:val="24"/>
                <w:lang w:val="uk-UA"/>
              </w:rPr>
              <w:t>1,13</w:t>
            </w: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збільшений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-1,54</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0,03</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Рівень SIgA</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-1,14</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0,99</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7,04</w:t>
            </w: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збільшений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+6,63</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2,29</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зменшений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-12,43</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4,16</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Рівень СРБ</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-0,52</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0,05</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5,4</w:t>
            </w: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збільшений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+6,70</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2,35</w:t>
            </w:r>
          </w:p>
        </w:tc>
        <w:tc>
          <w:tcPr>
            <w:tcW w:w="2445" w:type="dxa"/>
            <w:vMerge/>
            <w:tcBorders>
              <w:left w:val="single" w:sz="4" w:space="0" w:color="auto"/>
              <w:bottom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p>
        </w:tc>
      </w:tr>
      <w:tr w:rsidR="007C7BBA" w:rsidTr="00B90BA0">
        <w:trPr>
          <w:trHeight w:val="570"/>
        </w:trPr>
        <w:tc>
          <w:tcPr>
            <w:tcW w:w="9900" w:type="dxa"/>
            <w:gridSpan w:val="5"/>
            <w:tcBorders>
              <w:top w:val="nil"/>
              <w:left w:val="nil"/>
              <w:right w:val="nil"/>
            </w:tcBorders>
            <w:shd w:val="clear" w:color="auto" w:fill="auto"/>
          </w:tcPr>
          <w:p w:rsidR="007C7BBA" w:rsidRDefault="007C7BBA" w:rsidP="00B90BA0">
            <w:pPr>
              <w:pStyle w:val="a7"/>
              <w:spacing w:line="240" w:lineRule="atLeast"/>
              <w:ind w:left="0"/>
              <w:jc w:val="right"/>
              <w:rPr>
                <w:sz w:val="28"/>
                <w:szCs w:val="28"/>
                <w:lang w:val="uk-UA"/>
              </w:rPr>
            </w:pPr>
          </w:p>
          <w:p w:rsidR="007C7BBA" w:rsidRPr="00AB19A5" w:rsidRDefault="007C7BBA" w:rsidP="00B90BA0">
            <w:pPr>
              <w:pStyle w:val="a7"/>
              <w:spacing w:line="240" w:lineRule="atLeast"/>
              <w:ind w:left="0"/>
              <w:jc w:val="right"/>
              <w:rPr>
                <w:i/>
                <w:sz w:val="28"/>
                <w:szCs w:val="28"/>
                <w:lang w:val="uk-UA"/>
              </w:rPr>
            </w:pPr>
            <w:r w:rsidRPr="00AB19A5">
              <w:rPr>
                <w:i/>
                <w:sz w:val="28"/>
                <w:szCs w:val="28"/>
                <w:lang w:val="uk-UA"/>
              </w:rPr>
              <w:t>Продовж. табл. 5</w:t>
            </w:r>
          </w:p>
        </w:tc>
      </w:tr>
      <w:tr w:rsidR="007C7BBA" w:rsidTr="00B90BA0">
        <w:trPr>
          <w:trHeight w:val="675"/>
        </w:trPr>
        <w:tc>
          <w:tcPr>
            <w:tcW w:w="1753" w:type="dxa"/>
            <w:tcBorders>
              <w:top w:val="single" w:sz="4" w:space="0" w:color="auto"/>
              <w:left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lastRenderedPageBreak/>
              <w:t>1</w:t>
            </w:r>
          </w:p>
        </w:tc>
        <w:tc>
          <w:tcPr>
            <w:tcW w:w="1960" w:type="dxa"/>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3</w:t>
            </w:r>
          </w:p>
        </w:tc>
        <w:tc>
          <w:tcPr>
            <w:tcW w:w="0" w:type="auto"/>
            <w:tcBorders>
              <w:top w:val="single" w:sz="4" w:space="0" w:color="auto"/>
              <w:left w:val="single" w:sz="4" w:space="0" w:color="auto"/>
              <w:bottom w:val="single" w:sz="4" w:space="0" w:color="auto"/>
              <w:right w:val="single" w:sz="4" w:space="0" w:color="auto"/>
            </w:tcBorders>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4</w:t>
            </w:r>
          </w:p>
        </w:tc>
        <w:tc>
          <w:tcPr>
            <w:tcW w:w="2445" w:type="dxa"/>
            <w:tcBorders>
              <w:top w:val="single" w:sz="4" w:space="0" w:color="auto"/>
              <w:left w:val="single" w:sz="4" w:space="0" w:color="auto"/>
              <w:right w:val="single" w:sz="4" w:space="0" w:color="auto"/>
            </w:tcBorders>
            <w:shd w:val="clear" w:color="auto" w:fill="auto"/>
          </w:tcPr>
          <w:p w:rsidR="007C7BBA" w:rsidRPr="00120A95" w:rsidRDefault="007C7BBA" w:rsidP="00B90BA0">
            <w:pPr>
              <w:pStyle w:val="a7"/>
              <w:spacing w:line="240" w:lineRule="atLeast"/>
              <w:ind w:left="0"/>
              <w:jc w:val="center"/>
              <w:rPr>
                <w:sz w:val="24"/>
                <w:szCs w:val="24"/>
                <w:lang w:val="uk-UA"/>
              </w:rPr>
            </w:pPr>
            <w:r w:rsidRPr="00120A95">
              <w:rPr>
                <w:sz w:val="24"/>
                <w:szCs w:val="24"/>
                <w:lang w:val="uk-UA"/>
              </w:rPr>
              <w:t>5</w:t>
            </w:r>
          </w:p>
        </w:tc>
      </w:tr>
      <w:tr w:rsidR="007C7BBA" w:rsidTr="00B90BA0">
        <w:trPr>
          <w:trHeight w:val="675"/>
        </w:trPr>
        <w:tc>
          <w:tcPr>
            <w:tcW w:w="1753" w:type="dxa"/>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зменшений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-11,55</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3,00</w:t>
            </w:r>
          </w:p>
        </w:tc>
        <w:tc>
          <w:tcPr>
            <w:tcW w:w="2445" w:type="dxa"/>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Рівень ГГ</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-0,52</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0,05</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7,13</w:t>
            </w: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збільшений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+8,38</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3,23</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зменшений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-11,55</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3,75</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jc w:val="center"/>
              <w:rPr>
                <w:sz w:val="24"/>
                <w:szCs w:val="24"/>
                <w:lang w:val="uk-UA"/>
              </w:rPr>
            </w:pPr>
          </w:p>
        </w:tc>
      </w:tr>
      <w:tr w:rsidR="007C7BBA" w:rsidTr="00B90BA0">
        <w:trPr>
          <w:trHeight w:val="675"/>
        </w:trPr>
        <w:tc>
          <w:tcPr>
            <w:tcW w:w="1753"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spacing w:line="240" w:lineRule="atLeast"/>
              <w:rPr>
                <w:sz w:val="24"/>
                <w:szCs w:val="24"/>
                <w:lang w:val="uk-UA"/>
              </w:rPr>
            </w:pPr>
            <w:r w:rsidRPr="00442C92">
              <w:rPr>
                <w:sz w:val="24"/>
                <w:szCs w:val="24"/>
                <w:lang w:val="uk-UA"/>
              </w:rPr>
              <w:t>Рівень ЦП</w:t>
            </w: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spacing w:line="240" w:lineRule="atLeast"/>
              <w:rPr>
                <w:sz w:val="24"/>
                <w:szCs w:val="24"/>
                <w:lang w:val="uk-UA"/>
              </w:rPr>
            </w:pPr>
            <w:r w:rsidRPr="00442C92">
              <w:rPr>
                <w:sz w:val="24"/>
                <w:szCs w:val="24"/>
                <w:lang w:val="uk-UA"/>
              </w:rPr>
              <w:t>нормальний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-3,01</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0,11</w:t>
            </w:r>
          </w:p>
        </w:tc>
        <w:tc>
          <w:tcPr>
            <w:tcW w:w="2445" w:type="dxa"/>
            <w:vMerge w:val="restart"/>
            <w:tcBorders>
              <w:top w:val="single" w:sz="4" w:space="0" w:color="auto"/>
              <w:left w:val="single" w:sz="4" w:space="0" w:color="auto"/>
              <w:right w:val="single" w:sz="4" w:space="0" w:color="auto"/>
            </w:tcBorders>
            <w:shd w:val="clear" w:color="auto" w:fill="auto"/>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6,53</w:t>
            </w:r>
          </w:p>
        </w:tc>
      </w:tr>
      <w:tr w:rsidR="007C7BBA" w:rsidTr="00B90BA0">
        <w:trPr>
          <w:trHeight w:val="675"/>
        </w:trPr>
        <w:tc>
          <w:tcPr>
            <w:tcW w:w="1753"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збільшений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+6,72</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2,39</w:t>
            </w:r>
          </w:p>
        </w:tc>
        <w:tc>
          <w:tcPr>
            <w:tcW w:w="2445" w:type="dxa"/>
            <w:vMerge/>
            <w:tcBorders>
              <w:left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r>
      <w:tr w:rsidR="007C7BBA" w:rsidTr="00B90BA0">
        <w:trPr>
          <w:trHeight w:val="675"/>
        </w:trPr>
        <w:tc>
          <w:tcPr>
            <w:tcW w:w="1753"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c>
          <w:tcPr>
            <w:tcW w:w="1960" w:type="dxa"/>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rPr>
                <w:sz w:val="24"/>
                <w:szCs w:val="24"/>
                <w:lang w:val="uk-UA"/>
              </w:rPr>
            </w:pPr>
            <w:r w:rsidRPr="00442C92">
              <w:rPr>
                <w:sz w:val="24"/>
                <w:szCs w:val="24"/>
                <w:lang w:val="uk-UA"/>
              </w:rPr>
              <w:t>зменшений</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-12,20</w:t>
            </w:r>
          </w:p>
        </w:tc>
        <w:tc>
          <w:tcPr>
            <w:tcW w:w="0" w:type="auto"/>
            <w:tcBorders>
              <w:top w:val="single" w:sz="4" w:space="0" w:color="auto"/>
              <w:left w:val="single" w:sz="4" w:space="0" w:color="auto"/>
              <w:bottom w:val="single" w:sz="4" w:space="0" w:color="auto"/>
              <w:right w:val="single" w:sz="4" w:space="0" w:color="auto"/>
            </w:tcBorders>
          </w:tcPr>
          <w:p w:rsidR="007C7BBA" w:rsidRPr="00442C92" w:rsidRDefault="007C7BBA" w:rsidP="00B90BA0">
            <w:pPr>
              <w:pStyle w:val="a7"/>
              <w:spacing w:line="240" w:lineRule="atLeast"/>
              <w:ind w:left="0"/>
              <w:jc w:val="center"/>
              <w:rPr>
                <w:sz w:val="24"/>
                <w:szCs w:val="24"/>
                <w:lang w:val="uk-UA"/>
              </w:rPr>
            </w:pPr>
            <w:r w:rsidRPr="00442C92">
              <w:rPr>
                <w:sz w:val="24"/>
                <w:szCs w:val="24"/>
                <w:lang w:val="uk-UA"/>
              </w:rPr>
              <w:t xml:space="preserve">4,03 </w:t>
            </w:r>
          </w:p>
        </w:tc>
        <w:tc>
          <w:tcPr>
            <w:tcW w:w="2445" w:type="dxa"/>
            <w:vMerge/>
            <w:tcBorders>
              <w:left w:val="single" w:sz="4" w:space="0" w:color="auto"/>
              <w:bottom w:val="single" w:sz="4" w:space="0" w:color="auto"/>
              <w:right w:val="single" w:sz="4" w:space="0" w:color="auto"/>
            </w:tcBorders>
            <w:shd w:val="clear" w:color="auto" w:fill="auto"/>
            <w:vAlign w:val="center"/>
          </w:tcPr>
          <w:p w:rsidR="007C7BBA" w:rsidRPr="00442C92" w:rsidRDefault="007C7BBA" w:rsidP="00B90BA0">
            <w:pPr>
              <w:spacing w:line="240" w:lineRule="atLeast"/>
              <w:rPr>
                <w:sz w:val="24"/>
                <w:szCs w:val="24"/>
                <w:lang w:val="uk-UA"/>
              </w:rPr>
            </w:pPr>
          </w:p>
        </w:tc>
      </w:tr>
    </w:tbl>
    <w:p w:rsidR="007C7BBA" w:rsidRDefault="007C7BBA" w:rsidP="007C7BBA">
      <w:pPr>
        <w:spacing w:line="240" w:lineRule="atLeast"/>
        <w:ind w:firstLine="360"/>
        <w:jc w:val="both"/>
        <w:rPr>
          <w:sz w:val="28"/>
        </w:rPr>
      </w:pPr>
    </w:p>
    <w:p w:rsidR="007C7BBA" w:rsidRPr="006D1FF1" w:rsidRDefault="007C7BBA" w:rsidP="007C7BBA">
      <w:pPr>
        <w:tabs>
          <w:tab w:val="left" w:pos="709"/>
          <w:tab w:val="left" w:pos="1560"/>
        </w:tabs>
        <w:ind w:left="180"/>
        <w:jc w:val="both"/>
        <w:rPr>
          <w:sz w:val="28"/>
          <w:lang w:val="uk-UA"/>
        </w:rPr>
      </w:pPr>
      <w:r>
        <w:rPr>
          <w:sz w:val="28"/>
          <w:lang w:val="uk-UA"/>
        </w:rPr>
        <w:t xml:space="preserve">       3.       </w:t>
      </w:r>
      <w:r w:rsidRPr="006D1FF1">
        <w:rPr>
          <w:sz w:val="28"/>
          <w:lang w:val="uk-UA"/>
        </w:rPr>
        <w:t xml:space="preserve">Застосовувати для лікування хворих на ГА з легким перебігом хвороби пребіотик лактулозу в дозі 10–15 мл 3 рази на добу протягом 3 тижнів; з середньотяжким – лактулозу в комплексі з рослинним препаратом альтаном (по </w:t>
      </w:r>
      <w:r>
        <w:rPr>
          <w:sz w:val="28"/>
          <w:lang w:val="uk-UA"/>
        </w:rPr>
        <w:t>10 мг 3 рази на добу) протягом</w:t>
      </w:r>
      <w:r w:rsidRPr="006D1FF1">
        <w:rPr>
          <w:sz w:val="28"/>
          <w:lang w:val="uk-UA"/>
        </w:rPr>
        <w:t xml:space="preserve"> 3 тижнів. При відсутності нормалі</w:t>
      </w:r>
      <w:r>
        <w:rPr>
          <w:sz w:val="28"/>
          <w:lang w:val="uk-UA"/>
        </w:rPr>
        <w:t>зації показників мікробіоценозу</w:t>
      </w:r>
      <w:r w:rsidRPr="006D1FF1">
        <w:rPr>
          <w:sz w:val="28"/>
          <w:lang w:val="uk-UA"/>
        </w:rPr>
        <w:t xml:space="preserve"> рекомендується про</w:t>
      </w:r>
      <w:r>
        <w:rPr>
          <w:sz w:val="28"/>
          <w:lang w:val="uk-UA"/>
        </w:rPr>
        <w:t>довжити корекцію</w:t>
      </w:r>
      <w:r w:rsidRPr="006D1FF1">
        <w:rPr>
          <w:sz w:val="28"/>
          <w:lang w:val="uk-UA"/>
        </w:rPr>
        <w:t xml:space="preserve"> біоценозу з проведенням бактеріологічного контролю калу.</w:t>
      </w:r>
    </w:p>
    <w:p w:rsidR="007C7BBA" w:rsidRPr="006D1FF1" w:rsidRDefault="007C7BBA" w:rsidP="007C7BBA">
      <w:pPr>
        <w:ind w:firstLine="360"/>
        <w:rPr>
          <w:lang w:val="uk-UA"/>
        </w:rPr>
      </w:pPr>
    </w:p>
    <w:p w:rsidR="007C7BBA" w:rsidRDefault="007C7BBA" w:rsidP="007C7BBA">
      <w:pPr>
        <w:ind w:firstLine="567"/>
        <w:jc w:val="both"/>
        <w:rPr>
          <w:b/>
          <w:caps/>
          <w:sz w:val="28"/>
          <w:szCs w:val="28"/>
          <w:lang w:val="uk-UA"/>
        </w:rPr>
      </w:pPr>
      <w:r>
        <w:rPr>
          <w:b/>
          <w:caps/>
          <w:sz w:val="28"/>
          <w:szCs w:val="28"/>
          <w:lang w:val="uk-UA"/>
        </w:rPr>
        <w:t>Список робіт, ОПУБЛІКОВАНИХ ЗА ТЕМОЮ ДИСЕРТАЦІЇ</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Копійченко Я.І. Особливості мікроекології товстої кишки у хворих на ВГА / Я.І. Копійченко // Актуальні проблеми сучасної медицини: Вісник Української медичної стоматологічної академії. – 2007. – Т.7, №4. – С. 106-109.</w:t>
      </w:r>
    </w:p>
    <w:p w:rsidR="007C7BBA" w:rsidRDefault="007C7BBA" w:rsidP="007C7BBA">
      <w:pPr>
        <w:numPr>
          <w:ilvl w:val="0"/>
          <w:numId w:val="7"/>
        </w:numPr>
        <w:tabs>
          <w:tab w:val="clear" w:pos="720"/>
          <w:tab w:val="num" w:pos="0"/>
          <w:tab w:val="left" w:pos="540"/>
        </w:tabs>
        <w:spacing w:after="0" w:line="240" w:lineRule="auto"/>
        <w:ind w:left="0" w:firstLine="540"/>
        <w:jc w:val="both"/>
        <w:rPr>
          <w:sz w:val="28"/>
          <w:szCs w:val="28"/>
          <w:lang w:val="uk-UA"/>
        </w:rPr>
      </w:pPr>
      <w:r>
        <w:rPr>
          <w:sz w:val="28"/>
          <w:szCs w:val="28"/>
          <w:lang w:val="uk-UA"/>
        </w:rPr>
        <w:t xml:space="preserve">Козько В.М. </w:t>
      </w:r>
      <w:r w:rsidRPr="0087382C">
        <w:rPr>
          <w:sz w:val="28"/>
          <w:szCs w:val="28"/>
          <w:lang w:val="uk-UA"/>
        </w:rPr>
        <w:t>Стан місцевого імунітету у хворих на вірусний гепатит А</w:t>
      </w:r>
      <w:r>
        <w:rPr>
          <w:sz w:val="28"/>
          <w:szCs w:val="28"/>
          <w:lang w:val="uk-UA"/>
        </w:rPr>
        <w:t xml:space="preserve"> /</w:t>
      </w:r>
      <w:r w:rsidRPr="00935687">
        <w:rPr>
          <w:sz w:val="28"/>
          <w:szCs w:val="28"/>
          <w:lang w:val="uk-UA"/>
        </w:rPr>
        <w:t xml:space="preserve"> </w:t>
      </w:r>
      <w:r>
        <w:rPr>
          <w:sz w:val="28"/>
          <w:szCs w:val="28"/>
          <w:lang w:val="uk-UA"/>
        </w:rPr>
        <w:t>В.М.</w:t>
      </w:r>
      <w:r w:rsidRPr="00935687">
        <w:rPr>
          <w:sz w:val="28"/>
          <w:szCs w:val="28"/>
          <w:lang w:val="uk-UA"/>
        </w:rPr>
        <w:t xml:space="preserve"> </w:t>
      </w:r>
      <w:r>
        <w:rPr>
          <w:sz w:val="28"/>
          <w:szCs w:val="28"/>
          <w:lang w:val="uk-UA"/>
        </w:rPr>
        <w:t>Козько, Я.І. Копійченко // Е</w:t>
      </w:r>
      <w:r w:rsidRPr="0087382C">
        <w:rPr>
          <w:sz w:val="28"/>
          <w:szCs w:val="28"/>
          <w:lang w:val="uk-UA"/>
        </w:rPr>
        <w:t>кспериментальна і клінічна медицина. – 2008. – №2. – С.41-43 (</w:t>
      </w:r>
      <w:r>
        <w:rPr>
          <w:sz w:val="28"/>
          <w:szCs w:val="28"/>
          <w:lang w:val="uk-UA"/>
        </w:rPr>
        <w:t>дисертантом вивчені дані сучасної світової літератури, проведені узагальнення отриманих даних, оформлена стаття)</w:t>
      </w:r>
      <w:r w:rsidRPr="0087382C">
        <w:rPr>
          <w:sz w:val="28"/>
          <w:szCs w:val="28"/>
          <w:lang w:val="uk-UA"/>
        </w:rPr>
        <w:t>.</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 xml:space="preserve">Козько В.М. Клінічна та лабораторна оцінка терапевтичної ефективності альтану і лактулози у хворих на вірусний гепатит А/ В.М. Козько, Я.І. Копійченко, А.В. Бондаренко // Сучасні інфекції. – 2008. – №3. – С. </w:t>
      </w:r>
      <w:r w:rsidRPr="00C27D99">
        <w:rPr>
          <w:sz w:val="28"/>
          <w:szCs w:val="28"/>
          <w:lang w:val="uk-UA"/>
        </w:rPr>
        <w:t>21</w:t>
      </w:r>
      <w:r>
        <w:rPr>
          <w:sz w:val="28"/>
          <w:szCs w:val="28"/>
          <w:lang w:val="uk-UA"/>
        </w:rPr>
        <w:t>-</w:t>
      </w:r>
      <w:r w:rsidRPr="00C27D99">
        <w:rPr>
          <w:sz w:val="28"/>
          <w:szCs w:val="28"/>
          <w:lang w:val="uk-UA"/>
        </w:rPr>
        <w:t>26</w:t>
      </w:r>
      <w:r w:rsidRPr="002778F2">
        <w:rPr>
          <w:sz w:val="28"/>
          <w:szCs w:val="28"/>
          <w:lang w:val="uk-UA"/>
        </w:rPr>
        <w:t xml:space="preserve"> </w:t>
      </w:r>
      <w:r>
        <w:rPr>
          <w:sz w:val="28"/>
          <w:szCs w:val="28"/>
          <w:lang w:val="uk-UA"/>
        </w:rPr>
        <w:t>(дисертантом проведені</w:t>
      </w:r>
      <w:r w:rsidRPr="0087382C">
        <w:rPr>
          <w:sz w:val="28"/>
          <w:szCs w:val="28"/>
          <w:lang w:val="uk-UA"/>
        </w:rPr>
        <w:t xml:space="preserve"> статистичн</w:t>
      </w:r>
      <w:r>
        <w:rPr>
          <w:sz w:val="28"/>
          <w:szCs w:val="28"/>
          <w:lang w:val="uk-UA"/>
        </w:rPr>
        <w:t>а</w:t>
      </w:r>
      <w:r w:rsidRPr="0087382C">
        <w:rPr>
          <w:sz w:val="28"/>
          <w:szCs w:val="28"/>
          <w:lang w:val="uk-UA"/>
        </w:rPr>
        <w:t xml:space="preserve"> обробк</w:t>
      </w:r>
      <w:r>
        <w:rPr>
          <w:sz w:val="28"/>
          <w:szCs w:val="28"/>
          <w:lang w:val="uk-UA"/>
        </w:rPr>
        <w:t>а</w:t>
      </w:r>
      <w:r w:rsidRPr="0087382C">
        <w:rPr>
          <w:sz w:val="28"/>
          <w:szCs w:val="28"/>
          <w:lang w:val="uk-UA"/>
        </w:rPr>
        <w:t xml:space="preserve"> та узагальнення отриманих даних).</w:t>
      </w:r>
    </w:p>
    <w:p w:rsidR="007C7BBA" w:rsidRPr="007D5E9C"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Козько В.М. П</w:t>
      </w:r>
      <w:r w:rsidRPr="007D5E9C">
        <w:rPr>
          <w:sz w:val="28"/>
          <w:szCs w:val="28"/>
          <w:lang w:val="uk-UA"/>
        </w:rPr>
        <w:t>оказники білків гострої фази у сироватці крові хворих на вірусний гепатит А /</w:t>
      </w:r>
      <w:r>
        <w:rPr>
          <w:sz w:val="28"/>
          <w:szCs w:val="28"/>
          <w:lang w:val="uk-UA"/>
        </w:rPr>
        <w:t xml:space="preserve"> В.М. Козько, Я.І. Копійченко </w:t>
      </w:r>
      <w:r w:rsidRPr="007D5E9C">
        <w:rPr>
          <w:sz w:val="28"/>
          <w:szCs w:val="28"/>
          <w:lang w:val="uk-UA"/>
        </w:rPr>
        <w:t>//</w:t>
      </w:r>
      <w:r>
        <w:rPr>
          <w:sz w:val="28"/>
          <w:szCs w:val="28"/>
          <w:lang w:val="uk-UA"/>
        </w:rPr>
        <w:t xml:space="preserve"> Вісник Харківського національного університету імені В.Н. Каразіна. – 2008. – № 797. – С. 84-87 </w:t>
      </w:r>
      <w:r>
        <w:rPr>
          <w:sz w:val="28"/>
          <w:szCs w:val="28"/>
          <w:lang w:val="uk-UA"/>
        </w:rPr>
        <w:lastRenderedPageBreak/>
        <w:t>(дисертантом проведені статистичні обчислення й узагальнення отриманих даних, оформлена стаття).</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Пат. 36147 Україна, МПК</w:t>
      </w:r>
      <w:r w:rsidRPr="00A95966">
        <w:rPr>
          <w:sz w:val="28"/>
          <w:szCs w:val="28"/>
          <w:lang w:val="uk-UA"/>
        </w:rPr>
        <w:t xml:space="preserve"> </w:t>
      </w:r>
      <w:r>
        <w:rPr>
          <w:sz w:val="28"/>
          <w:szCs w:val="28"/>
          <w:lang w:val="en-US"/>
        </w:rPr>
        <w:t>G</w:t>
      </w:r>
      <w:r w:rsidRPr="00A95966">
        <w:rPr>
          <w:sz w:val="28"/>
          <w:szCs w:val="28"/>
          <w:lang w:val="uk-UA"/>
        </w:rPr>
        <w:t xml:space="preserve"> 01 </w:t>
      </w:r>
      <w:r>
        <w:rPr>
          <w:sz w:val="28"/>
          <w:szCs w:val="28"/>
          <w:lang w:val="en-US"/>
        </w:rPr>
        <w:t>N</w:t>
      </w:r>
      <w:r w:rsidRPr="00A95966">
        <w:rPr>
          <w:sz w:val="28"/>
          <w:szCs w:val="28"/>
          <w:lang w:val="uk-UA"/>
        </w:rPr>
        <w:t xml:space="preserve"> 33</w:t>
      </w:r>
      <w:r>
        <w:rPr>
          <w:sz w:val="28"/>
          <w:szCs w:val="28"/>
          <w:lang w:val="uk-UA"/>
        </w:rPr>
        <w:t>/</w:t>
      </w:r>
      <w:r w:rsidRPr="00A95966">
        <w:rPr>
          <w:sz w:val="28"/>
          <w:szCs w:val="28"/>
          <w:lang w:val="uk-UA"/>
        </w:rPr>
        <w:t xml:space="preserve">00, </w:t>
      </w:r>
      <w:r>
        <w:rPr>
          <w:sz w:val="28"/>
          <w:szCs w:val="28"/>
          <w:lang w:val="en-US"/>
        </w:rPr>
        <w:t>A</w:t>
      </w:r>
      <w:r w:rsidRPr="00A95966">
        <w:rPr>
          <w:sz w:val="28"/>
          <w:szCs w:val="28"/>
          <w:lang w:val="uk-UA"/>
        </w:rPr>
        <w:t xml:space="preserve"> 61 </w:t>
      </w:r>
      <w:r>
        <w:rPr>
          <w:sz w:val="28"/>
          <w:szCs w:val="28"/>
          <w:lang w:val="en-US"/>
        </w:rPr>
        <w:t>B</w:t>
      </w:r>
      <w:r w:rsidRPr="00A95966">
        <w:rPr>
          <w:sz w:val="28"/>
          <w:szCs w:val="28"/>
          <w:lang w:val="uk-UA"/>
        </w:rPr>
        <w:t xml:space="preserve"> 19</w:t>
      </w:r>
      <w:r>
        <w:rPr>
          <w:sz w:val="28"/>
          <w:szCs w:val="28"/>
          <w:lang w:val="uk-UA"/>
        </w:rPr>
        <w:t>/</w:t>
      </w:r>
      <w:r w:rsidRPr="00A95966">
        <w:rPr>
          <w:sz w:val="28"/>
          <w:szCs w:val="28"/>
          <w:lang w:val="uk-UA"/>
        </w:rPr>
        <w:t xml:space="preserve">00. </w:t>
      </w:r>
      <w:r>
        <w:rPr>
          <w:sz w:val="28"/>
          <w:szCs w:val="28"/>
          <w:lang w:val="uk-UA"/>
        </w:rPr>
        <w:t xml:space="preserve">Спосіб прогнозування перебігу вірусного гепатиту А / В.М. Козько, Я.І. Копійченко, </w:t>
      </w:r>
      <w:r>
        <w:rPr>
          <w:sz w:val="28"/>
          <w:szCs w:val="28"/>
          <w:lang w:val="uk-UA"/>
        </w:rPr>
        <w:br w:type="textWrapping" w:clear="all"/>
        <w:t xml:space="preserve">Д.Б. Пеньков.; власник патенту Харк. нац. мед. ун-т. – № </w:t>
      </w:r>
      <w:r>
        <w:rPr>
          <w:sz w:val="28"/>
          <w:szCs w:val="28"/>
          <w:lang w:val="en-US"/>
        </w:rPr>
        <w:t>u</w:t>
      </w:r>
      <w:r>
        <w:rPr>
          <w:sz w:val="28"/>
          <w:szCs w:val="28"/>
          <w:lang w:val="uk-UA"/>
        </w:rPr>
        <w:t>200807199; Заявл. 23.05.2008; Опубл. 10.10.2008, Бюл. № 19. – 8 с.</w:t>
      </w:r>
    </w:p>
    <w:p w:rsidR="007C7BBA" w:rsidRPr="00F64848" w:rsidRDefault="007C7BBA" w:rsidP="007C7BBA">
      <w:pPr>
        <w:numPr>
          <w:ilvl w:val="0"/>
          <w:numId w:val="7"/>
        </w:numPr>
        <w:tabs>
          <w:tab w:val="clear" w:pos="720"/>
          <w:tab w:val="num" w:pos="0"/>
        </w:tabs>
        <w:spacing w:after="0" w:line="240" w:lineRule="auto"/>
        <w:ind w:left="0" w:firstLine="540"/>
        <w:jc w:val="both"/>
        <w:rPr>
          <w:sz w:val="28"/>
          <w:szCs w:val="28"/>
          <w:lang w:val="uk-UA"/>
        </w:rPr>
      </w:pPr>
      <w:r w:rsidRPr="00F64848">
        <w:rPr>
          <w:sz w:val="28"/>
          <w:szCs w:val="28"/>
          <w:lang w:val="uk-UA"/>
        </w:rPr>
        <w:t xml:space="preserve">Пат. 37070 Україна, МПК А 61 К 31/00, </w:t>
      </w:r>
      <w:r w:rsidRPr="00F64848">
        <w:rPr>
          <w:sz w:val="28"/>
          <w:szCs w:val="28"/>
          <w:lang w:val="en-US"/>
        </w:rPr>
        <w:t>A</w:t>
      </w:r>
      <w:r w:rsidRPr="00F64848">
        <w:rPr>
          <w:sz w:val="28"/>
          <w:szCs w:val="28"/>
          <w:lang w:val="uk-UA"/>
        </w:rPr>
        <w:t xml:space="preserve"> 61 К 35/20. Спосіб корекції мікропейзажу товстої кишки у хворих на вірусний гепатит А з легким та середньотяжким перебігом хвороби / В.М. Козько, Я.І. Копійченко, </w:t>
      </w:r>
      <w:r>
        <w:rPr>
          <w:sz w:val="28"/>
          <w:szCs w:val="28"/>
          <w:lang w:val="uk-UA"/>
        </w:rPr>
        <w:br w:type="textWrapping" w:clear="all"/>
      </w:r>
      <w:r w:rsidRPr="00F64848">
        <w:rPr>
          <w:sz w:val="28"/>
          <w:szCs w:val="28"/>
          <w:lang w:val="uk-UA"/>
        </w:rPr>
        <w:t>А.В. Бондаренко, А.В. Сохань, Д.Б</w:t>
      </w:r>
      <w:r>
        <w:rPr>
          <w:sz w:val="28"/>
          <w:szCs w:val="28"/>
          <w:lang w:val="uk-UA"/>
        </w:rPr>
        <w:t>. Пеньков</w:t>
      </w:r>
      <w:r w:rsidRPr="00F64848">
        <w:rPr>
          <w:sz w:val="28"/>
          <w:szCs w:val="28"/>
          <w:lang w:val="uk-UA"/>
        </w:rPr>
        <w:t xml:space="preserve">; власник патенту Харк. нац. мед. </w:t>
      </w:r>
      <w:r>
        <w:rPr>
          <w:sz w:val="28"/>
          <w:szCs w:val="28"/>
          <w:lang w:val="uk-UA"/>
        </w:rPr>
        <w:br w:type="textWrapping" w:clear="all"/>
      </w:r>
      <w:r w:rsidRPr="00F64848">
        <w:rPr>
          <w:sz w:val="28"/>
          <w:szCs w:val="28"/>
          <w:lang w:val="uk-UA"/>
        </w:rPr>
        <w:t xml:space="preserve">ун-т. – № </w:t>
      </w:r>
      <w:r w:rsidRPr="00F64848">
        <w:rPr>
          <w:sz w:val="28"/>
          <w:szCs w:val="28"/>
          <w:lang w:val="en-US"/>
        </w:rPr>
        <w:t>u</w:t>
      </w:r>
      <w:r w:rsidRPr="00F64848">
        <w:rPr>
          <w:sz w:val="28"/>
          <w:szCs w:val="28"/>
          <w:lang w:val="uk-UA"/>
        </w:rPr>
        <w:t>200809176; Заявл. 14.07.2008; Опубл. 10.11.2008, Бюл. № 21. – 10</w:t>
      </w:r>
      <w:r>
        <w:rPr>
          <w:sz w:val="28"/>
          <w:szCs w:val="28"/>
          <w:lang w:val="uk-UA"/>
        </w:rPr>
        <w:t xml:space="preserve"> </w:t>
      </w:r>
      <w:r w:rsidRPr="00F64848">
        <w:rPr>
          <w:sz w:val="28"/>
          <w:szCs w:val="28"/>
          <w:lang w:val="uk-UA"/>
        </w:rPr>
        <w:t>с.</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sidRPr="00F64848">
        <w:rPr>
          <w:sz w:val="28"/>
          <w:szCs w:val="28"/>
          <w:lang w:val="uk-UA"/>
        </w:rPr>
        <w:t xml:space="preserve">Козько В.М. Мікроекологічні порушення товстої кишки у хворих на вірусний гепатит А </w:t>
      </w:r>
      <w:r>
        <w:rPr>
          <w:sz w:val="28"/>
          <w:szCs w:val="28"/>
          <w:lang w:val="uk-UA"/>
        </w:rPr>
        <w:t xml:space="preserve">/ </w:t>
      </w:r>
      <w:r w:rsidRPr="00F64848">
        <w:rPr>
          <w:sz w:val="28"/>
          <w:szCs w:val="28"/>
          <w:lang w:val="uk-UA"/>
        </w:rPr>
        <w:t>В.М. Козько</w:t>
      </w:r>
      <w:r>
        <w:rPr>
          <w:sz w:val="28"/>
          <w:szCs w:val="28"/>
          <w:lang w:val="uk-UA"/>
        </w:rPr>
        <w:t>,</w:t>
      </w:r>
      <w:r w:rsidRPr="00F64848">
        <w:rPr>
          <w:sz w:val="28"/>
          <w:szCs w:val="28"/>
          <w:lang w:val="uk-UA"/>
        </w:rPr>
        <w:t xml:space="preserve"> Я.І.</w:t>
      </w:r>
      <w:r>
        <w:rPr>
          <w:sz w:val="28"/>
          <w:szCs w:val="28"/>
          <w:lang w:val="uk-UA"/>
        </w:rPr>
        <w:t xml:space="preserve"> </w:t>
      </w:r>
      <w:r w:rsidRPr="00F64848">
        <w:rPr>
          <w:sz w:val="28"/>
          <w:szCs w:val="28"/>
          <w:lang w:val="uk-UA"/>
        </w:rPr>
        <w:t>Копійченко, А.В.</w:t>
      </w:r>
      <w:r>
        <w:rPr>
          <w:sz w:val="28"/>
          <w:szCs w:val="28"/>
          <w:lang w:val="uk-UA"/>
        </w:rPr>
        <w:t xml:space="preserve"> </w:t>
      </w:r>
      <w:r w:rsidRPr="00F64848">
        <w:rPr>
          <w:sz w:val="28"/>
          <w:szCs w:val="28"/>
          <w:lang w:val="uk-UA"/>
        </w:rPr>
        <w:t>Бондаренко // Матеріали</w:t>
      </w:r>
      <w:r>
        <w:rPr>
          <w:sz w:val="28"/>
          <w:szCs w:val="28"/>
          <w:lang w:val="uk-UA"/>
        </w:rPr>
        <w:t xml:space="preserve"> ХІ конгресу світової федерації українських лікарських товариств (28-30 серпня 2006 року, м. Полтава). – Полтава-Київ-Чикаго, 2006. – С. 455 (дисертантом окреслені напрямки дослідження, узагальнення, оформлені тези).</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 xml:space="preserve">Козько В.М. Фітотерапія гострого вірусного гепатиту А / </w:t>
      </w:r>
      <w:r w:rsidRPr="00F64848">
        <w:rPr>
          <w:sz w:val="28"/>
          <w:szCs w:val="28"/>
          <w:lang w:val="uk-UA"/>
        </w:rPr>
        <w:t>В.М. Козько</w:t>
      </w:r>
      <w:r>
        <w:rPr>
          <w:sz w:val="28"/>
          <w:szCs w:val="28"/>
          <w:lang w:val="uk-UA"/>
        </w:rPr>
        <w:t>,</w:t>
      </w:r>
      <w:r w:rsidRPr="00F64848">
        <w:rPr>
          <w:sz w:val="28"/>
          <w:szCs w:val="28"/>
          <w:lang w:val="uk-UA"/>
        </w:rPr>
        <w:t xml:space="preserve"> </w:t>
      </w:r>
      <w:r>
        <w:rPr>
          <w:sz w:val="28"/>
          <w:szCs w:val="28"/>
          <w:lang w:val="uk-UA"/>
        </w:rPr>
        <w:t>А.В. Бондаренко, Я.І. Копійченко, Г.Л. Велікоданов // Матеріали VII з'їзду інфекціоністів України (27-29 вересня 2006 року, м. Миргород). – Тернопіль: Укрмедкнига, 2006. – С. 54-55 (дисертантом проведені статистичні обчислення, узагальнення отриманих даних).</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 xml:space="preserve">Нікітіна Н.О. Вірусний гепатит А: характер змін гепатобіліарної системи за даними ультразвукового дослідження в динаміці хвороби </w:t>
      </w:r>
      <w:r>
        <w:rPr>
          <w:sz w:val="28"/>
          <w:szCs w:val="28"/>
          <w:lang w:val="uk-UA"/>
        </w:rPr>
        <w:br w:type="textWrapping" w:clear="all"/>
        <w:t>/</w:t>
      </w:r>
      <w:r w:rsidRPr="000244BB">
        <w:rPr>
          <w:sz w:val="28"/>
          <w:szCs w:val="28"/>
          <w:lang w:val="uk-UA"/>
        </w:rPr>
        <w:t xml:space="preserve"> </w:t>
      </w:r>
      <w:r>
        <w:rPr>
          <w:sz w:val="28"/>
          <w:szCs w:val="28"/>
          <w:lang w:val="uk-UA"/>
        </w:rPr>
        <w:t>Н.О. Нікітіна, В.М. Козько, Я.І. Копійченко, О.В. Самійленко // Матеріали VII з'їзду інфекціоністів України (27-29 вересня 2006 року, м. Миргород) – Тернопіль: Укрмедкнига, 2006. – С. 87-88 (дисертантом вивчені дані сучасної світової літератури, проведені узагальнення отриманих даних, оформлення матеріалу).</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Козько В.М. Стан мікрофлори товстої кишки у хворих на вірусний гепатит А /</w:t>
      </w:r>
      <w:r w:rsidRPr="000244BB">
        <w:rPr>
          <w:sz w:val="28"/>
          <w:szCs w:val="28"/>
          <w:lang w:val="uk-UA"/>
        </w:rPr>
        <w:t xml:space="preserve"> </w:t>
      </w:r>
      <w:r>
        <w:rPr>
          <w:sz w:val="28"/>
          <w:szCs w:val="28"/>
          <w:lang w:val="uk-UA"/>
        </w:rPr>
        <w:t xml:space="preserve">В.М. Козько, Я.І. Копійченко // </w:t>
      </w:r>
      <w:r>
        <w:rPr>
          <w:sz w:val="28"/>
          <w:lang w:val="uk-UA"/>
        </w:rPr>
        <w:t>Мат. НПК Пленуму Асоціації інфекціоністів України «Хвороби печінки в практиці інфекціоніста» (26-27 квітня 2007 року). – Донецьк, 2007. – С. 60-61 (дисертантом проведені статистичні обчислення, узагальнення, оформлена стаття).</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Козько В.М. Гепатит А: зміни стану органів гепатобіліарної системи у динаміці хвороби</w:t>
      </w:r>
      <w:r>
        <w:rPr>
          <w:sz w:val="28"/>
          <w:lang w:val="uk-UA"/>
        </w:rPr>
        <w:t xml:space="preserve"> / В.М. Козько, </w:t>
      </w:r>
      <w:r>
        <w:rPr>
          <w:sz w:val="28"/>
          <w:szCs w:val="28"/>
          <w:lang w:val="uk-UA"/>
        </w:rPr>
        <w:t xml:space="preserve">Н.О. Нікітіна, В.Г. Ткаченко, Я.І. Копійченко </w:t>
      </w:r>
      <w:r>
        <w:rPr>
          <w:sz w:val="28"/>
          <w:szCs w:val="28"/>
          <w:lang w:val="uk-UA"/>
        </w:rPr>
        <w:br w:type="textWrapping" w:clear="all"/>
      </w:r>
      <w:r>
        <w:rPr>
          <w:sz w:val="28"/>
          <w:lang w:val="uk-UA"/>
        </w:rPr>
        <w:t>// Мат. НПК Пленуму Асоціації інфекціоністів України «Хвороби печінки в практиці інфекціоніста» (26-27 квітня 2007 року). – Донецьк, 2007. – С. 61-63 (дисертантом проведений підбір тематичних хворих, оформлена стаття).</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lang w:val="uk-UA"/>
        </w:rPr>
        <w:t xml:space="preserve">Копейченко Я.И. Вопросы усовершенствования патогенетической терапии вирусного гепатита А / Я.И. Копейченко, В.Н. Козько, Д.Б. Пеньков </w:t>
      </w:r>
      <w:r>
        <w:rPr>
          <w:sz w:val="28"/>
          <w:lang w:val="uk-UA"/>
        </w:rPr>
        <w:br w:type="textWrapping" w:clear="all"/>
        <w:t xml:space="preserve">// Матеріали НПК з міжнародною участю (1-2 березня 2007 року). – Харків, </w:t>
      </w:r>
      <w:r>
        <w:rPr>
          <w:sz w:val="28"/>
          <w:lang w:val="uk-UA"/>
        </w:rPr>
        <w:lastRenderedPageBreak/>
        <w:t xml:space="preserve">2007. – С. 146-147 </w:t>
      </w:r>
      <w:r>
        <w:rPr>
          <w:sz w:val="28"/>
          <w:szCs w:val="28"/>
          <w:lang w:val="uk-UA"/>
        </w:rPr>
        <w:t>(дисертантом окреслені напрямки дослідження, узагальнення, оформлені тези)</w:t>
      </w:r>
      <w:r>
        <w:rPr>
          <w:sz w:val="28"/>
          <w:lang w:val="uk-UA"/>
        </w:rPr>
        <w:t>.</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lang w:val="uk-UA"/>
        </w:rPr>
        <w:t>Копійченко Я.І. Корекція порушень місцевого імунітету у хворих на вірусний гепатит А / Я.І. Копійченко // Матеріали міжнародної МПК студентів, молодих вчених, лікарів та викладачів «Актуальні питання експериментальної та клінічної медицини» (25-26 квітня 2007 року). – Суми, 2007. – С. 48-49.</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lang w:val="uk-UA"/>
        </w:rPr>
        <w:t>Копійченко Я.І. Корекція порушень мікробіоценозу кишок у хворих на вірусний гепатит А / Я.І. Копійченко // ХИСТ Всеукраїнський медичний журнал молодих вчених. – 2007. – Вип. 9. – С. 66.</w:t>
      </w:r>
    </w:p>
    <w:p w:rsidR="007C7BBA" w:rsidRDefault="007C7BBA" w:rsidP="007C7BBA">
      <w:pPr>
        <w:numPr>
          <w:ilvl w:val="0"/>
          <w:numId w:val="7"/>
        </w:numPr>
        <w:tabs>
          <w:tab w:val="clear" w:pos="720"/>
          <w:tab w:val="num" w:pos="0"/>
        </w:tabs>
        <w:spacing w:after="0" w:line="240" w:lineRule="auto"/>
        <w:ind w:left="0" w:firstLine="540"/>
        <w:jc w:val="both"/>
        <w:rPr>
          <w:sz w:val="28"/>
          <w:lang w:val="uk-UA"/>
        </w:rPr>
      </w:pPr>
      <w:r>
        <w:rPr>
          <w:sz w:val="28"/>
          <w:lang w:val="uk-UA"/>
        </w:rPr>
        <w:t xml:space="preserve">Копійченко Я.І. Ефективність застосування лактулози в терапії вірусного гепатиту А / Я.І. Копійченко // </w:t>
      </w:r>
      <w:r>
        <w:rPr>
          <w:sz w:val="28"/>
          <w:szCs w:val="28"/>
          <w:lang w:val="uk-UA"/>
        </w:rPr>
        <w:t>Медицина третього тисячоліття: Збірник тез міжвузівської конференції молодих вчених (Харків, 16-17 січня 2007 р.) – Харків, 2007. – С. 104-105.</w:t>
      </w:r>
    </w:p>
    <w:p w:rsidR="007C7BBA" w:rsidRPr="00A6267C" w:rsidRDefault="007C7BBA" w:rsidP="007C7BBA">
      <w:pPr>
        <w:numPr>
          <w:ilvl w:val="0"/>
          <w:numId w:val="7"/>
        </w:numPr>
        <w:tabs>
          <w:tab w:val="clear" w:pos="720"/>
          <w:tab w:val="num" w:pos="0"/>
        </w:tabs>
        <w:spacing w:after="0" w:line="240" w:lineRule="auto"/>
        <w:ind w:left="0" w:firstLine="540"/>
        <w:jc w:val="both"/>
        <w:rPr>
          <w:sz w:val="28"/>
          <w:szCs w:val="28"/>
        </w:rPr>
      </w:pPr>
      <w:r w:rsidRPr="00A6267C">
        <w:rPr>
          <w:sz w:val="28"/>
          <w:szCs w:val="28"/>
        </w:rPr>
        <w:t xml:space="preserve">Копейченко Я.И. Показатели секреторного иммуноглобулина А в копрофильтратах больных вирусным гепатитом А / Я.И. Копейченко // Мат. научн. конф. молодых ученых «Актуальные вопросы инфекционной патологии – 2007». – СПб, 2008. – С. 16-17. </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Козько В.Н. Новые подходы к патогенетической терапии вирусного гепатита А / В.Н. Козько,</w:t>
      </w:r>
      <w:r w:rsidRPr="00A6267C">
        <w:rPr>
          <w:sz w:val="28"/>
          <w:szCs w:val="28"/>
          <w:lang w:val="uk-UA"/>
        </w:rPr>
        <w:t xml:space="preserve"> </w:t>
      </w:r>
      <w:r>
        <w:rPr>
          <w:sz w:val="28"/>
          <w:szCs w:val="28"/>
          <w:lang w:val="uk-UA"/>
        </w:rPr>
        <w:t xml:space="preserve">Я.И. Копейченко, Д.Б. Пеньков // Матеріали науково-практичної конференції з участю міжнародних спеціалістів «Сучасні підходи до діагностики та лікування у клінічній інфектології» (14 листопада 2007 р.). – Харків. – 2007. – С.66-67 </w:t>
      </w:r>
      <w:r>
        <w:rPr>
          <w:sz w:val="28"/>
          <w:lang w:val="uk-UA"/>
        </w:rPr>
        <w:t>(дисертантом проведені статистичні обчислення, узагальнення, оформлена стаття)</w:t>
      </w:r>
      <w:r>
        <w:rPr>
          <w:sz w:val="28"/>
          <w:szCs w:val="28"/>
          <w:lang w:val="uk-UA"/>
        </w:rPr>
        <w:t>.</w:t>
      </w:r>
    </w:p>
    <w:p w:rsidR="007C7BBA" w:rsidRDefault="007C7BBA" w:rsidP="007C7BBA">
      <w:pPr>
        <w:numPr>
          <w:ilvl w:val="0"/>
          <w:numId w:val="7"/>
        </w:numPr>
        <w:tabs>
          <w:tab w:val="clear" w:pos="720"/>
          <w:tab w:val="num" w:pos="0"/>
        </w:tabs>
        <w:spacing w:after="0" w:line="240" w:lineRule="auto"/>
        <w:ind w:left="0" w:firstLine="540"/>
        <w:jc w:val="both"/>
        <w:rPr>
          <w:sz w:val="28"/>
          <w:szCs w:val="28"/>
          <w:lang w:val="uk-UA"/>
        </w:rPr>
      </w:pPr>
      <w:r>
        <w:rPr>
          <w:sz w:val="28"/>
          <w:szCs w:val="28"/>
          <w:lang w:val="uk-UA"/>
        </w:rPr>
        <w:t>Копійченко Я.І. Показники секреторного імуноглобуліну А у хворих на вірусний гепатит А / Я.І. Копійченко // Матеріали міжвузівської конференції молодих вчених «Медицина третього тисячоліття» (Харків, 16-18 січня 2008 р.). – Харків – 2008. – С. 101-102.</w:t>
      </w:r>
    </w:p>
    <w:p w:rsidR="007C7BBA" w:rsidRDefault="007C7BBA" w:rsidP="007C7BBA">
      <w:pPr>
        <w:tabs>
          <w:tab w:val="num" w:pos="0"/>
        </w:tabs>
        <w:ind w:firstLine="540"/>
        <w:jc w:val="both"/>
        <w:rPr>
          <w:sz w:val="28"/>
          <w:szCs w:val="28"/>
          <w:lang w:val="uk-UA"/>
        </w:rPr>
      </w:pPr>
    </w:p>
    <w:p w:rsidR="007C7BBA" w:rsidRPr="00F61B03" w:rsidRDefault="007C7BBA" w:rsidP="007C7BBA">
      <w:pPr>
        <w:jc w:val="center"/>
        <w:rPr>
          <w:b/>
          <w:caps/>
          <w:sz w:val="28"/>
          <w:szCs w:val="28"/>
          <w:lang w:val="uk-UA"/>
        </w:rPr>
      </w:pPr>
      <w:r w:rsidRPr="00F61B03">
        <w:rPr>
          <w:b/>
          <w:caps/>
          <w:sz w:val="28"/>
          <w:szCs w:val="28"/>
          <w:lang w:val="uk-UA"/>
        </w:rPr>
        <w:t>Анотація</w:t>
      </w:r>
    </w:p>
    <w:p w:rsidR="007C7BBA" w:rsidRPr="00F61B03" w:rsidRDefault="007C7BBA" w:rsidP="007C7BBA">
      <w:pPr>
        <w:pStyle w:val="a7"/>
        <w:ind w:left="0" w:firstLine="360"/>
        <w:jc w:val="both"/>
        <w:rPr>
          <w:b/>
          <w:sz w:val="28"/>
          <w:szCs w:val="28"/>
          <w:lang w:val="uk-UA"/>
        </w:rPr>
      </w:pPr>
      <w:r w:rsidRPr="00F61B03">
        <w:rPr>
          <w:b/>
          <w:i/>
          <w:sz w:val="28"/>
          <w:szCs w:val="28"/>
          <w:lang w:val="uk-UA"/>
        </w:rPr>
        <w:t>Копійченко Я.І.</w:t>
      </w:r>
      <w:r w:rsidRPr="00F61B03">
        <w:rPr>
          <w:b/>
          <w:sz w:val="28"/>
          <w:lang w:val="uk-UA"/>
        </w:rPr>
        <w:t xml:space="preserve"> </w:t>
      </w:r>
      <w:r w:rsidRPr="00F61B03">
        <w:rPr>
          <w:b/>
          <w:sz w:val="28"/>
          <w:szCs w:val="28"/>
          <w:lang w:val="uk-UA"/>
        </w:rPr>
        <w:t>Клініко-лабораторні показники перебігу та корекція порушень мікробіоценозу кишок у хворих на вірусний гепатит А</w:t>
      </w:r>
      <w:r>
        <w:rPr>
          <w:b/>
          <w:sz w:val="28"/>
          <w:szCs w:val="28"/>
          <w:lang w:val="uk-UA"/>
        </w:rPr>
        <w:t>.</w:t>
      </w:r>
      <w:r w:rsidRPr="00F61B03">
        <w:rPr>
          <w:b/>
          <w:sz w:val="28"/>
          <w:szCs w:val="28"/>
          <w:lang w:val="uk-UA"/>
        </w:rPr>
        <w:t xml:space="preserve"> – Рукопис.</w:t>
      </w:r>
    </w:p>
    <w:p w:rsidR="007C7BBA" w:rsidRDefault="007C7BBA" w:rsidP="007C7BBA">
      <w:pPr>
        <w:pStyle w:val="a7"/>
        <w:ind w:left="0" w:firstLine="36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14.01.13. – інфекційні хвороби. – ДУ «Інститут епідеміології та інфекційних хвороб ім. Л.В. Громашевського АМН України». – Київ, 2009.</w:t>
      </w:r>
    </w:p>
    <w:p w:rsidR="007C7BBA" w:rsidRPr="004B563F" w:rsidRDefault="007C7BBA" w:rsidP="007C7BBA">
      <w:pPr>
        <w:ind w:firstLine="360"/>
        <w:jc w:val="both"/>
        <w:rPr>
          <w:sz w:val="28"/>
          <w:szCs w:val="28"/>
          <w:lang w:val="uk-UA"/>
        </w:rPr>
      </w:pPr>
      <w:r>
        <w:rPr>
          <w:sz w:val="28"/>
          <w:szCs w:val="28"/>
          <w:lang w:val="uk-UA"/>
        </w:rPr>
        <w:t xml:space="preserve">У дисертаційній роботі представлено результати клінічного та </w:t>
      </w:r>
      <w:r w:rsidRPr="004B563F">
        <w:rPr>
          <w:sz w:val="28"/>
          <w:szCs w:val="28"/>
          <w:lang w:val="uk-UA"/>
        </w:rPr>
        <w:t xml:space="preserve">лабораторного обстеження 199 хворих на ГА. Проведено вивчення </w:t>
      </w:r>
      <w:r w:rsidRPr="004B563F">
        <w:rPr>
          <w:sz w:val="28"/>
          <w:lang w:val="uk-UA"/>
        </w:rPr>
        <w:t>видо</w:t>
      </w:r>
      <w:r>
        <w:rPr>
          <w:sz w:val="28"/>
          <w:lang w:val="uk-UA"/>
        </w:rPr>
        <w:t>вого складу, популяційного рівня</w:t>
      </w:r>
      <w:r w:rsidRPr="004B563F">
        <w:rPr>
          <w:sz w:val="28"/>
          <w:lang w:val="uk-UA"/>
        </w:rPr>
        <w:t xml:space="preserve"> </w:t>
      </w:r>
      <w:r w:rsidRPr="004B563F">
        <w:rPr>
          <w:sz w:val="28"/>
          <w:szCs w:val="28"/>
          <w:lang w:val="uk-UA"/>
        </w:rPr>
        <w:t>мікрофлори товстої кишки, вмісту SIgA в копрофільтратах та БГФ в сироватці крові.</w:t>
      </w:r>
    </w:p>
    <w:p w:rsidR="007C7BBA" w:rsidRDefault="007C7BBA" w:rsidP="007C7BBA">
      <w:pPr>
        <w:ind w:firstLine="540"/>
        <w:jc w:val="both"/>
        <w:rPr>
          <w:sz w:val="28"/>
          <w:lang w:val="uk-UA"/>
        </w:rPr>
      </w:pPr>
      <w:r w:rsidRPr="004B563F">
        <w:rPr>
          <w:sz w:val="28"/>
          <w:szCs w:val="28"/>
          <w:lang w:val="uk-UA"/>
        </w:rPr>
        <w:lastRenderedPageBreak/>
        <w:t>Доведено, що в 93,52</w:t>
      </w:r>
      <w:r>
        <w:rPr>
          <w:sz w:val="28"/>
          <w:szCs w:val="28"/>
          <w:lang w:val="uk-UA"/>
        </w:rPr>
        <w:t xml:space="preserve"> </w:t>
      </w:r>
      <w:r w:rsidRPr="004B563F">
        <w:rPr>
          <w:sz w:val="28"/>
          <w:szCs w:val="28"/>
          <w:lang w:val="uk-UA"/>
        </w:rPr>
        <w:t xml:space="preserve">% випадків </w:t>
      </w:r>
      <w:r>
        <w:rPr>
          <w:sz w:val="28"/>
          <w:szCs w:val="28"/>
          <w:lang w:val="uk-UA"/>
        </w:rPr>
        <w:t>у</w:t>
      </w:r>
      <w:r w:rsidRPr="004B563F">
        <w:rPr>
          <w:sz w:val="28"/>
          <w:szCs w:val="28"/>
          <w:lang w:val="uk-UA"/>
        </w:rPr>
        <w:t xml:space="preserve"> гострий період ГА виявляються дефіцит ентерококів і фізіологічних анаеробів, насамперед біфідобактерій, якісні зміни ешеріхій з достовірно значущим підвищенням агресивних штамів, часткова контамінація товстої кишки УПМ. </w:t>
      </w:r>
      <w:r>
        <w:rPr>
          <w:sz w:val="28"/>
          <w:szCs w:val="28"/>
          <w:lang w:val="uk-UA"/>
        </w:rPr>
        <w:t>Встановлено</w:t>
      </w:r>
      <w:r w:rsidRPr="004B563F">
        <w:rPr>
          <w:sz w:val="28"/>
          <w:szCs w:val="28"/>
          <w:lang w:val="uk-UA"/>
        </w:rPr>
        <w:t xml:space="preserve"> взаємозалежність між змінами мікробіоценозу товстої кишки</w:t>
      </w:r>
      <w:r>
        <w:rPr>
          <w:sz w:val="28"/>
          <w:szCs w:val="28"/>
          <w:lang w:val="uk-UA"/>
        </w:rPr>
        <w:t xml:space="preserve">, показниками </w:t>
      </w:r>
      <w:r w:rsidRPr="007F0894">
        <w:rPr>
          <w:sz w:val="28"/>
          <w:lang w:val="uk-UA"/>
        </w:rPr>
        <w:t>SIgA</w:t>
      </w:r>
      <w:r w:rsidRPr="004B563F">
        <w:rPr>
          <w:sz w:val="28"/>
          <w:szCs w:val="28"/>
          <w:lang w:val="uk-UA"/>
        </w:rPr>
        <w:t xml:space="preserve"> та тяжкістю перебігу ГА: при легкому перебігу превалювали нормобіоценоз або дисбактеріоз 1-го ступеня, при середньотяжкому – дисбактеріоз 2-го та 3-го ступенів.</w:t>
      </w:r>
      <w:r>
        <w:rPr>
          <w:sz w:val="28"/>
          <w:szCs w:val="28"/>
          <w:lang w:val="uk-UA"/>
        </w:rPr>
        <w:t xml:space="preserve"> </w:t>
      </w:r>
      <w:r w:rsidRPr="007F0894">
        <w:rPr>
          <w:sz w:val="28"/>
          <w:lang w:val="uk-UA"/>
        </w:rPr>
        <w:t xml:space="preserve">Найбільш достовірні відмінності показників SIgA виявлені при дисбактеріозі 3-го ступеня і достовірно незмінними були </w:t>
      </w:r>
      <w:r>
        <w:rPr>
          <w:sz w:val="28"/>
          <w:lang w:val="uk-UA"/>
        </w:rPr>
        <w:t>при нормальному біоценозі кишок.</w:t>
      </w:r>
    </w:p>
    <w:p w:rsidR="007C7BBA" w:rsidRPr="007F0894" w:rsidRDefault="007C7BBA" w:rsidP="007C7BBA">
      <w:pPr>
        <w:ind w:firstLine="540"/>
        <w:jc w:val="both"/>
        <w:rPr>
          <w:sz w:val="28"/>
          <w:lang w:val="uk-UA"/>
        </w:rPr>
      </w:pPr>
      <w:r w:rsidRPr="008F0DCE">
        <w:rPr>
          <w:sz w:val="28"/>
          <w:lang w:val="uk-UA"/>
        </w:rPr>
        <w:t xml:space="preserve">Вивчення вмісту БГФ у сироватці крові хворих на ГА виявило у розпал хвороби </w:t>
      </w:r>
      <w:r>
        <w:rPr>
          <w:sz w:val="28"/>
          <w:lang w:val="uk-UA"/>
        </w:rPr>
        <w:t>їх підвищення</w:t>
      </w:r>
      <w:r w:rsidRPr="008F0DCE">
        <w:rPr>
          <w:sz w:val="28"/>
          <w:lang w:val="uk-UA"/>
        </w:rPr>
        <w:t xml:space="preserve">, найбільш суттєве при дисбактеріозі 3-го ступеня. </w:t>
      </w:r>
      <w:r>
        <w:rPr>
          <w:sz w:val="28"/>
          <w:lang w:val="uk-UA"/>
        </w:rPr>
        <w:t>Проведений кореляційний аналіз виявив зворотні зв'язки показників БГФ</w:t>
      </w:r>
      <w:r w:rsidRPr="007F0894">
        <w:rPr>
          <w:sz w:val="28"/>
          <w:lang w:val="uk-UA"/>
        </w:rPr>
        <w:t xml:space="preserve"> з біфідо- та ла</w:t>
      </w:r>
      <w:r>
        <w:rPr>
          <w:sz w:val="28"/>
          <w:lang w:val="uk-UA"/>
        </w:rPr>
        <w:t>ктобактеріями,</w:t>
      </w:r>
      <w:r w:rsidRPr="007F0894">
        <w:rPr>
          <w:sz w:val="28"/>
          <w:lang w:val="uk-UA"/>
        </w:rPr>
        <w:t xml:space="preserve"> а представниками УПМ –</w:t>
      </w:r>
      <w:r>
        <w:rPr>
          <w:sz w:val="28"/>
          <w:lang w:val="uk-UA"/>
        </w:rPr>
        <w:t xml:space="preserve"> </w:t>
      </w:r>
      <w:r w:rsidRPr="007F0894">
        <w:rPr>
          <w:sz w:val="28"/>
          <w:lang w:val="uk-UA"/>
        </w:rPr>
        <w:t>прям</w:t>
      </w:r>
      <w:r>
        <w:rPr>
          <w:sz w:val="28"/>
          <w:lang w:val="uk-UA"/>
        </w:rPr>
        <w:t>і</w:t>
      </w:r>
      <w:r w:rsidRPr="007F0894">
        <w:rPr>
          <w:sz w:val="28"/>
          <w:lang w:val="uk-UA"/>
        </w:rPr>
        <w:t>. Також пр</w:t>
      </w:r>
      <w:r>
        <w:rPr>
          <w:sz w:val="28"/>
          <w:lang w:val="uk-UA"/>
        </w:rPr>
        <w:t>ямі кореляційні зв'язки виявлено</w:t>
      </w:r>
      <w:r w:rsidRPr="007F0894">
        <w:rPr>
          <w:sz w:val="28"/>
          <w:lang w:val="uk-UA"/>
        </w:rPr>
        <w:t xml:space="preserve"> між </w:t>
      </w:r>
      <w:r>
        <w:rPr>
          <w:sz w:val="28"/>
          <w:lang w:val="uk-UA"/>
        </w:rPr>
        <w:t>показниками</w:t>
      </w:r>
      <w:r w:rsidRPr="007F0894">
        <w:rPr>
          <w:sz w:val="28"/>
          <w:lang w:val="uk-UA"/>
        </w:rPr>
        <w:t xml:space="preserve"> БГФ та SIgA.</w:t>
      </w:r>
    </w:p>
    <w:p w:rsidR="007C7BBA" w:rsidRDefault="007C7BBA" w:rsidP="007C7BBA">
      <w:pPr>
        <w:pStyle w:val="a5"/>
        <w:ind w:firstLine="567"/>
        <w:jc w:val="both"/>
        <w:rPr>
          <w:caps/>
          <w:szCs w:val="28"/>
        </w:rPr>
      </w:pPr>
      <w:r w:rsidRPr="007C7BBA">
        <w:rPr>
          <w:caps/>
          <w:szCs w:val="28"/>
          <w:lang w:val="uk-UA"/>
        </w:rPr>
        <w:t xml:space="preserve">Доведено, що при сприятливому перебігу ГА в період </w:t>
      </w:r>
      <w:r w:rsidRPr="007C7BBA">
        <w:rPr>
          <w:caps/>
          <w:lang w:val="uk-UA"/>
        </w:rPr>
        <w:t xml:space="preserve">зростання клінічних проявів </w:t>
      </w:r>
      <w:r w:rsidRPr="007C7BBA">
        <w:rPr>
          <w:caps/>
          <w:szCs w:val="28"/>
          <w:lang w:val="uk-UA"/>
        </w:rPr>
        <w:t xml:space="preserve">хвороби спостерігається підвищення екскреції з калом </w:t>
      </w:r>
      <w:r>
        <w:rPr>
          <w:caps/>
          <w:szCs w:val="28"/>
        </w:rPr>
        <w:t>S</w:t>
      </w:r>
      <w:r w:rsidRPr="007C7BBA">
        <w:rPr>
          <w:caps/>
          <w:szCs w:val="28"/>
          <w:lang w:val="uk-UA"/>
        </w:rPr>
        <w:t>І</w:t>
      </w:r>
      <w:r>
        <w:rPr>
          <w:caps/>
          <w:szCs w:val="28"/>
        </w:rPr>
        <w:t>gA</w:t>
      </w:r>
      <w:r w:rsidRPr="007C7BBA">
        <w:rPr>
          <w:caps/>
          <w:szCs w:val="28"/>
          <w:lang w:val="uk-UA"/>
        </w:rPr>
        <w:t xml:space="preserve"> та показників БГФ. </w:t>
      </w:r>
      <w:r>
        <w:rPr>
          <w:caps/>
          <w:szCs w:val="28"/>
        </w:rPr>
        <w:t xml:space="preserve">Несприятливий перебіг характеризується відсутністю підвищення вказаних показників в цей </w:t>
      </w:r>
      <w:r>
        <w:rPr>
          <w:caps/>
        </w:rPr>
        <w:t>період.</w:t>
      </w:r>
      <w:r>
        <w:rPr>
          <w:caps/>
          <w:szCs w:val="28"/>
        </w:rPr>
        <w:t xml:space="preserve"> На основі ранжування інформативності лабораторних показників розроблено математичний алгоритм прогнозування перебігу ГА.</w:t>
      </w:r>
    </w:p>
    <w:p w:rsidR="007C7BBA" w:rsidRDefault="007C7BBA" w:rsidP="007C7BBA">
      <w:pPr>
        <w:pStyle w:val="a5"/>
        <w:jc w:val="both"/>
        <w:rPr>
          <w:caps/>
          <w:szCs w:val="28"/>
        </w:rPr>
      </w:pPr>
      <w:r w:rsidRPr="004B313C">
        <w:rPr>
          <w:caps/>
          <w:szCs w:val="28"/>
        </w:rPr>
        <w:t>Оцінено к</w:t>
      </w:r>
      <w:r>
        <w:rPr>
          <w:caps/>
          <w:szCs w:val="28"/>
        </w:rPr>
        <w:t>лінічн</w:t>
      </w:r>
      <w:r w:rsidRPr="004B313C">
        <w:rPr>
          <w:caps/>
          <w:szCs w:val="28"/>
        </w:rPr>
        <w:t>у</w:t>
      </w:r>
      <w:r>
        <w:rPr>
          <w:caps/>
          <w:szCs w:val="28"/>
        </w:rPr>
        <w:t xml:space="preserve"> ефективність,</w:t>
      </w:r>
      <w:r w:rsidRPr="00084E83">
        <w:rPr>
          <w:caps/>
          <w:szCs w:val="28"/>
        </w:rPr>
        <w:t xml:space="preserve"> </w:t>
      </w:r>
      <w:r>
        <w:rPr>
          <w:caps/>
          <w:szCs w:val="28"/>
        </w:rPr>
        <w:t>вплив на відновлення стану мікробіоценозу товстої кишки, нормалізацію показників SІgA в копрофільтратах та БГФ у сироватці крові препаратів лактулози при легкому перебігу ГА та в комбінації з альтаном при середньотяжкому перебігу хвороби.</w:t>
      </w:r>
    </w:p>
    <w:p w:rsidR="007C7BBA" w:rsidRPr="002D086B" w:rsidRDefault="007C7BBA" w:rsidP="007C7BBA">
      <w:pPr>
        <w:pStyle w:val="a5"/>
        <w:ind w:firstLine="567"/>
        <w:jc w:val="both"/>
        <w:rPr>
          <w:caps/>
          <w:szCs w:val="28"/>
        </w:rPr>
      </w:pPr>
      <w:r w:rsidRPr="002D086B">
        <w:rPr>
          <w:b/>
          <w:caps/>
          <w:szCs w:val="28"/>
        </w:rPr>
        <w:t>Ключові слова</w:t>
      </w:r>
      <w:r>
        <w:rPr>
          <w:b/>
          <w:caps/>
          <w:szCs w:val="28"/>
        </w:rPr>
        <w:t xml:space="preserve">: </w:t>
      </w:r>
      <w:r>
        <w:rPr>
          <w:caps/>
          <w:szCs w:val="28"/>
        </w:rPr>
        <w:t>гепатит А, мікробіоценоз кишечника, секреторний імуноглобулін А, білки гострої фази, лактулоза, альтан.</w:t>
      </w:r>
    </w:p>
    <w:p w:rsidR="007C7BBA" w:rsidRDefault="007C7BBA" w:rsidP="007C7BBA">
      <w:pPr>
        <w:ind w:firstLine="360"/>
        <w:jc w:val="both"/>
        <w:rPr>
          <w:caps/>
          <w:sz w:val="28"/>
          <w:lang w:val="uk-UA"/>
        </w:rPr>
      </w:pPr>
    </w:p>
    <w:p w:rsidR="007C7BBA" w:rsidRPr="00CD30AF" w:rsidRDefault="007C7BBA" w:rsidP="007C7BBA">
      <w:pPr>
        <w:jc w:val="center"/>
        <w:rPr>
          <w:b/>
          <w:caps/>
          <w:sz w:val="28"/>
          <w:szCs w:val="28"/>
        </w:rPr>
      </w:pPr>
      <w:r w:rsidRPr="00CD30AF">
        <w:rPr>
          <w:b/>
          <w:caps/>
          <w:sz w:val="28"/>
          <w:szCs w:val="28"/>
        </w:rPr>
        <w:t>Аннотация</w:t>
      </w:r>
    </w:p>
    <w:p w:rsidR="007C7BBA" w:rsidRPr="00CD30AF" w:rsidRDefault="007C7BBA" w:rsidP="007C7BBA">
      <w:pPr>
        <w:pStyle w:val="a7"/>
        <w:ind w:left="0" w:firstLine="360"/>
        <w:jc w:val="both"/>
        <w:rPr>
          <w:b/>
          <w:sz w:val="28"/>
          <w:szCs w:val="28"/>
        </w:rPr>
      </w:pPr>
      <w:r w:rsidRPr="00CD30AF">
        <w:rPr>
          <w:b/>
          <w:i/>
          <w:sz w:val="28"/>
          <w:szCs w:val="28"/>
        </w:rPr>
        <w:t>Копейченко Я.И.</w:t>
      </w:r>
      <w:r w:rsidRPr="00CD30AF">
        <w:rPr>
          <w:b/>
          <w:sz w:val="28"/>
        </w:rPr>
        <w:t xml:space="preserve"> </w:t>
      </w:r>
      <w:r w:rsidRPr="00CD30AF">
        <w:rPr>
          <w:b/>
          <w:sz w:val="28"/>
          <w:szCs w:val="28"/>
        </w:rPr>
        <w:t>Клинико-лабораторные показатели течения и коррекция нарушений микробиоценоза кишечника у больных вирусным гепатитом А. – Рукопись.</w:t>
      </w:r>
    </w:p>
    <w:p w:rsidR="007C7BBA" w:rsidRPr="00CD30AF" w:rsidRDefault="007C7BBA" w:rsidP="007C7BBA">
      <w:pPr>
        <w:pStyle w:val="a7"/>
        <w:ind w:left="0" w:firstLine="360"/>
        <w:jc w:val="both"/>
        <w:rPr>
          <w:sz w:val="28"/>
          <w:szCs w:val="28"/>
        </w:rPr>
      </w:pPr>
      <w:r w:rsidRPr="00CD30AF">
        <w:rPr>
          <w:sz w:val="28"/>
          <w:szCs w:val="28"/>
        </w:rPr>
        <w:t xml:space="preserve">Диссертация на соискание научной степени кандидата медицинских наук по специальности 14.01.13. – инфекционные болезни. – ГУ «Институт </w:t>
      </w:r>
      <w:r w:rsidRPr="00CD30AF">
        <w:rPr>
          <w:sz w:val="28"/>
          <w:szCs w:val="28"/>
        </w:rPr>
        <w:lastRenderedPageBreak/>
        <w:t>эпидемиологии и инфекционных болезней им. Л.В. Громашевского АМН Украины». – Киев, 2009.</w:t>
      </w:r>
    </w:p>
    <w:p w:rsidR="007C7BBA" w:rsidRPr="00CD30AF" w:rsidRDefault="007C7BBA" w:rsidP="007C7BBA">
      <w:pPr>
        <w:pStyle w:val="a7"/>
        <w:tabs>
          <w:tab w:val="left" w:pos="567"/>
        </w:tabs>
        <w:ind w:left="0" w:firstLine="567"/>
        <w:jc w:val="both"/>
        <w:rPr>
          <w:sz w:val="28"/>
          <w:szCs w:val="28"/>
        </w:rPr>
      </w:pPr>
      <w:r w:rsidRPr="00CD30AF">
        <w:rPr>
          <w:sz w:val="28"/>
          <w:szCs w:val="28"/>
        </w:rPr>
        <w:t xml:space="preserve">В диссертационной работе представлены результаты клинического и лабораторного обследования 199 больных ГА в </w:t>
      </w:r>
      <w:r>
        <w:rPr>
          <w:sz w:val="28"/>
          <w:szCs w:val="28"/>
        </w:rPr>
        <w:t>возр</w:t>
      </w:r>
      <w:r w:rsidRPr="00CD30AF">
        <w:rPr>
          <w:sz w:val="28"/>
          <w:szCs w:val="28"/>
        </w:rPr>
        <w:t>асте от 16 до 66 лет и 32 особы контрольной группы. Верификация диагноза проводилась на основе клинико–эпидемиологических дан</w:t>
      </w:r>
      <w:r>
        <w:rPr>
          <w:sz w:val="28"/>
          <w:szCs w:val="28"/>
        </w:rPr>
        <w:t>ных, результатов</w:t>
      </w:r>
      <w:r w:rsidRPr="00CD30AF">
        <w:rPr>
          <w:sz w:val="28"/>
          <w:szCs w:val="28"/>
        </w:rPr>
        <w:t xml:space="preserve"> лабораторн</w:t>
      </w:r>
      <w:r>
        <w:rPr>
          <w:sz w:val="28"/>
          <w:szCs w:val="28"/>
        </w:rPr>
        <w:t>ы</w:t>
      </w:r>
      <w:r w:rsidRPr="00CD30AF">
        <w:rPr>
          <w:sz w:val="28"/>
          <w:szCs w:val="28"/>
        </w:rPr>
        <w:t xml:space="preserve">х </w:t>
      </w:r>
      <w:r>
        <w:rPr>
          <w:sz w:val="28"/>
          <w:szCs w:val="28"/>
        </w:rPr>
        <w:t>и и</w:t>
      </w:r>
      <w:r w:rsidRPr="00CD30AF">
        <w:rPr>
          <w:sz w:val="28"/>
          <w:szCs w:val="28"/>
        </w:rPr>
        <w:t>нструментальн</w:t>
      </w:r>
      <w:r>
        <w:rPr>
          <w:sz w:val="28"/>
          <w:szCs w:val="28"/>
        </w:rPr>
        <w:t>ы</w:t>
      </w:r>
      <w:r w:rsidRPr="00CD30AF">
        <w:rPr>
          <w:sz w:val="28"/>
          <w:szCs w:val="28"/>
        </w:rPr>
        <w:t xml:space="preserve">х </w:t>
      </w:r>
      <w:r>
        <w:rPr>
          <w:sz w:val="28"/>
          <w:szCs w:val="28"/>
        </w:rPr>
        <w:t>исследований</w:t>
      </w:r>
      <w:r w:rsidRPr="00CD30AF">
        <w:rPr>
          <w:sz w:val="28"/>
          <w:szCs w:val="28"/>
        </w:rPr>
        <w:t xml:space="preserve">. </w:t>
      </w:r>
      <w:r>
        <w:rPr>
          <w:sz w:val="28"/>
          <w:szCs w:val="28"/>
        </w:rPr>
        <w:t>В</w:t>
      </w:r>
      <w:r w:rsidRPr="00CD30AF">
        <w:rPr>
          <w:sz w:val="28"/>
          <w:szCs w:val="28"/>
        </w:rPr>
        <w:t>с</w:t>
      </w:r>
      <w:r>
        <w:rPr>
          <w:sz w:val="28"/>
          <w:szCs w:val="28"/>
        </w:rPr>
        <w:t>е</w:t>
      </w:r>
      <w:r w:rsidRPr="00CD30AF">
        <w:rPr>
          <w:sz w:val="28"/>
          <w:szCs w:val="28"/>
        </w:rPr>
        <w:t xml:space="preserve">м </w:t>
      </w:r>
      <w:r>
        <w:rPr>
          <w:sz w:val="28"/>
          <w:szCs w:val="28"/>
        </w:rPr>
        <w:t>больны</w:t>
      </w:r>
      <w:r w:rsidRPr="00CD30AF">
        <w:rPr>
          <w:sz w:val="28"/>
          <w:szCs w:val="28"/>
        </w:rPr>
        <w:t>м нар</w:t>
      </w:r>
      <w:r>
        <w:rPr>
          <w:sz w:val="28"/>
          <w:szCs w:val="28"/>
        </w:rPr>
        <w:t>яду</w:t>
      </w:r>
      <w:r w:rsidRPr="00CD30AF">
        <w:rPr>
          <w:sz w:val="28"/>
          <w:szCs w:val="28"/>
        </w:rPr>
        <w:t xml:space="preserve"> </w:t>
      </w:r>
      <w:r>
        <w:rPr>
          <w:sz w:val="28"/>
          <w:szCs w:val="28"/>
        </w:rPr>
        <w:t>с</w:t>
      </w:r>
      <w:r w:rsidRPr="00CD30AF">
        <w:rPr>
          <w:sz w:val="28"/>
          <w:szCs w:val="28"/>
        </w:rPr>
        <w:t xml:space="preserve"> пост</w:t>
      </w:r>
      <w:r>
        <w:rPr>
          <w:sz w:val="28"/>
          <w:szCs w:val="28"/>
        </w:rPr>
        <w:t>оян</w:t>
      </w:r>
      <w:r w:rsidRPr="00CD30AF">
        <w:rPr>
          <w:sz w:val="28"/>
          <w:szCs w:val="28"/>
        </w:rPr>
        <w:t>н</w:t>
      </w:r>
      <w:r>
        <w:rPr>
          <w:sz w:val="28"/>
          <w:szCs w:val="28"/>
        </w:rPr>
        <w:t>ы</w:t>
      </w:r>
      <w:r w:rsidRPr="00CD30AF">
        <w:rPr>
          <w:sz w:val="28"/>
          <w:szCs w:val="28"/>
        </w:rPr>
        <w:t>м кл</w:t>
      </w:r>
      <w:r>
        <w:rPr>
          <w:sz w:val="28"/>
          <w:szCs w:val="28"/>
        </w:rPr>
        <w:t>ини</w:t>
      </w:r>
      <w:r w:rsidRPr="00CD30AF">
        <w:rPr>
          <w:sz w:val="28"/>
          <w:szCs w:val="28"/>
        </w:rPr>
        <w:t>ч</w:t>
      </w:r>
      <w:r>
        <w:rPr>
          <w:sz w:val="28"/>
          <w:szCs w:val="28"/>
        </w:rPr>
        <w:t>еским</w:t>
      </w:r>
      <w:r w:rsidRPr="00CD30AF">
        <w:rPr>
          <w:sz w:val="28"/>
          <w:szCs w:val="28"/>
        </w:rPr>
        <w:t xml:space="preserve"> на</w:t>
      </w:r>
      <w:r>
        <w:rPr>
          <w:sz w:val="28"/>
          <w:szCs w:val="28"/>
        </w:rPr>
        <w:t>б</w:t>
      </w:r>
      <w:r w:rsidRPr="00CD30AF">
        <w:rPr>
          <w:sz w:val="28"/>
          <w:szCs w:val="28"/>
        </w:rPr>
        <w:t>л</w:t>
      </w:r>
      <w:r>
        <w:rPr>
          <w:sz w:val="28"/>
          <w:szCs w:val="28"/>
        </w:rPr>
        <w:t>ю</w:t>
      </w:r>
      <w:r w:rsidRPr="00CD30AF">
        <w:rPr>
          <w:sz w:val="28"/>
          <w:szCs w:val="28"/>
        </w:rPr>
        <w:t>д</w:t>
      </w:r>
      <w:r>
        <w:rPr>
          <w:sz w:val="28"/>
          <w:szCs w:val="28"/>
        </w:rPr>
        <w:t>ение</w:t>
      </w:r>
      <w:r w:rsidRPr="00CD30AF">
        <w:rPr>
          <w:sz w:val="28"/>
          <w:szCs w:val="28"/>
        </w:rPr>
        <w:t>м проводили о</w:t>
      </w:r>
      <w:r>
        <w:rPr>
          <w:sz w:val="28"/>
          <w:szCs w:val="28"/>
        </w:rPr>
        <w:t>бщепринятые</w:t>
      </w:r>
      <w:r w:rsidRPr="00CD30AF">
        <w:rPr>
          <w:sz w:val="28"/>
          <w:szCs w:val="28"/>
        </w:rPr>
        <w:t xml:space="preserve"> </w:t>
      </w:r>
      <w:r>
        <w:rPr>
          <w:sz w:val="28"/>
          <w:szCs w:val="28"/>
        </w:rPr>
        <w:t>и</w:t>
      </w:r>
      <w:r w:rsidRPr="00CD30AF">
        <w:rPr>
          <w:sz w:val="28"/>
          <w:szCs w:val="28"/>
        </w:rPr>
        <w:t xml:space="preserve"> спец</w:t>
      </w:r>
      <w:r>
        <w:rPr>
          <w:sz w:val="28"/>
          <w:szCs w:val="28"/>
        </w:rPr>
        <w:t>и</w:t>
      </w:r>
      <w:r w:rsidRPr="00CD30AF">
        <w:rPr>
          <w:sz w:val="28"/>
          <w:szCs w:val="28"/>
        </w:rPr>
        <w:t>альн</w:t>
      </w:r>
      <w:r>
        <w:rPr>
          <w:sz w:val="28"/>
          <w:szCs w:val="28"/>
        </w:rPr>
        <w:t>ые</w:t>
      </w:r>
      <w:r w:rsidRPr="00CD30AF">
        <w:rPr>
          <w:sz w:val="28"/>
          <w:szCs w:val="28"/>
        </w:rPr>
        <w:t xml:space="preserve"> б</w:t>
      </w:r>
      <w:r>
        <w:rPr>
          <w:sz w:val="28"/>
          <w:szCs w:val="28"/>
        </w:rPr>
        <w:t>и</w:t>
      </w:r>
      <w:r w:rsidRPr="00CD30AF">
        <w:rPr>
          <w:sz w:val="28"/>
          <w:szCs w:val="28"/>
        </w:rPr>
        <w:t>ох</w:t>
      </w:r>
      <w:r>
        <w:rPr>
          <w:sz w:val="28"/>
          <w:szCs w:val="28"/>
        </w:rPr>
        <w:t>и</w:t>
      </w:r>
      <w:r w:rsidRPr="00CD30AF">
        <w:rPr>
          <w:sz w:val="28"/>
          <w:szCs w:val="28"/>
        </w:rPr>
        <w:t>м</w:t>
      </w:r>
      <w:r>
        <w:rPr>
          <w:sz w:val="28"/>
          <w:szCs w:val="28"/>
        </w:rPr>
        <w:t>и</w:t>
      </w:r>
      <w:r w:rsidRPr="00CD30AF">
        <w:rPr>
          <w:sz w:val="28"/>
          <w:szCs w:val="28"/>
        </w:rPr>
        <w:t>ч</w:t>
      </w:r>
      <w:r>
        <w:rPr>
          <w:sz w:val="28"/>
          <w:szCs w:val="28"/>
        </w:rPr>
        <w:t>еские и</w:t>
      </w:r>
      <w:r w:rsidRPr="00CD30AF">
        <w:rPr>
          <w:sz w:val="28"/>
          <w:szCs w:val="28"/>
        </w:rPr>
        <w:t xml:space="preserve"> </w:t>
      </w:r>
      <w:r>
        <w:rPr>
          <w:sz w:val="28"/>
          <w:szCs w:val="28"/>
        </w:rPr>
        <w:t>им</w:t>
      </w:r>
      <w:r w:rsidRPr="00CD30AF">
        <w:rPr>
          <w:sz w:val="28"/>
          <w:szCs w:val="28"/>
        </w:rPr>
        <w:t>мунолог</w:t>
      </w:r>
      <w:r>
        <w:rPr>
          <w:sz w:val="28"/>
          <w:szCs w:val="28"/>
        </w:rPr>
        <w:t>и</w:t>
      </w:r>
      <w:r w:rsidRPr="00CD30AF">
        <w:rPr>
          <w:sz w:val="28"/>
          <w:szCs w:val="28"/>
        </w:rPr>
        <w:t>ч</w:t>
      </w:r>
      <w:r>
        <w:rPr>
          <w:sz w:val="28"/>
          <w:szCs w:val="28"/>
        </w:rPr>
        <w:t>еские исследования.</w:t>
      </w:r>
      <w:r w:rsidRPr="00CD30AF">
        <w:rPr>
          <w:sz w:val="28"/>
          <w:szCs w:val="28"/>
        </w:rPr>
        <w:t xml:space="preserve"> Проведено изучение видового состава, популяционного уровня микрофлоры толстой кишки, содержания SIgA в копрофильтратах и БОФ в сыворотке крови.</w:t>
      </w:r>
    </w:p>
    <w:p w:rsidR="007C7BBA" w:rsidRPr="00CD30AF" w:rsidRDefault="007C7BBA" w:rsidP="007C7BBA">
      <w:pPr>
        <w:pStyle w:val="a5"/>
        <w:tabs>
          <w:tab w:val="left" w:pos="567"/>
        </w:tabs>
        <w:ind w:firstLine="567"/>
        <w:jc w:val="both"/>
        <w:rPr>
          <w:caps/>
          <w:szCs w:val="28"/>
        </w:rPr>
      </w:pPr>
      <w:r>
        <w:rPr>
          <w:caps/>
          <w:szCs w:val="28"/>
        </w:rPr>
        <w:t>Вы</w:t>
      </w:r>
      <w:r w:rsidRPr="00CD30AF">
        <w:rPr>
          <w:caps/>
          <w:szCs w:val="28"/>
        </w:rPr>
        <w:t xml:space="preserve">явлено, </w:t>
      </w:r>
      <w:r>
        <w:rPr>
          <w:caps/>
          <w:szCs w:val="28"/>
        </w:rPr>
        <w:t>что</w:t>
      </w:r>
      <w:r w:rsidRPr="00CD30AF">
        <w:rPr>
          <w:caps/>
          <w:szCs w:val="28"/>
        </w:rPr>
        <w:t xml:space="preserve"> кл</w:t>
      </w:r>
      <w:r>
        <w:rPr>
          <w:caps/>
          <w:szCs w:val="28"/>
        </w:rPr>
        <w:t>и</w:t>
      </w:r>
      <w:r w:rsidRPr="00CD30AF">
        <w:rPr>
          <w:caps/>
          <w:szCs w:val="28"/>
        </w:rPr>
        <w:t>н</w:t>
      </w:r>
      <w:r>
        <w:rPr>
          <w:caps/>
          <w:szCs w:val="28"/>
        </w:rPr>
        <w:t>и</w:t>
      </w:r>
      <w:r w:rsidRPr="00CD30AF">
        <w:rPr>
          <w:caps/>
          <w:szCs w:val="28"/>
        </w:rPr>
        <w:t>ч</w:t>
      </w:r>
      <w:r>
        <w:rPr>
          <w:caps/>
          <w:szCs w:val="28"/>
        </w:rPr>
        <w:t>еские</w:t>
      </w:r>
      <w:r w:rsidRPr="00CD30AF">
        <w:rPr>
          <w:caps/>
          <w:szCs w:val="28"/>
        </w:rPr>
        <w:t xml:space="preserve"> прояв</w:t>
      </w:r>
      <w:r>
        <w:rPr>
          <w:caps/>
          <w:szCs w:val="28"/>
        </w:rPr>
        <w:t>лен</w:t>
      </w:r>
      <w:r w:rsidRPr="00CD30AF">
        <w:rPr>
          <w:caps/>
          <w:szCs w:val="28"/>
        </w:rPr>
        <w:t>и</w:t>
      </w:r>
      <w:r>
        <w:rPr>
          <w:caps/>
          <w:szCs w:val="28"/>
        </w:rPr>
        <w:t>я</w:t>
      </w:r>
      <w:r w:rsidRPr="00CD30AF">
        <w:rPr>
          <w:caps/>
          <w:szCs w:val="28"/>
        </w:rPr>
        <w:t xml:space="preserve"> ГА б</w:t>
      </w:r>
      <w:r>
        <w:rPr>
          <w:caps/>
          <w:szCs w:val="28"/>
        </w:rPr>
        <w:t>ы</w:t>
      </w:r>
      <w:r w:rsidRPr="00CD30AF">
        <w:rPr>
          <w:caps/>
          <w:szCs w:val="28"/>
        </w:rPr>
        <w:t>ли тип</w:t>
      </w:r>
      <w:r>
        <w:rPr>
          <w:caps/>
          <w:szCs w:val="28"/>
        </w:rPr>
        <w:t>ичными</w:t>
      </w:r>
      <w:r w:rsidRPr="00CD30AF">
        <w:rPr>
          <w:caps/>
          <w:szCs w:val="28"/>
        </w:rPr>
        <w:t xml:space="preserve">, </w:t>
      </w:r>
      <w:r>
        <w:rPr>
          <w:caps/>
          <w:szCs w:val="28"/>
        </w:rPr>
        <w:t>но быстрого улучшения состояния</w:t>
      </w:r>
      <w:r w:rsidRPr="00CD30AF">
        <w:rPr>
          <w:caps/>
          <w:szCs w:val="28"/>
        </w:rPr>
        <w:t xml:space="preserve"> при появ</w:t>
      </w:r>
      <w:r>
        <w:rPr>
          <w:caps/>
          <w:szCs w:val="28"/>
        </w:rPr>
        <w:t>лении желтухи не от</w:t>
      </w:r>
      <w:r w:rsidRPr="00CD30AF">
        <w:rPr>
          <w:caps/>
          <w:szCs w:val="28"/>
        </w:rPr>
        <w:t>м</w:t>
      </w:r>
      <w:r>
        <w:rPr>
          <w:caps/>
          <w:szCs w:val="28"/>
        </w:rPr>
        <w:t>е</w:t>
      </w:r>
      <w:r w:rsidRPr="00CD30AF">
        <w:rPr>
          <w:caps/>
          <w:szCs w:val="28"/>
        </w:rPr>
        <w:t xml:space="preserve">чалось, </w:t>
      </w:r>
      <w:r>
        <w:rPr>
          <w:caps/>
          <w:szCs w:val="28"/>
        </w:rPr>
        <w:t xml:space="preserve">дольше всего сохранялись </w:t>
      </w:r>
      <w:r w:rsidRPr="00CD30AF">
        <w:rPr>
          <w:caps/>
          <w:szCs w:val="28"/>
        </w:rPr>
        <w:t>симптом</w:t>
      </w:r>
      <w:r>
        <w:rPr>
          <w:caps/>
          <w:szCs w:val="28"/>
        </w:rPr>
        <w:t>ы астении</w:t>
      </w:r>
      <w:r w:rsidRPr="00CD30AF">
        <w:rPr>
          <w:caps/>
          <w:szCs w:val="28"/>
        </w:rPr>
        <w:t xml:space="preserve"> </w:t>
      </w:r>
      <w:r>
        <w:rPr>
          <w:caps/>
          <w:szCs w:val="28"/>
        </w:rPr>
        <w:t>и</w:t>
      </w:r>
      <w:r w:rsidRPr="00CD30AF">
        <w:rPr>
          <w:caps/>
          <w:szCs w:val="28"/>
        </w:rPr>
        <w:t xml:space="preserve"> диспепс</w:t>
      </w:r>
      <w:r>
        <w:rPr>
          <w:caps/>
          <w:szCs w:val="28"/>
        </w:rPr>
        <w:t>ии</w:t>
      </w:r>
      <w:r w:rsidRPr="00CD30AF">
        <w:rPr>
          <w:caps/>
          <w:szCs w:val="28"/>
        </w:rPr>
        <w:t xml:space="preserve">. У 16 </w:t>
      </w:r>
      <w:r>
        <w:rPr>
          <w:caps/>
          <w:szCs w:val="28"/>
        </w:rPr>
        <w:t>больных</w:t>
      </w:r>
      <w:r w:rsidRPr="00CD30AF">
        <w:rPr>
          <w:caps/>
          <w:szCs w:val="28"/>
        </w:rPr>
        <w:t xml:space="preserve"> (14,81 %) ре</w:t>
      </w:r>
      <w:r>
        <w:rPr>
          <w:caps/>
          <w:szCs w:val="28"/>
        </w:rPr>
        <w:t xml:space="preserve">гистрировалась </w:t>
      </w:r>
      <w:r w:rsidRPr="00CD30AF">
        <w:rPr>
          <w:caps/>
          <w:szCs w:val="28"/>
        </w:rPr>
        <w:t>затяжна</w:t>
      </w:r>
      <w:r>
        <w:rPr>
          <w:caps/>
          <w:szCs w:val="28"/>
        </w:rPr>
        <w:t>я реконвалесценци</w:t>
      </w:r>
      <w:r w:rsidRPr="00CD30AF">
        <w:rPr>
          <w:caps/>
          <w:szCs w:val="28"/>
        </w:rPr>
        <w:t xml:space="preserve">я </w:t>
      </w:r>
      <w:r>
        <w:rPr>
          <w:caps/>
          <w:szCs w:val="28"/>
        </w:rPr>
        <w:t>болезни</w:t>
      </w:r>
      <w:r w:rsidRPr="00CD30AF">
        <w:rPr>
          <w:caps/>
          <w:szCs w:val="28"/>
        </w:rPr>
        <w:t xml:space="preserve"> (до 54–62 дн</w:t>
      </w:r>
      <w:r>
        <w:rPr>
          <w:caps/>
          <w:szCs w:val="28"/>
        </w:rPr>
        <w:t>ей</w:t>
      </w:r>
      <w:r w:rsidRPr="00CD30AF">
        <w:rPr>
          <w:caps/>
          <w:szCs w:val="28"/>
        </w:rPr>
        <w:t>).</w:t>
      </w:r>
    </w:p>
    <w:p w:rsidR="007C7BBA" w:rsidRPr="00CD30AF" w:rsidRDefault="007C7BBA" w:rsidP="007C7BBA">
      <w:pPr>
        <w:ind w:firstLine="540"/>
        <w:jc w:val="both"/>
        <w:rPr>
          <w:sz w:val="28"/>
          <w:szCs w:val="28"/>
        </w:rPr>
      </w:pPr>
      <w:r w:rsidRPr="00CD30AF">
        <w:rPr>
          <w:sz w:val="28"/>
          <w:szCs w:val="28"/>
        </w:rPr>
        <w:t xml:space="preserve">Доказано, что в 93,52% случаев в острый период ГА выявляются дефицит энтерококков и физиологических анаэробов, прежде всего бифидобактерий, качественные изменения эшерихий с достоверно значащим повышением агрессивных штаммов, частичная контаминация толстой кишки УПМ. </w:t>
      </w:r>
    </w:p>
    <w:p w:rsidR="007C7BBA" w:rsidRPr="00CD30AF" w:rsidRDefault="007C7BBA" w:rsidP="007C7BBA">
      <w:pPr>
        <w:ind w:firstLine="540"/>
        <w:jc w:val="both"/>
        <w:rPr>
          <w:sz w:val="28"/>
        </w:rPr>
      </w:pPr>
      <w:r w:rsidRPr="00CD30AF">
        <w:rPr>
          <w:sz w:val="28"/>
          <w:szCs w:val="28"/>
        </w:rPr>
        <w:t xml:space="preserve">Установлена взаимозависимость между изменениями микробиоценоза толстой кишки, показателями </w:t>
      </w:r>
      <w:r w:rsidRPr="00CD30AF">
        <w:rPr>
          <w:sz w:val="28"/>
        </w:rPr>
        <w:t>SIgA</w:t>
      </w:r>
      <w:r w:rsidRPr="00CD30AF">
        <w:rPr>
          <w:sz w:val="28"/>
          <w:szCs w:val="28"/>
        </w:rPr>
        <w:t xml:space="preserve"> и тяжестью течения ГА: при легком течении превалировали нормобиоценоз или дисбактериоз 1-й степени, при среднетяжелом – дисбактериоз 2-й и 3-й степеней. </w:t>
      </w:r>
      <w:r w:rsidRPr="00CD30AF">
        <w:rPr>
          <w:sz w:val="28"/>
        </w:rPr>
        <w:t xml:space="preserve">Наиболее достоверные отличия показателей SIgA выявлены при дисбактериозе 3-й степени и достоверно неизменными были при нормальном биоценозе кишок. </w:t>
      </w:r>
    </w:p>
    <w:p w:rsidR="007C7BBA" w:rsidRPr="00CD30AF" w:rsidRDefault="007C7BBA" w:rsidP="007C7BBA">
      <w:pPr>
        <w:ind w:firstLine="540"/>
        <w:jc w:val="both"/>
        <w:rPr>
          <w:sz w:val="28"/>
        </w:rPr>
      </w:pPr>
      <w:r w:rsidRPr="00CD30AF">
        <w:rPr>
          <w:sz w:val="28"/>
        </w:rPr>
        <w:t>Определение содержания БОФ в сыворотке крови больных ГА выявило в разгар болезни их повышение, более существенное при дисбактериозе 3-й степени. Проведенный корреляционный анализ выявил обратные связи уровней БОФ с бифидо- и лактобакт</w:t>
      </w:r>
      <w:r>
        <w:rPr>
          <w:sz w:val="28"/>
        </w:rPr>
        <w:t>ериями, а представителями УПМ –</w:t>
      </w:r>
      <w:r>
        <w:rPr>
          <w:sz w:val="28"/>
          <w:lang w:val="uk-UA"/>
        </w:rPr>
        <w:t xml:space="preserve"> п</w:t>
      </w:r>
      <w:r w:rsidRPr="00CD30AF">
        <w:rPr>
          <w:sz w:val="28"/>
        </w:rPr>
        <w:t>рямые. Также прямые корреляционные связи выявлены между показателями БОФ и SIgA.</w:t>
      </w:r>
    </w:p>
    <w:p w:rsidR="007C7BBA" w:rsidRPr="00CD30AF" w:rsidRDefault="007C7BBA" w:rsidP="007C7BBA">
      <w:pPr>
        <w:pStyle w:val="a5"/>
        <w:ind w:firstLine="567"/>
        <w:jc w:val="both"/>
        <w:rPr>
          <w:caps/>
          <w:szCs w:val="28"/>
        </w:rPr>
      </w:pPr>
      <w:r w:rsidRPr="00CD30AF">
        <w:rPr>
          <w:caps/>
          <w:szCs w:val="28"/>
        </w:rPr>
        <w:t xml:space="preserve">Доказано, что при благоприятном течении ГА (83,3 %) в период </w:t>
      </w:r>
      <w:r w:rsidRPr="00CD30AF">
        <w:rPr>
          <w:caps/>
        </w:rPr>
        <w:t>нарастания клинических проявлений болезни наблюдается повышение э</w:t>
      </w:r>
      <w:r w:rsidRPr="00CD30AF">
        <w:rPr>
          <w:caps/>
          <w:szCs w:val="28"/>
        </w:rPr>
        <w:t xml:space="preserve">кскреции с калом SІgA и показателей БОФ (СРБ, ГГ, ЦП). Неблагоприятное течение характеризуется отсутствием повышения указанных </w:t>
      </w:r>
      <w:r w:rsidRPr="00CD30AF">
        <w:rPr>
          <w:caps/>
          <w:szCs w:val="28"/>
        </w:rPr>
        <w:lastRenderedPageBreak/>
        <w:t xml:space="preserve">показателей в этот </w:t>
      </w:r>
      <w:r w:rsidRPr="00CD30AF">
        <w:rPr>
          <w:caps/>
        </w:rPr>
        <w:t>период.</w:t>
      </w:r>
      <w:r w:rsidRPr="00CD30AF">
        <w:rPr>
          <w:caps/>
          <w:szCs w:val="28"/>
        </w:rPr>
        <w:t xml:space="preserve"> На основе ранжировки информативности лабораторных показателей разработан математический алгоритм прогнозирования течения ГА.</w:t>
      </w:r>
    </w:p>
    <w:p w:rsidR="007C7BBA" w:rsidRPr="00CD30AF" w:rsidRDefault="007C7BBA" w:rsidP="007C7BBA">
      <w:pPr>
        <w:pStyle w:val="a5"/>
        <w:ind w:firstLine="540"/>
        <w:jc w:val="both"/>
        <w:rPr>
          <w:caps/>
          <w:szCs w:val="28"/>
        </w:rPr>
      </w:pPr>
      <w:r w:rsidRPr="00CD30AF">
        <w:rPr>
          <w:caps/>
          <w:szCs w:val="28"/>
        </w:rPr>
        <w:t>Оценен</w:t>
      </w:r>
      <w:r>
        <w:rPr>
          <w:caps/>
          <w:szCs w:val="28"/>
        </w:rPr>
        <w:t>ы</w:t>
      </w:r>
      <w:r w:rsidRPr="00CD30AF">
        <w:rPr>
          <w:caps/>
          <w:szCs w:val="28"/>
        </w:rPr>
        <w:t xml:space="preserve"> клиническая эффективность, влияние на восстановление микробиоценоза толстого кишечника, нормализацию показателей SІgA в копрофильтратах и БОФ в сыворотке кро</w:t>
      </w:r>
      <w:r>
        <w:rPr>
          <w:caps/>
          <w:szCs w:val="28"/>
        </w:rPr>
        <w:t>ви препаратов лактулозы при легком течени</w:t>
      </w:r>
      <w:r w:rsidRPr="00CD30AF">
        <w:rPr>
          <w:caps/>
          <w:szCs w:val="28"/>
        </w:rPr>
        <w:t>и ГА и в комбинации с альтаном при среднетяжело</w:t>
      </w:r>
      <w:r>
        <w:rPr>
          <w:caps/>
          <w:szCs w:val="28"/>
        </w:rPr>
        <w:t>м</w:t>
      </w:r>
      <w:r w:rsidRPr="00CD30AF">
        <w:rPr>
          <w:caps/>
          <w:szCs w:val="28"/>
        </w:rPr>
        <w:t xml:space="preserve"> </w:t>
      </w:r>
      <w:r>
        <w:rPr>
          <w:caps/>
          <w:szCs w:val="28"/>
        </w:rPr>
        <w:t>тече</w:t>
      </w:r>
      <w:r w:rsidRPr="00CD30AF">
        <w:rPr>
          <w:caps/>
          <w:szCs w:val="28"/>
        </w:rPr>
        <w:t>н</w:t>
      </w:r>
      <w:r>
        <w:rPr>
          <w:caps/>
          <w:szCs w:val="28"/>
        </w:rPr>
        <w:t>ие</w:t>
      </w:r>
      <w:r w:rsidRPr="00CD30AF">
        <w:rPr>
          <w:caps/>
          <w:szCs w:val="28"/>
        </w:rPr>
        <w:t xml:space="preserve"> болезни.</w:t>
      </w:r>
    </w:p>
    <w:p w:rsidR="007C7BBA" w:rsidRPr="00CD30AF" w:rsidRDefault="007C7BBA" w:rsidP="007C7BBA">
      <w:pPr>
        <w:pStyle w:val="a5"/>
        <w:ind w:firstLine="567"/>
        <w:jc w:val="both"/>
        <w:rPr>
          <w:caps/>
          <w:szCs w:val="28"/>
        </w:rPr>
      </w:pPr>
      <w:r w:rsidRPr="00CD30AF">
        <w:rPr>
          <w:b/>
          <w:caps/>
          <w:szCs w:val="28"/>
        </w:rPr>
        <w:t xml:space="preserve">Ключевые слова: </w:t>
      </w:r>
      <w:r w:rsidRPr="00CD30AF">
        <w:rPr>
          <w:caps/>
          <w:szCs w:val="28"/>
        </w:rPr>
        <w:t>гепатит А, микробиоценоз кишечника, секреторный иммуноглобулин А, белки острой фазы, лактулоза, альтан.</w:t>
      </w:r>
    </w:p>
    <w:p w:rsidR="007C7BBA" w:rsidRPr="00CD30AF" w:rsidRDefault="007C7BBA" w:rsidP="007C7BBA"/>
    <w:p w:rsidR="007C7BBA" w:rsidRPr="004B313C" w:rsidRDefault="007C7BBA" w:rsidP="007C7BBA">
      <w:pPr>
        <w:pStyle w:val="a5"/>
        <w:jc w:val="center"/>
        <w:rPr>
          <w:b/>
        </w:rPr>
      </w:pPr>
      <w:r w:rsidRPr="004B313C">
        <w:rPr>
          <w:b/>
        </w:rPr>
        <w:t>Summary</w:t>
      </w:r>
    </w:p>
    <w:p w:rsidR="007C7BBA" w:rsidRPr="00F61B03" w:rsidRDefault="007C7BBA" w:rsidP="007C7BBA">
      <w:pPr>
        <w:pStyle w:val="a9"/>
        <w:ind w:firstLine="567"/>
        <w:jc w:val="both"/>
        <w:rPr>
          <w:b w:val="0"/>
          <w:szCs w:val="28"/>
        </w:rPr>
      </w:pPr>
      <w:r w:rsidRPr="00F61B03">
        <w:rPr>
          <w:b w:val="0"/>
          <w:i/>
          <w:szCs w:val="28"/>
        </w:rPr>
        <w:t xml:space="preserve">Kopiychenko Ya.I. </w:t>
      </w:r>
      <w:r w:rsidRPr="00F61B03">
        <w:rPr>
          <w:b w:val="0"/>
          <w:szCs w:val="28"/>
        </w:rPr>
        <w:t xml:space="preserve">Clinico-laboratory indices of course </w:t>
      </w:r>
      <w:r w:rsidRPr="00F61B03">
        <w:rPr>
          <w:b w:val="0"/>
          <w:szCs w:val="28"/>
          <w:lang w:val="en-GB"/>
        </w:rPr>
        <w:t xml:space="preserve">and </w:t>
      </w:r>
      <w:r w:rsidRPr="00F61B03">
        <w:rPr>
          <w:b w:val="0"/>
          <w:szCs w:val="28"/>
        </w:rPr>
        <w:t>correction</w:t>
      </w:r>
      <w:r w:rsidRPr="00F61B03">
        <w:rPr>
          <w:b w:val="0"/>
          <w:szCs w:val="28"/>
          <w:lang w:val="en-GB"/>
        </w:rPr>
        <w:t xml:space="preserve"> </w:t>
      </w:r>
      <w:r>
        <w:rPr>
          <w:b w:val="0"/>
          <w:szCs w:val="28"/>
        </w:rPr>
        <w:t xml:space="preserve">of </w:t>
      </w:r>
      <w:r w:rsidRPr="00F61B03">
        <w:rPr>
          <w:b w:val="0"/>
          <w:szCs w:val="28"/>
        </w:rPr>
        <w:t>microbiocenosis breach of intestine in patients with viral hepatitis A.</w:t>
      </w:r>
      <w:r w:rsidRPr="00F61B03">
        <w:rPr>
          <w:b w:val="0"/>
          <w:szCs w:val="28"/>
          <w:lang w:val="en-GB"/>
        </w:rPr>
        <w:t xml:space="preserve"> – </w:t>
      </w:r>
      <w:r w:rsidRPr="00F61B03">
        <w:rPr>
          <w:b w:val="0"/>
          <w:bCs/>
          <w:szCs w:val="28"/>
        </w:rPr>
        <w:t>Manuscript.</w:t>
      </w:r>
    </w:p>
    <w:p w:rsidR="007C7BBA" w:rsidRPr="00F64848" w:rsidRDefault="007C7BBA" w:rsidP="007C7BBA">
      <w:pPr>
        <w:ind w:firstLine="900"/>
        <w:jc w:val="both"/>
        <w:rPr>
          <w:sz w:val="28"/>
          <w:szCs w:val="28"/>
          <w:lang w:val="en-US"/>
        </w:rPr>
      </w:pPr>
      <w:r w:rsidRPr="00F64848">
        <w:rPr>
          <w:sz w:val="28"/>
          <w:szCs w:val="28"/>
          <w:lang w:val="en-US"/>
        </w:rPr>
        <w:t>The dissertation for the academic degree of Candidate of Medical Sciences in field 14.01.13 – Infectious Diseases. – CD „</w:t>
      </w:r>
      <w:smartTag w:uri="urn:schemas-microsoft-com:office:smarttags" w:element="place">
        <w:smartTag w:uri="urn:schemas-microsoft-com:office:smarttags" w:element="PlaceType">
          <w:r w:rsidRPr="00F64848">
            <w:rPr>
              <w:sz w:val="28"/>
              <w:szCs w:val="28"/>
              <w:lang w:val="en-US"/>
            </w:rPr>
            <w:t>Institute</w:t>
          </w:r>
        </w:smartTag>
        <w:r w:rsidRPr="00F64848">
          <w:rPr>
            <w:sz w:val="28"/>
            <w:szCs w:val="28"/>
            <w:lang w:val="en-US"/>
          </w:rPr>
          <w:t xml:space="preserve"> of </w:t>
        </w:r>
        <w:smartTag w:uri="urn:schemas-microsoft-com:office:smarttags" w:element="PlaceName">
          <w:r w:rsidRPr="00F64848">
            <w:rPr>
              <w:sz w:val="28"/>
              <w:szCs w:val="28"/>
              <w:lang w:val="en-US"/>
            </w:rPr>
            <w:t>Epidemiology</w:t>
          </w:r>
        </w:smartTag>
      </w:smartTag>
      <w:r w:rsidRPr="00F64848">
        <w:rPr>
          <w:sz w:val="28"/>
          <w:szCs w:val="28"/>
          <w:lang w:val="en-US"/>
        </w:rPr>
        <w:t xml:space="preserve"> and Infectious Diseases named after L.V. Gromashevsky” of Academy of Medical Sciences of Ukraine. – Kyiv, 2009.</w:t>
      </w:r>
    </w:p>
    <w:p w:rsidR="007C7BBA" w:rsidRPr="00F64848" w:rsidRDefault="007C7BBA" w:rsidP="007C7BBA">
      <w:pPr>
        <w:pStyle w:val="a9"/>
        <w:ind w:firstLine="567"/>
        <w:jc w:val="both"/>
        <w:rPr>
          <w:szCs w:val="28"/>
          <w:lang w:val="en-US"/>
        </w:rPr>
      </w:pPr>
      <w:r w:rsidRPr="00F64848">
        <w:rPr>
          <w:szCs w:val="28"/>
          <w:lang w:val="en-US"/>
        </w:rPr>
        <w:t>Results of clinical and laboratorial investigation of 199 patients with hepatitis A were presented in thesis. Study of species composition and population level of the microflora of the colon cavity, contents of SIgA in the faeces, acute phase protei</w:t>
      </w:r>
      <w:r>
        <w:rPr>
          <w:szCs w:val="28"/>
          <w:lang w:val="en-US"/>
        </w:rPr>
        <w:t>ns in the blood serum was carried out</w:t>
      </w:r>
      <w:r w:rsidRPr="00F64848">
        <w:rPr>
          <w:szCs w:val="28"/>
          <w:lang w:val="en-US"/>
        </w:rPr>
        <w:t xml:space="preserve">. </w:t>
      </w:r>
    </w:p>
    <w:p w:rsidR="007C7BBA" w:rsidRPr="00F64848" w:rsidRDefault="007C7BBA" w:rsidP="007C7BBA">
      <w:pPr>
        <w:ind w:firstLine="360"/>
        <w:jc w:val="both"/>
        <w:rPr>
          <w:sz w:val="28"/>
          <w:szCs w:val="28"/>
          <w:lang w:val="en-US"/>
        </w:rPr>
      </w:pPr>
      <w:r w:rsidRPr="00F64848">
        <w:rPr>
          <w:sz w:val="28"/>
          <w:szCs w:val="28"/>
          <w:lang w:val="en-US"/>
        </w:rPr>
        <w:t xml:space="preserve">Performed research proved that deficit of Enterococci and physiological anaerobes, first of all Bifidobacteria, qualitative changes of Esherichiae with significant increase of aggressive cultures, partial contamination of colon by opportunistic pathogenic bacteria </w:t>
      </w:r>
      <w:r>
        <w:rPr>
          <w:sz w:val="28"/>
          <w:szCs w:val="28"/>
          <w:lang w:val="en-US"/>
        </w:rPr>
        <w:t xml:space="preserve">are </w:t>
      </w:r>
      <w:r w:rsidRPr="00F64848">
        <w:rPr>
          <w:sz w:val="28"/>
          <w:szCs w:val="28"/>
          <w:lang w:val="en-US"/>
        </w:rPr>
        <w:t>reveal</w:t>
      </w:r>
      <w:r>
        <w:rPr>
          <w:sz w:val="28"/>
          <w:szCs w:val="28"/>
          <w:lang w:val="en-US"/>
        </w:rPr>
        <w:t>ed</w:t>
      </w:r>
      <w:r w:rsidRPr="00F64848">
        <w:rPr>
          <w:sz w:val="28"/>
          <w:szCs w:val="28"/>
          <w:lang w:val="en-US"/>
        </w:rPr>
        <w:t xml:space="preserve"> in 93,52% cases in acute peri</w:t>
      </w:r>
      <w:r>
        <w:rPr>
          <w:sz w:val="28"/>
          <w:szCs w:val="28"/>
          <w:lang w:val="en-US"/>
        </w:rPr>
        <w:t xml:space="preserve">od of hepatitis A. Correlation </w:t>
      </w:r>
      <w:r w:rsidRPr="00F64848">
        <w:rPr>
          <w:sz w:val="28"/>
          <w:szCs w:val="28"/>
          <w:lang w:val="en-US"/>
        </w:rPr>
        <w:t>between intensity of colon microflora dysbiotic changes, SIgA indices and disease state was established. Normobiocenosis and dysbacteriosis of I degree prevail at mild clinical course, dysbacteriosis of II and III degrees – at moderately severe clinical course. The most reliable differences</w:t>
      </w:r>
      <w:r>
        <w:rPr>
          <w:sz w:val="28"/>
          <w:szCs w:val="28"/>
          <w:lang w:val="en-US"/>
        </w:rPr>
        <w:t xml:space="preserve"> of</w:t>
      </w:r>
      <w:r w:rsidRPr="00F64848">
        <w:rPr>
          <w:sz w:val="28"/>
          <w:szCs w:val="28"/>
          <w:lang w:val="en-US"/>
        </w:rPr>
        <w:t xml:space="preserve"> SIgA indices were discovered at dysba</w:t>
      </w:r>
      <w:r>
        <w:rPr>
          <w:sz w:val="28"/>
          <w:szCs w:val="28"/>
          <w:lang w:val="en-US"/>
        </w:rPr>
        <w:t>cteriosis of III degree. Indice</w:t>
      </w:r>
      <w:r w:rsidRPr="00F64848">
        <w:rPr>
          <w:sz w:val="28"/>
          <w:szCs w:val="28"/>
          <w:lang w:val="en-US"/>
        </w:rPr>
        <w:t>s</w:t>
      </w:r>
      <w:r>
        <w:rPr>
          <w:sz w:val="28"/>
          <w:szCs w:val="28"/>
          <w:lang w:val="en-US"/>
        </w:rPr>
        <w:t xml:space="preserve"> of SIgA do</w:t>
      </w:r>
      <w:r w:rsidRPr="00F64848">
        <w:rPr>
          <w:sz w:val="28"/>
          <w:szCs w:val="28"/>
          <w:lang w:val="en-US"/>
        </w:rPr>
        <w:t xml:space="preserve"> not change at normobiocenosis. Research of acute phase proteins</w:t>
      </w:r>
      <w:r>
        <w:rPr>
          <w:sz w:val="28"/>
          <w:szCs w:val="28"/>
          <w:lang w:val="en-US"/>
        </w:rPr>
        <w:t xml:space="preserve"> quantity in the blood serum reveals</w:t>
      </w:r>
      <w:r w:rsidRPr="00F64848">
        <w:rPr>
          <w:sz w:val="28"/>
          <w:szCs w:val="28"/>
          <w:lang w:val="en-US"/>
        </w:rPr>
        <w:t xml:space="preserve"> their increase at the height of the disease, more essential at dysbacteriosis of III degree. Correlated analysis shows feedbacks between acute phase proteins levels and conten</w:t>
      </w:r>
      <w:r>
        <w:rPr>
          <w:sz w:val="28"/>
          <w:szCs w:val="28"/>
          <w:lang w:val="en-US"/>
        </w:rPr>
        <w:t>ts of Bifido- and Lactobacteria and</w:t>
      </w:r>
      <w:r w:rsidRPr="00F64848">
        <w:rPr>
          <w:sz w:val="28"/>
          <w:szCs w:val="28"/>
          <w:lang w:val="en-US"/>
        </w:rPr>
        <w:t xml:space="preserve"> feedforwards with opportunistic pathogenic bacteria. Also feedforwards were established between acute phase proteins levels and contents of SIgA. Rises of SІgA excretion </w:t>
      </w:r>
      <w:r w:rsidRPr="00F64848">
        <w:rPr>
          <w:sz w:val="28"/>
          <w:szCs w:val="28"/>
          <w:lang w:val="en-US"/>
        </w:rPr>
        <w:lastRenderedPageBreak/>
        <w:t>and acute phase proteins levels occur in patients with favorable current of hepatitis A in period of clinical signs increase. Unfavourable current is characterized by absence of stated indices rise in this period.</w:t>
      </w:r>
      <w:r w:rsidRPr="00F64848">
        <w:rPr>
          <w:b/>
          <w:sz w:val="28"/>
          <w:szCs w:val="28"/>
          <w:lang w:val="en-US"/>
        </w:rPr>
        <w:t xml:space="preserve"> </w:t>
      </w:r>
      <w:r w:rsidRPr="00F64848">
        <w:rPr>
          <w:sz w:val="28"/>
          <w:szCs w:val="28"/>
          <w:lang w:val="en-US"/>
        </w:rPr>
        <w:t>Mathematical algorithm for prediction hepatitis A course was elaborated on basis of</w:t>
      </w:r>
      <w:r>
        <w:rPr>
          <w:sz w:val="28"/>
          <w:szCs w:val="28"/>
          <w:lang w:val="en-US"/>
        </w:rPr>
        <w:t xml:space="preserve"> rating out</w:t>
      </w:r>
      <w:r w:rsidRPr="00F64848">
        <w:rPr>
          <w:sz w:val="28"/>
          <w:szCs w:val="28"/>
          <w:lang w:val="en-US"/>
        </w:rPr>
        <w:t xml:space="preserve"> laboratorial indices. It was revealed that complex therapy of hepatitis A with use of Lactulos</w:t>
      </w:r>
      <w:r>
        <w:rPr>
          <w:sz w:val="28"/>
          <w:szCs w:val="28"/>
          <w:lang w:val="en-US"/>
        </w:rPr>
        <w:t>a or Lactulosa and Altanum contribu</w:t>
      </w:r>
      <w:r w:rsidRPr="00F64848">
        <w:rPr>
          <w:sz w:val="28"/>
          <w:szCs w:val="28"/>
          <w:lang w:val="en-US"/>
        </w:rPr>
        <w:t xml:space="preserve">tes </w:t>
      </w:r>
      <w:r>
        <w:rPr>
          <w:sz w:val="28"/>
          <w:szCs w:val="28"/>
          <w:lang w:val="en-US"/>
        </w:rPr>
        <w:t xml:space="preserve">to </w:t>
      </w:r>
      <w:r w:rsidRPr="00F64848">
        <w:rPr>
          <w:sz w:val="28"/>
          <w:szCs w:val="28"/>
          <w:lang w:val="en-US"/>
        </w:rPr>
        <w:t>earl</w:t>
      </w:r>
      <w:r>
        <w:rPr>
          <w:sz w:val="28"/>
          <w:szCs w:val="28"/>
          <w:lang w:val="en-US"/>
        </w:rPr>
        <w:t>ier</w:t>
      </w:r>
      <w:r w:rsidRPr="00F64848">
        <w:rPr>
          <w:sz w:val="28"/>
          <w:szCs w:val="28"/>
          <w:lang w:val="en-US"/>
        </w:rPr>
        <w:t xml:space="preserve"> regression of disease clinical symptoms and </w:t>
      </w:r>
      <w:r>
        <w:rPr>
          <w:sz w:val="28"/>
          <w:szCs w:val="28"/>
          <w:lang w:val="en-US"/>
        </w:rPr>
        <w:t xml:space="preserve">is </w:t>
      </w:r>
      <w:r w:rsidRPr="00F64848">
        <w:rPr>
          <w:sz w:val="28"/>
          <w:szCs w:val="28"/>
          <w:lang w:val="en-US"/>
        </w:rPr>
        <w:t>characterized by positive influence on colon microflora, content of</w:t>
      </w:r>
      <w:r w:rsidRPr="00F64848">
        <w:rPr>
          <w:b/>
          <w:sz w:val="28"/>
          <w:szCs w:val="28"/>
          <w:lang w:val="en-US"/>
        </w:rPr>
        <w:t xml:space="preserve"> </w:t>
      </w:r>
      <w:r w:rsidRPr="00F64848">
        <w:rPr>
          <w:sz w:val="28"/>
          <w:szCs w:val="28"/>
          <w:lang w:val="en-US"/>
        </w:rPr>
        <w:t xml:space="preserve">SIgA in the faeces and acute phase proteins in the blood serum. </w:t>
      </w:r>
    </w:p>
    <w:p w:rsidR="007C7BBA" w:rsidRDefault="007C7BBA" w:rsidP="007C7BBA">
      <w:pPr>
        <w:pStyle w:val="a9"/>
        <w:ind w:firstLine="567"/>
        <w:jc w:val="both"/>
        <w:rPr>
          <w:lang w:val="en-US"/>
        </w:rPr>
      </w:pPr>
      <w:r w:rsidRPr="00F64848">
        <w:rPr>
          <w:b w:val="0"/>
          <w:bCs/>
          <w:lang w:val="en-US"/>
        </w:rPr>
        <w:t>Key words:</w:t>
      </w:r>
      <w:r w:rsidRPr="00F64848">
        <w:rPr>
          <w:lang w:val="en-US"/>
        </w:rPr>
        <w:t xml:space="preserve"> hepatitis A, colon microbiocenosis, SІgA, acute phase proteins, Lactulosa, Altanum.</w:t>
      </w:r>
    </w:p>
    <w:p w:rsidR="007C7BBA" w:rsidRPr="00877267" w:rsidRDefault="007C7BBA" w:rsidP="007C7BBA">
      <w:pPr>
        <w:jc w:val="center"/>
        <w:rPr>
          <w:b/>
          <w:sz w:val="28"/>
          <w:szCs w:val="28"/>
          <w:lang w:val="uk-UA"/>
        </w:rPr>
      </w:pPr>
      <w:r>
        <w:rPr>
          <w:lang w:val="en-US"/>
        </w:rPr>
        <w:br w:type="page"/>
      </w:r>
      <w:r w:rsidRPr="00877267">
        <w:rPr>
          <w:b/>
          <w:sz w:val="28"/>
          <w:szCs w:val="28"/>
          <w:lang w:val="uk-UA"/>
        </w:rPr>
        <w:lastRenderedPageBreak/>
        <w:t>ПЕРЕЛІК УМОВНИХ СКОРОЧЕНЬ</w:t>
      </w:r>
    </w:p>
    <w:p w:rsidR="007C7BBA" w:rsidRPr="00D0543E" w:rsidRDefault="007C7BBA" w:rsidP="007C7BBA">
      <w:pPr>
        <w:jc w:val="center"/>
        <w:rPr>
          <w:sz w:val="28"/>
          <w:szCs w:val="28"/>
          <w:lang w:val="uk-UA"/>
        </w:rPr>
      </w:pPr>
    </w:p>
    <w:tbl>
      <w:tblPr>
        <w:tblW w:w="10080" w:type="dxa"/>
        <w:tblInd w:w="108" w:type="dxa"/>
        <w:tblLayout w:type="fixed"/>
        <w:tblLook w:val="0000" w:firstRow="0" w:lastRow="0" w:firstColumn="0" w:lastColumn="0" w:noHBand="0" w:noVBand="0"/>
      </w:tblPr>
      <w:tblGrid>
        <w:gridCol w:w="2340"/>
        <w:gridCol w:w="7740"/>
      </w:tblGrid>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БГФ</w:t>
            </w:r>
          </w:p>
        </w:tc>
        <w:tc>
          <w:tcPr>
            <w:tcW w:w="7740" w:type="dxa"/>
          </w:tcPr>
          <w:p w:rsidR="007C7BBA" w:rsidRPr="00D0543E" w:rsidRDefault="007C7BBA" w:rsidP="00B90BA0">
            <w:pPr>
              <w:pStyle w:val="a9"/>
              <w:spacing w:line="360" w:lineRule="auto"/>
              <w:jc w:val="left"/>
              <w:rPr>
                <w:szCs w:val="28"/>
              </w:rPr>
            </w:pPr>
            <w:r w:rsidRPr="00D0543E">
              <w:rPr>
                <w:szCs w:val="28"/>
              </w:rPr>
              <w:t>білки гострої фази</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ГА</w:t>
            </w:r>
          </w:p>
        </w:tc>
        <w:tc>
          <w:tcPr>
            <w:tcW w:w="7740" w:type="dxa"/>
          </w:tcPr>
          <w:p w:rsidR="007C7BBA" w:rsidRPr="00D0543E" w:rsidRDefault="007C7BBA" w:rsidP="00B90BA0">
            <w:pPr>
              <w:pStyle w:val="a9"/>
              <w:spacing w:line="360" w:lineRule="auto"/>
              <w:jc w:val="left"/>
              <w:rPr>
                <w:szCs w:val="28"/>
              </w:rPr>
            </w:pPr>
            <w:r w:rsidRPr="00D0543E">
              <w:rPr>
                <w:szCs w:val="28"/>
              </w:rPr>
              <w:t>гепатит А</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ГГ</w:t>
            </w:r>
          </w:p>
        </w:tc>
        <w:tc>
          <w:tcPr>
            <w:tcW w:w="7740" w:type="dxa"/>
          </w:tcPr>
          <w:p w:rsidR="007C7BBA" w:rsidRPr="00D0543E" w:rsidRDefault="007C7BBA" w:rsidP="00B90BA0">
            <w:pPr>
              <w:pStyle w:val="a9"/>
              <w:spacing w:line="360" w:lineRule="auto"/>
              <w:jc w:val="left"/>
              <w:rPr>
                <w:szCs w:val="28"/>
              </w:rPr>
            </w:pPr>
            <w:r w:rsidRPr="00D0543E">
              <w:rPr>
                <w:szCs w:val="28"/>
              </w:rPr>
              <w:t>гаптоглобін</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ІФА</w:t>
            </w:r>
          </w:p>
        </w:tc>
        <w:tc>
          <w:tcPr>
            <w:tcW w:w="7740" w:type="dxa"/>
          </w:tcPr>
          <w:p w:rsidR="007C7BBA" w:rsidRPr="00D0543E" w:rsidRDefault="007C7BBA" w:rsidP="00B90BA0">
            <w:pPr>
              <w:pStyle w:val="a9"/>
              <w:spacing w:line="360" w:lineRule="auto"/>
              <w:jc w:val="left"/>
              <w:rPr>
                <w:szCs w:val="28"/>
              </w:rPr>
            </w:pPr>
            <w:r w:rsidRPr="00D0543E">
              <w:rPr>
                <w:szCs w:val="28"/>
              </w:rPr>
              <w:t>імуноферментний аналіз</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КУО/г</w:t>
            </w:r>
          </w:p>
        </w:tc>
        <w:tc>
          <w:tcPr>
            <w:tcW w:w="7740" w:type="dxa"/>
          </w:tcPr>
          <w:p w:rsidR="007C7BBA" w:rsidRPr="00D0543E" w:rsidRDefault="007C7BBA" w:rsidP="00B90BA0">
            <w:pPr>
              <w:pStyle w:val="a9"/>
              <w:spacing w:line="360" w:lineRule="auto"/>
              <w:jc w:val="left"/>
              <w:rPr>
                <w:szCs w:val="28"/>
              </w:rPr>
            </w:pPr>
            <w:r w:rsidRPr="00D0543E">
              <w:rPr>
                <w:szCs w:val="28"/>
              </w:rPr>
              <w:t>число колонійутворюючих одиниць в одному грамі випорожнень</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caps/>
                <w:szCs w:val="28"/>
              </w:rPr>
            </w:pPr>
            <w:r w:rsidRPr="00D0543E">
              <w:rPr>
                <w:szCs w:val="28"/>
              </w:rPr>
              <w:t>СРБ</w:t>
            </w:r>
          </w:p>
        </w:tc>
        <w:tc>
          <w:tcPr>
            <w:tcW w:w="7740" w:type="dxa"/>
          </w:tcPr>
          <w:p w:rsidR="007C7BBA" w:rsidRPr="00D0543E" w:rsidRDefault="007C7BBA" w:rsidP="00B90BA0">
            <w:pPr>
              <w:pStyle w:val="a9"/>
              <w:spacing w:line="360" w:lineRule="auto"/>
              <w:jc w:val="left"/>
              <w:rPr>
                <w:szCs w:val="28"/>
              </w:rPr>
            </w:pPr>
            <w:r w:rsidRPr="00D0543E">
              <w:rPr>
                <w:szCs w:val="28"/>
              </w:rPr>
              <w:t>С-реактивний білок</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УПМ</w:t>
            </w:r>
          </w:p>
        </w:tc>
        <w:tc>
          <w:tcPr>
            <w:tcW w:w="7740" w:type="dxa"/>
          </w:tcPr>
          <w:p w:rsidR="007C7BBA" w:rsidRPr="00D0543E" w:rsidRDefault="007C7BBA" w:rsidP="00B90BA0">
            <w:pPr>
              <w:pStyle w:val="a9"/>
              <w:spacing w:line="360" w:lineRule="auto"/>
              <w:jc w:val="left"/>
              <w:rPr>
                <w:szCs w:val="28"/>
              </w:rPr>
            </w:pPr>
            <w:r w:rsidRPr="00D0543E">
              <w:rPr>
                <w:szCs w:val="28"/>
              </w:rPr>
              <w:t>умовно-патогенні мікроорганізми</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ЦП</w:t>
            </w:r>
          </w:p>
        </w:tc>
        <w:tc>
          <w:tcPr>
            <w:tcW w:w="7740" w:type="dxa"/>
          </w:tcPr>
          <w:p w:rsidR="007C7BBA" w:rsidRPr="00D0543E" w:rsidRDefault="007C7BBA" w:rsidP="00B90BA0">
            <w:pPr>
              <w:pStyle w:val="a9"/>
              <w:spacing w:line="360" w:lineRule="auto"/>
              <w:jc w:val="left"/>
              <w:rPr>
                <w:szCs w:val="28"/>
              </w:rPr>
            </w:pPr>
            <w:r w:rsidRPr="00D0543E">
              <w:rPr>
                <w:szCs w:val="28"/>
              </w:rPr>
              <w:t>церулоплазмін</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ШКТ</w:t>
            </w:r>
          </w:p>
        </w:tc>
        <w:tc>
          <w:tcPr>
            <w:tcW w:w="7740" w:type="dxa"/>
          </w:tcPr>
          <w:p w:rsidR="007C7BBA" w:rsidRPr="00D0543E" w:rsidRDefault="007C7BBA" w:rsidP="00B90BA0">
            <w:pPr>
              <w:pStyle w:val="a9"/>
              <w:spacing w:line="360" w:lineRule="auto"/>
              <w:jc w:val="left"/>
              <w:rPr>
                <w:szCs w:val="28"/>
              </w:rPr>
            </w:pPr>
            <w:r w:rsidRPr="00D0543E">
              <w:rPr>
                <w:szCs w:val="28"/>
              </w:rPr>
              <w:t>шлунково-кишковий тракт</w:t>
            </w:r>
          </w:p>
        </w:tc>
      </w:tr>
      <w:tr w:rsidR="007C7BBA" w:rsidRPr="00D0543E" w:rsidTr="00B90BA0">
        <w:tblPrEx>
          <w:tblCellMar>
            <w:top w:w="0" w:type="dxa"/>
            <w:bottom w:w="0" w:type="dxa"/>
          </w:tblCellMar>
        </w:tblPrEx>
        <w:tc>
          <w:tcPr>
            <w:tcW w:w="2340" w:type="dxa"/>
          </w:tcPr>
          <w:p w:rsidR="007C7BBA" w:rsidRPr="00D0543E" w:rsidRDefault="007C7BBA" w:rsidP="00B90BA0">
            <w:pPr>
              <w:pStyle w:val="a9"/>
              <w:spacing w:line="360" w:lineRule="auto"/>
              <w:jc w:val="left"/>
              <w:rPr>
                <w:szCs w:val="28"/>
              </w:rPr>
            </w:pPr>
            <w:r w:rsidRPr="00D0543E">
              <w:rPr>
                <w:szCs w:val="28"/>
              </w:rPr>
              <w:t>SIgA</w:t>
            </w:r>
          </w:p>
        </w:tc>
        <w:tc>
          <w:tcPr>
            <w:tcW w:w="7740" w:type="dxa"/>
          </w:tcPr>
          <w:p w:rsidR="007C7BBA" w:rsidRPr="00D0543E" w:rsidRDefault="007C7BBA" w:rsidP="00B90BA0">
            <w:pPr>
              <w:pStyle w:val="a9"/>
              <w:spacing w:line="360" w:lineRule="auto"/>
              <w:jc w:val="left"/>
              <w:rPr>
                <w:szCs w:val="28"/>
              </w:rPr>
            </w:pPr>
            <w:r w:rsidRPr="00D0543E">
              <w:rPr>
                <w:szCs w:val="28"/>
              </w:rPr>
              <w:t>секреторний імуноглобулін А</w:t>
            </w:r>
          </w:p>
        </w:tc>
      </w:tr>
    </w:tbl>
    <w:p w:rsidR="007C7BBA" w:rsidRPr="00D0543E" w:rsidRDefault="007C7BBA" w:rsidP="007C7BBA">
      <w:pPr>
        <w:pStyle w:val="a9"/>
        <w:ind w:firstLine="567"/>
        <w:jc w:val="both"/>
        <w:rPr>
          <w:caps/>
          <w:szCs w:val="28"/>
          <w:lang w:val="en-US"/>
        </w:rPr>
      </w:pPr>
    </w:p>
    <w:p w:rsidR="003C1FA0" w:rsidRPr="002636FF" w:rsidRDefault="003C1FA0" w:rsidP="002636FF">
      <w:pPr>
        <w:widowControl w:val="0"/>
        <w:tabs>
          <w:tab w:val="num" w:pos="900"/>
        </w:tabs>
        <w:autoSpaceDE w:val="0"/>
        <w:autoSpaceDN w:val="0"/>
        <w:spacing w:line="360" w:lineRule="auto"/>
        <w:rPr>
          <w:sz w:val="28"/>
          <w:szCs w:val="28"/>
          <w:lang w:val="uk-UA"/>
        </w:rPr>
      </w:pPr>
      <w:bookmarkStart w:id="0" w:name="_GoBack"/>
      <w:bookmarkEnd w:id="0"/>
    </w:p>
    <w:p w:rsidR="005740A6" w:rsidRDefault="005740A6" w:rsidP="00725913">
      <w:pPr>
        <w:pStyle w:val="a5"/>
        <w:widowControl w:val="0"/>
        <w:shd w:val="clear" w:color="auto" w:fill="FFFFFF"/>
        <w:spacing w:before="240" w:after="60" w:line="360" w:lineRule="auto"/>
        <w:ind w:firstLine="709"/>
        <w:jc w:val="both"/>
      </w:pPr>
      <w:r w:rsidRPr="00D353C8">
        <w:rPr>
          <w:lang w:val="en-US"/>
        </w:rPr>
        <w:t> </w:t>
      </w:r>
      <w:r>
        <w:rPr>
          <w:color w:val="FF0000"/>
        </w:rPr>
        <w:t xml:space="preserve">Для заказа доставки данной работы воспользуйтесь поиском на сайте по ссылке:  </w:t>
      </w:r>
      <w:hyperlink r:id="rId9" w:history="1">
        <w:r>
          <w:rPr>
            <w:rStyle w:val="a4"/>
            <w:color w:val="0070C0"/>
          </w:rPr>
          <w:t>http://www.mydisser.com/search.html</w:t>
        </w:r>
      </w:hyperlink>
    </w:p>
    <w:p w:rsidR="000F4B2E" w:rsidRDefault="000F4B2E"/>
    <w:sectPr w:rsidR="000F4B2E">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7C7BBA">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7C7BB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7C7BBA">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9</w:t>
    </w:r>
    <w:r>
      <w:rPr>
        <w:rStyle w:val="af2"/>
        <w:rFonts w:eastAsia="Garamond"/>
      </w:rPr>
      <w:fldChar w:fldCharType="end"/>
    </w:r>
  </w:p>
  <w:p w:rsidR="009335CF" w:rsidRDefault="007C7BBA">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7C7BB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7C7BBA">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C7BBA">
    <w:pPr>
      <w:pStyle w:val="af0"/>
      <w:framePr w:wrap="around" w:vAnchor="text" w:hAnchor="margin" w:xAlign="right" w:y="1"/>
      <w:rPr>
        <w:rStyle w:val="af2"/>
        <w:lang w:val="uk-UA"/>
      </w:rPr>
    </w:pPr>
  </w:p>
  <w:p w:rsidR="009335CF" w:rsidRDefault="007C7BBA">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C815923"/>
    <w:multiLevelType w:val="multilevel"/>
    <w:tmpl w:val="599AD19E"/>
    <w:lvl w:ilvl="0">
      <w:start w:val="1"/>
      <w:numFmt w:val="decimal"/>
      <w:lvlText w:val="%1."/>
      <w:lvlJc w:val="left"/>
      <w:pPr>
        <w:tabs>
          <w:tab w:val="num" w:pos="540"/>
        </w:tabs>
        <w:ind w:left="54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
    <w:nsid w:val="3C3F737E"/>
    <w:multiLevelType w:val="hybridMultilevel"/>
    <w:tmpl w:val="0B8E8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214AB"/>
    <w:multiLevelType w:val="hybridMultilevel"/>
    <w:tmpl w:val="1DB4E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7">
    <w:nsid w:val="6E766F61"/>
    <w:multiLevelType w:val="hybridMultilevel"/>
    <w:tmpl w:val="4088EE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4F51"/>
    <w:rsid w:val="00036505"/>
    <w:rsid w:val="00041508"/>
    <w:rsid w:val="0004546E"/>
    <w:rsid w:val="0004646C"/>
    <w:rsid w:val="000477A4"/>
    <w:rsid w:val="00056C14"/>
    <w:rsid w:val="00060D76"/>
    <w:rsid w:val="00061CF2"/>
    <w:rsid w:val="000627E3"/>
    <w:rsid w:val="00062999"/>
    <w:rsid w:val="00064D9C"/>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D9D"/>
    <w:rsid w:val="00121939"/>
    <w:rsid w:val="00123905"/>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7F25"/>
    <w:rsid w:val="001E03AA"/>
    <w:rsid w:val="001E1598"/>
    <w:rsid w:val="001E1628"/>
    <w:rsid w:val="001E1AE8"/>
    <w:rsid w:val="001E1AFA"/>
    <w:rsid w:val="001E323D"/>
    <w:rsid w:val="001E3612"/>
    <w:rsid w:val="001E497D"/>
    <w:rsid w:val="001E49C7"/>
    <w:rsid w:val="001E6786"/>
    <w:rsid w:val="001F5022"/>
    <w:rsid w:val="001F7256"/>
    <w:rsid w:val="002014EC"/>
    <w:rsid w:val="002075AC"/>
    <w:rsid w:val="00211965"/>
    <w:rsid w:val="002164F3"/>
    <w:rsid w:val="00216647"/>
    <w:rsid w:val="00216C41"/>
    <w:rsid w:val="002170CA"/>
    <w:rsid w:val="002176A4"/>
    <w:rsid w:val="00224AA5"/>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35AD"/>
    <w:rsid w:val="002C6629"/>
    <w:rsid w:val="002D1BBB"/>
    <w:rsid w:val="002D2F8A"/>
    <w:rsid w:val="002D788F"/>
    <w:rsid w:val="002E127F"/>
    <w:rsid w:val="002E1365"/>
    <w:rsid w:val="002E4F54"/>
    <w:rsid w:val="002F05AC"/>
    <w:rsid w:val="002F0C43"/>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B2C55"/>
    <w:rsid w:val="003B39CE"/>
    <w:rsid w:val="003B73A4"/>
    <w:rsid w:val="003B757C"/>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3528"/>
    <w:rsid w:val="005A3FD3"/>
    <w:rsid w:val="005B24C1"/>
    <w:rsid w:val="005B2E1A"/>
    <w:rsid w:val="005B7857"/>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5065"/>
    <w:rsid w:val="00620A88"/>
    <w:rsid w:val="00620C60"/>
    <w:rsid w:val="0062254F"/>
    <w:rsid w:val="00622FD3"/>
    <w:rsid w:val="00627676"/>
    <w:rsid w:val="00630C37"/>
    <w:rsid w:val="006329BF"/>
    <w:rsid w:val="0063386E"/>
    <w:rsid w:val="00635C46"/>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F22"/>
    <w:rsid w:val="0067432B"/>
    <w:rsid w:val="00675614"/>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2CB6"/>
    <w:rsid w:val="009E31ED"/>
    <w:rsid w:val="009E6721"/>
    <w:rsid w:val="009E7034"/>
    <w:rsid w:val="009F1E6B"/>
    <w:rsid w:val="009F33C6"/>
    <w:rsid w:val="009F407A"/>
    <w:rsid w:val="009F56D6"/>
    <w:rsid w:val="009F5711"/>
    <w:rsid w:val="009F5734"/>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3FE3"/>
    <w:rsid w:val="00AD6AE5"/>
    <w:rsid w:val="00AD6F99"/>
    <w:rsid w:val="00AE41AB"/>
    <w:rsid w:val="00AE5593"/>
    <w:rsid w:val="00AE5AFE"/>
    <w:rsid w:val="00AF71B4"/>
    <w:rsid w:val="00B006D5"/>
    <w:rsid w:val="00B01F06"/>
    <w:rsid w:val="00B02046"/>
    <w:rsid w:val="00B0283F"/>
    <w:rsid w:val="00B03439"/>
    <w:rsid w:val="00B038FE"/>
    <w:rsid w:val="00B05954"/>
    <w:rsid w:val="00B06B41"/>
    <w:rsid w:val="00B07FE2"/>
    <w:rsid w:val="00B11C28"/>
    <w:rsid w:val="00B11CD8"/>
    <w:rsid w:val="00B16B4D"/>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57B1"/>
    <w:rsid w:val="00BE373E"/>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B1DF0"/>
    <w:rsid w:val="00CB2171"/>
    <w:rsid w:val="00CB2A51"/>
    <w:rsid w:val="00CC61D2"/>
    <w:rsid w:val="00CC6B48"/>
    <w:rsid w:val="00CC7548"/>
    <w:rsid w:val="00CD0E69"/>
    <w:rsid w:val="00CD11CD"/>
    <w:rsid w:val="00CE04AF"/>
    <w:rsid w:val="00CE197D"/>
    <w:rsid w:val="00CE64EE"/>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C362B"/>
    <w:rsid w:val="00DC419C"/>
    <w:rsid w:val="00DC5EB0"/>
    <w:rsid w:val="00DD2872"/>
    <w:rsid w:val="00DD3406"/>
    <w:rsid w:val="00DD5BCD"/>
    <w:rsid w:val="00DD7EB6"/>
    <w:rsid w:val="00DE1A71"/>
    <w:rsid w:val="00DE4DEF"/>
    <w:rsid w:val="00DE6319"/>
    <w:rsid w:val="00DE6698"/>
    <w:rsid w:val="00DF041F"/>
    <w:rsid w:val="00DF1BE1"/>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2D70"/>
    <w:rsid w:val="00F95558"/>
    <w:rsid w:val="00F95B2C"/>
    <w:rsid w:val="00F95C0E"/>
    <w:rsid w:val="00FA1000"/>
    <w:rsid w:val="00FA58AB"/>
    <w:rsid w:val="00FA640D"/>
    <w:rsid w:val="00FA7AC3"/>
    <w:rsid w:val="00FB0C93"/>
    <w:rsid w:val="00FB3CF2"/>
    <w:rsid w:val="00FB7784"/>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
    <w:name w:val="heading 3"/>
    <w:basedOn w:val="a0"/>
    <w:next w:val="a0"/>
    <w:link w:val="30"/>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0">
    <w:name w:val="Заголовок 3 Знак"/>
    <w:basedOn w:val="a1"/>
    <w:link w:val="3"/>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1">
    <w:name w:val="Body Text Indent 3"/>
    <w:basedOn w:val="a0"/>
    <w:link w:val="32"/>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2">
    <w:name w:val="Основной текст с отступом 3 Знак"/>
    <w:basedOn w:val="a1"/>
    <w:link w:val="31"/>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3">
    <w:name w:val="Body Text 3"/>
    <w:basedOn w:val="a0"/>
    <w:link w:val="34"/>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1"/>
    <w:link w:val="33"/>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1"/>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3"/>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2"/>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semiHidden/>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semiHidden/>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iPriority w:val="99"/>
    <w:semiHidden/>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semiHidden/>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semiHidden/>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semiHidden/>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semiHidden/>
    <w:rsid w:val="007C7BBA"/>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2.xml"/><Relationship Id="rId5" Type="http://schemas.openxmlformats.org/officeDocument/2006/relationships/hyperlink" Target="http://www.mydisser.com/search.html"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5185185185185179E-2"/>
          <c:y val="0.1702127659574468"/>
          <c:w val="0.58370370370370361"/>
          <c:h val="0.66382978723404262"/>
        </c:manualLayout>
      </c:layout>
      <c:pie3DChart>
        <c:varyColors val="1"/>
        <c:ser>
          <c:idx val="0"/>
          <c:order val="0"/>
          <c:tx>
            <c:strRef>
              <c:f>Sheet1!$A$2</c:f>
              <c:strCache>
                <c:ptCount val="1"/>
                <c:pt idx="0">
                  <c:v>Восток</c:v>
                </c:pt>
              </c:strCache>
            </c:strRef>
          </c:tx>
          <c:spPr>
            <a:solidFill>
              <a:srgbClr val="9999FF"/>
            </a:solidFill>
            <a:ln w="12706">
              <a:solidFill>
                <a:srgbClr val="000000"/>
              </a:solidFill>
              <a:prstDash val="solid"/>
            </a:ln>
          </c:spPr>
          <c:explosion val="25"/>
          <c:dPt>
            <c:idx val="0"/>
            <c:bubble3D val="0"/>
            <c:spPr>
              <a:solidFill>
                <a:srgbClr val="FFFFFF"/>
              </a:solidFill>
              <a:ln w="12706">
                <a:solidFill>
                  <a:srgbClr val="000000"/>
                </a:solidFill>
                <a:prstDash val="solid"/>
              </a:ln>
            </c:spPr>
          </c:dPt>
          <c:dPt>
            <c:idx val="1"/>
            <c:bubble3D val="0"/>
            <c:spPr>
              <a:pattFill prst="lgConfetti">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706">
                <a:solidFill>
                  <a:srgbClr val="000000"/>
                </a:solidFill>
                <a:prstDash val="solid"/>
              </a:ln>
            </c:spPr>
          </c:dPt>
          <c:dPt>
            <c:idx val="2"/>
            <c:bubble3D val="0"/>
            <c:spPr>
              <a:solidFill>
                <a:srgbClr val="808080"/>
              </a:solidFill>
              <a:ln w="12706">
                <a:solidFill>
                  <a:srgbClr val="000000"/>
                </a:solidFill>
                <a:prstDash val="solid"/>
              </a:ln>
            </c:spPr>
          </c:dPt>
          <c:dPt>
            <c:idx val="3"/>
            <c:bubble3D val="0"/>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808080" mc:Ignorable="a14" a14:legacySpreadsheetColorIndex="23"/>
                </a:bgClr>
              </a:pattFill>
              <a:ln w="12706">
                <a:solidFill>
                  <a:srgbClr val="000000"/>
                </a:solidFill>
                <a:prstDash val="solid"/>
              </a:ln>
            </c:spPr>
          </c:dPt>
          <c:cat>
            <c:strRef>
              <c:f>Sheet1!$B$1:$E$1</c:f>
              <c:strCache>
                <c:ptCount val="4"/>
                <c:pt idx="0">
                  <c:v>нормобіоценоз</c:v>
                </c:pt>
                <c:pt idx="1">
                  <c:v>1-й ступінь дисбактеріозу</c:v>
                </c:pt>
                <c:pt idx="2">
                  <c:v>2-й ступінь дисбактеріозу</c:v>
                </c:pt>
                <c:pt idx="3">
                  <c:v>3-й ступінь дисбактеріозу</c:v>
                </c:pt>
              </c:strCache>
            </c:strRef>
          </c:cat>
          <c:val>
            <c:numRef>
              <c:f>Sheet1!$B$2:$E$2</c:f>
              <c:numCache>
                <c:formatCode>General</c:formatCode>
                <c:ptCount val="4"/>
                <c:pt idx="0">
                  <c:v>6.48</c:v>
                </c:pt>
                <c:pt idx="1">
                  <c:v>23.15</c:v>
                </c:pt>
                <c:pt idx="2">
                  <c:v>50</c:v>
                </c:pt>
                <c:pt idx="3">
                  <c:v>20.37</c:v>
                </c:pt>
              </c:numCache>
            </c:numRef>
          </c:val>
        </c:ser>
        <c:dLbls>
          <c:showLegendKey val="0"/>
          <c:showVal val="0"/>
          <c:showCatName val="0"/>
          <c:showSerName val="0"/>
          <c:showPercent val="0"/>
          <c:showBubbleSize val="0"/>
          <c:showLeaderLines val="1"/>
        </c:dLbls>
      </c:pie3DChart>
      <c:spPr>
        <a:solidFill>
          <a:srgbClr val="CCFFFF"/>
        </a:solidFill>
        <a:ln w="12706">
          <a:solidFill>
            <a:srgbClr val="CCFFFF"/>
          </a:solidFill>
          <a:prstDash val="solid"/>
        </a:ln>
      </c:spPr>
    </c:plotArea>
    <c:legend>
      <c:legendPos val="r"/>
      <c:layout>
        <c:manualLayout>
          <c:xMode val="edge"/>
          <c:yMode val="edge"/>
          <c:x val="0.67851851851851852"/>
          <c:y val="0.18297872340425533"/>
          <c:w val="0.32148148148148148"/>
          <c:h val="0.64255319148936163"/>
        </c:manualLayout>
      </c:layout>
      <c:overlay val="0"/>
      <c:spPr>
        <a:noFill/>
        <a:ln w="3177">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295687885010257E-2"/>
          <c:y val="0.10619469026548674"/>
          <c:w val="0.65503080082135501"/>
          <c:h val="0.70796460176991149"/>
        </c:manualLayout>
      </c:layout>
      <c:lineChart>
        <c:grouping val="standard"/>
        <c:varyColors val="0"/>
        <c:ser>
          <c:idx val="1"/>
          <c:order val="0"/>
          <c:tx>
            <c:strRef>
              <c:f>Sheet1!$A$3</c:f>
              <c:strCache>
                <c:ptCount val="1"/>
                <c:pt idx="0">
                  <c:v>перша А підгрупа</c:v>
                </c:pt>
              </c:strCache>
            </c:strRef>
          </c:tx>
          <c:spPr>
            <a:ln w="25400">
              <a:solidFill>
                <a:srgbClr val="FF6600"/>
              </a:solidFill>
              <a:prstDash val="solid"/>
            </a:ln>
          </c:spPr>
          <c:marker>
            <c:symbol val="square"/>
            <c:size val="7"/>
            <c:spPr>
              <a:solidFill>
                <a:srgbClr val="FF00FF"/>
              </a:solidFill>
              <a:ln>
                <a:solidFill>
                  <a:srgbClr val="FF00FF"/>
                </a:solidFill>
                <a:prstDash val="solid"/>
              </a:ln>
            </c:spPr>
          </c:marker>
          <c:cat>
            <c:strRef>
              <c:f>Sheet1!$B$1:$C$1</c:f>
              <c:strCache>
                <c:ptCount val="2"/>
                <c:pt idx="0">
                  <c:v>До лікування</c:v>
                </c:pt>
                <c:pt idx="1">
                  <c:v>15-16 день лікування</c:v>
                </c:pt>
              </c:strCache>
            </c:strRef>
          </c:cat>
          <c:val>
            <c:numRef>
              <c:f>Sheet1!$B$3:$C$3</c:f>
              <c:numCache>
                <c:formatCode>General</c:formatCode>
                <c:ptCount val="2"/>
                <c:pt idx="0">
                  <c:v>0.9</c:v>
                </c:pt>
                <c:pt idx="1">
                  <c:v>0.52</c:v>
                </c:pt>
              </c:numCache>
            </c:numRef>
          </c:val>
          <c:smooth val="0"/>
        </c:ser>
        <c:ser>
          <c:idx val="2"/>
          <c:order val="1"/>
          <c:tx>
            <c:strRef>
              <c:f>Sheet1!$A$4</c:f>
              <c:strCache>
                <c:ptCount val="1"/>
                <c:pt idx="0">
                  <c:v>перша Б підгрупа</c:v>
                </c:pt>
              </c:strCache>
            </c:strRef>
          </c:tx>
          <c:spPr>
            <a:ln w="25400">
              <a:solidFill>
                <a:srgbClr val="000080"/>
              </a:solidFill>
              <a:prstDash val="solid"/>
            </a:ln>
          </c:spPr>
          <c:marker>
            <c:symbol val="triangle"/>
            <c:size val="5"/>
            <c:spPr>
              <a:solidFill>
                <a:srgbClr val="FFFF00"/>
              </a:solidFill>
              <a:ln>
                <a:solidFill>
                  <a:srgbClr val="000080"/>
                </a:solidFill>
                <a:prstDash val="solid"/>
              </a:ln>
            </c:spPr>
          </c:marker>
          <c:cat>
            <c:strRef>
              <c:f>Sheet1!$B$1:$C$1</c:f>
              <c:strCache>
                <c:ptCount val="2"/>
                <c:pt idx="0">
                  <c:v>До лікування</c:v>
                </c:pt>
                <c:pt idx="1">
                  <c:v>15-16 день лікування</c:v>
                </c:pt>
              </c:strCache>
            </c:strRef>
          </c:cat>
          <c:val>
            <c:numRef>
              <c:f>Sheet1!$B$4:$C$4</c:f>
              <c:numCache>
                <c:formatCode>General</c:formatCode>
                <c:ptCount val="2"/>
                <c:pt idx="0">
                  <c:v>0.9</c:v>
                </c:pt>
                <c:pt idx="1">
                  <c:v>0.32</c:v>
                </c:pt>
              </c:numCache>
            </c:numRef>
          </c:val>
          <c:smooth val="0"/>
        </c:ser>
        <c:dLbls>
          <c:showLegendKey val="0"/>
          <c:showVal val="0"/>
          <c:showCatName val="0"/>
          <c:showSerName val="0"/>
          <c:showPercent val="0"/>
          <c:showBubbleSize val="0"/>
        </c:dLbls>
        <c:marker val="1"/>
        <c:smooth val="0"/>
        <c:axId val="426238000"/>
        <c:axId val="426238560"/>
      </c:lineChart>
      <c:catAx>
        <c:axId val="426238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6238560"/>
        <c:crosses val="autoZero"/>
        <c:auto val="1"/>
        <c:lblAlgn val="ctr"/>
        <c:lblOffset val="100"/>
        <c:tickLblSkip val="1"/>
        <c:tickMarkSkip val="1"/>
        <c:noMultiLvlLbl val="0"/>
      </c:catAx>
      <c:valAx>
        <c:axId val="426238560"/>
        <c:scaling>
          <c:orientation val="minMax"/>
        </c:scaling>
        <c:delete val="0"/>
        <c:axPos val="l"/>
        <c:majorGridlines>
          <c:spPr>
            <a:ln w="3175">
              <a:solidFill>
                <a:srgbClr val="000000"/>
              </a:solidFill>
              <a:prstDash val="solid"/>
            </a:ln>
          </c:spPr>
        </c:majorGridlines>
        <c:numFmt formatCode="@"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6238000"/>
        <c:crosses val="autoZero"/>
        <c:crossBetween val="between"/>
      </c:valAx>
      <c:spPr>
        <a:solidFill>
          <a:srgbClr val="CCFFFF"/>
        </a:solidFill>
        <a:ln w="12700">
          <a:solidFill>
            <a:srgbClr val="CCFFFF"/>
          </a:solidFill>
          <a:prstDash val="solid"/>
        </a:ln>
      </c:spPr>
    </c:plotArea>
    <c:legend>
      <c:legendPos val="r"/>
      <c:layout>
        <c:manualLayout>
          <c:xMode val="edge"/>
          <c:yMode val="edge"/>
          <c:x val="0.76591375770020531"/>
          <c:y val="0.26991150442477874"/>
          <c:w val="0.23203285420944553"/>
          <c:h val="0.3716814159292035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295687885010257E-2"/>
          <c:y val="0.10619469026548674"/>
          <c:w val="0.65503080082135501"/>
          <c:h val="0.70796460176991149"/>
        </c:manualLayout>
      </c:layout>
      <c:lineChart>
        <c:grouping val="standard"/>
        <c:varyColors val="0"/>
        <c:ser>
          <c:idx val="1"/>
          <c:order val="0"/>
          <c:tx>
            <c:strRef>
              <c:f>Sheet1!$A$3</c:f>
              <c:strCache>
                <c:ptCount val="1"/>
                <c:pt idx="0">
                  <c:v>друга А підгрупа</c:v>
                </c:pt>
              </c:strCache>
            </c:strRef>
          </c:tx>
          <c:spPr>
            <a:ln w="25400">
              <a:solidFill>
                <a:srgbClr val="FF6600"/>
              </a:solidFill>
              <a:prstDash val="solid"/>
            </a:ln>
          </c:spPr>
          <c:marker>
            <c:symbol val="square"/>
            <c:size val="7"/>
            <c:spPr>
              <a:solidFill>
                <a:srgbClr val="FF00FF"/>
              </a:solidFill>
              <a:ln>
                <a:solidFill>
                  <a:srgbClr val="FF00FF"/>
                </a:solidFill>
                <a:prstDash val="solid"/>
              </a:ln>
            </c:spPr>
          </c:marker>
          <c:cat>
            <c:strRef>
              <c:f>Sheet1!$B$1:$C$1</c:f>
              <c:strCache>
                <c:ptCount val="2"/>
                <c:pt idx="0">
                  <c:v>До лікування</c:v>
                </c:pt>
                <c:pt idx="1">
                  <c:v>15-16 день лікування</c:v>
                </c:pt>
              </c:strCache>
            </c:strRef>
          </c:cat>
          <c:val>
            <c:numRef>
              <c:f>Sheet1!$B$3:$C$3</c:f>
              <c:numCache>
                <c:formatCode>General</c:formatCode>
                <c:ptCount val="2"/>
                <c:pt idx="0">
                  <c:v>2.2999999999999998</c:v>
                </c:pt>
                <c:pt idx="1">
                  <c:v>1.04</c:v>
                </c:pt>
              </c:numCache>
            </c:numRef>
          </c:val>
          <c:smooth val="0"/>
        </c:ser>
        <c:ser>
          <c:idx val="2"/>
          <c:order val="1"/>
          <c:tx>
            <c:strRef>
              <c:f>Sheet1!$A$4</c:f>
              <c:strCache>
                <c:ptCount val="1"/>
                <c:pt idx="0">
                  <c:v>друга Б підгрупа</c:v>
                </c:pt>
              </c:strCache>
            </c:strRef>
          </c:tx>
          <c:spPr>
            <a:ln w="25400">
              <a:solidFill>
                <a:srgbClr val="000080"/>
              </a:solidFill>
              <a:prstDash val="solid"/>
            </a:ln>
          </c:spPr>
          <c:marker>
            <c:symbol val="triangle"/>
            <c:size val="5"/>
            <c:spPr>
              <a:solidFill>
                <a:srgbClr val="FFFF00"/>
              </a:solidFill>
              <a:ln>
                <a:solidFill>
                  <a:srgbClr val="000080"/>
                </a:solidFill>
                <a:prstDash val="solid"/>
              </a:ln>
            </c:spPr>
          </c:marker>
          <c:cat>
            <c:strRef>
              <c:f>Sheet1!$B$1:$C$1</c:f>
              <c:strCache>
                <c:ptCount val="2"/>
                <c:pt idx="0">
                  <c:v>До лікування</c:v>
                </c:pt>
                <c:pt idx="1">
                  <c:v>15-16 день лікування</c:v>
                </c:pt>
              </c:strCache>
            </c:strRef>
          </c:cat>
          <c:val>
            <c:numRef>
              <c:f>Sheet1!$B$4:$C$4</c:f>
              <c:numCache>
                <c:formatCode>General</c:formatCode>
                <c:ptCount val="2"/>
                <c:pt idx="0">
                  <c:v>2.2999999999999998</c:v>
                </c:pt>
                <c:pt idx="1">
                  <c:v>0.36</c:v>
                </c:pt>
              </c:numCache>
            </c:numRef>
          </c:val>
          <c:smooth val="0"/>
        </c:ser>
        <c:dLbls>
          <c:showLegendKey val="0"/>
          <c:showVal val="0"/>
          <c:showCatName val="0"/>
          <c:showSerName val="0"/>
          <c:showPercent val="0"/>
          <c:showBubbleSize val="0"/>
        </c:dLbls>
        <c:marker val="1"/>
        <c:smooth val="0"/>
        <c:axId val="426241360"/>
        <c:axId val="193947616"/>
      </c:lineChart>
      <c:catAx>
        <c:axId val="426241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3947616"/>
        <c:crosses val="autoZero"/>
        <c:auto val="1"/>
        <c:lblAlgn val="ctr"/>
        <c:lblOffset val="100"/>
        <c:tickLblSkip val="1"/>
        <c:tickMarkSkip val="1"/>
        <c:noMultiLvlLbl val="0"/>
      </c:catAx>
      <c:valAx>
        <c:axId val="193947616"/>
        <c:scaling>
          <c:orientation val="minMax"/>
        </c:scaling>
        <c:delete val="0"/>
        <c:axPos val="l"/>
        <c:majorGridlines>
          <c:spPr>
            <a:ln w="3175">
              <a:solidFill>
                <a:srgbClr val="000000"/>
              </a:solidFill>
              <a:prstDash val="solid"/>
            </a:ln>
          </c:spPr>
        </c:majorGridlines>
        <c:numFmt formatCode="@"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26241360"/>
        <c:crosses val="autoZero"/>
        <c:crossBetween val="between"/>
      </c:valAx>
      <c:spPr>
        <a:solidFill>
          <a:srgbClr val="CCFFFF"/>
        </a:solidFill>
        <a:ln w="12700">
          <a:solidFill>
            <a:srgbClr val="CCFFFF"/>
          </a:solidFill>
          <a:prstDash val="solid"/>
        </a:ln>
      </c:spPr>
    </c:plotArea>
    <c:legend>
      <c:legendPos val="r"/>
      <c:layout>
        <c:manualLayout>
          <c:xMode val="edge"/>
          <c:yMode val="edge"/>
          <c:x val="0.76591375770020531"/>
          <c:y val="0.26991150442477874"/>
          <c:w val="0.23203285420944553"/>
          <c:h val="0.3716814159292035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9037</Words>
  <Characters>51512</Characters>
  <Application>Microsoft Office Word</Application>
  <DocSecurity>0</DocSecurity>
  <Lines>429</Lines>
  <Paragraphs>120</Paragraphs>
  <ScaleCrop>false</ScaleCrop>
  <Company>Microsoft Corporation</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20</cp:revision>
  <dcterms:created xsi:type="dcterms:W3CDTF">2015-05-26T12:20:00Z</dcterms:created>
  <dcterms:modified xsi:type="dcterms:W3CDTF">2015-05-26T12:53:00Z</dcterms:modified>
</cp:coreProperties>
</file>