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D82C37" w:rsidRDefault="00D82C37" w:rsidP="00D82C37">
      <w:pPr>
        <w:jc w:val="center"/>
        <w:rPr>
          <w:b/>
          <w:sz w:val="28"/>
          <w:szCs w:val="28"/>
        </w:rPr>
      </w:pPr>
      <w:bookmarkStart w:id="0" w:name="_Hlt522973996"/>
      <w:bookmarkEnd w:id="0"/>
      <w:r>
        <w:rPr>
          <w:b/>
          <w:sz w:val="28"/>
          <w:szCs w:val="28"/>
        </w:rPr>
        <w:t>Міністерство охорони здоров’я України</w:t>
      </w:r>
    </w:p>
    <w:p w:rsidR="00D82C37" w:rsidRDefault="00D82C37" w:rsidP="00D82C37">
      <w:pPr>
        <w:jc w:val="center"/>
        <w:rPr>
          <w:b/>
          <w:sz w:val="28"/>
          <w:szCs w:val="28"/>
        </w:rPr>
      </w:pPr>
    </w:p>
    <w:p w:rsidR="00D82C37" w:rsidRPr="00262B01" w:rsidRDefault="00D82C37" w:rsidP="00D82C37">
      <w:pPr>
        <w:jc w:val="center"/>
        <w:rPr>
          <w:b/>
          <w:sz w:val="28"/>
          <w:szCs w:val="28"/>
        </w:rPr>
      </w:pPr>
      <w:r w:rsidRPr="00262B01">
        <w:rPr>
          <w:b/>
          <w:sz w:val="28"/>
          <w:szCs w:val="28"/>
        </w:rPr>
        <w:t>Національний інститут раку</w:t>
      </w: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jc w:val="center"/>
        <w:rPr>
          <w:b/>
          <w:sz w:val="28"/>
          <w:szCs w:val="28"/>
        </w:rPr>
      </w:pPr>
    </w:p>
    <w:p w:rsidR="00D82C37" w:rsidRPr="00262B01" w:rsidRDefault="00D82C37" w:rsidP="00D82C37">
      <w:pPr>
        <w:jc w:val="center"/>
        <w:rPr>
          <w:b/>
          <w:sz w:val="28"/>
          <w:szCs w:val="28"/>
        </w:rPr>
      </w:pPr>
      <w:r w:rsidRPr="00262B01">
        <w:rPr>
          <w:b/>
          <w:sz w:val="28"/>
          <w:szCs w:val="28"/>
        </w:rPr>
        <w:t>Павлик Сергій Володимирович</w:t>
      </w: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jc w:val="right"/>
        <w:rPr>
          <w:sz w:val="28"/>
          <w:szCs w:val="28"/>
        </w:rPr>
      </w:pPr>
      <w:r w:rsidRPr="00262B01">
        <w:rPr>
          <w:sz w:val="28"/>
          <w:szCs w:val="28"/>
        </w:rPr>
        <w:t>УДК 616 – 066 – 053.2 – 085.361 – 089.843</w:t>
      </w: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jc w:val="center"/>
        <w:rPr>
          <w:b/>
          <w:sz w:val="28"/>
          <w:szCs w:val="28"/>
        </w:rPr>
      </w:pPr>
      <w:r w:rsidRPr="00262B01">
        <w:rPr>
          <w:b/>
          <w:sz w:val="28"/>
          <w:szCs w:val="28"/>
        </w:rPr>
        <w:t xml:space="preserve">Оптимізація інтенсивної та високодозової хіміотерапії </w:t>
      </w:r>
    </w:p>
    <w:p w:rsidR="00D82C37" w:rsidRPr="00262B01" w:rsidRDefault="00D82C37" w:rsidP="00D82C37">
      <w:pPr>
        <w:jc w:val="center"/>
        <w:rPr>
          <w:b/>
          <w:sz w:val="28"/>
          <w:szCs w:val="28"/>
        </w:rPr>
      </w:pPr>
      <w:r w:rsidRPr="00262B01">
        <w:rPr>
          <w:b/>
          <w:sz w:val="28"/>
          <w:szCs w:val="28"/>
        </w:rPr>
        <w:t xml:space="preserve">з трансплантацією автологічних стовбурових клітин периферичної крові в комплексному лікуванні дітей, </w:t>
      </w:r>
    </w:p>
    <w:p w:rsidR="00D82C37" w:rsidRPr="00262B01" w:rsidRDefault="00D82C37" w:rsidP="00D82C37">
      <w:pPr>
        <w:jc w:val="center"/>
        <w:rPr>
          <w:b/>
          <w:sz w:val="28"/>
          <w:szCs w:val="28"/>
        </w:rPr>
      </w:pPr>
      <w:r w:rsidRPr="00262B01">
        <w:rPr>
          <w:b/>
          <w:sz w:val="28"/>
          <w:szCs w:val="28"/>
        </w:rPr>
        <w:t>хворих на злоякісні солідні новоутворення</w:t>
      </w:r>
    </w:p>
    <w:p w:rsidR="00D82C37" w:rsidRPr="00262B01" w:rsidRDefault="00D82C37" w:rsidP="00D82C37">
      <w:pPr>
        <w:jc w:val="both"/>
        <w:rPr>
          <w:b/>
          <w:sz w:val="28"/>
          <w:szCs w:val="28"/>
        </w:rPr>
      </w:pPr>
    </w:p>
    <w:p w:rsidR="00D82C37" w:rsidRPr="00262B01" w:rsidRDefault="00D82C37" w:rsidP="00D82C37">
      <w:pPr>
        <w:jc w:val="both"/>
        <w:rPr>
          <w:b/>
          <w:sz w:val="28"/>
          <w:szCs w:val="28"/>
        </w:rPr>
      </w:pPr>
    </w:p>
    <w:p w:rsidR="00D82C37" w:rsidRPr="00262B01" w:rsidRDefault="00D82C37" w:rsidP="00D82C37">
      <w:pPr>
        <w:jc w:val="center"/>
        <w:rPr>
          <w:sz w:val="28"/>
          <w:szCs w:val="28"/>
        </w:rPr>
      </w:pPr>
      <w:r w:rsidRPr="00262B01">
        <w:rPr>
          <w:sz w:val="28"/>
          <w:szCs w:val="28"/>
        </w:rPr>
        <w:t>14.01.07 – онкологія</w:t>
      </w:r>
    </w:p>
    <w:p w:rsidR="00D82C37" w:rsidRPr="00262B01" w:rsidRDefault="00D82C37" w:rsidP="00D82C37">
      <w:pPr>
        <w:jc w:val="both"/>
        <w:rPr>
          <w:b/>
          <w:sz w:val="28"/>
          <w:szCs w:val="28"/>
        </w:rPr>
      </w:pPr>
    </w:p>
    <w:p w:rsidR="00D82C37" w:rsidRPr="00262B01" w:rsidRDefault="00D82C37" w:rsidP="00D82C37">
      <w:pPr>
        <w:jc w:val="both"/>
        <w:rPr>
          <w:b/>
          <w:sz w:val="28"/>
          <w:szCs w:val="28"/>
        </w:rPr>
      </w:pPr>
    </w:p>
    <w:p w:rsidR="00D82C37" w:rsidRPr="00262B01" w:rsidRDefault="00D82C37" w:rsidP="00D82C37">
      <w:pPr>
        <w:jc w:val="both"/>
        <w:rPr>
          <w:b/>
          <w:sz w:val="28"/>
          <w:szCs w:val="28"/>
        </w:rPr>
      </w:pPr>
    </w:p>
    <w:p w:rsidR="00D82C37" w:rsidRPr="00262B01" w:rsidRDefault="00D82C37" w:rsidP="00D82C37">
      <w:pPr>
        <w:jc w:val="both"/>
        <w:rPr>
          <w:b/>
          <w:sz w:val="28"/>
          <w:szCs w:val="28"/>
        </w:rPr>
      </w:pPr>
    </w:p>
    <w:p w:rsidR="00D82C37" w:rsidRPr="00262B01" w:rsidRDefault="00D82C37" w:rsidP="00D82C37">
      <w:pPr>
        <w:jc w:val="center"/>
        <w:rPr>
          <w:sz w:val="28"/>
          <w:szCs w:val="28"/>
        </w:rPr>
      </w:pPr>
      <w:r w:rsidRPr="00262B01">
        <w:rPr>
          <w:sz w:val="28"/>
          <w:szCs w:val="28"/>
        </w:rPr>
        <w:t>Автореферат</w:t>
      </w:r>
    </w:p>
    <w:p w:rsidR="00D82C37" w:rsidRPr="00262B01" w:rsidRDefault="00D82C37" w:rsidP="00D82C37">
      <w:pPr>
        <w:jc w:val="center"/>
        <w:rPr>
          <w:sz w:val="28"/>
          <w:szCs w:val="28"/>
        </w:rPr>
      </w:pPr>
      <w:r w:rsidRPr="00262B01">
        <w:rPr>
          <w:sz w:val="28"/>
          <w:szCs w:val="28"/>
        </w:rPr>
        <w:t>дисертації на здобуття наукового ступеня</w:t>
      </w:r>
    </w:p>
    <w:p w:rsidR="00D82C37" w:rsidRPr="00262B01" w:rsidRDefault="00D82C37" w:rsidP="00D82C37">
      <w:pPr>
        <w:jc w:val="center"/>
        <w:rPr>
          <w:sz w:val="28"/>
          <w:szCs w:val="28"/>
        </w:rPr>
      </w:pPr>
      <w:r w:rsidRPr="00262B01">
        <w:rPr>
          <w:sz w:val="28"/>
          <w:szCs w:val="28"/>
        </w:rPr>
        <w:t>кандидата медичних наук</w:t>
      </w: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jc w:val="center"/>
        <w:rPr>
          <w:b/>
          <w:sz w:val="28"/>
          <w:szCs w:val="28"/>
        </w:rPr>
      </w:pPr>
      <w:r w:rsidRPr="00262B01">
        <w:rPr>
          <w:b/>
          <w:sz w:val="28"/>
          <w:szCs w:val="28"/>
        </w:rPr>
        <w:t xml:space="preserve">Київ </w:t>
      </w:r>
      <w:r w:rsidRPr="00262B01">
        <w:rPr>
          <w:sz w:val="28"/>
          <w:szCs w:val="28"/>
        </w:rPr>
        <w:t>–</w:t>
      </w:r>
      <w:r w:rsidRPr="00262B01">
        <w:rPr>
          <w:b/>
          <w:sz w:val="28"/>
          <w:szCs w:val="28"/>
        </w:rPr>
        <w:t xml:space="preserve"> 2009</w:t>
      </w:r>
    </w:p>
    <w:p w:rsidR="00D82C37" w:rsidRPr="00262B01" w:rsidRDefault="00D82C37" w:rsidP="00D82C37">
      <w:pPr>
        <w:rPr>
          <w:sz w:val="28"/>
          <w:szCs w:val="28"/>
        </w:rPr>
      </w:pPr>
      <w:r w:rsidRPr="00262B01">
        <w:rPr>
          <w:sz w:val="28"/>
          <w:szCs w:val="28"/>
        </w:rPr>
        <w:t>Дисертацією є рукопис</w:t>
      </w:r>
    </w:p>
    <w:p w:rsidR="00D82C37" w:rsidRPr="00262B01" w:rsidRDefault="00D82C37" w:rsidP="00D82C37">
      <w:pPr>
        <w:rPr>
          <w:sz w:val="28"/>
          <w:szCs w:val="28"/>
        </w:rPr>
      </w:pPr>
      <w:r w:rsidRPr="00262B01">
        <w:rPr>
          <w:sz w:val="28"/>
          <w:szCs w:val="28"/>
        </w:rPr>
        <w:t>Робота виконана в Національному інституті раку</w:t>
      </w:r>
    </w:p>
    <w:p w:rsidR="00D82C37" w:rsidRPr="00262B01" w:rsidRDefault="00D82C37" w:rsidP="00D82C37">
      <w:pPr>
        <w:rPr>
          <w:sz w:val="28"/>
          <w:szCs w:val="28"/>
        </w:rPr>
      </w:pPr>
    </w:p>
    <w:p w:rsidR="00D82C37" w:rsidRPr="00262B01" w:rsidRDefault="00D82C37" w:rsidP="00D82C37">
      <w:pPr>
        <w:rPr>
          <w:b/>
          <w:sz w:val="28"/>
          <w:szCs w:val="28"/>
        </w:rPr>
      </w:pPr>
      <w:r w:rsidRPr="00262B01">
        <w:rPr>
          <w:b/>
          <w:sz w:val="28"/>
          <w:szCs w:val="28"/>
        </w:rPr>
        <w:t>Наукові керівники:</w:t>
      </w:r>
    </w:p>
    <w:p w:rsidR="00D82C37" w:rsidRPr="00262B01" w:rsidRDefault="00D82C37" w:rsidP="00D82C37">
      <w:pPr>
        <w:ind w:left="2520"/>
        <w:rPr>
          <w:sz w:val="28"/>
          <w:szCs w:val="28"/>
        </w:rPr>
      </w:pPr>
      <w:r w:rsidRPr="00262B01">
        <w:rPr>
          <w:sz w:val="28"/>
          <w:szCs w:val="28"/>
        </w:rPr>
        <w:t>кандидат медичних наук</w:t>
      </w:r>
    </w:p>
    <w:p w:rsidR="00D82C37" w:rsidRPr="00262B01" w:rsidRDefault="00D82C37" w:rsidP="00D82C37">
      <w:pPr>
        <w:ind w:left="2520"/>
        <w:rPr>
          <w:sz w:val="28"/>
          <w:szCs w:val="28"/>
        </w:rPr>
      </w:pPr>
      <w:r w:rsidRPr="00262B01">
        <w:rPr>
          <w:b/>
          <w:sz w:val="28"/>
          <w:szCs w:val="28"/>
        </w:rPr>
        <w:t>Климнюк Григорій Іванович</w:t>
      </w:r>
      <w:r w:rsidRPr="00262B01">
        <w:rPr>
          <w:sz w:val="28"/>
          <w:szCs w:val="28"/>
        </w:rPr>
        <w:t>,</w:t>
      </w:r>
    </w:p>
    <w:p w:rsidR="00D82C37" w:rsidRPr="00262B01" w:rsidRDefault="00D82C37" w:rsidP="00D82C37">
      <w:pPr>
        <w:ind w:left="2520"/>
        <w:rPr>
          <w:sz w:val="28"/>
          <w:szCs w:val="28"/>
        </w:rPr>
      </w:pPr>
      <w:r w:rsidRPr="00262B01">
        <w:rPr>
          <w:sz w:val="28"/>
          <w:szCs w:val="28"/>
        </w:rPr>
        <w:t>Національний інститут раку,</w:t>
      </w:r>
    </w:p>
    <w:p w:rsidR="00D82C37" w:rsidRPr="00262B01" w:rsidRDefault="00D82C37" w:rsidP="00D82C37">
      <w:pPr>
        <w:ind w:left="2520"/>
        <w:rPr>
          <w:sz w:val="28"/>
          <w:szCs w:val="28"/>
        </w:rPr>
      </w:pPr>
      <w:r w:rsidRPr="00262B01">
        <w:rPr>
          <w:sz w:val="28"/>
          <w:szCs w:val="28"/>
        </w:rPr>
        <w:lastRenderedPageBreak/>
        <w:t>завідувач науково-дослідного відділення дитячої онкології</w:t>
      </w:r>
    </w:p>
    <w:p w:rsidR="00D82C37" w:rsidRPr="00262B01" w:rsidRDefault="00D82C37" w:rsidP="00D82C37">
      <w:pPr>
        <w:ind w:left="2520"/>
        <w:rPr>
          <w:sz w:val="28"/>
          <w:szCs w:val="28"/>
        </w:rPr>
      </w:pPr>
    </w:p>
    <w:p w:rsidR="00D82C37" w:rsidRPr="00262B01" w:rsidRDefault="00D82C37" w:rsidP="00D82C37">
      <w:pPr>
        <w:ind w:left="2520"/>
        <w:rPr>
          <w:sz w:val="28"/>
          <w:szCs w:val="28"/>
        </w:rPr>
      </w:pPr>
      <w:r w:rsidRPr="00262B01">
        <w:rPr>
          <w:sz w:val="28"/>
          <w:szCs w:val="28"/>
        </w:rPr>
        <w:t>доктор медичних наук</w:t>
      </w:r>
    </w:p>
    <w:p w:rsidR="00D82C37" w:rsidRPr="00262B01" w:rsidRDefault="00D82C37" w:rsidP="00D82C37">
      <w:pPr>
        <w:ind w:left="2520"/>
        <w:rPr>
          <w:b/>
          <w:sz w:val="28"/>
          <w:szCs w:val="28"/>
        </w:rPr>
      </w:pPr>
      <w:r w:rsidRPr="00262B01">
        <w:rPr>
          <w:b/>
          <w:sz w:val="28"/>
          <w:szCs w:val="28"/>
        </w:rPr>
        <w:t>Долгополов Ігор Станіславович,</w:t>
      </w:r>
    </w:p>
    <w:p w:rsidR="00D82C37" w:rsidRPr="00262B01" w:rsidRDefault="00D82C37" w:rsidP="00D82C37">
      <w:pPr>
        <w:ind w:left="2520"/>
        <w:rPr>
          <w:sz w:val="28"/>
          <w:szCs w:val="28"/>
        </w:rPr>
      </w:pPr>
      <w:r w:rsidRPr="00262B01">
        <w:rPr>
          <w:sz w:val="28"/>
          <w:szCs w:val="28"/>
        </w:rPr>
        <w:t>Інститут дитячої онкології,</w:t>
      </w:r>
    </w:p>
    <w:p w:rsidR="00D82C37" w:rsidRPr="00262B01" w:rsidRDefault="00D82C37" w:rsidP="00D82C37">
      <w:pPr>
        <w:ind w:left="2520"/>
        <w:rPr>
          <w:sz w:val="28"/>
          <w:szCs w:val="28"/>
        </w:rPr>
      </w:pPr>
      <w:r w:rsidRPr="00262B01">
        <w:rPr>
          <w:sz w:val="28"/>
          <w:szCs w:val="28"/>
        </w:rPr>
        <w:t>Онкологічний науковий центр РАМН,</w:t>
      </w:r>
    </w:p>
    <w:p w:rsidR="00D82C37" w:rsidRPr="00262B01" w:rsidRDefault="00D82C37" w:rsidP="00D82C37">
      <w:pPr>
        <w:ind w:left="2520"/>
        <w:rPr>
          <w:sz w:val="28"/>
          <w:szCs w:val="28"/>
        </w:rPr>
      </w:pPr>
      <w:r w:rsidRPr="00262B01">
        <w:rPr>
          <w:sz w:val="28"/>
          <w:szCs w:val="28"/>
        </w:rPr>
        <w:t>провідний науковий співробітник відділення інтенсивної хіміотерапії та трансплантації кісткового мозку</w:t>
      </w:r>
    </w:p>
    <w:p w:rsidR="00D82C37" w:rsidRPr="00262B01" w:rsidRDefault="00D82C37" w:rsidP="00D82C37">
      <w:pPr>
        <w:ind w:left="2520"/>
        <w:rPr>
          <w:sz w:val="28"/>
          <w:szCs w:val="28"/>
        </w:rPr>
      </w:pPr>
    </w:p>
    <w:p w:rsidR="00D82C37" w:rsidRPr="00262B01" w:rsidRDefault="00D82C37" w:rsidP="00D82C37">
      <w:pPr>
        <w:rPr>
          <w:b/>
          <w:sz w:val="28"/>
          <w:szCs w:val="28"/>
        </w:rPr>
      </w:pPr>
      <w:r w:rsidRPr="00262B01">
        <w:rPr>
          <w:b/>
          <w:sz w:val="28"/>
          <w:szCs w:val="28"/>
        </w:rPr>
        <w:t>Офіційні опоненти:</w:t>
      </w:r>
    </w:p>
    <w:p w:rsidR="00D82C37" w:rsidRPr="00262B01" w:rsidRDefault="00D82C37" w:rsidP="00D82C37">
      <w:pPr>
        <w:ind w:left="2520"/>
        <w:rPr>
          <w:sz w:val="28"/>
          <w:szCs w:val="28"/>
        </w:rPr>
      </w:pPr>
      <w:r w:rsidRPr="00262B01">
        <w:rPr>
          <w:sz w:val="28"/>
          <w:szCs w:val="28"/>
        </w:rPr>
        <w:t>доктор медичних наук</w:t>
      </w:r>
    </w:p>
    <w:p w:rsidR="00D82C37" w:rsidRPr="00262B01" w:rsidRDefault="00D82C37" w:rsidP="00D82C37">
      <w:pPr>
        <w:ind w:left="2520"/>
        <w:rPr>
          <w:b/>
          <w:sz w:val="28"/>
          <w:szCs w:val="28"/>
        </w:rPr>
      </w:pPr>
      <w:r w:rsidRPr="00262B01">
        <w:rPr>
          <w:b/>
          <w:sz w:val="28"/>
          <w:szCs w:val="28"/>
        </w:rPr>
        <w:t>Крячок Ірина Анатоліївна,</w:t>
      </w:r>
    </w:p>
    <w:p w:rsidR="00D82C37" w:rsidRPr="00262B01" w:rsidRDefault="00D82C37" w:rsidP="00D82C37">
      <w:pPr>
        <w:ind w:left="2520"/>
        <w:rPr>
          <w:sz w:val="28"/>
          <w:szCs w:val="28"/>
        </w:rPr>
      </w:pPr>
      <w:r w:rsidRPr="00262B01">
        <w:rPr>
          <w:sz w:val="28"/>
          <w:szCs w:val="28"/>
        </w:rPr>
        <w:t>Національний інститут раку,</w:t>
      </w:r>
    </w:p>
    <w:p w:rsidR="00D82C37" w:rsidRPr="00262B01" w:rsidRDefault="00D82C37" w:rsidP="00D82C37">
      <w:pPr>
        <w:ind w:left="2520"/>
        <w:rPr>
          <w:sz w:val="28"/>
          <w:szCs w:val="28"/>
        </w:rPr>
      </w:pPr>
      <w:r w:rsidRPr="00262B01">
        <w:rPr>
          <w:sz w:val="28"/>
          <w:szCs w:val="28"/>
        </w:rPr>
        <w:t>завідувач науково-дослідного відділу консервативних методів лікування</w:t>
      </w:r>
    </w:p>
    <w:p w:rsidR="00D82C37" w:rsidRPr="00262B01" w:rsidRDefault="00D82C37" w:rsidP="00D82C37">
      <w:pPr>
        <w:ind w:left="2520"/>
        <w:rPr>
          <w:sz w:val="28"/>
          <w:szCs w:val="28"/>
        </w:rPr>
      </w:pPr>
    </w:p>
    <w:p w:rsidR="00D82C37" w:rsidRPr="00262B01" w:rsidRDefault="00D82C37" w:rsidP="00D82C37">
      <w:pPr>
        <w:ind w:left="2520"/>
        <w:rPr>
          <w:sz w:val="28"/>
          <w:szCs w:val="28"/>
        </w:rPr>
      </w:pPr>
      <w:r w:rsidRPr="00262B01">
        <w:rPr>
          <w:sz w:val="28"/>
          <w:szCs w:val="28"/>
        </w:rPr>
        <w:t>доктор медичних наук, професор</w:t>
      </w:r>
    </w:p>
    <w:p w:rsidR="00D82C37" w:rsidRPr="00262B01" w:rsidRDefault="00D82C37" w:rsidP="00D82C37">
      <w:pPr>
        <w:ind w:left="2520"/>
        <w:rPr>
          <w:b/>
          <w:sz w:val="28"/>
          <w:szCs w:val="28"/>
        </w:rPr>
      </w:pPr>
      <w:r w:rsidRPr="00262B01">
        <w:rPr>
          <w:b/>
          <w:sz w:val="28"/>
          <w:szCs w:val="28"/>
        </w:rPr>
        <w:t>Бебешко Володимир Григорович,</w:t>
      </w:r>
    </w:p>
    <w:p w:rsidR="00D82C37" w:rsidRPr="00262B01" w:rsidRDefault="00D82C37" w:rsidP="00D82C37">
      <w:pPr>
        <w:ind w:left="2520"/>
        <w:rPr>
          <w:sz w:val="28"/>
          <w:szCs w:val="28"/>
        </w:rPr>
      </w:pPr>
      <w:r w:rsidRPr="00262B01">
        <w:rPr>
          <w:sz w:val="28"/>
          <w:szCs w:val="28"/>
        </w:rPr>
        <w:t>Науковий центр радіаційної медицини АМН України,</w:t>
      </w:r>
    </w:p>
    <w:p w:rsidR="00D82C37" w:rsidRPr="00262B01" w:rsidRDefault="00D82C37" w:rsidP="00D82C37">
      <w:pPr>
        <w:ind w:left="2520"/>
        <w:rPr>
          <w:sz w:val="28"/>
          <w:szCs w:val="28"/>
        </w:rPr>
      </w:pPr>
      <w:r w:rsidRPr="00262B01">
        <w:rPr>
          <w:sz w:val="28"/>
          <w:szCs w:val="28"/>
        </w:rPr>
        <w:t>завідувач відділу гематології і трансплантології Інституту клінічної радіології</w:t>
      </w:r>
    </w:p>
    <w:p w:rsidR="00D82C37" w:rsidRPr="00262B01" w:rsidRDefault="00D82C37" w:rsidP="00D82C37">
      <w:pPr>
        <w:rPr>
          <w:sz w:val="28"/>
          <w:szCs w:val="28"/>
        </w:rPr>
      </w:pPr>
    </w:p>
    <w:p w:rsidR="00D82C37" w:rsidRPr="00262B01" w:rsidRDefault="00D82C37" w:rsidP="00D82C37">
      <w:pPr>
        <w:rPr>
          <w:sz w:val="28"/>
          <w:szCs w:val="28"/>
        </w:rPr>
      </w:pPr>
      <w:r w:rsidRPr="00262B01">
        <w:rPr>
          <w:sz w:val="28"/>
          <w:szCs w:val="28"/>
        </w:rPr>
        <w:t>Захист відбудеться «16» грудня 2009 р. о ___ год ___ хв</w:t>
      </w:r>
    </w:p>
    <w:p w:rsidR="00D82C37" w:rsidRPr="00262B01" w:rsidRDefault="00D82C37" w:rsidP="00D82C37">
      <w:pPr>
        <w:rPr>
          <w:sz w:val="28"/>
          <w:szCs w:val="28"/>
        </w:rPr>
      </w:pPr>
      <w:r w:rsidRPr="00262B01">
        <w:rPr>
          <w:sz w:val="28"/>
          <w:szCs w:val="28"/>
        </w:rPr>
        <w:t xml:space="preserve">на засіданні спеціалізованої вченої ради Д 26.560.01 при </w:t>
      </w:r>
    </w:p>
    <w:p w:rsidR="00D82C37" w:rsidRPr="00262B01" w:rsidRDefault="00D82C37" w:rsidP="00D82C37">
      <w:pPr>
        <w:rPr>
          <w:sz w:val="28"/>
          <w:szCs w:val="28"/>
        </w:rPr>
      </w:pPr>
      <w:r w:rsidRPr="00262B01">
        <w:rPr>
          <w:sz w:val="28"/>
          <w:szCs w:val="28"/>
        </w:rPr>
        <w:t>Національному інституті раку (</w:t>
      </w:r>
      <w:smartTag w:uri="urn:schemas-microsoft-com:office:smarttags" w:element="metricconverter">
        <w:smartTagPr>
          <w:attr w:name="ProductID" w:val="03022, м"/>
        </w:smartTagPr>
        <w:r w:rsidRPr="00262B01">
          <w:rPr>
            <w:sz w:val="28"/>
            <w:szCs w:val="28"/>
          </w:rPr>
          <w:t>03022, м</w:t>
        </w:r>
      </w:smartTag>
      <w:r w:rsidRPr="00262B01">
        <w:rPr>
          <w:sz w:val="28"/>
          <w:szCs w:val="28"/>
        </w:rPr>
        <w:t>. Київ, вул. Ломоносова, 33/43)</w:t>
      </w:r>
    </w:p>
    <w:p w:rsidR="00D82C37" w:rsidRPr="00262B01" w:rsidRDefault="00D82C37" w:rsidP="00D82C37">
      <w:pPr>
        <w:rPr>
          <w:sz w:val="28"/>
          <w:szCs w:val="28"/>
        </w:rPr>
      </w:pPr>
    </w:p>
    <w:p w:rsidR="00D82C37" w:rsidRPr="00262B01" w:rsidRDefault="00D82C37" w:rsidP="00D82C37">
      <w:pPr>
        <w:rPr>
          <w:sz w:val="28"/>
          <w:szCs w:val="28"/>
        </w:rPr>
      </w:pPr>
      <w:r w:rsidRPr="00262B01">
        <w:rPr>
          <w:sz w:val="28"/>
          <w:szCs w:val="28"/>
        </w:rPr>
        <w:t>З дисертацією можна ознайомитись у бібліотеці Національного інституту раку (</w:t>
      </w:r>
      <w:smartTag w:uri="urn:schemas-microsoft-com:office:smarttags" w:element="metricconverter">
        <w:smartTagPr>
          <w:attr w:name="ProductID" w:val="03022, м"/>
        </w:smartTagPr>
        <w:r w:rsidRPr="00262B01">
          <w:rPr>
            <w:sz w:val="28"/>
            <w:szCs w:val="28"/>
          </w:rPr>
          <w:t>03022, м</w:t>
        </w:r>
      </w:smartTag>
      <w:r w:rsidRPr="00262B01">
        <w:rPr>
          <w:sz w:val="28"/>
          <w:szCs w:val="28"/>
        </w:rPr>
        <w:t>. Київ, вул. Ломоносова, 33/43)</w:t>
      </w:r>
    </w:p>
    <w:p w:rsidR="00D82C37" w:rsidRPr="00262B01" w:rsidRDefault="00D82C37" w:rsidP="00D82C37">
      <w:pPr>
        <w:rPr>
          <w:sz w:val="28"/>
          <w:szCs w:val="28"/>
        </w:rPr>
      </w:pPr>
    </w:p>
    <w:p w:rsidR="00D82C37" w:rsidRPr="00262B01" w:rsidRDefault="00D82C37" w:rsidP="00D82C37">
      <w:pPr>
        <w:rPr>
          <w:sz w:val="28"/>
          <w:szCs w:val="28"/>
        </w:rPr>
      </w:pPr>
      <w:r w:rsidRPr="00262B01">
        <w:rPr>
          <w:sz w:val="28"/>
          <w:szCs w:val="28"/>
        </w:rPr>
        <w:t>Автореферат розісланий « __» _________ 2009 р.</w:t>
      </w:r>
    </w:p>
    <w:p w:rsidR="00D82C37" w:rsidRPr="00262B01" w:rsidRDefault="00D82C37" w:rsidP="00D82C37">
      <w:pPr>
        <w:rPr>
          <w:sz w:val="28"/>
          <w:szCs w:val="28"/>
        </w:rPr>
      </w:pPr>
    </w:p>
    <w:p w:rsidR="00D82C37" w:rsidRDefault="00D82C37" w:rsidP="00D82C37">
      <w:pPr>
        <w:rPr>
          <w:sz w:val="28"/>
          <w:szCs w:val="28"/>
        </w:rPr>
      </w:pPr>
    </w:p>
    <w:p w:rsidR="00D82C37" w:rsidRDefault="00D82C37" w:rsidP="00D82C37">
      <w:pPr>
        <w:rPr>
          <w:sz w:val="28"/>
          <w:szCs w:val="28"/>
        </w:rPr>
      </w:pPr>
    </w:p>
    <w:p w:rsidR="00D82C37" w:rsidRPr="00262B01" w:rsidRDefault="00D82C37" w:rsidP="00D82C37">
      <w:pPr>
        <w:rPr>
          <w:sz w:val="28"/>
          <w:szCs w:val="28"/>
        </w:rPr>
      </w:pPr>
    </w:p>
    <w:p w:rsidR="00D82C37" w:rsidRPr="00262B01" w:rsidRDefault="00D82C37" w:rsidP="00D82C37">
      <w:pPr>
        <w:rPr>
          <w:sz w:val="28"/>
          <w:szCs w:val="28"/>
        </w:rPr>
      </w:pPr>
      <w:r w:rsidRPr="00262B01">
        <w:rPr>
          <w:sz w:val="28"/>
          <w:szCs w:val="28"/>
        </w:rPr>
        <w:t xml:space="preserve">Вчений секретар </w:t>
      </w:r>
    </w:p>
    <w:p w:rsidR="00D82C37" w:rsidRPr="00262B01" w:rsidRDefault="00D82C37" w:rsidP="00D82C37">
      <w:pPr>
        <w:rPr>
          <w:sz w:val="28"/>
          <w:szCs w:val="28"/>
        </w:rPr>
      </w:pPr>
      <w:r w:rsidRPr="00262B01">
        <w:rPr>
          <w:sz w:val="28"/>
          <w:szCs w:val="28"/>
        </w:rPr>
        <w:t>спеціалізованої вченої ради</w:t>
      </w:r>
      <w:r w:rsidRPr="00262B01">
        <w:rPr>
          <w:sz w:val="28"/>
          <w:szCs w:val="28"/>
        </w:rPr>
        <w:tab/>
      </w:r>
      <w:r w:rsidRPr="00262B01">
        <w:rPr>
          <w:sz w:val="28"/>
          <w:szCs w:val="28"/>
        </w:rPr>
        <w:tab/>
      </w:r>
      <w:r w:rsidRPr="00262B01">
        <w:rPr>
          <w:sz w:val="28"/>
          <w:szCs w:val="28"/>
        </w:rPr>
        <w:tab/>
      </w:r>
      <w:r w:rsidRPr="00262B01">
        <w:rPr>
          <w:sz w:val="28"/>
          <w:szCs w:val="28"/>
        </w:rPr>
        <w:tab/>
      </w:r>
      <w:r w:rsidRPr="00262B01">
        <w:rPr>
          <w:sz w:val="28"/>
          <w:szCs w:val="28"/>
        </w:rPr>
        <w:tab/>
        <w:t>С.О. Родзаєвський</w:t>
      </w:r>
    </w:p>
    <w:p w:rsidR="00D82C37" w:rsidRPr="00262B01" w:rsidRDefault="00D82C37" w:rsidP="00D82C37">
      <w:pPr>
        <w:jc w:val="center"/>
        <w:rPr>
          <w:b/>
          <w:sz w:val="28"/>
          <w:szCs w:val="28"/>
        </w:rPr>
      </w:pPr>
      <w:r w:rsidRPr="00262B01">
        <w:rPr>
          <w:b/>
          <w:sz w:val="28"/>
          <w:szCs w:val="28"/>
        </w:rPr>
        <w:t>ЗАГАЛЬНА ХАРАКТЕРИСТИКА РОБОТИ</w:t>
      </w:r>
    </w:p>
    <w:p w:rsidR="00D82C37" w:rsidRPr="005A7AFF" w:rsidRDefault="00D82C37" w:rsidP="00D82C37">
      <w:pPr>
        <w:ind w:firstLine="540"/>
        <w:jc w:val="both"/>
        <w:rPr>
          <w:sz w:val="28"/>
          <w:szCs w:val="28"/>
        </w:rPr>
      </w:pPr>
      <w:r w:rsidRPr="005A7AFF">
        <w:rPr>
          <w:b/>
          <w:sz w:val="28"/>
          <w:szCs w:val="28"/>
        </w:rPr>
        <w:t>Актуальність теми.</w:t>
      </w:r>
      <w:r w:rsidRPr="005A7AFF">
        <w:rPr>
          <w:sz w:val="28"/>
          <w:szCs w:val="28"/>
        </w:rPr>
        <w:t xml:space="preserve"> Солідні новоутворення посідають значне місце (54 %) у структурі злоякісних новоутворень у дітей. За даними Національного канцер-реєстру в Україні (І.Б.</w:t>
      </w:r>
      <w:r>
        <w:rPr>
          <w:sz w:val="28"/>
          <w:szCs w:val="28"/>
        </w:rPr>
        <w:t xml:space="preserve"> </w:t>
      </w:r>
      <w:r w:rsidRPr="005A7AFF">
        <w:rPr>
          <w:sz w:val="28"/>
          <w:szCs w:val="28"/>
        </w:rPr>
        <w:t>Щепотін, З.П.</w:t>
      </w:r>
      <w:r>
        <w:rPr>
          <w:sz w:val="28"/>
          <w:szCs w:val="28"/>
        </w:rPr>
        <w:t xml:space="preserve"> </w:t>
      </w:r>
      <w:r w:rsidRPr="005A7AFF">
        <w:rPr>
          <w:sz w:val="28"/>
          <w:szCs w:val="28"/>
        </w:rPr>
        <w:t xml:space="preserve">Федоренко, 2008) захворюваність на нейробластому становить 8–10 випадків (щорічно діагностується нейробластома у 60–90 дітей), на нефробластому 5–7 випадків (50–70 дітей), на саркому Юїнга 1–3 випадки (30–40 дітей), на саркому м’яких тканин 8–10 випадків на 1 млн дитячого населення (60–90 дітей). </w:t>
      </w:r>
    </w:p>
    <w:p w:rsidR="00D82C37" w:rsidRPr="00262B01" w:rsidRDefault="00D82C37" w:rsidP="00D82C37">
      <w:pPr>
        <w:ind w:firstLine="567"/>
        <w:jc w:val="both"/>
        <w:rPr>
          <w:sz w:val="28"/>
          <w:szCs w:val="28"/>
        </w:rPr>
      </w:pPr>
      <w:r w:rsidRPr="005A7AFF">
        <w:rPr>
          <w:sz w:val="28"/>
          <w:szCs w:val="28"/>
        </w:rPr>
        <w:t>Рівень виліковування дітей у розвинених країнах складає  при: нейробластомі – 50–70 % (</w:t>
      </w:r>
      <w:r>
        <w:rPr>
          <w:sz w:val="28"/>
          <w:szCs w:val="28"/>
        </w:rPr>
        <w:t xml:space="preserve">G. </w:t>
      </w:r>
      <w:r w:rsidRPr="005A7AFF">
        <w:rPr>
          <w:sz w:val="28"/>
          <w:szCs w:val="28"/>
        </w:rPr>
        <w:t xml:space="preserve">Caldas et al., 2004; </w:t>
      </w:r>
      <w:r>
        <w:rPr>
          <w:sz w:val="28"/>
          <w:szCs w:val="28"/>
        </w:rPr>
        <w:t xml:space="preserve">H.S. </w:t>
      </w:r>
      <w:r w:rsidRPr="005A7AFF">
        <w:rPr>
          <w:sz w:val="28"/>
          <w:szCs w:val="28"/>
        </w:rPr>
        <w:t>Ahn et al., 2004),  нефробластомі – 70–80 % (B.</w:t>
      </w:r>
      <w:r>
        <w:rPr>
          <w:sz w:val="28"/>
          <w:szCs w:val="28"/>
        </w:rPr>
        <w:t xml:space="preserve"> </w:t>
      </w:r>
      <w:r w:rsidRPr="005A7AFF">
        <w:rPr>
          <w:sz w:val="28"/>
          <w:szCs w:val="28"/>
        </w:rPr>
        <w:t xml:space="preserve">Kremens et al., 2002; </w:t>
      </w:r>
      <w:r>
        <w:rPr>
          <w:sz w:val="28"/>
          <w:szCs w:val="28"/>
        </w:rPr>
        <w:t xml:space="preserve">M.F. </w:t>
      </w:r>
      <w:r w:rsidRPr="005A7AFF">
        <w:rPr>
          <w:sz w:val="28"/>
          <w:szCs w:val="28"/>
        </w:rPr>
        <w:t>Tournade et al., 1993),   саркомі Юїнга – 45–55 % (</w:t>
      </w:r>
      <w:r>
        <w:rPr>
          <w:sz w:val="28"/>
          <w:szCs w:val="28"/>
        </w:rPr>
        <w:t xml:space="preserve">B. </w:t>
      </w:r>
      <w:r w:rsidRPr="005A7AFF">
        <w:rPr>
          <w:sz w:val="28"/>
          <w:szCs w:val="28"/>
        </w:rPr>
        <w:t>Frohlich et al., 1999; А.Г.</w:t>
      </w:r>
      <w:r>
        <w:rPr>
          <w:sz w:val="28"/>
          <w:szCs w:val="28"/>
        </w:rPr>
        <w:t xml:space="preserve"> </w:t>
      </w:r>
      <w:r w:rsidRPr="005A7AFF">
        <w:rPr>
          <w:sz w:val="28"/>
          <w:szCs w:val="28"/>
        </w:rPr>
        <w:t>Румянцев, А.А.Масчан, 2003), саркомі м’яких тканин – 50–60 % (</w:t>
      </w:r>
      <w:r>
        <w:rPr>
          <w:sz w:val="28"/>
          <w:szCs w:val="28"/>
        </w:rPr>
        <w:t xml:space="preserve">R. </w:t>
      </w:r>
      <w:r w:rsidRPr="005A7AFF">
        <w:rPr>
          <w:sz w:val="28"/>
          <w:szCs w:val="28"/>
        </w:rPr>
        <w:t>Ledenstein et al., 2004),</w:t>
      </w:r>
      <w:r w:rsidRPr="00262B01">
        <w:rPr>
          <w:sz w:val="28"/>
          <w:szCs w:val="28"/>
        </w:rPr>
        <w:t xml:space="preserve"> герміногенних пухлинах – 80–85 % (</w:t>
      </w:r>
      <w:r>
        <w:rPr>
          <w:sz w:val="28"/>
          <w:szCs w:val="28"/>
        </w:rPr>
        <w:t xml:space="preserve">U. </w:t>
      </w:r>
      <w:r w:rsidRPr="00262B01">
        <w:rPr>
          <w:sz w:val="28"/>
          <w:szCs w:val="28"/>
        </w:rPr>
        <w:t>De Giorgi et al., 2004).</w:t>
      </w:r>
    </w:p>
    <w:p w:rsidR="00D82C37" w:rsidRPr="00262B01" w:rsidRDefault="00D82C37" w:rsidP="00D82C37">
      <w:pPr>
        <w:ind w:firstLine="567"/>
        <w:jc w:val="both"/>
        <w:rPr>
          <w:sz w:val="28"/>
          <w:szCs w:val="28"/>
        </w:rPr>
      </w:pPr>
      <w:r w:rsidRPr="00262B01">
        <w:rPr>
          <w:sz w:val="28"/>
          <w:szCs w:val="28"/>
        </w:rPr>
        <w:t>Найскладнішою проблемою сучасної дитячої онкології залишається лікування дітей з прогностично несприятливими формами злоякісних новоутворень (ЗН), до яких відносять первинно метастатичні, резистентні форми та рецидиви захворювання. Основною причиною незадовільних результатів лікування є недостатня чутливість пухлини до стандартних режимів першої лінії хіміотерапії. Поліпшення результатів лікування даної категорії хворих пов’язують з переходом на більш інтенсивні режими хіміотерапії (</w:t>
      </w:r>
      <w:r>
        <w:rPr>
          <w:sz w:val="28"/>
          <w:szCs w:val="28"/>
        </w:rPr>
        <w:t xml:space="preserve">A. </w:t>
      </w:r>
      <w:r w:rsidRPr="00262B01">
        <w:rPr>
          <w:sz w:val="28"/>
          <w:szCs w:val="28"/>
        </w:rPr>
        <w:t xml:space="preserve">Campos et al., 2003; </w:t>
      </w:r>
      <w:r>
        <w:rPr>
          <w:sz w:val="28"/>
          <w:szCs w:val="28"/>
        </w:rPr>
        <w:t xml:space="preserve">A. </w:t>
      </w:r>
      <w:r w:rsidRPr="00262B01">
        <w:rPr>
          <w:sz w:val="28"/>
          <w:szCs w:val="28"/>
        </w:rPr>
        <w:t>Tienghi et al., 2003). Застосування високодозової або інтенсивної цитостатичної терапії дає змогу реалізувати феномен „доза – ефект” і таким чином покращити результати лікування цієї групи хворих (</w:t>
      </w:r>
      <w:r>
        <w:rPr>
          <w:sz w:val="28"/>
          <w:szCs w:val="28"/>
        </w:rPr>
        <w:t xml:space="preserve">I. </w:t>
      </w:r>
      <w:r w:rsidRPr="00262B01">
        <w:rPr>
          <w:sz w:val="28"/>
          <w:szCs w:val="28"/>
        </w:rPr>
        <w:t xml:space="preserve">Hara et al., 2006; </w:t>
      </w:r>
      <w:r>
        <w:rPr>
          <w:sz w:val="28"/>
          <w:szCs w:val="28"/>
        </w:rPr>
        <w:t xml:space="preserve">T. </w:t>
      </w:r>
      <w:r w:rsidRPr="00262B01">
        <w:rPr>
          <w:sz w:val="28"/>
          <w:szCs w:val="28"/>
        </w:rPr>
        <w:t xml:space="preserve">Miki et al., 2007; </w:t>
      </w:r>
      <w:r>
        <w:rPr>
          <w:sz w:val="28"/>
          <w:szCs w:val="28"/>
        </w:rPr>
        <w:t>K. W.</w:t>
      </w:r>
      <w:r w:rsidRPr="00262B01">
        <w:rPr>
          <w:sz w:val="28"/>
          <w:szCs w:val="28"/>
        </w:rPr>
        <w:t>Sung et al., 2007).</w:t>
      </w:r>
    </w:p>
    <w:p w:rsidR="00D82C37" w:rsidRPr="00262B01" w:rsidRDefault="00D82C37" w:rsidP="00D82C37">
      <w:pPr>
        <w:ind w:firstLine="567"/>
        <w:jc w:val="both"/>
        <w:rPr>
          <w:sz w:val="28"/>
          <w:szCs w:val="28"/>
        </w:rPr>
      </w:pPr>
      <w:r w:rsidRPr="00262B01">
        <w:rPr>
          <w:sz w:val="28"/>
          <w:szCs w:val="28"/>
        </w:rPr>
        <w:lastRenderedPageBreak/>
        <w:t>Інфекційні ускладнення, тромбоцитопенія, що виникають при застосуванні  високодозової хіміотерапії, крім потенційної для життя небезпеки, спричиняють порушення термінів проведення поліхіміотерапії (ПХТ), що призводить до зниження її ефективності, а також до значного збільшення витрат коштів для проведення організаційних заходів та медикаментозного забезпечення (</w:t>
      </w:r>
      <w:r>
        <w:rPr>
          <w:sz w:val="28"/>
          <w:szCs w:val="28"/>
        </w:rPr>
        <w:t xml:space="preserve">V. </w:t>
      </w:r>
      <w:r w:rsidRPr="00262B01">
        <w:rPr>
          <w:sz w:val="28"/>
          <w:szCs w:val="28"/>
        </w:rPr>
        <w:t>Mishra et al., 2005).</w:t>
      </w:r>
    </w:p>
    <w:p w:rsidR="00D82C37" w:rsidRPr="00262B01" w:rsidRDefault="00D82C37" w:rsidP="00D82C37">
      <w:pPr>
        <w:ind w:firstLine="567"/>
        <w:jc w:val="both"/>
        <w:rPr>
          <w:sz w:val="28"/>
          <w:szCs w:val="28"/>
        </w:rPr>
      </w:pPr>
      <w:r w:rsidRPr="00262B01">
        <w:rPr>
          <w:sz w:val="28"/>
          <w:szCs w:val="28"/>
        </w:rPr>
        <w:t>Одним з методів підвищення ефективності хіміотерапії без збільшення її гематологічної токсичності є застосування підтримки гемопоезу автологічними стовбуровими клітинами периферичної крові (СКПК), що скорочує період нейтропенії та тромбоцитопенії після проведення інтенсивної чи високодозової хіміотерапії і, відповідно, зменшує кількість інфекційних та геморагічних ускладнень (</w:t>
      </w:r>
      <w:r>
        <w:rPr>
          <w:sz w:val="28"/>
          <w:szCs w:val="28"/>
        </w:rPr>
        <w:t xml:space="preserve">C. </w:t>
      </w:r>
      <w:r w:rsidRPr="00262B01">
        <w:rPr>
          <w:sz w:val="28"/>
          <w:szCs w:val="28"/>
        </w:rPr>
        <w:t>Fruchart et al., 2004; А.Г.Румянцев, А.А.</w:t>
      </w:r>
      <w:r>
        <w:rPr>
          <w:sz w:val="28"/>
          <w:szCs w:val="28"/>
        </w:rPr>
        <w:t xml:space="preserve"> </w:t>
      </w:r>
      <w:r w:rsidRPr="00262B01">
        <w:rPr>
          <w:sz w:val="28"/>
          <w:szCs w:val="28"/>
        </w:rPr>
        <w:t>Масчан, 2003). Застосування цього методу забезпечує відновлення гемопоезу після проведення високозової хіміотерапії.</w:t>
      </w:r>
    </w:p>
    <w:p w:rsidR="00D82C37" w:rsidRPr="00262B01" w:rsidRDefault="00D82C37" w:rsidP="00D82C37">
      <w:pPr>
        <w:ind w:firstLine="567"/>
        <w:jc w:val="both"/>
        <w:rPr>
          <w:sz w:val="28"/>
          <w:szCs w:val="28"/>
        </w:rPr>
      </w:pPr>
      <w:r w:rsidRPr="00262B01">
        <w:rPr>
          <w:sz w:val="28"/>
          <w:szCs w:val="28"/>
        </w:rPr>
        <w:t>Отримання достатньої кількості стовбурових клітин  для підтримки гемопоезу є найважливішим завданням підготовки до проведення високодозової терапії. Для клінічного застосування джерелом гемопоетичних стовбурових клітин (ГСК) у людини може бути кістковий мозок, периферична кров, кордова/плацентарна кров (</w:t>
      </w:r>
      <w:r>
        <w:rPr>
          <w:sz w:val="28"/>
          <w:szCs w:val="28"/>
        </w:rPr>
        <w:t xml:space="preserve">Е.Б. </w:t>
      </w:r>
      <w:r w:rsidRPr="00262B01">
        <w:rPr>
          <w:sz w:val="28"/>
          <w:szCs w:val="28"/>
        </w:rPr>
        <w:t xml:space="preserve">Владимирская и соавт., 2005). Кожне з цих джерел має свої переваги і недоліки. </w:t>
      </w:r>
    </w:p>
    <w:p w:rsidR="00D82C37" w:rsidRPr="00262B01" w:rsidRDefault="00D82C37" w:rsidP="00D82C37">
      <w:pPr>
        <w:ind w:firstLine="567"/>
        <w:jc w:val="both"/>
        <w:rPr>
          <w:sz w:val="28"/>
          <w:szCs w:val="28"/>
        </w:rPr>
      </w:pPr>
      <w:r w:rsidRPr="00262B01">
        <w:rPr>
          <w:sz w:val="28"/>
          <w:szCs w:val="28"/>
        </w:rPr>
        <w:t>На думку більшості вчених, найбільш ефективним, безпечним та доступним методом отримання необхідної кількості якісного матеріалу є СКПК  шляхом апаратного лейкоцитаферезу (J.</w:t>
      </w:r>
      <w:r>
        <w:rPr>
          <w:sz w:val="28"/>
          <w:szCs w:val="28"/>
        </w:rPr>
        <w:t xml:space="preserve"> </w:t>
      </w:r>
      <w:r w:rsidRPr="00262B01">
        <w:rPr>
          <w:sz w:val="28"/>
          <w:szCs w:val="28"/>
        </w:rPr>
        <w:t>Sevilla, 2004). Цей спосіб практично повністю витіснив метод отримання ГСК з кісткового мозку.</w:t>
      </w:r>
    </w:p>
    <w:p w:rsidR="00D82C37" w:rsidRPr="00262B01" w:rsidRDefault="00D82C37" w:rsidP="00D82C37">
      <w:pPr>
        <w:ind w:firstLine="567"/>
        <w:jc w:val="both"/>
        <w:rPr>
          <w:sz w:val="28"/>
          <w:szCs w:val="28"/>
        </w:rPr>
      </w:pPr>
      <w:r w:rsidRPr="00262B01">
        <w:rPr>
          <w:sz w:val="28"/>
          <w:szCs w:val="28"/>
        </w:rPr>
        <w:t>У 1971 р. було доведено наявність у периферичній крові клітин, що можуть створювати гемопоетичні колонії. Їх кількість невелика – 0,1–1 клітина в 1 мкл крові, проте вона може різко збільшуватись при використанні колонієстимулюючих факторів (КСФ) або у період відновлення гемопоезу</w:t>
      </w:r>
      <w:r w:rsidRPr="00262B01">
        <w:rPr>
          <w:color w:val="FF0000"/>
          <w:sz w:val="28"/>
          <w:szCs w:val="28"/>
        </w:rPr>
        <w:t xml:space="preserve"> </w:t>
      </w:r>
      <w:r w:rsidRPr="00262B01">
        <w:rPr>
          <w:sz w:val="28"/>
          <w:szCs w:val="28"/>
        </w:rPr>
        <w:t>після застосування цитостатичних засобів. Але найбільш ефективним методом мобілізації СКПК вважають комбінацію цих підходів (C.S.Rosenfeld, 1992; L.</w:t>
      </w:r>
      <w:r>
        <w:rPr>
          <w:sz w:val="28"/>
          <w:szCs w:val="28"/>
        </w:rPr>
        <w:t xml:space="preserve"> </w:t>
      </w:r>
      <w:r w:rsidRPr="00262B01">
        <w:rPr>
          <w:sz w:val="28"/>
          <w:szCs w:val="28"/>
        </w:rPr>
        <w:t>Schwartzberg, 1993).</w:t>
      </w:r>
    </w:p>
    <w:p w:rsidR="00D82C37" w:rsidRPr="00262B01" w:rsidRDefault="00D82C37" w:rsidP="00D82C37">
      <w:pPr>
        <w:ind w:firstLine="567"/>
        <w:jc w:val="both"/>
        <w:rPr>
          <w:sz w:val="28"/>
          <w:szCs w:val="28"/>
        </w:rPr>
      </w:pPr>
      <w:r w:rsidRPr="00262B01">
        <w:rPr>
          <w:sz w:val="28"/>
          <w:szCs w:val="28"/>
        </w:rPr>
        <w:t xml:space="preserve">У світовій літературі багато уваги приділяється вивченню нових засобів для проведення мобілізації ГСК, пошуку критеріїв оцінки її ефективності. Однак на сьогодні не вирішена проблема оптимальних режимів мобілізації гемопоетичних клітин. Недостатньо вивчено вплив підтримки гемопоезу на безпечність проведення високодозової та інтенсивної хіміотерапії, тобто на </w:t>
      </w:r>
      <w:r w:rsidRPr="00262B01">
        <w:rPr>
          <w:sz w:val="28"/>
          <w:szCs w:val="28"/>
        </w:rPr>
        <w:lastRenderedPageBreak/>
        <w:t xml:space="preserve">зменшення інфекційних та геморагічних ускладнень при лікуванні дітей із злоякісними солідними новоутвореннями. </w:t>
      </w:r>
    </w:p>
    <w:p w:rsidR="00D82C37" w:rsidRDefault="00D82C37" w:rsidP="00D82C37">
      <w:pPr>
        <w:ind w:firstLine="567"/>
        <w:jc w:val="both"/>
        <w:rPr>
          <w:sz w:val="28"/>
          <w:szCs w:val="28"/>
        </w:rPr>
      </w:pPr>
      <w:r w:rsidRPr="00262B01">
        <w:rPr>
          <w:sz w:val="28"/>
          <w:szCs w:val="28"/>
        </w:rPr>
        <w:t>Усі зазначені проблеми потребують подальшого вивчення та свідчать про актуальність даного дослідження.</w:t>
      </w:r>
    </w:p>
    <w:p w:rsidR="00D82C37" w:rsidRPr="00262B01" w:rsidRDefault="00D82C37" w:rsidP="00D82C37">
      <w:pPr>
        <w:ind w:firstLine="567"/>
        <w:jc w:val="both"/>
        <w:rPr>
          <w:sz w:val="28"/>
          <w:szCs w:val="28"/>
        </w:rPr>
      </w:pPr>
      <w:r w:rsidRPr="00262B01">
        <w:rPr>
          <w:b/>
          <w:sz w:val="28"/>
          <w:szCs w:val="28"/>
        </w:rPr>
        <w:t>Зв’язок роботи з науковими програмами, планами, темами</w:t>
      </w:r>
      <w:r w:rsidRPr="00262B01">
        <w:rPr>
          <w:sz w:val="28"/>
          <w:szCs w:val="28"/>
        </w:rPr>
        <w:t>. Дисертаційна робота виконувалась у межах планових науково-дослідних робіт відділення дитячої онкології Національного інституту раку: „Розробка методів лікування рефрактерних солідних новоутворень у дітей”, державний реєстраційний № 0104U003211 та „Розробка програми комплексного лікування злоякісних новоутворень м’яких тканин у дітей з урахуванням прогностичних факторів клінічного перебігу захворювання”, державний реєстраційний № 0106U012514.</w:t>
      </w:r>
    </w:p>
    <w:p w:rsidR="00D82C37" w:rsidRPr="00262B01" w:rsidRDefault="00D82C37" w:rsidP="00D82C37">
      <w:pPr>
        <w:ind w:firstLine="567"/>
        <w:jc w:val="both"/>
        <w:rPr>
          <w:sz w:val="28"/>
          <w:szCs w:val="28"/>
        </w:rPr>
      </w:pPr>
      <w:r w:rsidRPr="00262B01">
        <w:rPr>
          <w:b/>
          <w:sz w:val="28"/>
          <w:szCs w:val="28"/>
        </w:rPr>
        <w:t>Мета дослідження.</w:t>
      </w:r>
      <w:r w:rsidRPr="00262B01">
        <w:rPr>
          <w:sz w:val="28"/>
          <w:szCs w:val="28"/>
        </w:rPr>
        <w:t xml:space="preserve"> Підвищити ефективність лікування дітей із злоякісними солідними новоутвореннями шляхом оптимізації методу підтримки гемопоезу </w:t>
      </w:r>
      <w:r>
        <w:rPr>
          <w:sz w:val="28"/>
          <w:szCs w:val="28"/>
        </w:rPr>
        <w:t xml:space="preserve">автологічними </w:t>
      </w:r>
      <w:r w:rsidRPr="00262B01">
        <w:rPr>
          <w:sz w:val="28"/>
          <w:szCs w:val="28"/>
        </w:rPr>
        <w:t>СКПК після проведення високодозової та інтенсивної хіміотерапії.</w:t>
      </w:r>
    </w:p>
    <w:p w:rsidR="00D82C37" w:rsidRPr="00262B01" w:rsidRDefault="00D82C37" w:rsidP="00D82C37">
      <w:pPr>
        <w:ind w:firstLine="567"/>
        <w:jc w:val="both"/>
        <w:rPr>
          <w:b/>
          <w:sz w:val="28"/>
          <w:szCs w:val="28"/>
        </w:rPr>
      </w:pPr>
      <w:r w:rsidRPr="00262B01">
        <w:rPr>
          <w:b/>
          <w:sz w:val="28"/>
          <w:szCs w:val="28"/>
        </w:rPr>
        <w:t xml:space="preserve">Завдання дослідження: </w:t>
      </w:r>
    </w:p>
    <w:p w:rsidR="00D82C37" w:rsidRPr="00262B01" w:rsidRDefault="00D82C37" w:rsidP="007A52F3">
      <w:pPr>
        <w:numPr>
          <w:ilvl w:val="0"/>
          <w:numId w:val="39"/>
        </w:numPr>
        <w:tabs>
          <w:tab w:val="clear" w:pos="1080"/>
          <w:tab w:val="left" w:pos="540"/>
        </w:tabs>
        <w:spacing w:after="0" w:line="240" w:lineRule="auto"/>
        <w:ind w:left="540"/>
        <w:jc w:val="both"/>
        <w:rPr>
          <w:sz w:val="28"/>
          <w:szCs w:val="28"/>
        </w:rPr>
      </w:pPr>
      <w:r w:rsidRPr="00262B01">
        <w:rPr>
          <w:sz w:val="28"/>
          <w:szCs w:val="28"/>
        </w:rPr>
        <w:t>Визначити фактори, що впливають на ефективність мобілізації та колекції СКПК у дітей, хворих на злоякісні солідні новоутворення.</w:t>
      </w:r>
    </w:p>
    <w:p w:rsidR="00D82C37" w:rsidRPr="00262B01" w:rsidRDefault="00D82C37" w:rsidP="007A52F3">
      <w:pPr>
        <w:numPr>
          <w:ilvl w:val="0"/>
          <w:numId w:val="39"/>
        </w:numPr>
        <w:tabs>
          <w:tab w:val="clear" w:pos="1080"/>
          <w:tab w:val="left" w:pos="540"/>
        </w:tabs>
        <w:spacing w:after="0" w:line="240" w:lineRule="auto"/>
        <w:ind w:left="540"/>
        <w:jc w:val="both"/>
        <w:rPr>
          <w:sz w:val="28"/>
          <w:szCs w:val="28"/>
        </w:rPr>
      </w:pPr>
      <w:r w:rsidRPr="00262B01">
        <w:rPr>
          <w:sz w:val="28"/>
          <w:szCs w:val="28"/>
        </w:rPr>
        <w:t>Розробити оптимальні режими мобілізації та параметри колекції СКПК для певних груп дітей, хворих на злоякісні солідні новоутворення.</w:t>
      </w:r>
    </w:p>
    <w:p w:rsidR="00D82C37" w:rsidRPr="00262B01" w:rsidRDefault="00D82C37" w:rsidP="007A52F3">
      <w:pPr>
        <w:numPr>
          <w:ilvl w:val="0"/>
          <w:numId w:val="39"/>
        </w:numPr>
        <w:tabs>
          <w:tab w:val="clear" w:pos="1080"/>
          <w:tab w:val="left" w:pos="540"/>
        </w:tabs>
        <w:spacing w:after="0" w:line="240" w:lineRule="auto"/>
        <w:ind w:left="540"/>
        <w:jc w:val="both"/>
        <w:rPr>
          <w:sz w:val="28"/>
          <w:szCs w:val="28"/>
        </w:rPr>
      </w:pPr>
      <w:r w:rsidRPr="00262B01">
        <w:rPr>
          <w:sz w:val="28"/>
          <w:szCs w:val="28"/>
        </w:rPr>
        <w:t>Провести аналіз ускладнень хіміотерапії із застосуванням СКПК та без підтримки гемопоезу у дітей із злоякісними солідними новоутвореннями.</w:t>
      </w:r>
    </w:p>
    <w:p w:rsidR="00D82C37" w:rsidRPr="00262B01" w:rsidRDefault="00D82C37" w:rsidP="007A52F3">
      <w:pPr>
        <w:numPr>
          <w:ilvl w:val="0"/>
          <w:numId w:val="39"/>
        </w:numPr>
        <w:tabs>
          <w:tab w:val="clear" w:pos="1080"/>
          <w:tab w:val="left" w:pos="540"/>
        </w:tabs>
        <w:spacing w:after="0" w:line="240" w:lineRule="auto"/>
        <w:ind w:left="540"/>
        <w:jc w:val="both"/>
        <w:rPr>
          <w:sz w:val="28"/>
          <w:szCs w:val="28"/>
        </w:rPr>
      </w:pPr>
      <w:r w:rsidRPr="00262B01">
        <w:rPr>
          <w:sz w:val="28"/>
          <w:szCs w:val="28"/>
        </w:rPr>
        <w:t>Вивчити ефективність застосування підтримки гемопоезу СКПК після високодозової та інтенсивної хіміотерапії при лікуванні дітей із прогностично несприятливими формами злоякісних солідних новоутворень.</w:t>
      </w:r>
    </w:p>
    <w:p w:rsidR="00D82C37" w:rsidRPr="00262B01" w:rsidRDefault="00D82C37" w:rsidP="00D82C37">
      <w:pPr>
        <w:tabs>
          <w:tab w:val="left" w:pos="540"/>
        </w:tabs>
        <w:ind w:firstLine="180"/>
        <w:jc w:val="both"/>
        <w:rPr>
          <w:sz w:val="28"/>
          <w:szCs w:val="28"/>
        </w:rPr>
      </w:pPr>
      <w:r w:rsidRPr="00262B01">
        <w:rPr>
          <w:b/>
          <w:sz w:val="28"/>
          <w:szCs w:val="28"/>
        </w:rPr>
        <w:tab/>
      </w:r>
      <w:r w:rsidRPr="00262B01">
        <w:rPr>
          <w:i/>
          <w:sz w:val="28"/>
          <w:szCs w:val="28"/>
        </w:rPr>
        <w:t>Об’єкт дослідження</w:t>
      </w:r>
      <w:r w:rsidRPr="00262B01">
        <w:rPr>
          <w:b/>
          <w:sz w:val="28"/>
          <w:szCs w:val="28"/>
        </w:rPr>
        <w:t xml:space="preserve">: </w:t>
      </w:r>
      <w:r w:rsidRPr="00262B01">
        <w:rPr>
          <w:sz w:val="28"/>
          <w:szCs w:val="28"/>
        </w:rPr>
        <w:t>процес мобілізації та колекції СКПК, трансплантація автологічних СКПК, інтенсивна немієлоаблятивна та високодозова хіміотерапія з підтримкою СКПК у дітей із солідними злоякісними новоутвореннями.</w:t>
      </w:r>
    </w:p>
    <w:p w:rsidR="00D82C37" w:rsidRPr="00262B01" w:rsidRDefault="00D82C37" w:rsidP="00D82C37">
      <w:pPr>
        <w:ind w:firstLine="567"/>
        <w:jc w:val="both"/>
        <w:rPr>
          <w:b/>
          <w:sz w:val="28"/>
          <w:szCs w:val="28"/>
        </w:rPr>
      </w:pPr>
      <w:r w:rsidRPr="00262B01">
        <w:rPr>
          <w:i/>
          <w:sz w:val="28"/>
          <w:szCs w:val="28"/>
        </w:rPr>
        <w:t>Предмет дослідження</w:t>
      </w:r>
      <w:r w:rsidRPr="00262B01">
        <w:rPr>
          <w:b/>
          <w:sz w:val="28"/>
          <w:szCs w:val="28"/>
        </w:rPr>
        <w:t xml:space="preserve">: </w:t>
      </w:r>
      <w:r w:rsidRPr="00262B01">
        <w:rPr>
          <w:sz w:val="28"/>
          <w:szCs w:val="28"/>
        </w:rPr>
        <w:t>186 дітей, хворих на злоякісні солідні новоутворення.</w:t>
      </w:r>
    </w:p>
    <w:p w:rsidR="00D82C37" w:rsidRPr="00262B01" w:rsidRDefault="00D82C37" w:rsidP="00D82C37">
      <w:pPr>
        <w:ind w:firstLine="567"/>
        <w:jc w:val="both"/>
        <w:rPr>
          <w:sz w:val="28"/>
          <w:szCs w:val="28"/>
        </w:rPr>
      </w:pPr>
      <w:r w:rsidRPr="00262B01">
        <w:rPr>
          <w:i/>
          <w:sz w:val="28"/>
          <w:szCs w:val="28"/>
        </w:rPr>
        <w:t>Методи дослідження</w:t>
      </w:r>
      <w:r w:rsidRPr="00262B01">
        <w:rPr>
          <w:b/>
          <w:sz w:val="28"/>
          <w:szCs w:val="28"/>
        </w:rPr>
        <w:t xml:space="preserve">: </w:t>
      </w:r>
      <w:r w:rsidRPr="00262B01">
        <w:rPr>
          <w:sz w:val="28"/>
          <w:szCs w:val="28"/>
        </w:rPr>
        <w:t>клінічні, лабораторні, статистичні.</w:t>
      </w:r>
    </w:p>
    <w:p w:rsidR="00D82C37" w:rsidRPr="00262B01" w:rsidRDefault="00D82C37" w:rsidP="00D82C37">
      <w:pPr>
        <w:ind w:firstLine="567"/>
        <w:jc w:val="both"/>
        <w:rPr>
          <w:b/>
          <w:sz w:val="28"/>
          <w:szCs w:val="28"/>
        </w:rPr>
      </w:pPr>
      <w:r w:rsidRPr="00262B01">
        <w:rPr>
          <w:b/>
          <w:sz w:val="28"/>
          <w:szCs w:val="28"/>
        </w:rPr>
        <w:lastRenderedPageBreak/>
        <w:t xml:space="preserve">Наукова новизна отриманих результатів. </w:t>
      </w:r>
      <w:r w:rsidRPr="00262B01">
        <w:rPr>
          <w:sz w:val="28"/>
          <w:szCs w:val="28"/>
        </w:rPr>
        <w:t xml:space="preserve">Вперше проаналізовано та систематизовано результати мобілізації </w:t>
      </w:r>
      <w:r>
        <w:rPr>
          <w:sz w:val="28"/>
          <w:szCs w:val="28"/>
        </w:rPr>
        <w:t xml:space="preserve">автологічних </w:t>
      </w:r>
      <w:r w:rsidRPr="00262B01">
        <w:rPr>
          <w:sz w:val="28"/>
          <w:szCs w:val="28"/>
        </w:rPr>
        <w:t>СКПК у дітей</w:t>
      </w:r>
      <w:r>
        <w:rPr>
          <w:sz w:val="28"/>
          <w:szCs w:val="28"/>
        </w:rPr>
        <w:t>, у тому числі молодшого віку,</w:t>
      </w:r>
      <w:r w:rsidRPr="00262B01">
        <w:rPr>
          <w:sz w:val="28"/>
          <w:szCs w:val="28"/>
        </w:rPr>
        <w:t xml:space="preserve"> із злоякісними солідними новоутвореннями.</w:t>
      </w:r>
    </w:p>
    <w:p w:rsidR="00D82C37" w:rsidRPr="00262B01" w:rsidRDefault="00D82C37" w:rsidP="00D82C37">
      <w:pPr>
        <w:ind w:firstLine="567"/>
        <w:jc w:val="both"/>
        <w:rPr>
          <w:b/>
          <w:sz w:val="28"/>
          <w:szCs w:val="28"/>
        </w:rPr>
      </w:pPr>
      <w:r w:rsidRPr="00262B01">
        <w:rPr>
          <w:sz w:val="28"/>
          <w:szCs w:val="28"/>
        </w:rPr>
        <w:t>Вперше вивчено вплив клініко-гематологічних показників на ефективність мобілізації СКПК у дітей із злоякісними солідними новоутвореннями та розроблено прогностичний комплекс факторів.</w:t>
      </w:r>
    </w:p>
    <w:p w:rsidR="00D82C37" w:rsidRPr="00262B01" w:rsidRDefault="00D82C37" w:rsidP="00D82C37">
      <w:pPr>
        <w:ind w:firstLine="567"/>
        <w:jc w:val="both"/>
        <w:rPr>
          <w:b/>
          <w:sz w:val="28"/>
          <w:szCs w:val="28"/>
        </w:rPr>
      </w:pPr>
      <w:r>
        <w:rPr>
          <w:sz w:val="28"/>
          <w:szCs w:val="28"/>
        </w:rPr>
        <w:t>Розроблено оптимальний режим</w:t>
      </w:r>
      <w:r w:rsidRPr="00262B01">
        <w:rPr>
          <w:sz w:val="28"/>
          <w:szCs w:val="28"/>
        </w:rPr>
        <w:t xml:space="preserve"> мобілізації та параметри проведення лейкоцитаферезу у дітей.</w:t>
      </w:r>
    </w:p>
    <w:p w:rsidR="00D82C37" w:rsidRPr="00262B01" w:rsidRDefault="00D82C37" w:rsidP="00D82C37">
      <w:pPr>
        <w:ind w:firstLine="567"/>
        <w:jc w:val="both"/>
        <w:rPr>
          <w:sz w:val="28"/>
          <w:szCs w:val="28"/>
        </w:rPr>
      </w:pPr>
      <w:r w:rsidRPr="00262B01">
        <w:rPr>
          <w:sz w:val="28"/>
          <w:szCs w:val="28"/>
        </w:rPr>
        <w:t>Вперше в Україні проаналізовано ефективність та доцільність застосування підтримки гемопоезу СКПК після проведення високодозової та інтенсивної хіміотерапії в комплексному лікуванні дітей із прогностично несприятливими формами злоякісних солідних новоутворень.</w:t>
      </w:r>
    </w:p>
    <w:p w:rsidR="00D82C37" w:rsidRPr="00262B01" w:rsidRDefault="00D82C37" w:rsidP="00D82C37">
      <w:pPr>
        <w:ind w:firstLine="567"/>
        <w:jc w:val="both"/>
        <w:rPr>
          <w:sz w:val="28"/>
          <w:szCs w:val="28"/>
        </w:rPr>
      </w:pPr>
      <w:r w:rsidRPr="00262B01">
        <w:rPr>
          <w:b/>
          <w:sz w:val="28"/>
          <w:szCs w:val="28"/>
        </w:rPr>
        <w:t xml:space="preserve">Практичне значення отриманих результатів. </w:t>
      </w:r>
      <w:r w:rsidRPr="00262B01">
        <w:rPr>
          <w:sz w:val="28"/>
          <w:szCs w:val="28"/>
        </w:rPr>
        <w:t xml:space="preserve">У результаті проведеної роботи визначено комплекс факторів, які впливають на ефективність мобілізації </w:t>
      </w:r>
      <w:r>
        <w:rPr>
          <w:sz w:val="28"/>
          <w:szCs w:val="28"/>
        </w:rPr>
        <w:t xml:space="preserve">автологічних </w:t>
      </w:r>
      <w:r w:rsidRPr="00262B01">
        <w:rPr>
          <w:sz w:val="28"/>
          <w:szCs w:val="28"/>
        </w:rPr>
        <w:t>СКПК. Доведено, що вік пацієнта, мобілізаційний режим хіміотерапії, час та тривалість призначення КСФ, кількість лейкоцитів у день лейкоцитаферезу, об’єм опрацьованої крові за один сеанс лейкоцитаферезу є факторами, які достовірно впливають на ефективність проведення мобілізації СКПК. Також встановлено, що поєднання алкілуючих агентів та етопозиду із введенням КСФ у дозі ≥ 10 мкг/кг маси тіла на 7–10 день після завершення хіміотерапії є найбільш ефективним мобілізуючим режимом. Оптимальними параметрами проведення лейкоцитаферезу визнано проведення обробки крові ≥ 250 мл/кг маси тіла не пізніше 10 дня стимуляції при рівні лейкоцитів ≥ 10 х 10</w:t>
      </w:r>
      <w:r w:rsidRPr="00262B01">
        <w:rPr>
          <w:sz w:val="28"/>
          <w:szCs w:val="28"/>
          <w:vertAlign w:val="superscript"/>
        </w:rPr>
        <w:t>9</w:t>
      </w:r>
      <w:r w:rsidRPr="00262B01">
        <w:rPr>
          <w:sz w:val="28"/>
          <w:szCs w:val="28"/>
        </w:rPr>
        <w:t xml:space="preserve">/л. У роботі підтверджена ефективність методу підтримки кровотворення СКПК після проведення високодозової та інтенсивної ХТ у дітей з прогностично несприятливими формами злоякісних солідних новоутворень. За результатами роботи запропоновано алгоритм застосування оптимальної схеми мобілізації </w:t>
      </w:r>
      <w:r>
        <w:rPr>
          <w:sz w:val="28"/>
          <w:szCs w:val="28"/>
        </w:rPr>
        <w:t xml:space="preserve">автологічних СКПК </w:t>
      </w:r>
      <w:r w:rsidRPr="00262B01">
        <w:rPr>
          <w:sz w:val="28"/>
          <w:szCs w:val="28"/>
        </w:rPr>
        <w:t>для дітей із злоякісними солідними новоутвореннями</w:t>
      </w:r>
      <w:r>
        <w:rPr>
          <w:sz w:val="28"/>
          <w:szCs w:val="28"/>
        </w:rPr>
        <w:t>, особливо з нейробластомою, нефробластомою та саркомою Юїнга</w:t>
      </w:r>
      <w:r w:rsidRPr="00262B01">
        <w:rPr>
          <w:sz w:val="28"/>
          <w:szCs w:val="28"/>
        </w:rPr>
        <w:t>.</w:t>
      </w:r>
    </w:p>
    <w:p w:rsidR="00D82C37" w:rsidRPr="00262B01" w:rsidRDefault="00D82C37" w:rsidP="00D82C37">
      <w:pPr>
        <w:ind w:firstLine="567"/>
        <w:jc w:val="both"/>
        <w:rPr>
          <w:bCs/>
          <w:sz w:val="28"/>
          <w:szCs w:val="28"/>
        </w:rPr>
      </w:pPr>
      <w:r w:rsidRPr="00262B01">
        <w:rPr>
          <w:b/>
          <w:sz w:val="28"/>
          <w:szCs w:val="28"/>
        </w:rPr>
        <w:t>Особистий внесок здобувача.</w:t>
      </w:r>
      <w:r w:rsidRPr="00262B01">
        <w:rPr>
          <w:sz w:val="28"/>
          <w:szCs w:val="28"/>
        </w:rPr>
        <w:t xml:space="preserve"> Автором проведено патентно-інфомаційний пошук, аналіз наукової вітчизняної та зарубіжної літератури з цієї проблеми, планування та створення дизайну дослідження. Самостійно здійснено добір, обстеження та лікування хворих, підготовка та проведення процедури мобілізації, колекції та кріоконсервації СКПК пацієнтів, що перебували на лікуванні у відділенні дитячої онкології. Проаналізовано та систематизовано результати мобілізації СКПК у дітей із злоякісними солідними </w:t>
      </w:r>
      <w:r w:rsidRPr="00262B01">
        <w:rPr>
          <w:sz w:val="28"/>
          <w:szCs w:val="28"/>
        </w:rPr>
        <w:lastRenderedPageBreak/>
        <w:t>новоутвореннями, що перебували лікуванні у відділенні дитячої онкології Національного інституту раку (м. Київ) та у  відділенні інтенсивної хіміотерапії та трансплантації кісткового мозку Інституту дитячої онкології ОНЦ ім. М.М. Блохіна РАМН (Москва). Виконана математична обробка та науковий аналіз отриманих результатів, сформульовані основні положення, висновки та практичні рекомендації. Авторські права дисертанта захищені патентом на корисну модель «</w:t>
      </w:r>
      <w:r w:rsidRPr="00262B01">
        <w:rPr>
          <w:bCs/>
          <w:sz w:val="28"/>
          <w:szCs w:val="28"/>
        </w:rPr>
        <w:t>Спосіб отримання стовбурових клітин периферичної крові у дітей».</w:t>
      </w:r>
    </w:p>
    <w:p w:rsidR="00D82C37" w:rsidRPr="00262B01" w:rsidRDefault="00D82C37" w:rsidP="00D82C37">
      <w:pPr>
        <w:ind w:firstLine="567"/>
        <w:jc w:val="both"/>
        <w:rPr>
          <w:bCs/>
          <w:sz w:val="28"/>
          <w:szCs w:val="28"/>
        </w:rPr>
      </w:pPr>
      <w:r w:rsidRPr="00262B01">
        <w:rPr>
          <w:b/>
          <w:bCs/>
          <w:sz w:val="28"/>
          <w:szCs w:val="28"/>
        </w:rPr>
        <w:t xml:space="preserve">Апробація результатів дисертації. </w:t>
      </w:r>
      <w:r w:rsidRPr="00262B01">
        <w:rPr>
          <w:bCs/>
          <w:sz w:val="28"/>
          <w:szCs w:val="28"/>
        </w:rPr>
        <w:t>Основні результати роботи оприлюднені на ХХΙΙ конференції молодих вчених Інституту онкології АМН України (Київ, 2003); науково-практичних конференціях «Сучасні засоби супроводу в комплексному лікуванні онкологічних хворих» (Тернопіль, 2004); «Сучасні методи діагностики та лікування злоякісних новоутворень у дітей» (Київ, 2005); «Терапія супроводу в лікуванні онкологічних хворих» (Анталія, 2007); ΙХ міжнародній конференції молодих онкологів «Сучасні проблеми експериментальної і клінічної онкології» (Київ, 2008).</w:t>
      </w:r>
    </w:p>
    <w:p w:rsidR="00D82C37" w:rsidRPr="00262B01" w:rsidRDefault="00D82C37" w:rsidP="00D82C37">
      <w:pPr>
        <w:ind w:firstLine="567"/>
        <w:jc w:val="both"/>
        <w:rPr>
          <w:sz w:val="28"/>
          <w:szCs w:val="28"/>
        </w:rPr>
      </w:pPr>
      <w:r w:rsidRPr="00262B01">
        <w:rPr>
          <w:b/>
          <w:sz w:val="28"/>
          <w:szCs w:val="28"/>
        </w:rPr>
        <w:t xml:space="preserve">Публікації. </w:t>
      </w:r>
      <w:r w:rsidRPr="00262B01">
        <w:rPr>
          <w:sz w:val="28"/>
          <w:szCs w:val="28"/>
        </w:rPr>
        <w:t>Основний зміст дисертації</w:t>
      </w:r>
      <w:r w:rsidRPr="00262B01">
        <w:rPr>
          <w:b/>
          <w:sz w:val="28"/>
          <w:szCs w:val="28"/>
        </w:rPr>
        <w:t xml:space="preserve"> </w:t>
      </w:r>
      <w:r w:rsidRPr="00262B01">
        <w:rPr>
          <w:sz w:val="28"/>
          <w:szCs w:val="28"/>
        </w:rPr>
        <w:t>викладений у 7 публікаціях, у т. ч. статей у журналах, затверджених ВАКом України, – 3, матеріали і тези наукових конференцій та з’їздів – 2, патент на корисну модель – 1, видано методичні рекомендації.</w:t>
      </w:r>
    </w:p>
    <w:p w:rsidR="00D82C37" w:rsidRPr="00262B01" w:rsidRDefault="00D82C37" w:rsidP="00D82C37">
      <w:pPr>
        <w:ind w:firstLine="567"/>
        <w:jc w:val="both"/>
        <w:rPr>
          <w:sz w:val="28"/>
          <w:szCs w:val="28"/>
        </w:rPr>
      </w:pPr>
      <w:r w:rsidRPr="00262B01">
        <w:rPr>
          <w:b/>
          <w:sz w:val="28"/>
          <w:szCs w:val="28"/>
        </w:rPr>
        <w:t>Структура та обсяг дисертації</w:t>
      </w:r>
      <w:r w:rsidRPr="00262B01">
        <w:rPr>
          <w:sz w:val="28"/>
          <w:szCs w:val="28"/>
        </w:rPr>
        <w:t>. Дисертацію викладено українською мовою на 127 сторінках машинопису. Робота складається з таких розділів: вступ, огляд літератури, матеріали та методи дослідження, три розділи власних досліджень, аналіз та узагальнення результатів досліджень, висновки та практичні рекомендації. Роботу ілюстровано 48 таблицями, 3 рисунками. Список використаної літератури налічує 195 джерела (18 кирилицею та 177 латиницею).</w:t>
      </w:r>
    </w:p>
    <w:p w:rsidR="00D82C37" w:rsidRPr="00262B01" w:rsidRDefault="00D82C37" w:rsidP="00D82C37">
      <w:pPr>
        <w:ind w:firstLine="567"/>
        <w:jc w:val="center"/>
        <w:rPr>
          <w:b/>
          <w:sz w:val="28"/>
          <w:szCs w:val="28"/>
        </w:rPr>
      </w:pPr>
    </w:p>
    <w:p w:rsidR="00D82C37" w:rsidRPr="00262B01" w:rsidRDefault="00D82C37" w:rsidP="00D82C37">
      <w:pPr>
        <w:ind w:firstLine="567"/>
        <w:jc w:val="center"/>
        <w:rPr>
          <w:b/>
          <w:sz w:val="28"/>
          <w:szCs w:val="28"/>
        </w:rPr>
      </w:pPr>
      <w:r w:rsidRPr="00262B01">
        <w:rPr>
          <w:b/>
          <w:sz w:val="28"/>
          <w:szCs w:val="28"/>
        </w:rPr>
        <w:t>ОСНОВНИЙ ЗМІСТ РОБОТИ</w:t>
      </w:r>
    </w:p>
    <w:p w:rsidR="00D82C37" w:rsidRPr="00262B01" w:rsidRDefault="00D82C37" w:rsidP="00D82C37">
      <w:pPr>
        <w:ind w:firstLine="567"/>
        <w:jc w:val="both"/>
        <w:rPr>
          <w:sz w:val="28"/>
          <w:szCs w:val="28"/>
        </w:rPr>
      </w:pPr>
      <w:r w:rsidRPr="00262B01">
        <w:rPr>
          <w:b/>
          <w:sz w:val="28"/>
          <w:szCs w:val="28"/>
        </w:rPr>
        <w:t xml:space="preserve">Матеріали та методи дослідження. </w:t>
      </w:r>
      <w:r w:rsidRPr="00262B01">
        <w:rPr>
          <w:sz w:val="28"/>
          <w:szCs w:val="28"/>
        </w:rPr>
        <w:t xml:space="preserve">У дослідження включено 186 пацієнтів (89 хлопчиків та 97 дівчаток) із прогностично несприятливими формами солідних ЗН, віком від 13 місяців до 19 років, що перебували на лікуванні з 1996 до 2007 року включно. Обстеження та лікування пацієнтів проводили на двох клінічних базах: відділенні дитячої онкології Національного інституту раку і відділенні трансплантації кісткового мозку та інтенсивної хіміотерапії Інституту дитячої онкології ОНЦ ім. М.М. Блохіна </w:t>
      </w:r>
      <w:r w:rsidRPr="00262B01">
        <w:rPr>
          <w:sz w:val="28"/>
          <w:szCs w:val="28"/>
        </w:rPr>
        <w:lastRenderedPageBreak/>
        <w:t xml:space="preserve">РАМН. Добір, ініціальне обстеження та лікування дітей проводили за однаковими принципами. </w:t>
      </w:r>
    </w:p>
    <w:p w:rsidR="00D82C37" w:rsidRPr="001D4460" w:rsidRDefault="00D82C37" w:rsidP="00D82C37">
      <w:pPr>
        <w:ind w:firstLine="708"/>
        <w:jc w:val="both"/>
        <w:rPr>
          <w:sz w:val="28"/>
          <w:szCs w:val="28"/>
        </w:rPr>
      </w:pPr>
      <w:r w:rsidRPr="00262B01">
        <w:rPr>
          <w:sz w:val="28"/>
          <w:szCs w:val="28"/>
        </w:rPr>
        <w:t xml:space="preserve">Згідно з планом дослідження, опрацьовано медичні карти стаціонарних та амбулаторних хворих, матеріали Національного канцер-реєстру України. Для оцінки ефективності мобілізації та колекції </w:t>
      </w:r>
      <w:r>
        <w:rPr>
          <w:sz w:val="28"/>
          <w:szCs w:val="28"/>
        </w:rPr>
        <w:t xml:space="preserve">автологічних </w:t>
      </w:r>
      <w:r w:rsidRPr="00262B01">
        <w:rPr>
          <w:sz w:val="28"/>
          <w:szCs w:val="28"/>
        </w:rPr>
        <w:t>СКПК, визначення факторів, що впливають на її ефективність, проведено розподіл пацієнтів на підгрупи залежно від віку, діагнозу, інтенсивності попереднього лікування, типу мобілізації, мобілізаційного режиму хіміотерапії, дози, тривалості та режиму введення КСФ, рівня лейкоцитів крові у день проведення лейкоцитаферезу, кількості крові, опрацьованої за один сеанс лейкоцитаферезу.</w:t>
      </w:r>
      <w:r>
        <w:rPr>
          <w:sz w:val="28"/>
          <w:szCs w:val="28"/>
        </w:rPr>
        <w:t xml:space="preserve"> </w:t>
      </w:r>
    </w:p>
    <w:p w:rsidR="00D82C37" w:rsidRPr="00262B01" w:rsidRDefault="00D82C37" w:rsidP="00D82C37">
      <w:pPr>
        <w:ind w:firstLine="720"/>
        <w:jc w:val="both"/>
        <w:rPr>
          <w:sz w:val="28"/>
          <w:szCs w:val="28"/>
        </w:rPr>
      </w:pPr>
      <w:r w:rsidRPr="00262B01">
        <w:rPr>
          <w:sz w:val="28"/>
          <w:szCs w:val="28"/>
        </w:rPr>
        <w:t xml:space="preserve">Як критерій оцінки ефективності мобілізації та колекції СКПК використовували кількість СД 34+ клітин на </w:t>
      </w:r>
      <w:smartTag w:uri="urn:schemas-microsoft-com:office:smarttags" w:element="metricconverter">
        <w:smartTagPr>
          <w:attr w:name="ProductID" w:val="1 кг"/>
        </w:smartTagPr>
        <w:r w:rsidRPr="00262B01">
          <w:rPr>
            <w:sz w:val="28"/>
            <w:szCs w:val="28"/>
          </w:rPr>
          <w:t>1 кг</w:t>
        </w:r>
      </w:smartTag>
      <w:r w:rsidRPr="00262B01">
        <w:rPr>
          <w:sz w:val="28"/>
          <w:szCs w:val="28"/>
        </w:rPr>
        <w:t xml:space="preserve"> маси тіла, отриманих за один сеанс лейкоцитаферезу. Визначення кількості стовбурових гемопоетичних клітин проводили методом проточної цитофлюориметрії в прямій реакції імунофлюорисценції за протоколом ISHAGE, що розроблений робочою групою «CD34+ Haematopoietic Stem Cell Working Party» для цілей трансплантації кровотворної тканини на апараті „FACScan” фірми „BD” (США).</w:t>
      </w:r>
    </w:p>
    <w:p w:rsidR="00D82C37" w:rsidRPr="00262B01" w:rsidRDefault="00D82C37" w:rsidP="00D82C37">
      <w:pPr>
        <w:ind w:firstLine="567"/>
        <w:jc w:val="both"/>
        <w:rPr>
          <w:sz w:val="28"/>
          <w:szCs w:val="28"/>
        </w:rPr>
      </w:pPr>
      <w:r w:rsidRPr="00262B01">
        <w:rPr>
          <w:sz w:val="28"/>
          <w:szCs w:val="28"/>
        </w:rPr>
        <w:t xml:space="preserve">Згідно з планом дослідження, для оцінки ефективності методу підтримки гемопоезу СКПК проаналізовано результати проведення 26 курсів інтенсивної (Група I) та 67 курсів високодозової хіміотерапії (Група II) з підтримкою </w:t>
      </w:r>
      <w:r>
        <w:rPr>
          <w:sz w:val="28"/>
          <w:szCs w:val="28"/>
        </w:rPr>
        <w:t xml:space="preserve">автологічними </w:t>
      </w:r>
      <w:r w:rsidRPr="00262B01">
        <w:rPr>
          <w:sz w:val="28"/>
          <w:szCs w:val="28"/>
        </w:rPr>
        <w:t>СКПК у 93 пацієнтів досліджуваних груп</w:t>
      </w:r>
      <w:r>
        <w:rPr>
          <w:sz w:val="28"/>
          <w:szCs w:val="28"/>
        </w:rPr>
        <w:t>, які представлені у табл.1</w:t>
      </w:r>
      <w:r w:rsidRPr="00262B01">
        <w:rPr>
          <w:sz w:val="28"/>
          <w:szCs w:val="28"/>
        </w:rPr>
        <w:t xml:space="preserve">. </w:t>
      </w:r>
    </w:p>
    <w:p w:rsidR="00D82C37" w:rsidRPr="00262B01" w:rsidRDefault="00D82C37" w:rsidP="00D82C37">
      <w:pPr>
        <w:jc w:val="right"/>
        <w:rPr>
          <w:i/>
          <w:sz w:val="28"/>
          <w:szCs w:val="28"/>
        </w:rPr>
      </w:pPr>
      <w:r w:rsidRPr="00262B01">
        <w:rPr>
          <w:i/>
          <w:sz w:val="28"/>
          <w:szCs w:val="28"/>
        </w:rPr>
        <w:t>Таблиця 1</w:t>
      </w:r>
    </w:p>
    <w:p w:rsidR="00D82C37" w:rsidRPr="00262B01" w:rsidRDefault="00D82C37" w:rsidP="00D82C37">
      <w:pPr>
        <w:jc w:val="center"/>
        <w:rPr>
          <w:b/>
          <w:sz w:val="28"/>
          <w:szCs w:val="28"/>
        </w:rPr>
      </w:pPr>
      <w:r w:rsidRPr="00262B01">
        <w:rPr>
          <w:b/>
          <w:sz w:val="28"/>
          <w:szCs w:val="28"/>
        </w:rPr>
        <w:t xml:space="preserve">Характеристика пацієнтів, що отримали </w:t>
      </w:r>
    </w:p>
    <w:p w:rsidR="00D82C37" w:rsidRPr="00262B01" w:rsidRDefault="00D82C37" w:rsidP="00D82C37">
      <w:pPr>
        <w:jc w:val="center"/>
        <w:rPr>
          <w:b/>
          <w:sz w:val="28"/>
          <w:szCs w:val="28"/>
        </w:rPr>
      </w:pPr>
      <w:r w:rsidRPr="00262B01">
        <w:rPr>
          <w:b/>
          <w:sz w:val="28"/>
          <w:szCs w:val="28"/>
        </w:rPr>
        <w:t>високодозову чи інтенсивну хіміотерапію з підтримкою СКПК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1186"/>
        <w:gridCol w:w="1239"/>
        <w:gridCol w:w="1231"/>
        <w:gridCol w:w="1239"/>
      </w:tblGrid>
      <w:tr w:rsidR="00D82C37" w:rsidRPr="00262B01" w:rsidTr="00552736">
        <w:tc>
          <w:tcPr>
            <w:tcW w:w="4503" w:type="dxa"/>
            <w:vMerge w:val="restart"/>
            <w:vAlign w:val="center"/>
          </w:tcPr>
          <w:p w:rsidR="00D82C37" w:rsidRPr="00262B01" w:rsidRDefault="00D82C37" w:rsidP="00552736">
            <w:pPr>
              <w:jc w:val="center"/>
              <w:rPr>
                <w:sz w:val="28"/>
                <w:szCs w:val="28"/>
              </w:rPr>
            </w:pPr>
            <w:r w:rsidRPr="00262B01">
              <w:rPr>
                <w:sz w:val="28"/>
                <w:szCs w:val="28"/>
              </w:rPr>
              <w:t>Показники, що аналізуються</w:t>
            </w:r>
          </w:p>
        </w:tc>
        <w:tc>
          <w:tcPr>
            <w:tcW w:w="2473" w:type="dxa"/>
            <w:gridSpan w:val="2"/>
          </w:tcPr>
          <w:p w:rsidR="00D82C37" w:rsidRPr="00262B01" w:rsidRDefault="00D82C37" w:rsidP="00552736">
            <w:pPr>
              <w:jc w:val="center"/>
              <w:rPr>
                <w:sz w:val="28"/>
                <w:szCs w:val="28"/>
              </w:rPr>
            </w:pPr>
            <w:r w:rsidRPr="00262B01">
              <w:rPr>
                <w:sz w:val="28"/>
                <w:szCs w:val="28"/>
              </w:rPr>
              <w:t>Група I (n = 26)</w:t>
            </w:r>
          </w:p>
        </w:tc>
        <w:tc>
          <w:tcPr>
            <w:tcW w:w="2520" w:type="dxa"/>
            <w:gridSpan w:val="2"/>
          </w:tcPr>
          <w:p w:rsidR="00D82C37" w:rsidRPr="00262B01" w:rsidRDefault="00D82C37" w:rsidP="00552736">
            <w:pPr>
              <w:jc w:val="center"/>
              <w:rPr>
                <w:sz w:val="28"/>
                <w:szCs w:val="28"/>
              </w:rPr>
            </w:pPr>
            <w:r w:rsidRPr="00262B01">
              <w:rPr>
                <w:sz w:val="28"/>
                <w:szCs w:val="28"/>
              </w:rPr>
              <w:t>Група II (n = 67)</w:t>
            </w:r>
          </w:p>
        </w:tc>
      </w:tr>
      <w:tr w:rsidR="00D82C37" w:rsidRPr="00262B01" w:rsidTr="00552736">
        <w:tc>
          <w:tcPr>
            <w:tcW w:w="4503" w:type="dxa"/>
            <w:vMerge/>
          </w:tcPr>
          <w:p w:rsidR="00D82C37" w:rsidRPr="00262B01" w:rsidRDefault="00D82C37" w:rsidP="00552736">
            <w:pPr>
              <w:jc w:val="center"/>
              <w:rPr>
                <w:sz w:val="28"/>
                <w:szCs w:val="28"/>
              </w:rPr>
            </w:pPr>
          </w:p>
        </w:tc>
        <w:tc>
          <w:tcPr>
            <w:tcW w:w="1213" w:type="dxa"/>
          </w:tcPr>
          <w:p w:rsidR="00D82C37" w:rsidRPr="00262B01" w:rsidRDefault="00D82C37" w:rsidP="00552736">
            <w:pPr>
              <w:jc w:val="center"/>
              <w:rPr>
                <w:sz w:val="28"/>
                <w:szCs w:val="28"/>
              </w:rPr>
            </w:pPr>
            <w:r w:rsidRPr="00262B01">
              <w:rPr>
                <w:sz w:val="28"/>
                <w:szCs w:val="28"/>
              </w:rPr>
              <w:t>n</w:t>
            </w:r>
          </w:p>
        </w:tc>
        <w:tc>
          <w:tcPr>
            <w:tcW w:w="1260" w:type="dxa"/>
          </w:tcPr>
          <w:p w:rsidR="00D82C37" w:rsidRPr="00262B01" w:rsidRDefault="00D82C37" w:rsidP="00552736">
            <w:pPr>
              <w:jc w:val="center"/>
              <w:rPr>
                <w:sz w:val="28"/>
                <w:szCs w:val="28"/>
              </w:rPr>
            </w:pPr>
            <w:r w:rsidRPr="00262B01">
              <w:rPr>
                <w:sz w:val="28"/>
                <w:szCs w:val="28"/>
              </w:rPr>
              <w:t>%</w:t>
            </w:r>
          </w:p>
        </w:tc>
        <w:tc>
          <w:tcPr>
            <w:tcW w:w="1260" w:type="dxa"/>
          </w:tcPr>
          <w:p w:rsidR="00D82C37" w:rsidRPr="00262B01" w:rsidRDefault="00D82C37" w:rsidP="00552736">
            <w:pPr>
              <w:jc w:val="center"/>
              <w:rPr>
                <w:sz w:val="28"/>
                <w:szCs w:val="28"/>
              </w:rPr>
            </w:pPr>
            <w:r w:rsidRPr="00262B01">
              <w:rPr>
                <w:sz w:val="28"/>
                <w:szCs w:val="28"/>
              </w:rPr>
              <w:t>n</w:t>
            </w:r>
          </w:p>
        </w:tc>
        <w:tc>
          <w:tcPr>
            <w:tcW w:w="1260" w:type="dxa"/>
          </w:tcPr>
          <w:p w:rsidR="00D82C37" w:rsidRPr="00262B01" w:rsidRDefault="00D82C37" w:rsidP="00552736">
            <w:pPr>
              <w:jc w:val="center"/>
              <w:rPr>
                <w:sz w:val="28"/>
                <w:szCs w:val="28"/>
              </w:rPr>
            </w:pPr>
            <w:r w:rsidRPr="00262B01">
              <w:rPr>
                <w:sz w:val="28"/>
                <w:szCs w:val="28"/>
              </w:rPr>
              <w:t>%</w:t>
            </w:r>
          </w:p>
        </w:tc>
      </w:tr>
      <w:tr w:rsidR="00D82C37" w:rsidRPr="00262B01" w:rsidTr="00552736">
        <w:tc>
          <w:tcPr>
            <w:tcW w:w="4503" w:type="dxa"/>
          </w:tcPr>
          <w:p w:rsidR="00D82C37" w:rsidRPr="00262B01" w:rsidRDefault="00D82C37" w:rsidP="00552736">
            <w:pPr>
              <w:rPr>
                <w:sz w:val="28"/>
                <w:szCs w:val="28"/>
              </w:rPr>
            </w:pPr>
            <w:r w:rsidRPr="00262B01">
              <w:rPr>
                <w:sz w:val="28"/>
                <w:szCs w:val="28"/>
              </w:rPr>
              <w:t>Вік, років</w:t>
            </w:r>
          </w:p>
        </w:tc>
        <w:tc>
          <w:tcPr>
            <w:tcW w:w="1213" w:type="dxa"/>
          </w:tcPr>
          <w:p w:rsidR="00D82C37" w:rsidRPr="00262B01" w:rsidRDefault="00D82C37" w:rsidP="00552736">
            <w:pPr>
              <w:rPr>
                <w:sz w:val="28"/>
                <w:szCs w:val="28"/>
              </w:rPr>
            </w:pPr>
          </w:p>
        </w:tc>
        <w:tc>
          <w:tcPr>
            <w:tcW w:w="1260" w:type="dxa"/>
          </w:tcPr>
          <w:p w:rsidR="00D82C37" w:rsidRPr="00262B01" w:rsidRDefault="00D82C37" w:rsidP="00552736">
            <w:pPr>
              <w:rPr>
                <w:sz w:val="28"/>
                <w:szCs w:val="28"/>
              </w:rPr>
            </w:pPr>
          </w:p>
        </w:tc>
        <w:tc>
          <w:tcPr>
            <w:tcW w:w="1260" w:type="dxa"/>
          </w:tcPr>
          <w:p w:rsidR="00D82C37" w:rsidRPr="00262B01" w:rsidRDefault="00D82C37" w:rsidP="00552736">
            <w:pPr>
              <w:rPr>
                <w:sz w:val="28"/>
                <w:szCs w:val="28"/>
              </w:rPr>
            </w:pPr>
          </w:p>
        </w:tc>
        <w:tc>
          <w:tcPr>
            <w:tcW w:w="1260" w:type="dxa"/>
          </w:tcPr>
          <w:p w:rsidR="00D82C37" w:rsidRPr="00262B01" w:rsidRDefault="00D82C37" w:rsidP="00552736">
            <w:pPr>
              <w:rPr>
                <w:sz w:val="28"/>
                <w:szCs w:val="28"/>
              </w:rPr>
            </w:pPr>
          </w:p>
        </w:tc>
      </w:tr>
      <w:tr w:rsidR="00D82C37" w:rsidRPr="00262B01" w:rsidTr="00552736">
        <w:tc>
          <w:tcPr>
            <w:tcW w:w="4503" w:type="dxa"/>
          </w:tcPr>
          <w:p w:rsidR="00D82C37" w:rsidRPr="00262B01" w:rsidRDefault="00D82C37" w:rsidP="00552736">
            <w:pPr>
              <w:ind w:firstLine="900"/>
              <w:rPr>
                <w:sz w:val="28"/>
                <w:szCs w:val="28"/>
              </w:rPr>
            </w:pPr>
            <w:r w:rsidRPr="00262B01">
              <w:rPr>
                <w:sz w:val="28"/>
                <w:szCs w:val="28"/>
              </w:rPr>
              <w:t xml:space="preserve">0 – &lt; 5 </w:t>
            </w:r>
          </w:p>
        </w:tc>
        <w:tc>
          <w:tcPr>
            <w:tcW w:w="1213" w:type="dxa"/>
          </w:tcPr>
          <w:p w:rsidR="00D82C37" w:rsidRPr="00262B01" w:rsidRDefault="00D82C37" w:rsidP="00552736">
            <w:pPr>
              <w:jc w:val="center"/>
              <w:rPr>
                <w:sz w:val="28"/>
                <w:szCs w:val="28"/>
              </w:rPr>
            </w:pPr>
            <w:r w:rsidRPr="00262B01">
              <w:rPr>
                <w:sz w:val="28"/>
                <w:szCs w:val="28"/>
              </w:rPr>
              <w:t>2</w:t>
            </w:r>
          </w:p>
        </w:tc>
        <w:tc>
          <w:tcPr>
            <w:tcW w:w="1260" w:type="dxa"/>
          </w:tcPr>
          <w:p w:rsidR="00D82C37" w:rsidRPr="00262B01" w:rsidRDefault="00D82C37" w:rsidP="00552736">
            <w:pPr>
              <w:jc w:val="center"/>
              <w:rPr>
                <w:sz w:val="28"/>
                <w:szCs w:val="28"/>
              </w:rPr>
            </w:pPr>
            <w:r w:rsidRPr="00262B01">
              <w:rPr>
                <w:sz w:val="28"/>
                <w:szCs w:val="28"/>
              </w:rPr>
              <w:t>7,7</w:t>
            </w:r>
          </w:p>
        </w:tc>
        <w:tc>
          <w:tcPr>
            <w:tcW w:w="1260" w:type="dxa"/>
          </w:tcPr>
          <w:p w:rsidR="00D82C37" w:rsidRPr="00262B01" w:rsidRDefault="00D82C37" w:rsidP="00552736">
            <w:pPr>
              <w:jc w:val="center"/>
              <w:rPr>
                <w:sz w:val="28"/>
                <w:szCs w:val="28"/>
              </w:rPr>
            </w:pPr>
            <w:r w:rsidRPr="00262B01">
              <w:rPr>
                <w:sz w:val="28"/>
                <w:szCs w:val="28"/>
              </w:rPr>
              <w:t>16</w:t>
            </w:r>
          </w:p>
        </w:tc>
        <w:tc>
          <w:tcPr>
            <w:tcW w:w="1260" w:type="dxa"/>
          </w:tcPr>
          <w:p w:rsidR="00D82C37" w:rsidRPr="00262B01" w:rsidRDefault="00D82C37" w:rsidP="00552736">
            <w:pPr>
              <w:jc w:val="center"/>
              <w:rPr>
                <w:sz w:val="28"/>
                <w:szCs w:val="28"/>
              </w:rPr>
            </w:pPr>
            <w:r w:rsidRPr="00262B01">
              <w:rPr>
                <w:sz w:val="28"/>
                <w:szCs w:val="28"/>
              </w:rPr>
              <w:t>23,9</w:t>
            </w:r>
          </w:p>
        </w:tc>
      </w:tr>
      <w:tr w:rsidR="00D82C37" w:rsidRPr="00262B01" w:rsidTr="00552736">
        <w:tc>
          <w:tcPr>
            <w:tcW w:w="4503" w:type="dxa"/>
          </w:tcPr>
          <w:p w:rsidR="00D82C37" w:rsidRPr="00262B01" w:rsidRDefault="00D82C37" w:rsidP="00552736">
            <w:pPr>
              <w:ind w:firstLine="900"/>
              <w:rPr>
                <w:sz w:val="28"/>
                <w:szCs w:val="28"/>
              </w:rPr>
            </w:pPr>
            <w:r w:rsidRPr="00262B01">
              <w:rPr>
                <w:sz w:val="28"/>
                <w:szCs w:val="28"/>
              </w:rPr>
              <w:t xml:space="preserve">5 – &lt; 10 </w:t>
            </w:r>
          </w:p>
        </w:tc>
        <w:tc>
          <w:tcPr>
            <w:tcW w:w="1213" w:type="dxa"/>
          </w:tcPr>
          <w:p w:rsidR="00D82C37" w:rsidRPr="00262B01" w:rsidRDefault="00D82C37" w:rsidP="00552736">
            <w:pPr>
              <w:jc w:val="center"/>
              <w:rPr>
                <w:sz w:val="28"/>
                <w:szCs w:val="28"/>
              </w:rPr>
            </w:pPr>
            <w:r w:rsidRPr="00262B01">
              <w:rPr>
                <w:sz w:val="28"/>
                <w:szCs w:val="28"/>
              </w:rPr>
              <w:t>8</w:t>
            </w:r>
          </w:p>
        </w:tc>
        <w:tc>
          <w:tcPr>
            <w:tcW w:w="1260" w:type="dxa"/>
          </w:tcPr>
          <w:p w:rsidR="00D82C37" w:rsidRPr="00262B01" w:rsidRDefault="00D82C37" w:rsidP="00552736">
            <w:pPr>
              <w:jc w:val="center"/>
              <w:rPr>
                <w:sz w:val="28"/>
                <w:szCs w:val="28"/>
              </w:rPr>
            </w:pPr>
            <w:r w:rsidRPr="00262B01">
              <w:rPr>
                <w:sz w:val="28"/>
                <w:szCs w:val="28"/>
              </w:rPr>
              <w:t>30,8</w:t>
            </w:r>
          </w:p>
        </w:tc>
        <w:tc>
          <w:tcPr>
            <w:tcW w:w="1260" w:type="dxa"/>
          </w:tcPr>
          <w:p w:rsidR="00D82C37" w:rsidRPr="00262B01" w:rsidRDefault="00D82C37" w:rsidP="00552736">
            <w:pPr>
              <w:jc w:val="center"/>
              <w:rPr>
                <w:sz w:val="28"/>
                <w:szCs w:val="28"/>
              </w:rPr>
            </w:pPr>
            <w:r w:rsidRPr="00262B01">
              <w:rPr>
                <w:sz w:val="28"/>
                <w:szCs w:val="28"/>
              </w:rPr>
              <w:t>23</w:t>
            </w:r>
          </w:p>
        </w:tc>
        <w:tc>
          <w:tcPr>
            <w:tcW w:w="1260" w:type="dxa"/>
          </w:tcPr>
          <w:p w:rsidR="00D82C37" w:rsidRPr="00262B01" w:rsidRDefault="00D82C37" w:rsidP="00552736">
            <w:pPr>
              <w:jc w:val="center"/>
              <w:rPr>
                <w:sz w:val="28"/>
                <w:szCs w:val="28"/>
              </w:rPr>
            </w:pPr>
            <w:r w:rsidRPr="00262B01">
              <w:rPr>
                <w:sz w:val="28"/>
                <w:szCs w:val="28"/>
              </w:rPr>
              <w:t>34,3</w:t>
            </w:r>
          </w:p>
        </w:tc>
      </w:tr>
      <w:tr w:rsidR="00D82C37" w:rsidRPr="00262B01" w:rsidTr="00552736">
        <w:tc>
          <w:tcPr>
            <w:tcW w:w="4503" w:type="dxa"/>
          </w:tcPr>
          <w:p w:rsidR="00D82C37" w:rsidRPr="00262B01" w:rsidRDefault="00D82C37" w:rsidP="00552736">
            <w:pPr>
              <w:ind w:firstLine="900"/>
              <w:rPr>
                <w:sz w:val="28"/>
                <w:szCs w:val="28"/>
              </w:rPr>
            </w:pPr>
            <w:r w:rsidRPr="00262B01">
              <w:rPr>
                <w:sz w:val="28"/>
                <w:szCs w:val="28"/>
              </w:rPr>
              <w:t xml:space="preserve">≥ 10 </w:t>
            </w:r>
          </w:p>
        </w:tc>
        <w:tc>
          <w:tcPr>
            <w:tcW w:w="1213" w:type="dxa"/>
          </w:tcPr>
          <w:p w:rsidR="00D82C37" w:rsidRPr="00262B01" w:rsidRDefault="00D82C37" w:rsidP="00552736">
            <w:pPr>
              <w:jc w:val="center"/>
              <w:rPr>
                <w:sz w:val="28"/>
                <w:szCs w:val="28"/>
              </w:rPr>
            </w:pPr>
            <w:r w:rsidRPr="00262B01">
              <w:rPr>
                <w:sz w:val="28"/>
                <w:szCs w:val="28"/>
              </w:rPr>
              <w:t>16</w:t>
            </w:r>
          </w:p>
        </w:tc>
        <w:tc>
          <w:tcPr>
            <w:tcW w:w="1260" w:type="dxa"/>
          </w:tcPr>
          <w:p w:rsidR="00D82C37" w:rsidRPr="00262B01" w:rsidRDefault="00D82C37" w:rsidP="00552736">
            <w:pPr>
              <w:jc w:val="center"/>
              <w:rPr>
                <w:sz w:val="28"/>
                <w:szCs w:val="28"/>
              </w:rPr>
            </w:pPr>
            <w:r w:rsidRPr="00262B01">
              <w:rPr>
                <w:sz w:val="28"/>
                <w:szCs w:val="28"/>
              </w:rPr>
              <w:t>61,5</w:t>
            </w:r>
          </w:p>
        </w:tc>
        <w:tc>
          <w:tcPr>
            <w:tcW w:w="1260" w:type="dxa"/>
          </w:tcPr>
          <w:p w:rsidR="00D82C37" w:rsidRPr="00262B01" w:rsidRDefault="00D82C37" w:rsidP="00552736">
            <w:pPr>
              <w:jc w:val="center"/>
              <w:rPr>
                <w:sz w:val="28"/>
                <w:szCs w:val="28"/>
              </w:rPr>
            </w:pPr>
            <w:r w:rsidRPr="00262B01">
              <w:rPr>
                <w:sz w:val="28"/>
                <w:szCs w:val="28"/>
              </w:rPr>
              <w:t>28</w:t>
            </w:r>
          </w:p>
        </w:tc>
        <w:tc>
          <w:tcPr>
            <w:tcW w:w="1260" w:type="dxa"/>
          </w:tcPr>
          <w:p w:rsidR="00D82C37" w:rsidRPr="00262B01" w:rsidRDefault="00D82C37" w:rsidP="00552736">
            <w:pPr>
              <w:jc w:val="center"/>
              <w:rPr>
                <w:sz w:val="28"/>
                <w:szCs w:val="28"/>
              </w:rPr>
            </w:pPr>
            <w:r w:rsidRPr="00262B01">
              <w:rPr>
                <w:sz w:val="28"/>
                <w:szCs w:val="28"/>
              </w:rPr>
              <w:t>41,8</w:t>
            </w:r>
          </w:p>
        </w:tc>
      </w:tr>
      <w:tr w:rsidR="00D82C37" w:rsidRPr="00262B01" w:rsidTr="00552736">
        <w:tc>
          <w:tcPr>
            <w:tcW w:w="4503" w:type="dxa"/>
          </w:tcPr>
          <w:p w:rsidR="00D82C37" w:rsidRPr="00262B01" w:rsidRDefault="00D82C37" w:rsidP="00552736">
            <w:pPr>
              <w:rPr>
                <w:sz w:val="28"/>
                <w:szCs w:val="28"/>
              </w:rPr>
            </w:pPr>
            <w:r w:rsidRPr="00262B01">
              <w:rPr>
                <w:sz w:val="28"/>
                <w:szCs w:val="28"/>
              </w:rPr>
              <w:t>Стать</w:t>
            </w:r>
          </w:p>
        </w:tc>
        <w:tc>
          <w:tcPr>
            <w:tcW w:w="1213" w:type="dxa"/>
          </w:tcPr>
          <w:p w:rsidR="00D82C37" w:rsidRPr="00262B01" w:rsidRDefault="00D82C37" w:rsidP="00552736">
            <w:pPr>
              <w:jc w:val="center"/>
              <w:rPr>
                <w:sz w:val="28"/>
                <w:szCs w:val="28"/>
              </w:rPr>
            </w:pPr>
          </w:p>
        </w:tc>
        <w:tc>
          <w:tcPr>
            <w:tcW w:w="1260" w:type="dxa"/>
          </w:tcPr>
          <w:p w:rsidR="00D82C37" w:rsidRPr="00262B01" w:rsidRDefault="00D82C37" w:rsidP="00552736">
            <w:pPr>
              <w:jc w:val="center"/>
              <w:rPr>
                <w:sz w:val="28"/>
                <w:szCs w:val="28"/>
              </w:rPr>
            </w:pPr>
          </w:p>
        </w:tc>
        <w:tc>
          <w:tcPr>
            <w:tcW w:w="1260" w:type="dxa"/>
          </w:tcPr>
          <w:p w:rsidR="00D82C37" w:rsidRPr="00262B01" w:rsidRDefault="00D82C37" w:rsidP="00552736">
            <w:pPr>
              <w:jc w:val="center"/>
              <w:rPr>
                <w:sz w:val="28"/>
                <w:szCs w:val="28"/>
              </w:rPr>
            </w:pPr>
          </w:p>
        </w:tc>
        <w:tc>
          <w:tcPr>
            <w:tcW w:w="1260" w:type="dxa"/>
          </w:tcPr>
          <w:p w:rsidR="00D82C37" w:rsidRPr="00262B01" w:rsidRDefault="00D82C37" w:rsidP="00552736">
            <w:pPr>
              <w:jc w:val="center"/>
              <w:rPr>
                <w:sz w:val="28"/>
                <w:szCs w:val="28"/>
              </w:rPr>
            </w:pPr>
          </w:p>
        </w:tc>
      </w:tr>
      <w:tr w:rsidR="00D82C37" w:rsidRPr="00262B01" w:rsidTr="00552736">
        <w:tc>
          <w:tcPr>
            <w:tcW w:w="4503" w:type="dxa"/>
          </w:tcPr>
          <w:p w:rsidR="00D82C37" w:rsidRPr="00262B01" w:rsidRDefault="00D82C37" w:rsidP="00552736">
            <w:pPr>
              <w:ind w:firstLine="900"/>
              <w:rPr>
                <w:sz w:val="28"/>
                <w:szCs w:val="28"/>
              </w:rPr>
            </w:pPr>
            <w:r w:rsidRPr="00262B01">
              <w:rPr>
                <w:sz w:val="28"/>
                <w:szCs w:val="28"/>
              </w:rPr>
              <w:lastRenderedPageBreak/>
              <w:t>Хлопці</w:t>
            </w:r>
          </w:p>
        </w:tc>
        <w:tc>
          <w:tcPr>
            <w:tcW w:w="1213" w:type="dxa"/>
          </w:tcPr>
          <w:p w:rsidR="00D82C37" w:rsidRPr="00262B01" w:rsidRDefault="00D82C37" w:rsidP="00552736">
            <w:pPr>
              <w:jc w:val="center"/>
              <w:rPr>
                <w:sz w:val="28"/>
                <w:szCs w:val="28"/>
              </w:rPr>
            </w:pPr>
            <w:r w:rsidRPr="00262B01">
              <w:rPr>
                <w:sz w:val="28"/>
                <w:szCs w:val="28"/>
              </w:rPr>
              <w:t>15</w:t>
            </w:r>
          </w:p>
        </w:tc>
        <w:tc>
          <w:tcPr>
            <w:tcW w:w="1260" w:type="dxa"/>
          </w:tcPr>
          <w:p w:rsidR="00D82C37" w:rsidRPr="00262B01" w:rsidRDefault="00D82C37" w:rsidP="00552736">
            <w:pPr>
              <w:jc w:val="center"/>
              <w:rPr>
                <w:sz w:val="28"/>
                <w:szCs w:val="28"/>
              </w:rPr>
            </w:pPr>
            <w:r w:rsidRPr="00262B01">
              <w:rPr>
                <w:sz w:val="28"/>
                <w:szCs w:val="28"/>
              </w:rPr>
              <w:t>57,7</w:t>
            </w:r>
          </w:p>
        </w:tc>
        <w:tc>
          <w:tcPr>
            <w:tcW w:w="1260" w:type="dxa"/>
          </w:tcPr>
          <w:p w:rsidR="00D82C37" w:rsidRPr="00262B01" w:rsidRDefault="00D82C37" w:rsidP="00552736">
            <w:pPr>
              <w:jc w:val="center"/>
              <w:rPr>
                <w:sz w:val="28"/>
                <w:szCs w:val="28"/>
              </w:rPr>
            </w:pPr>
            <w:r w:rsidRPr="00262B01">
              <w:rPr>
                <w:sz w:val="28"/>
                <w:szCs w:val="28"/>
              </w:rPr>
              <w:t>29</w:t>
            </w:r>
          </w:p>
        </w:tc>
        <w:tc>
          <w:tcPr>
            <w:tcW w:w="1260" w:type="dxa"/>
          </w:tcPr>
          <w:p w:rsidR="00D82C37" w:rsidRPr="00262B01" w:rsidRDefault="00D82C37" w:rsidP="00552736">
            <w:pPr>
              <w:jc w:val="center"/>
              <w:rPr>
                <w:sz w:val="28"/>
                <w:szCs w:val="28"/>
              </w:rPr>
            </w:pPr>
            <w:r w:rsidRPr="00262B01">
              <w:rPr>
                <w:sz w:val="28"/>
                <w:szCs w:val="28"/>
              </w:rPr>
              <w:t>43,3</w:t>
            </w:r>
          </w:p>
        </w:tc>
      </w:tr>
      <w:tr w:rsidR="00D82C37" w:rsidRPr="00262B01" w:rsidTr="00552736">
        <w:tc>
          <w:tcPr>
            <w:tcW w:w="4503" w:type="dxa"/>
          </w:tcPr>
          <w:p w:rsidR="00D82C37" w:rsidRPr="00262B01" w:rsidRDefault="00D82C37" w:rsidP="00552736">
            <w:pPr>
              <w:ind w:firstLine="900"/>
              <w:rPr>
                <w:sz w:val="28"/>
                <w:szCs w:val="28"/>
              </w:rPr>
            </w:pPr>
            <w:r w:rsidRPr="00262B01">
              <w:rPr>
                <w:sz w:val="28"/>
                <w:szCs w:val="28"/>
              </w:rPr>
              <w:t>Дівчата</w:t>
            </w:r>
          </w:p>
        </w:tc>
        <w:tc>
          <w:tcPr>
            <w:tcW w:w="1213" w:type="dxa"/>
          </w:tcPr>
          <w:p w:rsidR="00D82C37" w:rsidRPr="00262B01" w:rsidRDefault="00D82C37" w:rsidP="00552736">
            <w:pPr>
              <w:jc w:val="center"/>
              <w:rPr>
                <w:sz w:val="28"/>
                <w:szCs w:val="28"/>
              </w:rPr>
            </w:pPr>
            <w:r w:rsidRPr="00262B01">
              <w:rPr>
                <w:sz w:val="28"/>
                <w:szCs w:val="28"/>
              </w:rPr>
              <w:t>11</w:t>
            </w:r>
          </w:p>
        </w:tc>
        <w:tc>
          <w:tcPr>
            <w:tcW w:w="1260" w:type="dxa"/>
          </w:tcPr>
          <w:p w:rsidR="00D82C37" w:rsidRPr="00262B01" w:rsidRDefault="00D82C37" w:rsidP="00552736">
            <w:pPr>
              <w:jc w:val="center"/>
              <w:rPr>
                <w:sz w:val="28"/>
                <w:szCs w:val="28"/>
              </w:rPr>
            </w:pPr>
            <w:r w:rsidRPr="00262B01">
              <w:rPr>
                <w:sz w:val="28"/>
                <w:szCs w:val="28"/>
              </w:rPr>
              <w:t>42,3</w:t>
            </w:r>
          </w:p>
        </w:tc>
        <w:tc>
          <w:tcPr>
            <w:tcW w:w="1260" w:type="dxa"/>
          </w:tcPr>
          <w:p w:rsidR="00D82C37" w:rsidRPr="00262B01" w:rsidRDefault="00D82C37" w:rsidP="00552736">
            <w:pPr>
              <w:jc w:val="center"/>
              <w:rPr>
                <w:sz w:val="28"/>
                <w:szCs w:val="28"/>
              </w:rPr>
            </w:pPr>
            <w:r w:rsidRPr="00262B01">
              <w:rPr>
                <w:sz w:val="28"/>
                <w:szCs w:val="28"/>
              </w:rPr>
              <w:t>38</w:t>
            </w:r>
          </w:p>
        </w:tc>
        <w:tc>
          <w:tcPr>
            <w:tcW w:w="1260" w:type="dxa"/>
          </w:tcPr>
          <w:p w:rsidR="00D82C37" w:rsidRPr="00262B01" w:rsidRDefault="00D82C37" w:rsidP="00552736">
            <w:pPr>
              <w:jc w:val="center"/>
              <w:rPr>
                <w:sz w:val="28"/>
                <w:szCs w:val="28"/>
              </w:rPr>
            </w:pPr>
            <w:r w:rsidRPr="00262B01">
              <w:rPr>
                <w:sz w:val="28"/>
                <w:szCs w:val="28"/>
              </w:rPr>
              <w:t>56,7</w:t>
            </w:r>
          </w:p>
        </w:tc>
      </w:tr>
      <w:tr w:rsidR="00D82C37" w:rsidRPr="00262B01" w:rsidTr="00552736">
        <w:tc>
          <w:tcPr>
            <w:tcW w:w="4503" w:type="dxa"/>
          </w:tcPr>
          <w:p w:rsidR="00D82C37" w:rsidRPr="00262B01" w:rsidRDefault="00D82C37" w:rsidP="00552736">
            <w:pPr>
              <w:rPr>
                <w:sz w:val="28"/>
                <w:szCs w:val="28"/>
              </w:rPr>
            </w:pPr>
            <w:r w:rsidRPr="00262B01">
              <w:rPr>
                <w:sz w:val="28"/>
                <w:szCs w:val="28"/>
              </w:rPr>
              <w:t>Діагноз</w:t>
            </w:r>
          </w:p>
        </w:tc>
        <w:tc>
          <w:tcPr>
            <w:tcW w:w="1213" w:type="dxa"/>
          </w:tcPr>
          <w:p w:rsidR="00D82C37" w:rsidRPr="00262B01" w:rsidRDefault="00D82C37" w:rsidP="00552736">
            <w:pPr>
              <w:jc w:val="center"/>
              <w:rPr>
                <w:sz w:val="28"/>
                <w:szCs w:val="28"/>
              </w:rPr>
            </w:pPr>
          </w:p>
        </w:tc>
        <w:tc>
          <w:tcPr>
            <w:tcW w:w="1260" w:type="dxa"/>
          </w:tcPr>
          <w:p w:rsidR="00D82C37" w:rsidRPr="00262B01" w:rsidRDefault="00D82C37" w:rsidP="00552736">
            <w:pPr>
              <w:jc w:val="center"/>
              <w:rPr>
                <w:sz w:val="28"/>
                <w:szCs w:val="28"/>
              </w:rPr>
            </w:pPr>
          </w:p>
        </w:tc>
        <w:tc>
          <w:tcPr>
            <w:tcW w:w="1260" w:type="dxa"/>
          </w:tcPr>
          <w:p w:rsidR="00D82C37" w:rsidRPr="00262B01" w:rsidRDefault="00D82C37" w:rsidP="00552736">
            <w:pPr>
              <w:jc w:val="center"/>
              <w:rPr>
                <w:sz w:val="28"/>
                <w:szCs w:val="28"/>
              </w:rPr>
            </w:pPr>
          </w:p>
        </w:tc>
        <w:tc>
          <w:tcPr>
            <w:tcW w:w="1260" w:type="dxa"/>
          </w:tcPr>
          <w:p w:rsidR="00D82C37" w:rsidRPr="00262B01" w:rsidRDefault="00D82C37" w:rsidP="00552736">
            <w:pPr>
              <w:jc w:val="center"/>
              <w:rPr>
                <w:sz w:val="28"/>
                <w:szCs w:val="28"/>
              </w:rPr>
            </w:pPr>
          </w:p>
        </w:tc>
      </w:tr>
      <w:tr w:rsidR="00D82C37" w:rsidRPr="00262B01" w:rsidTr="00552736">
        <w:tc>
          <w:tcPr>
            <w:tcW w:w="4503" w:type="dxa"/>
          </w:tcPr>
          <w:p w:rsidR="00D82C37" w:rsidRPr="00262B01" w:rsidRDefault="00D82C37" w:rsidP="00552736">
            <w:pPr>
              <w:ind w:firstLine="900"/>
              <w:rPr>
                <w:sz w:val="28"/>
                <w:szCs w:val="28"/>
              </w:rPr>
            </w:pPr>
            <w:r w:rsidRPr="00262B01">
              <w:rPr>
                <w:sz w:val="28"/>
                <w:szCs w:val="28"/>
              </w:rPr>
              <w:t>Нейробластома</w:t>
            </w:r>
          </w:p>
        </w:tc>
        <w:tc>
          <w:tcPr>
            <w:tcW w:w="1213" w:type="dxa"/>
          </w:tcPr>
          <w:p w:rsidR="00D82C37" w:rsidRPr="00262B01" w:rsidRDefault="00D82C37" w:rsidP="00552736">
            <w:pPr>
              <w:jc w:val="center"/>
              <w:rPr>
                <w:sz w:val="28"/>
                <w:szCs w:val="28"/>
              </w:rPr>
            </w:pPr>
            <w:r w:rsidRPr="00262B01">
              <w:rPr>
                <w:sz w:val="28"/>
                <w:szCs w:val="28"/>
              </w:rPr>
              <w:t>3</w:t>
            </w:r>
          </w:p>
        </w:tc>
        <w:tc>
          <w:tcPr>
            <w:tcW w:w="1260" w:type="dxa"/>
          </w:tcPr>
          <w:p w:rsidR="00D82C37" w:rsidRPr="00262B01" w:rsidRDefault="00D82C37" w:rsidP="00552736">
            <w:pPr>
              <w:jc w:val="center"/>
              <w:rPr>
                <w:sz w:val="28"/>
                <w:szCs w:val="28"/>
              </w:rPr>
            </w:pPr>
            <w:r w:rsidRPr="00262B01">
              <w:rPr>
                <w:sz w:val="28"/>
                <w:szCs w:val="28"/>
              </w:rPr>
              <w:t>11,5</w:t>
            </w:r>
          </w:p>
        </w:tc>
        <w:tc>
          <w:tcPr>
            <w:tcW w:w="1260" w:type="dxa"/>
          </w:tcPr>
          <w:p w:rsidR="00D82C37" w:rsidRPr="00262B01" w:rsidRDefault="00D82C37" w:rsidP="00552736">
            <w:pPr>
              <w:jc w:val="center"/>
              <w:rPr>
                <w:sz w:val="28"/>
                <w:szCs w:val="28"/>
              </w:rPr>
            </w:pPr>
            <w:r w:rsidRPr="00262B01">
              <w:rPr>
                <w:sz w:val="28"/>
                <w:szCs w:val="28"/>
              </w:rPr>
              <w:t>17</w:t>
            </w:r>
          </w:p>
        </w:tc>
        <w:tc>
          <w:tcPr>
            <w:tcW w:w="1260" w:type="dxa"/>
          </w:tcPr>
          <w:p w:rsidR="00D82C37" w:rsidRPr="00262B01" w:rsidRDefault="00D82C37" w:rsidP="00552736">
            <w:pPr>
              <w:jc w:val="center"/>
              <w:rPr>
                <w:sz w:val="28"/>
                <w:szCs w:val="28"/>
              </w:rPr>
            </w:pPr>
            <w:r w:rsidRPr="00262B01">
              <w:rPr>
                <w:sz w:val="28"/>
                <w:szCs w:val="28"/>
              </w:rPr>
              <w:t>25,4</w:t>
            </w:r>
          </w:p>
        </w:tc>
      </w:tr>
      <w:tr w:rsidR="00D82C37" w:rsidRPr="00262B01" w:rsidTr="00552736">
        <w:tc>
          <w:tcPr>
            <w:tcW w:w="4503" w:type="dxa"/>
          </w:tcPr>
          <w:p w:rsidR="00D82C37" w:rsidRPr="00262B01" w:rsidRDefault="00D82C37" w:rsidP="00552736">
            <w:pPr>
              <w:ind w:firstLine="900"/>
              <w:rPr>
                <w:sz w:val="28"/>
                <w:szCs w:val="28"/>
              </w:rPr>
            </w:pPr>
            <w:r w:rsidRPr="00262B01">
              <w:rPr>
                <w:sz w:val="28"/>
                <w:szCs w:val="28"/>
              </w:rPr>
              <w:t>Саркома Юїнга, ПНЕТ</w:t>
            </w:r>
          </w:p>
        </w:tc>
        <w:tc>
          <w:tcPr>
            <w:tcW w:w="1213" w:type="dxa"/>
          </w:tcPr>
          <w:p w:rsidR="00D82C37" w:rsidRPr="00262B01" w:rsidRDefault="00D82C37" w:rsidP="00552736">
            <w:pPr>
              <w:jc w:val="center"/>
              <w:rPr>
                <w:sz w:val="28"/>
                <w:szCs w:val="28"/>
              </w:rPr>
            </w:pPr>
            <w:r w:rsidRPr="00262B01">
              <w:rPr>
                <w:sz w:val="28"/>
                <w:szCs w:val="28"/>
              </w:rPr>
              <w:t>9</w:t>
            </w:r>
          </w:p>
        </w:tc>
        <w:tc>
          <w:tcPr>
            <w:tcW w:w="1260" w:type="dxa"/>
          </w:tcPr>
          <w:p w:rsidR="00D82C37" w:rsidRPr="00262B01" w:rsidRDefault="00D82C37" w:rsidP="00552736">
            <w:pPr>
              <w:jc w:val="center"/>
              <w:rPr>
                <w:sz w:val="28"/>
                <w:szCs w:val="28"/>
              </w:rPr>
            </w:pPr>
            <w:r w:rsidRPr="00262B01">
              <w:rPr>
                <w:sz w:val="28"/>
                <w:szCs w:val="28"/>
              </w:rPr>
              <w:t>34,6</w:t>
            </w:r>
          </w:p>
        </w:tc>
        <w:tc>
          <w:tcPr>
            <w:tcW w:w="1260" w:type="dxa"/>
          </w:tcPr>
          <w:p w:rsidR="00D82C37" w:rsidRPr="00262B01" w:rsidRDefault="00D82C37" w:rsidP="00552736">
            <w:pPr>
              <w:jc w:val="center"/>
              <w:rPr>
                <w:sz w:val="28"/>
                <w:szCs w:val="28"/>
              </w:rPr>
            </w:pPr>
            <w:r w:rsidRPr="00262B01">
              <w:rPr>
                <w:sz w:val="28"/>
                <w:szCs w:val="28"/>
              </w:rPr>
              <w:t>33</w:t>
            </w:r>
          </w:p>
        </w:tc>
        <w:tc>
          <w:tcPr>
            <w:tcW w:w="1260" w:type="dxa"/>
          </w:tcPr>
          <w:p w:rsidR="00D82C37" w:rsidRPr="00262B01" w:rsidRDefault="00D82C37" w:rsidP="00552736">
            <w:pPr>
              <w:jc w:val="center"/>
              <w:rPr>
                <w:sz w:val="28"/>
                <w:szCs w:val="28"/>
              </w:rPr>
            </w:pPr>
            <w:r w:rsidRPr="00262B01">
              <w:rPr>
                <w:sz w:val="28"/>
                <w:szCs w:val="28"/>
              </w:rPr>
              <w:t>49,3</w:t>
            </w:r>
          </w:p>
        </w:tc>
      </w:tr>
      <w:tr w:rsidR="00D82C37" w:rsidRPr="00262B01" w:rsidTr="00552736">
        <w:tc>
          <w:tcPr>
            <w:tcW w:w="4503" w:type="dxa"/>
          </w:tcPr>
          <w:p w:rsidR="00D82C37" w:rsidRPr="00262B01" w:rsidRDefault="00D82C37" w:rsidP="00552736">
            <w:pPr>
              <w:ind w:firstLine="900"/>
              <w:rPr>
                <w:sz w:val="28"/>
                <w:szCs w:val="28"/>
              </w:rPr>
            </w:pPr>
            <w:r w:rsidRPr="00262B01">
              <w:rPr>
                <w:sz w:val="28"/>
                <w:szCs w:val="28"/>
              </w:rPr>
              <w:t>Саркома м’яких тканин</w:t>
            </w:r>
          </w:p>
        </w:tc>
        <w:tc>
          <w:tcPr>
            <w:tcW w:w="1213" w:type="dxa"/>
          </w:tcPr>
          <w:p w:rsidR="00D82C37" w:rsidRPr="00262B01" w:rsidRDefault="00D82C37" w:rsidP="00552736">
            <w:pPr>
              <w:jc w:val="center"/>
              <w:rPr>
                <w:sz w:val="28"/>
                <w:szCs w:val="28"/>
              </w:rPr>
            </w:pPr>
            <w:r w:rsidRPr="00262B01">
              <w:rPr>
                <w:sz w:val="28"/>
                <w:szCs w:val="28"/>
              </w:rPr>
              <w:t>6</w:t>
            </w:r>
          </w:p>
        </w:tc>
        <w:tc>
          <w:tcPr>
            <w:tcW w:w="1260" w:type="dxa"/>
          </w:tcPr>
          <w:p w:rsidR="00D82C37" w:rsidRPr="00262B01" w:rsidRDefault="00D82C37" w:rsidP="00552736">
            <w:pPr>
              <w:jc w:val="center"/>
              <w:rPr>
                <w:sz w:val="28"/>
                <w:szCs w:val="28"/>
              </w:rPr>
            </w:pPr>
            <w:r w:rsidRPr="00262B01">
              <w:rPr>
                <w:sz w:val="28"/>
                <w:szCs w:val="28"/>
              </w:rPr>
              <w:t>23,2</w:t>
            </w:r>
          </w:p>
        </w:tc>
        <w:tc>
          <w:tcPr>
            <w:tcW w:w="1260" w:type="dxa"/>
          </w:tcPr>
          <w:p w:rsidR="00D82C37" w:rsidRPr="00262B01" w:rsidRDefault="00D82C37" w:rsidP="00552736">
            <w:pPr>
              <w:jc w:val="center"/>
              <w:rPr>
                <w:sz w:val="28"/>
                <w:szCs w:val="28"/>
              </w:rPr>
            </w:pPr>
          </w:p>
        </w:tc>
        <w:tc>
          <w:tcPr>
            <w:tcW w:w="1260" w:type="dxa"/>
          </w:tcPr>
          <w:p w:rsidR="00D82C37" w:rsidRPr="00262B01" w:rsidRDefault="00D82C37" w:rsidP="00552736">
            <w:pPr>
              <w:jc w:val="center"/>
              <w:rPr>
                <w:sz w:val="28"/>
                <w:szCs w:val="28"/>
              </w:rPr>
            </w:pPr>
            <w:r w:rsidRPr="00262B01">
              <w:rPr>
                <w:sz w:val="28"/>
                <w:szCs w:val="28"/>
              </w:rPr>
              <w:t>0,0</w:t>
            </w:r>
          </w:p>
        </w:tc>
      </w:tr>
      <w:tr w:rsidR="00D82C37" w:rsidRPr="00262B01" w:rsidTr="00552736">
        <w:tc>
          <w:tcPr>
            <w:tcW w:w="4503" w:type="dxa"/>
          </w:tcPr>
          <w:p w:rsidR="00D82C37" w:rsidRPr="00262B01" w:rsidRDefault="00D82C37" w:rsidP="00552736">
            <w:pPr>
              <w:ind w:firstLine="900"/>
              <w:rPr>
                <w:sz w:val="28"/>
                <w:szCs w:val="28"/>
              </w:rPr>
            </w:pPr>
            <w:r w:rsidRPr="00262B01">
              <w:rPr>
                <w:sz w:val="28"/>
                <w:szCs w:val="28"/>
              </w:rPr>
              <w:t>Ретинобластома</w:t>
            </w:r>
          </w:p>
        </w:tc>
        <w:tc>
          <w:tcPr>
            <w:tcW w:w="1213" w:type="dxa"/>
          </w:tcPr>
          <w:p w:rsidR="00D82C37" w:rsidRPr="00262B01" w:rsidRDefault="00D82C37" w:rsidP="00552736">
            <w:pPr>
              <w:jc w:val="center"/>
              <w:rPr>
                <w:sz w:val="28"/>
                <w:szCs w:val="28"/>
              </w:rPr>
            </w:pPr>
          </w:p>
        </w:tc>
        <w:tc>
          <w:tcPr>
            <w:tcW w:w="1260" w:type="dxa"/>
          </w:tcPr>
          <w:p w:rsidR="00D82C37" w:rsidRPr="00262B01" w:rsidRDefault="00D82C37" w:rsidP="00552736">
            <w:pPr>
              <w:jc w:val="center"/>
              <w:rPr>
                <w:sz w:val="28"/>
                <w:szCs w:val="28"/>
              </w:rPr>
            </w:pPr>
            <w:r w:rsidRPr="00262B01">
              <w:rPr>
                <w:sz w:val="28"/>
                <w:szCs w:val="28"/>
              </w:rPr>
              <w:t>0,0</w:t>
            </w:r>
          </w:p>
        </w:tc>
        <w:tc>
          <w:tcPr>
            <w:tcW w:w="1260" w:type="dxa"/>
          </w:tcPr>
          <w:p w:rsidR="00D82C37" w:rsidRPr="00262B01" w:rsidRDefault="00D82C37" w:rsidP="00552736">
            <w:pPr>
              <w:jc w:val="center"/>
              <w:rPr>
                <w:sz w:val="28"/>
                <w:szCs w:val="28"/>
              </w:rPr>
            </w:pPr>
            <w:r w:rsidRPr="00262B01">
              <w:rPr>
                <w:sz w:val="28"/>
                <w:szCs w:val="28"/>
              </w:rPr>
              <w:t>5</w:t>
            </w:r>
          </w:p>
        </w:tc>
        <w:tc>
          <w:tcPr>
            <w:tcW w:w="1260" w:type="dxa"/>
          </w:tcPr>
          <w:p w:rsidR="00D82C37" w:rsidRPr="00262B01" w:rsidRDefault="00D82C37" w:rsidP="00552736">
            <w:pPr>
              <w:jc w:val="center"/>
              <w:rPr>
                <w:sz w:val="28"/>
                <w:szCs w:val="28"/>
              </w:rPr>
            </w:pPr>
            <w:r w:rsidRPr="00262B01">
              <w:rPr>
                <w:sz w:val="28"/>
                <w:szCs w:val="28"/>
              </w:rPr>
              <w:t>7,5</w:t>
            </w:r>
          </w:p>
        </w:tc>
      </w:tr>
      <w:tr w:rsidR="00D82C37" w:rsidRPr="00262B01" w:rsidTr="00552736">
        <w:tc>
          <w:tcPr>
            <w:tcW w:w="4503" w:type="dxa"/>
          </w:tcPr>
          <w:p w:rsidR="00D82C37" w:rsidRPr="00262B01" w:rsidRDefault="00D82C37" w:rsidP="00552736">
            <w:pPr>
              <w:ind w:firstLine="900"/>
              <w:rPr>
                <w:sz w:val="28"/>
                <w:szCs w:val="28"/>
              </w:rPr>
            </w:pPr>
            <w:r w:rsidRPr="00262B01">
              <w:rPr>
                <w:sz w:val="28"/>
                <w:szCs w:val="28"/>
              </w:rPr>
              <w:t>Нефробластома</w:t>
            </w:r>
          </w:p>
        </w:tc>
        <w:tc>
          <w:tcPr>
            <w:tcW w:w="1213" w:type="dxa"/>
          </w:tcPr>
          <w:p w:rsidR="00D82C37" w:rsidRPr="00262B01" w:rsidRDefault="00D82C37" w:rsidP="00552736">
            <w:pPr>
              <w:jc w:val="center"/>
              <w:rPr>
                <w:sz w:val="28"/>
                <w:szCs w:val="28"/>
              </w:rPr>
            </w:pPr>
            <w:r w:rsidRPr="00262B01">
              <w:rPr>
                <w:sz w:val="28"/>
                <w:szCs w:val="28"/>
              </w:rPr>
              <w:t>5</w:t>
            </w:r>
          </w:p>
        </w:tc>
        <w:tc>
          <w:tcPr>
            <w:tcW w:w="1260" w:type="dxa"/>
          </w:tcPr>
          <w:p w:rsidR="00D82C37" w:rsidRPr="00262B01" w:rsidRDefault="00D82C37" w:rsidP="00552736">
            <w:pPr>
              <w:jc w:val="center"/>
              <w:rPr>
                <w:sz w:val="28"/>
                <w:szCs w:val="28"/>
              </w:rPr>
            </w:pPr>
            <w:r w:rsidRPr="00262B01">
              <w:rPr>
                <w:sz w:val="28"/>
                <w:szCs w:val="28"/>
              </w:rPr>
              <w:t>19,2</w:t>
            </w:r>
          </w:p>
        </w:tc>
        <w:tc>
          <w:tcPr>
            <w:tcW w:w="1260" w:type="dxa"/>
          </w:tcPr>
          <w:p w:rsidR="00D82C37" w:rsidRPr="00262B01" w:rsidRDefault="00D82C37" w:rsidP="00552736">
            <w:pPr>
              <w:jc w:val="center"/>
              <w:rPr>
                <w:sz w:val="28"/>
                <w:szCs w:val="28"/>
              </w:rPr>
            </w:pPr>
            <w:r w:rsidRPr="00262B01">
              <w:rPr>
                <w:sz w:val="28"/>
                <w:szCs w:val="28"/>
              </w:rPr>
              <w:t>12</w:t>
            </w:r>
          </w:p>
        </w:tc>
        <w:tc>
          <w:tcPr>
            <w:tcW w:w="1260" w:type="dxa"/>
          </w:tcPr>
          <w:p w:rsidR="00D82C37" w:rsidRPr="00262B01" w:rsidRDefault="00D82C37" w:rsidP="00552736">
            <w:pPr>
              <w:jc w:val="center"/>
              <w:rPr>
                <w:sz w:val="28"/>
                <w:szCs w:val="28"/>
              </w:rPr>
            </w:pPr>
            <w:r w:rsidRPr="00262B01">
              <w:rPr>
                <w:sz w:val="28"/>
                <w:szCs w:val="28"/>
              </w:rPr>
              <w:t>17,8</w:t>
            </w:r>
          </w:p>
        </w:tc>
      </w:tr>
      <w:tr w:rsidR="00D82C37" w:rsidRPr="00262B01" w:rsidTr="00552736">
        <w:tc>
          <w:tcPr>
            <w:tcW w:w="4503" w:type="dxa"/>
          </w:tcPr>
          <w:p w:rsidR="00D82C37" w:rsidRPr="00262B01" w:rsidRDefault="00D82C37" w:rsidP="00552736">
            <w:pPr>
              <w:jc w:val="right"/>
              <w:rPr>
                <w:sz w:val="28"/>
                <w:szCs w:val="28"/>
              </w:rPr>
            </w:pPr>
            <w:r w:rsidRPr="00262B01">
              <w:rPr>
                <w:sz w:val="28"/>
                <w:szCs w:val="28"/>
              </w:rPr>
              <w:t>Інші</w:t>
            </w:r>
          </w:p>
        </w:tc>
        <w:tc>
          <w:tcPr>
            <w:tcW w:w="1213" w:type="dxa"/>
          </w:tcPr>
          <w:p w:rsidR="00D82C37" w:rsidRPr="00262B01" w:rsidRDefault="00D82C37" w:rsidP="00552736">
            <w:pPr>
              <w:jc w:val="center"/>
              <w:rPr>
                <w:sz w:val="28"/>
                <w:szCs w:val="28"/>
              </w:rPr>
            </w:pPr>
            <w:r w:rsidRPr="00262B01">
              <w:rPr>
                <w:sz w:val="28"/>
                <w:szCs w:val="28"/>
              </w:rPr>
              <w:t>3</w:t>
            </w:r>
          </w:p>
        </w:tc>
        <w:tc>
          <w:tcPr>
            <w:tcW w:w="1260" w:type="dxa"/>
          </w:tcPr>
          <w:p w:rsidR="00D82C37" w:rsidRPr="00262B01" w:rsidRDefault="00D82C37" w:rsidP="00552736">
            <w:pPr>
              <w:jc w:val="center"/>
              <w:rPr>
                <w:sz w:val="28"/>
                <w:szCs w:val="28"/>
              </w:rPr>
            </w:pPr>
            <w:r w:rsidRPr="00262B01">
              <w:rPr>
                <w:sz w:val="28"/>
                <w:szCs w:val="28"/>
              </w:rPr>
              <w:t>11,5</w:t>
            </w:r>
          </w:p>
        </w:tc>
        <w:tc>
          <w:tcPr>
            <w:tcW w:w="1260" w:type="dxa"/>
          </w:tcPr>
          <w:p w:rsidR="00D82C37" w:rsidRPr="00262B01" w:rsidRDefault="00D82C37" w:rsidP="00552736">
            <w:pPr>
              <w:jc w:val="center"/>
              <w:rPr>
                <w:sz w:val="28"/>
                <w:szCs w:val="28"/>
              </w:rPr>
            </w:pPr>
          </w:p>
        </w:tc>
        <w:tc>
          <w:tcPr>
            <w:tcW w:w="1260" w:type="dxa"/>
          </w:tcPr>
          <w:p w:rsidR="00D82C37" w:rsidRPr="00262B01" w:rsidRDefault="00D82C37" w:rsidP="00552736">
            <w:pPr>
              <w:jc w:val="center"/>
              <w:rPr>
                <w:sz w:val="28"/>
                <w:szCs w:val="28"/>
              </w:rPr>
            </w:pPr>
            <w:r w:rsidRPr="00262B01">
              <w:rPr>
                <w:sz w:val="28"/>
                <w:szCs w:val="28"/>
              </w:rPr>
              <w:t>0,0</w:t>
            </w:r>
          </w:p>
        </w:tc>
      </w:tr>
    </w:tbl>
    <w:p w:rsidR="00D82C37" w:rsidRPr="00262B01" w:rsidRDefault="00D82C37" w:rsidP="00D82C37">
      <w:pPr>
        <w:ind w:firstLine="708"/>
        <w:jc w:val="both"/>
        <w:rPr>
          <w:sz w:val="28"/>
          <w:szCs w:val="28"/>
        </w:rPr>
      </w:pPr>
      <w:r w:rsidRPr="00262B01">
        <w:rPr>
          <w:sz w:val="28"/>
          <w:szCs w:val="28"/>
        </w:rPr>
        <w:t>У групу «інші» увійшли по одному пацієнту з остеогенною саркомою, хондросаркомою та тератобластомою.</w:t>
      </w:r>
    </w:p>
    <w:p w:rsidR="00D82C37" w:rsidRPr="00262B01" w:rsidRDefault="00D82C37" w:rsidP="00D82C37">
      <w:pPr>
        <w:jc w:val="both"/>
        <w:rPr>
          <w:sz w:val="28"/>
          <w:szCs w:val="28"/>
        </w:rPr>
      </w:pPr>
      <w:r w:rsidRPr="00262B01">
        <w:rPr>
          <w:sz w:val="28"/>
          <w:szCs w:val="28"/>
        </w:rPr>
        <w:tab/>
        <w:t>Для коректного порівняння ефективності та безпечності проведення інтенсивної ПХТ з підтримкою СКПК, сформована група з 6 пацієнтів, які отримували однакові субмієлотоксичні інтенсивні режими хіміотерапії з підтримкою СКПК та без використання даного методу, що підвищило достовірність результатів проведеного аналізу.</w:t>
      </w:r>
    </w:p>
    <w:p w:rsidR="00D82C37" w:rsidRPr="00262B01" w:rsidRDefault="00D82C37" w:rsidP="00D82C37">
      <w:pPr>
        <w:ind w:firstLine="708"/>
        <w:jc w:val="both"/>
        <w:rPr>
          <w:sz w:val="28"/>
          <w:szCs w:val="28"/>
        </w:rPr>
      </w:pPr>
      <w:r w:rsidRPr="00262B01">
        <w:rPr>
          <w:sz w:val="28"/>
          <w:szCs w:val="28"/>
        </w:rPr>
        <w:t xml:space="preserve">Критеріями оцінки ефективності застосування СКПК використано показники гематологічної токсичності за шкалою побічних дій препаратів </w:t>
      </w:r>
      <w:r w:rsidRPr="00CF2410">
        <w:rPr>
          <w:sz w:val="28"/>
          <w:szCs w:val="28"/>
        </w:rPr>
        <w:t>ВООЗ (</w:t>
      </w:r>
      <w:r w:rsidRPr="00CF2410">
        <w:rPr>
          <w:bCs/>
          <w:sz w:val="28"/>
          <w:szCs w:val="28"/>
        </w:rPr>
        <w:t>Н.Н.Блохин, Н.И.Переводчикова, 1984)</w:t>
      </w:r>
      <w:r w:rsidRPr="00CF2410">
        <w:rPr>
          <w:sz w:val="28"/>
          <w:szCs w:val="28"/>
        </w:rPr>
        <w:t xml:space="preserve"> та показник летальності,</w:t>
      </w:r>
      <w:r w:rsidRPr="00262B01">
        <w:rPr>
          <w:sz w:val="28"/>
          <w:szCs w:val="28"/>
        </w:rPr>
        <w:t xml:space="preserve"> пов’язаної з лікуванням (до 100 днів після реінфузії СКПК). Як прояв гематологічної токсичності оцінювали тривалість нейтропенії та тромбоцитопенії IV ступеня у днях, кількість трансфузій свіжозамороженої плазми, еритроцитарної маси та тромбоконцентрату в терапевтичних дозах, що проводились пацієнту після курсу хіміотерапії. </w:t>
      </w:r>
    </w:p>
    <w:p w:rsidR="00D82C37" w:rsidRPr="00262B01" w:rsidRDefault="00D82C37" w:rsidP="00D82C37">
      <w:pPr>
        <w:ind w:firstLine="708"/>
        <w:jc w:val="both"/>
        <w:rPr>
          <w:sz w:val="28"/>
          <w:szCs w:val="28"/>
        </w:rPr>
      </w:pPr>
      <w:r w:rsidRPr="00262B01">
        <w:rPr>
          <w:sz w:val="28"/>
          <w:szCs w:val="28"/>
        </w:rPr>
        <w:t xml:space="preserve">Аналіз ефективності кріоконсервації СКПК при температурі </w:t>
      </w:r>
      <w:r w:rsidRPr="00262B01">
        <w:rPr>
          <w:sz w:val="28"/>
          <w:szCs w:val="28"/>
        </w:rPr>
        <w:softHyphen/>
        <w:t xml:space="preserve">мінус 80 </w:t>
      </w:r>
      <w:r w:rsidRPr="00262B01">
        <w:rPr>
          <w:sz w:val="28"/>
          <w:szCs w:val="28"/>
          <w:vertAlign w:val="superscript"/>
        </w:rPr>
        <w:t>0</w:t>
      </w:r>
      <w:r w:rsidRPr="00262B01">
        <w:rPr>
          <w:sz w:val="28"/>
          <w:szCs w:val="28"/>
        </w:rPr>
        <w:t>С був проведений шляхом визначення відсотка вітальних клітин у 65 зразках СКПК 22 пацієнтів.</w:t>
      </w:r>
    </w:p>
    <w:p w:rsidR="00D82C37" w:rsidRPr="00262B01" w:rsidRDefault="00D82C37" w:rsidP="00D82C37">
      <w:pPr>
        <w:ind w:firstLine="709"/>
        <w:jc w:val="both"/>
        <w:rPr>
          <w:sz w:val="28"/>
          <w:szCs w:val="28"/>
        </w:rPr>
      </w:pPr>
      <w:r w:rsidRPr="00262B01">
        <w:rPr>
          <w:sz w:val="28"/>
          <w:szCs w:val="28"/>
        </w:rPr>
        <w:t>Статистичний аналіз одержаних результатів здійснювали з використанням методів описової статистики (для категоріальних змінних — кількість, ча</w:t>
      </w:r>
      <w:r w:rsidRPr="00262B01">
        <w:rPr>
          <w:sz w:val="28"/>
          <w:szCs w:val="28"/>
        </w:rPr>
        <w:t>с</w:t>
      </w:r>
      <w:r w:rsidRPr="00262B01">
        <w:rPr>
          <w:sz w:val="28"/>
          <w:szCs w:val="28"/>
        </w:rPr>
        <w:t>тка у %; для кількісних даних — n, середнє арифметичне, медіана, стандартне відхилення, мінімум та максимум), інтервального оцінювання (побудова довірчих інтервалів (ДІ)), однофакторного дисперсійного аналізу (ДА) з наступним застосуванням методу множинних порі</w:t>
      </w:r>
      <w:r w:rsidRPr="00262B01">
        <w:rPr>
          <w:sz w:val="28"/>
          <w:szCs w:val="28"/>
        </w:rPr>
        <w:t>в</w:t>
      </w:r>
      <w:r w:rsidRPr="00262B01">
        <w:rPr>
          <w:sz w:val="28"/>
          <w:szCs w:val="28"/>
        </w:rPr>
        <w:t xml:space="preserve">нянь Тьюки, </w:t>
      </w:r>
      <w:r w:rsidRPr="00262B01">
        <w:rPr>
          <w:sz w:val="28"/>
          <w:szCs w:val="28"/>
        </w:rPr>
        <w:lastRenderedPageBreak/>
        <w:t xml:space="preserve">кореляційного аналізу (коефіцієнти рангової кореляції Спірмена) порівняння даних за критерієм </w:t>
      </w:r>
      <w:r w:rsidRPr="00262B01">
        <w:rPr>
          <w:position w:val="-12"/>
          <w:sz w:val="28"/>
          <w:szCs w:val="28"/>
        </w:rPr>
        <w:object w:dxaOrig="3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2.4pt" o:ole="">
            <v:imagedata r:id="rId8" o:title=""/>
          </v:shape>
          <o:OLEObject Type="Embed" ProgID="Equation.3" ShapeID="_x0000_i1025" DrawAspect="Content" ObjectID="_1495102841" r:id="rId9"/>
        </w:object>
      </w:r>
      <w:r w:rsidRPr="00262B01">
        <w:rPr>
          <w:sz w:val="28"/>
          <w:szCs w:val="28"/>
        </w:rPr>
        <w:t xml:space="preserve"> Пірсона та точним критерієм Фішера. У разі виконання двох групових порівнянь було застосовано критерій Стьюдента для незалежних вибірок (якщо дані були розподілені нормально) та непараметри</w:t>
      </w:r>
      <w:r w:rsidRPr="00262B01">
        <w:rPr>
          <w:sz w:val="28"/>
          <w:szCs w:val="28"/>
        </w:rPr>
        <w:t>ч</w:t>
      </w:r>
      <w:r w:rsidRPr="00262B01">
        <w:rPr>
          <w:sz w:val="28"/>
          <w:szCs w:val="28"/>
        </w:rPr>
        <w:t>ний критерій Манна – Уїтні (у разі, якщо розподіл даних не узгоджувався з н</w:t>
      </w:r>
      <w:r w:rsidRPr="00262B01">
        <w:rPr>
          <w:sz w:val="28"/>
          <w:szCs w:val="28"/>
        </w:rPr>
        <w:t>о</w:t>
      </w:r>
      <w:r w:rsidRPr="00262B01">
        <w:rPr>
          <w:sz w:val="28"/>
          <w:szCs w:val="28"/>
        </w:rPr>
        <w:t>рмальним). У випадках, коли розподіл залишків ДА не узгоджувався з норм</w:t>
      </w:r>
      <w:r w:rsidRPr="00262B01">
        <w:rPr>
          <w:sz w:val="28"/>
          <w:szCs w:val="28"/>
        </w:rPr>
        <w:t>а</w:t>
      </w:r>
      <w:r w:rsidRPr="00262B01">
        <w:rPr>
          <w:sz w:val="28"/>
          <w:szCs w:val="28"/>
        </w:rPr>
        <w:t>льним, дані перетворювали на ранги і виконували ДА рангів вихі</w:t>
      </w:r>
      <w:r w:rsidRPr="00262B01">
        <w:rPr>
          <w:sz w:val="28"/>
          <w:szCs w:val="28"/>
        </w:rPr>
        <w:t>д</w:t>
      </w:r>
      <w:r w:rsidRPr="00262B01">
        <w:rPr>
          <w:sz w:val="28"/>
          <w:szCs w:val="28"/>
        </w:rPr>
        <w:t>них даних. Аналіз показників виживаності хворих проводили за методом Каплан-Мейера.</w:t>
      </w:r>
    </w:p>
    <w:p w:rsidR="00D82C37" w:rsidRPr="00262B01" w:rsidRDefault="00D82C37" w:rsidP="00D82C37">
      <w:pPr>
        <w:ind w:firstLine="708"/>
        <w:jc w:val="both"/>
        <w:rPr>
          <w:sz w:val="28"/>
          <w:szCs w:val="28"/>
        </w:rPr>
      </w:pPr>
      <w:r w:rsidRPr="00262B01">
        <w:rPr>
          <w:sz w:val="28"/>
          <w:szCs w:val="28"/>
        </w:rPr>
        <w:t>Перевірку нормальності розподілу даних здійснювали за кр</w:t>
      </w:r>
      <w:r w:rsidRPr="00262B01">
        <w:rPr>
          <w:sz w:val="28"/>
          <w:szCs w:val="28"/>
        </w:rPr>
        <w:t>и</w:t>
      </w:r>
      <w:r w:rsidRPr="00262B01">
        <w:rPr>
          <w:sz w:val="28"/>
          <w:szCs w:val="28"/>
        </w:rPr>
        <w:t>терієм Шапіро – Уїлка при рівні значущості 0,01. При застосуванні усіх статистичних методів, окрім критерію Шапіро – Уїлка, за рівень значущості було взято показник 0,05.</w:t>
      </w:r>
    </w:p>
    <w:p w:rsidR="00D82C37" w:rsidRDefault="00D82C37" w:rsidP="00D82C37">
      <w:pPr>
        <w:ind w:firstLine="708"/>
        <w:jc w:val="both"/>
        <w:rPr>
          <w:sz w:val="28"/>
          <w:szCs w:val="28"/>
        </w:rPr>
      </w:pPr>
      <w:r w:rsidRPr="00262B01">
        <w:rPr>
          <w:b/>
          <w:sz w:val="28"/>
          <w:szCs w:val="28"/>
        </w:rPr>
        <w:t xml:space="preserve">Результати власних досліджень та їх обговорення. </w:t>
      </w:r>
      <w:r w:rsidRPr="00262B01">
        <w:rPr>
          <w:sz w:val="28"/>
          <w:szCs w:val="28"/>
        </w:rPr>
        <w:t xml:space="preserve">Для оцінки ефективності мобілізації СКПК проаналізовано 315 сеансів лейкоцитаферезу, проведених у 186 пацієнтів. </w:t>
      </w:r>
      <w:r>
        <w:rPr>
          <w:sz w:val="28"/>
          <w:szCs w:val="28"/>
        </w:rPr>
        <w:t>Для отримання необхідної кількості автологічних СКПК (≥ 2,5 х10</w:t>
      </w:r>
      <w:r>
        <w:rPr>
          <w:sz w:val="28"/>
          <w:szCs w:val="28"/>
          <w:vertAlign w:val="superscript"/>
        </w:rPr>
        <w:t>6</w:t>
      </w:r>
      <w:r>
        <w:rPr>
          <w:sz w:val="28"/>
          <w:szCs w:val="28"/>
        </w:rPr>
        <w:t xml:space="preserve">/кг маси пацієнта) проводилось 1–3 сеанси лейкоцитаферезу. </w:t>
      </w:r>
      <w:r w:rsidRPr="00262B01">
        <w:rPr>
          <w:sz w:val="28"/>
          <w:szCs w:val="28"/>
        </w:rPr>
        <w:t>Для оцінки ефективності мобілізації та колекції СКПК, визначення факторів, що впливають на ефективність, ми розподілили пацієнтів на підгрупи.</w:t>
      </w:r>
      <w:r w:rsidRPr="00E61F79">
        <w:rPr>
          <w:sz w:val="28"/>
          <w:szCs w:val="28"/>
        </w:rPr>
        <w:t xml:space="preserve"> </w:t>
      </w:r>
    </w:p>
    <w:p w:rsidR="00D82C37" w:rsidRPr="00262B01" w:rsidRDefault="00D82C37" w:rsidP="00D82C37">
      <w:pPr>
        <w:ind w:firstLine="708"/>
        <w:jc w:val="both"/>
        <w:rPr>
          <w:sz w:val="28"/>
          <w:szCs w:val="28"/>
        </w:rPr>
      </w:pPr>
      <w:r w:rsidRPr="00262B01">
        <w:rPr>
          <w:sz w:val="28"/>
          <w:szCs w:val="28"/>
        </w:rPr>
        <w:t xml:space="preserve">Ґрунтуючись на результатах множинних порівнянь, </w:t>
      </w:r>
      <w:r>
        <w:rPr>
          <w:sz w:val="28"/>
          <w:szCs w:val="28"/>
        </w:rPr>
        <w:t xml:space="preserve">представлених у табл.2, </w:t>
      </w:r>
      <w:r w:rsidRPr="00262B01">
        <w:rPr>
          <w:sz w:val="28"/>
          <w:szCs w:val="28"/>
        </w:rPr>
        <w:t>зроблено висновок, що існують істотні відмінності між групами „0–&lt; 5 років” і „≥ 10 років”.</w:t>
      </w:r>
    </w:p>
    <w:p w:rsidR="00D82C37" w:rsidRPr="00262B01" w:rsidRDefault="00D82C37" w:rsidP="00D82C37">
      <w:pPr>
        <w:jc w:val="right"/>
        <w:rPr>
          <w:b/>
          <w:sz w:val="28"/>
          <w:szCs w:val="28"/>
        </w:rPr>
      </w:pPr>
      <w:r w:rsidRPr="00262B01">
        <w:rPr>
          <w:i/>
          <w:sz w:val="28"/>
          <w:szCs w:val="28"/>
        </w:rPr>
        <w:t>Таблиця 2</w:t>
      </w:r>
    </w:p>
    <w:p w:rsidR="00D82C37" w:rsidRPr="00262B01" w:rsidRDefault="00D82C37" w:rsidP="00D82C37">
      <w:pPr>
        <w:jc w:val="center"/>
        <w:rPr>
          <w:b/>
          <w:sz w:val="28"/>
          <w:szCs w:val="28"/>
        </w:rPr>
      </w:pPr>
      <w:r w:rsidRPr="00262B01">
        <w:rPr>
          <w:b/>
          <w:sz w:val="28"/>
          <w:szCs w:val="28"/>
        </w:rPr>
        <w:t xml:space="preserve">Результати лейкоцитаферезу (кількість СД34+ клітин/кг маси) </w:t>
      </w:r>
    </w:p>
    <w:p w:rsidR="00D82C37" w:rsidRPr="00262B01" w:rsidRDefault="00D82C37" w:rsidP="00D82C37">
      <w:pPr>
        <w:jc w:val="center"/>
        <w:rPr>
          <w:b/>
          <w:sz w:val="28"/>
          <w:szCs w:val="28"/>
        </w:rPr>
      </w:pPr>
      <w:r w:rsidRPr="00262B01">
        <w:rPr>
          <w:b/>
          <w:sz w:val="28"/>
          <w:szCs w:val="28"/>
        </w:rPr>
        <w:t>залежно від віку пацієнтів</w:t>
      </w:r>
    </w:p>
    <w:tbl>
      <w:tblPr>
        <w:tblW w:w="933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576"/>
        <w:gridCol w:w="1574"/>
        <w:gridCol w:w="1067"/>
        <w:gridCol w:w="1405"/>
        <w:gridCol w:w="1115"/>
        <w:gridCol w:w="1312"/>
      </w:tblGrid>
      <w:tr w:rsidR="00D82C37" w:rsidRPr="008E4226" w:rsidTr="00552736">
        <w:trPr>
          <w:trHeight w:val="255"/>
        </w:trPr>
        <w:tc>
          <w:tcPr>
            <w:tcW w:w="2282" w:type="dxa"/>
            <w:shd w:val="clear" w:color="auto" w:fill="auto"/>
            <w:noWrap/>
            <w:vAlign w:val="center"/>
          </w:tcPr>
          <w:p w:rsidR="00D82C37" w:rsidRPr="008E4226" w:rsidRDefault="00D82C37" w:rsidP="00552736">
            <w:pPr>
              <w:jc w:val="center"/>
            </w:pPr>
            <w:r w:rsidRPr="008E4226">
              <w:t xml:space="preserve">Вік, </w:t>
            </w:r>
          </w:p>
          <w:p w:rsidR="00D82C37" w:rsidRPr="008E4226" w:rsidRDefault="00D82C37" w:rsidP="00552736">
            <w:pPr>
              <w:jc w:val="center"/>
            </w:pPr>
            <w:r w:rsidRPr="008E4226">
              <w:t>років</w:t>
            </w:r>
          </w:p>
        </w:tc>
        <w:tc>
          <w:tcPr>
            <w:tcW w:w="576" w:type="dxa"/>
            <w:shd w:val="clear" w:color="auto" w:fill="auto"/>
            <w:noWrap/>
            <w:vAlign w:val="center"/>
          </w:tcPr>
          <w:p w:rsidR="00D82C37" w:rsidRPr="008E4226" w:rsidRDefault="00D82C37" w:rsidP="00552736">
            <w:pPr>
              <w:jc w:val="center"/>
            </w:pPr>
            <w:r w:rsidRPr="008E4226">
              <w:t>n</w:t>
            </w:r>
          </w:p>
        </w:tc>
        <w:tc>
          <w:tcPr>
            <w:tcW w:w="1574" w:type="dxa"/>
            <w:shd w:val="clear" w:color="auto" w:fill="auto"/>
            <w:noWrap/>
            <w:vAlign w:val="center"/>
          </w:tcPr>
          <w:p w:rsidR="00D82C37" w:rsidRPr="008E4226" w:rsidRDefault="00D82C37" w:rsidP="00552736">
            <w:pPr>
              <w:jc w:val="center"/>
            </w:pPr>
            <w:r w:rsidRPr="008E4226">
              <w:t>Середнє арифметичне</w:t>
            </w:r>
          </w:p>
        </w:tc>
        <w:tc>
          <w:tcPr>
            <w:tcW w:w="1067" w:type="dxa"/>
            <w:shd w:val="clear" w:color="auto" w:fill="auto"/>
            <w:noWrap/>
            <w:vAlign w:val="center"/>
          </w:tcPr>
          <w:p w:rsidR="00D82C37" w:rsidRPr="008E4226" w:rsidRDefault="00D82C37" w:rsidP="00552736">
            <w:pPr>
              <w:jc w:val="center"/>
            </w:pPr>
            <w:r w:rsidRPr="008E4226">
              <w:t>Медіана</w:t>
            </w:r>
          </w:p>
        </w:tc>
        <w:tc>
          <w:tcPr>
            <w:tcW w:w="1405" w:type="dxa"/>
            <w:shd w:val="clear" w:color="auto" w:fill="auto"/>
            <w:noWrap/>
            <w:vAlign w:val="center"/>
          </w:tcPr>
          <w:p w:rsidR="00D82C37" w:rsidRPr="008E4226" w:rsidRDefault="00D82C37" w:rsidP="00552736">
            <w:pPr>
              <w:jc w:val="center"/>
            </w:pPr>
            <w:r w:rsidRPr="008E4226">
              <w:t>Стандартне відхилення</w:t>
            </w:r>
          </w:p>
        </w:tc>
        <w:tc>
          <w:tcPr>
            <w:tcW w:w="1115" w:type="dxa"/>
            <w:shd w:val="clear" w:color="auto" w:fill="auto"/>
            <w:noWrap/>
            <w:vAlign w:val="center"/>
          </w:tcPr>
          <w:p w:rsidR="00D82C37" w:rsidRPr="008E4226" w:rsidRDefault="00D82C37" w:rsidP="00552736">
            <w:pPr>
              <w:jc w:val="center"/>
            </w:pPr>
            <w:r w:rsidRPr="008E4226">
              <w:t>Мінімум</w:t>
            </w:r>
          </w:p>
        </w:tc>
        <w:tc>
          <w:tcPr>
            <w:tcW w:w="1312" w:type="dxa"/>
            <w:shd w:val="clear" w:color="auto" w:fill="auto"/>
            <w:noWrap/>
            <w:vAlign w:val="center"/>
          </w:tcPr>
          <w:p w:rsidR="00D82C37" w:rsidRPr="008E4226" w:rsidRDefault="00D82C37" w:rsidP="00552736">
            <w:pPr>
              <w:jc w:val="center"/>
            </w:pPr>
            <w:r w:rsidRPr="008E4226">
              <w:t>Максимум</w:t>
            </w:r>
          </w:p>
        </w:tc>
      </w:tr>
      <w:tr w:rsidR="00D82C37" w:rsidRPr="008E4226" w:rsidTr="00552736">
        <w:trPr>
          <w:trHeight w:val="255"/>
        </w:trPr>
        <w:tc>
          <w:tcPr>
            <w:tcW w:w="2282" w:type="dxa"/>
            <w:shd w:val="clear" w:color="auto" w:fill="auto"/>
            <w:noWrap/>
            <w:vAlign w:val="center"/>
          </w:tcPr>
          <w:p w:rsidR="00D82C37" w:rsidRPr="008E4226" w:rsidRDefault="00D82C37" w:rsidP="00552736">
            <w:pPr>
              <w:jc w:val="center"/>
            </w:pPr>
            <w:r w:rsidRPr="008E4226">
              <w:t xml:space="preserve">0 – &lt; 5 </w:t>
            </w:r>
          </w:p>
        </w:tc>
        <w:tc>
          <w:tcPr>
            <w:tcW w:w="576" w:type="dxa"/>
            <w:shd w:val="clear" w:color="auto" w:fill="auto"/>
            <w:noWrap/>
            <w:vAlign w:val="center"/>
          </w:tcPr>
          <w:p w:rsidR="00D82C37" w:rsidRPr="008E4226" w:rsidRDefault="00D82C37" w:rsidP="00552736">
            <w:pPr>
              <w:jc w:val="center"/>
            </w:pPr>
            <w:r w:rsidRPr="008E4226">
              <w:t>60</w:t>
            </w:r>
          </w:p>
        </w:tc>
        <w:tc>
          <w:tcPr>
            <w:tcW w:w="1574" w:type="dxa"/>
            <w:shd w:val="clear" w:color="auto" w:fill="auto"/>
            <w:noWrap/>
            <w:vAlign w:val="center"/>
          </w:tcPr>
          <w:p w:rsidR="00D82C37" w:rsidRPr="008E4226" w:rsidRDefault="00D82C37" w:rsidP="00552736">
            <w:pPr>
              <w:jc w:val="center"/>
            </w:pPr>
            <w:r w:rsidRPr="008E4226">
              <w:t>3,87</w:t>
            </w:r>
          </w:p>
        </w:tc>
        <w:tc>
          <w:tcPr>
            <w:tcW w:w="1067" w:type="dxa"/>
            <w:shd w:val="clear" w:color="auto" w:fill="auto"/>
            <w:noWrap/>
            <w:vAlign w:val="center"/>
          </w:tcPr>
          <w:p w:rsidR="00D82C37" w:rsidRPr="008E4226" w:rsidRDefault="00D82C37" w:rsidP="00552736">
            <w:pPr>
              <w:jc w:val="center"/>
            </w:pPr>
            <w:r w:rsidRPr="008E4226">
              <w:t>1,865</w:t>
            </w:r>
          </w:p>
        </w:tc>
        <w:tc>
          <w:tcPr>
            <w:tcW w:w="1405" w:type="dxa"/>
            <w:shd w:val="clear" w:color="auto" w:fill="auto"/>
            <w:noWrap/>
            <w:vAlign w:val="center"/>
          </w:tcPr>
          <w:p w:rsidR="00D82C37" w:rsidRPr="008E4226" w:rsidRDefault="00D82C37" w:rsidP="00552736">
            <w:pPr>
              <w:jc w:val="center"/>
            </w:pPr>
            <w:r w:rsidRPr="008E4226">
              <w:t>5,17</w:t>
            </w:r>
          </w:p>
        </w:tc>
        <w:tc>
          <w:tcPr>
            <w:tcW w:w="1115" w:type="dxa"/>
            <w:shd w:val="clear" w:color="auto" w:fill="auto"/>
            <w:noWrap/>
            <w:vAlign w:val="center"/>
          </w:tcPr>
          <w:p w:rsidR="00D82C37" w:rsidRPr="008E4226" w:rsidRDefault="00D82C37" w:rsidP="00552736">
            <w:pPr>
              <w:jc w:val="center"/>
            </w:pPr>
            <w:r w:rsidRPr="008E4226">
              <w:t>0,04</w:t>
            </w:r>
          </w:p>
        </w:tc>
        <w:tc>
          <w:tcPr>
            <w:tcW w:w="1312" w:type="dxa"/>
            <w:shd w:val="clear" w:color="auto" w:fill="auto"/>
            <w:noWrap/>
            <w:vAlign w:val="center"/>
          </w:tcPr>
          <w:p w:rsidR="00D82C37" w:rsidRPr="008E4226" w:rsidRDefault="00D82C37" w:rsidP="00552736">
            <w:pPr>
              <w:jc w:val="center"/>
            </w:pPr>
            <w:r w:rsidRPr="008E4226">
              <w:t>24,7</w:t>
            </w:r>
          </w:p>
        </w:tc>
      </w:tr>
      <w:tr w:rsidR="00D82C37" w:rsidRPr="008E4226" w:rsidTr="00552736">
        <w:trPr>
          <w:trHeight w:val="255"/>
        </w:trPr>
        <w:tc>
          <w:tcPr>
            <w:tcW w:w="2282" w:type="dxa"/>
            <w:shd w:val="clear" w:color="auto" w:fill="auto"/>
            <w:noWrap/>
            <w:vAlign w:val="center"/>
          </w:tcPr>
          <w:p w:rsidR="00D82C37" w:rsidRPr="008E4226" w:rsidRDefault="00D82C37" w:rsidP="00552736">
            <w:pPr>
              <w:jc w:val="center"/>
            </w:pPr>
            <w:r w:rsidRPr="008E4226">
              <w:t xml:space="preserve">5 – &lt; 10 </w:t>
            </w:r>
          </w:p>
        </w:tc>
        <w:tc>
          <w:tcPr>
            <w:tcW w:w="576" w:type="dxa"/>
            <w:shd w:val="clear" w:color="auto" w:fill="auto"/>
            <w:noWrap/>
            <w:vAlign w:val="center"/>
          </w:tcPr>
          <w:p w:rsidR="00D82C37" w:rsidRPr="008E4226" w:rsidRDefault="00D82C37" w:rsidP="00552736">
            <w:pPr>
              <w:jc w:val="center"/>
            </w:pPr>
            <w:r w:rsidRPr="008E4226">
              <w:t>96</w:t>
            </w:r>
          </w:p>
        </w:tc>
        <w:tc>
          <w:tcPr>
            <w:tcW w:w="1574" w:type="dxa"/>
            <w:shd w:val="clear" w:color="auto" w:fill="auto"/>
            <w:noWrap/>
            <w:vAlign w:val="center"/>
          </w:tcPr>
          <w:p w:rsidR="00D82C37" w:rsidRPr="008E4226" w:rsidRDefault="00D82C37" w:rsidP="00552736">
            <w:pPr>
              <w:jc w:val="center"/>
            </w:pPr>
            <w:r w:rsidRPr="008E4226">
              <w:t>4,43</w:t>
            </w:r>
          </w:p>
        </w:tc>
        <w:tc>
          <w:tcPr>
            <w:tcW w:w="1067" w:type="dxa"/>
            <w:shd w:val="clear" w:color="auto" w:fill="auto"/>
            <w:noWrap/>
            <w:vAlign w:val="center"/>
          </w:tcPr>
          <w:p w:rsidR="00D82C37" w:rsidRPr="008E4226" w:rsidRDefault="00D82C37" w:rsidP="00552736">
            <w:pPr>
              <w:jc w:val="center"/>
            </w:pPr>
            <w:r w:rsidRPr="008E4226">
              <w:t>2,25</w:t>
            </w:r>
          </w:p>
        </w:tc>
        <w:tc>
          <w:tcPr>
            <w:tcW w:w="1405" w:type="dxa"/>
            <w:shd w:val="clear" w:color="auto" w:fill="auto"/>
            <w:noWrap/>
            <w:vAlign w:val="center"/>
          </w:tcPr>
          <w:p w:rsidR="00D82C37" w:rsidRPr="008E4226" w:rsidRDefault="00D82C37" w:rsidP="00552736">
            <w:pPr>
              <w:jc w:val="center"/>
            </w:pPr>
            <w:r w:rsidRPr="008E4226">
              <w:t>6,36</w:t>
            </w:r>
          </w:p>
        </w:tc>
        <w:tc>
          <w:tcPr>
            <w:tcW w:w="1115" w:type="dxa"/>
            <w:shd w:val="clear" w:color="auto" w:fill="auto"/>
            <w:noWrap/>
            <w:vAlign w:val="center"/>
          </w:tcPr>
          <w:p w:rsidR="00D82C37" w:rsidRPr="008E4226" w:rsidRDefault="00D82C37" w:rsidP="00552736">
            <w:pPr>
              <w:jc w:val="center"/>
            </w:pPr>
            <w:r w:rsidRPr="008E4226">
              <w:t>0,06</w:t>
            </w:r>
          </w:p>
        </w:tc>
        <w:tc>
          <w:tcPr>
            <w:tcW w:w="1312" w:type="dxa"/>
            <w:shd w:val="clear" w:color="auto" w:fill="auto"/>
            <w:noWrap/>
            <w:vAlign w:val="center"/>
          </w:tcPr>
          <w:p w:rsidR="00D82C37" w:rsidRPr="008E4226" w:rsidRDefault="00D82C37" w:rsidP="00552736">
            <w:pPr>
              <w:jc w:val="center"/>
            </w:pPr>
            <w:r w:rsidRPr="008E4226">
              <w:t>33,7</w:t>
            </w:r>
          </w:p>
        </w:tc>
      </w:tr>
      <w:tr w:rsidR="00D82C37" w:rsidRPr="008E4226" w:rsidTr="00552736">
        <w:trPr>
          <w:trHeight w:val="255"/>
        </w:trPr>
        <w:tc>
          <w:tcPr>
            <w:tcW w:w="2282" w:type="dxa"/>
            <w:shd w:val="clear" w:color="auto" w:fill="auto"/>
            <w:noWrap/>
            <w:vAlign w:val="center"/>
          </w:tcPr>
          <w:p w:rsidR="00D82C37" w:rsidRPr="008E4226" w:rsidRDefault="00D82C37" w:rsidP="00552736">
            <w:pPr>
              <w:jc w:val="center"/>
            </w:pPr>
            <w:r w:rsidRPr="008E4226">
              <w:t xml:space="preserve">≥ 10 </w:t>
            </w:r>
          </w:p>
        </w:tc>
        <w:tc>
          <w:tcPr>
            <w:tcW w:w="576" w:type="dxa"/>
            <w:shd w:val="clear" w:color="auto" w:fill="auto"/>
            <w:noWrap/>
            <w:vAlign w:val="center"/>
          </w:tcPr>
          <w:p w:rsidR="00D82C37" w:rsidRPr="008E4226" w:rsidRDefault="00D82C37" w:rsidP="00552736">
            <w:pPr>
              <w:jc w:val="center"/>
            </w:pPr>
            <w:r w:rsidRPr="008E4226">
              <w:t>159</w:t>
            </w:r>
          </w:p>
        </w:tc>
        <w:tc>
          <w:tcPr>
            <w:tcW w:w="1574" w:type="dxa"/>
            <w:shd w:val="clear" w:color="auto" w:fill="auto"/>
            <w:noWrap/>
            <w:vAlign w:val="center"/>
          </w:tcPr>
          <w:p w:rsidR="00D82C37" w:rsidRPr="008E4226" w:rsidRDefault="00D82C37" w:rsidP="00552736">
            <w:pPr>
              <w:jc w:val="center"/>
            </w:pPr>
            <w:r w:rsidRPr="008E4226">
              <w:t>3,04</w:t>
            </w:r>
          </w:p>
        </w:tc>
        <w:tc>
          <w:tcPr>
            <w:tcW w:w="1067" w:type="dxa"/>
            <w:shd w:val="clear" w:color="auto" w:fill="auto"/>
            <w:noWrap/>
            <w:vAlign w:val="center"/>
          </w:tcPr>
          <w:p w:rsidR="00D82C37" w:rsidRPr="008E4226" w:rsidRDefault="00D82C37" w:rsidP="00552736">
            <w:pPr>
              <w:jc w:val="center"/>
            </w:pPr>
            <w:r w:rsidRPr="008E4226">
              <w:t>1,7</w:t>
            </w:r>
          </w:p>
        </w:tc>
        <w:tc>
          <w:tcPr>
            <w:tcW w:w="1405" w:type="dxa"/>
            <w:shd w:val="clear" w:color="auto" w:fill="auto"/>
            <w:noWrap/>
            <w:vAlign w:val="center"/>
          </w:tcPr>
          <w:p w:rsidR="00D82C37" w:rsidRPr="008E4226" w:rsidRDefault="00D82C37" w:rsidP="00552736">
            <w:pPr>
              <w:jc w:val="center"/>
            </w:pPr>
            <w:r w:rsidRPr="008E4226">
              <w:t>3,70</w:t>
            </w:r>
          </w:p>
        </w:tc>
        <w:tc>
          <w:tcPr>
            <w:tcW w:w="1115" w:type="dxa"/>
            <w:shd w:val="clear" w:color="auto" w:fill="auto"/>
            <w:noWrap/>
            <w:vAlign w:val="center"/>
          </w:tcPr>
          <w:p w:rsidR="00D82C37" w:rsidRPr="008E4226" w:rsidRDefault="00D82C37" w:rsidP="00552736">
            <w:pPr>
              <w:jc w:val="center"/>
            </w:pPr>
            <w:r w:rsidRPr="008E4226">
              <w:t>0,005</w:t>
            </w:r>
          </w:p>
        </w:tc>
        <w:tc>
          <w:tcPr>
            <w:tcW w:w="1312" w:type="dxa"/>
            <w:shd w:val="clear" w:color="auto" w:fill="auto"/>
            <w:noWrap/>
            <w:vAlign w:val="center"/>
          </w:tcPr>
          <w:p w:rsidR="00D82C37" w:rsidRPr="008E4226" w:rsidRDefault="00D82C37" w:rsidP="00552736">
            <w:pPr>
              <w:jc w:val="center"/>
            </w:pPr>
            <w:r w:rsidRPr="008E4226">
              <w:t>24,3</w:t>
            </w:r>
          </w:p>
        </w:tc>
      </w:tr>
    </w:tbl>
    <w:p w:rsidR="00D82C37" w:rsidRDefault="00D82C37" w:rsidP="00D82C37">
      <w:pPr>
        <w:ind w:firstLine="708"/>
        <w:jc w:val="both"/>
        <w:rPr>
          <w:sz w:val="28"/>
          <w:szCs w:val="28"/>
        </w:rPr>
      </w:pPr>
      <w:r w:rsidRPr="00262B01">
        <w:rPr>
          <w:sz w:val="28"/>
          <w:szCs w:val="28"/>
        </w:rPr>
        <w:t xml:space="preserve">Згідно з даними аналізу,  значно більше СД34+ клітин на </w:t>
      </w:r>
      <w:smartTag w:uri="urn:schemas-microsoft-com:office:smarttags" w:element="metricconverter">
        <w:smartTagPr>
          <w:attr w:name="ProductID" w:val="1 кг"/>
        </w:smartTagPr>
        <w:r w:rsidRPr="00262B01">
          <w:rPr>
            <w:sz w:val="28"/>
            <w:szCs w:val="28"/>
          </w:rPr>
          <w:t>1 кг</w:t>
        </w:r>
      </w:smartTag>
      <w:r w:rsidRPr="00262B01">
        <w:rPr>
          <w:sz w:val="28"/>
          <w:szCs w:val="28"/>
        </w:rPr>
        <w:t xml:space="preserve"> маси можна отримати за одну процедуру лейкоцитаферезу при мобілізації СКПК у пацієнтів віком 5–10 років (</w:t>
      </w:r>
      <w:r w:rsidRPr="00262B01">
        <w:rPr>
          <w:sz w:val="28"/>
          <w:szCs w:val="28"/>
          <w:lang w:eastAsia="ar-SA"/>
        </w:rPr>
        <w:t>р ≤ 0,05</w:t>
      </w:r>
      <w:r w:rsidRPr="00262B01">
        <w:rPr>
          <w:sz w:val="28"/>
          <w:szCs w:val="28"/>
        </w:rPr>
        <w:t>). Виявлена також тенденція (р = 0,053), що проведення мобілізаційної процедури у дітей віком до 5 років є більш ефективним, ніж у дітей віком понад 10 років.</w:t>
      </w:r>
      <w:r w:rsidRPr="003B62D9">
        <w:rPr>
          <w:sz w:val="28"/>
          <w:szCs w:val="28"/>
        </w:rPr>
        <w:t xml:space="preserve"> </w:t>
      </w:r>
    </w:p>
    <w:p w:rsidR="00D82C37" w:rsidRPr="00262B01" w:rsidRDefault="00D82C37" w:rsidP="00D82C37">
      <w:pPr>
        <w:ind w:firstLine="708"/>
        <w:jc w:val="both"/>
        <w:rPr>
          <w:sz w:val="28"/>
          <w:szCs w:val="28"/>
        </w:rPr>
      </w:pPr>
      <w:r w:rsidRPr="00262B01">
        <w:rPr>
          <w:sz w:val="28"/>
          <w:szCs w:val="28"/>
        </w:rPr>
        <w:lastRenderedPageBreak/>
        <w:t>Грунтуючись на результатах</w:t>
      </w:r>
      <w:r>
        <w:rPr>
          <w:sz w:val="28"/>
          <w:szCs w:val="28"/>
        </w:rPr>
        <w:t>, представлених у табл.3 та</w:t>
      </w:r>
      <w:r w:rsidRPr="00262B01">
        <w:rPr>
          <w:sz w:val="28"/>
          <w:szCs w:val="28"/>
        </w:rPr>
        <w:t xml:space="preserve"> ДА, можна зробити висновок, що фактор „діагноз” є неістотним (р = 0,737), а аналіз результатів лейкоцитаферезу показав, що кількість СД34+ на </w:t>
      </w:r>
      <w:smartTag w:uri="urn:schemas-microsoft-com:office:smarttags" w:element="metricconverter">
        <w:smartTagPr>
          <w:attr w:name="ProductID" w:val="1 кг"/>
        </w:smartTagPr>
        <w:r w:rsidRPr="00262B01">
          <w:rPr>
            <w:sz w:val="28"/>
            <w:szCs w:val="28"/>
          </w:rPr>
          <w:t>1 кг</w:t>
        </w:r>
      </w:smartTag>
      <w:r w:rsidRPr="00262B01">
        <w:rPr>
          <w:sz w:val="28"/>
          <w:szCs w:val="28"/>
        </w:rPr>
        <w:t xml:space="preserve"> маси тіла дитини, отриманих за один сеанс лейкоцитаферезу, істотно не залежить від діагнозу. </w:t>
      </w:r>
    </w:p>
    <w:p w:rsidR="00D82C37" w:rsidRPr="00262B01" w:rsidRDefault="00D82C37" w:rsidP="00D82C37">
      <w:pPr>
        <w:jc w:val="right"/>
        <w:rPr>
          <w:i/>
          <w:sz w:val="28"/>
          <w:szCs w:val="28"/>
        </w:rPr>
      </w:pPr>
      <w:r w:rsidRPr="00262B01">
        <w:rPr>
          <w:i/>
          <w:sz w:val="28"/>
          <w:szCs w:val="28"/>
        </w:rPr>
        <w:t>Таблиця 3</w:t>
      </w:r>
    </w:p>
    <w:p w:rsidR="00D82C37" w:rsidRPr="00262B01" w:rsidRDefault="00D82C37" w:rsidP="00D82C37">
      <w:pPr>
        <w:jc w:val="center"/>
        <w:rPr>
          <w:b/>
          <w:sz w:val="28"/>
          <w:szCs w:val="28"/>
        </w:rPr>
      </w:pPr>
      <w:r w:rsidRPr="00262B01">
        <w:rPr>
          <w:b/>
          <w:sz w:val="28"/>
          <w:szCs w:val="28"/>
        </w:rPr>
        <w:t xml:space="preserve">Результати лейкоцитаферезу залежно від морфологічного діагнозу </w:t>
      </w:r>
    </w:p>
    <w:p w:rsidR="00D82C37" w:rsidRPr="00262B01" w:rsidRDefault="00D82C37" w:rsidP="00D82C37">
      <w:pPr>
        <w:jc w:val="center"/>
        <w:rPr>
          <w:b/>
          <w:sz w:val="28"/>
          <w:szCs w:val="28"/>
        </w:rPr>
      </w:pPr>
      <w:r w:rsidRPr="00262B01">
        <w:rPr>
          <w:b/>
          <w:sz w:val="28"/>
          <w:szCs w:val="28"/>
        </w:rPr>
        <w:t>(кількість СД 34+ клітин/кг маси)</w:t>
      </w:r>
    </w:p>
    <w:tbl>
      <w:tblPr>
        <w:tblW w:w="93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571"/>
        <w:gridCol w:w="1672"/>
        <w:gridCol w:w="1067"/>
        <w:gridCol w:w="1430"/>
        <w:gridCol w:w="1118"/>
        <w:gridCol w:w="1522"/>
      </w:tblGrid>
      <w:tr w:rsidR="00D82C37" w:rsidRPr="008E4226" w:rsidTr="00552736">
        <w:trPr>
          <w:trHeight w:val="255"/>
        </w:trPr>
        <w:tc>
          <w:tcPr>
            <w:tcW w:w="1994" w:type="dxa"/>
            <w:shd w:val="clear" w:color="auto" w:fill="auto"/>
            <w:noWrap/>
            <w:vAlign w:val="center"/>
          </w:tcPr>
          <w:p w:rsidR="00D82C37" w:rsidRPr="008E4226" w:rsidRDefault="00D82C37" w:rsidP="00552736">
            <w:pPr>
              <w:jc w:val="center"/>
            </w:pPr>
            <w:r w:rsidRPr="008E4226">
              <w:t>Діагноз</w:t>
            </w:r>
          </w:p>
        </w:tc>
        <w:tc>
          <w:tcPr>
            <w:tcW w:w="571" w:type="dxa"/>
            <w:shd w:val="clear" w:color="auto" w:fill="auto"/>
            <w:noWrap/>
            <w:vAlign w:val="center"/>
          </w:tcPr>
          <w:p w:rsidR="00D82C37" w:rsidRPr="008E4226" w:rsidRDefault="00D82C37" w:rsidP="00552736">
            <w:pPr>
              <w:jc w:val="center"/>
            </w:pPr>
            <w:r w:rsidRPr="008E4226">
              <w:t>n</w:t>
            </w:r>
          </w:p>
        </w:tc>
        <w:tc>
          <w:tcPr>
            <w:tcW w:w="1672" w:type="dxa"/>
            <w:shd w:val="clear" w:color="auto" w:fill="auto"/>
            <w:noWrap/>
            <w:vAlign w:val="center"/>
          </w:tcPr>
          <w:p w:rsidR="00D82C37" w:rsidRPr="008E4226" w:rsidRDefault="00D82C37" w:rsidP="00552736">
            <w:pPr>
              <w:jc w:val="center"/>
            </w:pPr>
            <w:r w:rsidRPr="008E4226">
              <w:t>Середнє арифметичне</w:t>
            </w:r>
          </w:p>
        </w:tc>
        <w:tc>
          <w:tcPr>
            <w:tcW w:w="1067" w:type="dxa"/>
            <w:shd w:val="clear" w:color="auto" w:fill="auto"/>
            <w:noWrap/>
            <w:vAlign w:val="center"/>
          </w:tcPr>
          <w:p w:rsidR="00D82C37" w:rsidRPr="008E4226" w:rsidRDefault="00D82C37" w:rsidP="00552736">
            <w:pPr>
              <w:jc w:val="center"/>
            </w:pPr>
            <w:r w:rsidRPr="008E4226">
              <w:t>Медіана</w:t>
            </w:r>
          </w:p>
        </w:tc>
        <w:tc>
          <w:tcPr>
            <w:tcW w:w="1430" w:type="dxa"/>
            <w:shd w:val="clear" w:color="auto" w:fill="auto"/>
            <w:noWrap/>
            <w:vAlign w:val="center"/>
          </w:tcPr>
          <w:p w:rsidR="00D82C37" w:rsidRPr="008E4226" w:rsidRDefault="00D82C37" w:rsidP="00552736">
            <w:pPr>
              <w:jc w:val="center"/>
            </w:pPr>
            <w:r w:rsidRPr="008E4226">
              <w:t>Стандартне відхилення</w:t>
            </w:r>
          </w:p>
        </w:tc>
        <w:tc>
          <w:tcPr>
            <w:tcW w:w="1118" w:type="dxa"/>
            <w:shd w:val="clear" w:color="auto" w:fill="auto"/>
            <w:noWrap/>
            <w:vAlign w:val="center"/>
          </w:tcPr>
          <w:p w:rsidR="00D82C37" w:rsidRPr="008E4226" w:rsidRDefault="00D82C37" w:rsidP="00552736">
            <w:pPr>
              <w:jc w:val="center"/>
            </w:pPr>
            <w:r w:rsidRPr="008E4226">
              <w:t>Мінімум</w:t>
            </w:r>
          </w:p>
        </w:tc>
        <w:tc>
          <w:tcPr>
            <w:tcW w:w="1522" w:type="dxa"/>
            <w:shd w:val="clear" w:color="auto" w:fill="auto"/>
            <w:noWrap/>
            <w:vAlign w:val="center"/>
          </w:tcPr>
          <w:p w:rsidR="00D82C37" w:rsidRPr="008E4226" w:rsidRDefault="00D82C37" w:rsidP="00552736">
            <w:pPr>
              <w:jc w:val="center"/>
            </w:pPr>
            <w:r w:rsidRPr="008E4226">
              <w:t>Максимум</w:t>
            </w:r>
          </w:p>
        </w:tc>
      </w:tr>
      <w:tr w:rsidR="00D82C37" w:rsidRPr="008E4226" w:rsidTr="00552736">
        <w:trPr>
          <w:trHeight w:val="255"/>
        </w:trPr>
        <w:tc>
          <w:tcPr>
            <w:tcW w:w="1994" w:type="dxa"/>
            <w:shd w:val="clear" w:color="auto" w:fill="auto"/>
            <w:noWrap/>
            <w:vAlign w:val="center"/>
          </w:tcPr>
          <w:p w:rsidR="00D82C37" w:rsidRPr="008E4226" w:rsidRDefault="00D82C37" w:rsidP="00552736">
            <w:pPr>
              <w:jc w:val="center"/>
            </w:pPr>
            <w:r w:rsidRPr="008E4226">
              <w:t xml:space="preserve">Нефробластома </w:t>
            </w:r>
          </w:p>
        </w:tc>
        <w:tc>
          <w:tcPr>
            <w:tcW w:w="571" w:type="dxa"/>
            <w:shd w:val="clear" w:color="auto" w:fill="auto"/>
            <w:noWrap/>
            <w:vAlign w:val="center"/>
          </w:tcPr>
          <w:p w:rsidR="00D82C37" w:rsidRPr="008E4226" w:rsidRDefault="00D82C37" w:rsidP="00552736">
            <w:pPr>
              <w:jc w:val="center"/>
            </w:pPr>
            <w:r w:rsidRPr="008E4226">
              <w:t>28</w:t>
            </w:r>
          </w:p>
        </w:tc>
        <w:tc>
          <w:tcPr>
            <w:tcW w:w="1672" w:type="dxa"/>
            <w:shd w:val="clear" w:color="auto" w:fill="auto"/>
            <w:noWrap/>
            <w:vAlign w:val="center"/>
          </w:tcPr>
          <w:p w:rsidR="00D82C37" w:rsidRPr="008E4226" w:rsidRDefault="00D82C37" w:rsidP="00552736">
            <w:pPr>
              <w:jc w:val="center"/>
            </w:pPr>
            <w:r w:rsidRPr="008E4226">
              <w:t>4,27</w:t>
            </w:r>
          </w:p>
        </w:tc>
        <w:tc>
          <w:tcPr>
            <w:tcW w:w="1067" w:type="dxa"/>
            <w:shd w:val="clear" w:color="auto" w:fill="auto"/>
            <w:noWrap/>
            <w:vAlign w:val="center"/>
          </w:tcPr>
          <w:p w:rsidR="00D82C37" w:rsidRPr="008E4226" w:rsidRDefault="00D82C37" w:rsidP="00552736">
            <w:pPr>
              <w:jc w:val="center"/>
            </w:pPr>
            <w:r w:rsidRPr="008E4226">
              <w:t>1,5</w:t>
            </w:r>
          </w:p>
        </w:tc>
        <w:tc>
          <w:tcPr>
            <w:tcW w:w="1430" w:type="dxa"/>
            <w:shd w:val="clear" w:color="auto" w:fill="auto"/>
            <w:noWrap/>
            <w:vAlign w:val="center"/>
          </w:tcPr>
          <w:p w:rsidR="00D82C37" w:rsidRPr="008E4226" w:rsidRDefault="00D82C37" w:rsidP="00552736">
            <w:pPr>
              <w:jc w:val="center"/>
            </w:pPr>
            <w:r w:rsidRPr="008E4226">
              <w:t>6,38</w:t>
            </w:r>
          </w:p>
        </w:tc>
        <w:tc>
          <w:tcPr>
            <w:tcW w:w="1118" w:type="dxa"/>
            <w:shd w:val="clear" w:color="auto" w:fill="auto"/>
            <w:noWrap/>
            <w:vAlign w:val="center"/>
          </w:tcPr>
          <w:p w:rsidR="00D82C37" w:rsidRPr="008E4226" w:rsidRDefault="00D82C37" w:rsidP="00552736">
            <w:pPr>
              <w:jc w:val="center"/>
            </w:pPr>
            <w:r w:rsidRPr="008E4226">
              <w:t>0,04</w:t>
            </w:r>
          </w:p>
        </w:tc>
        <w:tc>
          <w:tcPr>
            <w:tcW w:w="1522" w:type="dxa"/>
            <w:shd w:val="clear" w:color="auto" w:fill="auto"/>
            <w:noWrap/>
            <w:vAlign w:val="center"/>
          </w:tcPr>
          <w:p w:rsidR="00D82C37" w:rsidRPr="008E4226" w:rsidRDefault="00D82C37" w:rsidP="00552736">
            <w:pPr>
              <w:jc w:val="center"/>
            </w:pPr>
            <w:r w:rsidRPr="008E4226">
              <w:t>33,7</w:t>
            </w:r>
          </w:p>
        </w:tc>
      </w:tr>
      <w:tr w:rsidR="00D82C37" w:rsidRPr="008E4226" w:rsidTr="00552736">
        <w:trPr>
          <w:trHeight w:val="255"/>
        </w:trPr>
        <w:tc>
          <w:tcPr>
            <w:tcW w:w="1994" w:type="dxa"/>
            <w:shd w:val="clear" w:color="auto" w:fill="auto"/>
            <w:noWrap/>
            <w:vAlign w:val="center"/>
          </w:tcPr>
          <w:p w:rsidR="00D82C37" w:rsidRPr="008E4226" w:rsidRDefault="00D82C37" w:rsidP="00552736">
            <w:pPr>
              <w:jc w:val="center"/>
            </w:pPr>
            <w:r w:rsidRPr="008E4226">
              <w:t>Нейробластома</w:t>
            </w:r>
          </w:p>
        </w:tc>
        <w:tc>
          <w:tcPr>
            <w:tcW w:w="571" w:type="dxa"/>
            <w:shd w:val="clear" w:color="auto" w:fill="auto"/>
            <w:noWrap/>
            <w:vAlign w:val="center"/>
          </w:tcPr>
          <w:p w:rsidR="00D82C37" w:rsidRPr="008E4226" w:rsidRDefault="00D82C37" w:rsidP="00552736">
            <w:pPr>
              <w:jc w:val="center"/>
            </w:pPr>
            <w:r w:rsidRPr="008E4226">
              <w:t>30</w:t>
            </w:r>
          </w:p>
        </w:tc>
        <w:tc>
          <w:tcPr>
            <w:tcW w:w="1672" w:type="dxa"/>
            <w:shd w:val="clear" w:color="auto" w:fill="auto"/>
            <w:noWrap/>
            <w:vAlign w:val="center"/>
          </w:tcPr>
          <w:p w:rsidR="00D82C37" w:rsidRPr="008E4226" w:rsidRDefault="00D82C37" w:rsidP="00552736">
            <w:pPr>
              <w:jc w:val="center"/>
            </w:pPr>
            <w:r w:rsidRPr="008E4226">
              <w:t>2,79</w:t>
            </w:r>
          </w:p>
        </w:tc>
        <w:tc>
          <w:tcPr>
            <w:tcW w:w="1067" w:type="dxa"/>
            <w:shd w:val="clear" w:color="auto" w:fill="auto"/>
            <w:noWrap/>
            <w:vAlign w:val="center"/>
          </w:tcPr>
          <w:p w:rsidR="00D82C37" w:rsidRPr="008E4226" w:rsidRDefault="00D82C37" w:rsidP="00552736">
            <w:pPr>
              <w:jc w:val="center"/>
            </w:pPr>
            <w:r w:rsidRPr="008E4226">
              <w:t>1,7</w:t>
            </w:r>
          </w:p>
        </w:tc>
        <w:tc>
          <w:tcPr>
            <w:tcW w:w="1430" w:type="dxa"/>
            <w:shd w:val="clear" w:color="auto" w:fill="auto"/>
            <w:noWrap/>
            <w:vAlign w:val="center"/>
          </w:tcPr>
          <w:p w:rsidR="00D82C37" w:rsidRPr="008E4226" w:rsidRDefault="00D82C37" w:rsidP="00552736">
            <w:pPr>
              <w:jc w:val="center"/>
            </w:pPr>
            <w:r w:rsidRPr="008E4226">
              <w:t>3,82</w:t>
            </w:r>
          </w:p>
        </w:tc>
        <w:tc>
          <w:tcPr>
            <w:tcW w:w="1118" w:type="dxa"/>
            <w:shd w:val="clear" w:color="auto" w:fill="auto"/>
            <w:noWrap/>
            <w:vAlign w:val="center"/>
          </w:tcPr>
          <w:p w:rsidR="00D82C37" w:rsidRPr="008E4226" w:rsidRDefault="00D82C37" w:rsidP="00552736">
            <w:pPr>
              <w:jc w:val="center"/>
            </w:pPr>
            <w:r w:rsidRPr="008E4226">
              <w:t>0,15</w:t>
            </w:r>
          </w:p>
        </w:tc>
        <w:tc>
          <w:tcPr>
            <w:tcW w:w="1522" w:type="dxa"/>
            <w:shd w:val="clear" w:color="auto" w:fill="auto"/>
            <w:noWrap/>
            <w:vAlign w:val="center"/>
          </w:tcPr>
          <w:p w:rsidR="00D82C37" w:rsidRPr="008E4226" w:rsidRDefault="00D82C37" w:rsidP="00552736">
            <w:pPr>
              <w:jc w:val="center"/>
            </w:pPr>
            <w:r w:rsidRPr="008E4226">
              <w:t>18,0</w:t>
            </w:r>
          </w:p>
        </w:tc>
      </w:tr>
      <w:tr w:rsidR="00D82C37" w:rsidRPr="008E4226" w:rsidTr="00552736">
        <w:trPr>
          <w:trHeight w:val="255"/>
        </w:trPr>
        <w:tc>
          <w:tcPr>
            <w:tcW w:w="1994" w:type="dxa"/>
            <w:shd w:val="clear" w:color="auto" w:fill="auto"/>
            <w:noWrap/>
            <w:vAlign w:val="center"/>
          </w:tcPr>
          <w:p w:rsidR="00D82C37" w:rsidRPr="008E4226" w:rsidRDefault="00D82C37" w:rsidP="00552736">
            <w:pPr>
              <w:jc w:val="center"/>
            </w:pPr>
            <w:r w:rsidRPr="008E4226">
              <w:t xml:space="preserve">Саркома Юїнга </w:t>
            </w:r>
          </w:p>
          <w:p w:rsidR="00D82C37" w:rsidRPr="008E4226" w:rsidRDefault="00D82C37" w:rsidP="00552736">
            <w:pPr>
              <w:jc w:val="center"/>
            </w:pPr>
            <w:r w:rsidRPr="008E4226">
              <w:t>і ПНЕП</w:t>
            </w:r>
          </w:p>
        </w:tc>
        <w:tc>
          <w:tcPr>
            <w:tcW w:w="571" w:type="dxa"/>
            <w:shd w:val="clear" w:color="auto" w:fill="auto"/>
            <w:noWrap/>
            <w:vAlign w:val="center"/>
          </w:tcPr>
          <w:p w:rsidR="00D82C37" w:rsidRPr="008E4226" w:rsidRDefault="00D82C37" w:rsidP="00552736">
            <w:pPr>
              <w:jc w:val="center"/>
            </w:pPr>
            <w:r w:rsidRPr="008E4226">
              <w:t>82</w:t>
            </w:r>
          </w:p>
        </w:tc>
        <w:tc>
          <w:tcPr>
            <w:tcW w:w="1672" w:type="dxa"/>
            <w:shd w:val="clear" w:color="auto" w:fill="auto"/>
            <w:noWrap/>
            <w:vAlign w:val="center"/>
          </w:tcPr>
          <w:p w:rsidR="00D82C37" w:rsidRPr="008E4226" w:rsidRDefault="00D82C37" w:rsidP="00552736">
            <w:pPr>
              <w:jc w:val="center"/>
            </w:pPr>
            <w:r w:rsidRPr="008E4226">
              <w:t>3,36</w:t>
            </w:r>
          </w:p>
        </w:tc>
        <w:tc>
          <w:tcPr>
            <w:tcW w:w="1067" w:type="dxa"/>
            <w:shd w:val="clear" w:color="auto" w:fill="auto"/>
            <w:noWrap/>
            <w:vAlign w:val="center"/>
          </w:tcPr>
          <w:p w:rsidR="00D82C37" w:rsidRPr="008E4226" w:rsidRDefault="00D82C37" w:rsidP="00552736">
            <w:pPr>
              <w:jc w:val="center"/>
            </w:pPr>
            <w:r w:rsidRPr="008E4226">
              <w:t>2,2</w:t>
            </w:r>
          </w:p>
        </w:tc>
        <w:tc>
          <w:tcPr>
            <w:tcW w:w="1430" w:type="dxa"/>
            <w:shd w:val="clear" w:color="auto" w:fill="auto"/>
            <w:noWrap/>
            <w:vAlign w:val="center"/>
          </w:tcPr>
          <w:p w:rsidR="00D82C37" w:rsidRPr="008E4226" w:rsidRDefault="00D82C37" w:rsidP="00552736">
            <w:pPr>
              <w:jc w:val="center"/>
            </w:pPr>
            <w:r w:rsidRPr="008E4226">
              <w:t>4,09</w:t>
            </w:r>
          </w:p>
        </w:tc>
        <w:tc>
          <w:tcPr>
            <w:tcW w:w="1118" w:type="dxa"/>
            <w:shd w:val="clear" w:color="auto" w:fill="auto"/>
            <w:noWrap/>
            <w:vAlign w:val="center"/>
          </w:tcPr>
          <w:p w:rsidR="00D82C37" w:rsidRPr="008E4226" w:rsidRDefault="00D82C37" w:rsidP="00552736">
            <w:pPr>
              <w:jc w:val="center"/>
            </w:pPr>
            <w:r w:rsidRPr="008E4226">
              <w:t>0,005</w:t>
            </w:r>
          </w:p>
        </w:tc>
        <w:tc>
          <w:tcPr>
            <w:tcW w:w="1522" w:type="dxa"/>
            <w:shd w:val="clear" w:color="auto" w:fill="auto"/>
            <w:noWrap/>
            <w:vAlign w:val="center"/>
          </w:tcPr>
          <w:p w:rsidR="00D82C37" w:rsidRPr="008E4226" w:rsidRDefault="00D82C37" w:rsidP="00552736">
            <w:pPr>
              <w:jc w:val="center"/>
            </w:pPr>
            <w:r w:rsidRPr="008E4226">
              <w:t>25,3</w:t>
            </w:r>
          </w:p>
        </w:tc>
      </w:tr>
      <w:tr w:rsidR="00D82C37" w:rsidRPr="008E4226" w:rsidTr="00552736">
        <w:trPr>
          <w:trHeight w:val="255"/>
        </w:trPr>
        <w:tc>
          <w:tcPr>
            <w:tcW w:w="1994" w:type="dxa"/>
            <w:shd w:val="clear" w:color="auto" w:fill="auto"/>
            <w:noWrap/>
            <w:vAlign w:val="center"/>
          </w:tcPr>
          <w:p w:rsidR="00D82C37" w:rsidRPr="008E4226" w:rsidRDefault="00D82C37" w:rsidP="00552736">
            <w:pPr>
              <w:jc w:val="center"/>
            </w:pPr>
            <w:r w:rsidRPr="008E4226">
              <w:t>Саркома м’яких тканин</w:t>
            </w:r>
          </w:p>
        </w:tc>
        <w:tc>
          <w:tcPr>
            <w:tcW w:w="571" w:type="dxa"/>
            <w:shd w:val="clear" w:color="auto" w:fill="auto"/>
            <w:noWrap/>
            <w:vAlign w:val="center"/>
          </w:tcPr>
          <w:p w:rsidR="00D82C37" w:rsidRPr="008E4226" w:rsidRDefault="00D82C37" w:rsidP="00552736">
            <w:pPr>
              <w:jc w:val="center"/>
            </w:pPr>
            <w:r w:rsidRPr="008E4226">
              <w:t>31</w:t>
            </w:r>
          </w:p>
        </w:tc>
        <w:tc>
          <w:tcPr>
            <w:tcW w:w="1672" w:type="dxa"/>
            <w:shd w:val="clear" w:color="auto" w:fill="auto"/>
            <w:noWrap/>
            <w:vAlign w:val="center"/>
          </w:tcPr>
          <w:p w:rsidR="00D82C37" w:rsidRPr="008E4226" w:rsidRDefault="00D82C37" w:rsidP="00552736">
            <w:pPr>
              <w:jc w:val="center"/>
            </w:pPr>
            <w:r w:rsidRPr="008E4226">
              <w:t>4,82</w:t>
            </w:r>
          </w:p>
        </w:tc>
        <w:tc>
          <w:tcPr>
            <w:tcW w:w="1067" w:type="dxa"/>
            <w:shd w:val="clear" w:color="auto" w:fill="auto"/>
            <w:noWrap/>
            <w:vAlign w:val="center"/>
          </w:tcPr>
          <w:p w:rsidR="00D82C37" w:rsidRPr="008E4226" w:rsidRDefault="00D82C37" w:rsidP="00552736">
            <w:pPr>
              <w:jc w:val="center"/>
            </w:pPr>
            <w:r w:rsidRPr="008E4226">
              <w:t>2,0</w:t>
            </w:r>
          </w:p>
        </w:tc>
        <w:tc>
          <w:tcPr>
            <w:tcW w:w="1430" w:type="dxa"/>
            <w:shd w:val="clear" w:color="auto" w:fill="auto"/>
            <w:noWrap/>
            <w:vAlign w:val="center"/>
          </w:tcPr>
          <w:p w:rsidR="00D82C37" w:rsidRPr="008E4226" w:rsidRDefault="00D82C37" w:rsidP="00552736">
            <w:pPr>
              <w:jc w:val="center"/>
            </w:pPr>
            <w:r w:rsidRPr="008E4226">
              <w:t>6,00</w:t>
            </w:r>
          </w:p>
        </w:tc>
        <w:tc>
          <w:tcPr>
            <w:tcW w:w="1118" w:type="dxa"/>
            <w:shd w:val="clear" w:color="auto" w:fill="auto"/>
            <w:noWrap/>
            <w:vAlign w:val="center"/>
          </w:tcPr>
          <w:p w:rsidR="00D82C37" w:rsidRPr="008E4226" w:rsidRDefault="00D82C37" w:rsidP="00552736">
            <w:pPr>
              <w:jc w:val="center"/>
            </w:pPr>
            <w:r w:rsidRPr="008E4226">
              <w:t>0,06</w:t>
            </w:r>
          </w:p>
        </w:tc>
        <w:tc>
          <w:tcPr>
            <w:tcW w:w="1522" w:type="dxa"/>
            <w:shd w:val="clear" w:color="auto" w:fill="auto"/>
            <w:noWrap/>
            <w:vAlign w:val="center"/>
          </w:tcPr>
          <w:p w:rsidR="00D82C37" w:rsidRPr="008E4226" w:rsidRDefault="00D82C37" w:rsidP="00552736">
            <w:pPr>
              <w:jc w:val="center"/>
            </w:pPr>
            <w:r w:rsidRPr="008E4226">
              <w:t>24,3</w:t>
            </w:r>
          </w:p>
        </w:tc>
      </w:tr>
      <w:tr w:rsidR="00D82C37" w:rsidRPr="008E4226" w:rsidTr="00552736">
        <w:trPr>
          <w:trHeight w:val="255"/>
        </w:trPr>
        <w:tc>
          <w:tcPr>
            <w:tcW w:w="1994" w:type="dxa"/>
            <w:shd w:val="clear" w:color="auto" w:fill="auto"/>
            <w:noWrap/>
            <w:vAlign w:val="center"/>
          </w:tcPr>
          <w:p w:rsidR="00D82C37" w:rsidRPr="008E4226" w:rsidRDefault="00D82C37" w:rsidP="00552736">
            <w:pPr>
              <w:jc w:val="center"/>
            </w:pPr>
            <w:r w:rsidRPr="008E4226">
              <w:t>Ретинобластома</w:t>
            </w:r>
          </w:p>
        </w:tc>
        <w:tc>
          <w:tcPr>
            <w:tcW w:w="571" w:type="dxa"/>
            <w:shd w:val="clear" w:color="auto" w:fill="auto"/>
            <w:noWrap/>
            <w:vAlign w:val="center"/>
          </w:tcPr>
          <w:p w:rsidR="00D82C37" w:rsidRPr="008E4226" w:rsidRDefault="00D82C37" w:rsidP="00552736">
            <w:pPr>
              <w:jc w:val="center"/>
            </w:pPr>
            <w:r w:rsidRPr="008E4226">
              <w:t>8</w:t>
            </w:r>
          </w:p>
        </w:tc>
        <w:tc>
          <w:tcPr>
            <w:tcW w:w="1672" w:type="dxa"/>
            <w:shd w:val="clear" w:color="auto" w:fill="auto"/>
            <w:noWrap/>
            <w:vAlign w:val="center"/>
          </w:tcPr>
          <w:p w:rsidR="00D82C37" w:rsidRPr="008E4226" w:rsidRDefault="00D82C37" w:rsidP="00552736">
            <w:pPr>
              <w:jc w:val="center"/>
            </w:pPr>
            <w:r w:rsidRPr="008E4226">
              <w:t>2,38</w:t>
            </w:r>
          </w:p>
        </w:tc>
        <w:tc>
          <w:tcPr>
            <w:tcW w:w="1067" w:type="dxa"/>
            <w:shd w:val="clear" w:color="auto" w:fill="auto"/>
            <w:noWrap/>
            <w:vAlign w:val="center"/>
          </w:tcPr>
          <w:p w:rsidR="00D82C37" w:rsidRPr="008E4226" w:rsidRDefault="00D82C37" w:rsidP="00552736">
            <w:pPr>
              <w:jc w:val="center"/>
            </w:pPr>
            <w:r w:rsidRPr="008E4226">
              <w:t>2,39</w:t>
            </w:r>
          </w:p>
        </w:tc>
        <w:tc>
          <w:tcPr>
            <w:tcW w:w="1430" w:type="dxa"/>
            <w:shd w:val="clear" w:color="auto" w:fill="auto"/>
            <w:noWrap/>
            <w:vAlign w:val="center"/>
          </w:tcPr>
          <w:p w:rsidR="00D82C37" w:rsidRPr="008E4226" w:rsidRDefault="00D82C37" w:rsidP="00552736">
            <w:pPr>
              <w:jc w:val="center"/>
            </w:pPr>
            <w:r w:rsidRPr="008E4226">
              <w:t>1,12</w:t>
            </w:r>
          </w:p>
        </w:tc>
        <w:tc>
          <w:tcPr>
            <w:tcW w:w="1118" w:type="dxa"/>
            <w:shd w:val="clear" w:color="auto" w:fill="auto"/>
            <w:noWrap/>
            <w:vAlign w:val="center"/>
          </w:tcPr>
          <w:p w:rsidR="00D82C37" w:rsidRPr="008E4226" w:rsidRDefault="00D82C37" w:rsidP="00552736">
            <w:pPr>
              <w:jc w:val="center"/>
            </w:pPr>
            <w:r w:rsidRPr="008E4226">
              <w:t>0,28</w:t>
            </w:r>
          </w:p>
        </w:tc>
        <w:tc>
          <w:tcPr>
            <w:tcW w:w="1522" w:type="dxa"/>
            <w:shd w:val="clear" w:color="auto" w:fill="auto"/>
            <w:noWrap/>
            <w:vAlign w:val="center"/>
          </w:tcPr>
          <w:p w:rsidR="00D82C37" w:rsidRPr="008E4226" w:rsidRDefault="00D82C37" w:rsidP="00552736">
            <w:pPr>
              <w:jc w:val="center"/>
            </w:pPr>
            <w:r w:rsidRPr="008E4226">
              <w:t>4,2</w:t>
            </w:r>
          </w:p>
        </w:tc>
      </w:tr>
      <w:tr w:rsidR="00D82C37" w:rsidRPr="008E4226" w:rsidTr="00552736">
        <w:trPr>
          <w:trHeight w:val="255"/>
        </w:trPr>
        <w:tc>
          <w:tcPr>
            <w:tcW w:w="1994" w:type="dxa"/>
            <w:shd w:val="clear" w:color="auto" w:fill="auto"/>
            <w:noWrap/>
            <w:vAlign w:val="center"/>
          </w:tcPr>
          <w:p w:rsidR="00D82C37" w:rsidRPr="008E4226" w:rsidRDefault="00D82C37" w:rsidP="00552736">
            <w:pPr>
              <w:jc w:val="center"/>
            </w:pPr>
            <w:r w:rsidRPr="008E4226">
              <w:t>Інші</w:t>
            </w:r>
          </w:p>
        </w:tc>
        <w:tc>
          <w:tcPr>
            <w:tcW w:w="571" w:type="dxa"/>
            <w:shd w:val="clear" w:color="auto" w:fill="auto"/>
            <w:noWrap/>
            <w:vAlign w:val="center"/>
          </w:tcPr>
          <w:p w:rsidR="00D82C37" w:rsidRPr="008E4226" w:rsidRDefault="00D82C37" w:rsidP="00552736">
            <w:pPr>
              <w:jc w:val="center"/>
            </w:pPr>
            <w:r w:rsidRPr="008E4226">
              <w:t>7</w:t>
            </w:r>
          </w:p>
        </w:tc>
        <w:tc>
          <w:tcPr>
            <w:tcW w:w="1672" w:type="dxa"/>
            <w:shd w:val="clear" w:color="auto" w:fill="auto"/>
            <w:noWrap/>
            <w:vAlign w:val="center"/>
          </w:tcPr>
          <w:p w:rsidR="00D82C37" w:rsidRPr="008E4226" w:rsidRDefault="00D82C37" w:rsidP="00552736">
            <w:pPr>
              <w:jc w:val="center"/>
            </w:pPr>
            <w:r w:rsidRPr="008E4226">
              <w:t>5,13</w:t>
            </w:r>
          </w:p>
        </w:tc>
        <w:tc>
          <w:tcPr>
            <w:tcW w:w="1067" w:type="dxa"/>
            <w:shd w:val="clear" w:color="auto" w:fill="auto"/>
            <w:noWrap/>
            <w:vAlign w:val="center"/>
          </w:tcPr>
          <w:p w:rsidR="00D82C37" w:rsidRPr="008E4226" w:rsidRDefault="00D82C37" w:rsidP="00552736">
            <w:pPr>
              <w:jc w:val="center"/>
            </w:pPr>
            <w:r w:rsidRPr="008E4226">
              <w:t>1,5</w:t>
            </w:r>
          </w:p>
        </w:tc>
        <w:tc>
          <w:tcPr>
            <w:tcW w:w="1430" w:type="dxa"/>
            <w:shd w:val="clear" w:color="auto" w:fill="auto"/>
            <w:noWrap/>
            <w:vAlign w:val="center"/>
          </w:tcPr>
          <w:p w:rsidR="00D82C37" w:rsidRPr="008E4226" w:rsidRDefault="00D82C37" w:rsidP="00552736">
            <w:pPr>
              <w:jc w:val="center"/>
            </w:pPr>
            <w:r w:rsidRPr="008E4226">
              <w:t>9,94</w:t>
            </w:r>
          </w:p>
        </w:tc>
        <w:tc>
          <w:tcPr>
            <w:tcW w:w="1118" w:type="dxa"/>
            <w:shd w:val="clear" w:color="auto" w:fill="auto"/>
            <w:noWrap/>
            <w:vAlign w:val="center"/>
          </w:tcPr>
          <w:p w:rsidR="00D82C37" w:rsidRPr="008E4226" w:rsidRDefault="00D82C37" w:rsidP="00552736">
            <w:pPr>
              <w:jc w:val="center"/>
            </w:pPr>
            <w:r w:rsidRPr="008E4226">
              <w:t>0,48</w:t>
            </w:r>
          </w:p>
        </w:tc>
        <w:tc>
          <w:tcPr>
            <w:tcW w:w="1522" w:type="dxa"/>
            <w:shd w:val="clear" w:color="auto" w:fill="auto"/>
            <w:noWrap/>
            <w:vAlign w:val="center"/>
          </w:tcPr>
          <w:p w:rsidR="00D82C37" w:rsidRPr="008E4226" w:rsidRDefault="00D82C37" w:rsidP="00552736">
            <w:pPr>
              <w:jc w:val="center"/>
            </w:pPr>
            <w:r w:rsidRPr="008E4226">
              <w:t>31,4</w:t>
            </w:r>
          </w:p>
        </w:tc>
      </w:tr>
    </w:tbl>
    <w:p w:rsidR="00D82C37" w:rsidRDefault="00D82C37" w:rsidP="00D82C37">
      <w:pPr>
        <w:ind w:firstLine="708"/>
        <w:jc w:val="both"/>
        <w:rPr>
          <w:i/>
          <w:sz w:val="28"/>
          <w:szCs w:val="28"/>
        </w:rPr>
      </w:pPr>
      <w:r w:rsidRPr="00262B01">
        <w:rPr>
          <w:sz w:val="28"/>
          <w:szCs w:val="28"/>
        </w:rPr>
        <w:t>Подальший дисперсний аналіз, який ґрунтувався на результатах множинних порівнянь, показав відсутність істотних відмінностей</w:t>
      </w:r>
      <w:r>
        <w:rPr>
          <w:sz w:val="28"/>
          <w:szCs w:val="28"/>
        </w:rPr>
        <w:t xml:space="preserve"> </w:t>
      </w:r>
      <w:r w:rsidRPr="00262B01">
        <w:rPr>
          <w:sz w:val="28"/>
          <w:szCs w:val="28"/>
        </w:rPr>
        <w:t>(р ≥ 0,05) між підгрупами, сформованими за кількістю блоків ХТ до мобілізації</w:t>
      </w:r>
      <w:r>
        <w:rPr>
          <w:sz w:val="28"/>
          <w:szCs w:val="28"/>
        </w:rPr>
        <w:t xml:space="preserve"> (див. табл.4).</w:t>
      </w:r>
    </w:p>
    <w:p w:rsidR="00D82C37" w:rsidRPr="00262B01" w:rsidRDefault="00D82C37" w:rsidP="00D82C37">
      <w:pPr>
        <w:jc w:val="right"/>
        <w:rPr>
          <w:i/>
          <w:sz w:val="28"/>
          <w:szCs w:val="28"/>
        </w:rPr>
      </w:pPr>
      <w:r w:rsidRPr="00262B01">
        <w:rPr>
          <w:i/>
          <w:sz w:val="28"/>
          <w:szCs w:val="28"/>
        </w:rPr>
        <w:t>Таблиця 4</w:t>
      </w:r>
    </w:p>
    <w:p w:rsidR="00D82C37" w:rsidRPr="00262B01" w:rsidRDefault="00D82C37" w:rsidP="00D82C37">
      <w:pPr>
        <w:jc w:val="center"/>
        <w:rPr>
          <w:b/>
          <w:sz w:val="28"/>
          <w:szCs w:val="28"/>
        </w:rPr>
      </w:pPr>
      <w:r w:rsidRPr="00262B01">
        <w:rPr>
          <w:b/>
          <w:sz w:val="28"/>
          <w:szCs w:val="28"/>
        </w:rPr>
        <w:t>Результати лейкоцитаферезу залежно від кількості курсів ПХТ до початку процедури мобілізації (кількість СД 34+клітин/кг маси)</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84"/>
        <w:gridCol w:w="1368"/>
        <w:gridCol w:w="1645"/>
        <w:gridCol w:w="1125"/>
        <w:gridCol w:w="1508"/>
        <w:gridCol w:w="1095"/>
        <w:gridCol w:w="1320"/>
      </w:tblGrid>
      <w:tr w:rsidR="00D82C37" w:rsidRPr="00BD3A2A" w:rsidTr="00552736">
        <w:trPr>
          <w:trHeight w:val="255"/>
        </w:trPr>
        <w:tc>
          <w:tcPr>
            <w:tcW w:w="687" w:type="pct"/>
            <w:shd w:val="clear" w:color="auto" w:fill="auto"/>
            <w:noWrap/>
            <w:vAlign w:val="center"/>
          </w:tcPr>
          <w:p w:rsidR="00D82C37" w:rsidRPr="00BD3A2A" w:rsidRDefault="00D82C37" w:rsidP="00552736">
            <w:pPr>
              <w:rPr>
                <w:szCs w:val="24"/>
              </w:rPr>
            </w:pPr>
            <w:r w:rsidRPr="00BD3A2A">
              <w:rPr>
                <w:szCs w:val="24"/>
              </w:rPr>
              <w:t>Кількість курсів ХТ</w:t>
            </w:r>
          </w:p>
        </w:tc>
        <w:tc>
          <w:tcPr>
            <w:tcW w:w="732" w:type="pct"/>
            <w:shd w:val="clear" w:color="auto" w:fill="auto"/>
            <w:noWrap/>
            <w:vAlign w:val="center"/>
          </w:tcPr>
          <w:p w:rsidR="00D82C37" w:rsidRPr="00BD3A2A" w:rsidRDefault="00D82C37" w:rsidP="00552736">
            <w:pPr>
              <w:rPr>
                <w:szCs w:val="24"/>
              </w:rPr>
            </w:pPr>
            <w:r w:rsidRPr="00BD3A2A">
              <w:rPr>
                <w:szCs w:val="24"/>
              </w:rPr>
              <w:t>n = 315</w:t>
            </w:r>
          </w:p>
        </w:tc>
        <w:tc>
          <w:tcPr>
            <w:tcW w:w="880" w:type="pct"/>
            <w:shd w:val="clear" w:color="auto" w:fill="auto"/>
            <w:noWrap/>
            <w:vAlign w:val="center"/>
          </w:tcPr>
          <w:p w:rsidR="00D82C37" w:rsidRPr="00BD3A2A" w:rsidRDefault="00D82C37" w:rsidP="00552736">
            <w:pPr>
              <w:rPr>
                <w:szCs w:val="24"/>
              </w:rPr>
            </w:pPr>
            <w:r w:rsidRPr="00BD3A2A">
              <w:rPr>
                <w:szCs w:val="24"/>
              </w:rPr>
              <w:t>Середнє арифметичне</w:t>
            </w:r>
          </w:p>
        </w:tc>
        <w:tc>
          <w:tcPr>
            <w:tcW w:w="602" w:type="pct"/>
            <w:shd w:val="clear" w:color="auto" w:fill="auto"/>
            <w:noWrap/>
            <w:vAlign w:val="center"/>
          </w:tcPr>
          <w:p w:rsidR="00D82C37" w:rsidRPr="00BD3A2A" w:rsidRDefault="00D82C37" w:rsidP="00552736">
            <w:pPr>
              <w:rPr>
                <w:szCs w:val="24"/>
              </w:rPr>
            </w:pPr>
            <w:r w:rsidRPr="00BD3A2A">
              <w:rPr>
                <w:szCs w:val="24"/>
              </w:rPr>
              <w:t>Медіана</w:t>
            </w:r>
          </w:p>
        </w:tc>
        <w:tc>
          <w:tcPr>
            <w:tcW w:w="807" w:type="pct"/>
            <w:shd w:val="clear" w:color="auto" w:fill="auto"/>
            <w:noWrap/>
            <w:vAlign w:val="center"/>
          </w:tcPr>
          <w:p w:rsidR="00D82C37" w:rsidRPr="00BD3A2A" w:rsidRDefault="00D82C37" w:rsidP="00552736">
            <w:pPr>
              <w:rPr>
                <w:szCs w:val="24"/>
              </w:rPr>
            </w:pPr>
            <w:r w:rsidRPr="00BD3A2A">
              <w:rPr>
                <w:szCs w:val="24"/>
              </w:rPr>
              <w:t>Стандартне відхилення</w:t>
            </w:r>
          </w:p>
        </w:tc>
        <w:tc>
          <w:tcPr>
            <w:tcW w:w="586" w:type="pct"/>
            <w:shd w:val="clear" w:color="auto" w:fill="auto"/>
            <w:noWrap/>
            <w:vAlign w:val="center"/>
          </w:tcPr>
          <w:p w:rsidR="00D82C37" w:rsidRPr="00BD3A2A" w:rsidRDefault="00D82C37" w:rsidP="00552736">
            <w:pPr>
              <w:rPr>
                <w:szCs w:val="24"/>
              </w:rPr>
            </w:pPr>
            <w:r w:rsidRPr="00BD3A2A">
              <w:rPr>
                <w:szCs w:val="24"/>
              </w:rPr>
              <w:t>Мінімум</w:t>
            </w:r>
          </w:p>
        </w:tc>
        <w:tc>
          <w:tcPr>
            <w:tcW w:w="706" w:type="pct"/>
            <w:shd w:val="clear" w:color="auto" w:fill="auto"/>
            <w:noWrap/>
            <w:vAlign w:val="center"/>
          </w:tcPr>
          <w:p w:rsidR="00D82C37" w:rsidRPr="00BD3A2A" w:rsidRDefault="00D82C37" w:rsidP="00552736">
            <w:pPr>
              <w:rPr>
                <w:szCs w:val="24"/>
              </w:rPr>
            </w:pPr>
            <w:r w:rsidRPr="00BD3A2A">
              <w:rPr>
                <w:szCs w:val="24"/>
              </w:rPr>
              <w:t>Максимум</w:t>
            </w:r>
          </w:p>
        </w:tc>
      </w:tr>
      <w:tr w:rsidR="00D82C37" w:rsidRPr="00BD3A2A" w:rsidTr="00552736">
        <w:trPr>
          <w:trHeight w:val="255"/>
        </w:trPr>
        <w:tc>
          <w:tcPr>
            <w:tcW w:w="687" w:type="pct"/>
            <w:shd w:val="clear" w:color="auto" w:fill="auto"/>
            <w:noWrap/>
            <w:vAlign w:val="center"/>
          </w:tcPr>
          <w:p w:rsidR="00D82C37" w:rsidRPr="00BD3A2A" w:rsidRDefault="00D82C37" w:rsidP="00552736">
            <w:pPr>
              <w:rPr>
                <w:szCs w:val="24"/>
              </w:rPr>
            </w:pPr>
            <w:r w:rsidRPr="00BD3A2A">
              <w:rPr>
                <w:szCs w:val="24"/>
              </w:rPr>
              <w:t xml:space="preserve">1 – 3 </w:t>
            </w:r>
          </w:p>
        </w:tc>
        <w:tc>
          <w:tcPr>
            <w:tcW w:w="732" w:type="pct"/>
            <w:shd w:val="clear" w:color="auto" w:fill="auto"/>
            <w:noWrap/>
            <w:vAlign w:val="center"/>
          </w:tcPr>
          <w:p w:rsidR="00D82C37" w:rsidRPr="00BD3A2A" w:rsidRDefault="00D82C37" w:rsidP="00552736">
            <w:pPr>
              <w:rPr>
                <w:szCs w:val="24"/>
              </w:rPr>
            </w:pPr>
            <w:r w:rsidRPr="00BD3A2A">
              <w:rPr>
                <w:szCs w:val="24"/>
              </w:rPr>
              <w:t>151</w:t>
            </w:r>
          </w:p>
        </w:tc>
        <w:tc>
          <w:tcPr>
            <w:tcW w:w="880" w:type="pct"/>
            <w:shd w:val="clear" w:color="auto" w:fill="auto"/>
            <w:noWrap/>
            <w:vAlign w:val="center"/>
          </w:tcPr>
          <w:p w:rsidR="00D82C37" w:rsidRPr="00BD3A2A" w:rsidRDefault="00D82C37" w:rsidP="00552736">
            <w:pPr>
              <w:rPr>
                <w:szCs w:val="24"/>
              </w:rPr>
            </w:pPr>
            <w:r w:rsidRPr="00BD3A2A">
              <w:rPr>
                <w:szCs w:val="24"/>
              </w:rPr>
              <w:t>3,64</w:t>
            </w:r>
          </w:p>
        </w:tc>
        <w:tc>
          <w:tcPr>
            <w:tcW w:w="602" w:type="pct"/>
            <w:shd w:val="clear" w:color="auto" w:fill="auto"/>
            <w:noWrap/>
            <w:vAlign w:val="center"/>
          </w:tcPr>
          <w:p w:rsidR="00D82C37" w:rsidRPr="00BD3A2A" w:rsidRDefault="00D82C37" w:rsidP="00552736">
            <w:pPr>
              <w:rPr>
                <w:szCs w:val="24"/>
              </w:rPr>
            </w:pPr>
            <w:r w:rsidRPr="00BD3A2A">
              <w:rPr>
                <w:szCs w:val="24"/>
              </w:rPr>
              <w:t>2,2</w:t>
            </w:r>
          </w:p>
        </w:tc>
        <w:tc>
          <w:tcPr>
            <w:tcW w:w="807" w:type="pct"/>
            <w:shd w:val="clear" w:color="auto" w:fill="auto"/>
            <w:noWrap/>
            <w:vAlign w:val="center"/>
          </w:tcPr>
          <w:p w:rsidR="00D82C37" w:rsidRPr="00BD3A2A" w:rsidRDefault="00D82C37" w:rsidP="00552736">
            <w:pPr>
              <w:rPr>
                <w:szCs w:val="24"/>
              </w:rPr>
            </w:pPr>
            <w:r w:rsidRPr="00BD3A2A">
              <w:rPr>
                <w:szCs w:val="24"/>
              </w:rPr>
              <w:t>4,87</w:t>
            </w:r>
          </w:p>
        </w:tc>
        <w:tc>
          <w:tcPr>
            <w:tcW w:w="586" w:type="pct"/>
            <w:shd w:val="clear" w:color="auto" w:fill="auto"/>
            <w:noWrap/>
            <w:vAlign w:val="center"/>
          </w:tcPr>
          <w:p w:rsidR="00D82C37" w:rsidRPr="00BD3A2A" w:rsidRDefault="00D82C37" w:rsidP="00552736">
            <w:pPr>
              <w:rPr>
                <w:szCs w:val="24"/>
              </w:rPr>
            </w:pPr>
            <w:r w:rsidRPr="00BD3A2A">
              <w:rPr>
                <w:szCs w:val="24"/>
              </w:rPr>
              <w:t>0,005</w:t>
            </w:r>
          </w:p>
        </w:tc>
        <w:tc>
          <w:tcPr>
            <w:tcW w:w="706" w:type="pct"/>
            <w:shd w:val="clear" w:color="auto" w:fill="auto"/>
            <w:noWrap/>
            <w:vAlign w:val="center"/>
          </w:tcPr>
          <w:p w:rsidR="00D82C37" w:rsidRPr="00BD3A2A" w:rsidRDefault="00D82C37" w:rsidP="00552736">
            <w:pPr>
              <w:rPr>
                <w:szCs w:val="24"/>
              </w:rPr>
            </w:pPr>
            <w:r w:rsidRPr="00BD3A2A">
              <w:rPr>
                <w:szCs w:val="24"/>
              </w:rPr>
              <w:t>31,4</w:t>
            </w:r>
          </w:p>
        </w:tc>
      </w:tr>
      <w:tr w:rsidR="00D82C37" w:rsidRPr="00BD3A2A" w:rsidTr="00552736">
        <w:trPr>
          <w:trHeight w:val="255"/>
        </w:trPr>
        <w:tc>
          <w:tcPr>
            <w:tcW w:w="687" w:type="pct"/>
            <w:shd w:val="clear" w:color="auto" w:fill="auto"/>
            <w:noWrap/>
            <w:vAlign w:val="center"/>
          </w:tcPr>
          <w:p w:rsidR="00D82C37" w:rsidRPr="00BD3A2A" w:rsidRDefault="00D82C37" w:rsidP="00552736">
            <w:pPr>
              <w:rPr>
                <w:szCs w:val="24"/>
              </w:rPr>
            </w:pPr>
            <w:r w:rsidRPr="00BD3A2A">
              <w:rPr>
                <w:szCs w:val="24"/>
              </w:rPr>
              <w:t xml:space="preserve">4 – 6 </w:t>
            </w:r>
          </w:p>
        </w:tc>
        <w:tc>
          <w:tcPr>
            <w:tcW w:w="732" w:type="pct"/>
            <w:shd w:val="clear" w:color="auto" w:fill="auto"/>
            <w:noWrap/>
            <w:vAlign w:val="center"/>
          </w:tcPr>
          <w:p w:rsidR="00D82C37" w:rsidRPr="00BD3A2A" w:rsidRDefault="00D82C37" w:rsidP="00552736">
            <w:pPr>
              <w:rPr>
                <w:szCs w:val="24"/>
              </w:rPr>
            </w:pPr>
            <w:r w:rsidRPr="00BD3A2A">
              <w:rPr>
                <w:szCs w:val="24"/>
              </w:rPr>
              <w:t>80</w:t>
            </w:r>
          </w:p>
        </w:tc>
        <w:tc>
          <w:tcPr>
            <w:tcW w:w="880" w:type="pct"/>
            <w:shd w:val="clear" w:color="auto" w:fill="auto"/>
            <w:noWrap/>
            <w:vAlign w:val="center"/>
          </w:tcPr>
          <w:p w:rsidR="00D82C37" w:rsidRPr="00BD3A2A" w:rsidRDefault="00D82C37" w:rsidP="00552736">
            <w:pPr>
              <w:rPr>
                <w:szCs w:val="24"/>
              </w:rPr>
            </w:pPr>
            <w:r w:rsidRPr="00BD3A2A">
              <w:rPr>
                <w:szCs w:val="24"/>
              </w:rPr>
              <w:t>3,57</w:t>
            </w:r>
          </w:p>
        </w:tc>
        <w:tc>
          <w:tcPr>
            <w:tcW w:w="602" w:type="pct"/>
            <w:shd w:val="clear" w:color="auto" w:fill="auto"/>
            <w:noWrap/>
            <w:vAlign w:val="center"/>
          </w:tcPr>
          <w:p w:rsidR="00D82C37" w:rsidRPr="00BD3A2A" w:rsidRDefault="00D82C37" w:rsidP="00552736">
            <w:pPr>
              <w:rPr>
                <w:szCs w:val="24"/>
              </w:rPr>
            </w:pPr>
            <w:r w:rsidRPr="00BD3A2A">
              <w:rPr>
                <w:szCs w:val="24"/>
              </w:rPr>
              <w:t>1,8</w:t>
            </w:r>
          </w:p>
        </w:tc>
        <w:tc>
          <w:tcPr>
            <w:tcW w:w="807" w:type="pct"/>
            <w:shd w:val="clear" w:color="auto" w:fill="auto"/>
            <w:noWrap/>
            <w:vAlign w:val="center"/>
          </w:tcPr>
          <w:p w:rsidR="00D82C37" w:rsidRPr="00BD3A2A" w:rsidRDefault="00D82C37" w:rsidP="00552736">
            <w:pPr>
              <w:rPr>
                <w:szCs w:val="24"/>
              </w:rPr>
            </w:pPr>
            <w:r w:rsidRPr="00BD3A2A">
              <w:rPr>
                <w:szCs w:val="24"/>
              </w:rPr>
              <w:t>4,33</w:t>
            </w:r>
          </w:p>
        </w:tc>
        <w:tc>
          <w:tcPr>
            <w:tcW w:w="586" w:type="pct"/>
            <w:shd w:val="clear" w:color="auto" w:fill="auto"/>
            <w:noWrap/>
            <w:vAlign w:val="center"/>
          </w:tcPr>
          <w:p w:rsidR="00D82C37" w:rsidRPr="00BD3A2A" w:rsidRDefault="00D82C37" w:rsidP="00552736">
            <w:pPr>
              <w:rPr>
                <w:szCs w:val="24"/>
              </w:rPr>
            </w:pPr>
            <w:r w:rsidRPr="00BD3A2A">
              <w:rPr>
                <w:szCs w:val="24"/>
              </w:rPr>
              <w:t>0,04</w:t>
            </w:r>
          </w:p>
        </w:tc>
        <w:tc>
          <w:tcPr>
            <w:tcW w:w="706" w:type="pct"/>
            <w:shd w:val="clear" w:color="auto" w:fill="auto"/>
            <w:noWrap/>
            <w:vAlign w:val="center"/>
          </w:tcPr>
          <w:p w:rsidR="00D82C37" w:rsidRPr="00BD3A2A" w:rsidRDefault="00D82C37" w:rsidP="00552736">
            <w:pPr>
              <w:rPr>
                <w:szCs w:val="24"/>
              </w:rPr>
            </w:pPr>
            <w:r w:rsidRPr="00BD3A2A">
              <w:rPr>
                <w:szCs w:val="24"/>
              </w:rPr>
              <w:t>18,0</w:t>
            </w:r>
          </w:p>
        </w:tc>
      </w:tr>
      <w:tr w:rsidR="00D82C37" w:rsidRPr="00BD3A2A" w:rsidTr="00552736">
        <w:trPr>
          <w:trHeight w:val="255"/>
        </w:trPr>
        <w:tc>
          <w:tcPr>
            <w:tcW w:w="687" w:type="pct"/>
            <w:shd w:val="clear" w:color="auto" w:fill="auto"/>
            <w:noWrap/>
            <w:vAlign w:val="center"/>
          </w:tcPr>
          <w:p w:rsidR="00D82C37" w:rsidRPr="00BD3A2A" w:rsidRDefault="00D82C37" w:rsidP="00552736">
            <w:pPr>
              <w:rPr>
                <w:szCs w:val="24"/>
              </w:rPr>
            </w:pPr>
            <w:r w:rsidRPr="00BD3A2A">
              <w:rPr>
                <w:szCs w:val="24"/>
              </w:rPr>
              <w:t xml:space="preserve">Більше 6 </w:t>
            </w:r>
          </w:p>
        </w:tc>
        <w:tc>
          <w:tcPr>
            <w:tcW w:w="732" w:type="pct"/>
            <w:shd w:val="clear" w:color="auto" w:fill="auto"/>
            <w:noWrap/>
            <w:vAlign w:val="center"/>
          </w:tcPr>
          <w:p w:rsidR="00D82C37" w:rsidRPr="00BD3A2A" w:rsidRDefault="00D82C37" w:rsidP="00552736">
            <w:pPr>
              <w:rPr>
                <w:szCs w:val="24"/>
              </w:rPr>
            </w:pPr>
            <w:r w:rsidRPr="00BD3A2A">
              <w:rPr>
                <w:szCs w:val="24"/>
              </w:rPr>
              <w:t>84</w:t>
            </w:r>
          </w:p>
        </w:tc>
        <w:tc>
          <w:tcPr>
            <w:tcW w:w="880" w:type="pct"/>
            <w:shd w:val="clear" w:color="auto" w:fill="auto"/>
            <w:noWrap/>
            <w:vAlign w:val="center"/>
          </w:tcPr>
          <w:p w:rsidR="00D82C37" w:rsidRPr="00BD3A2A" w:rsidRDefault="00D82C37" w:rsidP="00552736">
            <w:pPr>
              <w:rPr>
                <w:szCs w:val="24"/>
              </w:rPr>
            </w:pPr>
            <w:r w:rsidRPr="00BD3A2A">
              <w:rPr>
                <w:szCs w:val="24"/>
              </w:rPr>
              <w:t>3,63</w:t>
            </w:r>
          </w:p>
        </w:tc>
        <w:tc>
          <w:tcPr>
            <w:tcW w:w="602" w:type="pct"/>
            <w:shd w:val="clear" w:color="auto" w:fill="auto"/>
            <w:noWrap/>
            <w:vAlign w:val="center"/>
          </w:tcPr>
          <w:p w:rsidR="00D82C37" w:rsidRPr="00BD3A2A" w:rsidRDefault="00D82C37" w:rsidP="00552736">
            <w:pPr>
              <w:rPr>
                <w:szCs w:val="24"/>
              </w:rPr>
            </w:pPr>
            <w:r w:rsidRPr="00BD3A2A">
              <w:rPr>
                <w:szCs w:val="24"/>
              </w:rPr>
              <w:t>1,5</w:t>
            </w:r>
          </w:p>
        </w:tc>
        <w:tc>
          <w:tcPr>
            <w:tcW w:w="807" w:type="pct"/>
            <w:shd w:val="clear" w:color="auto" w:fill="auto"/>
            <w:noWrap/>
            <w:vAlign w:val="center"/>
          </w:tcPr>
          <w:p w:rsidR="00D82C37" w:rsidRPr="00BD3A2A" w:rsidRDefault="00D82C37" w:rsidP="00552736">
            <w:pPr>
              <w:rPr>
                <w:szCs w:val="24"/>
              </w:rPr>
            </w:pPr>
            <w:r w:rsidRPr="00BD3A2A">
              <w:rPr>
                <w:szCs w:val="24"/>
              </w:rPr>
              <w:t>5,66</w:t>
            </w:r>
          </w:p>
        </w:tc>
        <w:tc>
          <w:tcPr>
            <w:tcW w:w="586" w:type="pct"/>
            <w:shd w:val="clear" w:color="auto" w:fill="auto"/>
            <w:noWrap/>
            <w:vAlign w:val="center"/>
          </w:tcPr>
          <w:p w:rsidR="00D82C37" w:rsidRPr="00BD3A2A" w:rsidRDefault="00D82C37" w:rsidP="00552736">
            <w:pPr>
              <w:rPr>
                <w:szCs w:val="24"/>
              </w:rPr>
            </w:pPr>
            <w:r w:rsidRPr="00BD3A2A">
              <w:rPr>
                <w:szCs w:val="24"/>
              </w:rPr>
              <w:t>0,06</w:t>
            </w:r>
          </w:p>
        </w:tc>
        <w:tc>
          <w:tcPr>
            <w:tcW w:w="706" w:type="pct"/>
            <w:shd w:val="clear" w:color="auto" w:fill="auto"/>
            <w:noWrap/>
            <w:vAlign w:val="center"/>
          </w:tcPr>
          <w:p w:rsidR="00D82C37" w:rsidRPr="00BD3A2A" w:rsidRDefault="00D82C37" w:rsidP="00552736">
            <w:pPr>
              <w:rPr>
                <w:szCs w:val="24"/>
              </w:rPr>
            </w:pPr>
            <w:r w:rsidRPr="00BD3A2A">
              <w:rPr>
                <w:szCs w:val="24"/>
              </w:rPr>
              <w:t>33,7</w:t>
            </w:r>
          </w:p>
        </w:tc>
      </w:tr>
    </w:tbl>
    <w:p w:rsidR="00D82C37" w:rsidRPr="00262B01" w:rsidRDefault="00D82C37" w:rsidP="00D82C37">
      <w:pPr>
        <w:pStyle w:val="24"/>
        <w:spacing w:after="0" w:line="240" w:lineRule="auto"/>
        <w:ind w:left="0" w:firstLine="708"/>
        <w:jc w:val="both"/>
        <w:rPr>
          <w:sz w:val="28"/>
          <w:szCs w:val="28"/>
        </w:rPr>
      </w:pPr>
      <w:r w:rsidRPr="00262B01">
        <w:rPr>
          <w:sz w:val="28"/>
          <w:szCs w:val="28"/>
        </w:rPr>
        <w:t>Незважаючи на помітну різницю у результатах лейкоцитаферезу (табл. 5), згідно з результатами ДА рангів, ефект фактора „тип мобілізації” та  відмінності між підгрупами, сформованими за типом мобілізації,</w:t>
      </w:r>
      <w:r>
        <w:rPr>
          <w:sz w:val="28"/>
          <w:szCs w:val="28"/>
        </w:rPr>
        <w:t xml:space="preserve"> є неістотними. </w:t>
      </w:r>
    </w:p>
    <w:p w:rsidR="00D82C37" w:rsidRPr="00262B01" w:rsidRDefault="00D82C37" w:rsidP="00D82C37">
      <w:pPr>
        <w:jc w:val="right"/>
        <w:rPr>
          <w:i/>
          <w:sz w:val="28"/>
          <w:szCs w:val="28"/>
        </w:rPr>
      </w:pPr>
      <w:r w:rsidRPr="00262B01">
        <w:rPr>
          <w:i/>
          <w:sz w:val="28"/>
          <w:szCs w:val="28"/>
        </w:rPr>
        <w:t>Таблиця 5</w:t>
      </w:r>
    </w:p>
    <w:p w:rsidR="00D82C37" w:rsidRPr="00262B01" w:rsidRDefault="00D82C37" w:rsidP="00D82C37">
      <w:pPr>
        <w:jc w:val="center"/>
        <w:rPr>
          <w:b/>
          <w:sz w:val="28"/>
          <w:szCs w:val="28"/>
        </w:rPr>
      </w:pPr>
      <w:r w:rsidRPr="00262B01">
        <w:rPr>
          <w:b/>
          <w:sz w:val="28"/>
          <w:szCs w:val="28"/>
        </w:rPr>
        <w:lastRenderedPageBreak/>
        <w:t xml:space="preserve">Результати лейкоцитаферезу (кількість СД 34+клітин/кг маси) </w:t>
      </w:r>
    </w:p>
    <w:p w:rsidR="00D82C37" w:rsidRPr="00262B01" w:rsidRDefault="00D82C37" w:rsidP="00D82C37">
      <w:pPr>
        <w:jc w:val="center"/>
        <w:rPr>
          <w:sz w:val="28"/>
          <w:szCs w:val="28"/>
        </w:rPr>
      </w:pPr>
      <w:r w:rsidRPr="00262B01">
        <w:rPr>
          <w:b/>
          <w:sz w:val="28"/>
          <w:szCs w:val="28"/>
        </w:rPr>
        <w:t xml:space="preserve">залежно від типу мобілізації </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5"/>
        <w:gridCol w:w="1260"/>
        <w:gridCol w:w="1573"/>
        <w:gridCol w:w="1121"/>
        <w:gridCol w:w="1502"/>
        <w:gridCol w:w="1085"/>
        <w:gridCol w:w="1312"/>
      </w:tblGrid>
      <w:tr w:rsidR="00D82C37" w:rsidRPr="00BD3A2A" w:rsidTr="00552736">
        <w:trPr>
          <w:trHeight w:val="255"/>
        </w:trPr>
        <w:tc>
          <w:tcPr>
            <w:tcW w:w="781" w:type="pct"/>
            <w:shd w:val="clear" w:color="auto" w:fill="auto"/>
            <w:noWrap/>
            <w:vAlign w:val="center"/>
          </w:tcPr>
          <w:p w:rsidR="00D82C37" w:rsidRPr="00BD3A2A" w:rsidRDefault="00D82C37" w:rsidP="00552736">
            <w:pPr>
              <w:rPr>
                <w:szCs w:val="24"/>
              </w:rPr>
            </w:pPr>
            <w:r w:rsidRPr="00BD3A2A">
              <w:rPr>
                <w:szCs w:val="24"/>
              </w:rPr>
              <w:t>Тип мобілізації</w:t>
            </w:r>
          </w:p>
        </w:tc>
        <w:tc>
          <w:tcPr>
            <w:tcW w:w="677" w:type="pct"/>
            <w:shd w:val="clear" w:color="auto" w:fill="auto"/>
            <w:noWrap/>
            <w:vAlign w:val="center"/>
          </w:tcPr>
          <w:p w:rsidR="00D82C37" w:rsidRPr="00BD3A2A" w:rsidRDefault="00D82C37" w:rsidP="00552736">
            <w:pPr>
              <w:rPr>
                <w:szCs w:val="24"/>
              </w:rPr>
            </w:pPr>
            <w:r w:rsidRPr="00BD3A2A">
              <w:rPr>
                <w:szCs w:val="24"/>
              </w:rPr>
              <w:t>n = 315</w:t>
            </w:r>
          </w:p>
        </w:tc>
        <w:tc>
          <w:tcPr>
            <w:tcW w:w="845" w:type="pct"/>
            <w:shd w:val="clear" w:color="auto" w:fill="auto"/>
            <w:noWrap/>
            <w:vAlign w:val="center"/>
          </w:tcPr>
          <w:p w:rsidR="00D82C37" w:rsidRPr="00BD3A2A" w:rsidRDefault="00D82C37" w:rsidP="00552736">
            <w:pPr>
              <w:rPr>
                <w:szCs w:val="24"/>
              </w:rPr>
            </w:pPr>
            <w:r w:rsidRPr="00BD3A2A">
              <w:rPr>
                <w:szCs w:val="24"/>
              </w:rPr>
              <w:t>Середнє арифметичне</w:t>
            </w:r>
          </w:p>
        </w:tc>
        <w:tc>
          <w:tcPr>
            <w:tcW w:w="602" w:type="pct"/>
            <w:shd w:val="clear" w:color="auto" w:fill="auto"/>
            <w:noWrap/>
            <w:vAlign w:val="center"/>
          </w:tcPr>
          <w:p w:rsidR="00D82C37" w:rsidRPr="00BD3A2A" w:rsidRDefault="00D82C37" w:rsidP="00552736">
            <w:pPr>
              <w:rPr>
                <w:szCs w:val="24"/>
              </w:rPr>
            </w:pPr>
            <w:r w:rsidRPr="00BD3A2A">
              <w:rPr>
                <w:szCs w:val="24"/>
              </w:rPr>
              <w:t>Медіана</w:t>
            </w:r>
          </w:p>
        </w:tc>
        <w:tc>
          <w:tcPr>
            <w:tcW w:w="807" w:type="pct"/>
            <w:shd w:val="clear" w:color="auto" w:fill="auto"/>
            <w:noWrap/>
            <w:vAlign w:val="center"/>
          </w:tcPr>
          <w:p w:rsidR="00D82C37" w:rsidRPr="00BD3A2A" w:rsidRDefault="00D82C37" w:rsidP="00552736">
            <w:pPr>
              <w:rPr>
                <w:szCs w:val="24"/>
              </w:rPr>
            </w:pPr>
            <w:r w:rsidRPr="00BD3A2A">
              <w:rPr>
                <w:szCs w:val="24"/>
              </w:rPr>
              <w:t>Стандартне відхилення</w:t>
            </w:r>
          </w:p>
        </w:tc>
        <w:tc>
          <w:tcPr>
            <w:tcW w:w="583" w:type="pct"/>
            <w:shd w:val="clear" w:color="auto" w:fill="auto"/>
            <w:noWrap/>
            <w:vAlign w:val="center"/>
          </w:tcPr>
          <w:p w:rsidR="00D82C37" w:rsidRPr="00BD3A2A" w:rsidRDefault="00D82C37" w:rsidP="00552736">
            <w:pPr>
              <w:rPr>
                <w:szCs w:val="24"/>
              </w:rPr>
            </w:pPr>
            <w:r w:rsidRPr="00BD3A2A">
              <w:rPr>
                <w:szCs w:val="24"/>
              </w:rPr>
              <w:t>Мінімум</w:t>
            </w:r>
          </w:p>
        </w:tc>
        <w:tc>
          <w:tcPr>
            <w:tcW w:w="705" w:type="pct"/>
            <w:shd w:val="clear" w:color="auto" w:fill="auto"/>
            <w:noWrap/>
            <w:vAlign w:val="center"/>
          </w:tcPr>
          <w:p w:rsidR="00D82C37" w:rsidRPr="00BD3A2A" w:rsidRDefault="00D82C37" w:rsidP="00552736">
            <w:pPr>
              <w:rPr>
                <w:szCs w:val="24"/>
              </w:rPr>
            </w:pPr>
            <w:r w:rsidRPr="00BD3A2A">
              <w:rPr>
                <w:szCs w:val="24"/>
              </w:rPr>
              <w:t>Максимум</w:t>
            </w:r>
          </w:p>
        </w:tc>
      </w:tr>
      <w:tr w:rsidR="00D82C37" w:rsidRPr="00BD3A2A" w:rsidTr="00552736">
        <w:trPr>
          <w:trHeight w:val="255"/>
        </w:trPr>
        <w:tc>
          <w:tcPr>
            <w:tcW w:w="781" w:type="pct"/>
            <w:shd w:val="clear" w:color="auto" w:fill="auto"/>
            <w:noWrap/>
            <w:vAlign w:val="bottom"/>
          </w:tcPr>
          <w:p w:rsidR="00D82C37" w:rsidRPr="00BD3A2A" w:rsidRDefault="00D82C37" w:rsidP="00552736">
            <w:pPr>
              <w:rPr>
                <w:szCs w:val="24"/>
              </w:rPr>
            </w:pPr>
            <w:r w:rsidRPr="00BD3A2A">
              <w:rPr>
                <w:szCs w:val="24"/>
              </w:rPr>
              <w:t>КСФ</w:t>
            </w:r>
          </w:p>
        </w:tc>
        <w:tc>
          <w:tcPr>
            <w:tcW w:w="677" w:type="pct"/>
            <w:shd w:val="clear" w:color="auto" w:fill="auto"/>
            <w:noWrap/>
            <w:vAlign w:val="bottom"/>
          </w:tcPr>
          <w:p w:rsidR="00D82C37" w:rsidRPr="00BD3A2A" w:rsidRDefault="00D82C37" w:rsidP="00552736">
            <w:pPr>
              <w:rPr>
                <w:szCs w:val="24"/>
              </w:rPr>
            </w:pPr>
            <w:r w:rsidRPr="00BD3A2A">
              <w:rPr>
                <w:szCs w:val="24"/>
              </w:rPr>
              <w:t>50</w:t>
            </w:r>
          </w:p>
        </w:tc>
        <w:tc>
          <w:tcPr>
            <w:tcW w:w="845" w:type="pct"/>
            <w:shd w:val="clear" w:color="auto" w:fill="auto"/>
            <w:noWrap/>
            <w:vAlign w:val="bottom"/>
          </w:tcPr>
          <w:p w:rsidR="00D82C37" w:rsidRPr="00BD3A2A" w:rsidRDefault="00D82C37" w:rsidP="00552736">
            <w:pPr>
              <w:rPr>
                <w:szCs w:val="24"/>
              </w:rPr>
            </w:pPr>
            <w:r w:rsidRPr="00BD3A2A">
              <w:rPr>
                <w:szCs w:val="24"/>
              </w:rPr>
              <w:t>2,99</w:t>
            </w:r>
          </w:p>
        </w:tc>
        <w:tc>
          <w:tcPr>
            <w:tcW w:w="602" w:type="pct"/>
            <w:shd w:val="clear" w:color="auto" w:fill="auto"/>
            <w:noWrap/>
            <w:vAlign w:val="bottom"/>
          </w:tcPr>
          <w:p w:rsidR="00D82C37" w:rsidRPr="00BD3A2A" w:rsidRDefault="00D82C37" w:rsidP="00552736">
            <w:pPr>
              <w:rPr>
                <w:szCs w:val="24"/>
              </w:rPr>
            </w:pPr>
            <w:r w:rsidRPr="00BD3A2A">
              <w:rPr>
                <w:szCs w:val="24"/>
              </w:rPr>
              <w:t>1,71</w:t>
            </w:r>
          </w:p>
        </w:tc>
        <w:tc>
          <w:tcPr>
            <w:tcW w:w="807" w:type="pct"/>
            <w:shd w:val="clear" w:color="auto" w:fill="auto"/>
            <w:noWrap/>
            <w:vAlign w:val="bottom"/>
          </w:tcPr>
          <w:p w:rsidR="00D82C37" w:rsidRPr="00BD3A2A" w:rsidRDefault="00D82C37" w:rsidP="00552736">
            <w:pPr>
              <w:rPr>
                <w:szCs w:val="24"/>
              </w:rPr>
            </w:pPr>
            <w:r w:rsidRPr="00BD3A2A">
              <w:rPr>
                <w:szCs w:val="24"/>
              </w:rPr>
              <w:t>3,06</w:t>
            </w:r>
          </w:p>
        </w:tc>
        <w:tc>
          <w:tcPr>
            <w:tcW w:w="583" w:type="pct"/>
            <w:shd w:val="clear" w:color="auto" w:fill="auto"/>
            <w:noWrap/>
            <w:vAlign w:val="bottom"/>
          </w:tcPr>
          <w:p w:rsidR="00D82C37" w:rsidRPr="00BD3A2A" w:rsidRDefault="00D82C37" w:rsidP="00552736">
            <w:pPr>
              <w:rPr>
                <w:szCs w:val="24"/>
              </w:rPr>
            </w:pPr>
            <w:r w:rsidRPr="00BD3A2A">
              <w:rPr>
                <w:szCs w:val="24"/>
              </w:rPr>
              <w:t>0,4</w:t>
            </w:r>
          </w:p>
        </w:tc>
        <w:tc>
          <w:tcPr>
            <w:tcW w:w="705" w:type="pct"/>
            <w:shd w:val="clear" w:color="auto" w:fill="auto"/>
            <w:noWrap/>
            <w:vAlign w:val="bottom"/>
          </w:tcPr>
          <w:p w:rsidR="00D82C37" w:rsidRPr="00BD3A2A" w:rsidRDefault="00D82C37" w:rsidP="00552736">
            <w:pPr>
              <w:rPr>
                <w:szCs w:val="24"/>
              </w:rPr>
            </w:pPr>
            <w:r w:rsidRPr="00BD3A2A">
              <w:rPr>
                <w:szCs w:val="24"/>
              </w:rPr>
              <w:t>11,9</w:t>
            </w:r>
          </w:p>
        </w:tc>
      </w:tr>
      <w:tr w:rsidR="00D82C37" w:rsidRPr="00BD3A2A" w:rsidTr="00552736">
        <w:trPr>
          <w:trHeight w:val="255"/>
        </w:trPr>
        <w:tc>
          <w:tcPr>
            <w:tcW w:w="781" w:type="pct"/>
            <w:shd w:val="clear" w:color="auto" w:fill="auto"/>
            <w:noWrap/>
            <w:vAlign w:val="bottom"/>
          </w:tcPr>
          <w:p w:rsidR="00D82C37" w:rsidRPr="00BD3A2A" w:rsidRDefault="00D82C37" w:rsidP="00552736">
            <w:pPr>
              <w:rPr>
                <w:szCs w:val="24"/>
              </w:rPr>
            </w:pPr>
            <w:r w:rsidRPr="00BD3A2A">
              <w:rPr>
                <w:szCs w:val="24"/>
              </w:rPr>
              <w:t>КСФ+ПХТ</w:t>
            </w:r>
          </w:p>
        </w:tc>
        <w:tc>
          <w:tcPr>
            <w:tcW w:w="677" w:type="pct"/>
            <w:shd w:val="clear" w:color="auto" w:fill="auto"/>
            <w:noWrap/>
            <w:vAlign w:val="bottom"/>
          </w:tcPr>
          <w:p w:rsidR="00D82C37" w:rsidRPr="00BD3A2A" w:rsidRDefault="00D82C37" w:rsidP="00552736">
            <w:pPr>
              <w:rPr>
                <w:szCs w:val="24"/>
              </w:rPr>
            </w:pPr>
            <w:r w:rsidRPr="00BD3A2A">
              <w:rPr>
                <w:szCs w:val="24"/>
              </w:rPr>
              <w:t>265</w:t>
            </w:r>
          </w:p>
        </w:tc>
        <w:tc>
          <w:tcPr>
            <w:tcW w:w="845" w:type="pct"/>
            <w:shd w:val="clear" w:color="auto" w:fill="auto"/>
            <w:noWrap/>
            <w:vAlign w:val="bottom"/>
          </w:tcPr>
          <w:p w:rsidR="00D82C37" w:rsidRPr="00BD3A2A" w:rsidRDefault="00D82C37" w:rsidP="00552736">
            <w:pPr>
              <w:rPr>
                <w:szCs w:val="24"/>
              </w:rPr>
            </w:pPr>
            <w:r w:rsidRPr="00BD3A2A">
              <w:rPr>
                <w:szCs w:val="24"/>
              </w:rPr>
              <w:t>3,92</w:t>
            </w:r>
          </w:p>
        </w:tc>
        <w:tc>
          <w:tcPr>
            <w:tcW w:w="602" w:type="pct"/>
            <w:shd w:val="clear" w:color="auto" w:fill="auto"/>
            <w:noWrap/>
            <w:vAlign w:val="bottom"/>
          </w:tcPr>
          <w:p w:rsidR="00D82C37" w:rsidRPr="00BD3A2A" w:rsidRDefault="00D82C37" w:rsidP="00552736">
            <w:pPr>
              <w:rPr>
                <w:szCs w:val="24"/>
              </w:rPr>
            </w:pPr>
            <w:r w:rsidRPr="00BD3A2A">
              <w:rPr>
                <w:szCs w:val="24"/>
              </w:rPr>
              <w:t>2,19</w:t>
            </w:r>
          </w:p>
        </w:tc>
        <w:tc>
          <w:tcPr>
            <w:tcW w:w="807" w:type="pct"/>
            <w:shd w:val="clear" w:color="auto" w:fill="auto"/>
            <w:noWrap/>
            <w:vAlign w:val="bottom"/>
          </w:tcPr>
          <w:p w:rsidR="00D82C37" w:rsidRPr="00BD3A2A" w:rsidRDefault="00D82C37" w:rsidP="00552736">
            <w:pPr>
              <w:rPr>
                <w:szCs w:val="24"/>
              </w:rPr>
            </w:pPr>
            <w:r w:rsidRPr="00BD3A2A">
              <w:rPr>
                <w:szCs w:val="24"/>
              </w:rPr>
              <w:t>5,26</w:t>
            </w:r>
          </w:p>
        </w:tc>
        <w:tc>
          <w:tcPr>
            <w:tcW w:w="583" w:type="pct"/>
            <w:shd w:val="clear" w:color="auto" w:fill="auto"/>
            <w:noWrap/>
            <w:vAlign w:val="bottom"/>
          </w:tcPr>
          <w:p w:rsidR="00D82C37" w:rsidRPr="00BD3A2A" w:rsidRDefault="00D82C37" w:rsidP="00552736">
            <w:pPr>
              <w:rPr>
                <w:szCs w:val="24"/>
              </w:rPr>
            </w:pPr>
            <w:r w:rsidRPr="00BD3A2A">
              <w:rPr>
                <w:szCs w:val="24"/>
              </w:rPr>
              <w:t>0,005</w:t>
            </w:r>
          </w:p>
        </w:tc>
        <w:tc>
          <w:tcPr>
            <w:tcW w:w="705" w:type="pct"/>
            <w:shd w:val="clear" w:color="auto" w:fill="auto"/>
            <w:noWrap/>
            <w:vAlign w:val="bottom"/>
          </w:tcPr>
          <w:p w:rsidR="00D82C37" w:rsidRPr="00BD3A2A" w:rsidRDefault="00D82C37" w:rsidP="00552736">
            <w:pPr>
              <w:rPr>
                <w:szCs w:val="24"/>
              </w:rPr>
            </w:pPr>
            <w:r w:rsidRPr="00BD3A2A">
              <w:rPr>
                <w:szCs w:val="24"/>
              </w:rPr>
              <w:t>33,7</w:t>
            </w:r>
          </w:p>
        </w:tc>
      </w:tr>
    </w:tbl>
    <w:p w:rsidR="00D82C37" w:rsidRPr="00262B01" w:rsidRDefault="00D82C37" w:rsidP="00D82C37">
      <w:pPr>
        <w:ind w:firstLine="708"/>
        <w:jc w:val="both"/>
        <w:rPr>
          <w:sz w:val="28"/>
          <w:szCs w:val="28"/>
        </w:rPr>
      </w:pPr>
      <w:r w:rsidRPr="00262B01">
        <w:rPr>
          <w:sz w:val="28"/>
          <w:szCs w:val="28"/>
        </w:rPr>
        <w:t>При застосуванні режимів ХТ з етопозидом та алкілуючими агентами</w:t>
      </w:r>
      <w:r>
        <w:rPr>
          <w:sz w:val="28"/>
          <w:szCs w:val="28"/>
        </w:rPr>
        <w:t xml:space="preserve"> (див. табл.6)</w:t>
      </w:r>
      <w:r w:rsidRPr="00262B01">
        <w:rPr>
          <w:sz w:val="28"/>
          <w:szCs w:val="28"/>
        </w:rPr>
        <w:t>, за один сеанс отримували 2,43 х 10</w:t>
      </w:r>
      <w:r w:rsidRPr="00262B01">
        <w:rPr>
          <w:sz w:val="28"/>
          <w:szCs w:val="28"/>
          <w:vertAlign w:val="superscript"/>
        </w:rPr>
        <w:t>6</w:t>
      </w:r>
      <w:r w:rsidRPr="00262B01">
        <w:rPr>
          <w:sz w:val="28"/>
          <w:szCs w:val="28"/>
        </w:rPr>
        <w:t xml:space="preserve"> СД34+ клітини на </w:t>
      </w:r>
      <w:smartTag w:uri="urn:schemas-microsoft-com:office:smarttags" w:element="metricconverter">
        <w:smartTagPr>
          <w:attr w:name="ProductID" w:val="1 кг"/>
        </w:smartTagPr>
        <w:r w:rsidRPr="00262B01">
          <w:rPr>
            <w:sz w:val="28"/>
            <w:szCs w:val="28"/>
          </w:rPr>
          <w:t>1 кг</w:t>
        </w:r>
      </w:smartTag>
      <w:r w:rsidRPr="00262B01">
        <w:rPr>
          <w:sz w:val="28"/>
          <w:szCs w:val="28"/>
        </w:rPr>
        <w:t xml:space="preserve"> маси (95% ДІ: 1,9–3,1 х 10</w:t>
      </w:r>
      <w:r w:rsidRPr="00262B01">
        <w:rPr>
          <w:sz w:val="28"/>
          <w:szCs w:val="28"/>
          <w:vertAlign w:val="superscript"/>
        </w:rPr>
        <w:t>6</w:t>
      </w:r>
      <w:r w:rsidRPr="00262B01">
        <w:rPr>
          <w:sz w:val="28"/>
          <w:szCs w:val="28"/>
        </w:rPr>
        <w:t>/кг), що достовірно (р = 0,006) більше, ніж при застосуванні режимів на основі антрациклінів та алкілуючих агентів – 1,05 х 10</w:t>
      </w:r>
      <w:r w:rsidRPr="00262B01">
        <w:rPr>
          <w:sz w:val="28"/>
          <w:szCs w:val="28"/>
          <w:vertAlign w:val="superscript"/>
        </w:rPr>
        <w:t>6</w:t>
      </w:r>
      <w:r w:rsidRPr="00262B01">
        <w:rPr>
          <w:sz w:val="28"/>
          <w:szCs w:val="28"/>
        </w:rPr>
        <w:t>/кг (95% ДІ: 0,64–1,6 х 10</w:t>
      </w:r>
      <w:r w:rsidRPr="00262B01">
        <w:rPr>
          <w:sz w:val="28"/>
          <w:szCs w:val="28"/>
          <w:vertAlign w:val="superscript"/>
        </w:rPr>
        <w:t>6</w:t>
      </w:r>
      <w:r w:rsidRPr="00262B01">
        <w:rPr>
          <w:sz w:val="28"/>
          <w:szCs w:val="28"/>
        </w:rPr>
        <w:t>/кг), але не достовірно, порівняно із застосуванням багатокомпонентних режимів – 2,1 х 10</w:t>
      </w:r>
      <w:r w:rsidRPr="00262B01">
        <w:rPr>
          <w:sz w:val="28"/>
          <w:szCs w:val="28"/>
          <w:vertAlign w:val="superscript"/>
        </w:rPr>
        <w:t>6</w:t>
      </w:r>
      <w:r w:rsidRPr="00262B01">
        <w:rPr>
          <w:sz w:val="28"/>
          <w:szCs w:val="28"/>
        </w:rPr>
        <w:t>/кг (95% ДІ: 1,2– 4,4 х 10</w:t>
      </w:r>
      <w:r w:rsidRPr="00262B01">
        <w:rPr>
          <w:sz w:val="28"/>
          <w:szCs w:val="28"/>
          <w:vertAlign w:val="superscript"/>
        </w:rPr>
        <w:t>6</w:t>
      </w:r>
      <w:r w:rsidRPr="00262B01">
        <w:rPr>
          <w:sz w:val="28"/>
          <w:szCs w:val="28"/>
        </w:rPr>
        <w:t>/кг), чи «інших» режимів  – 2,0 х 10</w:t>
      </w:r>
      <w:r w:rsidRPr="00262B01">
        <w:rPr>
          <w:sz w:val="28"/>
          <w:szCs w:val="28"/>
          <w:vertAlign w:val="superscript"/>
        </w:rPr>
        <w:t>6</w:t>
      </w:r>
      <w:r w:rsidRPr="00262B01">
        <w:rPr>
          <w:sz w:val="28"/>
          <w:szCs w:val="28"/>
        </w:rPr>
        <w:t>/кг (95% ДІ: 1,7–2,9 х 10</w:t>
      </w:r>
      <w:r w:rsidRPr="00262B01">
        <w:rPr>
          <w:sz w:val="28"/>
          <w:szCs w:val="28"/>
          <w:vertAlign w:val="superscript"/>
        </w:rPr>
        <w:t>6</w:t>
      </w:r>
      <w:r w:rsidRPr="00262B01">
        <w:rPr>
          <w:sz w:val="28"/>
          <w:szCs w:val="28"/>
        </w:rPr>
        <w:t>/кг). Виявлена достовірно вища (р = 0,033)</w:t>
      </w:r>
      <w:r>
        <w:rPr>
          <w:sz w:val="28"/>
          <w:szCs w:val="28"/>
        </w:rPr>
        <w:t xml:space="preserve"> </w:t>
      </w:r>
      <w:r w:rsidRPr="00262B01">
        <w:rPr>
          <w:sz w:val="28"/>
          <w:szCs w:val="28"/>
        </w:rPr>
        <w:t xml:space="preserve">ефективність режимів «інші» порівняно з режимами на основі антрациклінів та алкілуючих агентів. </w:t>
      </w:r>
    </w:p>
    <w:p w:rsidR="00D82C37" w:rsidRPr="00262B01" w:rsidRDefault="00D82C37" w:rsidP="00D82C37">
      <w:pPr>
        <w:jc w:val="right"/>
        <w:rPr>
          <w:i/>
          <w:sz w:val="28"/>
          <w:szCs w:val="28"/>
        </w:rPr>
      </w:pPr>
      <w:r w:rsidRPr="00262B01">
        <w:rPr>
          <w:i/>
          <w:sz w:val="28"/>
          <w:szCs w:val="28"/>
        </w:rPr>
        <w:t>Таблиця 6</w:t>
      </w:r>
    </w:p>
    <w:p w:rsidR="00D82C37" w:rsidRPr="00262B01" w:rsidRDefault="00D82C37" w:rsidP="00D82C37">
      <w:pPr>
        <w:jc w:val="center"/>
        <w:rPr>
          <w:b/>
          <w:sz w:val="28"/>
          <w:szCs w:val="28"/>
        </w:rPr>
      </w:pPr>
      <w:r w:rsidRPr="00262B01">
        <w:rPr>
          <w:b/>
          <w:sz w:val="28"/>
          <w:szCs w:val="28"/>
        </w:rPr>
        <w:t xml:space="preserve">Результати лейкоцитаферезу (кількість СД 34+клітин/кг маси) </w:t>
      </w:r>
    </w:p>
    <w:p w:rsidR="00D82C37" w:rsidRPr="00262B01" w:rsidRDefault="00D82C37" w:rsidP="00D82C37">
      <w:pPr>
        <w:jc w:val="center"/>
        <w:rPr>
          <w:b/>
          <w:sz w:val="28"/>
          <w:szCs w:val="28"/>
        </w:rPr>
      </w:pPr>
      <w:r w:rsidRPr="00262B01">
        <w:rPr>
          <w:b/>
          <w:sz w:val="28"/>
          <w:szCs w:val="28"/>
        </w:rPr>
        <w:t>залежно від режиму хіміотерапії</w:t>
      </w:r>
    </w:p>
    <w:tbl>
      <w:tblPr>
        <w:tblW w:w="5067"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36"/>
        <w:gridCol w:w="843"/>
        <w:gridCol w:w="1606"/>
        <w:gridCol w:w="1093"/>
        <w:gridCol w:w="1398"/>
        <w:gridCol w:w="1085"/>
        <w:gridCol w:w="1309"/>
      </w:tblGrid>
      <w:tr w:rsidR="00D82C37" w:rsidRPr="00BD3A2A" w:rsidTr="00552736">
        <w:trPr>
          <w:trHeight w:val="255"/>
        </w:trPr>
        <w:tc>
          <w:tcPr>
            <w:tcW w:w="1128" w:type="pct"/>
            <w:shd w:val="clear" w:color="auto" w:fill="auto"/>
            <w:noWrap/>
            <w:vAlign w:val="center"/>
          </w:tcPr>
          <w:p w:rsidR="00D82C37" w:rsidRPr="00BD3A2A" w:rsidRDefault="00D82C37" w:rsidP="00552736">
            <w:pPr>
              <w:rPr>
                <w:szCs w:val="24"/>
              </w:rPr>
            </w:pPr>
            <w:r w:rsidRPr="00BD3A2A">
              <w:rPr>
                <w:szCs w:val="24"/>
              </w:rPr>
              <w:t>Режими хіміотерапії</w:t>
            </w:r>
          </w:p>
        </w:tc>
        <w:tc>
          <w:tcPr>
            <w:tcW w:w="445" w:type="pct"/>
            <w:shd w:val="clear" w:color="auto" w:fill="auto"/>
            <w:noWrap/>
            <w:vAlign w:val="center"/>
          </w:tcPr>
          <w:p w:rsidR="00D82C37" w:rsidRPr="00BD3A2A" w:rsidRDefault="00D82C37" w:rsidP="00552736">
            <w:pPr>
              <w:rPr>
                <w:szCs w:val="24"/>
              </w:rPr>
            </w:pPr>
            <w:r w:rsidRPr="00BD3A2A">
              <w:rPr>
                <w:szCs w:val="24"/>
              </w:rPr>
              <w:t>n=265</w:t>
            </w:r>
          </w:p>
        </w:tc>
        <w:tc>
          <w:tcPr>
            <w:tcW w:w="848" w:type="pct"/>
            <w:shd w:val="clear" w:color="auto" w:fill="auto"/>
            <w:noWrap/>
            <w:vAlign w:val="center"/>
          </w:tcPr>
          <w:p w:rsidR="00D82C37" w:rsidRPr="00BD3A2A" w:rsidRDefault="00D82C37" w:rsidP="00552736">
            <w:pPr>
              <w:rPr>
                <w:szCs w:val="24"/>
              </w:rPr>
            </w:pPr>
            <w:r w:rsidRPr="00BD3A2A">
              <w:rPr>
                <w:szCs w:val="24"/>
              </w:rPr>
              <w:t>Середнє арифметичне</w:t>
            </w:r>
          </w:p>
        </w:tc>
        <w:tc>
          <w:tcPr>
            <w:tcW w:w="577" w:type="pct"/>
            <w:shd w:val="clear" w:color="auto" w:fill="auto"/>
            <w:noWrap/>
            <w:vAlign w:val="center"/>
          </w:tcPr>
          <w:p w:rsidR="00D82C37" w:rsidRPr="00BD3A2A" w:rsidRDefault="00D82C37" w:rsidP="00552736">
            <w:pPr>
              <w:rPr>
                <w:szCs w:val="24"/>
              </w:rPr>
            </w:pPr>
            <w:r w:rsidRPr="00BD3A2A">
              <w:rPr>
                <w:szCs w:val="24"/>
              </w:rPr>
              <w:t>Медіана</w:t>
            </w:r>
          </w:p>
        </w:tc>
        <w:tc>
          <w:tcPr>
            <w:tcW w:w="738" w:type="pct"/>
            <w:shd w:val="clear" w:color="auto" w:fill="auto"/>
            <w:noWrap/>
            <w:vAlign w:val="center"/>
          </w:tcPr>
          <w:p w:rsidR="00D82C37" w:rsidRPr="00BD3A2A" w:rsidRDefault="00D82C37" w:rsidP="00552736">
            <w:pPr>
              <w:rPr>
                <w:szCs w:val="24"/>
              </w:rPr>
            </w:pPr>
            <w:r w:rsidRPr="00BD3A2A">
              <w:rPr>
                <w:szCs w:val="24"/>
              </w:rPr>
              <w:t>Стандартне відхилення</w:t>
            </w:r>
          </w:p>
        </w:tc>
        <w:tc>
          <w:tcPr>
            <w:tcW w:w="573" w:type="pct"/>
            <w:shd w:val="clear" w:color="auto" w:fill="auto"/>
            <w:noWrap/>
            <w:vAlign w:val="center"/>
          </w:tcPr>
          <w:p w:rsidR="00D82C37" w:rsidRPr="00BD3A2A" w:rsidRDefault="00D82C37" w:rsidP="00552736">
            <w:pPr>
              <w:rPr>
                <w:szCs w:val="24"/>
              </w:rPr>
            </w:pPr>
            <w:r w:rsidRPr="00BD3A2A">
              <w:rPr>
                <w:szCs w:val="24"/>
              </w:rPr>
              <w:t>Мінімум</w:t>
            </w:r>
          </w:p>
        </w:tc>
        <w:tc>
          <w:tcPr>
            <w:tcW w:w="692" w:type="pct"/>
            <w:shd w:val="clear" w:color="auto" w:fill="auto"/>
            <w:noWrap/>
            <w:vAlign w:val="center"/>
          </w:tcPr>
          <w:p w:rsidR="00D82C37" w:rsidRPr="00BD3A2A" w:rsidRDefault="00D82C37" w:rsidP="00552736">
            <w:pPr>
              <w:rPr>
                <w:szCs w:val="24"/>
              </w:rPr>
            </w:pPr>
            <w:r w:rsidRPr="00BD3A2A">
              <w:rPr>
                <w:szCs w:val="24"/>
              </w:rPr>
              <w:t>Максимум</w:t>
            </w:r>
          </w:p>
        </w:tc>
      </w:tr>
      <w:tr w:rsidR="00D82C37" w:rsidRPr="00BD3A2A" w:rsidTr="00552736">
        <w:trPr>
          <w:trHeight w:val="255"/>
        </w:trPr>
        <w:tc>
          <w:tcPr>
            <w:tcW w:w="1128" w:type="pct"/>
            <w:shd w:val="clear" w:color="auto" w:fill="auto"/>
            <w:noWrap/>
            <w:vAlign w:val="center"/>
          </w:tcPr>
          <w:p w:rsidR="00D82C37" w:rsidRPr="00BD3A2A" w:rsidRDefault="00D82C37" w:rsidP="00552736">
            <w:pPr>
              <w:rPr>
                <w:szCs w:val="24"/>
              </w:rPr>
            </w:pPr>
            <w:r w:rsidRPr="00BD3A2A">
              <w:rPr>
                <w:szCs w:val="24"/>
              </w:rPr>
              <w:t>Алкілуючі з антрациклінами</w:t>
            </w:r>
          </w:p>
        </w:tc>
        <w:tc>
          <w:tcPr>
            <w:tcW w:w="445" w:type="pct"/>
            <w:shd w:val="clear" w:color="auto" w:fill="auto"/>
            <w:noWrap/>
            <w:vAlign w:val="center"/>
          </w:tcPr>
          <w:p w:rsidR="00D82C37" w:rsidRPr="00BD3A2A" w:rsidRDefault="00D82C37" w:rsidP="00552736">
            <w:pPr>
              <w:rPr>
                <w:szCs w:val="24"/>
              </w:rPr>
            </w:pPr>
            <w:r w:rsidRPr="00BD3A2A">
              <w:rPr>
                <w:szCs w:val="24"/>
              </w:rPr>
              <w:t>42</w:t>
            </w:r>
          </w:p>
        </w:tc>
        <w:tc>
          <w:tcPr>
            <w:tcW w:w="848" w:type="pct"/>
            <w:shd w:val="clear" w:color="auto" w:fill="auto"/>
            <w:noWrap/>
            <w:vAlign w:val="center"/>
          </w:tcPr>
          <w:p w:rsidR="00D82C37" w:rsidRPr="00BD3A2A" w:rsidRDefault="00D82C37" w:rsidP="00552736">
            <w:pPr>
              <w:rPr>
                <w:szCs w:val="24"/>
              </w:rPr>
            </w:pPr>
            <w:r w:rsidRPr="00BD3A2A">
              <w:rPr>
                <w:szCs w:val="24"/>
              </w:rPr>
              <w:t>2,40</w:t>
            </w:r>
          </w:p>
        </w:tc>
        <w:tc>
          <w:tcPr>
            <w:tcW w:w="577" w:type="pct"/>
            <w:shd w:val="clear" w:color="auto" w:fill="auto"/>
            <w:noWrap/>
            <w:vAlign w:val="center"/>
          </w:tcPr>
          <w:p w:rsidR="00D82C37" w:rsidRPr="00BD3A2A" w:rsidRDefault="00D82C37" w:rsidP="00552736">
            <w:pPr>
              <w:rPr>
                <w:szCs w:val="24"/>
              </w:rPr>
            </w:pPr>
            <w:r w:rsidRPr="00BD3A2A">
              <w:rPr>
                <w:szCs w:val="24"/>
              </w:rPr>
              <w:t>1,05</w:t>
            </w:r>
          </w:p>
        </w:tc>
        <w:tc>
          <w:tcPr>
            <w:tcW w:w="738" w:type="pct"/>
            <w:shd w:val="clear" w:color="auto" w:fill="auto"/>
            <w:noWrap/>
            <w:vAlign w:val="center"/>
          </w:tcPr>
          <w:p w:rsidR="00D82C37" w:rsidRPr="00BD3A2A" w:rsidRDefault="00D82C37" w:rsidP="00552736">
            <w:pPr>
              <w:rPr>
                <w:szCs w:val="24"/>
              </w:rPr>
            </w:pPr>
            <w:r w:rsidRPr="00BD3A2A">
              <w:rPr>
                <w:szCs w:val="24"/>
              </w:rPr>
              <w:t>4,14</w:t>
            </w:r>
          </w:p>
        </w:tc>
        <w:tc>
          <w:tcPr>
            <w:tcW w:w="573" w:type="pct"/>
            <w:shd w:val="clear" w:color="auto" w:fill="auto"/>
            <w:noWrap/>
            <w:vAlign w:val="center"/>
          </w:tcPr>
          <w:p w:rsidR="00D82C37" w:rsidRPr="00BD3A2A" w:rsidRDefault="00D82C37" w:rsidP="00552736">
            <w:pPr>
              <w:rPr>
                <w:szCs w:val="24"/>
              </w:rPr>
            </w:pPr>
            <w:r w:rsidRPr="00BD3A2A">
              <w:rPr>
                <w:szCs w:val="24"/>
              </w:rPr>
              <w:t>0,005</w:t>
            </w:r>
          </w:p>
        </w:tc>
        <w:tc>
          <w:tcPr>
            <w:tcW w:w="692" w:type="pct"/>
            <w:shd w:val="clear" w:color="auto" w:fill="auto"/>
            <w:noWrap/>
            <w:vAlign w:val="center"/>
          </w:tcPr>
          <w:p w:rsidR="00D82C37" w:rsidRPr="00BD3A2A" w:rsidRDefault="00D82C37" w:rsidP="00552736">
            <w:pPr>
              <w:rPr>
                <w:szCs w:val="24"/>
              </w:rPr>
            </w:pPr>
            <w:r w:rsidRPr="00BD3A2A">
              <w:rPr>
                <w:szCs w:val="24"/>
              </w:rPr>
              <w:t>25,3</w:t>
            </w:r>
          </w:p>
        </w:tc>
      </w:tr>
      <w:tr w:rsidR="00D82C37" w:rsidRPr="00BD3A2A" w:rsidTr="00552736">
        <w:trPr>
          <w:trHeight w:val="255"/>
        </w:trPr>
        <w:tc>
          <w:tcPr>
            <w:tcW w:w="1128" w:type="pct"/>
            <w:shd w:val="clear" w:color="auto" w:fill="auto"/>
            <w:noWrap/>
            <w:vAlign w:val="center"/>
          </w:tcPr>
          <w:p w:rsidR="00D82C37" w:rsidRPr="00BD3A2A" w:rsidRDefault="00D82C37" w:rsidP="00552736">
            <w:pPr>
              <w:rPr>
                <w:szCs w:val="24"/>
              </w:rPr>
            </w:pPr>
            <w:r w:rsidRPr="00BD3A2A">
              <w:rPr>
                <w:szCs w:val="24"/>
              </w:rPr>
              <w:t>Алкілуючі з етопозидом</w:t>
            </w:r>
          </w:p>
        </w:tc>
        <w:tc>
          <w:tcPr>
            <w:tcW w:w="445" w:type="pct"/>
            <w:shd w:val="clear" w:color="auto" w:fill="auto"/>
            <w:noWrap/>
            <w:vAlign w:val="center"/>
          </w:tcPr>
          <w:p w:rsidR="00D82C37" w:rsidRPr="00BD3A2A" w:rsidRDefault="00D82C37" w:rsidP="00552736">
            <w:pPr>
              <w:rPr>
                <w:szCs w:val="24"/>
              </w:rPr>
            </w:pPr>
            <w:r w:rsidRPr="00BD3A2A">
              <w:rPr>
                <w:szCs w:val="24"/>
              </w:rPr>
              <w:t>168</w:t>
            </w:r>
          </w:p>
        </w:tc>
        <w:tc>
          <w:tcPr>
            <w:tcW w:w="848" w:type="pct"/>
            <w:shd w:val="clear" w:color="auto" w:fill="auto"/>
            <w:noWrap/>
            <w:vAlign w:val="center"/>
          </w:tcPr>
          <w:p w:rsidR="00D82C37" w:rsidRPr="00BD3A2A" w:rsidRDefault="00D82C37" w:rsidP="00552736">
            <w:pPr>
              <w:rPr>
                <w:szCs w:val="24"/>
              </w:rPr>
            </w:pPr>
            <w:r w:rsidRPr="00BD3A2A">
              <w:rPr>
                <w:szCs w:val="24"/>
              </w:rPr>
              <w:t>3,95</w:t>
            </w:r>
          </w:p>
        </w:tc>
        <w:tc>
          <w:tcPr>
            <w:tcW w:w="577" w:type="pct"/>
            <w:shd w:val="clear" w:color="auto" w:fill="auto"/>
            <w:noWrap/>
            <w:vAlign w:val="center"/>
          </w:tcPr>
          <w:p w:rsidR="00D82C37" w:rsidRPr="00BD3A2A" w:rsidRDefault="00D82C37" w:rsidP="00552736">
            <w:pPr>
              <w:rPr>
                <w:szCs w:val="24"/>
              </w:rPr>
            </w:pPr>
            <w:r w:rsidRPr="00BD3A2A">
              <w:rPr>
                <w:szCs w:val="24"/>
              </w:rPr>
              <w:t>2,43</w:t>
            </w:r>
          </w:p>
        </w:tc>
        <w:tc>
          <w:tcPr>
            <w:tcW w:w="738" w:type="pct"/>
            <w:shd w:val="clear" w:color="auto" w:fill="auto"/>
            <w:noWrap/>
            <w:vAlign w:val="center"/>
          </w:tcPr>
          <w:p w:rsidR="00D82C37" w:rsidRPr="00BD3A2A" w:rsidRDefault="00D82C37" w:rsidP="00552736">
            <w:pPr>
              <w:rPr>
                <w:szCs w:val="24"/>
              </w:rPr>
            </w:pPr>
            <w:r w:rsidRPr="00BD3A2A">
              <w:rPr>
                <w:szCs w:val="24"/>
              </w:rPr>
              <w:t>5,01</w:t>
            </w:r>
          </w:p>
        </w:tc>
        <w:tc>
          <w:tcPr>
            <w:tcW w:w="573" w:type="pct"/>
            <w:shd w:val="clear" w:color="auto" w:fill="auto"/>
            <w:noWrap/>
            <w:vAlign w:val="center"/>
          </w:tcPr>
          <w:p w:rsidR="00D82C37" w:rsidRPr="00BD3A2A" w:rsidRDefault="00D82C37" w:rsidP="00552736">
            <w:pPr>
              <w:rPr>
                <w:szCs w:val="24"/>
              </w:rPr>
            </w:pPr>
            <w:r w:rsidRPr="00BD3A2A">
              <w:rPr>
                <w:szCs w:val="24"/>
              </w:rPr>
              <w:t>0,04</w:t>
            </w:r>
          </w:p>
        </w:tc>
        <w:tc>
          <w:tcPr>
            <w:tcW w:w="692" w:type="pct"/>
            <w:shd w:val="clear" w:color="auto" w:fill="auto"/>
            <w:noWrap/>
            <w:vAlign w:val="center"/>
          </w:tcPr>
          <w:p w:rsidR="00D82C37" w:rsidRPr="00BD3A2A" w:rsidRDefault="00D82C37" w:rsidP="00552736">
            <w:pPr>
              <w:rPr>
                <w:szCs w:val="24"/>
              </w:rPr>
            </w:pPr>
            <w:r w:rsidRPr="00BD3A2A">
              <w:rPr>
                <w:szCs w:val="24"/>
              </w:rPr>
              <w:t>33,7</w:t>
            </w:r>
          </w:p>
        </w:tc>
      </w:tr>
      <w:tr w:rsidR="00D82C37" w:rsidRPr="00BD3A2A" w:rsidTr="00552736">
        <w:trPr>
          <w:trHeight w:val="255"/>
        </w:trPr>
        <w:tc>
          <w:tcPr>
            <w:tcW w:w="1128" w:type="pct"/>
            <w:shd w:val="clear" w:color="auto" w:fill="auto"/>
            <w:noWrap/>
            <w:vAlign w:val="center"/>
          </w:tcPr>
          <w:p w:rsidR="00D82C37" w:rsidRPr="00BD3A2A" w:rsidRDefault="00D82C37" w:rsidP="00552736">
            <w:pPr>
              <w:rPr>
                <w:szCs w:val="24"/>
              </w:rPr>
            </w:pPr>
            <w:r w:rsidRPr="00BD3A2A">
              <w:rPr>
                <w:szCs w:val="24"/>
              </w:rPr>
              <w:t xml:space="preserve">Багатокомпонентні </w:t>
            </w:r>
          </w:p>
        </w:tc>
        <w:tc>
          <w:tcPr>
            <w:tcW w:w="445" w:type="pct"/>
            <w:shd w:val="clear" w:color="auto" w:fill="auto"/>
            <w:noWrap/>
            <w:vAlign w:val="center"/>
          </w:tcPr>
          <w:p w:rsidR="00D82C37" w:rsidRPr="00BD3A2A" w:rsidRDefault="00D82C37" w:rsidP="00552736">
            <w:pPr>
              <w:rPr>
                <w:szCs w:val="24"/>
              </w:rPr>
            </w:pPr>
            <w:r w:rsidRPr="00BD3A2A">
              <w:rPr>
                <w:szCs w:val="24"/>
              </w:rPr>
              <w:t>21</w:t>
            </w:r>
          </w:p>
        </w:tc>
        <w:tc>
          <w:tcPr>
            <w:tcW w:w="848" w:type="pct"/>
            <w:shd w:val="clear" w:color="auto" w:fill="auto"/>
            <w:noWrap/>
            <w:vAlign w:val="center"/>
          </w:tcPr>
          <w:p w:rsidR="00D82C37" w:rsidRPr="00BD3A2A" w:rsidRDefault="00D82C37" w:rsidP="00552736">
            <w:pPr>
              <w:rPr>
                <w:szCs w:val="24"/>
              </w:rPr>
            </w:pPr>
            <w:r w:rsidRPr="00BD3A2A">
              <w:rPr>
                <w:szCs w:val="24"/>
              </w:rPr>
              <w:t>3,53</w:t>
            </w:r>
          </w:p>
        </w:tc>
        <w:tc>
          <w:tcPr>
            <w:tcW w:w="577" w:type="pct"/>
            <w:shd w:val="clear" w:color="auto" w:fill="auto"/>
            <w:noWrap/>
            <w:vAlign w:val="center"/>
          </w:tcPr>
          <w:p w:rsidR="00D82C37" w:rsidRPr="00BD3A2A" w:rsidRDefault="00D82C37" w:rsidP="00552736">
            <w:pPr>
              <w:rPr>
                <w:szCs w:val="24"/>
              </w:rPr>
            </w:pPr>
            <w:r w:rsidRPr="00BD3A2A">
              <w:rPr>
                <w:szCs w:val="24"/>
              </w:rPr>
              <w:t>2,1</w:t>
            </w:r>
          </w:p>
        </w:tc>
        <w:tc>
          <w:tcPr>
            <w:tcW w:w="738" w:type="pct"/>
            <w:shd w:val="clear" w:color="auto" w:fill="auto"/>
            <w:noWrap/>
            <w:vAlign w:val="center"/>
          </w:tcPr>
          <w:p w:rsidR="00D82C37" w:rsidRPr="00BD3A2A" w:rsidRDefault="00D82C37" w:rsidP="00552736">
            <w:pPr>
              <w:rPr>
                <w:szCs w:val="24"/>
              </w:rPr>
            </w:pPr>
            <w:r w:rsidRPr="00BD3A2A">
              <w:rPr>
                <w:szCs w:val="24"/>
              </w:rPr>
              <w:t>3,62</w:t>
            </w:r>
          </w:p>
        </w:tc>
        <w:tc>
          <w:tcPr>
            <w:tcW w:w="573" w:type="pct"/>
            <w:shd w:val="clear" w:color="auto" w:fill="auto"/>
            <w:noWrap/>
            <w:vAlign w:val="center"/>
          </w:tcPr>
          <w:p w:rsidR="00D82C37" w:rsidRPr="00BD3A2A" w:rsidRDefault="00D82C37" w:rsidP="00552736">
            <w:pPr>
              <w:rPr>
                <w:szCs w:val="24"/>
              </w:rPr>
            </w:pPr>
            <w:r w:rsidRPr="00BD3A2A">
              <w:rPr>
                <w:szCs w:val="24"/>
              </w:rPr>
              <w:t>0,4</w:t>
            </w:r>
          </w:p>
        </w:tc>
        <w:tc>
          <w:tcPr>
            <w:tcW w:w="692" w:type="pct"/>
            <w:shd w:val="clear" w:color="auto" w:fill="auto"/>
            <w:noWrap/>
            <w:vAlign w:val="center"/>
          </w:tcPr>
          <w:p w:rsidR="00D82C37" w:rsidRPr="00BD3A2A" w:rsidRDefault="00D82C37" w:rsidP="00552736">
            <w:pPr>
              <w:rPr>
                <w:szCs w:val="24"/>
              </w:rPr>
            </w:pPr>
            <w:r w:rsidRPr="00BD3A2A">
              <w:rPr>
                <w:szCs w:val="24"/>
              </w:rPr>
              <w:t>12,0</w:t>
            </w:r>
          </w:p>
        </w:tc>
      </w:tr>
      <w:tr w:rsidR="00D82C37" w:rsidRPr="00BD3A2A" w:rsidTr="00552736">
        <w:trPr>
          <w:trHeight w:val="255"/>
        </w:trPr>
        <w:tc>
          <w:tcPr>
            <w:tcW w:w="1128" w:type="pct"/>
            <w:shd w:val="clear" w:color="auto" w:fill="auto"/>
            <w:noWrap/>
            <w:vAlign w:val="center"/>
          </w:tcPr>
          <w:p w:rsidR="00D82C37" w:rsidRPr="00BD3A2A" w:rsidRDefault="00D82C37" w:rsidP="00552736">
            <w:pPr>
              <w:rPr>
                <w:szCs w:val="24"/>
              </w:rPr>
            </w:pPr>
            <w:r w:rsidRPr="00BD3A2A">
              <w:rPr>
                <w:szCs w:val="24"/>
              </w:rPr>
              <w:t>Інші</w:t>
            </w:r>
          </w:p>
        </w:tc>
        <w:tc>
          <w:tcPr>
            <w:tcW w:w="445" w:type="pct"/>
            <w:shd w:val="clear" w:color="auto" w:fill="auto"/>
            <w:noWrap/>
            <w:vAlign w:val="center"/>
          </w:tcPr>
          <w:p w:rsidR="00D82C37" w:rsidRPr="00BD3A2A" w:rsidRDefault="00D82C37" w:rsidP="00552736">
            <w:pPr>
              <w:rPr>
                <w:szCs w:val="24"/>
              </w:rPr>
            </w:pPr>
            <w:r w:rsidRPr="00BD3A2A">
              <w:rPr>
                <w:szCs w:val="24"/>
              </w:rPr>
              <w:t>34</w:t>
            </w:r>
          </w:p>
        </w:tc>
        <w:tc>
          <w:tcPr>
            <w:tcW w:w="848" w:type="pct"/>
            <w:shd w:val="clear" w:color="auto" w:fill="auto"/>
            <w:noWrap/>
            <w:vAlign w:val="center"/>
          </w:tcPr>
          <w:p w:rsidR="00D82C37" w:rsidRPr="00BD3A2A" w:rsidRDefault="00D82C37" w:rsidP="00552736">
            <w:pPr>
              <w:rPr>
                <w:szCs w:val="24"/>
              </w:rPr>
            </w:pPr>
            <w:r w:rsidRPr="00BD3A2A">
              <w:rPr>
                <w:szCs w:val="24"/>
              </w:rPr>
              <w:t>4,98</w:t>
            </w:r>
          </w:p>
        </w:tc>
        <w:tc>
          <w:tcPr>
            <w:tcW w:w="577" w:type="pct"/>
            <w:shd w:val="clear" w:color="auto" w:fill="auto"/>
            <w:noWrap/>
            <w:vAlign w:val="center"/>
          </w:tcPr>
          <w:p w:rsidR="00D82C37" w:rsidRPr="00BD3A2A" w:rsidRDefault="00D82C37" w:rsidP="00552736">
            <w:pPr>
              <w:rPr>
                <w:szCs w:val="24"/>
              </w:rPr>
            </w:pPr>
            <w:r w:rsidRPr="00BD3A2A">
              <w:rPr>
                <w:szCs w:val="24"/>
              </w:rPr>
              <w:t>2,0</w:t>
            </w:r>
          </w:p>
        </w:tc>
        <w:tc>
          <w:tcPr>
            <w:tcW w:w="738" w:type="pct"/>
            <w:shd w:val="clear" w:color="auto" w:fill="auto"/>
            <w:noWrap/>
            <w:vAlign w:val="center"/>
          </w:tcPr>
          <w:p w:rsidR="00D82C37" w:rsidRPr="00BD3A2A" w:rsidRDefault="00D82C37" w:rsidP="00552736">
            <w:pPr>
              <w:rPr>
                <w:szCs w:val="24"/>
              </w:rPr>
            </w:pPr>
            <w:r w:rsidRPr="00BD3A2A">
              <w:rPr>
                <w:szCs w:val="24"/>
              </w:rPr>
              <w:t>6,60</w:t>
            </w:r>
          </w:p>
        </w:tc>
        <w:tc>
          <w:tcPr>
            <w:tcW w:w="573" w:type="pct"/>
            <w:shd w:val="clear" w:color="auto" w:fill="auto"/>
            <w:noWrap/>
            <w:vAlign w:val="center"/>
          </w:tcPr>
          <w:p w:rsidR="00D82C37" w:rsidRPr="00BD3A2A" w:rsidRDefault="00D82C37" w:rsidP="00552736">
            <w:pPr>
              <w:rPr>
                <w:szCs w:val="24"/>
              </w:rPr>
            </w:pPr>
            <w:r w:rsidRPr="00BD3A2A">
              <w:rPr>
                <w:szCs w:val="24"/>
              </w:rPr>
              <w:t>0,15</w:t>
            </w:r>
          </w:p>
        </w:tc>
        <w:tc>
          <w:tcPr>
            <w:tcW w:w="692" w:type="pct"/>
            <w:shd w:val="clear" w:color="auto" w:fill="auto"/>
            <w:noWrap/>
            <w:vAlign w:val="center"/>
          </w:tcPr>
          <w:p w:rsidR="00D82C37" w:rsidRPr="00BD3A2A" w:rsidRDefault="00D82C37" w:rsidP="00552736">
            <w:pPr>
              <w:rPr>
                <w:szCs w:val="24"/>
              </w:rPr>
            </w:pPr>
            <w:r w:rsidRPr="00BD3A2A">
              <w:rPr>
                <w:szCs w:val="24"/>
              </w:rPr>
              <w:t>31,4</w:t>
            </w:r>
          </w:p>
        </w:tc>
      </w:tr>
    </w:tbl>
    <w:p w:rsidR="00D82C37" w:rsidRDefault="00D82C37" w:rsidP="00D82C37">
      <w:pPr>
        <w:rPr>
          <w:i/>
          <w:sz w:val="28"/>
          <w:szCs w:val="28"/>
        </w:rPr>
      </w:pPr>
      <w:r w:rsidRPr="00262B01">
        <w:rPr>
          <w:sz w:val="28"/>
          <w:szCs w:val="28"/>
        </w:rPr>
        <w:t>Ґрунтуючись на результатах множинних порівнянь</w:t>
      </w:r>
      <w:r>
        <w:rPr>
          <w:sz w:val="28"/>
          <w:szCs w:val="28"/>
        </w:rPr>
        <w:t xml:space="preserve"> даних, представлених у табл.7 та табл.8</w:t>
      </w:r>
      <w:r w:rsidRPr="00262B01">
        <w:rPr>
          <w:sz w:val="28"/>
          <w:szCs w:val="28"/>
        </w:rPr>
        <w:t>, зроблено висновок про відсутність істотних відмінностей між підгрупами, які сформовані залежно від дози введеного в/в КСФ.</w:t>
      </w:r>
    </w:p>
    <w:p w:rsidR="00D82C37" w:rsidRPr="00262B01" w:rsidRDefault="00D82C37" w:rsidP="00D82C37">
      <w:pPr>
        <w:jc w:val="right"/>
        <w:rPr>
          <w:i/>
          <w:sz w:val="28"/>
          <w:szCs w:val="28"/>
        </w:rPr>
      </w:pPr>
      <w:r w:rsidRPr="00262B01">
        <w:rPr>
          <w:i/>
          <w:sz w:val="28"/>
          <w:szCs w:val="28"/>
        </w:rPr>
        <w:t>Таблиця 7</w:t>
      </w:r>
    </w:p>
    <w:p w:rsidR="00D82C37" w:rsidRPr="00262B01" w:rsidRDefault="00D82C37" w:rsidP="00D82C37">
      <w:pPr>
        <w:jc w:val="center"/>
        <w:rPr>
          <w:b/>
          <w:sz w:val="28"/>
          <w:szCs w:val="28"/>
        </w:rPr>
      </w:pPr>
      <w:r w:rsidRPr="00262B01">
        <w:rPr>
          <w:b/>
          <w:sz w:val="28"/>
          <w:szCs w:val="28"/>
        </w:rPr>
        <w:t xml:space="preserve">Результати лейкоцитаферезу (кількість СД 34+клітин/кг маси) </w:t>
      </w:r>
    </w:p>
    <w:p w:rsidR="00D82C37" w:rsidRPr="00262B01" w:rsidRDefault="00D82C37" w:rsidP="00D82C37">
      <w:pPr>
        <w:jc w:val="center"/>
        <w:rPr>
          <w:b/>
          <w:sz w:val="28"/>
          <w:szCs w:val="28"/>
        </w:rPr>
      </w:pPr>
      <w:r w:rsidRPr="00262B01">
        <w:rPr>
          <w:b/>
          <w:sz w:val="28"/>
          <w:szCs w:val="28"/>
        </w:rPr>
        <w:t>залежно від дози КСФ при підшкірному введенні 1 раз на добу</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36"/>
        <w:gridCol w:w="840"/>
        <w:gridCol w:w="1688"/>
        <w:gridCol w:w="1116"/>
        <w:gridCol w:w="1502"/>
        <w:gridCol w:w="1085"/>
        <w:gridCol w:w="1305"/>
      </w:tblGrid>
      <w:tr w:rsidR="00D82C37" w:rsidRPr="00CD0B8B" w:rsidTr="00552736">
        <w:trPr>
          <w:trHeight w:val="255"/>
        </w:trPr>
        <w:tc>
          <w:tcPr>
            <w:tcW w:w="936" w:type="pct"/>
            <w:shd w:val="clear" w:color="auto" w:fill="auto"/>
            <w:noWrap/>
            <w:vAlign w:val="center"/>
          </w:tcPr>
          <w:p w:rsidR="00D82C37" w:rsidRPr="00CD0B8B" w:rsidRDefault="00D82C37" w:rsidP="00552736">
            <w:pPr>
              <w:rPr>
                <w:szCs w:val="24"/>
              </w:rPr>
            </w:pPr>
            <w:r w:rsidRPr="00CD0B8B">
              <w:rPr>
                <w:szCs w:val="24"/>
              </w:rPr>
              <w:lastRenderedPageBreak/>
              <w:t>Доза КСФ (мкг/кг)</w:t>
            </w:r>
          </w:p>
        </w:tc>
        <w:tc>
          <w:tcPr>
            <w:tcW w:w="453" w:type="pct"/>
            <w:shd w:val="clear" w:color="auto" w:fill="auto"/>
            <w:noWrap/>
            <w:vAlign w:val="center"/>
          </w:tcPr>
          <w:p w:rsidR="00D82C37" w:rsidRPr="00CD0B8B" w:rsidRDefault="00D82C37" w:rsidP="00552736">
            <w:pPr>
              <w:rPr>
                <w:szCs w:val="24"/>
              </w:rPr>
            </w:pPr>
            <w:r w:rsidRPr="00CD0B8B">
              <w:rPr>
                <w:szCs w:val="24"/>
              </w:rPr>
              <w:t>n = 56</w:t>
            </w:r>
          </w:p>
        </w:tc>
        <w:tc>
          <w:tcPr>
            <w:tcW w:w="910" w:type="pct"/>
            <w:shd w:val="clear" w:color="auto" w:fill="auto"/>
            <w:noWrap/>
            <w:vAlign w:val="center"/>
          </w:tcPr>
          <w:p w:rsidR="00D82C37" w:rsidRPr="00CD0B8B" w:rsidRDefault="00D82C37" w:rsidP="00552736">
            <w:pPr>
              <w:rPr>
                <w:szCs w:val="24"/>
              </w:rPr>
            </w:pPr>
            <w:r w:rsidRPr="00CD0B8B">
              <w:rPr>
                <w:szCs w:val="24"/>
              </w:rPr>
              <w:t>Середнє арифметичне</w:t>
            </w:r>
          </w:p>
        </w:tc>
        <w:tc>
          <w:tcPr>
            <w:tcW w:w="602" w:type="pct"/>
            <w:shd w:val="clear" w:color="auto" w:fill="auto"/>
            <w:noWrap/>
            <w:vAlign w:val="center"/>
          </w:tcPr>
          <w:p w:rsidR="00D82C37" w:rsidRPr="00CD0B8B" w:rsidRDefault="00D82C37" w:rsidP="00552736">
            <w:pPr>
              <w:rPr>
                <w:szCs w:val="24"/>
              </w:rPr>
            </w:pPr>
            <w:r w:rsidRPr="00CD0B8B">
              <w:rPr>
                <w:szCs w:val="24"/>
              </w:rPr>
              <w:t>Медіана</w:t>
            </w:r>
          </w:p>
        </w:tc>
        <w:tc>
          <w:tcPr>
            <w:tcW w:w="810" w:type="pct"/>
            <w:shd w:val="clear" w:color="auto" w:fill="auto"/>
            <w:noWrap/>
            <w:vAlign w:val="center"/>
          </w:tcPr>
          <w:p w:rsidR="00D82C37" w:rsidRPr="00CD0B8B" w:rsidRDefault="00D82C37" w:rsidP="00552736">
            <w:pPr>
              <w:rPr>
                <w:szCs w:val="24"/>
              </w:rPr>
            </w:pPr>
            <w:r w:rsidRPr="00CD0B8B">
              <w:rPr>
                <w:szCs w:val="24"/>
              </w:rPr>
              <w:t>Стандартне відхилення</w:t>
            </w:r>
          </w:p>
        </w:tc>
        <w:tc>
          <w:tcPr>
            <w:tcW w:w="585" w:type="pct"/>
            <w:shd w:val="clear" w:color="auto" w:fill="auto"/>
            <w:noWrap/>
            <w:vAlign w:val="center"/>
          </w:tcPr>
          <w:p w:rsidR="00D82C37" w:rsidRPr="00CD0B8B" w:rsidRDefault="00D82C37" w:rsidP="00552736">
            <w:pPr>
              <w:rPr>
                <w:szCs w:val="24"/>
              </w:rPr>
            </w:pPr>
            <w:r w:rsidRPr="00CD0B8B">
              <w:rPr>
                <w:szCs w:val="24"/>
              </w:rPr>
              <w:t>Мінімум</w:t>
            </w:r>
          </w:p>
        </w:tc>
        <w:tc>
          <w:tcPr>
            <w:tcW w:w="704" w:type="pct"/>
            <w:shd w:val="clear" w:color="auto" w:fill="auto"/>
            <w:noWrap/>
            <w:vAlign w:val="center"/>
          </w:tcPr>
          <w:p w:rsidR="00D82C37" w:rsidRPr="00CD0B8B" w:rsidRDefault="00D82C37" w:rsidP="00552736">
            <w:pPr>
              <w:rPr>
                <w:szCs w:val="24"/>
              </w:rPr>
            </w:pPr>
            <w:r w:rsidRPr="00CD0B8B">
              <w:rPr>
                <w:szCs w:val="24"/>
              </w:rPr>
              <w:t>Максимум</w:t>
            </w:r>
          </w:p>
        </w:tc>
      </w:tr>
      <w:tr w:rsidR="00D82C37" w:rsidRPr="00CD0B8B" w:rsidTr="00552736">
        <w:trPr>
          <w:trHeight w:val="255"/>
        </w:trPr>
        <w:tc>
          <w:tcPr>
            <w:tcW w:w="936" w:type="pct"/>
            <w:shd w:val="clear" w:color="auto" w:fill="auto"/>
            <w:noWrap/>
            <w:vAlign w:val="center"/>
          </w:tcPr>
          <w:p w:rsidR="00D82C37" w:rsidRPr="00CD0B8B" w:rsidRDefault="00D82C37" w:rsidP="00552736">
            <w:pPr>
              <w:rPr>
                <w:b/>
                <w:szCs w:val="24"/>
              </w:rPr>
            </w:pPr>
            <w:r w:rsidRPr="00CD0B8B">
              <w:rPr>
                <w:szCs w:val="24"/>
              </w:rPr>
              <w:t>До 5</w:t>
            </w:r>
          </w:p>
        </w:tc>
        <w:tc>
          <w:tcPr>
            <w:tcW w:w="453" w:type="pct"/>
            <w:shd w:val="clear" w:color="auto" w:fill="auto"/>
            <w:noWrap/>
            <w:vAlign w:val="center"/>
          </w:tcPr>
          <w:p w:rsidR="00D82C37" w:rsidRPr="00CD0B8B" w:rsidRDefault="00D82C37" w:rsidP="00552736">
            <w:pPr>
              <w:rPr>
                <w:szCs w:val="24"/>
              </w:rPr>
            </w:pPr>
            <w:r w:rsidRPr="00CD0B8B">
              <w:rPr>
                <w:szCs w:val="24"/>
              </w:rPr>
              <w:t>6</w:t>
            </w:r>
          </w:p>
        </w:tc>
        <w:tc>
          <w:tcPr>
            <w:tcW w:w="910" w:type="pct"/>
            <w:shd w:val="clear" w:color="auto" w:fill="auto"/>
            <w:noWrap/>
            <w:vAlign w:val="center"/>
          </w:tcPr>
          <w:p w:rsidR="00D82C37" w:rsidRPr="00CD0B8B" w:rsidRDefault="00D82C37" w:rsidP="00552736">
            <w:pPr>
              <w:rPr>
                <w:b/>
                <w:szCs w:val="24"/>
              </w:rPr>
            </w:pPr>
          </w:p>
        </w:tc>
        <w:tc>
          <w:tcPr>
            <w:tcW w:w="602" w:type="pct"/>
            <w:shd w:val="clear" w:color="auto" w:fill="auto"/>
            <w:noWrap/>
            <w:vAlign w:val="center"/>
          </w:tcPr>
          <w:p w:rsidR="00D82C37" w:rsidRPr="00CD0B8B" w:rsidRDefault="00D82C37" w:rsidP="00552736">
            <w:pPr>
              <w:rPr>
                <w:b/>
                <w:szCs w:val="24"/>
              </w:rPr>
            </w:pPr>
          </w:p>
        </w:tc>
        <w:tc>
          <w:tcPr>
            <w:tcW w:w="810" w:type="pct"/>
            <w:shd w:val="clear" w:color="auto" w:fill="auto"/>
            <w:noWrap/>
            <w:vAlign w:val="center"/>
          </w:tcPr>
          <w:p w:rsidR="00D82C37" w:rsidRPr="00CD0B8B" w:rsidRDefault="00D82C37" w:rsidP="00552736">
            <w:pPr>
              <w:rPr>
                <w:b/>
                <w:szCs w:val="24"/>
              </w:rPr>
            </w:pPr>
          </w:p>
        </w:tc>
        <w:tc>
          <w:tcPr>
            <w:tcW w:w="585" w:type="pct"/>
            <w:shd w:val="clear" w:color="auto" w:fill="auto"/>
            <w:noWrap/>
            <w:vAlign w:val="center"/>
          </w:tcPr>
          <w:p w:rsidR="00D82C37" w:rsidRPr="00CD0B8B" w:rsidRDefault="00D82C37" w:rsidP="00552736">
            <w:pPr>
              <w:rPr>
                <w:b/>
                <w:szCs w:val="24"/>
              </w:rPr>
            </w:pPr>
          </w:p>
        </w:tc>
        <w:tc>
          <w:tcPr>
            <w:tcW w:w="704" w:type="pct"/>
            <w:shd w:val="clear" w:color="auto" w:fill="auto"/>
            <w:noWrap/>
            <w:vAlign w:val="center"/>
          </w:tcPr>
          <w:p w:rsidR="00D82C37" w:rsidRPr="00CD0B8B" w:rsidRDefault="00D82C37" w:rsidP="00552736">
            <w:pPr>
              <w:rPr>
                <w:b/>
                <w:szCs w:val="24"/>
              </w:rPr>
            </w:pPr>
          </w:p>
        </w:tc>
      </w:tr>
      <w:tr w:rsidR="00D82C37" w:rsidRPr="00CD0B8B" w:rsidTr="00552736">
        <w:trPr>
          <w:trHeight w:val="255"/>
        </w:trPr>
        <w:tc>
          <w:tcPr>
            <w:tcW w:w="936" w:type="pct"/>
            <w:shd w:val="clear" w:color="auto" w:fill="auto"/>
            <w:noWrap/>
            <w:vAlign w:val="bottom"/>
          </w:tcPr>
          <w:p w:rsidR="00D82C37" w:rsidRPr="00CD0B8B" w:rsidRDefault="00D82C37" w:rsidP="00552736">
            <w:pPr>
              <w:rPr>
                <w:szCs w:val="24"/>
              </w:rPr>
            </w:pPr>
            <w:r w:rsidRPr="00CD0B8B">
              <w:rPr>
                <w:szCs w:val="24"/>
              </w:rPr>
              <w:t>5 – 9,9</w:t>
            </w:r>
          </w:p>
        </w:tc>
        <w:tc>
          <w:tcPr>
            <w:tcW w:w="453" w:type="pct"/>
            <w:shd w:val="clear" w:color="auto" w:fill="auto"/>
            <w:noWrap/>
            <w:vAlign w:val="bottom"/>
          </w:tcPr>
          <w:p w:rsidR="00D82C37" w:rsidRPr="00CD0B8B" w:rsidRDefault="00D82C37" w:rsidP="00552736">
            <w:pPr>
              <w:rPr>
                <w:szCs w:val="24"/>
              </w:rPr>
            </w:pPr>
            <w:r w:rsidRPr="00CD0B8B">
              <w:rPr>
                <w:szCs w:val="24"/>
              </w:rPr>
              <w:t>32</w:t>
            </w:r>
          </w:p>
        </w:tc>
        <w:tc>
          <w:tcPr>
            <w:tcW w:w="910" w:type="pct"/>
            <w:shd w:val="clear" w:color="auto" w:fill="auto"/>
            <w:noWrap/>
            <w:vAlign w:val="bottom"/>
          </w:tcPr>
          <w:p w:rsidR="00D82C37" w:rsidRPr="00CD0B8B" w:rsidRDefault="00D82C37" w:rsidP="00552736">
            <w:pPr>
              <w:rPr>
                <w:szCs w:val="24"/>
              </w:rPr>
            </w:pPr>
            <w:r w:rsidRPr="00CD0B8B">
              <w:rPr>
                <w:szCs w:val="24"/>
              </w:rPr>
              <w:t>3,96</w:t>
            </w:r>
          </w:p>
        </w:tc>
        <w:tc>
          <w:tcPr>
            <w:tcW w:w="602" w:type="pct"/>
            <w:shd w:val="clear" w:color="auto" w:fill="auto"/>
            <w:noWrap/>
            <w:vAlign w:val="bottom"/>
          </w:tcPr>
          <w:p w:rsidR="00D82C37" w:rsidRPr="00CD0B8B" w:rsidRDefault="00D82C37" w:rsidP="00552736">
            <w:pPr>
              <w:rPr>
                <w:szCs w:val="24"/>
              </w:rPr>
            </w:pPr>
            <w:r w:rsidRPr="00CD0B8B">
              <w:rPr>
                <w:szCs w:val="24"/>
              </w:rPr>
              <w:t>1,3</w:t>
            </w:r>
          </w:p>
        </w:tc>
        <w:tc>
          <w:tcPr>
            <w:tcW w:w="810" w:type="pct"/>
            <w:shd w:val="clear" w:color="auto" w:fill="auto"/>
            <w:noWrap/>
            <w:vAlign w:val="bottom"/>
          </w:tcPr>
          <w:p w:rsidR="00D82C37" w:rsidRPr="00CD0B8B" w:rsidRDefault="00D82C37" w:rsidP="00552736">
            <w:pPr>
              <w:rPr>
                <w:szCs w:val="24"/>
              </w:rPr>
            </w:pPr>
            <w:r w:rsidRPr="00CD0B8B">
              <w:rPr>
                <w:szCs w:val="24"/>
              </w:rPr>
              <w:t>4,99</w:t>
            </w:r>
          </w:p>
        </w:tc>
        <w:tc>
          <w:tcPr>
            <w:tcW w:w="585" w:type="pct"/>
            <w:shd w:val="clear" w:color="auto" w:fill="auto"/>
            <w:noWrap/>
            <w:vAlign w:val="bottom"/>
          </w:tcPr>
          <w:p w:rsidR="00D82C37" w:rsidRPr="00CD0B8B" w:rsidRDefault="00D82C37" w:rsidP="00552736">
            <w:pPr>
              <w:rPr>
                <w:szCs w:val="24"/>
              </w:rPr>
            </w:pPr>
            <w:r w:rsidRPr="00CD0B8B">
              <w:rPr>
                <w:szCs w:val="24"/>
              </w:rPr>
              <w:t>0,15</w:t>
            </w:r>
          </w:p>
        </w:tc>
        <w:tc>
          <w:tcPr>
            <w:tcW w:w="704" w:type="pct"/>
            <w:shd w:val="clear" w:color="auto" w:fill="auto"/>
            <w:noWrap/>
            <w:vAlign w:val="bottom"/>
          </w:tcPr>
          <w:p w:rsidR="00D82C37" w:rsidRPr="00CD0B8B" w:rsidRDefault="00D82C37" w:rsidP="00552736">
            <w:pPr>
              <w:rPr>
                <w:szCs w:val="24"/>
              </w:rPr>
            </w:pPr>
            <w:r w:rsidRPr="00CD0B8B">
              <w:rPr>
                <w:szCs w:val="24"/>
              </w:rPr>
              <w:t>20,0</w:t>
            </w:r>
          </w:p>
        </w:tc>
      </w:tr>
      <w:tr w:rsidR="00D82C37" w:rsidRPr="00CD0B8B" w:rsidTr="00552736">
        <w:trPr>
          <w:trHeight w:val="255"/>
        </w:trPr>
        <w:tc>
          <w:tcPr>
            <w:tcW w:w="936" w:type="pct"/>
            <w:shd w:val="clear" w:color="auto" w:fill="auto"/>
            <w:noWrap/>
            <w:vAlign w:val="bottom"/>
          </w:tcPr>
          <w:p w:rsidR="00D82C37" w:rsidRPr="00CD0B8B" w:rsidRDefault="00D82C37" w:rsidP="00552736">
            <w:pPr>
              <w:rPr>
                <w:szCs w:val="24"/>
              </w:rPr>
            </w:pPr>
            <w:r w:rsidRPr="00CD0B8B">
              <w:rPr>
                <w:szCs w:val="24"/>
              </w:rPr>
              <w:t>10 і більше</w:t>
            </w:r>
          </w:p>
        </w:tc>
        <w:tc>
          <w:tcPr>
            <w:tcW w:w="453" w:type="pct"/>
            <w:shd w:val="clear" w:color="auto" w:fill="auto"/>
            <w:noWrap/>
            <w:vAlign w:val="bottom"/>
          </w:tcPr>
          <w:p w:rsidR="00D82C37" w:rsidRPr="00CD0B8B" w:rsidRDefault="00D82C37" w:rsidP="00552736">
            <w:pPr>
              <w:rPr>
                <w:szCs w:val="24"/>
              </w:rPr>
            </w:pPr>
            <w:r w:rsidRPr="00CD0B8B">
              <w:rPr>
                <w:szCs w:val="24"/>
              </w:rPr>
              <w:t>18</w:t>
            </w:r>
          </w:p>
        </w:tc>
        <w:tc>
          <w:tcPr>
            <w:tcW w:w="910" w:type="pct"/>
            <w:shd w:val="clear" w:color="auto" w:fill="auto"/>
            <w:noWrap/>
            <w:vAlign w:val="bottom"/>
          </w:tcPr>
          <w:p w:rsidR="00D82C37" w:rsidRPr="00CD0B8B" w:rsidRDefault="00D82C37" w:rsidP="00552736">
            <w:pPr>
              <w:rPr>
                <w:szCs w:val="24"/>
              </w:rPr>
            </w:pPr>
            <w:r w:rsidRPr="00CD0B8B">
              <w:rPr>
                <w:szCs w:val="24"/>
              </w:rPr>
              <w:t>7,22</w:t>
            </w:r>
          </w:p>
        </w:tc>
        <w:tc>
          <w:tcPr>
            <w:tcW w:w="602" w:type="pct"/>
            <w:shd w:val="clear" w:color="auto" w:fill="auto"/>
            <w:noWrap/>
            <w:vAlign w:val="bottom"/>
          </w:tcPr>
          <w:p w:rsidR="00D82C37" w:rsidRPr="00CD0B8B" w:rsidRDefault="00D82C37" w:rsidP="00552736">
            <w:pPr>
              <w:rPr>
                <w:szCs w:val="24"/>
              </w:rPr>
            </w:pPr>
            <w:r w:rsidRPr="00CD0B8B">
              <w:rPr>
                <w:szCs w:val="24"/>
              </w:rPr>
              <w:t>2,19</w:t>
            </w:r>
          </w:p>
        </w:tc>
        <w:tc>
          <w:tcPr>
            <w:tcW w:w="810" w:type="pct"/>
            <w:shd w:val="clear" w:color="auto" w:fill="auto"/>
            <w:noWrap/>
            <w:vAlign w:val="bottom"/>
          </w:tcPr>
          <w:p w:rsidR="00D82C37" w:rsidRPr="00CD0B8B" w:rsidRDefault="00D82C37" w:rsidP="00552736">
            <w:pPr>
              <w:rPr>
                <w:szCs w:val="24"/>
              </w:rPr>
            </w:pPr>
            <w:r w:rsidRPr="00CD0B8B">
              <w:rPr>
                <w:szCs w:val="24"/>
              </w:rPr>
              <w:t>7,25</w:t>
            </w:r>
          </w:p>
        </w:tc>
        <w:tc>
          <w:tcPr>
            <w:tcW w:w="585" w:type="pct"/>
            <w:shd w:val="clear" w:color="auto" w:fill="auto"/>
            <w:noWrap/>
            <w:vAlign w:val="bottom"/>
          </w:tcPr>
          <w:p w:rsidR="00D82C37" w:rsidRPr="00CD0B8B" w:rsidRDefault="00D82C37" w:rsidP="00552736">
            <w:pPr>
              <w:rPr>
                <w:szCs w:val="24"/>
              </w:rPr>
            </w:pPr>
            <w:r w:rsidRPr="00CD0B8B">
              <w:rPr>
                <w:szCs w:val="24"/>
              </w:rPr>
              <w:t>0,7</w:t>
            </w:r>
          </w:p>
        </w:tc>
        <w:tc>
          <w:tcPr>
            <w:tcW w:w="704" w:type="pct"/>
            <w:shd w:val="clear" w:color="auto" w:fill="auto"/>
            <w:noWrap/>
            <w:vAlign w:val="bottom"/>
          </w:tcPr>
          <w:p w:rsidR="00D82C37" w:rsidRPr="00CD0B8B" w:rsidRDefault="00D82C37" w:rsidP="00552736">
            <w:pPr>
              <w:rPr>
                <w:szCs w:val="24"/>
              </w:rPr>
            </w:pPr>
            <w:r w:rsidRPr="00CD0B8B">
              <w:rPr>
                <w:szCs w:val="24"/>
              </w:rPr>
              <w:t>18,0</w:t>
            </w:r>
          </w:p>
        </w:tc>
      </w:tr>
    </w:tbl>
    <w:p w:rsidR="00D82C37" w:rsidRPr="00262B01" w:rsidRDefault="00D82C37" w:rsidP="00D82C37">
      <w:pPr>
        <w:jc w:val="right"/>
        <w:rPr>
          <w:i/>
          <w:sz w:val="28"/>
          <w:szCs w:val="28"/>
        </w:rPr>
      </w:pPr>
    </w:p>
    <w:p w:rsidR="00D82C37" w:rsidRPr="00262B01" w:rsidRDefault="00D82C37" w:rsidP="00D82C37">
      <w:pPr>
        <w:jc w:val="right"/>
        <w:rPr>
          <w:i/>
          <w:sz w:val="28"/>
          <w:szCs w:val="28"/>
        </w:rPr>
      </w:pPr>
      <w:r w:rsidRPr="00262B01">
        <w:rPr>
          <w:i/>
          <w:sz w:val="28"/>
          <w:szCs w:val="28"/>
        </w:rPr>
        <w:t>Таблиця 8</w:t>
      </w:r>
    </w:p>
    <w:p w:rsidR="00D82C37" w:rsidRPr="00262B01" w:rsidRDefault="00D82C37" w:rsidP="00D82C37">
      <w:pPr>
        <w:jc w:val="center"/>
        <w:rPr>
          <w:b/>
          <w:sz w:val="28"/>
          <w:szCs w:val="28"/>
        </w:rPr>
      </w:pPr>
      <w:r w:rsidRPr="00262B01">
        <w:rPr>
          <w:b/>
          <w:sz w:val="28"/>
          <w:szCs w:val="28"/>
        </w:rPr>
        <w:t xml:space="preserve">Результати лейкоцитаферезу (кількість СД 34+клітин/кг маси) </w:t>
      </w:r>
    </w:p>
    <w:p w:rsidR="00D82C37" w:rsidRPr="00262B01" w:rsidRDefault="00D82C37" w:rsidP="00D82C37">
      <w:pPr>
        <w:jc w:val="center"/>
        <w:rPr>
          <w:b/>
          <w:sz w:val="28"/>
          <w:szCs w:val="28"/>
        </w:rPr>
      </w:pPr>
      <w:r w:rsidRPr="00262B01">
        <w:rPr>
          <w:b/>
          <w:sz w:val="28"/>
          <w:szCs w:val="28"/>
        </w:rPr>
        <w:t>залежно від дози КСФ при внутрішньовенному введенні 1 раз на добу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36"/>
        <w:gridCol w:w="979"/>
        <w:gridCol w:w="1626"/>
        <w:gridCol w:w="1073"/>
        <w:gridCol w:w="1486"/>
        <w:gridCol w:w="1073"/>
        <w:gridCol w:w="1372"/>
      </w:tblGrid>
      <w:tr w:rsidR="00D82C37" w:rsidRPr="00CD0B8B" w:rsidTr="00552736">
        <w:trPr>
          <w:trHeight w:val="255"/>
        </w:trPr>
        <w:tc>
          <w:tcPr>
            <w:tcW w:w="929" w:type="pct"/>
            <w:shd w:val="clear" w:color="auto" w:fill="auto"/>
            <w:noWrap/>
            <w:vAlign w:val="center"/>
          </w:tcPr>
          <w:p w:rsidR="00D82C37" w:rsidRPr="00CD0B8B" w:rsidRDefault="00D82C37" w:rsidP="00552736">
            <w:pPr>
              <w:rPr>
                <w:szCs w:val="24"/>
              </w:rPr>
            </w:pPr>
            <w:r w:rsidRPr="00CD0B8B">
              <w:rPr>
                <w:szCs w:val="24"/>
              </w:rPr>
              <w:t>Доза КСФ (мкг/кг)</w:t>
            </w:r>
          </w:p>
        </w:tc>
        <w:tc>
          <w:tcPr>
            <w:tcW w:w="524" w:type="pct"/>
            <w:shd w:val="clear" w:color="auto" w:fill="auto"/>
            <w:noWrap/>
            <w:vAlign w:val="center"/>
          </w:tcPr>
          <w:p w:rsidR="00D82C37" w:rsidRPr="00CD0B8B" w:rsidRDefault="00D82C37" w:rsidP="00552736">
            <w:pPr>
              <w:rPr>
                <w:szCs w:val="24"/>
              </w:rPr>
            </w:pPr>
            <w:r w:rsidRPr="00CD0B8B">
              <w:rPr>
                <w:szCs w:val="24"/>
              </w:rPr>
              <w:t>n = 249</w:t>
            </w:r>
          </w:p>
        </w:tc>
        <w:tc>
          <w:tcPr>
            <w:tcW w:w="870" w:type="pct"/>
            <w:shd w:val="clear" w:color="auto" w:fill="auto"/>
            <w:noWrap/>
            <w:vAlign w:val="center"/>
          </w:tcPr>
          <w:p w:rsidR="00D82C37" w:rsidRPr="00CD0B8B" w:rsidRDefault="00D82C37" w:rsidP="00552736">
            <w:pPr>
              <w:rPr>
                <w:szCs w:val="24"/>
              </w:rPr>
            </w:pPr>
            <w:r w:rsidRPr="00CD0B8B">
              <w:rPr>
                <w:szCs w:val="24"/>
              </w:rPr>
              <w:t>Середнє арифметичне</w:t>
            </w:r>
          </w:p>
        </w:tc>
        <w:tc>
          <w:tcPr>
            <w:tcW w:w="574" w:type="pct"/>
            <w:shd w:val="clear" w:color="auto" w:fill="auto"/>
            <w:noWrap/>
            <w:vAlign w:val="center"/>
          </w:tcPr>
          <w:p w:rsidR="00D82C37" w:rsidRPr="00CD0B8B" w:rsidRDefault="00D82C37" w:rsidP="00552736">
            <w:pPr>
              <w:rPr>
                <w:szCs w:val="24"/>
              </w:rPr>
            </w:pPr>
            <w:r w:rsidRPr="00CD0B8B">
              <w:rPr>
                <w:szCs w:val="24"/>
              </w:rPr>
              <w:t>Медіана</w:t>
            </w:r>
          </w:p>
        </w:tc>
        <w:tc>
          <w:tcPr>
            <w:tcW w:w="795" w:type="pct"/>
            <w:shd w:val="clear" w:color="auto" w:fill="auto"/>
            <w:noWrap/>
            <w:vAlign w:val="center"/>
          </w:tcPr>
          <w:p w:rsidR="00D82C37" w:rsidRPr="00CD0B8B" w:rsidRDefault="00D82C37" w:rsidP="00552736">
            <w:pPr>
              <w:rPr>
                <w:szCs w:val="24"/>
              </w:rPr>
            </w:pPr>
            <w:r w:rsidRPr="00CD0B8B">
              <w:rPr>
                <w:szCs w:val="24"/>
              </w:rPr>
              <w:t>Стандартне відхилення</w:t>
            </w:r>
          </w:p>
        </w:tc>
        <w:tc>
          <w:tcPr>
            <w:tcW w:w="574" w:type="pct"/>
            <w:shd w:val="clear" w:color="auto" w:fill="auto"/>
            <w:noWrap/>
            <w:vAlign w:val="center"/>
          </w:tcPr>
          <w:p w:rsidR="00D82C37" w:rsidRPr="00CD0B8B" w:rsidRDefault="00D82C37" w:rsidP="00552736">
            <w:pPr>
              <w:rPr>
                <w:szCs w:val="24"/>
              </w:rPr>
            </w:pPr>
            <w:r w:rsidRPr="00CD0B8B">
              <w:rPr>
                <w:szCs w:val="24"/>
              </w:rPr>
              <w:t>Мінімум</w:t>
            </w:r>
          </w:p>
        </w:tc>
        <w:tc>
          <w:tcPr>
            <w:tcW w:w="735" w:type="pct"/>
            <w:shd w:val="clear" w:color="auto" w:fill="auto"/>
            <w:noWrap/>
            <w:vAlign w:val="center"/>
          </w:tcPr>
          <w:p w:rsidR="00D82C37" w:rsidRPr="00CD0B8B" w:rsidRDefault="00D82C37" w:rsidP="00552736">
            <w:pPr>
              <w:rPr>
                <w:szCs w:val="24"/>
              </w:rPr>
            </w:pPr>
            <w:r w:rsidRPr="00CD0B8B">
              <w:rPr>
                <w:szCs w:val="24"/>
              </w:rPr>
              <w:t>Максимум</w:t>
            </w:r>
          </w:p>
        </w:tc>
      </w:tr>
      <w:tr w:rsidR="00D82C37" w:rsidRPr="00CD0B8B" w:rsidTr="00552736">
        <w:trPr>
          <w:trHeight w:val="255"/>
        </w:trPr>
        <w:tc>
          <w:tcPr>
            <w:tcW w:w="929" w:type="pct"/>
            <w:shd w:val="clear" w:color="auto" w:fill="auto"/>
            <w:noWrap/>
            <w:vAlign w:val="bottom"/>
          </w:tcPr>
          <w:p w:rsidR="00D82C37" w:rsidRPr="00CD0B8B" w:rsidRDefault="00D82C37" w:rsidP="00552736">
            <w:pPr>
              <w:rPr>
                <w:szCs w:val="24"/>
              </w:rPr>
            </w:pPr>
            <w:r w:rsidRPr="00CD0B8B">
              <w:rPr>
                <w:szCs w:val="24"/>
              </w:rPr>
              <w:t xml:space="preserve">До 5 </w:t>
            </w:r>
          </w:p>
        </w:tc>
        <w:tc>
          <w:tcPr>
            <w:tcW w:w="524" w:type="pct"/>
            <w:shd w:val="clear" w:color="auto" w:fill="auto"/>
            <w:noWrap/>
            <w:vAlign w:val="bottom"/>
          </w:tcPr>
          <w:p w:rsidR="00D82C37" w:rsidRPr="00CD0B8B" w:rsidRDefault="00D82C37" w:rsidP="00552736">
            <w:pPr>
              <w:rPr>
                <w:szCs w:val="24"/>
              </w:rPr>
            </w:pPr>
            <w:r w:rsidRPr="00CD0B8B">
              <w:rPr>
                <w:szCs w:val="24"/>
              </w:rPr>
              <w:t>56</w:t>
            </w:r>
          </w:p>
        </w:tc>
        <w:tc>
          <w:tcPr>
            <w:tcW w:w="870" w:type="pct"/>
            <w:shd w:val="clear" w:color="auto" w:fill="auto"/>
            <w:noWrap/>
            <w:vAlign w:val="center"/>
          </w:tcPr>
          <w:p w:rsidR="00D82C37" w:rsidRPr="00CD0B8B" w:rsidRDefault="00D82C37" w:rsidP="00552736">
            <w:pPr>
              <w:rPr>
                <w:szCs w:val="24"/>
              </w:rPr>
            </w:pPr>
            <w:r w:rsidRPr="00CD0B8B">
              <w:rPr>
                <w:szCs w:val="24"/>
              </w:rPr>
              <w:t>3,12</w:t>
            </w:r>
          </w:p>
        </w:tc>
        <w:tc>
          <w:tcPr>
            <w:tcW w:w="574" w:type="pct"/>
            <w:shd w:val="clear" w:color="auto" w:fill="auto"/>
            <w:noWrap/>
            <w:vAlign w:val="center"/>
          </w:tcPr>
          <w:p w:rsidR="00D82C37" w:rsidRPr="00CD0B8B" w:rsidRDefault="00D82C37" w:rsidP="00552736">
            <w:pPr>
              <w:rPr>
                <w:szCs w:val="24"/>
              </w:rPr>
            </w:pPr>
            <w:r w:rsidRPr="00CD0B8B">
              <w:rPr>
                <w:szCs w:val="24"/>
              </w:rPr>
              <w:t>1,75</w:t>
            </w:r>
          </w:p>
        </w:tc>
        <w:tc>
          <w:tcPr>
            <w:tcW w:w="795" w:type="pct"/>
            <w:shd w:val="clear" w:color="auto" w:fill="auto"/>
            <w:noWrap/>
            <w:vAlign w:val="center"/>
          </w:tcPr>
          <w:p w:rsidR="00D82C37" w:rsidRPr="00CD0B8B" w:rsidRDefault="00D82C37" w:rsidP="00552736">
            <w:pPr>
              <w:rPr>
                <w:szCs w:val="24"/>
              </w:rPr>
            </w:pPr>
            <w:r w:rsidRPr="00CD0B8B">
              <w:rPr>
                <w:szCs w:val="24"/>
              </w:rPr>
              <w:t>3,28</w:t>
            </w:r>
          </w:p>
        </w:tc>
        <w:tc>
          <w:tcPr>
            <w:tcW w:w="574" w:type="pct"/>
            <w:shd w:val="clear" w:color="auto" w:fill="auto"/>
            <w:noWrap/>
            <w:vAlign w:val="center"/>
          </w:tcPr>
          <w:p w:rsidR="00D82C37" w:rsidRPr="00CD0B8B" w:rsidRDefault="00D82C37" w:rsidP="00552736">
            <w:pPr>
              <w:rPr>
                <w:szCs w:val="24"/>
              </w:rPr>
            </w:pPr>
            <w:r w:rsidRPr="00CD0B8B">
              <w:rPr>
                <w:szCs w:val="24"/>
              </w:rPr>
              <w:t>0,05</w:t>
            </w:r>
          </w:p>
        </w:tc>
        <w:tc>
          <w:tcPr>
            <w:tcW w:w="735" w:type="pct"/>
            <w:shd w:val="clear" w:color="auto" w:fill="auto"/>
            <w:noWrap/>
            <w:vAlign w:val="center"/>
          </w:tcPr>
          <w:p w:rsidR="00D82C37" w:rsidRPr="00CD0B8B" w:rsidRDefault="00D82C37" w:rsidP="00552736">
            <w:pPr>
              <w:rPr>
                <w:szCs w:val="24"/>
              </w:rPr>
            </w:pPr>
            <w:r w:rsidRPr="00CD0B8B">
              <w:rPr>
                <w:szCs w:val="24"/>
              </w:rPr>
              <w:t>18,0</w:t>
            </w:r>
          </w:p>
        </w:tc>
      </w:tr>
      <w:tr w:rsidR="00D82C37" w:rsidRPr="00CD0B8B" w:rsidTr="00552736">
        <w:trPr>
          <w:trHeight w:val="255"/>
        </w:trPr>
        <w:tc>
          <w:tcPr>
            <w:tcW w:w="929" w:type="pct"/>
            <w:shd w:val="clear" w:color="auto" w:fill="auto"/>
            <w:noWrap/>
            <w:vAlign w:val="bottom"/>
          </w:tcPr>
          <w:p w:rsidR="00D82C37" w:rsidRPr="00CD0B8B" w:rsidRDefault="00D82C37" w:rsidP="00552736">
            <w:pPr>
              <w:rPr>
                <w:szCs w:val="24"/>
              </w:rPr>
            </w:pPr>
            <w:r w:rsidRPr="00CD0B8B">
              <w:rPr>
                <w:szCs w:val="24"/>
              </w:rPr>
              <w:t xml:space="preserve">5–9,9 </w:t>
            </w:r>
          </w:p>
        </w:tc>
        <w:tc>
          <w:tcPr>
            <w:tcW w:w="524" w:type="pct"/>
            <w:shd w:val="clear" w:color="auto" w:fill="auto"/>
            <w:noWrap/>
            <w:vAlign w:val="bottom"/>
          </w:tcPr>
          <w:p w:rsidR="00D82C37" w:rsidRPr="00CD0B8B" w:rsidRDefault="00D82C37" w:rsidP="00552736">
            <w:pPr>
              <w:rPr>
                <w:szCs w:val="24"/>
              </w:rPr>
            </w:pPr>
            <w:r w:rsidRPr="00CD0B8B">
              <w:rPr>
                <w:szCs w:val="24"/>
              </w:rPr>
              <w:t>168</w:t>
            </w:r>
          </w:p>
        </w:tc>
        <w:tc>
          <w:tcPr>
            <w:tcW w:w="870" w:type="pct"/>
            <w:shd w:val="clear" w:color="auto" w:fill="auto"/>
            <w:noWrap/>
            <w:vAlign w:val="center"/>
          </w:tcPr>
          <w:p w:rsidR="00D82C37" w:rsidRPr="00CD0B8B" w:rsidRDefault="00D82C37" w:rsidP="00552736">
            <w:pPr>
              <w:rPr>
                <w:szCs w:val="24"/>
              </w:rPr>
            </w:pPr>
            <w:r w:rsidRPr="00CD0B8B">
              <w:rPr>
                <w:szCs w:val="24"/>
              </w:rPr>
              <w:t>4,42</w:t>
            </w:r>
          </w:p>
        </w:tc>
        <w:tc>
          <w:tcPr>
            <w:tcW w:w="574" w:type="pct"/>
            <w:shd w:val="clear" w:color="auto" w:fill="auto"/>
            <w:noWrap/>
            <w:vAlign w:val="center"/>
          </w:tcPr>
          <w:p w:rsidR="00D82C37" w:rsidRPr="00CD0B8B" w:rsidRDefault="00D82C37" w:rsidP="00552736">
            <w:pPr>
              <w:rPr>
                <w:szCs w:val="24"/>
              </w:rPr>
            </w:pPr>
            <w:r w:rsidRPr="00CD0B8B">
              <w:rPr>
                <w:szCs w:val="24"/>
              </w:rPr>
              <w:t>2,4</w:t>
            </w:r>
          </w:p>
        </w:tc>
        <w:tc>
          <w:tcPr>
            <w:tcW w:w="795" w:type="pct"/>
            <w:shd w:val="clear" w:color="auto" w:fill="auto"/>
            <w:noWrap/>
            <w:vAlign w:val="center"/>
          </w:tcPr>
          <w:p w:rsidR="00D82C37" w:rsidRPr="00CD0B8B" w:rsidRDefault="00D82C37" w:rsidP="00552736">
            <w:pPr>
              <w:rPr>
                <w:szCs w:val="24"/>
              </w:rPr>
            </w:pPr>
            <w:r w:rsidRPr="00CD0B8B">
              <w:rPr>
                <w:szCs w:val="24"/>
              </w:rPr>
              <w:t>6,41</w:t>
            </w:r>
          </w:p>
        </w:tc>
        <w:tc>
          <w:tcPr>
            <w:tcW w:w="574" w:type="pct"/>
            <w:shd w:val="clear" w:color="auto" w:fill="auto"/>
            <w:noWrap/>
            <w:vAlign w:val="center"/>
          </w:tcPr>
          <w:p w:rsidR="00D82C37" w:rsidRPr="00CD0B8B" w:rsidRDefault="00D82C37" w:rsidP="00552736">
            <w:pPr>
              <w:rPr>
                <w:szCs w:val="24"/>
              </w:rPr>
            </w:pPr>
            <w:r w:rsidRPr="00CD0B8B">
              <w:rPr>
                <w:szCs w:val="24"/>
              </w:rPr>
              <w:t>0,06</w:t>
            </w:r>
          </w:p>
        </w:tc>
        <w:tc>
          <w:tcPr>
            <w:tcW w:w="735" w:type="pct"/>
            <w:shd w:val="clear" w:color="auto" w:fill="auto"/>
            <w:noWrap/>
            <w:vAlign w:val="center"/>
          </w:tcPr>
          <w:p w:rsidR="00D82C37" w:rsidRPr="00CD0B8B" w:rsidRDefault="00D82C37" w:rsidP="00552736">
            <w:pPr>
              <w:rPr>
                <w:szCs w:val="24"/>
              </w:rPr>
            </w:pPr>
            <w:r w:rsidRPr="00CD0B8B">
              <w:rPr>
                <w:szCs w:val="24"/>
              </w:rPr>
              <w:t>33,7</w:t>
            </w:r>
          </w:p>
        </w:tc>
      </w:tr>
      <w:tr w:rsidR="00D82C37" w:rsidRPr="00CD0B8B" w:rsidTr="00552736">
        <w:trPr>
          <w:trHeight w:val="255"/>
        </w:trPr>
        <w:tc>
          <w:tcPr>
            <w:tcW w:w="929" w:type="pct"/>
            <w:shd w:val="clear" w:color="auto" w:fill="auto"/>
            <w:noWrap/>
            <w:vAlign w:val="bottom"/>
          </w:tcPr>
          <w:p w:rsidR="00D82C37" w:rsidRPr="00CD0B8B" w:rsidRDefault="00D82C37" w:rsidP="00552736">
            <w:pPr>
              <w:rPr>
                <w:szCs w:val="24"/>
              </w:rPr>
            </w:pPr>
            <w:r w:rsidRPr="00CD0B8B">
              <w:rPr>
                <w:szCs w:val="24"/>
              </w:rPr>
              <w:t>10 і більше</w:t>
            </w:r>
          </w:p>
        </w:tc>
        <w:tc>
          <w:tcPr>
            <w:tcW w:w="524" w:type="pct"/>
            <w:shd w:val="clear" w:color="auto" w:fill="auto"/>
            <w:noWrap/>
            <w:vAlign w:val="bottom"/>
          </w:tcPr>
          <w:p w:rsidR="00D82C37" w:rsidRPr="00CD0B8B" w:rsidRDefault="00D82C37" w:rsidP="00552736">
            <w:pPr>
              <w:rPr>
                <w:szCs w:val="24"/>
              </w:rPr>
            </w:pPr>
            <w:r w:rsidRPr="00CD0B8B">
              <w:rPr>
                <w:szCs w:val="24"/>
              </w:rPr>
              <w:t>25</w:t>
            </w:r>
          </w:p>
        </w:tc>
        <w:tc>
          <w:tcPr>
            <w:tcW w:w="870" w:type="pct"/>
            <w:shd w:val="clear" w:color="auto" w:fill="auto"/>
            <w:noWrap/>
            <w:vAlign w:val="center"/>
          </w:tcPr>
          <w:p w:rsidR="00D82C37" w:rsidRPr="00CD0B8B" w:rsidRDefault="00D82C37" w:rsidP="00552736">
            <w:pPr>
              <w:rPr>
                <w:szCs w:val="24"/>
              </w:rPr>
            </w:pPr>
            <w:r w:rsidRPr="00CD0B8B">
              <w:rPr>
                <w:szCs w:val="24"/>
              </w:rPr>
              <w:t>3,05</w:t>
            </w:r>
          </w:p>
        </w:tc>
        <w:tc>
          <w:tcPr>
            <w:tcW w:w="574" w:type="pct"/>
            <w:shd w:val="clear" w:color="auto" w:fill="auto"/>
            <w:noWrap/>
            <w:vAlign w:val="center"/>
          </w:tcPr>
          <w:p w:rsidR="00D82C37" w:rsidRPr="00CD0B8B" w:rsidRDefault="00D82C37" w:rsidP="00552736">
            <w:pPr>
              <w:rPr>
                <w:szCs w:val="24"/>
              </w:rPr>
            </w:pPr>
            <w:r w:rsidRPr="00CD0B8B">
              <w:rPr>
                <w:szCs w:val="24"/>
              </w:rPr>
              <w:t>1,915</w:t>
            </w:r>
          </w:p>
        </w:tc>
        <w:tc>
          <w:tcPr>
            <w:tcW w:w="795" w:type="pct"/>
            <w:shd w:val="clear" w:color="auto" w:fill="auto"/>
            <w:noWrap/>
            <w:vAlign w:val="center"/>
          </w:tcPr>
          <w:p w:rsidR="00D82C37" w:rsidRPr="00CD0B8B" w:rsidRDefault="00D82C37" w:rsidP="00552736">
            <w:pPr>
              <w:rPr>
                <w:szCs w:val="24"/>
              </w:rPr>
            </w:pPr>
            <w:r w:rsidRPr="00CD0B8B">
              <w:rPr>
                <w:szCs w:val="24"/>
              </w:rPr>
              <w:t>3,78</w:t>
            </w:r>
          </w:p>
        </w:tc>
        <w:tc>
          <w:tcPr>
            <w:tcW w:w="574" w:type="pct"/>
            <w:shd w:val="clear" w:color="auto" w:fill="auto"/>
            <w:noWrap/>
            <w:vAlign w:val="center"/>
          </w:tcPr>
          <w:p w:rsidR="00D82C37" w:rsidRPr="00CD0B8B" w:rsidRDefault="00D82C37" w:rsidP="00552736">
            <w:pPr>
              <w:rPr>
                <w:szCs w:val="24"/>
              </w:rPr>
            </w:pPr>
            <w:r w:rsidRPr="00CD0B8B">
              <w:rPr>
                <w:szCs w:val="24"/>
              </w:rPr>
              <w:t>0,005</w:t>
            </w:r>
          </w:p>
        </w:tc>
        <w:tc>
          <w:tcPr>
            <w:tcW w:w="735" w:type="pct"/>
            <w:shd w:val="clear" w:color="auto" w:fill="auto"/>
            <w:noWrap/>
            <w:vAlign w:val="center"/>
          </w:tcPr>
          <w:p w:rsidR="00D82C37" w:rsidRPr="00CD0B8B" w:rsidRDefault="00D82C37" w:rsidP="00552736">
            <w:pPr>
              <w:rPr>
                <w:szCs w:val="24"/>
              </w:rPr>
            </w:pPr>
            <w:r w:rsidRPr="00CD0B8B">
              <w:rPr>
                <w:szCs w:val="24"/>
              </w:rPr>
              <w:t>19,7</w:t>
            </w:r>
          </w:p>
        </w:tc>
      </w:tr>
    </w:tbl>
    <w:p w:rsidR="00D82C37" w:rsidRDefault="00D82C37" w:rsidP="00D82C37">
      <w:pPr>
        <w:ind w:firstLine="708"/>
        <w:jc w:val="both"/>
        <w:rPr>
          <w:sz w:val="28"/>
          <w:szCs w:val="28"/>
        </w:rPr>
      </w:pPr>
      <w:r w:rsidRPr="00262B01">
        <w:rPr>
          <w:sz w:val="28"/>
          <w:szCs w:val="28"/>
        </w:rPr>
        <w:t>Для перевірки істотності відмінностей між підгрупами, сформованими за шляхом введення КСФ, проведено ДА. Встановлено, що статистично істотні відмінності кількості СД34+ у підгрупах з підшкірним та внутрішньовенним введенням КСФ відсутні (р = 0,168).</w:t>
      </w:r>
      <w:r w:rsidRPr="00E12889">
        <w:rPr>
          <w:sz w:val="28"/>
          <w:szCs w:val="28"/>
        </w:rPr>
        <w:t xml:space="preserve"> </w:t>
      </w:r>
    </w:p>
    <w:p w:rsidR="00D82C37" w:rsidRPr="00262B01" w:rsidRDefault="00D82C37" w:rsidP="00D82C37">
      <w:pPr>
        <w:ind w:firstLine="708"/>
        <w:jc w:val="both"/>
        <w:rPr>
          <w:sz w:val="28"/>
          <w:szCs w:val="28"/>
        </w:rPr>
      </w:pPr>
      <w:r>
        <w:rPr>
          <w:sz w:val="28"/>
          <w:szCs w:val="28"/>
        </w:rPr>
        <w:t>Беручи до уваги дані, представлені у табл.9 та за</w:t>
      </w:r>
      <w:r w:rsidRPr="00262B01">
        <w:rPr>
          <w:sz w:val="28"/>
          <w:szCs w:val="28"/>
        </w:rPr>
        <w:t xml:space="preserve"> результатом множинних порівнянь зроблено висновок, що призначення КСФ для стимуляції гранулоцитопоезу в ранні терміни (до 7 дня після завершення ХТ) дає достовірно нижчу ефективність порівняно із призначенням КСФ на 7</w:t>
      </w:r>
      <w:r w:rsidRPr="00D263EB">
        <w:rPr>
          <w:sz w:val="28"/>
          <w:szCs w:val="28"/>
        </w:rPr>
        <w:t xml:space="preserve"> </w:t>
      </w:r>
      <w:r w:rsidRPr="00262B01">
        <w:rPr>
          <w:sz w:val="28"/>
          <w:szCs w:val="28"/>
        </w:rPr>
        <w:t>–</w:t>
      </w:r>
      <w:r w:rsidRPr="00D263EB">
        <w:rPr>
          <w:sz w:val="28"/>
          <w:szCs w:val="28"/>
        </w:rPr>
        <w:t xml:space="preserve"> </w:t>
      </w:r>
      <w:r w:rsidRPr="00262B01">
        <w:rPr>
          <w:sz w:val="28"/>
          <w:szCs w:val="28"/>
        </w:rPr>
        <w:t>10 день (р = 0,020), чи призначенням КСФ пізніше 10 дня від завершення ХТ (р = 0,044).</w:t>
      </w:r>
    </w:p>
    <w:p w:rsidR="00D82C37" w:rsidRPr="00262B01" w:rsidRDefault="00D82C37" w:rsidP="00D82C37">
      <w:pPr>
        <w:jc w:val="right"/>
        <w:rPr>
          <w:i/>
          <w:sz w:val="28"/>
          <w:szCs w:val="28"/>
        </w:rPr>
      </w:pPr>
      <w:r w:rsidRPr="00262B01">
        <w:rPr>
          <w:i/>
          <w:sz w:val="28"/>
          <w:szCs w:val="28"/>
        </w:rPr>
        <w:t>Таблиця 9</w:t>
      </w:r>
    </w:p>
    <w:p w:rsidR="00D82C37" w:rsidRPr="00262B01" w:rsidRDefault="00D82C37" w:rsidP="00D82C37">
      <w:pPr>
        <w:jc w:val="center"/>
        <w:rPr>
          <w:b/>
          <w:sz w:val="28"/>
          <w:szCs w:val="28"/>
        </w:rPr>
      </w:pPr>
      <w:r w:rsidRPr="00262B01">
        <w:rPr>
          <w:b/>
          <w:sz w:val="28"/>
          <w:szCs w:val="28"/>
        </w:rPr>
        <w:t xml:space="preserve">Результати лейкоцитаферезу (кількість СД 34+клітин/кг маси) </w:t>
      </w:r>
    </w:p>
    <w:p w:rsidR="00D82C37" w:rsidRPr="00262B01" w:rsidRDefault="00D82C37" w:rsidP="00D82C37">
      <w:pPr>
        <w:jc w:val="center"/>
        <w:rPr>
          <w:b/>
          <w:sz w:val="28"/>
          <w:szCs w:val="28"/>
        </w:rPr>
      </w:pPr>
      <w:r w:rsidRPr="00262B01">
        <w:rPr>
          <w:b/>
          <w:sz w:val="28"/>
          <w:szCs w:val="28"/>
        </w:rPr>
        <w:t>залежно від режиму мобілізації (початок введення КСФ)</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35"/>
        <w:gridCol w:w="841"/>
        <w:gridCol w:w="1688"/>
        <w:gridCol w:w="1120"/>
        <w:gridCol w:w="1500"/>
        <w:gridCol w:w="1086"/>
        <w:gridCol w:w="1315"/>
      </w:tblGrid>
      <w:tr w:rsidR="00D82C37" w:rsidRPr="00CD0B8B" w:rsidTr="00552736">
        <w:trPr>
          <w:trHeight w:val="255"/>
        </w:trPr>
        <w:tc>
          <w:tcPr>
            <w:tcW w:w="934" w:type="pct"/>
            <w:shd w:val="clear" w:color="auto" w:fill="auto"/>
            <w:noWrap/>
            <w:vAlign w:val="center"/>
          </w:tcPr>
          <w:p w:rsidR="00D82C37" w:rsidRPr="00CD0B8B" w:rsidRDefault="00D82C37" w:rsidP="00552736">
            <w:pPr>
              <w:rPr>
                <w:szCs w:val="24"/>
              </w:rPr>
            </w:pPr>
            <w:r w:rsidRPr="00CD0B8B">
              <w:rPr>
                <w:szCs w:val="24"/>
              </w:rPr>
              <w:t>Початок введення КСФ, дні</w:t>
            </w:r>
          </w:p>
        </w:tc>
        <w:tc>
          <w:tcPr>
            <w:tcW w:w="453" w:type="pct"/>
            <w:shd w:val="clear" w:color="auto" w:fill="auto"/>
            <w:noWrap/>
            <w:vAlign w:val="center"/>
          </w:tcPr>
          <w:p w:rsidR="00D82C37" w:rsidRPr="00CD0B8B" w:rsidRDefault="00D82C37" w:rsidP="00552736">
            <w:pPr>
              <w:rPr>
                <w:szCs w:val="24"/>
              </w:rPr>
            </w:pPr>
            <w:r w:rsidRPr="00CD0B8B">
              <w:rPr>
                <w:szCs w:val="24"/>
              </w:rPr>
              <w:t>n = 265</w:t>
            </w:r>
          </w:p>
        </w:tc>
        <w:tc>
          <w:tcPr>
            <w:tcW w:w="909" w:type="pct"/>
            <w:shd w:val="clear" w:color="auto" w:fill="auto"/>
            <w:noWrap/>
            <w:vAlign w:val="center"/>
          </w:tcPr>
          <w:p w:rsidR="00D82C37" w:rsidRPr="00CD0B8B" w:rsidRDefault="00D82C37" w:rsidP="00552736">
            <w:pPr>
              <w:rPr>
                <w:szCs w:val="24"/>
              </w:rPr>
            </w:pPr>
            <w:r w:rsidRPr="00CD0B8B">
              <w:rPr>
                <w:szCs w:val="24"/>
              </w:rPr>
              <w:t>Середнє арифметичне</w:t>
            </w:r>
          </w:p>
        </w:tc>
        <w:tc>
          <w:tcPr>
            <w:tcW w:w="603" w:type="pct"/>
            <w:shd w:val="clear" w:color="auto" w:fill="auto"/>
            <w:noWrap/>
            <w:vAlign w:val="center"/>
          </w:tcPr>
          <w:p w:rsidR="00D82C37" w:rsidRPr="00CD0B8B" w:rsidRDefault="00D82C37" w:rsidP="00552736">
            <w:pPr>
              <w:rPr>
                <w:szCs w:val="24"/>
              </w:rPr>
            </w:pPr>
            <w:r w:rsidRPr="00CD0B8B">
              <w:rPr>
                <w:szCs w:val="24"/>
              </w:rPr>
              <w:t>Медіана</w:t>
            </w:r>
          </w:p>
        </w:tc>
        <w:tc>
          <w:tcPr>
            <w:tcW w:w="808" w:type="pct"/>
            <w:shd w:val="clear" w:color="auto" w:fill="auto"/>
            <w:noWrap/>
            <w:vAlign w:val="center"/>
          </w:tcPr>
          <w:p w:rsidR="00D82C37" w:rsidRPr="00CD0B8B" w:rsidRDefault="00D82C37" w:rsidP="00552736">
            <w:pPr>
              <w:rPr>
                <w:szCs w:val="24"/>
              </w:rPr>
            </w:pPr>
            <w:r w:rsidRPr="00CD0B8B">
              <w:rPr>
                <w:szCs w:val="24"/>
              </w:rPr>
              <w:t>Стандартне відхилення</w:t>
            </w:r>
          </w:p>
        </w:tc>
        <w:tc>
          <w:tcPr>
            <w:tcW w:w="585" w:type="pct"/>
            <w:shd w:val="clear" w:color="auto" w:fill="auto"/>
            <w:noWrap/>
            <w:vAlign w:val="center"/>
          </w:tcPr>
          <w:p w:rsidR="00D82C37" w:rsidRPr="00CD0B8B" w:rsidRDefault="00D82C37" w:rsidP="00552736">
            <w:pPr>
              <w:rPr>
                <w:szCs w:val="24"/>
              </w:rPr>
            </w:pPr>
            <w:r w:rsidRPr="00CD0B8B">
              <w:rPr>
                <w:szCs w:val="24"/>
              </w:rPr>
              <w:t>Мінімум</w:t>
            </w:r>
          </w:p>
        </w:tc>
        <w:tc>
          <w:tcPr>
            <w:tcW w:w="708" w:type="pct"/>
            <w:shd w:val="clear" w:color="auto" w:fill="auto"/>
            <w:noWrap/>
            <w:vAlign w:val="center"/>
          </w:tcPr>
          <w:p w:rsidR="00D82C37" w:rsidRPr="00CD0B8B" w:rsidRDefault="00D82C37" w:rsidP="00552736">
            <w:pPr>
              <w:rPr>
                <w:szCs w:val="24"/>
              </w:rPr>
            </w:pPr>
            <w:r w:rsidRPr="00CD0B8B">
              <w:rPr>
                <w:szCs w:val="24"/>
              </w:rPr>
              <w:t>Максимум</w:t>
            </w:r>
          </w:p>
        </w:tc>
      </w:tr>
      <w:tr w:rsidR="00D82C37" w:rsidRPr="00CD0B8B" w:rsidTr="00552736">
        <w:trPr>
          <w:trHeight w:val="255"/>
        </w:trPr>
        <w:tc>
          <w:tcPr>
            <w:tcW w:w="934" w:type="pct"/>
            <w:shd w:val="clear" w:color="auto" w:fill="auto"/>
            <w:noWrap/>
            <w:vAlign w:val="center"/>
          </w:tcPr>
          <w:p w:rsidR="00D82C37" w:rsidRPr="00CD0B8B" w:rsidRDefault="00D82C37" w:rsidP="00552736">
            <w:pPr>
              <w:rPr>
                <w:szCs w:val="24"/>
              </w:rPr>
            </w:pPr>
            <w:r w:rsidRPr="00CD0B8B">
              <w:rPr>
                <w:szCs w:val="24"/>
              </w:rPr>
              <w:t>1–6</w:t>
            </w:r>
          </w:p>
        </w:tc>
        <w:tc>
          <w:tcPr>
            <w:tcW w:w="453" w:type="pct"/>
            <w:shd w:val="clear" w:color="auto" w:fill="auto"/>
            <w:noWrap/>
            <w:vAlign w:val="bottom"/>
          </w:tcPr>
          <w:p w:rsidR="00D82C37" w:rsidRPr="00CD0B8B" w:rsidRDefault="00D82C37" w:rsidP="00552736">
            <w:pPr>
              <w:rPr>
                <w:szCs w:val="24"/>
              </w:rPr>
            </w:pPr>
            <w:r w:rsidRPr="00CD0B8B">
              <w:rPr>
                <w:szCs w:val="24"/>
              </w:rPr>
              <w:t>95</w:t>
            </w:r>
          </w:p>
        </w:tc>
        <w:tc>
          <w:tcPr>
            <w:tcW w:w="909" w:type="pct"/>
            <w:shd w:val="clear" w:color="auto" w:fill="auto"/>
            <w:noWrap/>
            <w:vAlign w:val="bottom"/>
          </w:tcPr>
          <w:p w:rsidR="00D82C37" w:rsidRPr="00CD0B8B" w:rsidRDefault="00D82C37" w:rsidP="00552736">
            <w:pPr>
              <w:rPr>
                <w:szCs w:val="24"/>
              </w:rPr>
            </w:pPr>
            <w:r w:rsidRPr="00CD0B8B">
              <w:rPr>
                <w:szCs w:val="24"/>
              </w:rPr>
              <w:t>2,87</w:t>
            </w:r>
          </w:p>
        </w:tc>
        <w:tc>
          <w:tcPr>
            <w:tcW w:w="603" w:type="pct"/>
            <w:shd w:val="clear" w:color="auto" w:fill="auto"/>
            <w:noWrap/>
            <w:vAlign w:val="bottom"/>
          </w:tcPr>
          <w:p w:rsidR="00D82C37" w:rsidRPr="00CD0B8B" w:rsidRDefault="00D82C37" w:rsidP="00552736">
            <w:pPr>
              <w:rPr>
                <w:szCs w:val="24"/>
              </w:rPr>
            </w:pPr>
            <w:r w:rsidRPr="00CD0B8B">
              <w:rPr>
                <w:szCs w:val="24"/>
              </w:rPr>
              <w:t>1,7</w:t>
            </w:r>
          </w:p>
        </w:tc>
        <w:tc>
          <w:tcPr>
            <w:tcW w:w="808" w:type="pct"/>
            <w:shd w:val="clear" w:color="auto" w:fill="auto"/>
            <w:noWrap/>
            <w:vAlign w:val="bottom"/>
          </w:tcPr>
          <w:p w:rsidR="00D82C37" w:rsidRPr="00CD0B8B" w:rsidRDefault="00D82C37" w:rsidP="00552736">
            <w:pPr>
              <w:rPr>
                <w:szCs w:val="24"/>
              </w:rPr>
            </w:pPr>
            <w:r w:rsidRPr="00CD0B8B">
              <w:rPr>
                <w:szCs w:val="24"/>
              </w:rPr>
              <w:t>3,56</w:t>
            </w:r>
          </w:p>
        </w:tc>
        <w:tc>
          <w:tcPr>
            <w:tcW w:w="585" w:type="pct"/>
            <w:shd w:val="clear" w:color="auto" w:fill="auto"/>
            <w:noWrap/>
            <w:vAlign w:val="bottom"/>
          </w:tcPr>
          <w:p w:rsidR="00D82C37" w:rsidRPr="00CD0B8B" w:rsidRDefault="00D82C37" w:rsidP="00552736">
            <w:pPr>
              <w:rPr>
                <w:szCs w:val="24"/>
              </w:rPr>
            </w:pPr>
            <w:r w:rsidRPr="00CD0B8B">
              <w:rPr>
                <w:szCs w:val="24"/>
              </w:rPr>
              <w:t>0,005</w:t>
            </w:r>
          </w:p>
        </w:tc>
        <w:tc>
          <w:tcPr>
            <w:tcW w:w="708" w:type="pct"/>
            <w:shd w:val="clear" w:color="auto" w:fill="auto"/>
            <w:noWrap/>
            <w:vAlign w:val="bottom"/>
          </w:tcPr>
          <w:p w:rsidR="00D82C37" w:rsidRPr="00CD0B8B" w:rsidRDefault="00D82C37" w:rsidP="00552736">
            <w:pPr>
              <w:rPr>
                <w:szCs w:val="24"/>
              </w:rPr>
            </w:pPr>
            <w:r w:rsidRPr="00CD0B8B">
              <w:rPr>
                <w:szCs w:val="24"/>
              </w:rPr>
              <w:t>18,0</w:t>
            </w:r>
          </w:p>
        </w:tc>
      </w:tr>
      <w:tr w:rsidR="00D82C37" w:rsidRPr="00CD0B8B" w:rsidTr="00552736">
        <w:trPr>
          <w:trHeight w:val="255"/>
        </w:trPr>
        <w:tc>
          <w:tcPr>
            <w:tcW w:w="934" w:type="pct"/>
            <w:shd w:val="clear" w:color="auto" w:fill="auto"/>
            <w:noWrap/>
            <w:vAlign w:val="center"/>
          </w:tcPr>
          <w:p w:rsidR="00D82C37" w:rsidRPr="00CD0B8B" w:rsidRDefault="00D82C37" w:rsidP="00552736">
            <w:pPr>
              <w:rPr>
                <w:szCs w:val="24"/>
              </w:rPr>
            </w:pPr>
            <w:r w:rsidRPr="00CD0B8B">
              <w:rPr>
                <w:szCs w:val="24"/>
              </w:rPr>
              <w:t>7–10</w:t>
            </w:r>
          </w:p>
        </w:tc>
        <w:tc>
          <w:tcPr>
            <w:tcW w:w="453" w:type="pct"/>
            <w:shd w:val="clear" w:color="auto" w:fill="auto"/>
            <w:noWrap/>
            <w:vAlign w:val="bottom"/>
          </w:tcPr>
          <w:p w:rsidR="00D82C37" w:rsidRPr="00CD0B8B" w:rsidRDefault="00D82C37" w:rsidP="00552736">
            <w:pPr>
              <w:rPr>
                <w:szCs w:val="24"/>
              </w:rPr>
            </w:pPr>
            <w:r w:rsidRPr="00CD0B8B">
              <w:rPr>
                <w:szCs w:val="24"/>
              </w:rPr>
              <w:t>71</w:t>
            </w:r>
          </w:p>
        </w:tc>
        <w:tc>
          <w:tcPr>
            <w:tcW w:w="909" w:type="pct"/>
            <w:shd w:val="clear" w:color="auto" w:fill="auto"/>
            <w:noWrap/>
            <w:vAlign w:val="bottom"/>
          </w:tcPr>
          <w:p w:rsidR="00D82C37" w:rsidRPr="00CD0B8B" w:rsidRDefault="00D82C37" w:rsidP="00552736">
            <w:pPr>
              <w:rPr>
                <w:szCs w:val="24"/>
              </w:rPr>
            </w:pPr>
            <w:r w:rsidRPr="00CD0B8B">
              <w:rPr>
                <w:szCs w:val="24"/>
              </w:rPr>
              <w:t>5,04</w:t>
            </w:r>
          </w:p>
        </w:tc>
        <w:tc>
          <w:tcPr>
            <w:tcW w:w="603" w:type="pct"/>
            <w:shd w:val="clear" w:color="auto" w:fill="auto"/>
            <w:noWrap/>
            <w:vAlign w:val="bottom"/>
          </w:tcPr>
          <w:p w:rsidR="00D82C37" w:rsidRPr="00CD0B8B" w:rsidRDefault="00D82C37" w:rsidP="00552736">
            <w:pPr>
              <w:rPr>
                <w:szCs w:val="24"/>
              </w:rPr>
            </w:pPr>
            <w:r w:rsidRPr="00CD0B8B">
              <w:rPr>
                <w:szCs w:val="24"/>
              </w:rPr>
              <w:t>2,28</w:t>
            </w:r>
          </w:p>
        </w:tc>
        <w:tc>
          <w:tcPr>
            <w:tcW w:w="808" w:type="pct"/>
            <w:shd w:val="clear" w:color="auto" w:fill="auto"/>
            <w:noWrap/>
            <w:vAlign w:val="bottom"/>
          </w:tcPr>
          <w:p w:rsidR="00D82C37" w:rsidRPr="00CD0B8B" w:rsidRDefault="00D82C37" w:rsidP="00552736">
            <w:pPr>
              <w:rPr>
                <w:szCs w:val="24"/>
              </w:rPr>
            </w:pPr>
            <w:r w:rsidRPr="00CD0B8B">
              <w:rPr>
                <w:szCs w:val="24"/>
              </w:rPr>
              <w:t>6,69</w:t>
            </w:r>
          </w:p>
        </w:tc>
        <w:tc>
          <w:tcPr>
            <w:tcW w:w="585" w:type="pct"/>
            <w:shd w:val="clear" w:color="auto" w:fill="auto"/>
            <w:noWrap/>
            <w:vAlign w:val="bottom"/>
          </w:tcPr>
          <w:p w:rsidR="00D82C37" w:rsidRPr="00CD0B8B" w:rsidRDefault="00D82C37" w:rsidP="00552736">
            <w:pPr>
              <w:rPr>
                <w:szCs w:val="24"/>
              </w:rPr>
            </w:pPr>
            <w:r w:rsidRPr="00CD0B8B">
              <w:rPr>
                <w:szCs w:val="24"/>
              </w:rPr>
              <w:t>0,3</w:t>
            </w:r>
          </w:p>
        </w:tc>
        <w:tc>
          <w:tcPr>
            <w:tcW w:w="708" w:type="pct"/>
            <w:shd w:val="clear" w:color="auto" w:fill="auto"/>
            <w:noWrap/>
            <w:vAlign w:val="bottom"/>
          </w:tcPr>
          <w:p w:rsidR="00D82C37" w:rsidRPr="00CD0B8B" w:rsidRDefault="00D82C37" w:rsidP="00552736">
            <w:pPr>
              <w:rPr>
                <w:szCs w:val="24"/>
              </w:rPr>
            </w:pPr>
            <w:r w:rsidRPr="00CD0B8B">
              <w:rPr>
                <w:szCs w:val="24"/>
              </w:rPr>
              <w:t>33,7</w:t>
            </w:r>
          </w:p>
        </w:tc>
      </w:tr>
      <w:tr w:rsidR="00D82C37" w:rsidRPr="00CD0B8B" w:rsidTr="00552736">
        <w:trPr>
          <w:trHeight w:val="255"/>
        </w:trPr>
        <w:tc>
          <w:tcPr>
            <w:tcW w:w="934" w:type="pct"/>
            <w:shd w:val="clear" w:color="auto" w:fill="auto"/>
            <w:noWrap/>
            <w:vAlign w:val="bottom"/>
          </w:tcPr>
          <w:p w:rsidR="00D82C37" w:rsidRPr="00CD0B8B" w:rsidRDefault="00D82C37" w:rsidP="00552736">
            <w:pPr>
              <w:rPr>
                <w:szCs w:val="24"/>
              </w:rPr>
            </w:pPr>
            <w:r w:rsidRPr="00CD0B8B">
              <w:rPr>
                <w:szCs w:val="24"/>
              </w:rPr>
              <w:t>Після 10</w:t>
            </w:r>
          </w:p>
        </w:tc>
        <w:tc>
          <w:tcPr>
            <w:tcW w:w="453" w:type="pct"/>
            <w:shd w:val="clear" w:color="auto" w:fill="auto"/>
            <w:noWrap/>
            <w:vAlign w:val="bottom"/>
          </w:tcPr>
          <w:p w:rsidR="00D82C37" w:rsidRPr="00CD0B8B" w:rsidRDefault="00D82C37" w:rsidP="00552736">
            <w:pPr>
              <w:rPr>
                <w:szCs w:val="24"/>
              </w:rPr>
            </w:pPr>
            <w:r w:rsidRPr="00CD0B8B">
              <w:rPr>
                <w:szCs w:val="24"/>
              </w:rPr>
              <w:t>99</w:t>
            </w:r>
          </w:p>
        </w:tc>
        <w:tc>
          <w:tcPr>
            <w:tcW w:w="909" w:type="pct"/>
            <w:shd w:val="clear" w:color="auto" w:fill="auto"/>
            <w:noWrap/>
            <w:vAlign w:val="bottom"/>
          </w:tcPr>
          <w:p w:rsidR="00D82C37" w:rsidRPr="00CD0B8B" w:rsidRDefault="00D82C37" w:rsidP="00552736">
            <w:pPr>
              <w:rPr>
                <w:szCs w:val="24"/>
              </w:rPr>
            </w:pPr>
            <w:r w:rsidRPr="00CD0B8B">
              <w:rPr>
                <w:szCs w:val="24"/>
              </w:rPr>
              <w:t>3,92</w:t>
            </w:r>
          </w:p>
        </w:tc>
        <w:tc>
          <w:tcPr>
            <w:tcW w:w="603" w:type="pct"/>
            <w:shd w:val="clear" w:color="auto" w:fill="auto"/>
            <w:noWrap/>
            <w:vAlign w:val="bottom"/>
          </w:tcPr>
          <w:p w:rsidR="00D82C37" w:rsidRPr="00CD0B8B" w:rsidRDefault="00D82C37" w:rsidP="00552736">
            <w:pPr>
              <w:rPr>
                <w:szCs w:val="24"/>
              </w:rPr>
            </w:pPr>
            <w:r w:rsidRPr="00CD0B8B">
              <w:rPr>
                <w:szCs w:val="24"/>
              </w:rPr>
              <w:t>2,32</w:t>
            </w:r>
          </w:p>
        </w:tc>
        <w:tc>
          <w:tcPr>
            <w:tcW w:w="808" w:type="pct"/>
            <w:shd w:val="clear" w:color="auto" w:fill="auto"/>
            <w:noWrap/>
            <w:vAlign w:val="bottom"/>
          </w:tcPr>
          <w:p w:rsidR="00D82C37" w:rsidRPr="00CD0B8B" w:rsidRDefault="00D82C37" w:rsidP="00552736">
            <w:pPr>
              <w:rPr>
                <w:szCs w:val="24"/>
              </w:rPr>
            </w:pPr>
            <w:r w:rsidRPr="00CD0B8B">
              <w:rPr>
                <w:szCs w:val="24"/>
              </w:rPr>
              <w:t>5,14</w:t>
            </w:r>
          </w:p>
        </w:tc>
        <w:tc>
          <w:tcPr>
            <w:tcW w:w="585" w:type="pct"/>
            <w:shd w:val="clear" w:color="auto" w:fill="auto"/>
            <w:noWrap/>
            <w:vAlign w:val="bottom"/>
          </w:tcPr>
          <w:p w:rsidR="00D82C37" w:rsidRPr="00CD0B8B" w:rsidRDefault="00D82C37" w:rsidP="00552736">
            <w:pPr>
              <w:rPr>
                <w:szCs w:val="24"/>
              </w:rPr>
            </w:pPr>
            <w:r w:rsidRPr="00CD0B8B">
              <w:rPr>
                <w:szCs w:val="24"/>
              </w:rPr>
              <w:t>0,09</w:t>
            </w:r>
          </w:p>
        </w:tc>
        <w:tc>
          <w:tcPr>
            <w:tcW w:w="708" w:type="pct"/>
            <w:shd w:val="clear" w:color="auto" w:fill="auto"/>
            <w:noWrap/>
            <w:vAlign w:val="bottom"/>
          </w:tcPr>
          <w:p w:rsidR="00D82C37" w:rsidRPr="00CD0B8B" w:rsidRDefault="00D82C37" w:rsidP="00552736">
            <w:pPr>
              <w:rPr>
                <w:szCs w:val="24"/>
              </w:rPr>
            </w:pPr>
            <w:r w:rsidRPr="00CD0B8B">
              <w:rPr>
                <w:szCs w:val="24"/>
              </w:rPr>
              <w:t>31,4</w:t>
            </w:r>
          </w:p>
        </w:tc>
      </w:tr>
    </w:tbl>
    <w:p w:rsidR="00D82C37" w:rsidRPr="00F939A6" w:rsidRDefault="00D82C37" w:rsidP="00D82C37">
      <w:pPr>
        <w:ind w:firstLine="708"/>
        <w:jc w:val="both"/>
        <w:rPr>
          <w:sz w:val="28"/>
          <w:szCs w:val="28"/>
        </w:rPr>
      </w:pPr>
      <w:r w:rsidRPr="00F939A6">
        <w:rPr>
          <w:sz w:val="28"/>
          <w:szCs w:val="28"/>
        </w:rPr>
        <w:lastRenderedPageBreak/>
        <w:t xml:space="preserve">У табл. </w:t>
      </w:r>
      <w:r>
        <w:rPr>
          <w:sz w:val="28"/>
          <w:szCs w:val="28"/>
        </w:rPr>
        <w:t>10</w:t>
      </w:r>
      <w:r w:rsidRPr="00F939A6">
        <w:rPr>
          <w:sz w:val="28"/>
          <w:szCs w:val="28"/>
        </w:rPr>
        <w:t xml:space="preserve"> приведено підрахунок показників ефективності мобілізаційної процедури в залежності від тривалості призначення КСФ після курсу ХТ. </w:t>
      </w:r>
    </w:p>
    <w:p w:rsidR="00D82C37" w:rsidRPr="00262B01" w:rsidRDefault="00D82C37" w:rsidP="00D82C37">
      <w:pPr>
        <w:jc w:val="right"/>
        <w:rPr>
          <w:i/>
          <w:sz w:val="28"/>
          <w:szCs w:val="28"/>
        </w:rPr>
      </w:pPr>
      <w:r w:rsidRPr="00262B01">
        <w:rPr>
          <w:i/>
          <w:sz w:val="28"/>
          <w:szCs w:val="28"/>
        </w:rPr>
        <w:t>Таблиця 10</w:t>
      </w:r>
    </w:p>
    <w:p w:rsidR="00D82C37" w:rsidRPr="00262B01" w:rsidRDefault="00D82C37" w:rsidP="00D82C37">
      <w:pPr>
        <w:jc w:val="center"/>
        <w:rPr>
          <w:b/>
          <w:sz w:val="28"/>
          <w:szCs w:val="28"/>
        </w:rPr>
      </w:pPr>
      <w:r w:rsidRPr="00262B01">
        <w:rPr>
          <w:b/>
          <w:sz w:val="28"/>
          <w:szCs w:val="28"/>
        </w:rPr>
        <w:t xml:space="preserve">Результати лейкоцитаферезу (кількість СД 34+клітин/кг маси) </w:t>
      </w:r>
    </w:p>
    <w:p w:rsidR="00D82C37" w:rsidRPr="00262B01" w:rsidRDefault="00D82C37" w:rsidP="00D82C37">
      <w:pPr>
        <w:jc w:val="center"/>
        <w:rPr>
          <w:b/>
          <w:sz w:val="28"/>
          <w:szCs w:val="28"/>
        </w:rPr>
      </w:pPr>
      <w:r w:rsidRPr="00262B01">
        <w:rPr>
          <w:b/>
          <w:sz w:val="28"/>
          <w:szCs w:val="28"/>
        </w:rPr>
        <w:t>залежно від режиму мобілізації (тривалість застосування КСФ)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6"/>
        <w:gridCol w:w="1086"/>
        <w:gridCol w:w="1688"/>
        <w:gridCol w:w="1118"/>
        <w:gridCol w:w="1501"/>
        <w:gridCol w:w="1086"/>
        <w:gridCol w:w="1310"/>
      </w:tblGrid>
      <w:tr w:rsidR="00D82C37" w:rsidRPr="00CD0B8B" w:rsidTr="00552736">
        <w:trPr>
          <w:trHeight w:val="255"/>
        </w:trPr>
        <w:tc>
          <w:tcPr>
            <w:tcW w:w="833" w:type="pct"/>
            <w:shd w:val="clear" w:color="auto" w:fill="auto"/>
            <w:noWrap/>
            <w:vAlign w:val="center"/>
          </w:tcPr>
          <w:p w:rsidR="00D82C37" w:rsidRPr="00CD0B8B" w:rsidRDefault="00D82C37" w:rsidP="00552736">
            <w:pPr>
              <w:rPr>
                <w:szCs w:val="24"/>
              </w:rPr>
            </w:pPr>
            <w:r w:rsidRPr="00CD0B8B">
              <w:rPr>
                <w:szCs w:val="24"/>
              </w:rPr>
              <w:t>Тривалість призначення КСФ, дні</w:t>
            </w:r>
          </w:p>
        </w:tc>
        <w:tc>
          <w:tcPr>
            <w:tcW w:w="581" w:type="pct"/>
            <w:shd w:val="clear" w:color="auto" w:fill="auto"/>
            <w:noWrap/>
            <w:vAlign w:val="center"/>
          </w:tcPr>
          <w:p w:rsidR="00D82C37" w:rsidRPr="00CD0B8B" w:rsidRDefault="00D82C37" w:rsidP="00552736">
            <w:pPr>
              <w:rPr>
                <w:szCs w:val="24"/>
              </w:rPr>
            </w:pPr>
            <w:r w:rsidRPr="00CD0B8B">
              <w:rPr>
                <w:szCs w:val="24"/>
              </w:rPr>
              <w:t>n = 265</w:t>
            </w:r>
          </w:p>
        </w:tc>
        <w:tc>
          <w:tcPr>
            <w:tcW w:w="903" w:type="pct"/>
            <w:shd w:val="clear" w:color="auto" w:fill="auto"/>
            <w:noWrap/>
            <w:vAlign w:val="center"/>
          </w:tcPr>
          <w:p w:rsidR="00D82C37" w:rsidRPr="00CD0B8B" w:rsidRDefault="00D82C37" w:rsidP="00552736">
            <w:pPr>
              <w:rPr>
                <w:szCs w:val="24"/>
              </w:rPr>
            </w:pPr>
            <w:r w:rsidRPr="00CD0B8B">
              <w:rPr>
                <w:szCs w:val="24"/>
              </w:rPr>
              <w:t>Середнє арифметичне</w:t>
            </w:r>
          </w:p>
        </w:tc>
        <w:tc>
          <w:tcPr>
            <w:tcW w:w="598" w:type="pct"/>
            <w:shd w:val="clear" w:color="auto" w:fill="auto"/>
            <w:noWrap/>
            <w:vAlign w:val="center"/>
          </w:tcPr>
          <w:p w:rsidR="00D82C37" w:rsidRPr="00CD0B8B" w:rsidRDefault="00D82C37" w:rsidP="00552736">
            <w:pPr>
              <w:rPr>
                <w:szCs w:val="24"/>
              </w:rPr>
            </w:pPr>
            <w:r w:rsidRPr="00CD0B8B">
              <w:rPr>
                <w:szCs w:val="24"/>
              </w:rPr>
              <w:t>Медіана</w:t>
            </w:r>
          </w:p>
        </w:tc>
        <w:tc>
          <w:tcPr>
            <w:tcW w:w="803" w:type="pct"/>
            <w:shd w:val="clear" w:color="auto" w:fill="auto"/>
            <w:noWrap/>
            <w:vAlign w:val="center"/>
          </w:tcPr>
          <w:p w:rsidR="00D82C37" w:rsidRPr="00CD0B8B" w:rsidRDefault="00D82C37" w:rsidP="00552736">
            <w:pPr>
              <w:rPr>
                <w:szCs w:val="24"/>
              </w:rPr>
            </w:pPr>
            <w:r w:rsidRPr="00CD0B8B">
              <w:rPr>
                <w:szCs w:val="24"/>
              </w:rPr>
              <w:t>Стандартне відхилення</w:t>
            </w:r>
          </w:p>
        </w:tc>
        <w:tc>
          <w:tcPr>
            <w:tcW w:w="581" w:type="pct"/>
            <w:shd w:val="clear" w:color="auto" w:fill="auto"/>
            <w:noWrap/>
            <w:vAlign w:val="center"/>
          </w:tcPr>
          <w:p w:rsidR="00D82C37" w:rsidRPr="00CD0B8B" w:rsidRDefault="00D82C37" w:rsidP="00552736">
            <w:pPr>
              <w:rPr>
                <w:szCs w:val="24"/>
              </w:rPr>
            </w:pPr>
            <w:r w:rsidRPr="00CD0B8B">
              <w:rPr>
                <w:szCs w:val="24"/>
              </w:rPr>
              <w:t>Мінімум</w:t>
            </w:r>
          </w:p>
        </w:tc>
        <w:tc>
          <w:tcPr>
            <w:tcW w:w="702" w:type="pct"/>
            <w:shd w:val="clear" w:color="auto" w:fill="auto"/>
            <w:noWrap/>
            <w:vAlign w:val="center"/>
          </w:tcPr>
          <w:p w:rsidR="00D82C37" w:rsidRPr="00CD0B8B" w:rsidRDefault="00D82C37" w:rsidP="00552736">
            <w:pPr>
              <w:rPr>
                <w:szCs w:val="24"/>
              </w:rPr>
            </w:pPr>
            <w:r w:rsidRPr="00CD0B8B">
              <w:rPr>
                <w:szCs w:val="24"/>
              </w:rPr>
              <w:t>Максимум</w:t>
            </w:r>
          </w:p>
        </w:tc>
      </w:tr>
      <w:tr w:rsidR="00D82C37" w:rsidRPr="00CD0B8B" w:rsidTr="00552736">
        <w:trPr>
          <w:trHeight w:val="255"/>
        </w:trPr>
        <w:tc>
          <w:tcPr>
            <w:tcW w:w="833" w:type="pct"/>
            <w:shd w:val="clear" w:color="auto" w:fill="auto"/>
            <w:noWrap/>
            <w:vAlign w:val="bottom"/>
          </w:tcPr>
          <w:p w:rsidR="00D82C37" w:rsidRPr="00CD0B8B" w:rsidRDefault="00D82C37" w:rsidP="00552736">
            <w:pPr>
              <w:rPr>
                <w:szCs w:val="24"/>
              </w:rPr>
            </w:pPr>
            <w:r w:rsidRPr="00CD0B8B">
              <w:rPr>
                <w:szCs w:val="24"/>
              </w:rPr>
              <w:t>1–5</w:t>
            </w:r>
          </w:p>
        </w:tc>
        <w:tc>
          <w:tcPr>
            <w:tcW w:w="581" w:type="pct"/>
            <w:shd w:val="clear" w:color="auto" w:fill="auto"/>
            <w:noWrap/>
            <w:vAlign w:val="bottom"/>
          </w:tcPr>
          <w:p w:rsidR="00D82C37" w:rsidRPr="00CD0B8B" w:rsidRDefault="00D82C37" w:rsidP="00552736">
            <w:pPr>
              <w:rPr>
                <w:szCs w:val="24"/>
              </w:rPr>
            </w:pPr>
            <w:r w:rsidRPr="00CD0B8B">
              <w:rPr>
                <w:szCs w:val="24"/>
              </w:rPr>
              <w:t>140</w:t>
            </w:r>
          </w:p>
        </w:tc>
        <w:tc>
          <w:tcPr>
            <w:tcW w:w="903" w:type="pct"/>
            <w:shd w:val="clear" w:color="auto" w:fill="auto"/>
            <w:noWrap/>
            <w:vAlign w:val="bottom"/>
          </w:tcPr>
          <w:p w:rsidR="00D82C37" w:rsidRPr="00CD0B8B" w:rsidRDefault="00D82C37" w:rsidP="00552736">
            <w:pPr>
              <w:rPr>
                <w:szCs w:val="24"/>
              </w:rPr>
            </w:pPr>
            <w:r w:rsidRPr="00CD0B8B">
              <w:rPr>
                <w:szCs w:val="24"/>
              </w:rPr>
              <w:t>3,87</w:t>
            </w:r>
          </w:p>
        </w:tc>
        <w:tc>
          <w:tcPr>
            <w:tcW w:w="598" w:type="pct"/>
            <w:shd w:val="clear" w:color="auto" w:fill="auto"/>
            <w:noWrap/>
            <w:vAlign w:val="bottom"/>
          </w:tcPr>
          <w:p w:rsidR="00D82C37" w:rsidRPr="00CD0B8B" w:rsidRDefault="00D82C37" w:rsidP="00552736">
            <w:pPr>
              <w:rPr>
                <w:szCs w:val="24"/>
              </w:rPr>
            </w:pPr>
            <w:r w:rsidRPr="00CD0B8B">
              <w:rPr>
                <w:szCs w:val="24"/>
              </w:rPr>
              <w:t>2,1</w:t>
            </w:r>
          </w:p>
        </w:tc>
        <w:tc>
          <w:tcPr>
            <w:tcW w:w="803" w:type="pct"/>
            <w:shd w:val="clear" w:color="auto" w:fill="auto"/>
            <w:noWrap/>
            <w:vAlign w:val="bottom"/>
          </w:tcPr>
          <w:p w:rsidR="00D82C37" w:rsidRPr="00CD0B8B" w:rsidRDefault="00D82C37" w:rsidP="00552736">
            <w:pPr>
              <w:rPr>
                <w:szCs w:val="24"/>
              </w:rPr>
            </w:pPr>
            <w:r w:rsidRPr="00CD0B8B">
              <w:rPr>
                <w:szCs w:val="24"/>
              </w:rPr>
              <w:t>5,58</w:t>
            </w:r>
          </w:p>
        </w:tc>
        <w:tc>
          <w:tcPr>
            <w:tcW w:w="581" w:type="pct"/>
            <w:shd w:val="clear" w:color="auto" w:fill="auto"/>
            <w:noWrap/>
            <w:vAlign w:val="bottom"/>
          </w:tcPr>
          <w:p w:rsidR="00D82C37" w:rsidRPr="00CD0B8B" w:rsidRDefault="00D82C37" w:rsidP="00552736">
            <w:pPr>
              <w:rPr>
                <w:szCs w:val="24"/>
              </w:rPr>
            </w:pPr>
            <w:r w:rsidRPr="00CD0B8B">
              <w:rPr>
                <w:szCs w:val="24"/>
              </w:rPr>
              <w:t>0,005</w:t>
            </w:r>
          </w:p>
        </w:tc>
        <w:tc>
          <w:tcPr>
            <w:tcW w:w="702" w:type="pct"/>
            <w:shd w:val="clear" w:color="auto" w:fill="auto"/>
            <w:noWrap/>
            <w:vAlign w:val="bottom"/>
          </w:tcPr>
          <w:p w:rsidR="00D82C37" w:rsidRPr="00CD0B8B" w:rsidRDefault="00D82C37" w:rsidP="00552736">
            <w:pPr>
              <w:rPr>
                <w:szCs w:val="24"/>
              </w:rPr>
            </w:pPr>
            <w:r w:rsidRPr="00CD0B8B">
              <w:rPr>
                <w:szCs w:val="24"/>
              </w:rPr>
              <w:t>33,7</w:t>
            </w:r>
          </w:p>
        </w:tc>
      </w:tr>
      <w:tr w:rsidR="00D82C37" w:rsidRPr="00CD0B8B" w:rsidTr="00552736">
        <w:trPr>
          <w:trHeight w:val="255"/>
        </w:trPr>
        <w:tc>
          <w:tcPr>
            <w:tcW w:w="833" w:type="pct"/>
            <w:shd w:val="clear" w:color="auto" w:fill="auto"/>
            <w:noWrap/>
            <w:vAlign w:val="bottom"/>
          </w:tcPr>
          <w:p w:rsidR="00D82C37" w:rsidRPr="00CD0B8B" w:rsidRDefault="00D82C37" w:rsidP="00552736">
            <w:pPr>
              <w:rPr>
                <w:szCs w:val="24"/>
              </w:rPr>
            </w:pPr>
            <w:r w:rsidRPr="00CD0B8B">
              <w:rPr>
                <w:szCs w:val="24"/>
              </w:rPr>
              <w:t>6–7</w:t>
            </w:r>
          </w:p>
        </w:tc>
        <w:tc>
          <w:tcPr>
            <w:tcW w:w="581" w:type="pct"/>
            <w:shd w:val="clear" w:color="auto" w:fill="auto"/>
            <w:noWrap/>
            <w:vAlign w:val="bottom"/>
          </w:tcPr>
          <w:p w:rsidR="00D82C37" w:rsidRPr="00CD0B8B" w:rsidRDefault="00D82C37" w:rsidP="00552736">
            <w:pPr>
              <w:rPr>
                <w:szCs w:val="24"/>
              </w:rPr>
            </w:pPr>
            <w:r w:rsidRPr="00CD0B8B">
              <w:rPr>
                <w:szCs w:val="24"/>
              </w:rPr>
              <w:t>45</w:t>
            </w:r>
          </w:p>
        </w:tc>
        <w:tc>
          <w:tcPr>
            <w:tcW w:w="903" w:type="pct"/>
            <w:shd w:val="clear" w:color="auto" w:fill="auto"/>
            <w:noWrap/>
            <w:vAlign w:val="bottom"/>
          </w:tcPr>
          <w:p w:rsidR="00D82C37" w:rsidRPr="00CD0B8B" w:rsidRDefault="00D82C37" w:rsidP="00552736">
            <w:pPr>
              <w:rPr>
                <w:szCs w:val="24"/>
              </w:rPr>
            </w:pPr>
            <w:r w:rsidRPr="00CD0B8B">
              <w:rPr>
                <w:szCs w:val="24"/>
              </w:rPr>
              <w:t>3,40</w:t>
            </w:r>
          </w:p>
        </w:tc>
        <w:tc>
          <w:tcPr>
            <w:tcW w:w="598" w:type="pct"/>
            <w:shd w:val="clear" w:color="auto" w:fill="auto"/>
            <w:noWrap/>
            <w:vAlign w:val="bottom"/>
          </w:tcPr>
          <w:p w:rsidR="00D82C37" w:rsidRPr="00CD0B8B" w:rsidRDefault="00D82C37" w:rsidP="00552736">
            <w:pPr>
              <w:rPr>
                <w:szCs w:val="24"/>
              </w:rPr>
            </w:pPr>
            <w:r w:rsidRPr="00CD0B8B">
              <w:rPr>
                <w:szCs w:val="24"/>
              </w:rPr>
              <w:t>2,0</w:t>
            </w:r>
          </w:p>
        </w:tc>
        <w:tc>
          <w:tcPr>
            <w:tcW w:w="803" w:type="pct"/>
            <w:shd w:val="clear" w:color="auto" w:fill="auto"/>
            <w:noWrap/>
            <w:vAlign w:val="bottom"/>
          </w:tcPr>
          <w:p w:rsidR="00D82C37" w:rsidRPr="00CD0B8B" w:rsidRDefault="00D82C37" w:rsidP="00552736">
            <w:pPr>
              <w:rPr>
                <w:szCs w:val="24"/>
              </w:rPr>
            </w:pPr>
            <w:r w:rsidRPr="00CD0B8B">
              <w:rPr>
                <w:szCs w:val="24"/>
              </w:rPr>
              <w:t>3,68</w:t>
            </w:r>
          </w:p>
        </w:tc>
        <w:tc>
          <w:tcPr>
            <w:tcW w:w="581" w:type="pct"/>
            <w:shd w:val="clear" w:color="auto" w:fill="auto"/>
            <w:noWrap/>
            <w:vAlign w:val="bottom"/>
          </w:tcPr>
          <w:p w:rsidR="00D82C37" w:rsidRPr="00CD0B8B" w:rsidRDefault="00D82C37" w:rsidP="00552736">
            <w:pPr>
              <w:rPr>
                <w:szCs w:val="24"/>
              </w:rPr>
            </w:pPr>
            <w:r w:rsidRPr="00CD0B8B">
              <w:rPr>
                <w:szCs w:val="24"/>
              </w:rPr>
              <w:t>0,09</w:t>
            </w:r>
          </w:p>
        </w:tc>
        <w:tc>
          <w:tcPr>
            <w:tcW w:w="702" w:type="pct"/>
            <w:shd w:val="clear" w:color="auto" w:fill="auto"/>
            <w:noWrap/>
            <w:vAlign w:val="bottom"/>
          </w:tcPr>
          <w:p w:rsidR="00D82C37" w:rsidRPr="00CD0B8B" w:rsidRDefault="00D82C37" w:rsidP="00552736">
            <w:pPr>
              <w:rPr>
                <w:szCs w:val="24"/>
              </w:rPr>
            </w:pPr>
            <w:r w:rsidRPr="00CD0B8B">
              <w:rPr>
                <w:szCs w:val="24"/>
              </w:rPr>
              <w:t>18,0</w:t>
            </w:r>
          </w:p>
        </w:tc>
      </w:tr>
      <w:tr w:rsidR="00D82C37" w:rsidRPr="00CD0B8B" w:rsidTr="00552736">
        <w:trPr>
          <w:trHeight w:val="255"/>
        </w:trPr>
        <w:tc>
          <w:tcPr>
            <w:tcW w:w="833" w:type="pct"/>
            <w:shd w:val="clear" w:color="auto" w:fill="auto"/>
            <w:noWrap/>
            <w:vAlign w:val="bottom"/>
          </w:tcPr>
          <w:p w:rsidR="00D82C37" w:rsidRPr="00CD0B8B" w:rsidRDefault="00D82C37" w:rsidP="00552736">
            <w:pPr>
              <w:rPr>
                <w:szCs w:val="24"/>
              </w:rPr>
            </w:pPr>
            <w:r w:rsidRPr="00CD0B8B">
              <w:rPr>
                <w:szCs w:val="24"/>
              </w:rPr>
              <w:t>8–10</w:t>
            </w:r>
          </w:p>
        </w:tc>
        <w:tc>
          <w:tcPr>
            <w:tcW w:w="581" w:type="pct"/>
            <w:shd w:val="clear" w:color="auto" w:fill="auto"/>
            <w:noWrap/>
            <w:vAlign w:val="bottom"/>
          </w:tcPr>
          <w:p w:rsidR="00D82C37" w:rsidRPr="00CD0B8B" w:rsidRDefault="00D82C37" w:rsidP="00552736">
            <w:pPr>
              <w:rPr>
                <w:szCs w:val="24"/>
              </w:rPr>
            </w:pPr>
            <w:r w:rsidRPr="00CD0B8B">
              <w:rPr>
                <w:szCs w:val="24"/>
              </w:rPr>
              <w:t>35</w:t>
            </w:r>
          </w:p>
        </w:tc>
        <w:tc>
          <w:tcPr>
            <w:tcW w:w="903" w:type="pct"/>
            <w:shd w:val="clear" w:color="auto" w:fill="auto"/>
            <w:noWrap/>
            <w:vAlign w:val="bottom"/>
          </w:tcPr>
          <w:p w:rsidR="00D82C37" w:rsidRPr="00CD0B8B" w:rsidRDefault="00D82C37" w:rsidP="00552736">
            <w:pPr>
              <w:rPr>
                <w:szCs w:val="24"/>
              </w:rPr>
            </w:pPr>
            <w:r w:rsidRPr="00CD0B8B">
              <w:rPr>
                <w:szCs w:val="24"/>
              </w:rPr>
              <w:t>3,25</w:t>
            </w:r>
          </w:p>
        </w:tc>
        <w:tc>
          <w:tcPr>
            <w:tcW w:w="598" w:type="pct"/>
            <w:shd w:val="clear" w:color="auto" w:fill="auto"/>
            <w:noWrap/>
            <w:vAlign w:val="bottom"/>
          </w:tcPr>
          <w:p w:rsidR="00D82C37" w:rsidRPr="00CD0B8B" w:rsidRDefault="00D82C37" w:rsidP="00552736">
            <w:pPr>
              <w:rPr>
                <w:szCs w:val="24"/>
              </w:rPr>
            </w:pPr>
            <w:r w:rsidRPr="00CD0B8B">
              <w:rPr>
                <w:szCs w:val="24"/>
              </w:rPr>
              <w:t>1,0</w:t>
            </w:r>
          </w:p>
        </w:tc>
        <w:tc>
          <w:tcPr>
            <w:tcW w:w="803" w:type="pct"/>
            <w:shd w:val="clear" w:color="auto" w:fill="auto"/>
            <w:noWrap/>
            <w:vAlign w:val="bottom"/>
          </w:tcPr>
          <w:p w:rsidR="00D82C37" w:rsidRPr="00CD0B8B" w:rsidRDefault="00D82C37" w:rsidP="00552736">
            <w:pPr>
              <w:rPr>
                <w:szCs w:val="24"/>
              </w:rPr>
            </w:pPr>
            <w:r w:rsidRPr="00CD0B8B">
              <w:rPr>
                <w:szCs w:val="24"/>
              </w:rPr>
              <w:t>4,52</w:t>
            </w:r>
          </w:p>
        </w:tc>
        <w:tc>
          <w:tcPr>
            <w:tcW w:w="581" w:type="pct"/>
            <w:shd w:val="clear" w:color="auto" w:fill="auto"/>
            <w:noWrap/>
            <w:vAlign w:val="bottom"/>
          </w:tcPr>
          <w:p w:rsidR="00D82C37" w:rsidRPr="00CD0B8B" w:rsidRDefault="00D82C37" w:rsidP="00552736">
            <w:pPr>
              <w:rPr>
                <w:szCs w:val="24"/>
              </w:rPr>
            </w:pPr>
            <w:r w:rsidRPr="00CD0B8B">
              <w:rPr>
                <w:szCs w:val="24"/>
              </w:rPr>
              <w:t>0,04</w:t>
            </w:r>
          </w:p>
        </w:tc>
        <w:tc>
          <w:tcPr>
            <w:tcW w:w="702" w:type="pct"/>
            <w:shd w:val="clear" w:color="auto" w:fill="auto"/>
            <w:noWrap/>
            <w:vAlign w:val="bottom"/>
          </w:tcPr>
          <w:p w:rsidR="00D82C37" w:rsidRPr="00CD0B8B" w:rsidRDefault="00D82C37" w:rsidP="00552736">
            <w:pPr>
              <w:rPr>
                <w:szCs w:val="24"/>
              </w:rPr>
            </w:pPr>
            <w:r w:rsidRPr="00CD0B8B">
              <w:rPr>
                <w:szCs w:val="24"/>
              </w:rPr>
              <w:t>18,0</w:t>
            </w:r>
          </w:p>
        </w:tc>
      </w:tr>
      <w:tr w:rsidR="00D82C37" w:rsidRPr="00CD0B8B" w:rsidTr="00552736">
        <w:trPr>
          <w:trHeight w:val="255"/>
        </w:trPr>
        <w:tc>
          <w:tcPr>
            <w:tcW w:w="833" w:type="pct"/>
            <w:shd w:val="clear" w:color="auto" w:fill="auto"/>
            <w:noWrap/>
            <w:vAlign w:val="bottom"/>
          </w:tcPr>
          <w:p w:rsidR="00D82C37" w:rsidRPr="00CD0B8B" w:rsidRDefault="00D82C37" w:rsidP="00552736">
            <w:pPr>
              <w:rPr>
                <w:szCs w:val="24"/>
              </w:rPr>
            </w:pPr>
            <w:r w:rsidRPr="00CD0B8B">
              <w:rPr>
                <w:szCs w:val="24"/>
              </w:rPr>
              <w:t>Більше 10</w:t>
            </w:r>
          </w:p>
        </w:tc>
        <w:tc>
          <w:tcPr>
            <w:tcW w:w="581" w:type="pct"/>
            <w:shd w:val="clear" w:color="auto" w:fill="auto"/>
            <w:noWrap/>
            <w:vAlign w:val="bottom"/>
          </w:tcPr>
          <w:p w:rsidR="00D82C37" w:rsidRPr="00CD0B8B" w:rsidRDefault="00D82C37" w:rsidP="00552736">
            <w:pPr>
              <w:rPr>
                <w:szCs w:val="24"/>
              </w:rPr>
            </w:pPr>
            <w:r w:rsidRPr="00CD0B8B">
              <w:rPr>
                <w:szCs w:val="24"/>
              </w:rPr>
              <w:t>45</w:t>
            </w:r>
          </w:p>
        </w:tc>
        <w:tc>
          <w:tcPr>
            <w:tcW w:w="903" w:type="pct"/>
            <w:shd w:val="clear" w:color="auto" w:fill="auto"/>
            <w:noWrap/>
            <w:vAlign w:val="bottom"/>
          </w:tcPr>
          <w:p w:rsidR="00D82C37" w:rsidRPr="00CD0B8B" w:rsidRDefault="00D82C37" w:rsidP="00552736">
            <w:pPr>
              <w:rPr>
                <w:szCs w:val="24"/>
              </w:rPr>
            </w:pPr>
            <w:r w:rsidRPr="00CD0B8B">
              <w:rPr>
                <w:szCs w:val="24"/>
              </w:rPr>
              <w:t>3,24</w:t>
            </w:r>
          </w:p>
        </w:tc>
        <w:tc>
          <w:tcPr>
            <w:tcW w:w="598" w:type="pct"/>
            <w:shd w:val="clear" w:color="auto" w:fill="auto"/>
            <w:noWrap/>
            <w:vAlign w:val="bottom"/>
          </w:tcPr>
          <w:p w:rsidR="00D82C37" w:rsidRPr="00CD0B8B" w:rsidRDefault="00D82C37" w:rsidP="00552736">
            <w:pPr>
              <w:rPr>
                <w:szCs w:val="24"/>
              </w:rPr>
            </w:pPr>
            <w:r w:rsidRPr="00CD0B8B">
              <w:rPr>
                <w:szCs w:val="24"/>
              </w:rPr>
              <w:t>1,1</w:t>
            </w:r>
          </w:p>
        </w:tc>
        <w:tc>
          <w:tcPr>
            <w:tcW w:w="803" w:type="pct"/>
            <w:shd w:val="clear" w:color="auto" w:fill="auto"/>
            <w:noWrap/>
            <w:vAlign w:val="bottom"/>
          </w:tcPr>
          <w:p w:rsidR="00D82C37" w:rsidRPr="00CD0B8B" w:rsidRDefault="00D82C37" w:rsidP="00552736">
            <w:pPr>
              <w:rPr>
                <w:szCs w:val="24"/>
              </w:rPr>
            </w:pPr>
            <w:r w:rsidRPr="00CD0B8B">
              <w:rPr>
                <w:szCs w:val="24"/>
              </w:rPr>
              <w:t>4,34</w:t>
            </w:r>
          </w:p>
        </w:tc>
        <w:tc>
          <w:tcPr>
            <w:tcW w:w="581" w:type="pct"/>
            <w:shd w:val="clear" w:color="auto" w:fill="auto"/>
            <w:noWrap/>
            <w:vAlign w:val="bottom"/>
          </w:tcPr>
          <w:p w:rsidR="00D82C37" w:rsidRPr="00CD0B8B" w:rsidRDefault="00D82C37" w:rsidP="00552736">
            <w:pPr>
              <w:rPr>
                <w:szCs w:val="24"/>
              </w:rPr>
            </w:pPr>
            <w:r w:rsidRPr="00CD0B8B">
              <w:rPr>
                <w:szCs w:val="24"/>
              </w:rPr>
              <w:t>0,28</w:t>
            </w:r>
          </w:p>
        </w:tc>
        <w:tc>
          <w:tcPr>
            <w:tcW w:w="702" w:type="pct"/>
            <w:shd w:val="clear" w:color="auto" w:fill="auto"/>
            <w:noWrap/>
            <w:vAlign w:val="bottom"/>
          </w:tcPr>
          <w:p w:rsidR="00D82C37" w:rsidRPr="00CD0B8B" w:rsidRDefault="00D82C37" w:rsidP="00552736">
            <w:pPr>
              <w:rPr>
                <w:szCs w:val="24"/>
              </w:rPr>
            </w:pPr>
            <w:r w:rsidRPr="00CD0B8B">
              <w:rPr>
                <w:szCs w:val="24"/>
              </w:rPr>
              <w:t>16,8</w:t>
            </w:r>
          </w:p>
        </w:tc>
      </w:tr>
    </w:tbl>
    <w:p w:rsidR="00D82C37" w:rsidRPr="00262B01" w:rsidRDefault="00D82C37" w:rsidP="00D82C37">
      <w:pPr>
        <w:pStyle w:val="24"/>
        <w:spacing w:after="0" w:line="240" w:lineRule="auto"/>
        <w:ind w:left="0" w:firstLine="708"/>
        <w:jc w:val="both"/>
        <w:rPr>
          <w:sz w:val="28"/>
          <w:szCs w:val="28"/>
        </w:rPr>
      </w:pPr>
      <w:r w:rsidRPr="00262B01">
        <w:rPr>
          <w:sz w:val="28"/>
          <w:szCs w:val="28"/>
        </w:rPr>
        <w:t xml:space="preserve">Ґрунтуючись на результатах множинних порівнянь, зроблено висновок про відсутність істотних відмінностей між підгрупами, сформованими за тривалістю призначення КСФ. Але беручи до уваги результати кореляційного аналізу Спірмена, можна зробити висновок, що існує достовірний (р = 0,049) обернений </w:t>
      </w:r>
      <w:r>
        <w:rPr>
          <w:sz w:val="28"/>
          <w:szCs w:val="28"/>
        </w:rPr>
        <w:t>(</w:t>
      </w:r>
      <w:r>
        <w:rPr>
          <w:sz w:val="28"/>
          <w:szCs w:val="28"/>
          <w:lang w:val="en-US"/>
        </w:rPr>
        <w:t>r</w:t>
      </w:r>
      <w:r w:rsidRPr="00F17FC9">
        <w:rPr>
          <w:sz w:val="28"/>
          <w:szCs w:val="28"/>
        </w:rPr>
        <w:t xml:space="preserve"> = </w:t>
      </w:r>
      <w:r w:rsidRPr="002610F3">
        <w:rPr>
          <w:sz w:val="28"/>
          <w:szCs w:val="28"/>
        </w:rPr>
        <w:t>–</w:t>
      </w:r>
      <w:r w:rsidRPr="00F17FC9">
        <w:rPr>
          <w:sz w:val="28"/>
          <w:szCs w:val="28"/>
        </w:rPr>
        <w:t>0,111)</w:t>
      </w:r>
      <w:r>
        <w:rPr>
          <w:sz w:val="28"/>
          <w:szCs w:val="28"/>
        </w:rPr>
        <w:t xml:space="preserve"> </w:t>
      </w:r>
      <w:r w:rsidRPr="00262B01">
        <w:rPr>
          <w:sz w:val="28"/>
          <w:szCs w:val="28"/>
        </w:rPr>
        <w:t>коре</w:t>
      </w:r>
      <w:r w:rsidRPr="00262B01">
        <w:rPr>
          <w:sz w:val="28"/>
          <w:szCs w:val="28"/>
        </w:rPr>
        <w:softHyphen/>
        <w:t>ляційний зв’язок між показниками „тривалість призначення КСФ” і „кількість СД34+ (</w:t>
      </w:r>
      <w:r w:rsidRPr="00262B01">
        <w:rPr>
          <w:sz w:val="28"/>
          <w:szCs w:val="28"/>
        </w:rPr>
        <w:sym w:font="Symbol" w:char="F0B4"/>
      </w:r>
      <w:r w:rsidRPr="00262B01">
        <w:rPr>
          <w:sz w:val="28"/>
          <w:szCs w:val="28"/>
        </w:rPr>
        <w:t xml:space="preserve"> 10</w:t>
      </w:r>
      <w:r w:rsidRPr="00262B01">
        <w:rPr>
          <w:sz w:val="28"/>
          <w:szCs w:val="28"/>
          <w:vertAlign w:val="superscript"/>
        </w:rPr>
        <w:t>6</w:t>
      </w:r>
      <w:r w:rsidRPr="00262B01">
        <w:rPr>
          <w:sz w:val="28"/>
          <w:szCs w:val="28"/>
        </w:rPr>
        <w:t>/кг)”. На основі цього показника можна констатувати, що зі збільшенням „тривалості призначення КСФ” зменшується „кількість СД34+ (</w:t>
      </w:r>
      <w:r w:rsidRPr="00262B01">
        <w:rPr>
          <w:sz w:val="28"/>
          <w:szCs w:val="28"/>
        </w:rPr>
        <w:sym w:font="Symbol" w:char="F0B4"/>
      </w:r>
      <w:r w:rsidRPr="00262B01">
        <w:rPr>
          <w:sz w:val="28"/>
          <w:szCs w:val="28"/>
        </w:rPr>
        <w:t xml:space="preserve"> 10</w:t>
      </w:r>
      <w:r w:rsidRPr="00262B01">
        <w:rPr>
          <w:sz w:val="28"/>
          <w:szCs w:val="28"/>
          <w:vertAlign w:val="superscript"/>
        </w:rPr>
        <w:t>6</w:t>
      </w:r>
      <w:r w:rsidRPr="00262B01">
        <w:rPr>
          <w:sz w:val="28"/>
          <w:szCs w:val="28"/>
        </w:rPr>
        <w:t>/кг)” при проведенні лейкоцитаферезу.</w:t>
      </w:r>
    </w:p>
    <w:p w:rsidR="00D82C37" w:rsidRPr="00D960E7" w:rsidRDefault="00D82C37" w:rsidP="00D82C37">
      <w:pPr>
        <w:ind w:firstLine="720"/>
        <w:jc w:val="both"/>
        <w:rPr>
          <w:sz w:val="28"/>
          <w:szCs w:val="28"/>
        </w:rPr>
      </w:pPr>
      <w:r w:rsidRPr="00F939A6">
        <w:rPr>
          <w:sz w:val="28"/>
          <w:szCs w:val="28"/>
        </w:rPr>
        <w:t xml:space="preserve">Для вивчення прогностичної значущості рівня лейкоцитів у крові напередодні лейкоцитаферезу на ефективність мобілізації, було проведено </w:t>
      </w:r>
      <w:r>
        <w:rPr>
          <w:sz w:val="28"/>
          <w:szCs w:val="28"/>
        </w:rPr>
        <w:t>роз</w:t>
      </w:r>
      <w:r w:rsidRPr="00F939A6">
        <w:rPr>
          <w:sz w:val="28"/>
          <w:szCs w:val="28"/>
        </w:rPr>
        <w:t>поділ пацієнтів на групи в залежності від показників крові</w:t>
      </w:r>
      <w:r>
        <w:rPr>
          <w:sz w:val="28"/>
          <w:szCs w:val="28"/>
        </w:rPr>
        <w:t xml:space="preserve"> (табл.11)</w:t>
      </w:r>
      <w:r w:rsidRPr="00F939A6">
        <w:rPr>
          <w:sz w:val="28"/>
          <w:szCs w:val="28"/>
        </w:rPr>
        <w:t>.</w:t>
      </w:r>
    </w:p>
    <w:p w:rsidR="00D82C37" w:rsidRPr="00262B01" w:rsidRDefault="00D82C37" w:rsidP="00D82C37">
      <w:pPr>
        <w:jc w:val="right"/>
        <w:rPr>
          <w:i/>
          <w:sz w:val="28"/>
          <w:szCs w:val="28"/>
        </w:rPr>
      </w:pPr>
      <w:r w:rsidRPr="00262B01">
        <w:rPr>
          <w:i/>
          <w:sz w:val="28"/>
          <w:szCs w:val="28"/>
        </w:rPr>
        <w:t>Таблиця 11</w:t>
      </w:r>
    </w:p>
    <w:p w:rsidR="00D82C37" w:rsidRPr="00262B01" w:rsidRDefault="00D82C37" w:rsidP="00D82C37">
      <w:pPr>
        <w:jc w:val="center"/>
        <w:rPr>
          <w:b/>
          <w:sz w:val="28"/>
          <w:szCs w:val="28"/>
        </w:rPr>
      </w:pPr>
      <w:r w:rsidRPr="00262B01">
        <w:rPr>
          <w:b/>
          <w:sz w:val="28"/>
          <w:szCs w:val="28"/>
        </w:rPr>
        <w:t>Результати лейкоцитаферезу (кількість СД 34+клітин/кг маси)</w:t>
      </w:r>
    </w:p>
    <w:p w:rsidR="00D82C37" w:rsidRPr="00262B01" w:rsidRDefault="00D82C37" w:rsidP="00D82C37">
      <w:pPr>
        <w:jc w:val="center"/>
        <w:rPr>
          <w:b/>
          <w:sz w:val="28"/>
          <w:szCs w:val="28"/>
        </w:rPr>
      </w:pPr>
      <w:r w:rsidRPr="00262B01">
        <w:rPr>
          <w:b/>
          <w:sz w:val="28"/>
          <w:szCs w:val="28"/>
        </w:rPr>
        <w:t>залежно від рівня лейкоцитів периферичної крові у день проведення процедури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73"/>
        <w:gridCol w:w="906"/>
        <w:gridCol w:w="1591"/>
        <w:gridCol w:w="996"/>
        <w:gridCol w:w="1320"/>
        <w:gridCol w:w="1062"/>
        <w:gridCol w:w="1297"/>
      </w:tblGrid>
      <w:tr w:rsidR="00D82C37" w:rsidRPr="00CD0B8B" w:rsidTr="00552736">
        <w:trPr>
          <w:trHeight w:val="255"/>
        </w:trPr>
        <w:tc>
          <w:tcPr>
            <w:tcW w:w="1163" w:type="pct"/>
            <w:shd w:val="clear" w:color="auto" w:fill="auto"/>
            <w:noWrap/>
            <w:vAlign w:val="center"/>
          </w:tcPr>
          <w:p w:rsidR="00D82C37" w:rsidRPr="00CD0B8B" w:rsidRDefault="00D82C37" w:rsidP="00552736">
            <w:pPr>
              <w:jc w:val="center"/>
            </w:pPr>
            <w:r w:rsidRPr="00CD0B8B">
              <w:t xml:space="preserve">Рівень лейкоцитів </w:t>
            </w:r>
          </w:p>
          <w:p w:rsidR="00D82C37" w:rsidRPr="00CD0B8B" w:rsidRDefault="00D82C37" w:rsidP="00552736">
            <w:pPr>
              <w:jc w:val="center"/>
            </w:pPr>
            <w:r w:rsidRPr="00CD0B8B">
              <w:t xml:space="preserve">у день лейкоцитаферезу </w:t>
            </w:r>
          </w:p>
          <w:p w:rsidR="00D82C37" w:rsidRPr="00CD0B8B" w:rsidRDefault="00D82C37" w:rsidP="00552736">
            <w:pPr>
              <w:rPr>
                <w:szCs w:val="24"/>
              </w:rPr>
            </w:pPr>
            <w:r w:rsidRPr="00CD0B8B">
              <w:rPr>
                <w:szCs w:val="24"/>
              </w:rPr>
              <w:t>(х 10</w:t>
            </w:r>
            <w:r w:rsidRPr="00CD0B8B">
              <w:rPr>
                <w:szCs w:val="24"/>
                <w:vertAlign w:val="superscript"/>
              </w:rPr>
              <w:t>9</w:t>
            </w:r>
            <w:r w:rsidRPr="00CD0B8B">
              <w:rPr>
                <w:szCs w:val="24"/>
              </w:rPr>
              <w:t>/л)</w:t>
            </w:r>
          </w:p>
        </w:tc>
        <w:tc>
          <w:tcPr>
            <w:tcW w:w="485" w:type="pct"/>
            <w:shd w:val="clear" w:color="auto" w:fill="auto"/>
            <w:noWrap/>
            <w:vAlign w:val="center"/>
          </w:tcPr>
          <w:p w:rsidR="00D82C37" w:rsidRPr="00CD0B8B" w:rsidRDefault="00D82C37" w:rsidP="00552736">
            <w:pPr>
              <w:rPr>
                <w:szCs w:val="24"/>
              </w:rPr>
            </w:pPr>
            <w:r w:rsidRPr="00CD0B8B">
              <w:rPr>
                <w:szCs w:val="24"/>
              </w:rPr>
              <w:t xml:space="preserve"> n = 315</w:t>
            </w:r>
          </w:p>
        </w:tc>
        <w:tc>
          <w:tcPr>
            <w:tcW w:w="851" w:type="pct"/>
            <w:shd w:val="clear" w:color="auto" w:fill="auto"/>
            <w:noWrap/>
            <w:vAlign w:val="center"/>
          </w:tcPr>
          <w:p w:rsidR="00D82C37" w:rsidRPr="00CD0B8B" w:rsidRDefault="00D82C37" w:rsidP="00552736">
            <w:pPr>
              <w:rPr>
                <w:szCs w:val="24"/>
              </w:rPr>
            </w:pPr>
            <w:r w:rsidRPr="00CD0B8B">
              <w:rPr>
                <w:szCs w:val="24"/>
              </w:rPr>
              <w:t>Середнє арифметичне</w:t>
            </w:r>
          </w:p>
        </w:tc>
        <w:tc>
          <w:tcPr>
            <w:tcW w:w="533" w:type="pct"/>
            <w:shd w:val="clear" w:color="auto" w:fill="auto"/>
            <w:noWrap/>
            <w:vAlign w:val="center"/>
          </w:tcPr>
          <w:p w:rsidR="00D82C37" w:rsidRPr="00CD0B8B" w:rsidRDefault="00D82C37" w:rsidP="00552736">
            <w:pPr>
              <w:rPr>
                <w:szCs w:val="24"/>
              </w:rPr>
            </w:pPr>
            <w:r w:rsidRPr="00CD0B8B">
              <w:rPr>
                <w:szCs w:val="24"/>
              </w:rPr>
              <w:t>Медіана</w:t>
            </w:r>
          </w:p>
        </w:tc>
        <w:tc>
          <w:tcPr>
            <w:tcW w:w="706" w:type="pct"/>
            <w:shd w:val="clear" w:color="auto" w:fill="auto"/>
            <w:noWrap/>
            <w:vAlign w:val="center"/>
          </w:tcPr>
          <w:p w:rsidR="00D82C37" w:rsidRPr="00CD0B8B" w:rsidRDefault="00D82C37" w:rsidP="00552736">
            <w:pPr>
              <w:rPr>
                <w:szCs w:val="24"/>
              </w:rPr>
            </w:pPr>
            <w:r w:rsidRPr="00CD0B8B">
              <w:rPr>
                <w:szCs w:val="24"/>
              </w:rPr>
              <w:t>Стандартне відхилення</w:t>
            </w:r>
          </w:p>
        </w:tc>
        <w:tc>
          <w:tcPr>
            <w:tcW w:w="568" w:type="pct"/>
            <w:shd w:val="clear" w:color="auto" w:fill="auto"/>
            <w:noWrap/>
            <w:vAlign w:val="center"/>
          </w:tcPr>
          <w:p w:rsidR="00D82C37" w:rsidRPr="00CD0B8B" w:rsidRDefault="00D82C37" w:rsidP="00552736">
            <w:pPr>
              <w:rPr>
                <w:szCs w:val="24"/>
              </w:rPr>
            </w:pPr>
            <w:r w:rsidRPr="00CD0B8B">
              <w:rPr>
                <w:szCs w:val="24"/>
              </w:rPr>
              <w:t>Мінімум</w:t>
            </w:r>
          </w:p>
        </w:tc>
        <w:tc>
          <w:tcPr>
            <w:tcW w:w="694" w:type="pct"/>
            <w:shd w:val="clear" w:color="auto" w:fill="auto"/>
            <w:noWrap/>
            <w:vAlign w:val="center"/>
          </w:tcPr>
          <w:p w:rsidR="00D82C37" w:rsidRPr="00CD0B8B" w:rsidRDefault="00D82C37" w:rsidP="00552736">
            <w:pPr>
              <w:rPr>
                <w:szCs w:val="24"/>
              </w:rPr>
            </w:pPr>
            <w:r w:rsidRPr="00CD0B8B">
              <w:rPr>
                <w:szCs w:val="24"/>
              </w:rPr>
              <w:t>Максимум</w:t>
            </w:r>
          </w:p>
        </w:tc>
      </w:tr>
      <w:tr w:rsidR="00D82C37" w:rsidRPr="00CD0B8B" w:rsidTr="00552736">
        <w:trPr>
          <w:trHeight w:val="255"/>
        </w:trPr>
        <w:tc>
          <w:tcPr>
            <w:tcW w:w="1163" w:type="pct"/>
            <w:shd w:val="clear" w:color="auto" w:fill="auto"/>
            <w:noWrap/>
            <w:vAlign w:val="bottom"/>
          </w:tcPr>
          <w:p w:rsidR="00D82C37" w:rsidRPr="00CD0B8B" w:rsidRDefault="00D82C37" w:rsidP="00552736">
            <w:pPr>
              <w:rPr>
                <w:szCs w:val="24"/>
              </w:rPr>
            </w:pPr>
            <w:r w:rsidRPr="00CD0B8B">
              <w:rPr>
                <w:szCs w:val="24"/>
              </w:rPr>
              <w:t>Менше 5,0</w:t>
            </w:r>
          </w:p>
        </w:tc>
        <w:tc>
          <w:tcPr>
            <w:tcW w:w="485" w:type="pct"/>
            <w:shd w:val="clear" w:color="auto" w:fill="auto"/>
            <w:noWrap/>
            <w:vAlign w:val="bottom"/>
          </w:tcPr>
          <w:p w:rsidR="00D82C37" w:rsidRPr="00CD0B8B" w:rsidRDefault="00D82C37" w:rsidP="00552736">
            <w:pPr>
              <w:rPr>
                <w:szCs w:val="24"/>
              </w:rPr>
            </w:pPr>
            <w:r w:rsidRPr="00CD0B8B">
              <w:rPr>
                <w:szCs w:val="24"/>
              </w:rPr>
              <w:t>44</w:t>
            </w:r>
          </w:p>
        </w:tc>
        <w:tc>
          <w:tcPr>
            <w:tcW w:w="851" w:type="pct"/>
            <w:shd w:val="clear" w:color="auto" w:fill="auto"/>
            <w:noWrap/>
            <w:vAlign w:val="bottom"/>
          </w:tcPr>
          <w:p w:rsidR="00D82C37" w:rsidRPr="00CD0B8B" w:rsidRDefault="00D82C37" w:rsidP="00552736">
            <w:pPr>
              <w:rPr>
                <w:szCs w:val="24"/>
              </w:rPr>
            </w:pPr>
            <w:r w:rsidRPr="00CD0B8B">
              <w:rPr>
                <w:szCs w:val="24"/>
              </w:rPr>
              <w:t>1,58</w:t>
            </w:r>
          </w:p>
        </w:tc>
        <w:tc>
          <w:tcPr>
            <w:tcW w:w="533" w:type="pct"/>
            <w:shd w:val="clear" w:color="auto" w:fill="auto"/>
            <w:noWrap/>
            <w:vAlign w:val="bottom"/>
          </w:tcPr>
          <w:p w:rsidR="00D82C37" w:rsidRPr="00CD0B8B" w:rsidRDefault="00D82C37" w:rsidP="00552736">
            <w:pPr>
              <w:rPr>
                <w:szCs w:val="24"/>
              </w:rPr>
            </w:pPr>
            <w:r w:rsidRPr="00CD0B8B">
              <w:rPr>
                <w:szCs w:val="24"/>
              </w:rPr>
              <w:t>0,88</w:t>
            </w:r>
          </w:p>
        </w:tc>
        <w:tc>
          <w:tcPr>
            <w:tcW w:w="706" w:type="pct"/>
            <w:shd w:val="clear" w:color="auto" w:fill="auto"/>
            <w:noWrap/>
            <w:vAlign w:val="bottom"/>
          </w:tcPr>
          <w:p w:rsidR="00D82C37" w:rsidRPr="00CD0B8B" w:rsidRDefault="00D82C37" w:rsidP="00552736">
            <w:pPr>
              <w:rPr>
                <w:szCs w:val="24"/>
              </w:rPr>
            </w:pPr>
            <w:r w:rsidRPr="00CD0B8B">
              <w:rPr>
                <w:szCs w:val="24"/>
              </w:rPr>
              <w:t>1,68</w:t>
            </w:r>
          </w:p>
        </w:tc>
        <w:tc>
          <w:tcPr>
            <w:tcW w:w="568" w:type="pct"/>
            <w:shd w:val="clear" w:color="auto" w:fill="auto"/>
            <w:noWrap/>
            <w:vAlign w:val="bottom"/>
          </w:tcPr>
          <w:p w:rsidR="00D82C37" w:rsidRPr="00CD0B8B" w:rsidRDefault="00D82C37" w:rsidP="00552736">
            <w:pPr>
              <w:rPr>
                <w:szCs w:val="24"/>
              </w:rPr>
            </w:pPr>
            <w:r w:rsidRPr="00CD0B8B">
              <w:rPr>
                <w:szCs w:val="24"/>
              </w:rPr>
              <w:t>0,005</w:t>
            </w:r>
          </w:p>
        </w:tc>
        <w:tc>
          <w:tcPr>
            <w:tcW w:w="694" w:type="pct"/>
            <w:shd w:val="clear" w:color="auto" w:fill="auto"/>
            <w:noWrap/>
            <w:vAlign w:val="bottom"/>
          </w:tcPr>
          <w:p w:rsidR="00D82C37" w:rsidRPr="00CD0B8B" w:rsidRDefault="00D82C37" w:rsidP="00552736">
            <w:pPr>
              <w:rPr>
                <w:szCs w:val="24"/>
              </w:rPr>
            </w:pPr>
            <w:r w:rsidRPr="00CD0B8B">
              <w:rPr>
                <w:szCs w:val="24"/>
              </w:rPr>
              <w:t>7,0</w:t>
            </w:r>
          </w:p>
        </w:tc>
      </w:tr>
      <w:tr w:rsidR="00D82C37" w:rsidRPr="00CD0B8B" w:rsidTr="00552736">
        <w:trPr>
          <w:trHeight w:val="255"/>
        </w:trPr>
        <w:tc>
          <w:tcPr>
            <w:tcW w:w="1163" w:type="pct"/>
            <w:shd w:val="clear" w:color="auto" w:fill="auto"/>
            <w:noWrap/>
            <w:vAlign w:val="bottom"/>
          </w:tcPr>
          <w:p w:rsidR="00D82C37" w:rsidRPr="00CD0B8B" w:rsidRDefault="00D82C37" w:rsidP="00552736">
            <w:pPr>
              <w:rPr>
                <w:szCs w:val="24"/>
              </w:rPr>
            </w:pPr>
            <w:r w:rsidRPr="00CD0B8B">
              <w:rPr>
                <w:szCs w:val="24"/>
              </w:rPr>
              <w:t>5–10</w:t>
            </w:r>
          </w:p>
        </w:tc>
        <w:tc>
          <w:tcPr>
            <w:tcW w:w="485" w:type="pct"/>
            <w:shd w:val="clear" w:color="auto" w:fill="auto"/>
            <w:noWrap/>
            <w:vAlign w:val="bottom"/>
          </w:tcPr>
          <w:p w:rsidR="00D82C37" w:rsidRPr="00CD0B8B" w:rsidRDefault="00D82C37" w:rsidP="00552736">
            <w:pPr>
              <w:rPr>
                <w:szCs w:val="24"/>
              </w:rPr>
            </w:pPr>
            <w:r w:rsidRPr="00CD0B8B">
              <w:rPr>
                <w:szCs w:val="24"/>
              </w:rPr>
              <w:t>59</w:t>
            </w:r>
          </w:p>
        </w:tc>
        <w:tc>
          <w:tcPr>
            <w:tcW w:w="851" w:type="pct"/>
            <w:shd w:val="clear" w:color="auto" w:fill="auto"/>
            <w:noWrap/>
            <w:vAlign w:val="bottom"/>
          </w:tcPr>
          <w:p w:rsidR="00D82C37" w:rsidRPr="00CD0B8B" w:rsidRDefault="00D82C37" w:rsidP="00552736">
            <w:pPr>
              <w:rPr>
                <w:szCs w:val="24"/>
              </w:rPr>
            </w:pPr>
            <w:r w:rsidRPr="00CD0B8B">
              <w:rPr>
                <w:szCs w:val="24"/>
              </w:rPr>
              <w:t>3,01</w:t>
            </w:r>
          </w:p>
        </w:tc>
        <w:tc>
          <w:tcPr>
            <w:tcW w:w="533" w:type="pct"/>
            <w:shd w:val="clear" w:color="auto" w:fill="auto"/>
            <w:noWrap/>
            <w:vAlign w:val="bottom"/>
          </w:tcPr>
          <w:p w:rsidR="00D82C37" w:rsidRPr="00CD0B8B" w:rsidRDefault="00D82C37" w:rsidP="00552736">
            <w:pPr>
              <w:rPr>
                <w:szCs w:val="24"/>
              </w:rPr>
            </w:pPr>
            <w:r w:rsidRPr="00CD0B8B">
              <w:rPr>
                <w:szCs w:val="24"/>
              </w:rPr>
              <w:t>1,85</w:t>
            </w:r>
          </w:p>
        </w:tc>
        <w:tc>
          <w:tcPr>
            <w:tcW w:w="706" w:type="pct"/>
            <w:shd w:val="clear" w:color="auto" w:fill="auto"/>
            <w:noWrap/>
            <w:vAlign w:val="bottom"/>
          </w:tcPr>
          <w:p w:rsidR="00D82C37" w:rsidRPr="00CD0B8B" w:rsidRDefault="00D82C37" w:rsidP="00552736">
            <w:pPr>
              <w:rPr>
                <w:szCs w:val="24"/>
              </w:rPr>
            </w:pPr>
            <w:r w:rsidRPr="00CD0B8B">
              <w:rPr>
                <w:szCs w:val="24"/>
              </w:rPr>
              <w:t>4,01</w:t>
            </w:r>
          </w:p>
        </w:tc>
        <w:tc>
          <w:tcPr>
            <w:tcW w:w="568" w:type="pct"/>
            <w:shd w:val="clear" w:color="auto" w:fill="auto"/>
            <w:noWrap/>
            <w:vAlign w:val="bottom"/>
          </w:tcPr>
          <w:p w:rsidR="00D82C37" w:rsidRPr="00CD0B8B" w:rsidRDefault="00D82C37" w:rsidP="00552736">
            <w:pPr>
              <w:rPr>
                <w:szCs w:val="24"/>
              </w:rPr>
            </w:pPr>
            <w:r w:rsidRPr="00CD0B8B">
              <w:rPr>
                <w:szCs w:val="24"/>
              </w:rPr>
              <w:t>0,05</w:t>
            </w:r>
          </w:p>
        </w:tc>
        <w:tc>
          <w:tcPr>
            <w:tcW w:w="694" w:type="pct"/>
            <w:shd w:val="clear" w:color="auto" w:fill="auto"/>
            <w:noWrap/>
            <w:vAlign w:val="bottom"/>
          </w:tcPr>
          <w:p w:rsidR="00D82C37" w:rsidRPr="00CD0B8B" w:rsidRDefault="00D82C37" w:rsidP="00552736">
            <w:pPr>
              <w:rPr>
                <w:szCs w:val="24"/>
              </w:rPr>
            </w:pPr>
            <w:r w:rsidRPr="00CD0B8B">
              <w:rPr>
                <w:szCs w:val="24"/>
              </w:rPr>
              <w:t>24,3</w:t>
            </w:r>
          </w:p>
        </w:tc>
      </w:tr>
      <w:tr w:rsidR="00D82C37" w:rsidRPr="00CD0B8B" w:rsidTr="00552736">
        <w:trPr>
          <w:trHeight w:val="255"/>
        </w:trPr>
        <w:tc>
          <w:tcPr>
            <w:tcW w:w="1163" w:type="pct"/>
            <w:shd w:val="clear" w:color="auto" w:fill="auto"/>
            <w:noWrap/>
            <w:vAlign w:val="bottom"/>
          </w:tcPr>
          <w:p w:rsidR="00D82C37" w:rsidRPr="00CD0B8B" w:rsidRDefault="00D82C37" w:rsidP="00552736">
            <w:pPr>
              <w:rPr>
                <w:szCs w:val="24"/>
              </w:rPr>
            </w:pPr>
            <w:r w:rsidRPr="00CD0B8B">
              <w:rPr>
                <w:szCs w:val="24"/>
              </w:rPr>
              <w:t>10–20</w:t>
            </w:r>
          </w:p>
        </w:tc>
        <w:tc>
          <w:tcPr>
            <w:tcW w:w="485" w:type="pct"/>
            <w:shd w:val="clear" w:color="auto" w:fill="auto"/>
            <w:noWrap/>
            <w:vAlign w:val="bottom"/>
          </w:tcPr>
          <w:p w:rsidR="00D82C37" w:rsidRPr="00CD0B8B" w:rsidRDefault="00D82C37" w:rsidP="00552736">
            <w:pPr>
              <w:rPr>
                <w:szCs w:val="24"/>
              </w:rPr>
            </w:pPr>
            <w:r w:rsidRPr="00CD0B8B">
              <w:rPr>
                <w:szCs w:val="24"/>
              </w:rPr>
              <w:t>86</w:t>
            </w:r>
          </w:p>
        </w:tc>
        <w:tc>
          <w:tcPr>
            <w:tcW w:w="851" w:type="pct"/>
            <w:shd w:val="clear" w:color="auto" w:fill="auto"/>
            <w:noWrap/>
            <w:vAlign w:val="bottom"/>
          </w:tcPr>
          <w:p w:rsidR="00D82C37" w:rsidRPr="00CD0B8B" w:rsidRDefault="00D82C37" w:rsidP="00552736">
            <w:pPr>
              <w:rPr>
                <w:szCs w:val="24"/>
              </w:rPr>
            </w:pPr>
            <w:r w:rsidRPr="00CD0B8B">
              <w:rPr>
                <w:szCs w:val="24"/>
              </w:rPr>
              <w:t>4,11</w:t>
            </w:r>
          </w:p>
        </w:tc>
        <w:tc>
          <w:tcPr>
            <w:tcW w:w="533" w:type="pct"/>
            <w:shd w:val="clear" w:color="auto" w:fill="auto"/>
            <w:noWrap/>
            <w:vAlign w:val="bottom"/>
          </w:tcPr>
          <w:p w:rsidR="00D82C37" w:rsidRPr="00CD0B8B" w:rsidRDefault="00D82C37" w:rsidP="00552736">
            <w:pPr>
              <w:rPr>
                <w:szCs w:val="24"/>
              </w:rPr>
            </w:pPr>
            <w:r w:rsidRPr="00CD0B8B">
              <w:rPr>
                <w:szCs w:val="24"/>
              </w:rPr>
              <w:t>2,41</w:t>
            </w:r>
          </w:p>
        </w:tc>
        <w:tc>
          <w:tcPr>
            <w:tcW w:w="706" w:type="pct"/>
            <w:shd w:val="clear" w:color="auto" w:fill="auto"/>
            <w:noWrap/>
            <w:vAlign w:val="bottom"/>
          </w:tcPr>
          <w:p w:rsidR="00D82C37" w:rsidRPr="00CD0B8B" w:rsidRDefault="00D82C37" w:rsidP="00552736">
            <w:pPr>
              <w:rPr>
                <w:szCs w:val="24"/>
              </w:rPr>
            </w:pPr>
            <w:r w:rsidRPr="00CD0B8B">
              <w:rPr>
                <w:szCs w:val="24"/>
              </w:rPr>
              <w:t>5,67</w:t>
            </w:r>
          </w:p>
        </w:tc>
        <w:tc>
          <w:tcPr>
            <w:tcW w:w="568" w:type="pct"/>
            <w:shd w:val="clear" w:color="auto" w:fill="auto"/>
            <w:noWrap/>
            <w:vAlign w:val="bottom"/>
          </w:tcPr>
          <w:p w:rsidR="00D82C37" w:rsidRPr="00CD0B8B" w:rsidRDefault="00D82C37" w:rsidP="00552736">
            <w:pPr>
              <w:rPr>
                <w:szCs w:val="24"/>
              </w:rPr>
            </w:pPr>
            <w:r w:rsidRPr="00CD0B8B">
              <w:rPr>
                <w:szCs w:val="24"/>
              </w:rPr>
              <w:t>0,15</w:t>
            </w:r>
          </w:p>
        </w:tc>
        <w:tc>
          <w:tcPr>
            <w:tcW w:w="694" w:type="pct"/>
            <w:shd w:val="clear" w:color="auto" w:fill="auto"/>
            <w:noWrap/>
            <w:vAlign w:val="bottom"/>
          </w:tcPr>
          <w:p w:rsidR="00D82C37" w:rsidRPr="00CD0B8B" w:rsidRDefault="00D82C37" w:rsidP="00552736">
            <w:pPr>
              <w:rPr>
                <w:szCs w:val="24"/>
              </w:rPr>
            </w:pPr>
            <w:r w:rsidRPr="00CD0B8B">
              <w:rPr>
                <w:szCs w:val="24"/>
              </w:rPr>
              <w:t>33,7</w:t>
            </w:r>
          </w:p>
        </w:tc>
      </w:tr>
      <w:tr w:rsidR="00D82C37" w:rsidRPr="00CD0B8B" w:rsidTr="00552736">
        <w:trPr>
          <w:trHeight w:val="255"/>
        </w:trPr>
        <w:tc>
          <w:tcPr>
            <w:tcW w:w="1163" w:type="pct"/>
            <w:shd w:val="clear" w:color="auto" w:fill="auto"/>
            <w:noWrap/>
            <w:vAlign w:val="bottom"/>
          </w:tcPr>
          <w:p w:rsidR="00D82C37" w:rsidRPr="00CD0B8B" w:rsidRDefault="00D82C37" w:rsidP="00552736">
            <w:pPr>
              <w:rPr>
                <w:szCs w:val="24"/>
              </w:rPr>
            </w:pPr>
            <w:r w:rsidRPr="00CD0B8B">
              <w:rPr>
                <w:szCs w:val="24"/>
              </w:rPr>
              <w:lastRenderedPageBreak/>
              <w:t>Більше 20</w:t>
            </w:r>
          </w:p>
        </w:tc>
        <w:tc>
          <w:tcPr>
            <w:tcW w:w="485" w:type="pct"/>
            <w:shd w:val="clear" w:color="auto" w:fill="auto"/>
            <w:noWrap/>
            <w:vAlign w:val="bottom"/>
          </w:tcPr>
          <w:p w:rsidR="00D82C37" w:rsidRPr="00CD0B8B" w:rsidRDefault="00D82C37" w:rsidP="00552736">
            <w:pPr>
              <w:rPr>
                <w:szCs w:val="24"/>
              </w:rPr>
            </w:pPr>
            <w:r w:rsidRPr="00CD0B8B">
              <w:rPr>
                <w:szCs w:val="24"/>
              </w:rPr>
              <w:t>126</w:t>
            </w:r>
          </w:p>
        </w:tc>
        <w:tc>
          <w:tcPr>
            <w:tcW w:w="851" w:type="pct"/>
            <w:shd w:val="clear" w:color="auto" w:fill="auto"/>
            <w:noWrap/>
            <w:vAlign w:val="bottom"/>
          </w:tcPr>
          <w:p w:rsidR="00D82C37" w:rsidRPr="00CD0B8B" w:rsidRDefault="00D82C37" w:rsidP="00552736">
            <w:pPr>
              <w:rPr>
                <w:szCs w:val="24"/>
              </w:rPr>
            </w:pPr>
            <w:r w:rsidRPr="00CD0B8B">
              <w:rPr>
                <w:szCs w:val="24"/>
              </w:rPr>
              <w:t>4,29</w:t>
            </w:r>
          </w:p>
        </w:tc>
        <w:tc>
          <w:tcPr>
            <w:tcW w:w="533" w:type="pct"/>
            <w:shd w:val="clear" w:color="auto" w:fill="auto"/>
            <w:noWrap/>
            <w:vAlign w:val="bottom"/>
          </w:tcPr>
          <w:p w:rsidR="00D82C37" w:rsidRPr="00CD0B8B" w:rsidRDefault="00D82C37" w:rsidP="00552736">
            <w:pPr>
              <w:rPr>
                <w:szCs w:val="24"/>
              </w:rPr>
            </w:pPr>
            <w:r w:rsidRPr="00CD0B8B">
              <w:rPr>
                <w:szCs w:val="24"/>
              </w:rPr>
              <w:t>2,19</w:t>
            </w:r>
          </w:p>
        </w:tc>
        <w:tc>
          <w:tcPr>
            <w:tcW w:w="706" w:type="pct"/>
            <w:shd w:val="clear" w:color="auto" w:fill="auto"/>
            <w:noWrap/>
            <w:vAlign w:val="bottom"/>
          </w:tcPr>
          <w:p w:rsidR="00D82C37" w:rsidRPr="00CD0B8B" w:rsidRDefault="00D82C37" w:rsidP="00552736">
            <w:pPr>
              <w:rPr>
                <w:szCs w:val="24"/>
              </w:rPr>
            </w:pPr>
            <w:r w:rsidRPr="00CD0B8B">
              <w:rPr>
                <w:szCs w:val="24"/>
              </w:rPr>
              <w:t>5,39</w:t>
            </w:r>
          </w:p>
        </w:tc>
        <w:tc>
          <w:tcPr>
            <w:tcW w:w="568" w:type="pct"/>
            <w:shd w:val="clear" w:color="auto" w:fill="auto"/>
            <w:noWrap/>
            <w:vAlign w:val="bottom"/>
          </w:tcPr>
          <w:p w:rsidR="00D82C37" w:rsidRPr="00CD0B8B" w:rsidRDefault="00D82C37" w:rsidP="00552736">
            <w:pPr>
              <w:rPr>
                <w:szCs w:val="24"/>
              </w:rPr>
            </w:pPr>
            <w:r w:rsidRPr="00CD0B8B">
              <w:rPr>
                <w:szCs w:val="24"/>
              </w:rPr>
              <w:t>0,09</w:t>
            </w:r>
          </w:p>
        </w:tc>
        <w:tc>
          <w:tcPr>
            <w:tcW w:w="694" w:type="pct"/>
            <w:shd w:val="clear" w:color="auto" w:fill="auto"/>
            <w:noWrap/>
            <w:vAlign w:val="bottom"/>
          </w:tcPr>
          <w:p w:rsidR="00D82C37" w:rsidRPr="00CD0B8B" w:rsidRDefault="00D82C37" w:rsidP="00552736">
            <w:pPr>
              <w:rPr>
                <w:szCs w:val="24"/>
              </w:rPr>
            </w:pPr>
            <w:r w:rsidRPr="00CD0B8B">
              <w:rPr>
                <w:szCs w:val="24"/>
              </w:rPr>
              <w:t>25,3</w:t>
            </w:r>
          </w:p>
        </w:tc>
      </w:tr>
    </w:tbl>
    <w:p w:rsidR="00D82C37" w:rsidRDefault="00D82C37" w:rsidP="00D82C37">
      <w:pPr>
        <w:jc w:val="both"/>
        <w:rPr>
          <w:sz w:val="28"/>
          <w:szCs w:val="28"/>
        </w:rPr>
      </w:pPr>
      <w:r w:rsidRPr="00262B01">
        <w:rPr>
          <w:sz w:val="28"/>
          <w:szCs w:val="28"/>
        </w:rPr>
        <w:tab/>
        <w:t>За результатами множинних порівнянь виявлена достовірно нижча ефективність проведення лейкоцитаферезу при рівні лейкоцитів менше 5,0 х 10</w:t>
      </w:r>
      <w:r w:rsidRPr="00262B01">
        <w:rPr>
          <w:sz w:val="28"/>
          <w:szCs w:val="28"/>
          <w:vertAlign w:val="superscript"/>
        </w:rPr>
        <w:t>9</w:t>
      </w:r>
      <w:r w:rsidRPr="00262B01">
        <w:rPr>
          <w:sz w:val="28"/>
          <w:szCs w:val="28"/>
        </w:rPr>
        <w:t>/л порівняно із проведенням при рівні 10–20 х 10</w:t>
      </w:r>
      <w:r w:rsidRPr="00262B01">
        <w:rPr>
          <w:sz w:val="28"/>
          <w:szCs w:val="28"/>
          <w:vertAlign w:val="superscript"/>
        </w:rPr>
        <w:t>9</w:t>
      </w:r>
      <w:r w:rsidRPr="00262B01">
        <w:rPr>
          <w:sz w:val="28"/>
          <w:szCs w:val="28"/>
        </w:rPr>
        <w:t>/л (р = 0,001), а також при рівні лейкоцитів понад 20 х 10</w:t>
      </w:r>
      <w:r w:rsidRPr="00262B01">
        <w:rPr>
          <w:sz w:val="28"/>
          <w:szCs w:val="28"/>
          <w:vertAlign w:val="superscript"/>
        </w:rPr>
        <w:t>9</w:t>
      </w:r>
      <w:r w:rsidRPr="00262B01">
        <w:rPr>
          <w:sz w:val="28"/>
          <w:szCs w:val="28"/>
        </w:rPr>
        <w:t>/л (р &lt; 0,001). Хоча ефективність лейкоцитаферезу при рівні лейкоцитів 10–20 х 10</w:t>
      </w:r>
      <w:r w:rsidRPr="00262B01">
        <w:rPr>
          <w:sz w:val="28"/>
          <w:szCs w:val="28"/>
          <w:vertAlign w:val="superscript"/>
        </w:rPr>
        <w:t>9</w:t>
      </w:r>
      <w:r w:rsidRPr="00262B01">
        <w:rPr>
          <w:sz w:val="28"/>
          <w:szCs w:val="28"/>
        </w:rPr>
        <w:t>/л вища, ніж при лейкоцитах більше 20 х 10</w:t>
      </w:r>
      <w:r w:rsidRPr="00262B01">
        <w:rPr>
          <w:sz w:val="28"/>
          <w:szCs w:val="28"/>
          <w:vertAlign w:val="superscript"/>
        </w:rPr>
        <w:t>9</w:t>
      </w:r>
      <w:r w:rsidRPr="00262B01">
        <w:rPr>
          <w:sz w:val="28"/>
          <w:szCs w:val="28"/>
        </w:rPr>
        <w:t>/л ( 2,41 х 10</w:t>
      </w:r>
      <w:r w:rsidRPr="00262B01">
        <w:rPr>
          <w:sz w:val="28"/>
          <w:szCs w:val="28"/>
          <w:vertAlign w:val="superscript"/>
        </w:rPr>
        <w:t>6</w:t>
      </w:r>
      <w:r w:rsidRPr="00262B01">
        <w:rPr>
          <w:sz w:val="28"/>
          <w:szCs w:val="28"/>
        </w:rPr>
        <w:t>/кг (95% ДІ: 1,5–3,2 х 10</w:t>
      </w:r>
      <w:r w:rsidRPr="00262B01">
        <w:rPr>
          <w:sz w:val="28"/>
          <w:szCs w:val="28"/>
          <w:vertAlign w:val="superscript"/>
        </w:rPr>
        <w:t>6</w:t>
      </w:r>
      <w:r w:rsidRPr="00262B01">
        <w:rPr>
          <w:sz w:val="28"/>
          <w:szCs w:val="28"/>
        </w:rPr>
        <w:t>/кг) та 2,19 х 10</w:t>
      </w:r>
      <w:r w:rsidRPr="00262B01">
        <w:rPr>
          <w:sz w:val="28"/>
          <w:szCs w:val="28"/>
          <w:vertAlign w:val="superscript"/>
        </w:rPr>
        <w:t>6</w:t>
      </w:r>
      <w:r w:rsidRPr="00262B01">
        <w:rPr>
          <w:sz w:val="28"/>
          <w:szCs w:val="28"/>
        </w:rPr>
        <w:t>/кг (95% ДІ: 1,7–2,7 х 10</w:t>
      </w:r>
      <w:r w:rsidRPr="00262B01">
        <w:rPr>
          <w:sz w:val="28"/>
          <w:szCs w:val="28"/>
          <w:vertAlign w:val="superscript"/>
        </w:rPr>
        <w:t>6</w:t>
      </w:r>
      <w:r w:rsidRPr="00262B01">
        <w:rPr>
          <w:sz w:val="28"/>
          <w:szCs w:val="28"/>
        </w:rPr>
        <w:t>/кг) відповідно), але ця різниця недостовірна (р = 0,99).</w:t>
      </w:r>
    </w:p>
    <w:p w:rsidR="00D82C37" w:rsidRPr="00262B01" w:rsidRDefault="00D82C37" w:rsidP="00D82C37">
      <w:pPr>
        <w:ind w:firstLine="720"/>
        <w:jc w:val="both"/>
        <w:rPr>
          <w:i/>
          <w:sz w:val="28"/>
          <w:szCs w:val="28"/>
        </w:rPr>
      </w:pPr>
      <w:r w:rsidRPr="00F939A6">
        <w:rPr>
          <w:sz w:val="28"/>
          <w:szCs w:val="28"/>
        </w:rPr>
        <w:t xml:space="preserve">Для того, щоб вивчити вплив об’єму опрацьованої за сеанс крові пацієнта на кінцеву ефективність мобілізаційної процедури, проведено розподіл </w:t>
      </w:r>
      <w:r>
        <w:rPr>
          <w:sz w:val="28"/>
          <w:szCs w:val="28"/>
        </w:rPr>
        <w:t xml:space="preserve">пацієнтів дослідної групи </w:t>
      </w:r>
      <w:r w:rsidRPr="00F939A6">
        <w:rPr>
          <w:sz w:val="28"/>
          <w:szCs w:val="28"/>
        </w:rPr>
        <w:t>на підгрупи.</w:t>
      </w:r>
      <w:r>
        <w:rPr>
          <w:sz w:val="28"/>
          <w:szCs w:val="28"/>
        </w:rPr>
        <w:t xml:space="preserve"> Ефективність мобілізації у кожній підгрупі представлено у табл.12.</w:t>
      </w:r>
      <w:r w:rsidRPr="00262B01">
        <w:rPr>
          <w:i/>
          <w:sz w:val="28"/>
          <w:szCs w:val="28"/>
        </w:rPr>
        <w:t xml:space="preserve"> </w:t>
      </w:r>
    </w:p>
    <w:p w:rsidR="00D82C37" w:rsidRPr="00262B01" w:rsidRDefault="00D82C37" w:rsidP="00D82C37">
      <w:pPr>
        <w:jc w:val="right"/>
        <w:rPr>
          <w:i/>
          <w:sz w:val="28"/>
          <w:szCs w:val="28"/>
        </w:rPr>
      </w:pPr>
      <w:r w:rsidRPr="00262B01">
        <w:rPr>
          <w:i/>
          <w:sz w:val="28"/>
          <w:szCs w:val="28"/>
        </w:rPr>
        <w:t>Таблиця 12</w:t>
      </w:r>
    </w:p>
    <w:p w:rsidR="00D82C37" w:rsidRPr="00262B01" w:rsidRDefault="00D82C37" w:rsidP="00D82C37">
      <w:pPr>
        <w:jc w:val="center"/>
        <w:rPr>
          <w:b/>
          <w:sz w:val="28"/>
          <w:szCs w:val="28"/>
        </w:rPr>
      </w:pPr>
      <w:r w:rsidRPr="00262B01">
        <w:rPr>
          <w:b/>
          <w:sz w:val="28"/>
          <w:szCs w:val="28"/>
        </w:rPr>
        <w:t xml:space="preserve">Результати лейкоцитаферезу (кількість СД 34+клітин/кг маси) </w:t>
      </w:r>
    </w:p>
    <w:p w:rsidR="00D82C37" w:rsidRPr="00262B01" w:rsidRDefault="00D82C37" w:rsidP="00D82C37">
      <w:pPr>
        <w:jc w:val="center"/>
        <w:rPr>
          <w:b/>
          <w:sz w:val="28"/>
          <w:szCs w:val="28"/>
        </w:rPr>
      </w:pPr>
      <w:r w:rsidRPr="00262B01">
        <w:rPr>
          <w:b/>
          <w:sz w:val="28"/>
          <w:szCs w:val="28"/>
        </w:rPr>
        <w:t>залежно від кількості опрацьованої крові</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35"/>
        <w:gridCol w:w="878"/>
        <w:gridCol w:w="1688"/>
        <w:gridCol w:w="1116"/>
        <w:gridCol w:w="1500"/>
        <w:gridCol w:w="1086"/>
        <w:gridCol w:w="1312"/>
      </w:tblGrid>
      <w:tr w:rsidR="00D82C37" w:rsidRPr="00CD0B8B" w:rsidTr="00552736">
        <w:trPr>
          <w:trHeight w:val="255"/>
        </w:trPr>
        <w:tc>
          <w:tcPr>
            <w:tcW w:w="931" w:type="pct"/>
            <w:shd w:val="clear" w:color="auto" w:fill="auto"/>
            <w:noWrap/>
            <w:vAlign w:val="center"/>
          </w:tcPr>
          <w:p w:rsidR="00D82C37" w:rsidRPr="00CD0B8B" w:rsidRDefault="00D82C37" w:rsidP="00552736">
            <w:pPr>
              <w:jc w:val="center"/>
            </w:pPr>
            <w:r w:rsidRPr="00CD0B8B">
              <w:t>Кількість опрацьованої крові</w:t>
            </w:r>
          </w:p>
          <w:p w:rsidR="00D82C37" w:rsidRPr="00CD0B8B" w:rsidRDefault="00D82C37" w:rsidP="00552736">
            <w:pPr>
              <w:jc w:val="center"/>
            </w:pPr>
            <w:r w:rsidRPr="00CD0B8B">
              <w:t>(мл/кг маси)</w:t>
            </w:r>
          </w:p>
        </w:tc>
        <w:tc>
          <w:tcPr>
            <w:tcW w:w="471" w:type="pct"/>
            <w:shd w:val="clear" w:color="auto" w:fill="auto"/>
            <w:noWrap/>
            <w:vAlign w:val="center"/>
          </w:tcPr>
          <w:p w:rsidR="00D82C37" w:rsidRPr="00CD0B8B" w:rsidRDefault="00D82C37" w:rsidP="00552736">
            <w:pPr>
              <w:rPr>
                <w:szCs w:val="24"/>
              </w:rPr>
            </w:pPr>
            <w:r w:rsidRPr="00CD0B8B">
              <w:rPr>
                <w:szCs w:val="24"/>
              </w:rPr>
              <w:t>n = 315</w:t>
            </w:r>
          </w:p>
        </w:tc>
        <w:tc>
          <w:tcPr>
            <w:tcW w:w="906" w:type="pct"/>
            <w:shd w:val="clear" w:color="auto" w:fill="auto"/>
            <w:noWrap/>
            <w:vAlign w:val="center"/>
          </w:tcPr>
          <w:p w:rsidR="00D82C37" w:rsidRPr="00CD0B8B" w:rsidRDefault="00D82C37" w:rsidP="00552736">
            <w:pPr>
              <w:rPr>
                <w:szCs w:val="24"/>
              </w:rPr>
            </w:pPr>
            <w:r w:rsidRPr="00CD0B8B">
              <w:rPr>
                <w:szCs w:val="24"/>
              </w:rPr>
              <w:t>Середнє арифметичне</w:t>
            </w:r>
          </w:p>
        </w:tc>
        <w:tc>
          <w:tcPr>
            <w:tcW w:w="599" w:type="pct"/>
            <w:shd w:val="clear" w:color="auto" w:fill="auto"/>
            <w:noWrap/>
            <w:vAlign w:val="center"/>
          </w:tcPr>
          <w:p w:rsidR="00D82C37" w:rsidRPr="00CD0B8B" w:rsidRDefault="00D82C37" w:rsidP="00552736">
            <w:pPr>
              <w:rPr>
                <w:szCs w:val="24"/>
              </w:rPr>
            </w:pPr>
            <w:r w:rsidRPr="00CD0B8B">
              <w:rPr>
                <w:szCs w:val="24"/>
              </w:rPr>
              <w:t>Медіана</w:t>
            </w:r>
          </w:p>
        </w:tc>
        <w:tc>
          <w:tcPr>
            <w:tcW w:w="805" w:type="pct"/>
            <w:shd w:val="clear" w:color="auto" w:fill="auto"/>
            <w:noWrap/>
            <w:vAlign w:val="center"/>
          </w:tcPr>
          <w:p w:rsidR="00D82C37" w:rsidRPr="00CD0B8B" w:rsidRDefault="00D82C37" w:rsidP="00552736">
            <w:pPr>
              <w:rPr>
                <w:szCs w:val="24"/>
              </w:rPr>
            </w:pPr>
            <w:r w:rsidRPr="00CD0B8B">
              <w:rPr>
                <w:szCs w:val="24"/>
              </w:rPr>
              <w:t>Стандартне відхилення</w:t>
            </w:r>
          </w:p>
        </w:tc>
        <w:tc>
          <w:tcPr>
            <w:tcW w:w="583" w:type="pct"/>
            <w:shd w:val="clear" w:color="auto" w:fill="auto"/>
            <w:noWrap/>
            <w:vAlign w:val="center"/>
          </w:tcPr>
          <w:p w:rsidR="00D82C37" w:rsidRPr="00CD0B8B" w:rsidRDefault="00D82C37" w:rsidP="00552736">
            <w:pPr>
              <w:rPr>
                <w:szCs w:val="24"/>
              </w:rPr>
            </w:pPr>
            <w:r w:rsidRPr="00CD0B8B">
              <w:rPr>
                <w:szCs w:val="24"/>
              </w:rPr>
              <w:t>Мінімум</w:t>
            </w:r>
          </w:p>
        </w:tc>
        <w:tc>
          <w:tcPr>
            <w:tcW w:w="704" w:type="pct"/>
            <w:shd w:val="clear" w:color="auto" w:fill="auto"/>
            <w:noWrap/>
            <w:vAlign w:val="center"/>
          </w:tcPr>
          <w:p w:rsidR="00D82C37" w:rsidRPr="00CD0B8B" w:rsidRDefault="00D82C37" w:rsidP="00552736">
            <w:pPr>
              <w:rPr>
                <w:szCs w:val="24"/>
              </w:rPr>
            </w:pPr>
            <w:r w:rsidRPr="00CD0B8B">
              <w:rPr>
                <w:szCs w:val="24"/>
              </w:rPr>
              <w:t>Максимум</w:t>
            </w:r>
          </w:p>
        </w:tc>
      </w:tr>
      <w:tr w:rsidR="00D82C37" w:rsidRPr="00CD0B8B" w:rsidTr="00552736">
        <w:trPr>
          <w:trHeight w:val="255"/>
        </w:trPr>
        <w:tc>
          <w:tcPr>
            <w:tcW w:w="931" w:type="pct"/>
            <w:shd w:val="clear" w:color="auto" w:fill="auto"/>
            <w:noWrap/>
            <w:vAlign w:val="bottom"/>
          </w:tcPr>
          <w:p w:rsidR="00D82C37" w:rsidRPr="00CD0B8B" w:rsidRDefault="00D82C37" w:rsidP="00552736">
            <w:pPr>
              <w:rPr>
                <w:szCs w:val="24"/>
              </w:rPr>
            </w:pPr>
            <w:r w:rsidRPr="00CD0B8B">
              <w:rPr>
                <w:szCs w:val="24"/>
              </w:rPr>
              <w:t>Менше 150</w:t>
            </w:r>
          </w:p>
        </w:tc>
        <w:tc>
          <w:tcPr>
            <w:tcW w:w="471" w:type="pct"/>
            <w:shd w:val="clear" w:color="auto" w:fill="auto"/>
            <w:noWrap/>
            <w:vAlign w:val="bottom"/>
          </w:tcPr>
          <w:p w:rsidR="00D82C37" w:rsidRPr="00CD0B8B" w:rsidRDefault="00D82C37" w:rsidP="00552736">
            <w:pPr>
              <w:rPr>
                <w:szCs w:val="24"/>
              </w:rPr>
            </w:pPr>
            <w:r w:rsidRPr="00CD0B8B">
              <w:rPr>
                <w:szCs w:val="24"/>
              </w:rPr>
              <w:t>114</w:t>
            </w:r>
          </w:p>
        </w:tc>
        <w:tc>
          <w:tcPr>
            <w:tcW w:w="906" w:type="pct"/>
            <w:shd w:val="clear" w:color="auto" w:fill="auto"/>
            <w:noWrap/>
            <w:vAlign w:val="bottom"/>
          </w:tcPr>
          <w:p w:rsidR="00D82C37" w:rsidRPr="00CD0B8B" w:rsidRDefault="00D82C37" w:rsidP="00552736">
            <w:pPr>
              <w:rPr>
                <w:szCs w:val="24"/>
              </w:rPr>
            </w:pPr>
            <w:r w:rsidRPr="00CD0B8B">
              <w:rPr>
                <w:szCs w:val="24"/>
              </w:rPr>
              <w:t>3,00</w:t>
            </w:r>
          </w:p>
        </w:tc>
        <w:tc>
          <w:tcPr>
            <w:tcW w:w="599" w:type="pct"/>
            <w:shd w:val="clear" w:color="auto" w:fill="auto"/>
            <w:noWrap/>
            <w:vAlign w:val="bottom"/>
          </w:tcPr>
          <w:p w:rsidR="00D82C37" w:rsidRPr="00CD0B8B" w:rsidRDefault="00D82C37" w:rsidP="00552736">
            <w:pPr>
              <w:rPr>
                <w:szCs w:val="24"/>
              </w:rPr>
            </w:pPr>
            <w:r w:rsidRPr="00CD0B8B">
              <w:rPr>
                <w:szCs w:val="24"/>
              </w:rPr>
              <w:t>1,6</w:t>
            </w:r>
          </w:p>
        </w:tc>
        <w:tc>
          <w:tcPr>
            <w:tcW w:w="805" w:type="pct"/>
            <w:shd w:val="clear" w:color="auto" w:fill="auto"/>
            <w:noWrap/>
            <w:vAlign w:val="bottom"/>
          </w:tcPr>
          <w:p w:rsidR="00D82C37" w:rsidRPr="00CD0B8B" w:rsidRDefault="00D82C37" w:rsidP="00552736">
            <w:pPr>
              <w:rPr>
                <w:szCs w:val="24"/>
              </w:rPr>
            </w:pPr>
            <w:r w:rsidRPr="00CD0B8B">
              <w:rPr>
                <w:szCs w:val="24"/>
              </w:rPr>
              <w:t>4,24</w:t>
            </w:r>
          </w:p>
        </w:tc>
        <w:tc>
          <w:tcPr>
            <w:tcW w:w="583" w:type="pct"/>
            <w:shd w:val="clear" w:color="auto" w:fill="auto"/>
            <w:noWrap/>
            <w:vAlign w:val="bottom"/>
          </w:tcPr>
          <w:p w:rsidR="00D82C37" w:rsidRPr="00CD0B8B" w:rsidRDefault="00D82C37" w:rsidP="00552736">
            <w:pPr>
              <w:rPr>
                <w:szCs w:val="24"/>
              </w:rPr>
            </w:pPr>
            <w:r w:rsidRPr="00CD0B8B">
              <w:rPr>
                <w:szCs w:val="24"/>
              </w:rPr>
              <w:t>0,005</w:t>
            </w:r>
          </w:p>
        </w:tc>
        <w:tc>
          <w:tcPr>
            <w:tcW w:w="704" w:type="pct"/>
            <w:shd w:val="clear" w:color="auto" w:fill="auto"/>
            <w:noWrap/>
            <w:vAlign w:val="bottom"/>
          </w:tcPr>
          <w:p w:rsidR="00D82C37" w:rsidRPr="00CD0B8B" w:rsidRDefault="00D82C37" w:rsidP="00552736">
            <w:pPr>
              <w:rPr>
                <w:szCs w:val="24"/>
              </w:rPr>
            </w:pPr>
            <w:r w:rsidRPr="00CD0B8B">
              <w:rPr>
                <w:szCs w:val="24"/>
              </w:rPr>
              <w:t>24,8</w:t>
            </w:r>
          </w:p>
        </w:tc>
      </w:tr>
      <w:tr w:rsidR="00D82C37" w:rsidRPr="00CD0B8B" w:rsidTr="00552736">
        <w:trPr>
          <w:trHeight w:val="255"/>
        </w:trPr>
        <w:tc>
          <w:tcPr>
            <w:tcW w:w="931" w:type="pct"/>
            <w:shd w:val="clear" w:color="auto" w:fill="auto"/>
            <w:noWrap/>
            <w:vAlign w:val="bottom"/>
          </w:tcPr>
          <w:p w:rsidR="00D82C37" w:rsidRPr="00CD0B8B" w:rsidRDefault="00D82C37" w:rsidP="00552736">
            <w:pPr>
              <w:rPr>
                <w:szCs w:val="24"/>
              </w:rPr>
            </w:pPr>
            <w:r w:rsidRPr="00CD0B8B">
              <w:rPr>
                <w:szCs w:val="24"/>
              </w:rPr>
              <w:t>150–250</w:t>
            </w:r>
          </w:p>
        </w:tc>
        <w:tc>
          <w:tcPr>
            <w:tcW w:w="471" w:type="pct"/>
            <w:shd w:val="clear" w:color="auto" w:fill="auto"/>
            <w:noWrap/>
            <w:vAlign w:val="bottom"/>
          </w:tcPr>
          <w:p w:rsidR="00D82C37" w:rsidRPr="00CD0B8B" w:rsidRDefault="00D82C37" w:rsidP="00552736">
            <w:pPr>
              <w:rPr>
                <w:szCs w:val="24"/>
              </w:rPr>
            </w:pPr>
            <w:r w:rsidRPr="00CD0B8B">
              <w:rPr>
                <w:szCs w:val="24"/>
              </w:rPr>
              <w:t>159</w:t>
            </w:r>
          </w:p>
        </w:tc>
        <w:tc>
          <w:tcPr>
            <w:tcW w:w="906" w:type="pct"/>
            <w:shd w:val="clear" w:color="auto" w:fill="auto"/>
            <w:noWrap/>
            <w:vAlign w:val="bottom"/>
          </w:tcPr>
          <w:p w:rsidR="00D82C37" w:rsidRPr="00CD0B8B" w:rsidRDefault="00D82C37" w:rsidP="00552736">
            <w:pPr>
              <w:rPr>
                <w:szCs w:val="24"/>
              </w:rPr>
            </w:pPr>
            <w:r w:rsidRPr="00CD0B8B">
              <w:rPr>
                <w:szCs w:val="24"/>
              </w:rPr>
              <w:t>3,66</w:t>
            </w:r>
          </w:p>
        </w:tc>
        <w:tc>
          <w:tcPr>
            <w:tcW w:w="599" w:type="pct"/>
            <w:shd w:val="clear" w:color="auto" w:fill="auto"/>
            <w:noWrap/>
            <w:vAlign w:val="bottom"/>
          </w:tcPr>
          <w:p w:rsidR="00D82C37" w:rsidRPr="00CD0B8B" w:rsidRDefault="00D82C37" w:rsidP="00552736">
            <w:pPr>
              <w:rPr>
                <w:szCs w:val="24"/>
              </w:rPr>
            </w:pPr>
            <w:r w:rsidRPr="00CD0B8B">
              <w:rPr>
                <w:szCs w:val="24"/>
              </w:rPr>
              <w:t>1,96</w:t>
            </w:r>
          </w:p>
        </w:tc>
        <w:tc>
          <w:tcPr>
            <w:tcW w:w="805" w:type="pct"/>
            <w:shd w:val="clear" w:color="auto" w:fill="auto"/>
            <w:noWrap/>
            <w:vAlign w:val="bottom"/>
          </w:tcPr>
          <w:p w:rsidR="00D82C37" w:rsidRPr="00CD0B8B" w:rsidRDefault="00D82C37" w:rsidP="00552736">
            <w:pPr>
              <w:rPr>
                <w:szCs w:val="24"/>
              </w:rPr>
            </w:pPr>
            <w:r w:rsidRPr="00CD0B8B">
              <w:rPr>
                <w:szCs w:val="24"/>
              </w:rPr>
              <w:t>5,12</w:t>
            </w:r>
          </w:p>
        </w:tc>
        <w:tc>
          <w:tcPr>
            <w:tcW w:w="583" w:type="pct"/>
            <w:shd w:val="clear" w:color="auto" w:fill="auto"/>
            <w:noWrap/>
            <w:vAlign w:val="bottom"/>
          </w:tcPr>
          <w:p w:rsidR="00D82C37" w:rsidRPr="00CD0B8B" w:rsidRDefault="00D82C37" w:rsidP="00552736">
            <w:pPr>
              <w:rPr>
                <w:szCs w:val="24"/>
              </w:rPr>
            </w:pPr>
            <w:r w:rsidRPr="00CD0B8B">
              <w:rPr>
                <w:szCs w:val="24"/>
              </w:rPr>
              <w:t>0,04</w:t>
            </w:r>
          </w:p>
        </w:tc>
        <w:tc>
          <w:tcPr>
            <w:tcW w:w="704" w:type="pct"/>
            <w:shd w:val="clear" w:color="auto" w:fill="auto"/>
            <w:noWrap/>
            <w:vAlign w:val="bottom"/>
          </w:tcPr>
          <w:p w:rsidR="00D82C37" w:rsidRPr="00CD0B8B" w:rsidRDefault="00D82C37" w:rsidP="00552736">
            <w:pPr>
              <w:rPr>
                <w:szCs w:val="24"/>
              </w:rPr>
            </w:pPr>
            <w:r w:rsidRPr="00CD0B8B">
              <w:rPr>
                <w:szCs w:val="24"/>
              </w:rPr>
              <w:t>33,7</w:t>
            </w:r>
          </w:p>
        </w:tc>
      </w:tr>
      <w:tr w:rsidR="00D82C37" w:rsidRPr="00CD0B8B" w:rsidTr="00552736">
        <w:trPr>
          <w:trHeight w:val="255"/>
        </w:trPr>
        <w:tc>
          <w:tcPr>
            <w:tcW w:w="931" w:type="pct"/>
            <w:shd w:val="clear" w:color="auto" w:fill="auto"/>
            <w:noWrap/>
            <w:vAlign w:val="bottom"/>
          </w:tcPr>
          <w:p w:rsidR="00D82C37" w:rsidRPr="00CD0B8B" w:rsidRDefault="00D82C37" w:rsidP="00552736">
            <w:pPr>
              <w:rPr>
                <w:szCs w:val="24"/>
              </w:rPr>
            </w:pPr>
            <w:r w:rsidRPr="00CD0B8B">
              <w:rPr>
                <w:szCs w:val="24"/>
              </w:rPr>
              <w:t>Більше 250</w:t>
            </w:r>
          </w:p>
        </w:tc>
        <w:tc>
          <w:tcPr>
            <w:tcW w:w="471" w:type="pct"/>
            <w:shd w:val="clear" w:color="auto" w:fill="auto"/>
            <w:noWrap/>
            <w:vAlign w:val="bottom"/>
          </w:tcPr>
          <w:p w:rsidR="00D82C37" w:rsidRPr="00CD0B8B" w:rsidRDefault="00D82C37" w:rsidP="00552736">
            <w:pPr>
              <w:rPr>
                <w:szCs w:val="24"/>
              </w:rPr>
            </w:pPr>
            <w:r w:rsidRPr="00CD0B8B">
              <w:rPr>
                <w:szCs w:val="24"/>
              </w:rPr>
              <w:t>42</w:t>
            </w:r>
          </w:p>
        </w:tc>
        <w:tc>
          <w:tcPr>
            <w:tcW w:w="906" w:type="pct"/>
            <w:shd w:val="clear" w:color="auto" w:fill="auto"/>
            <w:noWrap/>
            <w:vAlign w:val="bottom"/>
          </w:tcPr>
          <w:p w:rsidR="00D82C37" w:rsidRPr="00CD0B8B" w:rsidRDefault="00D82C37" w:rsidP="00552736">
            <w:pPr>
              <w:rPr>
                <w:szCs w:val="24"/>
              </w:rPr>
            </w:pPr>
            <w:r w:rsidRPr="00CD0B8B">
              <w:rPr>
                <w:szCs w:val="24"/>
              </w:rPr>
              <w:t>5,16</w:t>
            </w:r>
          </w:p>
        </w:tc>
        <w:tc>
          <w:tcPr>
            <w:tcW w:w="599" w:type="pct"/>
            <w:shd w:val="clear" w:color="auto" w:fill="auto"/>
            <w:noWrap/>
            <w:vAlign w:val="bottom"/>
          </w:tcPr>
          <w:p w:rsidR="00D82C37" w:rsidRPr="00CD0B8B" w:rsidRDefault="00D82C37" w:rsidP="00552736">
            <w:pPr>
              <w:rPr>
                <w:szCs w:val="24"/>
              </w:rPr>
            </w:pPr>
            <w:r w:rsidRPr="00CD0B8B">
              <w:rPr>
                <w:szCs w:val="24"/>
              </w:rPr>
              <w:t>2,9</w:t>
            </w:r>
          </w:p>
        </w:tc>
        <w:tc>
          <w:tcPr>
            <w:tcW w:w="805" w:type="pct"/>
            <w:shd w:val="clear" w:color="auto" w:fill="auto"/>
            <w:noWrap/>
            <w:vAlign w:val="bottom"/>
          </w:tcPr>
          <w:p w:rsidR="00D82C37" w:rsidRPr="00CD0B8B" w:rsidRDefault="00D82C37" w:rsidP="00552736">
            <w:pPr>
              <w:rPr>
                <w:szCs w:val="24"/>
              </w:rPr>
            </w:pPr>
            <w:r w:rsidRPr="00CD0B8B">
              <w:rPr>
                <w:szCs w:val="24"/>
              </w:rPr>
              <w:t>5,82</w:t>
            </w:r>
          </w:p>
        </w:tc>
        <w:tc>
          <w:tcPr>
            <w:tcW w:w="583" w:type="pct"/>
            <w:shd w:val="clear" w:color="auto" w:fill="auto"/>
            <w:noWrap/>
            <w:vAlign w:val="bottom"/>
          </w:tcPr>
          <w:p w:rsidR="00D82C37" w:rsidRPr="00CD0B8B" w:rsidRDefault="00D82C37" w:rsidP="00552736">
            <w:pPr>
              <w:rPr>
                <w:szCs w:val="24"/>
              </w:rPr>
            </w:pPr>
            <w:r w:rsidRPr="00CD0B8B">
              <w:rPr>
                <w:szCs w:val="24"/>
              </w:rPr>
              <w:t>0,2</w:t>
            </w:r>
          </w:p>
        </w:tc>
        <w:tc>
          <w:tcPr>
            <w:tcW w:w="704" w:type="pct"/>
            <w:shd w:val="clear" w:color="auto" w:fill="auto"/>
            <w:noWrap/>
            <w:vAlign w:val="bottom"/>
          </w:tcPr>
          <w:p w:rsidR="00D82C37" w:rsidRPr="00CD0B8B" w:rsidRDefault="00D82C37" w:rsidP="00552736">
            <w:pPr>
              <w:rPr>
                <w:szCs w:val="24"/>
              </w:rPr>
            </w:pPr>
            <w:r w:rsidRPr="00CD0B8B">
              <w:rPr>
                <w:szCs w:val="24"/>
              </w:rPr>
              <w:t>24,7</w:t>
            </w:r>
          </w:p>
        </w:tc>
      </w:tr>
    </w:tbl>
    <w:p w:rsidR="00D82C37" w:rsidRPr="00262B01" w:rsidRDefault="00D82C37" w:rsidP="00D82C37">
      <w:pPr>
        <w:ind w:firstLine="708"/>
        <w:jc w:val="both"/>
        <w:rPr>
          <w:sz w:val="28"/>
          <w:szCs w:val="28"/>
        </w:rPr>
      </w:pPr>
      <w:r w:rsidRPr="00262B01">
        <w:rPr>
          <w:sz w:val="28"/>
          <w:szCs w:val="28"/>
        </w:rPr>
        <w:t xml:space="preserve"> Оцінюючи результати множинних порівнянь, зроблено висновок, що існують істотні відмінності між підгрупами з кількістю опрацьованої крові „менше 150 мл” і „більше 250 мл” (р = 0,012). Тобто, ефективність процедури лейкоцитаферезу, при якій обробляється більш ніж 250 мл крові на </w:t>
      </w:r>
      <w:smartTag w:uri="urn:schemas-microsoft-com:office:smarttags" w:element="metricconverter">
        <w:smartTagPr>
          <w:attr w:name="ProductID" w:val="1 кг"/>
        </w:smartTagPr>
        <w:r w:rsidRPr="00262B01">
          <w:rPr>
            <w:sz w:val="28"/>
            <w:szCs w:val="28"/>
          </w:rPr>
          <w:t>1 кг</w:t>
        </w:r>
      </w:smartTag>
      <w:r w:rsidRPr="00262B01">
        <w:rPr>
          <w:sz w:val="28"/>
          <w:szCs w:val="28"/>
        </w:rPr>
        <w:t xml:space="preserve"> маси пацієнта, буде достовірно вища, ніж при обробці у того самого пацієнта крові менш ніж 150 мл/кг його ваги.</w:t>
      </w:r>
    </w:p>
    <w:p w:rsidR="00D82C37" w:rsidRPr="00262B01" w:rsidRDefault="00D82C37" w:rsidP="00D82C37">
      <w:pPr>
        <w:ind w:firstLine="720"/>
        <w:jc w:val="both"/>
        <w:rPr>
          <w:sz w:val="28"/>
          <w:szCs w:val="28"/>
        </w:rPr>
      </w:pPr>
      <w:r w:rsidRPr="00262B01">
        <w:rPr>
          <w:b/>
          <w:sz w:val="28"/>
          <w:szCs w:val="28"/>
        </w:rPr>
        <w:t xml:space="preserve">Результати застосування інтенсивної немієлоаблятивної хіміотерапії з підтримкою стовбуровими клітинами периферичної крові </w:t>
      </w:r>
      <w:r w:rsidRPr="00262B01">
        <w:rPr>
          <w:sz w:val="28"/>
          <w:szCs w:val="28"/>
        </w:rPr>
        <w:t xml:space="preserve">оцінювали на основі аналізу проведення 34 курсів інтенсивної немієлоаблятивної хіміотерапії з підтримкою СКПК у 26 пацієнтів та 8 блоків ПХТ без підтримки кровотворення СКПК і 7 таких самих блоків ПХТ з підтримкою у 6 хворих, які отримували один і той самий режим ПХТ як з підтримкою СКПК, так і без використання даного методу. </w:t>
      </w:r>
    </w:p>
    <w:p w:rsidR="00D82C37" w:rsidRPr="00262B01" w:rsidRDefault="00D82C37" w:rsidP="00D82C37">
      <w:pPr>
        <w:ind w:firstLine="720"/>
        <w:jc w:val="both"/>
        <w:rPr>
          <w:b/>
          <w:sz w:val="28"/>
          <w:szCs w:val="28"/>
        </w:rPr>
      </w:pPr>
      <w:r w:rsidRPr="00262B01">
        <w:rPr>
          <w:sz w:val="28"/>
          <w:szCs w:val="28"/>
        </w:rPr>
        <w:lastRenderedPageBreak/>
        <w:t>Підтверджено, що застосування підтримки гемопоезу СКПК дає можливість проводити інтенсивну ХТ у дітей безпечно та в рекомендовані терміни. Результати дослідження свідчать, що підтримка гемопоезу СКПК забезпечує значне (майже вдвічі) скорочення періоду нейтропенії, а також зменшення кількості епізодів фебрильної нейтропенії. Зменшення кількості трансфузій тромбоконцентрату, а також скорочення періоду нейтропенії і, відповідно, строків призначення високовартісних антибіотиків під час проведення ПХТ з підтримкою гемопоезу СКПК свідчить і про економічну доцільність застосування даного методу. Лише орієнтовний підрахунок вартості антибактеріальної терапії та застосування КСФ показує, що скорочення періоду нейтропенії у дитини на один день, дає можливість скоротити витрати на лікування від 1200 до 2150 гривень.</w:t>
      </w:r>
    </w:p>
    <w:p w:rsidR="00D82C37" w:rsidRPr="00262B01" w:rsidRDefault="00D82C37" w:rsidP="00D82C37">
      <w:pPr>
        <w:ind w:firstLine="720"/>
        <w:jc w:val="both"/>
        <w:rPr>
          <w:sz w:val="28"/>
          <w:szCs w:val="28"/>
        </w:rPr>
      </w:pPr>
      <w:r w:rsidRPr="00262B01">
        <w:rPr>
          <w:b/>
          <w:sz w:val="28"/>
          <w:szCs w:val="28"/>
        </w:rPr>
        <w:t xml:space="preserve">Результати застосування високодозової хіміотерапії з трансплантацією стовбурових клітин периферичної крові </w:t>
      </w:r>
      <w:r w:rsidRPr="00D63097">
        <w:rPr>
          <w:sz w:val="28"/>
          <w:szCs w:val="28"/>
        </w:rPr>
        <w:t>(</w:t>
      </w:r>
      <w:r>
        <w:rPr>
          <w:sz w:val="28"/>
          <w:szCs w:val="28"/>
        </w:rPr>
        <w:t xml:space="preserve">див. </w:t>
      </w:r>
      <w:r w:rsidRPr="00D63097">
        <w:rPr>
          <w:sz w:val="28"/>
          <w:szCs w:val="28"/>
        </w:rPr>
        <w:t>табл.13)</w:t>
      </w:r>
      <w:r>
        <w:rPr>
          <w:b/>
          <w:sz w:val="28"/>
          <w:szCs w:val="28"/>
        </w:rPr>
        <w:t xml:space="preserve"> </w:t>
      </w:r>
      <w:r w:rsidRPr="00262B01">
        <w:rPr>
          <w:sz w:val="28"/>
          <w:szCs w:val="28"/>
        </w:rPr>
        <w:t>оцінювали на основі аналізу застосування 69 курсів високодозової хіміотерапії з трансплантацією СКПК, проведених у 67 пацієнтів.</w:t>
      </w:r>
    </w:p>
    <w:p w:rsidR="00D82C37" w:rsidRPr="00262B01" w:rsidRDefault="00D82C37" w:rsidP="00D82C37">
      <w:pPr>
        <w:jc w:val="right"/>
        <w:rPr>
          <w:i/>
          <w:sz w:val="28"/>
          <w:szCs w:val="28"/>
        </w:rPr>
      </w:pPr>
      <w:r w:rsidRPr="00262B01">
        <w:rPr>
          <w:i/>
          <w:sz w:val="28"/>
          <w:szCs w:val="28"/>
        </w:rPr>
        <w:t>Таблиця 13</w:t>
      </w:r>
    </w:p>
    <w:p w:rsidR="00D82C37" w:rsidRPr="00262B01" w:rsidRDefault="00D82C37" w:rsidP="00D82C37">
      <w:pPr>
        <w:jc w:val="center"/>
        <w:rPr>
          <w:b/>
          <w:sz w:val="28"/>
          <w:szCs w:val="28"/>
        </w:rPr>
      </w:pPr>
      <w:r w:rsidRPr="00262B01">
        <w:rPr>
          <w:b/>
          <w:sz w:val="28"/>
          <w:szCs w:val="28"/>
        </w:rPr>
        <w:t xml:space="preserve">Прояви гематологічної токсичності високодозової хіміотерапії </w:t>
      </w:r>
    </w:p>
    <w:p w:rsidR="00D82C37" w:rsidRPr="00262B01" w:rsidRDefault="00D82C37" w:rsidP="00D82C37">
      <w:pPr>
        <w:jc w:val="center"/>
        <w:rPr>
          <w:b/>
          <w:sz w:val="28"/>
          <w:szCs w:val="28"/>
        </w:rPr>
      </w:pPr>
      <w:r w:rsidRPr="00262B01">
        <w:rPr>
          <w:b/>
          <w:sz w:val="28"/>
          <w:szCs w:val="28"/>
        </w:rPr>
        <w:t>залежно від кількості введених СКПК</w:t>
      </w:r>
    </w:p>
    <w:tbl>
      <w:tblPr>
        <w:tblW w:w="4974" w:type="pct"/>
        <w:tblLayout w:type="fixed"/>
        <w:tblCellMar>
          <w:left w:w="28" w:type="dxa"/>
          <w:right w:w="28" w:type="dxa"/>
        </w:tblCellMar>
        <w:tblLook w:val="0000" w:firstRow="0" w:lastRow="0" w:firstColumn="0" w:lastColumn="0" w:noHBand="0" w:noVBand="0"/>
      </w:tblPr>
      <w:tblGrid>
        <w:gridCol w:w="2279"/>
        <w:gridCol w:w="1255"/>
        <w:gridCol w:w="1642"/>
        <w:gridCol w:w="894"/>
        <w:gridCol w:w="1294"/>
        <w:gridCol w:w="818"/>
        <w:gridCol w:w="1114"/>
      </w:tblGrid>
      <w:tr w:rsidR="00D82C37" w:rsidRPr="00CD0B8B" w:rsidTr="00552736">
        <w:trPr>
          <w:trHeight w:val="255"/>
        </w:trPr>
        <w:tc>
          <w:tcPr>
            <w:tcW w:w="12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 xml:space="preserve">Прояви гематологічної токсичності </w:t>
            </w:r>
          </w:p>
        </w:tc>
        <w:tc>
          <w:tcPr>
            <w:tcW w:w="675"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Кількість введених СКПК</w:t>
            </w:r>
          </w:p>
        </w:tc>
        <w:tc>
          <w:tcPr>
            <w:tcW w:w="883"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Середнє арифметичне</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Меді</w:t>
            </w:r>
            <w:r w:rsidRPr="00CD0B8B">
              <w:rPr>
                <w:szCs w:val="24"/>
              </w:rPr>
              <w:softHyphen/>
              <w:t>ана</w:t>
            </w:r>
          </w:p>
        </w:tc>
        <w:tc>
          <w:tcPr>
            <w:tcW w:w="696"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Стандартне від</w:t>
            </w:r>
            <w:r w:rsidRPr="00CD0B8B">
              <w:rPr>
                <w:szCs w:val="24"/>
              </w:rPr>
              <w:softHyphen/>
              <w:t>хилення</w:t>
            </w:r>
          </w:p>
        </w:tc>
        <w:tc>
          <w:tcPr>
            <w:tcW w:w="440"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Міні</w:t>
            </w:r>
            <w:r w:rsidRPr="00CD0B8B">
              <w:rPr>
                <w:szCs w:val="24"/>
              </w:rPr>
              <w:softHyphen/>
              <w:t>мум</w:t>
            </w:r>
          </w:p>
        </w:tc>
        <w:tc>
          <w:tcPr>
            <w:tcW w:w="599"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Макси</w:t>
            </w:r>
            <w:r w:rsidRPr="00CD0B8B">
              <w:rPr>
                <w:szCs w:val="24"/>
              </w:rPr>
              <w:softHyphen/>
              <w:t>мум</w:t>
            </w:r>
          </w:p>
        </w:tc>
      </w:tr>
      <w:tr w:rsidR="00D82C37" w:rsidRPr="00CD0B8B" w:rsidTr="00552736">
        <w:trPr>
          <w:trHeight w:val="255"/>
        </w:trPr>
        <w:tc>
          <w:tcPr>
            <w:tcW w:w="1226" w:type="pct"/>
            <w:vMerge w:val="restart"/>
            <w:tcBorders>
              <w:top w:val="nil"/>
              <w:left w:val="single" w:sz="4" w:space="0" w:color="auto"/>
              <w:right w:val="single" w:sz="4" w:space="0" w:color="auto"/>
            </w:tcBorders>
            <w:shd w:val="clear" w:color="auto" w:fill="auto"/>
            <w:noWrap/>
            <w:vAlign w:val="center"/>
          </w:tcPr>
          <w:p w:rsidR="00D82C37" w:rsidRPr="00CD0B8B" w:rsidRDefault="00D82C37" w:rsidP="00552736">
            <w:pPr>
              <w:rPr>
                <w:szCs w:val="24"/>
              </w:rPr>
            </w:pPr>
            <w:r w:rsidRPr="00CD0B8B">
              <w:rPr>
                <w:szCs w:val="24"/>
              </w:rPr>
              <w:t>Тривалість нейтр</w:t>
            </w:r>
            <w:r w:rsidRPr="00CD0B8B">
              <w:rPr>
                <w:szCs w:val="24"/>
              </w:rPr>
              <w:t>о</w:t>
            </w:r>
            <w:r w:rsidRPr="00CD0B8B">
              <w:rPr>
                <w:szCs w:val="24"/>
              </w:rPr>
              <w:t xml:space="preserve">пенії, </w:t>
            </w:r>
          </w:p>
          <w:p w:rsidR="00D82C37" w:rsidRPr="00CD0B8B" w:rsidRDefault="00D82C37" w:rsidP="00552736">
            <w:pPr>
              <w:rPr>
                <w:szCs w:val="24"/>
              </w:rPr>
            </w:pPr>
            <w:r w:rsidRPr="00CD0B8B">
              <w:rPr>
                <w:szCs w:val="24"/>
              </w:rPr>
              <w:t>дні</w:t>
            </w: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Менше 2,0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15,20</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12</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8,29</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11</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30</w:t>
            </w:r>
          </w:p>
        </w:tc>
      </w:tr>
      <w:tr w:rsidR="00D82C37" w:rsidRPr="00CD0B8B" w:rsidTr="00552736">
        <w:trPr>
          <w:trHeight w:val="255"/>
        </w:trPr>
        <w:tc>
          <w:tcPr>
            <w:tcW w:w="1226" w:type="pct"/>
            <w:vMerge/>
            <w:tcBorders>
              <w:left w:val="single" w:sz="4" w:space="0" w:color="auto"/>
              <w:right w:val="single" w:sz="4" w:space="0" w:color="auto"/>
            </w:tcBorders>
            <w:shd w:val="clear" w:color="auto" w:fill="auto"/>
            <w:noWrap/>
            <w:vAlign w:val="center"/>
          </w:tcPr>
          <w:p w:rsidR="00D82C37" w:rsidRPr="00CD0B8B" w:rsidRDefault="00D82C37" w:rsidP="00552736">
            <w:pPr>
              <w:rPr>
                <w:szCs w:val="24"/>
              </w:rPr>
            </w:pP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2,0–5,0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12,20</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11</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5,62</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5</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32</w:t>
            </w:r>
          </w:p>
        </w:tc>
      </w:tr>
      <w:tr w:rsidR="00D82C37" w:rsidRPr="00CD0B8B" w:rsidTr="00552736">
        <w:trPr>
          <w:trHeight w:val="255"/>
        </w:trPr>
        <w:tc>
          <w:tcPr>
            <w:tcW w:w="1226" w:type="pct"/>
            <w:vMerge/>
            <w:tcBorders>
              <w:left w:val="single" w:sz="4" w:space="0" w:color="auto"/>
              <w:bottom w:val="single" w:sz="4" w:space="0" w:color="auto"/>
              <w:right w:val="single" w:sz="4" w:space="0" w:color="auto"/>
            </w:tcBorders>
            <w:shd w:val="clear" w:color="auto" w:fill="auto"/>
            <w:noWrap/>
            <w:vAlign w:val="center"/>
          </w:tcPr>
          <w:p w:rsidR="00D82C37" w:rsidRPr="00CD0B8B" w:rsidRDefault="00D82C37" w:rsidP="00552736">
            <w:pPr>
              <w:rPr>
                <w:szCs w:val="24"/>
              </w:rPr>
            </w:pP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Більше 5,0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9,77</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10</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2,66</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0</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16</w:t>
            </w:r>
          </w:p>
        </w:tc>
      </w:tr>
      <w:tr w:rsidR="00D82C37" w:rsidRPr="00CD0B8B" w:rsidTr="00552736">
        <w:trPr>
          <w:trHeight w:val="255"/>
        </w:trPr>
        <w:tc>
          <w:tcPr>
            <w:tcW w:w="1226" w:type="pct"/>
            <w:vMerge w:val="restart"/>
            <w:tcBorders>
              <w:top w:val="nil"/>
              <w:left w:val="single" w:sz="4" w:space="0" w:color="auto"/>
              <w:right w:val="single" w:sz="4" w:space="0" w:color="auto"/>
            </w:tcBorders>
            <w:shd w:val="clear" w:color="auto" w:fill="auto"/>
            <w:noWrap/>
            <w:vAlign w:val="center"/>
          </w:tcPr>
          <w:p w:rsidR="00D82C37" w:rsidRPr="00CD0B8B" w:rsidRDefault="00D82C37" w:rsidP="00552736">
            <w:pPr>
              <w:rPr>
                <w:szCs w:val="24"/>
              </w:rPr>
            </w:pPr>
            <w:r w:rsidRPr="00CD0B8B">
              <w:rPr>
                <w:szCs w:val="24"/>
              </w:rPr>
              <w:t>Тривалість тро</w:t>
            </w:r>
            <w:r w:rsidRPr="00CD0B8B">
              <w:rPr>
                <w:szCs w:val="24"/>
              </w:rPr>
              <w:t>м</w:t>
            </w:r>
            <w:r w:rsidRPr="00CD0B8B">
              <w:rPr>
                <w:szCs w:val="24"/>
              </w:rPr>
              <w:t xml:space="preserve">боцитопенії, </w:t>
            </w:r>
          </w:p>
          <w:p w:rsidR="00D82C37" w:rsidRPr="00CD0B8B" w:rsidRDefault="00D82C37" w:rsidP="00552736">
            <w:pPr>
              <w:rPr>
                <w:szCs w:val="24"/>
              </w:rPr>
            </w:pPr>
            <w:r w:rsidRPr="00CD0B8B">
              <w:rPr>
                <w:szCs w:val="24"/>
              </w:rPr>
              <w:t>дні</w:t>
            </w: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Менше 2,0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27,80</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23</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15,87</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11</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51</w:t>
            </w:r>
          </w:p>
        </w:tc>
      </w:tr>
      <w:tr w:rsidR="00D82C37" w:rsidRPr="00CD0B8B" w:rsidTr="00552736">
        <w:trPr>
          <w:trHeight w:val="255"/>
        </w:trPr>
        <w:tc>
          <w:tcPr>
            <w:tcW w:w="1226" w:type="pct"/>
            <w:vMerge/>
            <w:tcBorders>
              <w:left w:val="single" w:sz="4" w:space="0" w:color="auto"/>
              <w:right w:val="single" w:sz="4" w:space="0" w:color="auto"/>
            </w:tcBorders>
            <w:shd w:val="clear" w:color="auto" w:fill="auto"/>
            <w:noWrap/>
            <w:vAlign w:val="center"/>
          </w:tcPr>
          <w:p w:rsidR="00D82C37" w:rsidRPr="00CD0B8B" w:rsidRDefault="00D82C37" w:rsidP="00552736">
            <w:pPr>
              <w:rPr>
                <w:szCs w:val="24"/>
              </w:rPr>
            </w:pP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2,0–5,0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24,48</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15</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34,76</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0</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180</w:t>
            </w:r>
          </w:p>
        </w:tc>
      </w:tr>
      <w:tr w:rsidR="00D82C37" w:rsidRPr="00CD0B8B" w:rsidTr="00552736">
        <w:trPr>
          <w:trHeight w:val="255"/>
        </w:trPr>
        <w:tc>
          <w:tcPr>
            <w:tcW w:w="1226" w:type="pct"/>
            <w:vMerge/>
            <w:tcBorders>
              <w:left w:val="single" w:sz="4" w:space="0" w:color="auto"/>
              <w:bottom w:val="single" w:sz="4" w:space="0" w:color="auto"/>
              <w:right w:val="single" w:sz="4" w:space="0" w:color="auto"/>
            </w:tcBorders>
            <w:shd w:val="clear" w:color="auto" w:fill="auto"/>
            <w:noWrap/>
            <w:vAlign w:val="center"/>
          </w:tcPr>
          <w:p w:rsidR="00D82C37" w:rsidRPr="00CD0B8B" w:rsidRDefault="00D82C37" w:rsidP="00552736">
            <w:pPr>
              <w:rPr>
                <w:szCs w:val="24"/>
              </w:rPr>
            </w:pP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Більше 5,0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14,57</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12</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14,15</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0</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64</w:t>
            </w:r>
          </w:p>
        </w:tc>
      </w:tr>
      <w:tr w:rsidR="00D82C37" w:rsidRPr="00CD0B8B" w:rsidTr="00552736">
        <w:trPr>
          <w:trHeight w:val="255"/>
        </w:trPr>
        <w:tc>
          <w:tcPr>
            <w:tcW w:w="1226" w:type="pct"/>
            <w:vMerge w:val="restart"/>
            <w:tcBorders>
              <w:top w:val="nil"/>
              <w:left w:val="single" w:sz="4" w:space="0" w:color="auto"/>
              <w:right w:val="single" w:sz="4" w:space="0" w:color="auto"/>
            </w:tcBorders>
            <w:shd w:val="clear" w:color="auto" w:fill="auto"/>
            <w:noWrap/>
            <w:vAlign w:val="center"/>
          </w:tcPr>
          <w:p w:rsidR="00D82C37" w:rsidRPr="00CD0B8B" w:rsidRDefault="00D82C37" w:rsidP="00552736">
            <w:pPr>
              <w:rPr>
                <w:szCs w:val="24"/>
              </w:rPr>
            </w:pPr>
            <w:r w:rsidRPr="00CD0B8B">
              <w:rPr>
                <w:szCs w:val="24"/>
              </w:rPr>
              <w:t>Кількість перел</w:t>
            </w:r>
            <w:r w:rsidRPr="00CD0B8B">
              <w:rPr>
                <w:szCs w:val="24"/>
              </w:rPr>
              <w:t>и</w:t>
            </w:r>
            <w:r w:rsidRPr="00CD0B8B">
              <w:rPr>
                <w:szCs w:val="24"/>
              </w:rPr>
              <w:t>вань плазми</w:t>
            </w: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Менше 2,0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2,60</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2,19</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0</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6</w:t>
            </w:r>
          </w:p>
        </w:tc>
      </w:tr>
      <w:tr w:rsidR="00D82C37" w:rsidRPr="00CD0B8B" w:rsidTr="00552736">
        <w:trPr>
          <w:trHeight w:val="255"/>
        </w:trPr>
        <w:tc>
          <w:tcPr>
            <w:tcW w:w="1226" w:type="pct"/>
            <w:vMerge/>
            <w:tcBorders>
              <w:left w:val="single" w:sz="4" w:space="0" w:color="auto"/>
              <w:right w:val="single" w:sz="4" w:space="0" w:color="auto"/>
            </w:tcBorders>
            <w:shd w:val="clear" w:color="auto" w:fill="auto"/>
            <w:noWrap/>
            <w:vAlign w:val="bottom"/>
          </w:tcPr>
          <w:p w:rsidR="00D82C37" w:rsidRPr="00CD0B8B" w:rsidRDefault="00D82C37" w:rsidP="00552736">
            <w:pPr>
              <w:rPr>
                <w:szCs w:val="24"/>
              </w:rPr>
            </w:pP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2,0–5,0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1,36</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1,73</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0</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6</w:t>
            </w:r>
          </w:p>
        </w:tc>
      </w:tr>
      <w:tr w:rsidR="00D82C37" w:rsidRPr="00CD0B8B" w:rsidTr="00552736">
        <w:trPr>
          <w:trHeight w:val="255"/>
        </w:trPr>
        <w:tc>
          <w:tcPr>
            <w:tcW w:w="1226" w:type="pct"/>
            <w:vMerge/>
            <w:tcBorders>
              <w:left w:val="single" w:sz="4" w:space="0" w:color="auto"/>
              <w:bottom w:val="single" w:sz="4" w:space="0" w:color="auto"/>
              <w:right w:val="single" w:sz="4" w:space="0" w:color="auto"/>
            </w:tcBorders>
            <w:shd w:val="clear" w:color="auto" w:fill="auto"/>
            <w:noWrap/>
            <w:vAlign w:val="bottom"/>
          </w:tcPr>
          <w:p w:rsidR="00D82C37" w:rsidRPr="00CD0B8B" w:rsidRDefault="00D82C37" w:rsidP="00552736">
            <w:pPr>
              <w:rPr>
                <w:szCs w:val="24"/>
              </w:rPr>
            </w:pP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Більше 5,0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1,97</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2,37</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0</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9</w:t>
            </w:r>
          </w:p>
        </w:tc>
      </w:tr>
      <w:tr w:rsidR="00D82C37" w:rsidRPr="00CD0B8B" w:rsidTr="00552736">
        <w:trPr>
          <w:trHeight w:val="255"/>
        </w:trPr>
        <w:tc>
          <w:tcPr>
            <w:tcW w:w="1226" w:type="pct"/>
            <w:vMerge w:val="restart"/>
            <w:tcBorders>
              <w:top w:val="nil"/>
              <w:left w:val="single" w:sz="4" w:space="0" w:color="auto"/>
              <w:right w:val="single" w:sz="4" w:space="0" w:color="auto"/>
            </w:tcBorders>
            <w:shd w:val="clear" w:color="auto" w:fill="auto"/>
            <w:noWrap/>
            <w:vAlign w:val="center"/>
          </w:tcPr>
          <w:p w:rsidR="00D82C37" w:rsidRPr="00CD0B8B" w:rsidRDefault="00D82C37" w:rsidP="00552736">
            <w:pPr>
              <w:rPr>
                <w:szCs w:val="24"/>
              </w:rPr>
            </w:pPr>
            <w:r w:rsidRPr="00CD0B8B">
              <w:rPr>
                <w:szCs w:val="24"/>
              </w:rPr>
              <w:t>Кількість пере</w:t>
            </w:r>
            <w:r w:rsidRPr="00CD0B8B">
              <w:rPr>
                <w:szCs w:val="24"/>
              </w:rPr>
              <w:softHyphen/>
              <w:t>ли</w:t>
            </w:r>
            <w:r w:rsidRPr="00CD0B8B">
              <w:rPr>
                <w:szCs w:val="24"/>
              </w:rPr>
              <w:softHyphen/>
              <w:t>вань тромбоконцентрату</w:t>
            </w: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Менше 2,0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8,20</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10</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4,09</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11</w:t>
            </w:r>
          </w:p>
        </w:tc>
      </w:tr>
      <w:tr w:rsidR="00D82C37" w:rsidRPr="00CD0B8B" w:rsidTr="00552736">
        <w:trPr>
          <w:trHeight w:val="255"/>
        </w:trPr>
        <w:tc>
          <w:tcPr>
            <w:tcW w:w="1226" w:type="pct"/>
            <w:vMerge/>
            <w:tcBorders>
              <w:left w:val="single" w:sz="4" w:space="0" w:color="auto"/>
              <w:right w:val="single" w:sz="4" w:space="0" w:color="auto"/>
            </w:tcBorders>
            <w:shd w:val="clear" w:color="auto" w:fill="auto"/>
            <w:noWrap/>
            <w:vAlign w:val="bottom"/>
          </w:tcPr>
          <w:p w:rsidR="00D82C37" w:rsidRPr="00CD0B8B" w:rsidRDefault="00D82C37" w:rsidP="00552736">
            <w:pPr>
              <w:rPr>
                <w:szCs w:val="24"/>
              </w:rPr>
            </w:pP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2,0–5,0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4,24</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3</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3,65</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15</w:t>
            </w:r>
          </w:p>
        </w:tc>
      </w:tr>
      <w:tr w:rsidR="00D82C37" w:rsidRPr="00CD0B8B" w:rsidTr="00552736">
        <w:trPr>
          <w:trHeight w:val="255"/>
        </w:trPr>
        <w:tc>
          <w:tcPr>
            <w:tcW w:w="1226" w:type="pct"/>
            <w:vMerge/>
            <w:tcBorders>
              <w:left w:val="single" w:sz="4" w:space="0" w:color="auto"/>
              <w:bottom w:val="single" w:sz="4" w:space="0" w:color="auto"/>
              <w:right w:val="single" w:sz="4" w:space="0" w:color="auto"/>
            </w:tcBorders>
            <w:shd w:val="clear" w:color="auto" w:fill="auto"/>
            <w:noWrap/>
            <w:vAlign w:val="bottom"/>
          </w:tcPr>
          <w:p w:rsidR="00D82C37" w:rsidRPr="00CD0B8B" w:rsidRDefault="00D82C37" w:rsidP="00552736">
            <w:pPr>
              <w:rPr>
                <w:szCs w:val="24"/>
              </w:rPr>
            </w:pP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Більше 5,0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4,13</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3</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3,07</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0</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13</w:t>
            </w:r>
          </w:p>
        </w:tc>
      </w:tr>
      <w:tr w:rsidR="00D82C37" w:rsidRPr="00CD0B8B" w:rsidTr="00552736">
        <w:trPr>
          <w:trHeight w:val="255"/>
        </w:trPr>
        <w:tc>
          <w:tcPr>
            <w:tcW w:w="1226" w:type="pct"/>
            <w:vMerge w:val="restart"/>
            <w:tcBorders>
              <w:top w:val="nil"/>
              <w:left w:val="single" w:sz="4" w:space="0" w:color="auto"/>
              <w:right w:val="single" w:sz="4" w:space="0" w:color="auto"/>
            </w:tcBorders>
            <w:shd w:val="clear" w:color="auto" w:fill="auto"/>
            <w:noWrap/>
            <w:vAlign w:val="center"/>
          </w:tcPr>
          <w:p w:rsidR="00D82C37" w:rsidRPr="00CD0B8B" w:rsidRDefault="00D82C37" w:rsidP="00552736">
            <w:pPr>
              <w:rPr>
                <w:szCs w:val="24"/>
              </w:rPr>
            </w:pPr>
            <w:r w:rsidRPr="00CD0B8B">
              <w:rPr>
                <w:szCs w:val="24"/>
              </w:rPr>
              <w:lastRenderedPageBreak/>
              <w:t>Кількість перели</w:t>
            </w:r>
            <w:r w:rsidRPr="00CD0B8B">
              <w:rPr>
                <w:szCs w:val="24"/>
              </w:rPr>
              <w:softHyphen/>
              <w:t>вань еритроцитарної маси</w:t>
            </w: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Менше 2,0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4,60</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4</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2,97</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9</w:t>
            </w:r>
          </w:p>
        </w:tc>
      </w:tr>
      <w:tr w:rsidR="00D82C37" w:rsidRPr="00CD0B8B" w:rsidTr="00552736">
        <w:trPr>
          <w:trHeight w:val="255"/>
        </w:trPr>
        <w:tc>
          <w:tcPr>
            <w:tcW w:w="1226" w:type="pct"/>
            <w:vMerge/>
            <w:tcBorders>
              <w:left w:val="single" w:sz="4" w:space="0" w:color="auto"/>
              <w:right w:val="single" w:sz="4" w:space="0" w:color="auto"/>
            </w:tcBorders>
            <w:shd w:val="clear" w:color="auto" w:fill="auto"/>
            <w:noWrap/>
            <w:vAlign w:val="bottom"/>
          </w:tcPr>
          <w:p w:rsidR="00D82C37" w:rsidRPr="00CD0B8B" w:rsidRDefault="00D82C37" w:rsidP="00552736">
            <w:pPr>
              <w:rPr>
                <w:szCs w:val="24"/>
              </w:rPr>
            </w:pPr>
          </w:p>
        </w:tc>
        <w:tc>
          <w:tcPr>
            <w:tcW w:w="675"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2,0–5,0</w:t>
            </w:r>
          </w:p>
        </w:tc>
        <w:tc>
          <w:tcPr>
            <w:tcW w:w="883"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2,76</w:t>
            </w:r>
          </w:p>
        </w:tc>
        <w:tc>
          <w:tcPr>
            <w:tcW w:w="481"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w:t>
            </w:r>
          </w:p>
        </w:tc>
        <w:tc>
          <w:tcPr>
            <w:tcW w:w="696"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2,20</w:t>
            </w:r>
          </w:p>
        </w:tc>
        <w:tc>
          <w:tcPr>
            <w:tcW w:w="440"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0</w:t>
            </w:r>
          </w:p>
        </w:tc>
        <w:tc>
          <w:tcPr>
            <w:tcW w:w="599" w:type="pct"/>
            <w:tcBorders>
              <w:top w:val="nil"/>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9</w:t>
            </w:r>
          </w:p>
        </w:tc>
      </w:tr>
      <w:tr w:rsidR="00D82C37" w:rsidRPr="00CD0B8B" w:rsidTr="00552736">
        <w:trPr>
          <w:trHeight w:val="255"/>
        </w:trPr>
        <w:tc>
          <w:tcPr>
            <w:tcW w:w="1226" w:type="pct"/>
            <w:vMerge/>
            <w:tcBorders>
              <w:left w:val="single" w:sz="4" w:space="0" w:color="auto"/>
              <w:bottom w:val="single" w:sz="4" w:space="0" w:color="auto"/>
              <w:right w:val="single" w:sz="4" w:space="0" w:color="auto"/>
            </w:tcBorders>
            <w:shd w:val="clear" w:color="auto" w:fill="auto"/>
            <w:noWrap/>
            <w:vAlign w:val="bottom"/>
          </w:tcPr>
          <w:p w:rsidR="00D82C37" w:rsidRPr="00CD0B8B" w:rsidRDefault="00D82C37" w:rsidP="00552736">
            <w:pPr>
              <w:rPr>
                <w:szCs w:val="24"/>
              </w:rPr>
            </w:pPr>
          </w:p>
        </w:tc>
        <w:tc>
          <w:tcPr>
            <w:tcW w:w="675"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Більше 5,0</w:t>
            </w:r>
          </w:p>
        </w:tc>
        <w:tc>
          <w:tcPr>
            <w:tcW w:w="883"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2,60</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w:t>
            </w:r>
          </w:p>
        </w:tc>
        <w:tc>
          <w:tcPr>
            <w:tcW w:w="696"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2,09</w:t>
            </w:r>
          </w:p>
        </w:tc>
        <w:tc>
          <w:tcPr>
            <w:tcW w:w="440"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0</w:t>
            </w:r>
          </w:p>
        </w:tc>
        <w:tc>
          <w:tcPr>
            <w:tcW w:w="599" w:type="pct"/>
            <w:tcBorders>
              <w:top w:val="single" w:sz="4" w:space="0" w:color="auto"/>
              <w:left w:val="nil"/>
              <w:bottom w:val="single" w:sz="4" w:space="0" w:color="auto"/>
              <w:right w:val="single" w:sz="4" w:space="0" w:color="auto"/>
            </w:tcBorders>
            <w:shd w:val="clear" w:color="auto" w:fill="auto"/>
            <w:noWrap/>
            <w:vAlign w:val="bottom"/>
          </w:tcPr>
          <w:p w:rsidR="00D82C37" w:rsidRPr="00CD0B8B" w:rsidRDefault="00D82C37" w:rsidP="00552736">
            <w:pPr>
              <w:rPr>
                <w:szCs w:val="24"/>
              </w:rPr>
            </w:pPr>
            <w:r w:rsidRPr="00CD0B8B">
              <w:rPr>
                <w:szCs w:val="24"/>
              </w:rPr>
              <w:t>8</w:t>
            </w:r>
          </w:p>
        </w:tc>
      </w:tr>
    </w:tbl>
    <w:p w:rsidR="00D82C37" w:rsidRPr="00262B01" w:rsidRDefault="00D82C37" w:rsidP="00D82C37">
      <w:pPr>
        <w:pStyle w:val="24"/>
        <w:spacing w:line="240" w:lineRule="auto"/>
        <w:ind w:left="0" w:firstLine="708"/>
        <w:jc w:val="both"/>
        <w:rPr>
          <w:sz w:val="28"/>
          <w:szCs w:val="28"/>
        </w:rPr>
      </w:pPr>
      <w:r w:rsidRPr="00262B01">
        <w:rPr>
          <w:sz w:val="28"/>
          <w:szCs w:val="28"/>
        </w:rPr>
        <w:t>За результатами кореляційного аналізу зроблено висновок, що кількість введених для підтримки гемопоезу СКПК після застосування високодозової ХТ та тривалість нейтропенії мають високодостовірну обернену кореляцію (</w:t>
      </w:r>
      <w:r>
        <w:rPr>
          <w:sz w:val="28"/>
          <w:szCs w:val="28"/>
          <w:lang w:val="en-US"/>
        </w:rPr>
        <w:t>r</w:t>
      </w:r>
      <w:r w:rsidRPr="00262B01">
        <w:rPr>
          <w:sz w:val="28"/>
          <w:szCs w:val="28"/>
        </w:rPr>
        <w:t xml:space="preserve"> = –0,437; р &lt; 0,01). Отже, можна констатув</w:t>
      </w:r>
      <w:r w:rsidRPr="00262B01">
        <w:rPr>
          <w:sz w:val="28"/>
          <w:szCs w:val="28"/>
        </w:rPr>
        <w:t>а</w:t>
      </w:r>
      <w:r w:rsidRPr="00262B01">
        <w:rPr>
          <w:sz w:val="28"/>
          <w:szCs w:val="28"/>
        </w:rPr>
        <w:t>ти, що зі збільшенням кількості введених для відновлення гемопоезу СКПК, зменшується тривалість нейтропенії. Також встановлено, що кількість введених СКПК та тривалість тромбоцитопенії також мають достовірну обернену кореляцію (</w:t>
      </w:r>
      <w:r w:rsidRPr="00262B01">
        <w:rPr>
          <w:sz w:val="28"/>
          <w:szCs w:val="28"/>
        </w:rPr>
        <w:sym w:font="Symbol" w:char="F072"/>
      </w:r>
      <w:r w:rsidRPr="00262B01">
        <w:rPr>
          <w:sz w:val="28"/>
          <w:szCs w:val="28"/>
        </w:rPr>
        <w:t xml:space="preserve"> = –0,372; р &lt; 0,01). Тобто, при введенні більшої кількості СКПК після застосування високодозової ХТ, достовірно зменшується тривалість тро</w:t>
      </w:r>
      <w:r w:rsidRPr="00262B01">
        <w:rPr>
          <w:sz w:val="28"/>
          <w:szCs w:val="28"/>
        </w:rPr>
        <w:t>м</w:t>
      </w:r>
      <w:r w:rsidRPr="00262B01">
        <w:rPr>
          <w:sz w:val="28"/>
          <w:szCs w:val="28"/>
        </w:rPr>
        <w:t xml:space="preserve">боцитопенії. Під час проведення аналізу встановлено, що кількість введених СКПК після застосування високодозової ХТ та кількість переливань еритроцитарної маси мають коефіцієнт кореляції </w:t>
      </w:r>
      <w:r>
        <w:rPr>
          <w:sz w:val="28"/>
          <w:szCs w:val="28"/>
          <w:lang w:val="en-US"/>
        </w:rPr>
        <w:t>r</w:t>
      </w:r>
      <w:r w:rsidRPr="00262B01">
        <w:rPr>
          <w:sz w:val="28"/>
          <w:szCs w:val="28"/>
        </w:rPr>
        <w:t xml:space="preserve"> = –0,237, який близький до того, щоб бути істотним при рівні значущості 0,05 (р = 0,053). Можна констатув</w:t>
      </w:r>
      <w:r w:rsidRPr="00262B01">
        <w:rPr>
          <w:sz w:val="28"/>
          <w:szCs w:val="28"/>
        </w:rPr>
        <w:t>а</w:t>
      </w:r>
      <w:r w:rsidRPr="00262B01">
        <w:rPr>
          <w:sz w:val="28"/>
          <w:szCs w:val="28"/>
        </w:rPr>
        <w:t>ти існування певної тенденції, що із збільшенням кількості введених СКПК, зменшується також потреба у переливаннях еритроцитарної маси.</w:t>
      </w:r>
    </w:p>
    <w:p w:rsidR="00D82C37" w:rsidRPr="00262B01" w:rsidRDefault="00D82C37" w:rsidP="00D82C37">
      <w:pPr>
        <w:ind w:firstLine="709"/>
        <w:jc w:val="both"/>
        <w:rPr>
          <w:sz w:val="28"/>
          <w:szCs w:val="28"/>
        </w:rPr>
      </w:pPr>
      <w:r w:rsidRPr="00262B01">
        <w:rPr>
          <w:sz w:val="28"/>
          <w:szCs w:val="28"/>
        </w:rPr>
        <w:t xml:space="preserve">Для оцінки ефективності застосування СКПК після високодозової ХТ проаналізовано однорічну та </w:t>
      </w:r>
      <w:r>
        <w:rPr>
          <w:sz w:val="28"/>
          <w:szCs w:val="28"/>
        </w:rPr>
        <w:t>п’ятирічну (</w:t>
      </w:r>
      <w:r w:rsidRPr="00262B01">
        <w:rPr>
          <w:sz w:val="28"/>
          <w:szCs w:val="28"/>
        </w:rPr>
        <w:t>тривалу</w:t>
      </w:r>
      <w:r>
        <w:rPr>
          <w:sz w:val="28"/>
          <w:szCs w:val="28"/>
        </w:rPr>
        <w:t>)</w:t>
      </w:r>
      <w:r w:rsidRPr="00262B01">
        <w:rPr>
          <w:sz w:val="28"/>
          <w:szCs w:val="28"/>
        </w:rPr>
        <w:t xml:space="preserve"> загальну виживаність залежно від  нозологічної форми. Загальна однорічна виживаність пацієнтів групи високого ризику, що отримали високодозову ХТ з трансплантацією СКПК складає при: нефробластомі – 35,7 % (95 % ДІ: 10,61–60,81 %), нейробластомі – 58,8 % (95 % ДІ: 35,43–82,22 %), саркомі Юїнга – 81,8 % (95% ДІ: 68,66–94,98 %). </w:t>
      </w:r>
      <w:r>
        <w:rPr>
          <w:sz w:val="28"/>
          <w:szCs w:val="28"/>
        </w:rPr>
        <w:t>П’ятирічна</w:t>
      </w:r>
      <w:r w:rsidRPr="00262B01">
        <w:rPr>
          <w:sz w:val="28"/>
          <w:szCs w:val="28"/>
        </w:rPr>
        <w:t xml:space="preserve"> виживаність дітей з нефробластомою високого ризику становить 20–22 %, при нейробластомі високого ризику – 30–32 %, а при саркомі Юїнга високого ризику – 45 %.</w:t>
      </w:r>
    </w:p>
    <w:p w:rsidR="00D82C37" w:rsidRPr="00262B01" w:rsidRDefault="00D82C37" w:rsidP="00D82C37">
      <w:pPr>
        <w:ind w:firstLine="708"/>
        <w:jc w:val="both"/>
        <w:rPr>
          <w:sz w:val="28"/>
          <w:szCs w:val="28"/>
        </w:rPr>
      </w:pPr>
      <w:r w:rsidRPr="00262B01">
        <w:rPr>
          <w:sz w:val="28"/>
          <w:szCs w:val="28"/>
        </w:rPr>
        <w:t>Отже, застосування високодозової ХТ з трансплантацією СКПК дає змогу отримати результати лікування такі самі, як і в провідних клініках світу.</w:t>
      </w:r>
    </w:p>
    <w:p w:rsidR="00D82C37" w:rsidRPr="00262B01" w:rsidRDefault="00D82C37" w:rsidP="00D82C37">
      <w:pPr>
        <w:jc w:val="center"/>
        <w:rPr>
          <w:b/>
          <w:sz w:val="28"/>
          <w:szCs w:val="28"/>
        </w:rPr>
      </w:pPr>
    </w:p>
    <w:p w:rsidR="00D82C37" w:rsidRPr="00262B01" w:rsidRDefault="00D82C37" w:rsidP="00D82C37">
      <w:pPr>
        <w:jc w:val="center"/>
        <w:rPr>
          <w:b/>
          <w:sz w:val="28"/>
          <w:szCs w:val="28"/>
        </w:rPr>
      </w:pPr>
      <w:r w:rsidRPr="00262B01">
        <w:rPr>
          <w:b/>
          <w:sz w:val="28"/>
          <w:szCs w:val="28"/>
        </w:rPr>
        <w:t>ВИСНОВКИ</w:t>
      </w:r>
    </w:p>
    <w:p w:rsidR="00D82C37" w:rsidRPr="00262B01" w:rsidRDefault="00D82C37" w:rsidP="00D82C37">
      <w:pPr>
        <w:ind w:firstLine="708"/>
        <w:jc w:val="both"/>
        <w:rPr>
          <w:sz w:val="28"/>
          <w:szCs w:val="28"/>
        </w:rPr>
      </w:pPr>
      <w:r w:rsidRPr="00262B01">
        <w:rPr>
          <w:sz w:val="28"/>
          <w:szCs w:val="28"/>
        </w:rPr>
        <w:t xml:space="preserve">У ході дисертаційної роботи розроблено алгоритм мобілізації стовбурових клітин периферичної крові, оптимальний режим мобілізації та протокол забору </w:t>
      </w:r>
      <w:r>
        <w:rPr>
          <w:sz w:val="28"/>
          <w:szCs w:val="28"/>
        </w:rPr>
        <w:t>автологічних</w:t>
      </w:r>
      <w:r w:rsidRPr="00324FEB">
        <w:rPr>
          <w:sz w:val="28"/>
          <w:szCs w:val="28"/>
        </w:rPr>
        <w:t xml:space="preserve"> </w:t>
      </w:r>
      <w:r w:rsidRPr="00262B01">
        <w:rPr>
          <w:sz w:val="28"/>
          <w:szCs w:val="28"/>
        </w:rPr>
        <w:t>СКПК</w:t>
      </w:r>
      <w:r>
        <w:rPr>
          <w:sz w:val="28"/>
          <w:szCs w:val="28"/>
        </w:rPr>
        <w:t>,</w:t>
      </w:r>
      <w:r w:rsidRPr="00262B01">
        <w:rPr>
          <w:sz w:val="28"/>
          <w:szCs w:val="28"/>
        </w:rPr>
        <w:t xml:space="preserve"> які дозволяють оптимізувати застосування методу підтримки гемопоезу СКПК при високодозовій та інтенсивній хіміотерапії та підвищити ефективність лікування дітей</w:t>
      </w:r>
      <w:r>
        <w:rPr>
          <w:sz w:val="28"/>
          <w:szCs w:val="28"/>
        </w:rPr>
        <w:t>, в тому числі і молодшого віку</w:t>
      </w:r>
      <w:r w:rsidRPr="00262B01">
        <w:rPr>
          <w:sz w:val="28"/>
          <w:szCs w:val="28"/>
        </w:rPr>
        <w:t xml:space="preserve"> із </w:t>
      </w:r>
      <w:r>
        <w:rPr>
          <w:sz w:val="28"/>
          <w:szCs w:val="28"/>
        </w:rPr>
        <w:t xml:space="preserve">несприятливими формами </w:t>
      </w:r>
      <w:r w:rsidRPr="00262B01">
        <w:rPr>
          <w:sz w:val="28"/>
          <w:szCs w:val="28"/>
        </w:rPr>
        <w:t>злоякісни</w:t>
      </w:r>
      <w:r>
        <w:rPr>
          <w:sz w:val="28"/>
          <w:szCs w:val="28"/>
        </w:rPr>
        <w:t>х</w:t>
      </w:r>
      <w:r w:rsidRPr="00262B01">
        <w:rPr>
          <w:sz w:val="28"/>
          <w:szCs w:val="28"/>
        </w:rPr>
        <w:t xml:space="preserve"> солідни</w:t>
      </w:r>
      <w:r>
        <w:rPr>
          <w:sz w:val="28"/>
          <w:szCs w:val="28"/>
        </w:rPr>
        <w:t>х</w:t>
      </w:r>
      <w:r w:rsidRPr="00262B01">
        <w:rPr>
          <w:sz w:val="28"/>
          <w:szCs w:val="28"/>
        </w:rPr>
        <w:t xml:space="preserve"> новоутворен</w:t>
      </w:r>
      <w:r>
        <w:rPr>
          <w:sz w:val="28"/>
          <w:szCs w:val="28"/>
        </w:rPr>
        <w:t>ь</w:t>
      </w:r>
      <w:r w:rsidRPr="00262B01">
        <w:rPr>
          <w:sz w:val="28"/>
          <w:szCs w:val="28"/>
        </w:rPr>
        <w:t>.</w:t>
      </w:r>
    </w:p>
    <w:p w:rsidR="00D82C37" w:rsidRPr="00262B01" w:rsidRDefault="00D82C37" w:rsidP="007A52F3">
      <w:pPr>
        <w:numPr>
          <w:ilvl w:val="0"/>
          <w:numId w:val="40"/>
        </w:numPr>
        <w:spacing w:after="0" w:line="240" w:lineRule="auto"/>
        <w:jc w:val="both"/>
        <w:rPr>
          <w:sz w:val="28"/>
          <w:szCs w:val="28"/>
        </w:rPr>
      </w:pPr>
      <w:r w:rsidRPr="00262B01">
        <w:rPr>
          <w:sz w:val="28"/>
          <w:szCs w:val="28"/>
        </w:rPr>
        <w:lastRenderedPageBreak/>
        <w:t>Факторами, що достовірно впливають на результативність мобілізаційної процедури, є вік пацієнта, мобілізаційний режим хіміотерапії, час та тривалість призначення КСФ, кількість лейкоцитів у день лейкоцитаферезу, об’єм опрацьованої крові за один сеанс.</w:t>
      </w:r>
    </w:p>
    <w:p w:rsidR="00D82C37" w:rsidRPr="00262B01" w:rsidRDefault="00D82C37" w:rsidP="007A52F3">
      <w:pPr>
        <w:numPr>
          <w:ilvl w:val="0"/>
          <w:numId w:val="40"/>
        </w:numPr>
        <w:spacing w:after="0" w:line="240" w:lineRule="auto"/>
        <w:jc w:val="both"/>
        <w:rPr>
          <w:sz w:val="28"/>
          <w:szCs w:val="28"/>
        </w:rPr>
      </w:pPr>
      <w:r w:rsidRPr="00262B01">
        <w:rPr>
          <w:sz w:val="28"/>
          <w:szCs w:val="28"/>
        </w:rPr>
        <w:t xml:space="preserve">Найбільш оптимальними для мобілізації </w:t>
      </w:r>
      <w:r>
        <w:rPr>
          <w:sz w:val="28"/>
          <w:szCs w:val="28"/>
        </w:rPr>
        <w:t xml:space="preserve">автологічних </w:t>
      </w:r>
      <w:r w:rsidRPr="00262B01">
        <w:rPr>
          <w:sz w:val="28"/>
          <w:szCs w:val="28"/>
        </w:rPr>
        <w:t>СКПК є режими, у яких поєднуються алкілуючі агенти та етопозид із введенням КСФ у дозі ≥ 10 мкг/кг маси тіла на 7–10 день після завершення хіміотерапії. Найкращий результат лейкоцитаферезу отримано при обробці крові ≥ 250 мл/кг маси тіла при рівні лейкоцитів ≥ 10 х 10</w:t>
      </w:r>
      <w:r w:rsidRPr="00262B01">
        <w:rPr>
          <w:sz w:val="28"/>
          <w:szCs w:val="28"/>
          <w:vertAlign w:val="superscript"/>
        </w:rPr>
        <w:t>9</w:t>
      </w:r>
      <w:r w:rsidRPr="00262B01">
        <w:rPr>
          <w:sz w:val="28"/>
          <w:szCs w:val="28"/>
        </w:rPr>
        <w:t xml:space="preserve">/л не пізніше 10 дня стимуляції.  </w:t>
      </w:r>
    </w:p>
    <w:p w:rsidR="00D82C37" w:rsidRPr="00262B01" w:rsidRDefault="00D82C37" w:rsidP="007A52F3">
      <w:pPr>
        <w:numPr>
          <w:ilvl w:val="0"/>
          <w:numId w:val="40"/>
        </w:numPr>
        <w:spacing w:after="0" w:line="240" w:lineRule="auto"/>
        <w:jc w:val="both"/>
        <w:rPr>
          <w:sz w:val="28"/>
          <w:szCs w:val="28"/>
        </w:rPr>
      </w:pPr>
      <w:r w:rsidRPr="00262B01">
        <w:rPr>
          <w:sz w:val="28"/>
          <w:szCs w:val="28"/>
        </w:rPr>
        <w:t>Використання підтримки гемопоезу після проведення інтенсивної немієлоаблятивної хіміотерапії СКПК у дозі ≤ 2,0 х 10</w:t>
      </w:r>
      <w:r w:rsidRPr="00262B01">
        <w:rPr>
          <w:sz w:val="28"/>
          <w:szCs w:val="28"/>
          <w:vertAlign w:val="superscript"/>
        </w:rPr>
        <w:t>6</w:t>
      </w:r>
      <w:r w:rsidRPr="00262B01">
        <w:rPr>
          <w:sz w:val="28"/>
          <w:szCs w:val="28"/>
        </w:rPr>
        <w:t xml:space="preserve">/кг СД34+ клітин достовірно знижує прояви гематологічної токсичності, дає можливість проводити заплановану ХТ вчасно та безпечно для дитини. </w:t>
      </w:r>
    </w:p>
    <w:p w:rsidR="00D82C37" w:rsidRPr="00262B01" w:rsidRDefault="00D82C37" w:rsidP="007A52F3">
      <w:pPr>
        <w:numPr>
          <w:ilvl w:val="0"/>
          <w:numId w:val="40"/>
        </w:numPr>
        <w:spacing w:after="0" w:line="240" w:lineRule="auto"/>
        <w:jc w:val="both"/>
        <w:rPr>
          <w:sz w:val="28"/>
          <w:szCs w:val="28"/>
        </w:rPr>
      </w:pPr>
      <w:r w:rsidRPr="00262B01">
        <w:rPr>
          <w:sz w:val="28"/>
          <w:szCs w:val="28"/>
        </w:rPr>
        <w:t>Використання підтримки гемопоезу СКПК після високодозової хіміотерапії забезпечує можливість проведення лікування у запланованому обсязі, а введення СКПК у кількості більш ніж 2,0 х 10</w:t>
      </w:r>
      <w:r w:rsidRPr="00262B01">
        <w:rPr>
          <w:sz w:val="28"/>
          <w:szCs w:val="28"/>
          <w:vertAlign w:val="superscript"/>
        </w:rPr>
        <w:t>6</w:t>
      </w:r>
      <w:r w:rsidRPr="00262B01">
        <w:rPr>
          <w:sz w:val="28"/>
          <w:szCs w:val="28"/>
        </w:rPr>
        <w:t xml:space="preserve">/кг маси пацієнта зменшує тривалість нейтропенії, тромбоцитопенії та потребу в переливаннях компонентів крові. </w:t>
      </w:r>
    </w:p>
    <w:p w:rsidR="00D82C37" w:rsidRPr="00262B01" w:rsidRDefault="00D82C37" w:rsidP="007A52F3">
      <w:pPr>
        <w:numPr>
          <w:ilvl w:val="0"/>
          <w:numId w:val="40"/>
        </w:numPr>
        <w:spacing w:after="0" w:line="240" w:lineRule="auto"/>
        <w:jc w:val="both"/>
        <w:rPr>
          <w:sz w:val="28"/>
          <w:szCs w:val="28"/>
        </w:rPr>
      </w:pPr>
      <w:r w:rsidRPr="00262B01">
        <w:rPr>
          <w:sz w:val="28"/>
          <w:szCs w:val="28"/>
        </w:rPr>
        <w:t xml:space="preserve">Рівень </w:t>
      </w:r>
      <w:r>
        <w:rPr>
          <w:sz w:val="28"/>
          <w:szCs w:val="28"/>
        </w:rPr>
        <w:t xml:space="preserve">п’ятирічної </w:t>
      </w:r>
      <w:r w:rsidRPr="00262B01">
        <w:rPr>
          <w:sz w:val="28"/>
          <w:szCs w:val="28"/>
        </w:rPr>
        <w:t>виживаності дітей при проведенні високодозової та інтенсивної ХТ з підтримкою гемопоезу СКПК складає: при  саркомі Юїнга високого ризику – 45 %, нейробластомі високого ризику – 30–32 %, нефробластомі високого ризику – 20–22 %.</w:t>
      </w:r>
    </w:p>
    <w:p w:rsidR="00D82C37" w:rsidRPr="00262B01" w:rsidRDefault="00D82C37" w:rsidP="00D82C37">
      <w:pPr>
        <w:ind w:firstLine="567"/>
        <w:jc w:val="center"/>
        <w:rPr>
          <w:b/>
          <w:sz w:val="28"/>
          <w:szCs w:val="28"/>
        </w:rPr>
      </w:pPr>
    </w:p>
    <w:p w:rsidR="00D82C37" w:rsidRPr="00262B01" w:rsidRDefault="00D82C37" w:rsidP="00D82C37">
      <w:pPr>
        <w:ind w:firstLine="567"/>
        <w:jc w:val="center"/>
        <w:rPr>
          <w:b/>
          <w:sz w:val="28"/>
          <w:szCs w:val="28"/>
        </w:rPr>
      </w:pPr>
      <w:r w:rsidRPr="00262B01">
        <w:rPr>
          <w:b/>
          <w:sz w:val="28"/>
          <w:szCs w:val="28"/>
        </w:rPr>
        <w:t>ПРАКТИЧНІ РЕКОМЕНДАЦІЇ</w:t>
      </w:r>
    </w:p>
    <w:p w:rsidR="00D82C37" w:rsidRPr="00262B01" w:rsidRDefault="00D82C37" w:rsidP="00D82C37">
      <w:pPr>
        <w:ind w:firstLine="708"/>
        <w:jc w:val="both"/>
        <w:rPr>
          <w:sz w:val="28"/>
          <w:szCs w:val="28"/>
        </w:rPr>
      </w:pPr>
      <w:r w:rsidRPr="00262B01">
        <w:rPr>
          <w:sz w:val="28"/>
          <w:szCs w:val="28"/>
        </w:rPr>
        <w:t xml:space="preserve">Розроблено алгоритм мобілізації стовбурових клітин периферичної крові, який дозволяє оптимізувати застосування методу підтримки гемопоезу після високодозової та інтенсивної ХТ у дітей із злоякісними солідними новоутвореннями. </w:t>
      </w:r>
    </w:p>
    <w:p w:rsidR="00D82C37" w:rsidRPr="00262B01" w:rsidRDefault="00D82C37" w:rsidP="00D82C37">
      <w:pPr>
        <w:ind w:firstLine="708"/>
        <w:jc w:val="both"/>
        <w:rPr>
          <w:sz w:val="28"/>
          <w:szCs w:val="28"/>
        </w:rPr>
      </w:pPr>
      <w:r w:rsidRPr="00262B01">
        <w:rPr>
          <w:sz w:val="28"/>
          <w:szCs w:val="28"/>
        </w:rPr>
        <w:t>У дітей з прогностично несприятливими факторами (діти віком понад 10 років, що отримали більше 6 циклів хіміотерапії) необхідно застосовувати найбільш ефективну мобілізаційну процедуру, якою є застосування режиму ХТ з використанням алкілуючих агентів, етопозиду та призначення КСФ у дозі ≥ 10 мкг/кг маси тіла на 7–10 день після завершення хіміотерапії. Лейкоцитаферез рекомендовано проводити на фоні зростання рівня лейкоцитів ≥ 10 х10</w:t>
      </w:r>
      <w:r w:rsidRPr="00262B01">
        <w:rPr>
          <w:sz w:val="28"/>
          <w:szCs w:val="28"/>
          <w:vertAlign w:val="superscript"/>
        </w:rPr>
        <w:t>9</w:t>
      </w:r>
      <w:r w:rsidRPr="00262B01">
        <w:rPr>
          <w:sz w:val="28"/>
          <w:szCs w:val="28"/>
        </w:rPr>
        <w:t>/л не пізніше 10 дня стимуляції. За одну процедуру лейкоцитаферезу, за умови задовільного стану дитини, слід проводити обробку крові ≥ 250 мл/кг маси тіла дитини (3–4 ОЦК).</w:t>
      </w:r>
    </w:p>
    <w:p w:rsidR="00D82C37" w:rsidRPr="00262B01" w:rsidRDefault="00D82C37" w:rsidP="00D82C37">
      <w:pPr>
        <w:ind w:firstLine="708"/>
        <w:jc w:val="both"/>
        <w:rPr>
          <w:sz w:val="28"/>
          <w:szCs w:val="28"/>
        </w:rPr>
      </w:pPr>
      <w:r w:rsidRPr="00262B01">
        <w:rPr>
          <w:sz w:val="28"/>
          <w:szCs w:val="28"/>
        </w:rPr>
        <w:lastRenderedPageBreak/>
        <w:t>Дітям з прогностично несприятливими формами нейробластоми, нефробластоми та саркоми Юїнга для досягнення найкращих результатів комплексного лікування слід рекомендувати застосування високодозової ХТ для консолідації досягнутої ремісії.</w:t>
      </w:r>
    </w:p>
    <w:p w:rsidR="00D82C37" w:rsidRDefault="00D82C37" w:rsidP="00D82C37">
      <w:pPr>
        <w:tabs>
          <w:tab w:val="left" w:pos="1260"/>
        </w:tabs>
        <w:ind w:firstLine="720"/>
        <w:jc w:val="center"/>
        <w:rPr>
          <w:b/>
          <w:sz w:val="28"/>
          <w:szCs w:val="28"/>
        </w:rPr>
      </w:pPr>
    </w:p>
    <w:p w:rsidR="00D82C37" w:rsidRPr="00262B01" w:rsidRDefault="00D82C37" w:rsidP="00D82C37">
      <w:pPr>
        <w:tabs>
          <w:tab w:val="left" w:pos="1260"/>
        </w:tabs>
        <w:ind w:firstLine="720"/>
        <w:jc w:val="center"/>
        <w:rPr>
          <w:b/>
          <w:sz w:val="28"/>
          <w:szCs w:val="28"/>
        </w:rPr>
      </w:pPr>
      <w:r w:rsidRPr="00262B01">
        <w:rPr>
          <w:b/>
          <w:sz w:val="28"/>
          <w:szCs w:val="28"/>
        </w:rPr>
        <w:t>ПЕРЕЛІК ПРАЦЬ, ОПУБЛІКОВАНИХ ЗА ТЕМОЮ ДИСЕРТАЦІЇ</w:t>
      </w:r>
    </w:p>
    <w:p w:rsidR="00D82C37" w:rsidRPr="00262B01" w:rsidRDefault="00D82C37" w:rsidP="007A52F3">
      <w:pPr>
        <w:numPr>
          <w:ilvl w:val="0"/>
          <w:numId w:val="41"/>
        </w:numPr>
        <w:tabs>
          <w:tab w:val="left" w:pos="1260"/>
          <w:tab w:val="left" w:pos="1440"/>
        </w:tabs>
        <w:spacing w:after="0" w:line="240" w:lineRule="auto"/>
        <w:ind w:left="0" w:firstLine="720"/>
        <w:jc w:val="both"/>
        <w:rPr>
          <w:i/>
          <w:sz w:val="28"/>
          <w:szCs w:val="28"/>
        </w:rPr>
      </w:pPr>
      <w:r w:rsidRPr="00262B01">
        <w:rPr>
          <w:sz w:val="28"/>
          <w:szCs w:val="28"/>
        </w:rPr>
        <w:t xml:space="preserve">Профілактика інфекційних ускладнень при застосуванні високодозової хіміотерапії з підтримкою стовбуровими клітинами периферичної крові для лікування рефрактерних солідних новоутворень у дітей / С.В. Павлик,  О.В. Балицька, Г.І. Климнюк, О.В. Шайда,  В.Л. Кобись, В.М. Жукова, Н.М. Храновська // Вісник наукових досліджень.— 2004.— №3(36).— С.29–31. </w:t>
      </w:r>
      <w:r w:rsidRPr="00262B01">
        <w:rPr>
          <w:i/>
          <w:sz w:val="28"/>
          <w:szCs w:val="28"/>
        </w:rPr>
        <w:t>(Особистий внесок дисертанта: безпосередня курація пацієнтів, добір наукової літератури, аналіз ефективності підтримки кровотворення за результатами власних досліджень, написання та оформлення статті.)</w:t>
      </w:r>
    </w:p>
    <w:p w:rsidR="00D82C37" w:rsidRPr="00262B01" w:rsidRDefault="00D82C37" w:rsidP="007A52F3">
      <w:pPr>
        <w:numPr>
          <w:ilvl w:val="0"/>
          <w:numId w:val="41"/>
        </w:numPr>
        <w:tabs>
          <w:tab w:val="clear" w:pos="1680"/>
          <w:tab w:val="num" w:pos="900"/>
          <w:tab w:val="left" w:pos="1260"/>
        </w:tabs>
        <w:spacing w:after="0" w:line="240" w:lineRule="auto"/>
        <w:ind w:left="0" w:firstLine="720"/>
        <w:jc w:val="both"/>
        <w:rPr>
          <w:sz w:val="28"/>
          <w:szCs w:val="28"/>
        </w:rPr>
      </w:pPr>
      <w:r w:rsidRPr="00262B01">
        <w:rPr>
          <w:sz w:val="28"/>
          <w:szCs w:val="28"/>
        </w:rPr>
        <w:t xml:space="preserve"> </w:t>
      </w:r>
      <w:r w:rsidRPr="00262B01">
        <w:rPr>
          <w:sz w:val="28"/>
          <w:szCs w:val="28"/>
        </w:rPr>
        <w:tab/>
        <w:t xml:space="preserve">Підтримка кровотворення автологічними стовбуровими клітинами при лікуванні дітей із рефрактерними солідними пухлинами / С.В. Павлик, Г.І. Климнюк, О.В.Балицька, О.В. Шайда,  В.Л. Кобись, В.М. Жукова // Онкология.— 2005.— Т.7, №4.— С.354–356. </w:t>
      </w:r>
      <w:r w:rsidRPr="00262B01">
        <w:rPr>
          <w:i/>
          <w:sz w:val="28"/>
          <w:szCs w:val="28"/>
        </w:rPr>
        <w:t>(Особистий внесок дисертанта: курація пацієнтів, аналіз літературних джерел та результатів власного дослідження стосовно ефективності підтримки кровотворення після використання високодозової хіміотерапії, підготовка статті до друку.)</w:t>
      </w:r>
    </w:p>
    <w:p w:rsidR="00D82C37" w:rsidRPr="00262B01" w:rsidRDefault="00D82C37" w:rsidP="007A52F3">
      <w:pPr>
        <w:numPr>
          <w:ilvl w:val="0"/>
          <w:numId w:val="41"/>
        </w:numPr>
        <w:tabs>
          <w:tab w:val="clear" w:pos="1680"/>
          <w:tab w:val="num" w:pos="900"/>
          <w:tab w:val="left" w:pos="1260"/>
        </w:tabs>
        <w:spacing w:after="0" w:line="240" w:lineRule="auto"/>
        <w:ind w:left="0" w:firstLine="720"/>
        <w:jc w:val="both"/>
        <w:rPr>
          <w:sz w:val="28"/>
          <w:szCs w:val="28"/>
        </w:rPr>
      </w:pPr>
      <w:r w:rsidRPr="00262B01">
        <w:rPr>
          <w:sz w:val="28"/>
          <w:szCs w:val="28"/>
        </w:rPr>
        <w:t xml:space="preserve"> </w:t>
      </w:r>
      <w:r w:rsidRPr="00262B01">
        <w:rPr>
          <w:sz w:val="28"/>
          <w:szCs w:val="28"/>
        </w:rPr>
        <w:tab/>
        <w:t xml:space="preserve">Сучасний погляд на діагностику та лікування нейробластоми / С.В. Павлик  // Онкология. — 2005. — Т.7, №4. — С.354–356. </w:t>
      </w:r>
      <w:r w:rsidRPr="00262B01">
        <w:rPr>
          <w:i/>
          <w:sz w:val="28"/>
          <w:szCs w:val="28"/>
        </w:rPr>
        <w:t>(Особистий внесок дисертанта: аналіз літературних джерел та результатів власного дослідження стосовно доцільності та ефективності високодозової хіміотерапії з підтримкою кровотворення у пацієнтів з нейробластомою.)</w:t>
      </w:r>
    </w:p>
    <w:p w:rsidR="00D82C37" w:rsidRPr="00262B01" w:rsidRDefault="00D82C37" w:rsidP="007A52F3">
      <w:pPr>
        <w:numPr>
          <w:ilvl w:val="0"/>
          <w:numId w:val="41"/>
        </w:numPr>
        <w:tabs>
          <w:tab w:val="clear" w:pos="1680"/>
          <w:tab w:val="num" w:pos="900"/>
          <w:tab w:val="left" w:pos="1260"/>
        </w:tabs>
        <w:spacing w:after="0" w:line="240" w:lineRule="auto"/>
        <w:ind w:left="0" w:firstLine="720"/>
        <w:jc w:val="both"/>
        <w:rPr>
          <w:sz w:val="28"/>
          <w:szCs w:val="28"/>
        </w:rPr>
      </w:pPr>
      <w:r w:rsidRPr="00262B01">
        <w:rPr>
          <w:i/>
          <w:sz w:val="28"/>
          <w:szCs w:val="28"/>
        </w:rPr>
        <w:t xml:space="preserve"> </w:t>
      </w:r>
      <w:r w:rsidRPr="00262B01">
        <w:rPr>
          <w:i/>
          <w:sz w:val="28"/>
          <w:szCs w:val="28"/>
        </w:rPr>
        <w:tab/>
      </w:r>
      <w:r w:rsidRPr="00262B01">
        <w:rPr>
          <w:sz w:val="28"/>
          <w:szCs w:val="28"/>
        </w:rPr>
        <w:t>Павлик С.В. Використання підтримки гемопоезу автологічними стовбуровими клітинами периферичної крові при застосуванні високодозової хіміотерапії для лікування дітей з солідними новоутвореннями / С.В. Павлик, Г.І. Климнюк, О.В. Балицька, О.В. Шайда // Терапія супроводу в лікуванні онкологічних хворих : матеріали наук.-практ. конф. з міжнар. участю, 8 – 9 жовтня 2007 р., Анталія. – Опубл .: Онкология. — 2007. — Т.9, №3. — С.284.</w:t>
      </w:r>
    </w:p>
    <w:p w:rsidR="00D82C37" w:rsidRPr="00262B01" w:rsidRDefault="00D82C37" w:rsidP="007A52F3">
      <w:pPr>
        <w:numPr>
          <w:ilvl w:val="0"/>
          <w:numId w:val="41"/>
        </w:numPr>
        <w:tabs>
          <w:tab w:val="clear" w:pos="1680"/>
          <w:tab w:val="num" w:pos="900"/>
          <w:tab w:val="left" w:pos="1260"/>
        </w:tabs>
        <w:spacing w:after="0" w:line="240" w:lineRule="auto"/>
        <w:ind w:left="0" w:firstLine="720"/>
        <w:jc w:val="both"/>
        <w:rPr>
          <w:sz w:val="28"/>
          <w:szCs w:val="28"/>
        </w:rPr>
      </w:pPr>
      <w:r w:rsidRPr="00262B01">
        <w:rPr>
          <w:sz w:val="28"/>
          <w:szCs w:val="28"/>
        </w:rPr>
        <w:t xml:space="preserve"> </w:t>
      </w:r>
      <w:r w:rsidRPr="00262B01">
        <w:rPr>
          <w:sz w:val="28"/>
          <w:szCs w:val="28"/>
        </w:rPr>
        <w:tab/>
        <w:t xml:space="preserve">Павлик С.В. Застосування стовбурових клітин периферичної крові для підтримки гемопоезу при лікуванні пухлин м’яких тканин у дітей. Досвід відділення дитячої онкології / С.В. Павлик // Сучасні проблеми експериментальної і клінічної онкології : тези ΙX міжнар. конф. молодих онкологів, 23 – 24 квітня 2008 р., Київ. – К., 2008. – С. 86. </w:t>
      </w:r>
    </w:p>
    <w:p w:rsidR="00D82C37" w:rsidRPr="00262B01" w:rsidRDefault="00D82C37" w:rsidP="007A52F3">
      <w:pPr>
        <w:numPr>
          <w:ilvl w:val="0"/>
          <w:numId w:val="41"/>
        </w:numPr>
        <w:tabs>
          <w:tab w:val="clear" w:pos="1680"/>
          <w:tab w:val="num" w:pos="900"/>
          <w:tab w:val="left" w:pos="1260"/>
        </w:tabs>
        <w:spacing w:after="0" w:line="240" w:lineRule="auto"/>
        <w:ind w:left="0" w:firstLine="720"/>
        <w:jc w:val="both"/>
        <w:rPr>
          <w:sz w:val="28"/>
          <w:szCs w:val="28"/>
        </w:rPr>
      </w:pPr>
      <w:r w:rsidRPr="00262B01">
        <w:rPr>
          <w:sz w:val="28"/>
          <w:szCs w:val="28"/>
        </w:rPr>
        <w:t xml:space="preserve"> </w:t>
      </w:r>
      <w:r w:rsidRPr="00262B01">
        <w:rPr>
          <w:sz w:val="28"/>
          <w:szCs w:val="28"/>
        </w:rPr>
        <w:tab/>
        <w:t>Отримання стовбурових клітин периферичної крові шляхом апаратного лейкоцитаферезу, їх ідентифікація та використання при лікуванні злоякісних солідних новоутворень у дітей : метод. рекомендації / авт.-</w:t>
      </w:r>
      <w:r w:rsidRPr="00262B01">
        <w:rPr>
          <w:sz w:val="28"/>
          <w:szCs w:val="28"/>
        </w:rPr>
        <w:lastRenderedPageBreak/>
        <w:t xml:space="preserve">розробник : Г.І. Климнюк, О.В. Балицька, Н.М. Храновська, С.В. Павлик. — К. : Знання України, 2007. — 23 с. </w:t>
      </w:r>
      <w:r w:rsidRPr="00262B01">
        <w:rPr>
          <w:i/>
          <w:sz w:val="28"/>
          <w:szCs w:val="28"/>
        </w:rPr>
        <w:t xml:space="preserve">(Особистий внесок дисертанта: особиста курація пацієнтів, добір наукової літератури, аналіз літературних джерел та результатів власного дослідження стосовно методики проведення мобілізації стовбурових клітин периферичної крові та проведення процедури лейкоцитаферезу у дітей, підготовка до друку.) </w:t>
      </w:r>
    </w:p>
    <w:p w:rsidR="00D82C37" w:rsidRPr="00262B01" w:rsidRDefault="00D82C37" w:rsidP="007A52F3">
      <w:pPr>
        <w:numPr>
          <w:ilvl w:val="0"/>
          <w:numId w:val="41"/>
        </w:numPr>
        <w:tabs>
          <w:tab w:val="clear" w:pos="1680"/>
          <w:tab w:val="num" w:pos="900"/>
          <w:tab w:val="left" w:pos="1260"/>
        </w:tabs>
        <w:spacing w:after="0" w:line="240" w:lineRule="auto"/>
        <w:ind w:left="0" w:firstLine="720"/>
        <w:jc w:val="both"/>
        <w:rPr>
          <w:sz w:val="28"/>
          <w:szCs w:val="28"/>
        </w:rPr>
      </w:pPr>
      <w:r w:rsidRPr="00262B01">
        <w:rPr>
          <w:i/>
          <w:sz w:val="28"/>
          <w:szCs w:val="28"/>
        </w:rPr>
        <w:t xml:space="preserve"> </w:t>
      </w:r>
      <w:r w:rsidRPr="00262B01">
        <w:rPr>
          <w:i/>
          <w:sz w:val="28"/>
          <w:szCs w:val="28"/>
        </w:rPr>
        <w:tab/>
      </w:r>
      <w:r w:rsidRPr="00262B01">
        <w:rPr>
          <w:sz w:val="28"/>
          <w:szCs w:val="28"/>
        </w:rPr>
        <w:t>Патент на корисну модель 18039 Україна, МПК</w:t>
      </w:r>
      <w:r w:rsidRPr="00262B01">
        <w:rPr>
          <w:sz w:val="28"/>
          <w:szCs w:val="28"/>
          <w:vertAlign w:val="superscript"/>
        </w:rPr>
        <w:t>7</w:t>
      </w:r>
      <w:r w:rsidRPr="00262B01">
        <w:rPr>
          <w:sz w:val="28"/>
          <w:szCs w:val="28"/>
        </w:rPr>
        <w:t xml:space="preserve"> Ф61 М 1/38. Спосіб отримання стовбурових клітин периферичної крові у дітей / Павлик С.В., Климнюк Г.І., Балицька О.В. ; Інститут онкології АМН України.— № и200605193 ; опубл. 16.10.2006, Бюл.10. </w:t>
      </w:r>
      <w:r w:rsidRPr="00262B01">
        <w:rPr>
          <w:i/>
          <w:sz w:val="28"/>
          <w:szCs w:val="28"/>
        </w:rPr>
        <w:t>(Особистий внесок дисертанта: патентний пошук, реалізація ідеї, оформлення патенту, розподіл інтелектуальної власності – 34%.)</w:t>
      </w:r>
    </w:p>
    <w:p w:rsidR="00D82C37" w:rsidRPr="00262B01" w:rsidRDefault="00D82C37" w:rsidP="00D82C37">
      <w:pPr>
        <w:jc w:val="both"/>
        <w:rPr>
          <w:sz w:val="28"/>
          <w:szCs w:val="28"/>
        </w:rPr>
      </w:pPr>
    </w:p>
    <w:p w:rsidR="00D82C37" w:rsidRPr="00262B01" w:rsidRDefault="00D82C37" w:rsidP="00D82C37">
      <w:pPr>
        <w:ind w:left="75"/>
        <w:jc w:val="center"/>
        <w:rPr>
          <w:b/>
          <w:sz w:val="28"/>
          <w:szCs w:val="28"/>
        </w:rPr>
      </w:pPr>
      <w:r w:rsidRPr="00262B01">
        <w:rPr>
          <w:b/>
          <w:sz w:val="28"/>
          <w:szCs w:val="28"/>
        </w:rPr>
        <w:br w:type="page"/>
      </w:r>
      <w:r w:rsidRPr="00262B01">
        <w:rPr>
          <w:b/>
          <w:sz w:val="28"/>
          <w:szCs w:val="28"/>
        </w:rPr>
        <w:lastRenderedPageBreak/>
        <w:t>АНОТАЦІЯ</w:t>
      </w:r>
    </w:p>
    <w:p w:rsidR="00D82C37" w:rsidRPr="00262B01" w:rsidRDefault="00D82C37" w:rsidP="00D82C37">
      <w:pPr>
        <w:ind w:firstLine="540"/>
        <w:jc w:val="both"/>
        <w:rPr>
          <w:sz w:val="28"/>
          <w:szCs w:val="28"/>
        </w:rPr>
      </w:pPr>
      <w:r w:rsidRPr="00262B01">
        <w:rPr>
          <w:b/>
          <w:sz w:val="28"/>
          <w:szCs w:val="28"/>
        </w:rPr>
        <w:t xml:space="preserve">Павлик С.В. Оптимізація інтенсивної та високодозової хіміотерапії з трансплантацією автологічних стовбурових клітин периферичної крові в комплексному лікуванні дітей, хворих на злоякісні солідні новоутворення. </w:t>
      </w:r>
      <w:r w:rsidRPr="00262B01">
        <w:rPr>
          <w:sz w:val="28"/>
          <w:szCs w:val="28"/>
        </w:rPr>
        <w:t>– Рукопис.</w:t>
      </w:r>
    </w:p>
    <w:p w:rsidR="00D82C37" w:rsidRPr="00262B01" w:rsidRDefault="00D82C37" w:rsidP="00D82C37">
      <w:pPr>
        <w:ind w:firstLine="540"/>
        <w:jc w:val="both"/>
        <w:rPr>
          <w:sz w:val="28"/>
          <w:szCs w:val="28"/>
        </w:rPr>
      </w:pPr>
      <w:r w:rsidRPr="00262B01">
        <w:rPr>
          <w:sz w:val="28"/>
          <w:szCs w:val="28"/>
        </w:rPr>
        <w:t xml:space="preserve">Дисертація на здобуття наукового ступеня кандидата медичних наук за спеціальністю 14.01.07 – онкологія. </w:t>
      </w:r>
      <w:r w:rsidRPr="00262B01">
        <w:rPr>
          <w:sz w:val="28"/>
          <w:szCs w:val="28"/>
        </w:rPr>
        <w:softHyphen/>
        <w:t>– Національний інститут раку, Київ, 2009.</w:t>
      </w:r>
    </w:p>
    <w:p w:rsidR="00D82C37" w:rsidRPr="00262B01" w:rsidRDefault="00D82C37" w:rsidP="00D82C37">
      <w:pPr>
        <w:ind w:firstLine="540"/>
        <w:jc w:val="both"/>
        <w:rPr>
          <w:sz w:val="28"/>
          <w:szCs w:val="28"/>
        </w:rPr>
      </w:pPr>
      <w:r w:rsidRPr="00262B01">
        <w:rPr>
          <w:sz w:val="28"/>
          <w:szCs w:val="28"/>
        </w:rPr>
        <w:t xml:space="preserve">Дисертація присвячена дослідженню факторів, що впливають на ефективність мобілізації та колекції </w:t>
      </w:r>
      <w:r>
        <w:rPr>
          <w:sz w:val="28"/>
          <w:szCs w:val="28"/>
        </w:rPr>
        <w:t xml:space="preserve">автологічних </w:t>
      </w:r>
      <w:r w:rsidRPr="00262B01">
        <w:rPr>
          <w:sz w:val="28"/>
          <w:szCs w:val="28"/>
        </w:rPr>
        <w:t>СКПК у дітей, хворих на злоякісні солідні новоутворення, а також вивченню ефективності застосування підтримки гемопоезу СКПК після високодозової і інтенсивної хіміотерапії при лікуванні дітей із прогностично несприятливими формами злоякісних солідних новоутворень.</w:t>
      </w:r>
    </w:p>
    <w:p w:rsidR="00D82C37" w:rsidRPr="00262B01" w:rsidRDefault="00D82C37" w:rsidP="00D82C37">
      <w:pPr>
        <w:ind w:firstLine="540"/>
        <w:jc w:val="both"/>
        <w:rPr>
          <w:sz w:val="28"/>
          <w:szCs w:val="28"/>
        </w:rPr>
      </w:pPr>
      <w:r w:rsidRPr="00262B01">
        <w:rPr>
          <w:sz w:val="28"/>
          <w:szCs w:val="28"/>
        </w:rPr>
        <w:t>У результаті проведеної роботи визначено комплекс факторів, які впливають на ефективність мобілізації. Встановлено, що вік пацієнта, мобілізаційний режим хіміотерапії, час та тривалість призначення КСФ, кількість лейкоцитів у день лейкоцитаферезу, об’єм опрацьованої крові за один сеанс лейкоцитаферезу є факторами, які достовірно впливають на ефективність проведення мобілізації СКПК. Також встановлено, що найбільш ефективним мобілізуючим режимом є поєднання алкілуючих агентів та етопозиду із введенням КСФ у дозі ≥ 10 мкг/кг маси тіла на 7–10 день після завершення хіміотерапії. Оптимальними параметрами проведення лейкоцитаферезу визнано проведення обробки крові ≥ 250 мл/кг маси тіла не пізніше 10 дня стимуляції при рівні лейкоцитів ≥ 10 х 10</w:t>
      </w:r>
      <w:r w:rsidRPr="00262B01">
        <w:rPr>
          <w:sz w:val="28"/>
          <w:szCs w:val="28"/>
          <w:vertAlign w:val="superscript"/>
        </w:rPr>
        <w:t>9</w:t>
      </w:r>
      <w:r w:rsidRPr="00262B01">
        <w:rPr>
          <w:sz w:val="28"/>
          <w:szCs w:val="28"/>
        </w:rPr>
        <w:t>/л. У роботі підтверджена ефективність методу підтримки кровотворення СКПК після проведення високодозової та інтенсивної ХТ у дітей з прогностично несприятливими формами злоякісних солідних новоутворень. За результатами роботи запропоновано алгоритм застосування оптимальної схеми мобілізації для певних груп дітей із злоякісними солідними новоутвореннями.</w:t>
      </w:r>
    </w:p>
    <w:p w:rsidR="00D82C37" w:rsidRPr="00262B01" w:rsidRDefault="00D82C37" w:rsidP="00D82C37">
      <w:pPr>
        <w:ind w:firstLine="540"/>
        <w:jc w:val="both"/>
        <w:rPr>
          <w:sz w:val="28"/>
          <w:szCs w:val="28"/>
        </w:rPr>
      </w:pPr>
      <w:r w:rsidRPr="00262B01">
        <w:rPr>
          <w:b/>
          <w:sz w:val="28"/>
          <w:szCs w:val="28"/>
        </w:rPr>
        <w:t>Ключові слова:</w:t>
      </w:r>
      <w:r w:rsidRPr="00262B01">
        <w:rPr>
          <w:sz w:val="28"/>
          <w:szCs w:val="28"/>
        </w:rPr>
        <w:t xml:space="preserve"> злоякісні солідні новоутворення у дітей, комплексне лікування, високодозова хіміотерапія, стовбурові клітини периферичної крові.</w:t>
      </w:r>
    </w:p>
    <w:p w:rsidR="00D82C37" w:rsidRPr="00262B01" w:rsidRDefault="00D82C37" w:rsidP="00D82C37">
      <w:pPr>
        <w:jc w:val="center"/>
        <w:rPr>
          <w:b/>
          <w:sz w:val="28"/>
          <w:szCs w:val="28"/>
        </w:rPr>
      </w:pPr>
      <w:r w:rsidRPr="00262B01">
        <w:rPr>
          <w:b/>
          <w:sz w:val="28"/>
          <w:szCs w:val="28"/>
        </w:rPr>
        <w:t>АННОТАЦИЯ</w:t>
      </w:r>
    </w:p>
    <w:p w:rsidR="00D82C37" w:rsidRPr="00262B01" w:rsidRDefault="00D82C37" w:rsidP="00D82C37">
      <w:pPr>
        <w:ind w:firstLine="540"/>
        <w:jc w:val="both"/>
        <w:rPr>
          <w:sz w:val="28"/>
          <w:szCs w:val="28"/>
        </w:rPr>
      </w:pPr>
      <w:r w:rsidRPr="00262B01">
        <w:rPr>
          <w:b/>
          <w:sz w:val="28"/>
          <w:szCs w:val="28"/>
        </w:rPr>
        <w:t xml:space="preserve">Павлик С.В. Оптимизация интенсивной и высокодозной химиотерапии с трансплантацией аутологичных стволовых клеток периферической крови в </w:t>
      </w:r>
      <w:r w:rsidRPr="00262B01">
        <w:rPr>
          <w:b/>
          <w:sz w:val="28"/>
          <w:szCs w:val="28"/>
        </w:rPr>
        <w:lastRenderedPageBreak/>
        <w:t xml:space="preserve">комплексном лечении детей со злокачественными солидными новообразованиями. </w:t>
      </w:r>
      <w:r w:rsidRPr="00262B01">
        <w:rPr>
          <w:sz w:val="28"/>
          <w:szCs w:val="28"/>
        </w:rPr>
        <w:t>– Рукопись.</w:t>
      </w:r>
    </w:p>
    <w:p w:rsidR="00D82C37" w:rsidRPr="00262B01" w:rsidRDefault="00D82C37" w:rsidP="00D82C37">
      <w:pPr>
        <w:ind w:firstLine="540"/>
        <w:jc w:val="both"/>
        <w:rPr>
          <w:sz w:val="28"/>
          <w:szCs w:val="28"/>
        </w:rPr>
      </w:pPr>
      <w:r w:rsidRPr="00262B01">
        <w:rPr>
          <w:sz w:val="28"/>
          <w:szCs w:val="28"/>
        </w:rPr>
        <w:t>Диссертация на соискание ученой степени кандидата медицинских наук по специальности 14.01.07 – онкология. – Национальный институт рака, Киев, 2009.</w:t>
      </w:r>
    </w:p>
    <w:p w:rsidR="00D82C37" w:rsidRPr="00262B01" w:rsidRDefault="00D82C37" w:rsidP="00D82C37">
      <w:pPr>
        <w:ind w:firstLine="540"/>
        <w:jc w:val="both"/>
        <w:rPr>
          <w:sz w:val="28"/>
          <w:szCs w:val="28"/>
        </w:rPr>
      </w:pPr>
      <w:r w:rsidRPr="00262B01">
        <w:rPr>
          <w:sz w:val="28"/>
          <w:szCs w:val="28"/>
        </w:rPr>
        <w:t xml:space="preserve">Диссертация посвящена изучению факторов, влияющих на эффективность мобилизации и коллекции </w:t>
      </w:r>
      <w:r>
        <w:rPr>
          <w:sz w:val="28"/>
          <w:szCs w:val="28"/>
        </w:rPr>
        <w:t xml:space="preserve">аутологичных </w:t>
      </w:r>
      <w:r w:rsidRPr="00262B01">
        <w:rPr>
          <w:sz w:val="28"/>
          <w:szCs w:val="28"/>
        </w:rPr>
        <w:t>стволовых клеток периферической крови (СКПК) у детей со злокачественными солидными новообразованиями, а также изучению эффективности использования поддержки гемопоэза СКПК после высокодозовой и интенсивной химиотерапии при лечении детей с прогностически неблагоприятными формами злокачественных солидных новообразований.</w:t>
      </w:r>
    </w:p>
    <w:p w:rsidR="00D82C37" w:rsidRPr="00262B01" w:rsidRDefault="00D82C37" w:rsidP="00D82C37">
      <w:pPr>
        <w:ind w:firstLine="540"/>
        <w:jc w:val="both"/>
        <w:rPr>
          <w:sz w:val="28"/>
          <w:szCs w:val="28"/>
        </w:rPr>
      </w:pPr>
      <w:r w:rsidRPr="00262B01">
        <w:rPr>
          <w:sz w:val="28"/>
          <w:szCs w:val="28"/>
        </w:rPr>
        <w:t xml:space="preserve">Для оценки эффективности мобилизации </w:t>
      </w:r>
      <w:r>
        <w:rPr>
          <w:sz w:val="28"/>
          <w:szCs w:val="28"/>
        </w:rPr>
        <w:t xml:space="preserve">аутологичных </w:t>
      </w:r>
      <w:r w:rsidRPr="00262B01">
        <w:rPr>
          <w:sz w:val="28"/>
          <w:szCs w:val="28"/>
        </w:rPr>
        <w:t xml:space="preserve">СКПК проанализировано 315 сеансов лейкоцитафереза, которые проводились у 186 пациентов, включенных в исследование. Проанализирована зависимость эффективности мобилизации и коллекции СКПК у детей от возраста, диагноза, количества проведенных курсов ХТ, вида мобилизации, мобилизационного режима ХТ, режима введения КСФ, уровня лейкоцитов в день проведения лейкоцитафереза, количества крови, обработанного за один сеанс  лейкоцитафереза. </w:t>
      </w:r>
    </w:p>
    <w:p w:rsidR="00D82C37" w:rsidRPr="00262B01" w:rsidRDefault="00D82C37" w:rsidP="00D82C37">
      <w:pPr>
        <w:ind w:firstLine="540"/>
        <w:jc w:val="both"/>
        <w:rPr>
          <w:b/>
          <w:sz w:val="28"/>
          <w:szCs w:val="28"/>
          <w:highlight w:val="yellow"/>
        </w:rPr>
      </w:pPr>
      <w:r w:rsidRPr="00262B01">
        <w:rPr>
          <w:sz w:val="28"/>
          <w:szCs w:val="28"/>
        </w:rPr>
        <w:t>В результате проведенной работы определен комплекс факторов, влияющих на эффективность мобилизации. Показано, что возраст пациента, мобилизационный режим химиотерапии, время и длительность назначения КСФ, количество лейкоцитов в день лейкоцитафереза, объём обработанной крови за один сеанс лейкоцитафереза – это факторы, которые достоверно влияют на эффективность проведения мобилизации СКПК. Также установлено, что сочетание алкилирующих агентов и этопозида с введением КСФ в дозе ≥ 10 мкг/кг массы тела на 7–10 день после завершения химиотерапии – это наиболее эффективный мобилизирующий режим. Оптимальными параметрами проведения лейкоцитафереза признано обработку крови ≥ 250 мл/кг массы тела не позже 10 дня стимуляции при уровне лейкоцитов ≥ 10 х10</w:t>
      </w:r>
      <w:r w:rsidRPr="00262B01">
        <w:rPr>
          <w:sz w:val="28"/>
          <w:szCs w:val="28"/>
          <w:vertAlign w:val="superscript"/>
        </w:rPr>
        <w:t>9</w:t>
      </w:r>
      <w:r w:rsidRPr="00262B01">
        <w:rPr>
          <w:sz w:val="28"/>
          <w:szCs w:val="28"/>
        </w:rPr>
        <w:t>/л. По результатам работы предложен алгоритм применения оптимальной схемы мобилизации для конкретных групп детей со злокачественными солидными новообразованиями.</w:t>
      </w:r>
    </w:p>
    <w:p w:rsidR="00D82C37" w:rsidRPr="00262B01" w:rsidRDefault="00D82C37" w:rsidP="00D82C37">
      <w:pPr>
        <w:ind w:firstLine="540"/>
        <w:jc w:val="both"/>
        <w:rPr>
          <w:sz w:val="28"/>
          <w:szCs w:val="28"/>
        </w:rPr>
      </w:pPr>
      <w:r w:rsidRPr="00262B01">
        <w:rPr>
          <w:sz w:val="28"/>
          <w:szCs w:val="28"/>
        </w:rPr>
        <w:t xml:space="preserve">В исследовании проведен анализ применения 34 курсов интенсивной немиелоаблятивной химиотерапии с поддержкой СКПК у 26 пациентов. Проанализировано 8 курсов ПХТ без поддержки кроветворения СКПК и 7 таких </w:t>
      </w:r>
      <w:r w:rsidRPr="00262B01">
        <w:rPr>
          <w:sz w:val="28"/>
          <w:szCs w:val="28"/>
        </w:rPr>
        <w:lastRenderedPageBreak/>
        <w:t xml:space="preserve">же курсов ПХТ с поддержкой у 6 больных, которые получали один и тот же режим ПХТ, как с поддержкой СКПК, так и без использования данного метода. А также проведен анализ применения 69 курсов высокодозной химиотерапии с трансплантацией СКПК у 67 пациентов. </w:t>
      </w:r>
    </w:p>
    <w:p w:rsidR="00D82C37" w:rsidRPr="00262B01" w:rsidRDefault="00D82C37" w:rsidP="00D82C37">
      <w:pPr>
        <w:ind w:firstLine="709"/>
        <w:jc w:val="both"/>
        <w:rPr>
          <w:sz w:val="28"/>
          <w:szCs w:val="28"/>
          <w:highlight w:val="yellow"/>
        </w:rPr>
      </w:pPr>
      <w:r w:rsidRPr="00262B01">
        <w:rPr>
          <w:sz w:val="28"/>
          <w:szCs w:val="28"/>
        </w:rPr>
        <w:t xml:space="preserve">В работе подтверждена эффективность метода поддержки кроветворения </w:t>
      </w:r>
      <w:r>
        <w:rPr>
          <w:sz w:val="28"/>
          <w:szCs w:val="28"/>
        </w:rPr>
        <w:t xml:space="preserve">аутологичными </w:t>
      </w:r>
      <w:r w:rsidRPr="00262B01">
        <w:rPr>
          <w:sz w:val="28"/>
          <w:szCs w:val="28"/>
        </w:rPr>
        <w:t>СКПК после проведения высокодозной и интенсивной ХТ у детей с прогностически неблагоприятными формами злокачественных солидных новообразований. Общая годовая выживаемость пациентов группы с нефробластомой высокого риска, которые получили высокодозную ХТ с трансплантацией СКПК, составляет 35,7 % (95 % ДИ: 10,61–60,81 %), у пациентов группы с нейробластомой высокого риска – 58,8 % (95 % ДИ: 35,43– 82,22 %), а пациентов с саркомою Юинга – 81,8 % (95 % ДИ: 68,66–94,98 %). Длительная безрецидивная выживаемость пациентов группы высокого риска с нефробластомой составляет 20–22 %, при нейробластоме – 30–32 %, а при саркоме Юинга – 45 %.</w:t>
      </w:r>
    </w:p>
    <w:p w:rsidR="00D82C37" w:rsidRPr="00262B01" w:rsidRDefault="00D82C37" w:rsidP="00D82C37">
      <w:pPr>
        <w:ind w:firstLine="540"/>
        <w:jc w:val="both"/>
        <w:rPr>
          <w:sz w:val="28"/>
          <w:szCs w:val="28"/>
        </w:rPr>
      </w:pPr>
      <w:r w:rsidRPr="00262B01">
        <w:rPr>
          <w:b/>
          <w:sz w:val="28"/>
          <w:szCs w:val="28"/>
        </w:rPr>
        <w:t>Ключевые слова:</w:t>
      </w:r>
      <w:r w:rsidRPr="00262B01">
        <w:rPr>
          <w:sz w:val="28"/>
          <w:szCs w:val="28"/>
        </w:rPr>
        <w:t xml:space="preserve"> злокачественные солидные новообразования у детей, комплексное лечение, высокодозная химиотерапия, стволовые клетки периферической крови.</w:t>
      </w:r>
    </w:p>
    <w:p w:rsidR="00D82C37" w:rsidRPr="00262B01" w:rsidRDefault="00D82C37" w:rsidP="00D82C37">
      <w:pPr>
        <w:jc w:val="center"/>
        <w:rPr>
          <w:b/>
          <w:sz w:val="28"/>
          <w:szCs w:val="28"/>
          <w:lang w:val="en-US"/>
        </w:rPr>
      </w:pPr>
      <w:r w:rsidRPr="00262B01">
        <w:rPr>
          <w:b/>
          <w:sz w:val="28"/>
          <w:szCs w:val="28"/>
          <w:lang w:val="en-US"/>
        </w:rPr>
        <w:t>SUMMARY</w:t>
      </w:r>
    </w:p>
    <w:p w:rsidR="00D82C37" w:rsidRPr="00262B01" w:rsidRDefault="00D82C37" w:rsidP="00D82C37">
      <w:pPr>
        <w:ind w:firstLine="708"/>
        <w:jc w:val="both"/>
        <w:rPr>
          <w:sz w:val="28"/>
          <w:szCs w:val="28"/>
          <w:lang w:val="en-US"/>
        </w:rPr>
      </w:pPr>
      <w:r w:rsidRPr="00262B01">
        <w:rPr>
          <w:b/>
          <w:bCs/>
          <w:sz w:val="28"/>
          <w:szCs w:val="28"/>
          <w:lang w:val="en-US"/>
        </w:rPr>
        <w:t xml:space="preserve">Pavlyk S.V. Optimization of intensive and high-dose chemotherapy with autologous peripheral blood stem cells transplantation in multiple treatment of children with malignant solid tumours. </w:t>
      </w:r>
      <w:r w:rsidRPr="00262B01">
        <w:rPr>
          <w:sz w:val="28"/>
          <w:szCs w:val="28"/>
          <w:lang w:val="en-US"/>
        </w:rPr>
        <w:t>– Manuscript.</w:t>
      </w:r>
    </w:p>
    <w:p w:rsidR="00D82C37" w:rsidRPr="00262B01" w:rsidRDefault="00D82C37" w:rsidP="00D82C37">
      <w:pPr>
        <w:ind w:firstLine="708"/>
        <w:jc w:val="both"/>
        <w:rPr>
          <w:sz w:val="28"/>
          <w:szCs w:val="28"/>
          <w:lang w:val="en-US"/>
        </w:rPr>
      </w:pPr>
      <w:r w:rsidRPr="00262B01">
        <w:rPr>
          <w:sz w:val="28"/>
          <w:szCs w:val="28"/>
          <w:lang w:val="en-US"/>
        </w:rPr>
        <w:t>Thesis for</w:t>
      </w:r>
      <w:r w:rsidRPr="00D82C37">
        <w:rPr>
          <w:sz w:val="28"/>
          <w:szCs w:val="28"/>
          <w:lang w:val="en-US"/>
        </w:rPr>
        <w:t xml:space="preserve"> </w:t>
      </w:r>
      <w:r w:rsidRPr="00262B01">
        <w:rPr>
          <w:sz w:val="28"/>
          <w:szCs w:val="28"/>
          <w:lang w:val="en-US"/>
        </w:rPr>
        <w:t>the Degree of candidate of medical sciences in the speciality 14.01.07 – oncology. – National Cancer Institute, Kyiv, 2009.</w:t>
      </w:r>
    </w:p>
    <w:p w:rsidR="00D82C37" w:rsidRPr="00262B01" w:rsidRDefault="00D82C37" w:rsidP="00D82C37">
      <w:pPr>
        <w:jc w:val="both"/>
        <w:rPr>
          <w:sz w:val="28"/>
          <w:szCs w:val="28"/>
          <w:lang w:val="en-US"/>
        </w:rPr>
      </w:pPr>
      <w:r w:rsidRPr="00262B01">
        <w:rPr>
          <w:b/>
          <w:bCs/>
          <w:sz w:val="28"/>
          <w:szCs w:val="28"/>
          <w:lang w:val="en-US"/>
        </w:rPr>
        <w:tab/>
      </w:r>
      <w:r w:rsidRPr="00262B01">
        <w:rPr>
          <w:sz w:val="28"/>
          <w:szCs w:val="28"/>
          <w:lang w:val="en-US"/>
        </w:rPr>
        <w:t xml:space="preserve">The thesis is devoted to investigation of factors having influence upon the </w:t>
      </w:r>
      <w:r w:rsidRPr="00C42DA4">
        <w:rPr>
          <w:bCs/>
          <w:sz w:val="28"/>
          <w:szCs w:val="28"/>
          <w:lang w:val="en-US"/>
        </w:rPr>
        <w:t>autologous</w:t>
      </w:r>
      <w:r w:rsidRPr="00C42DA4">
        <w:rPr>
          <w:sz w:val="28"/>
          <w:szCs w:val="28"/>
          <w:lang w:val="en-US"/>
        </w:rPr>
        <w:t xml:space="preserve"> </w:t>
      </w:r>
      <w:r w:rsidRPr="00262B01">
        <w:rPr>
          <w:sz w:val="28"/>
          <w:szCs w:val="28"/>
          <w:lang w:val="en-US"/>
        </w:rPr>
        <w:t xml:space="preserve">peripheral blood stem cells mobilization and collection efficiency in children </w:t>
      </w:r>
      <w:r w:rsidRPr="00262B01">
        <w:rPr>
          <w:bCs/>
          <w:sz w:val="28"/>
          <w:szCs w:val="28"/>
          <w:lang w:val="en-US"/>
        </w:rPr>
        <w:t>with</w:t>
      </w:r>
      <w:r w:rsidRPr="00262B01">
        <w:rPr>
          <w:sz w:val="28"/>
          <w:szCs w:val="28"/>
          <w:lang w:val="en-US"/>
        </w:rPr>
        <w:t xml:space="preserve"> malignant solid tumours, as well as studying of efficiency of application of peripheral blood stem cells haematopoiesis support upon high-dose and intensive chemotherapy in treatment of children with prognostically unfavourable forms of malignant solid tumours.</w:t>
      </w:r>
    </w:p>
    <w:p w:rsidR="00D82C37" w:rsidRPr="00262B01" w:rsidRDefault="00D82C37" w:rsidP="00D82C37">
      <w:pPr>
        <w:jc w:val="both"/>
        <w:rPr>
          <w:sz w:val="28"/>
          <w:szCs w:val="28"/>
          <w:lang w:val="en-US"/>
        </w:rPr>
      </w:pPr>
      <w:r w:rsidRPr="00262B01">
        <w:rPr>
          <w:sz w:val="28"/>
          <w:szCs w:val="28"/>
          <w:lang w:val="en-US"/>
        </w:rPr>
        <w:tab/>
        <w:t>The performed work resulted in definition of a number of factors having influence upon the mobilization efficiency. It has been established that patient’s age, mobilization regimen of chemotherapy, time and duration of colony stimulating factor</w:t>
      </w:r>
      <w:r w:rsidRPr="00D82C37">
        <w:rPr>
          <w:sz w:val="28"/>
          <w:szCs w:val="28"/>
          <w:lang w:val="en-US"/>
        </w:rPr>
        <w:t xml:space="preserve"> </w:t>
      </w:r>
      <w:r w:rsidRPr="00262B01">
        <w:rPr>
          <w:sz w:val="28"/>
          <w:szCs w:val="28"/>
          <w:lang w:val="en-US"/>
        </w:rPr>
        <w:t xml:space="preserve">administration, number of white blood cells as of the date of leucopheresis, volume of blood treated for one session of leucopheresis are the factors that have a proved effect on the peripheral blood stem cells mobilization </w:t>
      </w:r>
      <w:r w:rsidRPr="00262B01">
        <w:rPr>
          <w:sz w:val="28"/>
          <w:szCs w:val="28"/>
          <w:lang w:val="en-US"/>
        </w:rPr>
        <w:lastRenderedPageBreak/>
        <w:t xml:space="preserve">efficiency. Thereto, it has been established that combination of alkylating agents and etoposide with administration of CSF in the dose </w:t>
      </w:r>
      <w:r w:rsidRPr="00262B01">
        <w:rPr>
          <w:sz w:val="28"/>
          <w:szCs w:val="28"/>
          <w:u w:val="single"/>
          <w:lang w:val="en-US"/>
        </w:rPr>
        <w:t>&gt;</w:t>
      </w:r>
      <w:r w:rsidRPr="00262B01">
        <w:rPr>
          <w:sz w:val="28"/>
          <w:szCs w:val="28"/>
          <w:lang w:val="en-US"/>
        </w:rPr>
        <w:t xml:space="preserve"> 10 μg/kg of body mass on the 7</w:t>
      </w:r>
      <w:r w:rsidRPr="00262B01">
        <w:rPr>
          <w:sz w:val="28"/>
          <w:szCs w:val="28"/>
          <w:vertAlign w:val="superscript"/>
          <w:lang w:val="en-US"/>
        </w:rPr>
        <w:t>th</w:t>
      </w:r>
      <w:r w:rsidRPr="00262B01">
        <w:rPr>
          <w:sz w:val="28"/>
          <w:szCs w:val="28"/>
          <w:lang w:val="en-US"/>
        </w:rPr>
        <w:t>/10</w:t>
      </w:r>
      <w:r w:rsidRPr="00262B01">
        <w:rPr>
          <w:sz w:val="28"/>
          <w:szCs w:val="28"/>
          <w:vertAlign w:val="superscript"/>
          <w:lang w:val="en-US"/>
        </w:rPr>
        <w:t>th</w:t>
      </w:r>
      <w:r w:rsidRPr="00262B01">
        <w:rPr>
          <w:sz w:val="28"/>
          <w:szCs w:val="28"/>
          <w:lang w:val="en-US"/>
        </w:rPr>
        <w:t xml:space="preserve"> day upon completion of chemotherapy is the most effective mobilization regimen. Treatment of blood </w:t>
      </w:r>
      <w:r w:rsidRPr="00262B01">
        <w:rPr>
          <w:sz w:val="28"/>
          <w:szCs w:val="28"/>
          <w:u w:val="single"/>
          <w:lang w:val="en-US"/>
        </w:rPr>
        <w:t>&gt;</w:t>
      </w:r>
      <w:r w:rsidRPr="00262B01">
        <w:rPr>
          <w:sz w:val="28"/>
          <w:szCs w:val="28"/>
          <w:lang w:val="en-US"/>
        </w:rPr>
        <w:t xml:space="preserve"> 250 ml/kg of body mass not later than on the 10</w:t>
      </w:r>
      <w:r w:rsidRPr="00262B01">
        <w:rPr>
          <w:sz w:val="28"/>
          <w:szCs w:val="28"/>
          <w:vertAlign w:val="superscript"/>
          <w:lang w:val="en-US"/>
        </w:rPr>
        <w:t>th</w:t>
      </w:r>
      <w:r w:rsidRPr="00262B01">
        <w:rPr>
          <w:sz w:val="28"/>
          <w:szCs w:val="28"/>
          <w:lang w:val="en-US"/>
        </w:rPr>
        <w:t xml:space="preserve"> day of stimulation at </w:t>
      </w:r>
      <w:r w:rsidRPr="00262B01">
        <w:rPr>
          <w:sz w:val="28"/>
          <w:szCs w:val="28"/>
          <w:u w:val="single"/>
          <w:lang w:val="en-US"/>
        </w:rPr>
        <w:t>&gt;</w:t>
      </w:r>
      <w:r w:rsidRPr="00262B01">
        <w:rPr>
          <w:sz w:val="28"/>
          <w:szCs w:val="28"/>
          <w:lang w:val="en-US"/>
        </w:rPr>
        <w:t xml:space="preserve"> 10 x 10</w:t>
      </w:r>
      <w:r w:rsidRPr="00262B01">
        <w:rPr>
          <w:sz w:val="28"/>
          <w:szCs w:val="28"/>
          <w:vertAlign w:val="superscript"/>
          <w:lang w:val="en-US"/>
        </w:rPr>
        <w:t>9</w:t>
      </w:r>
      <w:r w:rsidRPr="00262B01">
        <w:rPr>
          <w:sz w:val="28"/>
          <w:szCs w:val="28"/>
          <w:lang w:val="en-US"/>
        </w:rPr>
        <w:t>/l rate of white blood cells is an optimal parameter of leucopheresis. The paper proves efficiency of the peripheral blood stem cells haematogenesis support method upon high-dose and intensive chemotherapy in children with prognostically unfavourable forms of malignant solid tumours. Based on the results of work, an algorithm of the optimal mobilization scheme application for the specific groups of children, who suffer from malignant solid tumours, has been proposed.</w:t>
      </w:r>
    </w:p>
    <w:p w:rsidR="00D82C37" w:rsidRPr="00D82C37" w:rsidRDefault="00D82C37" w:rsidP="00D82C37">
      <w:pPr>
        <w:jc w:val="both"/>
        <w:rPr>
          <w:sz w:val="28"/>
          <w:szCs w:val="28"/>
          <w:lang w:val="en-US"/>
        </w:rPr>
      </w:pPr>
      <w:r w:rsidRPr="00262B01">
        <w:rPr>
          <w:sz w:val="28"/>
          <w:szCs w:val="28"/>
          <w:lang w:val="en-US"/>
        </w:rPr>
        <w:tab/>
      </w:r>
      <w:r w:rsidRPr="00262B01">
        <w:rPr>
          <w:b/>
          <w:bCs/>
          <w:sz w:val="28"/>
          <w:szCs w:val="28"/>
          <w:lang w:val="en-US"/>
        </w:rPr>
        <w:t xml:space="preserve">Key words: </w:t>
      </w:r>
      <w:r w:rsidRPr="00262B01">
        <w:rPr>
          <w:sz w:val="28"/>
          <w:szCs w:val="28"/>
          <w:lang w:val="en-US"/>
        </w:rPr>
        <w:t>malignant solid tumours in children, multiple treatment, high-dose therapy, peripheral blood stem cells.</w:t>
      </w:r>
    </w:p>
    <w:p w:rsidR="00D82C37" w:rsidRPr="00D82C37" w:rsidRDefault="00D82C37" w:rsidP="00D82C37">
      <w:pPr>
        <w:jc w:val="center"/>
        <w:rPr>
          <w:b/>
          <w:sz w:val="28"/>
          <w:szCs w:val="28"/>
          <w:lang w:val="en-US"/>
        </w:rPr>
      </w:pPr>
    </w:p>
    <w:p w:rsidR="00D82C37" w:rsidRPr="00D82C37" w:rsidRDefault="00D82C37" w:rsidP="00D82C37">
      <w:pPr>
        <w:jc w:val="center"/>
        <w:rPr>
          <w:b/>
          <w:sz w:val="28"/>
          <w:szCs w:val="28"/>
          <w:lang w:val="en-US"/>
        </w:rPr>
      </w:pPr>
    </w:p>
    <w:p w:rsidR="00D82C37" w:rsidRPr="00262B01" w:rsidRDefault="00D82C37" w:rsidP="00D82C37">
      <w:pPr>
        <w:jc w:val="center"/>
        <w:rPr>
          <w:b/>
          <w:sz w:val="28"/>
          <w:szCs w:val="28"/>
        </w:rPr>
      </w:pPr>
      <w:r w:rsidRPr="00262B01">
        <w:rPr>
          <w:b/>
          <w:sz w:val="28"/>
          <w:szCs w:val="28"/>
        </w:rPr>
        <w:t>ПЕРЕЛІК УМОВНИХ СКОРОЧЕНЬ</w:t>
      </w:r>
    </w:p>
    <w:p w:rsidR="00D82C37" w:rsidRPr="00262B01" w:rsidRDefault="00D82C37" w:rsidP="00D82C37">
      <w:pPr>
        <w:jc w:val="both"/>
        <w:rPr>
          <w:b/>
          <w:sz w:val="28"/>
          <w:szCs w:val="28"/>
        </w:rPr>
      </w:pPr>
    </w:p>
    <w:p w:rsidR="00D82C37" w:rsidRPr="00262B01" w:rsidRDefault="00D82C37" w:rsidP="00D82C37">
      <w:pPr>
        <w:jc w:val="both"/>
        <w:rPr>
          <w:sz w:val="28"/>
          <w:szCs w:val="28"/>
        </w:rPr>
      </w:pPr>
      <w:r w:rsidRPr="00262B01">
        <w:rPr>
          <w:sz w:val="28"/>
          <w:szCs w:val="28"/>
        </w:rPr>
        <w:t>в/в – внутрішньовенно</w:t>
      </w:r>
    </w:p>
    <w:p w:rsidR="00D82C37" w:rsidRPr="00262B01" w:rsidRDefault="00D82C37" w:rsidP="00D82C37">
      <w:pPr>
        <w:jc w:val="both"/>
        <w:rPr>
          <w:sz w:val="28"/>
          <w:szCs w:val="28"/>
        </w:rPr>
      </w:pPr>
      <w:r w:rsidRPr="00262B01">
        <w:rPr>
          <w:sz w:val="28"/>
          <w:szCs w:val="28"/>
        </w:rPr>
        <w:t xml:space="preserve">ГСК – гемопоетичні стовбурові клітини </w:t>
      </w:r>
    </w:p>
    <w:p w:rsidR="00D82C37" w:rsidRPr="00262B01" w:rsidRDefault="00D82C37" w:rsidP="00D82C37">
      <w:pPr>
        <w:jc w:val="both"/>
        <w:rPr>
          <w:sz w:val="28"/>
          <w:szCs w:val="28"/>
        </w:rPr>
      </w:pPr>
      <w:r w:rsidRPr="00262B01">
        <w:rPr>
          <w:sz w:val="28"/>
          <w:szCs w:val="28"/>
        </w:rPr>
        <w:t>ДА – дисперсійний аналіз</w:t>
      </w:r>
    </w:p>
    <w:p w:rsidR="00D82C37" w:rsidRPr="00262B01" w:rsidRDefault="00D82C37" w:rsidP="00D82C37">
      <w:pPr>
        <w:jc w:val="both"/>
        <w:rPr>
          <w:sz w:val="28"/>
          <w:szCs w:val="28"/>
        </w:rPr>
      </w:pPr>
      <w:r w:rsidRPr="00262B01">
        <w:rPr>
          <w:sz w:val="28"/>
          <w:szCs w:val="28"/>
        </w:rPr>
        <w:t>ДІ – довірчий інтервал</w:t>
      </w:r>
    </w:p>
    <w:p w:rsidR="00D82C37" w:rsidRPr="00262B01" w:rsidRDefault="00D82C37" w:rsidP="00D82C37">
      <w:pPr>
        <w:jc w:val="both"/>
        <w:rPr>
          <w:sz w:val="28"/>
          <w:szCs w:val="28"/>
        </w:rPr>
      </w:pPr>
      <w:r w:rsidRPr="00262B01">
        <w:rPr>
          <w:sz w:val="28"/>
          <w:szCs w:val="28"/>
        </w:rPr>
        <w:t>ЗН – злоякісні новоутворення</w:t>
      </w:r>
    </w:p>
    <w:p w:rsidR="00D82C37" w:rsidRPr="00262B01" w:rsidRDefault="00D82C37" w:rsidP="00D82C37">
      <w:pPr>
        <w:rPr>
          <w:sz w:val="28"/>
          <w:szCs w:val="28"/>
        </w:rPr>
      </w:pPr>
      <w:r w:rsidRPr="00262B01">
        <w:rPr>
          <w:sz w:val="28"/>
          <w:szCs w:val="28"/>
        </w:rPr>
        <w:t xml:space="preserve">клітин/мкл – клітини в 1 мікролітрі </w:t>
      </w:r>
    </w:p>
    <w:p w:rsidR="00D82C37" w:rsidRPr="00262B01" w:rsidRDefault="00D82C37" w:rsidP="00D82C37">
      <w:pPr>
        <w:rPr>
          <w:sz w:val="28"/>
          <w:szCs w:val="28"/>
        </w:rPr>
      </w:pPr>
      <w:r w:rsidRPr="00262B01">
        <w:rPr>
          <w:sz w:val="28"/>
          <w:szCs w:val="28"/>
        </w:rPr>
        <w:t>КСФ – колонієстимулюючий фактор</w:t>
      </w:r>
    </w:p>
    <w:p w:rsidR="00D82C37" w:rsidRPr="00262B01" w:rsidRDefault="00D82C37" w:rsidP="00D82C37">
      <w:pPr>
        <w:rPr>
          <w:sz w:val="28"/>
          <w:szCs w:val="28"/>
        </w:rPr>
      </w:pPr>
      <w:r w:rsidRPr="00262B01">
        <w:rPr>
          <w:sz w:val="28"/>
          <w:szCs w:val="28"/>
        </w:rPr>
        <w:t>ОЦК – об’єм циркулюючої крові</w:t>
      </w:r>
    </w:p>
    <w:p w:rsidR="00D82C37" w:rsidRPr="00262B01" w:rsidRDefault="00D82C37" w:rsidP="00D82C37">
      <w:pPr>
        <w:rPr>
          <w:sz w:val="28"/>
          <w:szCs w:val="28"/>
        </w:rPr>
      </w:pPr>
      <w:r w:rsidRPr="00262B01">
        <w:rPr>
          <w:sz w:val="28"/>
          <w:szCs w:val="28"/>
        </w:rPr>
        <w:t>ПНЕП – примітивна нейроектодермальна пухлина</w:t>
      </w:r>
    </w:p>
    <w:p w:rsidR="00D82C37" w:rsidRPr="00262B01" w:rsidRDefault="00D82C37" w:rsidP="00D82C37">
      <w:pPr>
        <w:rPr>
          <w:sz w:val="28"/>
          <w:szCs w:val="28"/>
        </w:rPr>
      </w:pPr>
      <w:r w:rsidRPr="00262B01">
        <w:rPr>
          <w:sz w:val="28"/>
          <w:szCs w:val="28"/>
        </w:rPr>
        <w:t>ПХТ – поліхіміотерапія</w:t>
      </w:r>
    </w:p>
    <w:p w:rsidR="00D82C37" w:rsidRPr="00262B01" w:rsidRDefault="00D82C37" w:rsidP="00D82C37">
      <w:pPr>
        <w:rPr>
          <w:sz w:val="28"/>
          <w:szCs w:val="28"/>
        </w:rPr>
      </w:pPr>
      <w:r w:rsidRPr="00262B01">
        <w:rPr>
          <w:sz w:val="28"/>
          <w:szCs w:val="28"/>
        </w:rPr>
        <w:t>СД34+ клітини – клітини з позитивною експресією антигену</w:t>
      </w:r>
    </w:p>
    <w:p w:rsidR="00D82C37" w:rsidRPr="00262B01" w:rsidRDefault="00D82C37" w:rsidP="00D82C37">
      <w:pPr>
        <w:rPr>
          <w:sz w:val="28"/>
          <w:szCs w:val="28"/>
        </w:rPr>
      </w:pPr>
      <w:r w:rsidRPr="00262B01">
        <w:rPr>
          <w:sz w:val="28"/>
          <w:szCs w:val="28"/>
        </w:rPr>
        <w:t>СКПК – стовбурові клітини периферичної крові</w:t>
      </w:r>
    </w:p>
    <w:p w:rsidR="00D82C37" w:rsidRPr="00262B01" w:rsidRDefault="00D82C37" w:rsidP="00D82C37">
      <w:pPr>
        <w:rPr>
          <w:sz w:val="28"/>
          <w:szCs w:val="28"/>
        </w:rPr>
      </w:pPr>
      <w:r w:rsidRPr="00262B01">
        <w:rPr>
          <w:sz w:val="28"/>
          <w:szCs w:val="28"/>
        </w:rPr>
        <w:t>ХТ – хіміотерапія</w:t>
      </w:r>
    </w:p>
    <w:p w:rsidR="00D82C37" w:rsidRPr="00262B01" w:rsidRDefault="00D82C37" w:rsidP="00D82C37">
      <w:pPr>
        <w:ind w:left="75"/>
        <w:jc w:val="both"/>
        <w:rPr>
          <w:sz w:val="28"/>
          <w:szCs w:val="28"/>
        </w:rPr>
      </w:pPr>
    </w:p>
    <w:p w:rsidR="00CA7E79" w:rsidRPr="00D82C37" w:rsidRDefault="00CA7E79" w:rsidP="00842CAD">
      <w:pPr>
        <w:spacing w:line="360" w:lineRule="auto"/>
        <w:jc w:val="both"/>
        <w:rPr>
          <w:spacing w:val="-8"/>
          <w:sz w:val="28"/>
          <w:szCs w:val="28"/>
        </w:rPr>
      </w:pPr>
      <w:bookmarkStart w:id="1" w:name="_GoBack"/>
      <w:bookmarkEnd w:id="1"/>
    </w:p>
    <w:p w:rsidR="00804CAB" w:rsidRPr="00160786" w:rsidRDefault="00804CAB" w:rsidP="001B62AE">
      <w:pPr>
        <w:pStyle w:val="af4"/>
      </w:pPr>
      <w:r w:rsidRPr="00804CAB">
        <w:rPr>
          <w:rStyle w:val="af3"/>
          <w:color w:val="FF0000"/>
        </w:rPr>
        <w:t xml:space="preserve">Для заказа доставки данной работы воспользуйтесь поиском на сайте по ссылке:  </w:t>
      </w:r>
      <w:hyperlink r:id="rId10"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F3" w:rsidRDefault="007A52F3">
      <w:pPr>
        <w:spacing w:after="0" w:line="240" w:lineRule="auto"/>
      </w:pPr>
      <w:r>
        <w:separator/>
      </w:r>
    </w:p>
  </w:endnote>
  <w:endnote w:type="continuationSeparator" w:id="0">
    <w:p w:rsidR="007A52F3" w:rsidRDefault="007A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7A52F3">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D82C37">
      <w:rPr>
        <w:rStyle w:val="aff1"/>
        <w:rFonts w:eastAsia="Garamond"/>
        <w:noProof/>
      </w:rPr>
      <w:t>2</w:t>
    </w:r>
    <w:r>
      <w:rPr>
        <w:rStyle w:val="aff1"/>
        <w:rFonts w:eastAsia="Garamond"/>
      </w:rPr>
      <w:fldChar w:fldCharType="end"/>
    </w:r>
  </w:p>
  <w:p w:rsidR="009335CF" w:rsidRDefault="007A52F3">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F3" w:rsidRDefault="007A52F3">
      <w:pPr>
        <w:spacing w:after="0" w:line="240" w:lineRule="auto"/>
      </w:pPr>
      <w:r>
        <w:separator/>
      </w:r>
    </w:p>
  </w:footnote>
  <w:footnote w:type="continuationSeparator" w:id="0">
    <w:p w:rsidR="007A52F3" w:rsidRDefault="007A5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7A52F3">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7A52F3">
    <w:pPr>
      <w:pStyle w:val="aff"/>
      <w:framePr w:wrap="around" w:vAnchor="text" w:hAnchor="margin" w:xAlign="right" w:y="1"/>
      <w:rPr>
        <w:rStyle w:val="aff1"/>
        <w:lang w:val="uk-UA"/>
      </w:rPr>
    </w:pPr>
  </w:p>
  <w:p w:rsidR="009335CF" w:rsidRDefault="007A52F3">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FB13D08"/>
    <w:multiLevelType w:val="hybridMultilevel"/>
    <w:tmpl w:val="751E96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D8E026A"/>
    <w:multiLevelType w:val="hybridMultilevel"/>
    <w:tmpl w:val="AFE8C6E0"/>
    <w:lvl w:ilvl="0" w:tplc="552C02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6D92BC6"/>
    <w:multiLevelType w:val="hybridMultilevel"/>
    <w:tmpl w:val="2E0CCD0E"/>
    <w:lvl w:ilvl="0" w:tplc="7F2A0CD8">
      <w:start w:val="1"/>
      <w:numFmt w:val="decimal"/>
      <w:lvlText w:val="%1."/>
      <w:lvlJc w:val="left"/>
      <w:pPr>
        <w:tabs>
          <w:tab w:val="num" w:pos="1680"/>
        </w:tabs>
        <w:ind w:left="1680" w:hanging="960"/>
      </w:pPr>
      <w:rPr>
        <w:rFonts w:hint="default"/>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0"/>
  </w:num>
  <w:num w:numId="5">
    <w:abstractNumId w:val="27"/>
  </w:num>
  <w:num w:numId="6">
    <w:abstractNumId w:val="37"/>
  </w:num>
  <w:num w:numId="7">
    <w:abstractNumId w:val="24"/>
  </w:num>
  <w:num w:numId="8">
    <w:abstractNumId w:val="59"/>
  </w:num>
  <w:num w:numId="9">
    <w:abstractNumId w:val="35"/>
  </w:num>
  <w:num w:numId="10">
    <w:abstractNumId w:val="40"/>
  </w:num>
  <w:num w:numId="11">
    <w:abstractNumId w:val="64"/>
  </w:num>
  <w:num w:numId="12">
    <w:abstractNumId w:val="43"/>
  </w:num>
  <w:num w:numId="13">
    <w:abstractNumId w:val="51"/>
  </w:num>
  <w:num w:numId="14">
    <w:abstractNumId w:val="41"/>
  </w:num>
  <w:num w:numId="15">
    <w:abstractNumId w:val="32"/>
  </w:num>
  <w:num w:numId="16">
    <w:abstractNumId w:val="38"/>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61"/>
  </w:num>
  <w:num w:numId="23">
    <w:abstractNumId w:val="26"/>
  </w:num>
  <w:num w:numId="24">
    <w:abstractNumId w:val="50"/>
    <w:lvlOverride w:ilvl="0">
      <w:startOverride w:val="1"/>
    </w:lvlOverride>
  </w:num>
  <w:num w:numId="25">
    <w:abstractNumId w:val="47"/>
  </w:num>
  <w:num w:numId="26">
    <w:abstractNumId w:val="63"/>
  </w:num>
  <w:num w:numId="27">
    <w:abstractNumId w:val="28"/>
  </w:num>
  <w:num w:numId="28">
    <w:abstractNumId w:val="34"/>
  </w:num>
  <w:num w:numId="29">
    <w:abstractNumId w:val="48"/>
  </w:num>
  <w:num w:numId="30">
    <w:abstractNumId w:val="52"/>
  </w:num>
  <w:num w:numId="31">
    <w:abstractNumId w:val="60"/>
  </w:num>
  <w:num w:numId="32">
    <w:abstractNumId w:val="31"/>
  </w:num>
  <w:num w:numId="33">
    <w:abstractNumId w:val="54"/>
  </w:num>
  <w:num w:numId="34">
    <w:abstractNumId w:val="55"/>
  </w:num>
  <w:num w:numId="35">
    <w:abstractNumId w:val="46"/>
  </w:num>
  <w:num w:numId="36">
    <w:abstractNumId w:val="62"/>
  </w:num>
  <w:num w:numId="37">
    <w:abstractNumId w:val="42"/>
    <w:lvlOverride w:ilvl="0">
      <w:startOverride w:val="1"/>
    </w:lvlOverride>
  </w:num>
  <w:num w:numId="38">
    <w:abstractNumId w:val="23"/>
  </w:num>
  <w:num w:numId="39">
    <w:abstractNumId w:val="45"/>
  </w:num>
  <w:num w:numId="40">
    <w:abstractNumId w:val="39"/>
  </w:num>
  <w:num w:numId="41">
    <w:abstractNumId w:val="5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A52F3"/>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uiPriority w:val="9"/>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uiPriority w:val="9"/>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uiPriority w:val="9"/>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uiPriority w:val="9"/>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uiPriority w:val="2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uiPriority w:val="11"/>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2373</TotalTime>
  <Pages>26</Pages>
  <Words>6667</Words>
  <Characters>38002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1213</cp:revision>
  <dcterms:created xsi:type="dcterms:W3CDTF">2015-05-26T12:20:00Z</dcterms:created>
  <dcterms:modified xsi:type="dcterms:W3CDTF">2015-06-06T10:31:00Z</dcterms:modified>
</cp:coreProperties>
</file>