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FC6DD7" w:rsidRPr="004D7A6B" w:rsidRDefault="00FC6DD7" w:rsidP="00FC6DD7">
      <w:pPr>
        <w:pStyle w:val="ae"/>
        <w:widowControl w:val="0"/>
        <w:autoSpaceDE w:val="0"/>
        <w:autoSpaceDN w:val="0"/>
        <w:adjustRightInd w:val="0"/>
        <w:spacing w:line="360" w:lineRule="auto"/>
        <w:rPr>
          <w:b w:val="0"/>
          <w:bCs/>
          <w:caps/>
          <w:color w:val="000000"/>
          <w:sz w:val="28"/>
          <w:szCs w:val="28"/>
          <w:lang w:val="uk-UA"/>
        </w:rPr>
      </w:pPr>
      <w:r w:rsidRPr="004D7A6B">
        <w:rPr>
          <w:b w:val="0"/>
          <w:bCs/>
          <w:caps/>
          <w:color w:val="000000"/>
          <w:sz w:val="28"/>
          <w:szCs w:val="28"/>
          <w:lang w:val="uk-UA"/>
        </w:rPr>
        <w:t>МІНІСТЕРСТВО ОХОРОНИ ЗДОРОВ’Я УКРАЇНИ</w:t>
      </w:r>
    </w:p>
    <w:p w:rsidR="00FC6DD7" w:rsidRPr="004D7A6B" w:rsidRDefault="00FC6DD7" w:rsidP="00FC6DD7">
      <w:pPr>
        <w:pStyle w:val="affffffb"/>
        <w:suppressAutoHyphens/>
        <w:rPr>
          <w:b w:val="0"/>
          <w:bCs w:val="0"/>
          <w:color w:val="000000"/>
          <w:lang w:val="uk-UA"/>
        </w:rPr>
      </w:pPr>
      <w:r w:rsidRPr="004D7A6B">
        <w:rPr>
          <w:b w:val="0"/>
          <w:bCs w:val="0"/>
          <w:caps/>
          <w:color w:val="000000"/>
          <w:lang w:val="uk-UA"/>
        </w:rPr>
        <w:t xml:space="preserve">Кримська республіканська установа «Науково-дослідний інститут фізичних методів лікування І медичної кліматології  </w:t>
      </w:r>
      <w:r w:rsidRPr="004D7A6B">
        <w:rPr>
          <w:b w:val="0"/>
          <w:bCs w:val="0"/>
          <w:color w:val="000000"/>
          <w:lang w:val="uk-UA"/>
        </w:rPr>
        <w:t xml:space="preserve">ІМЕНІ </w:t>
      </w:r>
      <w:r w:rsidRPr="004D7A6B">
        <w:rPr>
          <w:b w:val="0"/>
          <w:bCs w:val="0"/>
          <w:caps/>
          <w:color w:val="000000"/>
          <w:lang w:val="uk-UA"/>
        </w:rPr>
        <w:t xml:space="preserve"> І.М.Сєченова»</w:t>
      </w:r>
    </w:p>
    <w:p w:rsidR="00FC6DD7" w:rsidRPr="004D7A6B" w:rsidRDefault="00FC6DD7" w:rsidP="00FC6DD7">
      <w:pPr>
        <w:ind w:right="567"/>
        <w:jc w:val="right"/>
        <w:rPr>
          <w:color w:val="000000"/>
          <w:lang w:val="uk-UA"/>
        </w:rPr>
      </w:pPr>
    </w:p>
    <w:p w:rsidR="00FC6DD7" w:rsidRPr="004D7A6B" w:rsidRDefault="00FC6DD7" w:rsidP="00FC6DD7">
      <w:pPr>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spacing w:line="360" w:lineRule="auto"/>
        <w:jc w:val="center"/>
        <w:rPr>
          <w:color w:val="000000"/>
          <w:lang w:val="uk-UA"/>
        </w:rPr>
      </w:pPr>
      <w:r w:rsidRPr="004D7A6B">
        <w:rPr>
          <w:color w:val="000000"/>
          <w:lang w:val="uk-UA"/>
        </w:rPr>
        <w:t xml:space="preserve">МАЛЬЧЕНКО  Анатолій Григорович </w:t>
      </w:r>
    </w:p>
    <w:p w:rsidR="00FC6DD7" w:rsidRPr="004D7A6B" w:rsidRDefault="00FC6DD7" w:rsidP="00FC6DD7">
      <w:pPr>
        <w:spacing w:line="360" w:lineRule="auto"/>
        <w:ind w:right="284"/>
        <w:jc w:val="right"/>
        <w:rPr>
          <w:color w:val="000000"/>
          <w:lang w:val="uk-UA"/>
        </w:rPr>
      </w:pPr>
    </w:p>
    <w:p w:rsidR="00FC6DD7" w:rsidRPr="004D7A6B" w:rsidRDefault="00FC6DD7" w:rsidP="00FC6DD7">
      <w:pPr>
        <w:spacing w:line="360" w:lineRule="auto"/>
        <w:ind w:right="284"/>
        <w:jc w:val="right"/>
        <w:rPr>
          <w:color w:val="000000"/>
          <w:lang w:val="uk-UA"/>
        </w:rPr>
      </w:pPr>
      <w:r w:rsidRPr="004D7A6B">
        <w:rPr>
          <w:color w:val="000000"/>
          <w:lang w:val="uk-UA"/>
        </w:rPr>
        <w:t>УДК: 616.24-002-085 : 615.835.5-002.6</w:t>
      </w:r>
    </w:p>
    <w:p w:rsidR="00FC6DD7" w:rsidRPr="004D7A6B" w:rsidRDefault="00FC6DD7" w:rsidP="00FC6DD7">
      <w:pPr>
        <w:spacing w:line="360" w:lineRule="auto"/>
        <w:ind w:right="284"/>
        <w:jc w:val="right"/>
        <w:rPr>
          <w:b/>
          <w:bCs/>
          <w:color w:val="000000"/>
          <w:spacing w:val="8"/>
          <w:lang w:val="uk-UA"/>
        </w:rPr>
      </w:pPr>
    </w:p>
    <w:p w:rsidR="00FC6DD7" w:rsidRPr="004D7A6B" w:rsidRDefault="00FC6DD7" w:rsidP="00FC6DD7">
      <w:pPr>
        <w:pStyle w:val="11"/>
        <w:spacing w:line="288" w:lineRule="auto"/>
        <w:ind w:left="454" w:right="454"/>
        <w:jc w:val="center"/>
        <w:rPr>
          <w:color w:val="000000"/>
          <w:szCs w:val="28"/>
        </w:rPr>
      </w:pPr>
      <w:r w:rsidRPr="004D7A6B">
        <w:rPr>
          <w:color w:val="000000"/>
          <w:szCs w:val="28"/>
        </w:rPr>
        <w:t>КОМПЛЕКСНА ОЦІНКА КЛІНІЧНОЇ ЕФЕКТИВНОСТІ НЕБУЛАЙЗЕРНИХ ІНГАЛЯЦІЙ ГЛЮКОКОРТИКОСТЕРОЇДІВ ПРИ ЗАГОСТРЕННІ ХРОНІЧНОГО ОБСТРУКТИВНОГО ЗАХВОРЮВАННЯ ЛЕГЕНІВ</w:t>
      </w:r>
    </w:p>
    <w:p w:rsidR="00FC6DD7" w:rsidRPr="004D7A6B" w:rsidRDefault="00FC6DD7" w:rsidP="00FC6DD7">
      <w:pPr>
        <w:ind w:firstLine="540"/>
        <w:jc w:val="center"/>
        <w:rPr>
          <w:b/>
          <w:bCs/>
          <w:color w:val="000000"/>
          <w:lang w:val="uk-UA"/>
        </w:rPr>
      </w:pPr>
    </w:p>
    <w:p w:rsidR="00FC6DD7" w:rsidRPr="004D7A6B" w:rsidRDefault="00FC6DD7" w:rsidP="00FC6DD7">
      <w:pPr>
        <w:pStyle w:val="affffffb"/>
        <w:ind w:left="454" w:right="454"/>
        <w:rPr>
          <w:b w:val="0"/>
          <w:bCs w:val="0"/>
          <w:color w:val="000000"/>
          <w:spacing w:val="8"/>
          <w:lang w:val="uk-UA"/>
        </w:rPr>
      </w:pPr>
    </w:p>
    <w:p w:rsidR="00FC6DD7" w:rsidRPr="004D7A6B" w:rsidRDefault="00FC6DD7" w:rsidP="00FC6DD7">
      <w:pPr>
        <w:jc w:val="center"/>
        <w:rPr>
          <w:color w:val="000000"/>
          <w:lang w:val="uk-UA"/>
        </w:rPr>
      </w:pPr>
    </w:p>
    <w:p w:rsidR="00FC6DD7" w:rsidRPr="004D7A6B" w:rsidRDefault="00FC6DD7" w:rsidP="00FC6DD7">
      <w:pPr>
        <w:autoSpaceDE w:val="0"/>
        <w:autoSpaceDN w:val="0"/>
        <w:jc w:val="center"/>
        <w:rPr>
          <w:color w:val="000000"/>
          <w:lang w:val="uk-UA"/>
        </w:rPr>
      </w:pPr>
      <w:r w:rsidRPr="004D7A6B">
        <w:rPr>
          <w:color w:val="000000"/>
          <w:lang w:val="uk-UA"/>
        </w:rPr>
        <w:tab/>
        <w:t>14.01.27 — пульмонологія</w:t>
      </w:r>
    </w:p>
    <w:p w:rsidR="00FC6DD7" w:rsidRPr="004D7A6B" w:rsidRDefault="00FC6DD7" w:rsidP="00FC6DD7">
      <w:pPr>
        <w:rPr>
          <w:color w:val="000000"/>
          <w:lang w:val="uk-UA"/>
        </w:rPr>
      </w:pPr>
    </w:p>
    <w:p w:rsidR="00FC6DD7" w:rsidRPr="004D7A6B" w:rsidRDefault="00FC6DD7" w:rsidP="00FC6DD7">
      <w:pPr>
        <w:autoSpaceDE w:val="0"/>
        <w:autoSpaceDN w:val="0"/>
        <w:rPr>
          <w:color w:val="000000"/>
        </w:rPr>
      </w:pPr>
    </w:p>
    <w:p w:rsidR="00FC6DD7" w:rsidRPr="004D7A6B" w:rsidRDefault="00FC6DD7" w:rsidP="00FC6DD7">
      <w:pPr>
        <w:jc w:val="center"/>
        <w:rPr>
          <w:color w:val="000000"/>
          <w:lang w:val="uk-UA"/>
        </w:rPr>
      </w:pPr>
      <w:r w:rsidRPr="004D7A6B">
        <w:rPr>
          <w:color w:val="000000"/>
          <w:lang w:val="uk-UA"/>
        </w:rPr>
        <w:t xml:space="preserve">Автореферат </w:t>
      </w:r>
    </w:p>
    <w:p w:rsidR="00FC6DD7" w:rsidRPr="004D7A6B" w:rsidRDefault="00FC6DD7" w:rsidP="00FC6DD7">
      <w:pPr>
        <w:jc w:val="center"/>
        <w:rPr>
          <w:color w:val="000000"/>
          <w:lang w:val="uk-UA"/>
        </w:rPr>
      </w:pPr>
      <w:r w:rsidRPr="004D7A6B">
        <w:rPr>
          <w:color w:val="000000"/>
          <w:lang w:val="uk-UA"/>
        </w:rPr>
        <w:t xml:space="preserve">дисертації  на здобуття наукового ступеня  </w:t>
      </w:r>
    </w:p>
    <w:p w:rsidR="00FC6DD7" w:rsidRPr="004D7A6B" w:rsidRDefault="00FC6DD7" w:rsidP="00FC6DD7">
      <w:pPr>
        <w:autoSpaceDE w:val="0"/>
        <w:autoSpaceDN w:val="0"/>
        <w:jc w:val="center"/>
        <w:rPr>
          <w:color w:val="000000"/>
          <w:lang w:val="uk-UA"/>
        </w:rPr>
      </w:pPr>
      <w:r w:rsidRPr="004D7A6B">
        <w:rPr>
          <w:color w:val="000000"/>
          <w:lang w:val="uk-UA"/>
        </w:rPr>
        <w:t>кандидата  медичних  наук</w:t>
      </w:r>
    </w:p>
    <w:p w:rsidR="00FC6DD7" w:rsidRPr="004D7A6B" w:rsidRDefault="00FC6DD7" w:rsidP="00FC6DD7">
      <w:pPr>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pPr>
    </w:p>
    <w:p w:rsidR="00FC6DD7" w:rsidRPr="004D7A6B" w:rsidRDefault="00FC6DD7" w:rsidP="00FC6DD7">
      <w:pPr>
        <w:autoSpaceDE w:val="0"/>
        <w:autoSpaceDN w:val="0"/>
        <w:jc w:val="center"/>
        <w:rPr>
          <w:color w:val="000000"/>
          <w:lang w:val="uk-UA"/>
        </w:rPr>
        <w:sectPr w:rsidR="00FC6DD7" w:rsidRPr="004D7A6B">
          <w:headerReference w:type="even" r:id="rId8"/>
          <w:headerReference w:type="default" r:id="rId9"/>
          <w:footerReference w:type="default" r:id="rId10"/>
          <w:pgSz w:w="11907" w:h="16840" w:code="9"/>
          <w:pgMar w:top="1134" w:right="1134" w:bottom="1134" w:left="1134" w:header="720" w:footer="720" w:gutter="0"/>
          <w:cols w:space="720"/>
          <w:titlePg/>
        </w:sectPr>
      </w:pPr>
      <w:r w:rsidRPr="004D7A6B">
        <w:rPr>
          <w:color w:val="000000"/>
          <w:lang w:val="uk-UA"/>
        </w:rPr>
        <w:t>Ялта – 2009</w:t>
      </w:r>
    </w:p>
    <w:p w:rsidR="00FC6DD7" w:rsidRPr="004D7A6B" w:rsidRDefault="00FC6DD7" w:rsidP="00FC6DD7">
      <w:pPr>
        <w:rPr>
          <w:color w:val="000000"/>
          <w:lang w:val="uk-UA"/>
        </w:rPr>
      </w:pPr>
      <w:r w:rsidRPr="004D7A6B">
        <w:rPr>
          <w:color w:val="000000"/>
          <w:lang w:val="uk-UA"/>
        </w:rPr>
        <w:lastRenderedPageBreak/>
        <w:t>Дисертацією є рукопис.</w:t>
      </w:r>
    </w:p>
    <w:p w:rsidR="00FC6DD7" w:rsidRPr="004D7A6B" w:rsidRDefault="00FC6DD7" w:rsidP="00FC6DD7">
      <w:pPr>
        <w:rPr>
          <w:color w:val="000000"/>
          <w:lang w:val="uk-UA"/>
        </w:rPr>
      </w:pPr>
      <w:r w:rsidRPr="004D7A6B">
        <w:rPr>
          <w:color w:val="000000"/>
          <w:lang w:val="uk-UA"/>
        </w:rPr>
        <w:t xml:space="preserve">Робота виконана в Кримській республіканській установі «Науково-дослідний інститут фізичних методів лікування </w:t>
      </w:r>
      <w:r>
        <w:rPr>
          <w:color w:val="000000"/>
          <w:lang w:val="uk-UA"/>
        </w:rPr>
        <w:t>і</w:t>
      </w:r>
      <w:r w:rsidRPr="004D7A6B">
        <w:rPr>
          <w:color w:val="000000"/>
          <w:lang w:val="uk-UA"/>
        </w:rPr>
        <w:t xml:space="preserve"> медичної кліматології ім. І.М.Сєченова» МОЗ України.</w:t>
      </w:r>
    </w:p>
    <w:p w:rsidR="00FC6DD7" w:rsidRPr="004D7A6B" w:rsidRDefault="00FC6DD7" w:rsidP="00FC6DD7">
      <w:pPr>
        <w:rPr>
          <w:color w:val="000000"/>
          <w:lang w:val="uk-UA"/>
        </w:rPr>
      </w:pPr>
    </w:p>
    <w:p w:rsidR="00FC6DD7" w:rsidRPr="004D7A6B" w:rsidRDefault="00FC6DD7" w:rsidP="00FC6DD7">
      <w:pPr>
        <w:rPr>
          <w:color w:val="000000"/>
          <w:lang w:val="uk-UA"/>
        </w:rPr>
      </w:pPr>
      <w:r w:rsidRPr="004D7A6B">
        <w:rPr>
          <w:color w:val="000000"/>
          <w:lang w:val="uk-UA"/>
        </w:rPr>
        <w:t xml:space="preserve"> </w:t>
      </w:r>
    </w:p>
    <w:p w:rsidR="00FC6DD7" w:rsidRPr="004D7A6B" w:rsidRDefault="00FC6DD7" w:rsidP="00FC6DD7">
      <w:pPr>
        <w:rPr>
          <w:color w:val="000000"/>
          <w:lang w:val="uk-UA"/>
        </w:rPr>
      </w:pPr>
      <w:r w:rsidRPr="004D7A6B">
        <w:rPr>
          <w:color w:val="000000"/>
          <w:lang w:val="uk-UA"/>
        </w:rPr>
        <w:t>НАУКОВИЙ КЕРІ</w:t>
      </w:r>
      <w:r w:rsidRPr="004D7A6B">
        <w:rPr>
          <w:color w:val="000000"/>
          <w:lang w:val="uk-UA"/>
        </w:rPr>
        <w:t>В</w:t>
      </w:r>
      <w:r w:rsidRPr="004D7A6B">
        <w:rPr>
          <w:color w:val="000000"/>
          <w:lang w:val="uk-UA"/>
        </w:rPr>
        <w:t xml:space="preserve">НИК: </w:t>
      </w:r>
    </w:p>
    <w:p w:rsidR="00FC6DD7" w:rsidRPr="004D7A6B" w:rsidRDefault="00FC6DD7" w:rsidP="00FC6DD7">
      <w:pPr>
        <w:tabs>
          <w:tab w:val="left" w:pos="6379"/>
        </w:tabs>
        <w:ind w:left="567"/>
        <w:rPr>
          <w:color w:val="000000"/>
          <w:lang w:val="uk-UA"/>
        </w:rPr>
      </w:pPr>
      <w:r w:rsidRPr="004D7A6B">
        <w:rPr>
          <w:color w:val="000000"/>
          <w:lang w:val="uk-UA"/>
        </w:rPr>
        <w:t>доктор медичних наук, доцент Доніч Сергій Георгійович, Кримська респ</w:t>
      </w:r>
      <w:r w:rsidRPr="004D7A6B">
        <w:rPr>
          <w:color w:val="000000"/>
          <w:lang w:val="uk-UA"/>
        </w:rPr>
        <w:t>у</w:t>
      </w:r>
      <w:r w:rsidRPr="004D7A6B">
        <w:rPr>
          <w:color w:val="000000"/>
          <w:lang w:val="uk-UA"/>
        </w:rPr>
        <w:t>б</w:t>
      </w:r>
      <w:r w:rsidRPr="004D7A6B">
        <w:rPr>
          <w:color w:val="000000"/>
          <w:lang w:val="uk-UA"/>
        </w:rPr>
        <w:softHyphen/>
        <w:t>лікан</w:t>
      </w:r>
      <w:r w:rsidRPr="004D7A6B">
        <w:rPr>
          <w:color w:val="000000"/>
          <w:lang w:val="uk-UA"/>
        </w:rPr>
        <w:softHyphen/>
        <w:t>ська установа “Науково-дослідний інститут фізичних  методів лік</w:t>
      </w:r>
      <w:r w:rsidRPr="004D7A6B">
        <w:rPr>
          <w:color w:val="000000"/>
          <w:lang w:val="uk-UA"/>
        </w:rPr>
        <w:t>у</w:t>
      </w:r>
      <w:r w:rsidRPr="004D7A6B">
        <w:rPr>
          <w:color w:val="000000"/>
          <w:lang w:val="uk-UA"/>
        </w:rPr>
        <w:t>вання і медич</w:t>
      </w:r>
      <w:r w:rsidRPr="004D7A6B">
        <w:rPr>
          <w:color w:val="000000"/>
          <w:lang w:val="uk-UA"/>
        </w:rPr>
        <w:softHyphen/>
        <w:t>ної кліма</w:t>
      </w:r>
      <w:r w:rsidRPr="004D7A6B">
        <w:rPr>
          <w:color w:val="000000"/>
          <w:lang w:val="uk-UA"/>
        </w:rPr>
        <w:softHyphen/>
        <w:t>то</w:t>
      </w:r>
      <w:r w:rsidRPr="004D7A6B">
        <w:rPr>
          <w:color w:val="000000"/>
          <w:lang w:val="uk-UA"/>
        </w:rPr>
        <w:softHyphen/>
        <w:t>логії ім. І.М.Сєченова» МОЗ України, провідний науковий співробі</w:t>
      </w:r>
      <w:r w:rsidRPr="004D7A6B">
        <w:rPr>
          <w:color w:val="000000"/>
          <w:lang w:val="uk-UA"/>
        </w:rPr>
        <w:t>т</w:t>
      </w:r>
      <w:r w:rsidRPr="004D7A6B">
        <w:rPr>
          <w:color w:val="000000"/>
          <w:lang w:val="uk-UA"/>
        </w:rPr>
        <w:t>ник.</w:t>
      </w:r>
    </w:p>
    <w:p w:rsidR="00FC6DD7" w:rsidRPr="004D7A6B" w:rsidRDefault="00FC6DD7" w:rsidP="00FC6DD7">
      <w:pPr>
        <w:rPr>
          <w:color w:val="000000"/>
          <w:lang w:val="uk-UA"/>
        </w:rPr>
      </w:pPr>
    </w:p>
    <w:p w:rsidR="00FC6DD7" w:rsidRPr="004D7A6B" w:rsidRDefault="00FC6DD7" w:rsidP="00FC6DD7">
      <w:pPr>
        <w:rPr>
          <w:color w:val="000000"/>
          <w:lang w:val="uk-UA"/>
        </w:rPr>
      </w:pPr>
    </w:p>
    <w:p w:rsidR="00FC6DD7" w:rsidRPr="004D7A6B" w:rsidRDefault="00FC6DD7" w:rsidP="00FC6DD7">
      <w:pPr>
        <w:rPr>
          <w:color w:val="000000"/>
          <w:lang w:val="uk-UA"/>
        </w:rPr>
      </w:pPr>
      <w:r w:rsidRPr="004D7A6B">
        <w:rPr>
          <w:color w:val="000000"/>
          <w:lang w:val="uk-UA"/>
        </w:rPr>
        <w:t xml:space="preserve">ОФІЦІЙНІ ОПОНЕНТИ:      </w:t>
      </w:r>
    </w:p>
    <w:p w:rsidR="00FC6DD7" w:rsidRPr="004D7A6B" w:rsidRDefault="00FC6DD7" w:rsidP="00FC6DD7">
      <w:pPr>
        <w:tabs>
          <w:tab w:val="left" w:pos="6379"/>
        </w:tabs>
        <w:ind w:left="567"/>
        <w:rPr>
          <w:color w:val="000000"/>
          <w:lang w:val="uk-UA"/>
        </w:rPr>
      </w:pPr>
      <w:r w:rsidRPr="004D7A6B">
        <w:rPr>
          <w:color w:val="000000"/>
          <w:lang w:val="uk-UA"/>
        </w:rPr>
        <w:t>доктор медичних наук, професор  Асмолов Олександр Костянтинович, Одеський державний медичний університет МОЗ України, завідувач каф</w:t>
      </w:r>
      <w:r w:rsidRPr="004D7A6B">
        <w:rPr>
          <w:color w:val="000000"/>
          <w:lang w:val="uk-UA"/>
        </w:rPr>
        <w:t>е</w:t>
      </w:r>
      <w:r w:rsidRPr="004D7A6B">
        <w:rPr>
          <w:color w:val="000000"/>
          <w:lang w:val="uk-UA"/>
        </w:rPr>
        <w:t>дри ф</w:t>
      </w:r>
      <w:r>
        <w:rPr>
          <w:color w:val="000000"/>
          <w:lang w:val="uk-UA"/>
        </w:rPr>
        <w:t>тизіопульмонології</w:t>
      </w:r>
      <w:r w:rsidRPr="004D7A6B">
        <w:rPr>
          <w:color w:val="000000"/>
          <w:lang w:val="uk-UA"/>
        </w:rPr>
        <w:t xml:space="preserve">; </w:t>
      </w:r>
    </w:p>
    <w:p w:rsidR="00FC6DD7" w:rsidRPr="004D7A6B" w:rsidRDefault="00FC6DD7" w:rsidP="00FC6DD7">
      <w:pPr>
        <w:tabs>
          <w:tab w:val="left" w:pos="6379"/>
        </w:tabs>
        <w:ind w:left="567"/>
        <w:rPr>
          <w:color w:val="000000"/>
          <w:lang w:val="uk-UA"/>
        </w:rPr>
      </w:pPr>
      <w:r w:rsidRPr="004D7A6B">
        <w:rPr>
          <w:color w:val="000000"/>
          <w:lang w:val="uk-UA"/>
        </w:rPr>
        <w:t xml:space="preserve">   </w:t>
      </w:r>
    </w:p>
    <w:p w:rsidR="00FC6DD7" w:rsidRPr="004D7A6B" w:rsidRDefault="00FC6DD7" w:rsidP="00FC6DD7">
      <w:pPr>
        <w:tabs>
          <w:tab w:val="left" w:pos="6379"/>
        </w:tabs>
        <w:ind w:left="567"/>
        <w:rPr>
          <w:color w:val="000000"/>
          <w:lang w:val="uk-UA"/>
        </w:rPr>
      </w:pPr>
      <w:r w:rsidRPr="004D7A6B">
        <w:rPr>
          <w:color w:val="000000"/>
          <w:lang w:val="uk-UA"/>
        </w:rPr>
        <w:t>доктор медичних наук, професор Гришин Михайло Миколайович, Кримс</w:t>
      </w:r>
      <w:r w:rsidRPr="004D7A6B">
        <w:rPr>
          <w:color w:val="000000"/>
          <w:lang w:val="uk-UA"/>
        </w:rPr>
        <w:t>ь</w:t>
      </w:r>
      <w:r w:rsidRPr="004D7A6B">
        <w:rPr>
          <w:color w:val="000000"/>
          <w:lang w:val="uk-UA"/>
        </w:rPr>
        <w:t>кий державний медичний університет ім. С.І. Георгієвського МОЗ Укра</w:t>
      </w:r>
      <w:r w:rsidRPr="004D7A6B">
        <w:rPr>
          <w:color w:val="000000"/>
          <w:lang w:val="uk-UA"/>
        </w:rPr>
        <w:t>ї</w:t>
      </w:r>
      <w:r w:rsidRPr="004D7A6B">
        <w:rPr>
          <w:color w:val="000000"/>
          <w:lang w:val="uk-UA"/>
        </w:rPr>
        <w:t>ни, завідувач каф</w:t>
      </w:r>
      <w:r w:rsidRPr="004D7A6B">
        <w:rPr>
          <w:color w:val="000000"/>
          <w:lang w:val="uk-UA"/>
        </w:rPr>
        <w:t>е</w:t>
      </w:r>
      <w:r w:rsidRPr="004D7A6B">
        <w:rPr>
          <w:color w:val="000000"/>
          <w:lang w:val="uk-UA"/>
        </w:rPr>
        <w:t>дри фтизіатрії.</w:t>
      </w:r>
    </w:p>
    <w:p w:rsidR="00FC6DD7" w:rsidRPr="004D7A6B" w:rsidRDefault="00FC6DD7" w:rsidP="00FC6DD7">
      <w:pPr>
        <w:rPr>
          <w:color w:val="000000"/>
          <w:lang w:val="uk-UA"/>
        </w:rPr>
      </w:pPr>
    </w:p>
    <w:p w:rsidR="00FC6DD7" w:rsidRDefault="00FC6DD7" w:rsidP="00FC6DD7">
      <w:pPr>
        <w:rPr>
          <w:color w:val="000000"/>
          <w:lang w:val="uk-UA"/>
        </w:rPr>
      </w:pPr>
    </w:p>
    <w:p w:rsidR="00FC6DD7" w:rsidRPr="004D7A6B" w:rsidRDefault="00FC6DD7" w:rsidP="00FC6DD7">
      <w:pPr>
        <w:rPr>
          <w:color w:val="000000"/>
          <w:lang w:val="uk-UA"/>
        </w:rPr>
      </w:pPr>
    </w:p>
    <w:p w:rsidR="00FC6DD7" w:rsidRPr="00C103F9" w:rsidRDefault="00FC6DD7" w:rsidP="00FC6DD7">
      <w:pPr>
        <w:rPr>
          <w:color w:val="000000"/>
          <w:lang w:val="uk-UA"/>
        </w:rPr>
      </w:pPr>
      <w:r w:rsidRPr="00C103F9">
        <w:rPr>
          <w:color w:val="000000"/>
          <w:lang w:val="uk-UA"/>
        </w:rPr>
        <w:t xml:space="preserve">Захист відбудеться </w:t>
      </w:r>
      <w:r>
        <w:rPr>
          <w:color w:val="000000"/>
          <w:lang w:val="uk-UA"/>
        </w:rPr>
        <w:t xml:space="preserve"> </w:t>
      </w:r>
      <w:r w:rsidRPr="00C103F9">
        <w:rPr>
          <w:lang w:val="uk-UA"/>
        </w:rPr>
        <w:t>09 жовтня 2009 р. о  1</w:t>
      </w:r>
      <w:r>
        <w:rPr>
          <w:lang w:val="uk-UA"/>
        </w:rPr>
        <w:t>4</w:t>
      </w:r>
      <w:r w:rsidRPr="00C103F9">
        <w:rPr>
          <w:lang w:val="uk-UA"/>
        </w:rPr>
        <w:t xml:space="preserve">-00 </w:t>
      </w:r>
      <w:r w:rsidRPr="00C103F9">
        <w:rPr>
          <w:color w:val="000000"/>
          <w:lang w:val="uk-UA"/>
        </w:rPr>
        <w:t xml:space="preserve"> годині на засіданні спеціаліз</w:t>
      </w:r>
      <w:r w:rsidRPr="00C103F9">
        <w:rPr>
          <w:color w:val="000000"/>
          <w:lang w:val="uk-UA"/>
        </w:rPr>
        <w:t>о</w:t>
      </w:r>
      <w:r w:rsidRPr="00C103F9">
        <w:rPr>
          <w:color w:val="000000"/>
          <w:lang w:val="uk-UA"/>
        </w:rPr>
        <w:t>ваної вченої ради Д 53.610.01 при Кримській республіканській установі «На</w:t>
      </w:r>
      <w:r w:rsidRPr="00C103F9">
        <w:rPr>
          <w:color w:val="000000"/>
          <w:lang w:val="uk-UA"/>
        </w:rPr>
        <w:t>у</w:t>
      </w:r>
      <w:r w:rsidRPr="00C103F9">
        <w:rPr>
          <w:color w:val="000000"/>
          <w:lang w:val="uk-UA"/>
        </w:rPr>
        <w:t>ково-дослідний інститут фізичних методів лікування і медичної кліматології ім. І.М.Сєченова»  (98603, м. Ялта, вул. Мухіна, 8).</w:t>
      </w:r>
    </w:p>
    <w:p w:rsidR="00FC6DD7" w:rsidRPr="004D7A6B" w:rsidRDefault="00FC6DD7" w:rsidP="00FC6DD7">
      <w:pPr>
        <w:rPr>
          <w:color w:val="000000"/>
          <w:lang w:val="uk-UA"/>
        </w:rPr>
      </w:pPr>
    </w:p>
    <w:p w:rsidR="00FC6DD7" w:rsidRPr="004D7A6B" w:rsidRDefault="00FC6DD7" w:rsidP="00FC6DD7">
      <w:pPr>
        <w:rPr>
          <w:color w:val="000000"/>
          <w:lang w:val="uk-UA"/>
        </w:rPr>
      </w:pPr>
    </w:p>
    <w:p w:rsidR="00FC6DD7" w:rsidRPr="004D7A6B" w:rsidRDefault="00FC6DD7" w:rsidP="00FC6DD7">
      <w:pPr>
        <w:rPr>
          <w:color w:val="000000"/>
        </w:rPr>
      </w:pPr>
      <w:r w:rsidRPr="004D7A6B">
        <w:rPr>
          <w:color w:val="000000"/>
          <w:lang w:val="uk-UA"/>
        </w:rPr>
        <w:t>З дисертацією можна ознайомитися в бібліотеці Кримської республіканської установи «Науково-дослідний інститут фізичних методів лікування і медичної клімат</w:t>
      </w:r>
      <w:r w:rsidRPr="004D7A6B">
        <w:rPr>
          <w:color w:val="000000"/>
          <w:lang w:val="uk-UA"/>
        </w:rPr>
        <w:t>о</w:t>
      </w:r>
      <w:r w:rsidRPr="004D7A6B">
        <w:rPr>
          <w:color w:val="000000"/>
          <w:lang w:val="uk-UA"/>
        </w:rPr>
        <w:t xml:space="preserve">логії ім. І.М.Сєченова» (98603, м. Ялта, вул. </w:t>
      </w:r>
      <w:r w:rsidRPr="004D7A6B">
        <w:rPr>
          <w:color w:val="000000"/>
        </w:rPr>
        <w:t>Мухіна, 8).</w:t>
      </w:r>
    </w:p>
    <w:p w:rsidR="00FC6DD7" w:rsidRPr="004D7A6B" w:rsidRDefault="00FC6DD7" w:rsidP="00FC6DD7">
      <w:pPr>
        <w:rPr>
          <w:color w:val="000000"/>
          <w:lang w:val="uk-UA"/>
        </w:rPr>
      </w:pPr>
    </w:p>
    <w:p w:rsidR="00FC6DD7" w:rsidRPr="004D7A6B" w:rsidRDefault="00FC6DD7" w:rsidP="00FC6DD7">
      <w:pPr>
        <w:rPr>
          <w:color w:val="000000"/>
          <w:lang w:val="uk-UA"/>
        </w:rPr>
      </w:pPr>
    </w:p>
    <w:p w:rsidR="00FC6DD7" w:rsidRPr="004C3928" w:rsidRDefault="00FC6DD7" w:rsidP="00FC6DD7">
      <w:pPr>
        <w:pStyle w:val="25"/>
        <w:spacing w:line="240" w:lineRule="auto"/>
        <w:rPr>
          <w:color w:val="000000"/>
        </w:rPr>
      </w:pPr>
      <w:r w:rsidRPr="004C3928">
        <w:rPr>
          <w:color w:val="000000"/>
        </w:rPr>
        <w:t xml:space="preserve">Автореферат розісланий     </w:t>
      </w:r>
      <w:r w:rsidRPr="004C3928">
        <w:rPr>
          <w:lang w:val="uk-UA"/>
        </w:rPr>
        <w:t>31 серпня 2009  р.</w:t>
      </w:r>
    </w:p>
    <w:p w:rsidR="00FC6DD7" w:rsidRPr="004D7A6B" w:rsidRDefault="00FC6DD7" w:rsidP="00FC6DD7">
      <w:pPr>
        <w:rPr>
          <w:color w:val="000000"/>
          <w:lang w:val="uk-UA"/>
        </w:rPr>
      </w:pPr>
      <w:r w:rsidRPr="004D7A6B">
        <w:rPr>
          <w:color w:val="000000"/>
        </w:rPr>
        <w:t xml:space="preserve"> </w:t>
      </w:r>
    </w:p>
    <w:p w:rsidR="00FC6DD7" w:rsidRDefault="00FC6DD7" w:rsidP="00FC6DD7">
      <w:pPr>
        <w:rPr>
          <w:color w:val="000000"/>
          <w:lang w:val="uk-UA"/>
        </w:rPr>
      </w:pPr>
    </w:p>
    <w:p w:rsidR="00FC6DD7" w:rsidRPr="004D7A6B" w:rsidRDefault="00FC6DD7" w:rsidP="00FC6DD7">
      <w:pPr>
        <w:rPr>
          <w:color w:val="000000"/>
          <w:lang w:val="uk-UA"/>
        </w:rPr>
      </w:pPr>
    </w:p>
    <w:p w:rsidR="00FC6DD7" w:rsidRPr="004D7A6B" w:rsidRDefault="00FC6DD7" w:rsidP="00FC6DD7">
      <w:pPr>
        <w:rPr>
          <w:color w:val="000000"/>
          <w:lang w:val="uk-UA"/>
        </w:rPr>
      </w:pPr>
    </w:p>
    <w:p w:rsidR="00FC6DD7" w:rsidRPr="004D7A6B" w:rsidRDefault="00FC6DD7" w:rsidP="00FC6DD7">
      <w:pPr>
        <w:rPr>
          <w:color w:val="000000"/>
        </w:rPr>
      </w:pPr>
      <w:r w:rsidRPr="004D7A6B">
        <w:rPr>
          <w:color w:val="000000"/>
        </w:rPr>
        <w:lastRenderedPageBreak/>
        <w:t>Вчений секретар</w:t>
      </w:r>
    </w:p>
    <w:p w:rsidR="00FC6DD7" w:rsidRDefault="00FC6DD7" w:rsidP="00FC6DD7">
      <w:pPr>
        <w:pStyle w:val="afffffffb"/>
        <w:autoSpaceDE w:val="0"/>
        <w:autoSpaceDN w:val="0"/>
        <w:ind w:firstLine="0"/>
        <w:rPr>
          <w:color w:val="000000"/>
          <w:lang w:val="uk-UA"/>
        </w:rPr>
      </w:pPr>
      <w:r w:rsidRPr="004D7A6B">
        <w:rPr>
          <w:color w:val="000000"/>
        </w:rPr>
        <w:t>спеціалізованої вченої ради</w:t>
      </w:r>
      <w:r w:rsidRPr="004D7A6B">
        <w:rPr>
          <w:color w:val="000000"/>
          <w:lang w:val="uk-UA"/>
        </w:rPr>
        <w:t xml:space="preserve">                                                                 </w:t>
      </w:r>
      <w:r w:rsidRPr="004D7A6B">
        <w:rPr>
          <w:color w:val="000000"/>
        </w:rPr>
        <w:t>О.Ф.П’янков</w:t>
      </w:r>
    </w:p>
    <w:p w:rsidR="00FC6DD7" w:rsidRDefault="00FC6DD7" w:rsidP="00FC6DD7">
      <w:pPr>
        <w:autoSpaceDE w:val="0"/>
        <w:autoSpaceDN w:val="0"/>
        <w:jc w:val="center"/>
        <w:rPr>
          <w:b/>
          <w:bCs/>
          <w:color w:val="000000"/>
          <w:sz w:val="24"/>
          <w:lang w:val="uk-UA"/>
        </w:rPr>
        <w:sectPr w:rsidR="00FC6DD7">
          <w:headerReference w:type="default" r:id="rId11"/>
          <w:footerReference w:type="default" r:id="rId12"/>
          <w:pgSz w:w="11907" w:h="16840" w:code="9"/>
          <w:pgMar w:top="1134" w:right="1134" w:bottom="1134" w:left="1134" w:header="720" w:footer="720" w:gutter="0"/>
          <w:cols w:space="720"/>
        </w:sectPr>
      </w:pPr>
    </w:p>
    <w:p w:rsidR="00FC6DD7" w:rsidRDefault="00FC6DD7" w:rsidP="00FC6DD7">
      <w:pPr>
        <w:pStyle w:val="afffffffb"/>
        <w:jc w:val="center"/>
        <w:rPr>
          <w:b/>
          <w:bCs/>
          <w:color w:val="000000"/>
          <w:lang w:val="uk-UA" w:eastAsia="uk-UA"/>
        </w:rPr>
      </w:pPr>
      <w:r>
        <w:rPr>
          <w:b/>
          <w:bCs/>
          <w:color w:val="000000"/>
          <w:lang w:val="uk-UA" w:eastAsia="uk-UA"/>
        </w:rPr>
        <w:lastRenderedPageBreak/>
        <w:t>ЗАГАЛЬНА  ХАРАКТЕРИСТИКА   РОБОТИ</w:t>
      </w:r>
    </w:p>
    <w:p w:rsidR="00FC6DD7" w:rsidRDefault="00FC6DD7" w:rsidP="00FC6DD7">
      <w:pPr>
        <w:pStyle w:val="afffffffb"/>
        <w:rPr>
          <w:color w:val="000000"/>
          <w:lang w:val="uk-UA"/>
        </w:rPr>
      </w:pPr>
    </w:p>
    <w:p w:rsidR="00FC6DD7" w:rsidRDefault="00FC6DD7" w:rsidP="00FC6DD7">
      <w:pPr>
        <w:pStyle w:val="afffffffb"/>
        <w:autoSpaceDE w:val="0"/>
        <w:autoSpaceDN w:val="0"/>
        <w:rPr>
          <w:color w:val="000000"/>
          <w:lang w:val="uk-UA"/>
        </w:rPr>
      </w:pPr>
      <w:r>
        <w:rPr>
          <w:b/>
          <w:bCs/>
          <w:color w:val="000000"/>
          <w:lang w:val="uk-UA"/>
        </w:rPr>
        <w:t>Актуальність теми.</w:t>
      </w:r>
      <w:r>
        <w:rPr>
          <w:color w:val="000000"/>
          <w:lang w:val="uk-UA"/>
        </w:rPr>
        <w:t xml:space="preserve"> Хронічне обструктивне захворювання легенів (ХОЗЛ) є важливою проблемою охорони здоров'я. Тоді як за останнє десятирі</w:t>
      </w:r>
      <w:r>
        <w:rPr>
          <w:color w:val="000000"/>
          <w:lang w:val="uk-UA"/>
        </w:rPr>
        <w:t>ч</w:t>
      </w:r>
      <w:r>
        <w:rPr>
          <w:color w:val="000000"/>
          <w:lang w:val="uk-UA"/>
        </w:rPr>
        <w:t>чя смертність від серцево-судинних захворювань знизилася на 23%, смертність від ХОЗЛ виросла на 28%. Зростаючі поширеність ХОЗЛ (в світі налічується 600 млн подібних хворих), хворобливість, смертність і величезний соціально-економічний збиток від цього захворювання великою мірою обумовлені загр</w:t>
      </w:r>
      <w:r>
        <w:rPr>
          <w:color w:val="000000"/>
          <w:lang w:val="uk-UA"/>
        </w:rPr>
        <w:t>о</w:t>
      </w:r>
      <w:r>
        <w:rPr>
          <w:color w:val="000000"/>
          <w:lang w:val="uk-UA"/>
        </w:rPr>
        <w:t xml:space="preserve">жуючим розмахом табакокуріння в світі і змінами вікової структури популяції – постарінням населення в розвинених країнах [Фещенко Ю.І., 2002; </w:t>
      </w:r>
      <w:r>
        <w:rPr>
          <w:lang w:val="en-US"/>
        </w:rPr>
        <w:t>Sin</w:t>
      </w:r>
      <w:r>
        <w:rPr>
          <w:lang w:val="uk-UA"/>
        </w:rPr>
        <w:t xml:space="preserve"> </w:t>
      </w:r>
      <w:r>
        <w:rPr>
          <w:lang w:val="en-US"/>
        </w:rPr>
        <w:t>D</w:t>
      </w:r>
      <w:r>
        <w:rPr>
          <w:lang w:val="uk-UA"/>
        </w:rPr>
        <w:t xml:space="preserve">. </w:t>
      </w:r>
      <w:r>
        <w:rPr>
          <w:lang w:val="en-US"/>
        </w:rPr>
        <w:t>et</w:t>
      </w:r>
      <w:r>
        <w:rPr>
          <w:lang w:val="uk-UA"/>
        </w:rPr>
        <w:t xml:space="preserve"> </w:t>
      </w:r>
      <w:r>
        <w:rPr>
          <w:lang w:val="en-US"/>
        </w:rPr>
        <w:t>al</w:t>
      </w:r>
      <w:r>
        <w:rPr>
          <w:lang w:val="uk-UA"/>
        </w:rPr>
        <w:t>.,  2006</w:t>
      </w:r>
      <w:r>
        <w:rPr>
          <w:color w:val="000000"/>
          <w:lang w:val="uk-UA"/>
        </w:rPr>
        <w:t xml:space="preserve">]. </w:t>
      </w:r>
    </w:p>
    <w:p w:rsidR="00FC6DD7" w:rsidRDefault="00FC6DD7" w:rsidP="00FC6DD7">
      <w:pPr>
        <w:pStyle w:val="afffffffb"/>
        <w:autoSpaceDE w:val="0"/>
        <w:autoSpaceDN w:val="0"/>
        <w:rPr>
          <w:color w:val="000000"/>
          <w:lang w:val="uk-UA"/>
        </w:rPr>
      </w:pPr>
      <w:r>
        <w:rPr>
          <w:color w:val="000000"/>
          <w:lang w:val="uk-UA"/>
        </w:rPr>
        <w:t>Загострення ХОЗЛ є однією з найчастіших причин звернення пацієнтів за медичною допомогою. Тяжкість загострення захворювання може значно варі</w:t>
      </w:r>
      <w:r>
        <w:rPr>
          <w:color w:val="000000"/>
          <w:lang w:val="uk-UA"/>
        </w:rPr>
        <w:t>ю</w:t>
      </w:r>
      <w:r>
        <w:rPr>
          <w:color w:val="000000"/>
          <w:lang w:val="uk-UA"/>
        </w:rPr>
        <w:t>вати: від легкої, при якій достатня терапія в домашніх умовах, до важкої з д</w:t>
      </w:r>
      <w:r>
        <w:rPr>
          <w:color w:val="000000"/>
          <w:lang w:val="uk-UA"/>
        </w:rPr>
        <w:t>и</w:t>
      </w:r>
      <w:r>
        <w:rPr>
          <w:color w:val="000000"/>
          <w:lang w:val="uk-UA"/>
        </w:rPr>
        <w:t>хальною недостатністю, що вимагає лікування у відділеннях інтенсивної т</w:t>
      </w:r>
      <w:r>
        <w:rPr>
          <w:color w:val="000000"/>
          <w:lang w:val="uk-UA"/>
        </w:rPr>
        <w:t>е</w:t>
      </w:r>
      <w:r>
        <w:rPr>
          <w:color w:val="000000"/>
          <w:lang w:val="uk-UA"/>
        </w:rPr>
        <w:t xml:space="preserve">рапії [Фещенко Ю.І., Яшина Л.О., 2004; Солдатченко С.С. и соавт., 2007; </w:t>
      </w:r>
      <w:r>
        <w:rPr>
          <w:lang w:val="en-US"/>
        </w:rPr>
        <w:t>Rodr</w:t>
      </w:r>
      <w:r>
        <w:rPr>
          <w:lang w:val="en-US"/>
        </w:rPr>
        <w:t>i</w:t>
      </w:r>
      <w:r>
        <w:rPr>
          <w:lang w:val="en-US"/>
        </w:rPr>
        <w:t>guez</w:t>
      </w:r>
      <w:r>
        <w:rPr>
          <w:lang w:val="uk-UA"/>
        </w:rPr>
        <w:t>-</w:t>
      </w:r>
      <w:r>
        <w:rPr>
          <w:lang w:val="en-US"/>
        </w:rPr>
        <w:t>Roisin</w:t>
      </w:r>
      <w:r>
        <w:rPr>
          <w:lang w:val="uk-UA"/>
        </w:rPr>
        <w:t xml:space="preserve"> </w:t>
      </w:r>
      <w:r>
        <w:rPr>
          <w:lang w:val="en-US"/>
        </w:rPr>
        <w:t>R</w:t>
      </w:r>
      <w:r>
        <w:rPr>
          <w:lang w:val="uk-UA"/>
        </w:rPr>
        <w:t>., 2006</w:t>
      </w:r>
      <w:r>
        <w:rPr>
          <w:color w:val="000000"/>
          <w:lang w:val="uk-UA"/>
        </w:rPr>
        <w:t>]. Лікування загострення ХОЗЛ залишається однією з найскла</w:t>
      </w:r>
      <w:r>
        <w:rPr>
          <w:color w:val="000000"/>
          <w:lang w:val="uk-UA"/>
        </w:rPr>
        <w:t>д</w:t>
      </w:r>
      <w:r>
        <w:rPr>
          <w:color w:val="000000"/>
          <w:lang w:val="uk-UA"/>
        </w:rPr>
        <w:t>ніших проблем сучасної пульмонології. Так, приблизно у 28% хворих, випис</w:t>
      </w:r>
      <w:r>
        <w:rPr>
          <w:color w:val="000000"/>
          <w:lang w:val="uk-UA"/>
        </w:rPr>
        <w:t>а</w:t>
      </w:r>
      <w:r>
        <w:rPr>
          <w:color w:val="000000"/>
          <w:lang w:val="uk-UA"/>
        </w:rPr>
        <w:t>них із стаціонару після лікування загострення захворювання, протягом найбл</w:t>
      </w:r>
      <w:r>
        <w:rPr>
          <w:color w:val="000000"/>
          <w:lang w:val="uk-UA"/>
        </w:rPr>
        <w:t>и</w:t>
      </w:r>
      <w:r>
        <w:rPr>
          <w:color w:val="000000"/>
          <w:lang w:val="uk-UA"/>
        </w:rPr>
        <w:t>жчих 14 днів знов повторюється загострення, а 17% пацієнтів потребують п</w:t>
      </w:r>
      <w:r>
        <w:rPr>
          <w:color w:val="000000"/>
          <w:lang w:val="uk-UA"/>
        </w:rPr>
        <w:t>о</w:t>
      </w:r>
      <w:r>
        <w:rPr>
          <w:color w:val="000000"/>
          <w:lang w:val="uk-UA"/>
        </w:rPr>
        <w:t>вторної госпіталізації в стаціонар [</w:t>
      </w:r>
      <w:r>
        <w:rPr>
          <w:lang w:val="uk-UA"/>
        </w:rPr>
        <w:t>Перцева Т. А., Коно</w:t>
      </w:r>
      <w:r>
        <w:rPr>
          <w:lang w:val="uk-UA"/>
        </w:rPr>
        <w:t>п</w:t>
      </w:r>
      <w:r>
        <w:rPr>
          <w:lang w:val="uk-UA"/>
        </w:rPr>
        <w:t>кина Л. И., 2003</w:t>
      </w:r>
      <w:r>
        <w:rPr>
          <w:color w:val="000000"/>
          <w:lang w:val="uk-UA"/>
        </w:rPr>
        <w:t xml:space="preserve">]. </w:t>
      </w:r>
    </w:p>
    <w:p w:rsidR="00FC6DD7" w:rsidRDefault="00FC6DD7" w:rsidP="00FC6DD7">
      <w:pPr>
        <w:shd w:val="clear" w:color="auto" w:fill="FFFFFF"/>
        <w:ind w:firstLine="720"/>
        <w:rPr>
          <w:color w:val="000000"/>
          <w:lang w:val="uk-UA"/>
        </w:rPr>
      </w:pPr>
      <w:r>
        <w:rPr>
          <w:color w:val="000000"/>
          <w:lang w:val="uk-UA" w:eastAsia="uk-UA"/>
        </w:rPr>
        <w:t xml:space="preserve">GOLD-2006 </w:t>
      </w:r>
      <w:r>
        <w:rPr>
          <w:color w:val="000000"/>
          <w:lang w:val="uk-UA"/>
        </w:rPr>
        <w:t xml:space="preserve">розглядає системні </w:t>
      </w:r>
      <w:r>
        <w:rPr>
          <w:color w:val="000000"/>
        </w:rPr>
        <w:t>глюкокортикостеро</w:t>
      </w:r>
      <w:r>
        <w:rPr>
          <w:color w:val="000000"/>
          <w:lang w:val="uk-UA"/>
        </w:rPr>
        <w:t>ї</w:t>
      </w:r>
      <w:r>
        <w:rPr>
          <w:color w:val="000000"/>
        </w:rPr>
        <w:t>д</w:t>
      </w:r>
      <w:r>
        <w:rPr>
          <w:color w:val="000000"/>
          <w:lang w:val="uk-UA"/>
        </w:rPr>
        <w:t>и (ГКС) як основні препарати для лікування загострень ХОЗЛ. Проте при цьому має місце вис</w:t>
      </w:r>
      <w:r>
        <w:rPr>
          <w:color w:val="000000"/>
          <w:lang w:val="uk-UA"/>
        </w:rPr>
        <w:t>о</w:t>
      </w:r>
      <w:r>
        <w:rPr>
          <w:color w:val="000000"/>
          <w:lang w:val="uk-UA"/>
        </w:rPr>
        <w:t>кий ризик розвитку побічних ефектів [</w:t>
      </w:r>
      <w:r>
        <w:rPr>
          <w:lang w:val="uk-UA"/>
        </w:rPr>
        <w:t xml:space="preserve">Княжеская Н.П. и соавт, 2006; </w:t>
      </w:r>
      <w:r>
        <w:rPr>
          <w:lang w:val="en-US"/>
        </w:rPr>
        <w:t>Walsh</w:t>
      </w:r>
      <w:r>
        <w:rPr>
          <w:lang w:val="uk-UA"/>
        </w:rPr>
        <w:t xml:space="preserve"> </w:t>
      </w:r>
      <w:r>
        <w:rPr>
          <w:lang w:val="en-US"/>
        </w:rPr>
        <w:t>L</w:t>
      </w:r>
      <w:r>
        <w:rPr>
          <w:lang w:val="uk-UA"/>
        </w:rPr>
        <w:t xml:space="preserve">. </w:t>
      </w:r>
      <w:r>
        <w:rPr>
          <w:lang w:val="en-US"/>
        </w:rPr>
        <w:t>et</w:t>
      </w:r>
      <w:r>
        <w:rPr>
          <w:lang w:val="uk-UA"/>
        </w:rPr>
        <w:t xml:space="preserve"> </w:t>
      </w:r>
      <w:r>
        <w:rPr>
          <w:lang w:val="en-US"/>
        </w:rPr>
        <w:t>al</w:t>
      </w:r>
      <w:r>
        <w:rPr>
          <w:lang w:val="uk-UA"/>
        </w:rPr>
        <w:t xml:space="preserve">.; 2001; </w:t>
      </w:r>
      <w:r>
        <w:rPr>
          <w:lang w:val="en-US"/>
        </w:rPr>
        <w:t>Gartlehner</w:t>
      </w:r>
      <w:r>
        <w:rPr>
          <w:lang w:val="uk-UA"/>
        </w:rPr>
        <w:t xml:space="preserve"> </w:t>
      </w:r>
      <w:r>
        <w:rPr>
          <w:lang w:val="en-US"/>
        </w:rPr>
        <w:t>G</w:t>
      </w:r>
      <w:r>
        <w:rPr>
          <w:lang w:val="uk-UA"/>
        </w:rPr>
        <w:t xml:space="preserve">. </w:t>
      </w:r>
      <w:r>
        <w:rPr>
          <w:lang w:val="en-US"/>
        </w:rPr>
        <w:t>et</w:t>
      </w:r>
      <w:r>
        <w:rPr>
          <w:lang w:val="uk-UA"/>
        </w:rPr>
        <w:t xml:space="preserve"> </w:t>
      </w:r>
      <w:r>
        <w:rPr>
          <w:lang w:val="en-US"/>
        </w:rPr>
        <w:t>al</w:t>
      </w:r>
      <w:r>
        <w:rPr>
          <w:lang w:val="uk-UA"/>
        </w:rPr>
        <w:t>., 2006</w:t>
      </w:r>
      <w:r>
        <w:rPr>
          <w:color w:val="000000"/>
          <w:lang w:val="uk-UA"/>
        </w:rPr>
        <w:t>]. Системні ГКС відносно поволі починають діяти, в той же час були одержані р</w:t>
      </w:r>
      <w:r>
        <w:rPr>
          <w:color w:val="000000"/>
          <w:lang w:val="uk-UA"/>
        </w:rPr>
        <w:t>е</w:t>
      </w:r>
      <w:r>
        <w:rPr>
          <w:color w:val="000000"/>
          <w:lang w:val="uk-UA"/>
        </w:rPr>
        <w:t>зультати клінічних досліджень про більш швидку дію ГКС при їх інгаляційному призначенні [</w:t>
      </w:r>
      <w:r>
        <w:rPr>
          <w:lang w:val="en-US"/>
        </w:rPr>
        <w:t>Wood</w:t>
      </w:r>
      <w:r>
        <w:rPr>
          <w:lang w:val="uk-UA"/>
        </w:rPr>
        <w:t>-</w:t>
      </w:r>
      <w:r>
        <w:rPr>
          <w:lang w:val="en-US"/>
        </w:rPr>
        <w:t>Baker</w:t>
      </w:r>
      <w:r>
        <w:rPr>
          <w:lang w:val="uk-UA"/>
        </w:rPr>
        <w:t xml:space="preserve"> </w:t>
      </w:r>
      <w:r>
        <w:rPr>
          <w:lang w:val="en-US"/>
        </w:rPr>
        <w:t>R</w:t>
      </w:r>
      <w:r>
        <w:rPr>
          <w:lang w:val="uk-UA"/>
        </w:rPr>
        <w:t xml:space="preserve">. </w:t>
      </w:r>
      <w:r>
        <w:rPr>
          <w:lang w:val="en-US"/>
        </w:rPr>
        <w:t>Et</w:t>
      </w:r>
      <w:r>
        <w:rPr>
          <w:lang w:val="uk-UA"/>
        </w:rPr>
        <w:t xml:space="preserve"> </w:t>
      </w:r>
      <w:r>
        <w:rPr>
          <w:lang w:val="en-US"/>
        </w:rPr>
        <w:t>al</w:t>
      </w:r>
      <w:r>
        <w:rPr>
          <w:lang w:val="uk-UA"/>
        </w:rPr>
        <w:t>., 2006</w:t>
      </w:r>
      <w:r>
        <w:rPr>
          <w:color w:val="000000"/>
          <w:lang w:val="uk-UA"/>
        </w:rPr>
        <w:t>]. В неч</w:t>
      </w:r>
      <w:r>
        <w:rPr>
          <w:color w:val="000000"/>
          <w:lang w:val="uk-UA"/>
        </w:rPr>
        <w:t>и</w:t>
      </w:r>
      <w:r>
        <w:rPr>
          <w:color w:val="000000"/>
          <w:lang w:val="uk-UA"/>
        </w:rPr>
        <w:t xml:space="preserve">сленних дослідженнях показано, що ефективність ГКС, що призначаються за допомогою небулайзера [Авдеев С.Н. и соавт., 2003, 2006; </w:t>
      </w:r>
      <w:r>
        <w:rPr>
          <w:lang w:val="en-US"/>
        </w:rPr>
        <w:t>Mirici</w:t>
      </w:r>
      <w:r>
        <w:rPr>
          <w:lang w:val="uk-UA"/>
        </w:rPr>
        <w:t xml:space="preserve"> </w:t>
      </w:r>
      <w:r>
        <w:rPr>
          <w:lang w:val="en-US"/>
        </w:rPr>
        <w:t>A</w:t>
      </w:r>
      <w:r>
        <w:rPr>
          <w:lang w:val="uk-UA"/>
        </w:rPr>
        <w:t xml:space="preserve">. </w:t>
      </w:r>
      <w:r>
        <w:rPr>
          <w:lang w:val="en-US"/>
        </w:rPr>
        <w:t>et</w:t>
      </w:r>
      <w:r>
        <w:rPr>
          <w:lang w:val="uk-UA"/>
        </w:rPr>
        <w:t xml:space="preserve"> </w:t>
      </w:r>
      <w:r>
        <w:rPr>
          <w:lang w:val="en-US"/>
        </w:rPr>
        <w:t>al</w:t>
      </w:r>
      <w:r>
        <w:rPr>
          <w:lang w:val="uk-UA"/>
        </w:rPr>
        <w:t xml:space="preserve">., 2003; </w:t>
      </w:r>
      <w:r>
        <w:rPr>
          <w:lang w:val="en-US"/>
        </w:rPr>
        <w:t>H</w:t>
      </w:r>
      <w:r>
        <w:rPr>
          <w:lang w:val="uk-UA"/>
        </w:rPr>
        <w:t>.</w:t>
      </w:r>
      <w:r>
        <w:rPr>
          <w:lang w:val="en-US"/>
        </w:rPr>
        <w:t>Gunen</w:t>
      </w:r>
      <w:r>
        <w:rPr>
          <w:lang w:val="uk-UA"/>
        </w:rPr>
        <w:t xml:space="preserve"> </w:t>
      </w:r>
      <w:r>
        <w:rPr>
          <w:lang w:val="en-US"/>
        </w:rPr>
        <w:t>et</w:t>
      </w:r>
      <w:r>
        <w:rPr>
          <w:lang w:val="uk-UA"/>
        </w:rPr>
        <w:t xml:space="preserve"> </w:t>
      </w:r>
      <w:r>
        <w:rPr>
          <w:lang w:val="en-US"/>
        </w:rPr>
        <w:t>al</w:t>
      </w:r>
      <w:r>
        <w:rPr>
          <w:lang w:val="uk-UA"/>
        </w:rPr>
        <w:t>., 2007]</w:t>
      </w:r>
      <w:r>
        <w:rPr>
          <w:color w:val="000000"/>
          <w:lang w:val="uk-UA"/>
        </w:rPr>
        <w:t>, не поступається системним стероїдам, і навіть може їх п</w:t>
      </w:r>
      <w:r>
        <w:rPr>
          <w:color w:val="000000"/>
          <w:lang w:val="uk-UA"/>
        </w:rPr>
        <w:t>е</w:t>
      </w:r>
      <w:r>
        <w:rPr>
          <w:color w:val="000000"/>
          <w:lang w:val="uk-UA"/>
        </w:rPr>
        <w:t>ревершувати по безпеці і швидкості настання терапевтичного ефекту. Проте виконані раніше дослідже</w:t>
      </w:r>
      <w:r>
        <w:rPr>
          <w:color w:val="000000"/>
          <w:lang w:val="uk-UA"/>
        </w:rPr>
        <w:t>н</w:t>
      </w:r>
      <w:r>
        <w:rPr>
          <w:color w:val="000000"/>
          <w:lang w:val="uk-UA"/>
        </w:rPr>
        <w:t>ня були або нерандомізованими, або вивчали ефекти дуже високих доз інгал</w:t>
      </w:r>
      <w:r>
        <w:rPr>
          <w:color w:val="000000"/>
          <w:lang w:val="uk-UA"/>
        </w:rPr>
        <w:t>я</w:t>
      </w:r>
      <w:r>
        <w:rPr>
          <w:color w:val="000000"/>
          <w:lang w:val="uk-UA"/>
        </w:rPr>
        <w:t>ційних ГКС [</w:t>
      </w:r>
      <w:r>
        <w:rPr>
          <w:lang w:val="en-US"/>
        </w:rPr>
        <w:t>Mirici</w:t>
      </w:r>
      <w:r>
        <w:rPr>
          <w:lang w:val="uk-UA"/>
        </w:rPr>
        <w:t xml:space="preserve"> </w:t>
      </w:r>
      <w:r>
        <w:rPr>
          <w:lang w:val="en-US"/>
        </w:rPr>
        <w:t>A</w:t>
      </w:r>
      <w:r>
        <w:rPr>
          <w:lang w:val="uk-UA"/>
        </w:rPr>
        <w:t>. е</w:t>
      </w:r>
      <w:r>
        <w:rPr>
          <w:lang w:val="en-US"/>
        </w:rPr>
        <w:t>t</w:t>
      </w:r>
      <w:r>
        <w:rPr>
          <w:lang w:val="uk-UA"/>
        </w:rPr>
        <w:t xml:space="preserve"> </w:t>
      </w:r>
      <w:r>
        <w:rPr>
          <w:lang w:val="en-US"/>
        </w:rPr>
        <w:t>al</w:t>
      </w:r>
      <w:r>
        <w:rPr>
          <w:lang w:val="uk-UA"/>
        </w:rPr>
        <w:t xml:space="preserve">., 2003; </w:t>
      </w:r>
      <w:r>
        <w:rPr>
          <w:lang w:val="en-US"/>
        </w:rPr>
        <w:t>Marcus</w:t>
      </w:r>
      <w:r>
        <w:rPr>
          <w:lang w:val="uk-UA"/>
        </w:rPr>
        <w:t xml:space="preserve"> </w:t>
      </w:r>
      <w:r>
        <w:rPr>
          <w:lang w:val="en-US"/>
        </w:rPr>
        <w:t>P</w:t>
      </w:r>
      <w:r>
        <w:rPr>
          <w:lang w:val="uk-UA"/>
        </w:rPr>
        <w:t xml:space="preserve">. </w:t>
      </w:r>
      <w:r>
        <w:rPr>
          <w:lang w:val="en-US"/>
        </w:rPr>
        <w:t>et</w:t>
      </w:r>
      <w:r>
        <w:rPr>
          <w:lang w:val="uk-UA"/>
        </w:rPr>
        <w:t xml:space="preserve"> </w:t>
      </w:r>
      <w:r>
        <w:rPr>
          <w:lang w:val="en-US"/>
        </w:rPr>
        <w:t>al</w:t>
      </w:r>
      <w:r>
        <w:rPr>
          <w:lang w:val="uk-UA"/>
        </w:rPr>
        <w:t>., 2006</w:t>
      </w:r>
      <w:r>
        <w:rPr>
          <w:color w:val="000000"/>
          <w:lang w:val="uk-UA"/>
        </w:rPr>
        <w:t xml:space="preserve">]. Особливу актуальність має вивчення </w:t>
      </w:r>
      <w:r>
        <w:rPr>
          <w:color w:val="000000"/>
        </w:rPr>
        <w:t>небул</w:t>
      </w:r>
      <w:r>
        <w:rPr>
          <w:color w:val="000000"/>
          <w:lang w:val="uk-UA"/>
        </w:rPr>
        <w:t>і</w:t>
      </w:r>
      <w:r>
        <w:rPr>
          <w:color w:val="000000"/>
        </w:rPr>
        <w:t>зованого</w:t>
      </w:r>
      <w:r>
        <w:rPr>
          <w:color w:val="000000"/>
          <w:lang w:val="uk-UA"/>
        </w:rPr>
        <w:t xml:space="preserve"> </w:t>
      </w:r>
      <w:r>
        <w:rPr>
          <w:color w:val="000000"/>
        </w:rPr>
        <w:t>флутіказону пропіонату</w:t>
      </w:r>
      <w:r>
        <w:rPr>
          <w:color w:val="000000"/>
          <w:lang w:val="uk-UA"/>
        </w:rPr>
        <w:t>, який порівняно недавно з'явився на фармацевтичному ринку. З др</w:t>
      </w:r>
      <w:r>
        <w:rPr>
          <w:color w:val="000000"/>
          <w:lang w:val="uk-UA"/>
        </w:rPr>
        <w:t>у</w:t>
      </w:r>
      <w:r>
        <w:rPr>
          <w:color w:val="000000"/>
          <w:lang w:val="uk-UA"/>
        </w:rPr>
        <w:t>гого боку, у ряді досліджень [</w:t>
      </w:r>
      <w:r>
        <w:rPr>
          <w:lang w:val="en-US"/>
        </w:rPr>
        <w:t>Gall</w:t>
      </w:r>
      <w:r>
        <w:rPr>
          <w:lang w:val="en-US"/>
        </w:rPr>
        <w:t>e</w:t>
      </w:r>
      <w:r>
        <w:rPr>
          <w:lang w:val="en-US"/>
        </w:rPr>
        <w:t>foss</w:t>
      </w:r>
      <w:r>
        <w:rPr>
          <w:lang w:val="uk-UA"/>
        </w:rPr>
        <w:t xml:space="preserve"> </w:t>
      </w:r>
      <w:r>
        <w:rPr>
          <w:lang w:val="en-US"/>
        </w:rPr>
        <w:t>F</w:t>
      </w:r>
      <w:r>
        <w:rPr>
          <w:lang w:val="uk-UA"/>
        </w:rPr>
        <w:t xml:space="preserve">. 2004; </w:t>
      </w:r>
      <w:r>
        <w:rPr>
          <w:lang w:val="en-US"/>
        </w:rPr>
        <w:t>Rand</w:t>
      </w:r>
      <w:r>
        <w:rPr>
          <w:lang w:val="uk-UA"/>
        </w:rPr>
        <w:t xml:space="preserve"> </w:t>
      </w:r>
      <w:r>
        <w:rPr>
          <w:lang w:val="en-US"/>
        </w:rPr>
        <w:t>C</w:t>
      </w:r>
      <w:r>
        <w:rPr>
          <w:lang w:val="uk-UA"/>
        </w:rPr>
        <w:t>., 2005</w:t>
      </w:r>
      <w:r>
        <w:rPr>
          <w:color w:val="000000"/>
          <w:lang w:val="uk-UA"/>
        </w:rPr>
        <w:t>] встановлено, що ефективність лікування загострень ХОЗЛ залежить не тільки від точності постановки діагн</w:t>
      </w:r>
      <w:r>
        <w:rPr>
          <w:color w:val="000000"/>
          <w:lang w:val="uk-UA"/>
        </w:rPr>
        <w:t>о</w:t>
      </w:r>
      <w:r>
        <w:rPr>
          <w:color w:val="000000"/>
          <w:lang w:val="uk-UA"/>
        </w:rPr>
        <w:t>зу і правильності підбору терапії, але і від прихильності паціє</w:t>
      </w:r>
      <w:r>
        <w:rPr>
          <w:color w:val="000000"/>
          <w:lang w:val="uk-UA"/>
        </w:rPr>
        <w:t>н</w:t>
      </w:r>
      <w:r>
        <w:rPr>
          <w:color w:val="000000"/>
          <w:lang w:val="uk-UA"/>
        </w:rPr>
        <w:t>та до лікування, яка на амбулаторному етапі  практично не в</w:t>
      </w:r>
      <w:r>
        <w:rPr>
          <w:color w:val="000000"/>
          <w:lang w:val="uk-UA"/>
        </w:rPr>
        <w:t>и</w:t>
      </w:r>
      <w:r>
        <w:rPr>
          <w:color w:val="000000"/>
          <w:lang w:val="uk-UA"/>
        </w:rPr>
        <w:t xml:space="preserve">вчалася.  </w:t>
      </w:r>
    </w:p>
    <w:p w:rsidR="00FC6DD7" w:rsidRDefault="00FC6DD7" w:rsidP="00FC6DD7">
      <w:pPr>
        <w:ind w:firstLine="720"/>
        <w:rPr>
          <w:color w:val="000000"/>
          <w:lang w:val="uk-UA"/>
        </w:rPr>
      </w:pPr>
      <w:r>
        <w:rPr>
          <w:color w:val="000000"/>
          <w:lang w:val="uk-UA"/>
        </w:rPr>
        <w:t>Таким чином, робочою гіпотезою даного дослідження з'явилося тве</w:t>
      </w:r>
      <w:r>
        <w:rPr>
          <w:color w:val="000000"/>
          <w:lang w:val="uk-UA"/>
        </w:rPr>
        <w:t>р</w:t>
      </w:r>
      <w:r>
        <w:rPr>
          <w:color w:val="000000"/>
          <w:lang w:val="uk-UA"/>
        </w:rPr>
        <w:t>дження, згідно якого розробка і упровадження системи спеціальних організ</w:t>
      </w:r>
      <w:r>
        <w:rPr>
          <w:color w:val="000000"/>
          <w:lang w:val="uk-UA"/>
        </w:rPr>
        <w:t>а</w:t>
      </w:r>
      <w:r>
        <w:rPr>
          <w:color w:val="000000"/>
          <w:lang w:val="uk-UA"/>
        </w:rPr>
        <w:t>ційних заходів з використанням небулайзерної терапії ГКС при загостренні ХОЗЛ може привести до контрольованого перебігу захворювання, а також сприяти підвищенню прихильності пацієнтів до лікарського лікування і полі</w:t>
      </w:r>
      <w:r>
        <w:rPr>
          <w:color w:val="000000"/>
          <w:lang w:val="uk-UA"/>
        </w:rPr>
        <w:t>п</w:t>
      </w:r>
      <w:r>
        <w:rPr>
          <w:color w:val="000000"/>
          <w:lang w:val="uk-UA"/>
        </w:rPr>
        <w:t>шенню їх якості життя.</w:t>
      </w:r>
    </w:p>
    <w:p w:rsidR="00FC6DD7" w:rsidRDefault="00FC6DD7" w:rsidP="00FC6DD7">
      <w:pPr>
        <w:pStyle w:val="afffffffb"/>
        <w:rPr>
          <w:color w:val="000000"/>
          <w:lang w:val="uk-UA" w:eastAsia="uk-UA"/>
        </w:rPr>
      </w:pPr>
      <w:r>
        <w:rPr>
          <w:b/>
          <w:bCs/>
          <w:color w:val="000000"/>
          <w:lang w:val="uk-UA"/>
        </w:rPr>
        <w:t xml:space="preserve">Зв'язок роботи з науковими програмами, планами, темами. </w:t>
      </w:r>
      <w:r>
        <w:rPr>
          <w:color w:val="000000"/>
          <w:lang w:val="uk-UA"/>
        </w:rPr>
        <w:t>Робота була виконана в рамках плану наукових досліджень Кримської республіканс</w:t>
      </w:r>
      <w:r>
        <w:rPr>
          <w:color w:val="000000"/>
          <w:lang w:val="uk-UA"/>
        </w:rPr>
        <w:t>ь</w:t>
      </w:r>
      <w:r>
        <w:rPr>
          <w:color w:val="000000"/>
          <w:lang w:val="uk-UA"/>
        </w:rPr>
        <w:t xml:space="preserve">кої установи «НДІ фізичних методів лікування і медичної кліматології  імені І.М. Сєченова за темою «Система управління лікуванням і </w:t>
      </w:r>
      <w:r>
        <w:rPr>
          <w:color w:val="000000"/>
          <w:lang w:val="uk-UA"/>
        </w:rPr>
        <w:lastRenderedPageBreak/>
        <w:t>медичною реабіліт</w:t>
      </w:r>
      <w:r>
        <w:rPr>
          <w:color w:val="000000"/>
          <w:lang w:val="uk-UA"/>
        </w:rPr>
        <w:t>а</w:t>
      </w:r>
      <w:r>
        <w:rPr>
          <w:color w:val="000000"/>
          <w:lang w:val="uk-UA"/>
        </w:rPr>
        <w:t>цією хворих на хронічні запальні захворювання легенів в Автономній республ</w:t>
      </w:r>
      <w:r>
        <w:rPr>
          <w:color w:val="000000"/>
          <w:lang w:val="uk-UA"/>
        </w:rPr>
        <w:t>і</w:t>
      </w:r>
      <w:r>
        <w:rPr>
          <w:color w:val="000000"/>
          <w:lang w:val="uk-UA"/>
        </w:rPr>
        <w:t>ці Крим»</w:t>
      </w:r>
      <w:r>
        <w:rPr>
          <w:color w:val="000000"/>
          <w:lang w:val="uk-UA" w:eastAsia="uk-UA"/>
        </w:rPr>
        <w:t xml:space="preserve"> </w:t>
      </w:r>
      <w:r>
        <w:rPr>
          <w:color w:val="000000"/>
          <w:lang w:val="uk-UA"/>
        </w:rPr>
        <w:t>(номер державної реєстрації 0108U001191). Термін викона</w:t>
      </w:r>
      <w:r>
        <w:rPr>
          <w:color w:val="000000"/>
          <w:lang w:val="uk-UA"/>
        </w:rPr>
        <w:t>н</w:t>
      </w:r>
      <w:r>
        <w:rPr>
          <w:color w:val="000000"/>
          <w:lang w:val="uk-UA"/>
        </w:rPr>
        <w:t xml:space="preserve">ня —  </w:t>
      </w:r>
      <w:r>
        <w:rPr>
          <w:color w:val="000000"/>
          <w:lang w:val="uk-UA" w:eastAsia="uk-UA"/>
        </w:rPr>
        <w:t>2008-2010 рр.</w:t>
      </w:r>
    </w:p>
    <w:p w:rsidR="00FC6DD7" w:rsidRDefault="00FC6DD7" w:rsidP="00FC6DD7">
      <w:pPr>
        <w:pStyle w:val="afffffffb"/>
        <w:autoSpaceDE w:val="0"/>
        <w:autoSpaceDN w:val="0"/>
        <w:rPr>
          <w:color w:val="000000"/>
          <w:lang w:val="uk-UA"/>
        </w:rPr>
      </w:pPr>
      <w:r>
        <w:rPr>
          <w:b/>
          <w:bCs/>
          <w:color w:val="000000"/>
          <w:spacing w:val="10"/>
          <w:lang w:val="uk-UA"/>
        </w:rPr>
        <w:t xml:space="preserve">Мета дослідження </w:t>
      </w:r>
      <w:r>
        <w:rPr>
          <w:color w:val="000000"/>
          <w:lang w:val="uk-UA"/>
        </w:rPr>
        <w:t>– науково обгрунтувати і розробити систему заходів щодо підвищення ефективності амбулаторного лікування загострень ХОЗЛ з використанням інгаляційного застосування ГКС через небулайзери.</w:t>
      </w:r>
    </w:p>
    <w:p w:rsidR="00FC6DD7" w:rsidRDefault="00FC6DD7" w:rsidP="00FC6DD7">
      <w:pPr>
        <w:pStyle w:val="afffffffb"/>
        <w:autoSpaceDE w:val="0"/>
        <w:autoSpaceDN w:val="0"/>
        <w:rPr>
          <w:color w:val="000000"/>
          <w:lang w:val="uk-UA"/>
        </w:rPr>
      </w:pPr>
      <w:r>
        <w:rPr>
          <w:b/>
          <w:bCs/>
          <w:color w:val="000000"/>
          <w:spacing w:val="10"/>
          <w:lang w:val="uk-UA"/>
        </w:rPr>
        <w:t>Задачі дослідження</w:t>
      </w:r>
      <w:r>
        <w:rPr>
          <w:color w:val="000000"/>
          <w:lang w:val="uk-UA"/>
        </w:rPr>
        <w:t xml:space="preserve">: </w:t>
      </w:r>
    </w:p>
    <w:p w:rsidR="00FC6DD7" w:rsidRDefault="00FC6DD7" w:rsidP="00FC6DD7">
      <w:pPr>
        <w:pStyle w:val="afffffffb"/>
        <w:autoSpaceDE w:val="0"/>
        <w:autoSpaceDN w:val="0"/>
        <w:rPr>
          <w:color w:val="000000"/>
          <w:lang w:val="uk-UA"/>
        </w:rPr>
      </w:pPr>
      <w:r>
        <w:rPr>
          <w:color w:val="000000"/>
          <w:lang w:val="uk-UA"/>
        </w:rPr>
        <w:t>1. Науково обгрунтувати, розробити і упровадити в практичну охорону здоров'я спеціальні організаційні заходи щодо підвищення ефективності нада</w:t>
      </w:r>
      <w:r>
        <w:rPr>
          <w:color w:val="000000"/>
          <w:lang w:val="uk-UA"/>
        </w:rPr>
        <w:t>н</w:t>
      </w:r>
      <w:r>
        <w:rPr>
          <w:color w:val="000000"/>
          <w:lang w:val="uk-UA"/>
        </w:rPr>
        <w:t>ня медичної допомоги хворим із загостренням ХОЗЛ  на амбулаторному етапі.</w:t>
      </w:r>
    </w:p>
    <w:p w:rsidR="00FC6DD7" w:rsidRDefault="00FC6DD7" w:rsidP="00FC6DD7">
      <w:pPr>
        <w:pStyle w:val="afffffffb"/>
        <w:autoSpaceDE w:val="0"/>
        <w:autoSpaceDN w:val="0"/>
        <w:rPr>
          <w:color w:val="000000"/>
          <w:lang w:val="uk-UA"/>
        </w:rPr>
      </w:pPr>
      <w:r>
        <w:rPr>
          <w:color w:val="000000"/>
          <w:lang w:val="uk-UA"/>
        </w:rPr>
        <w:t>2. Оцінити ефективність і безпеку застосування небулізованих будесон</w:t>
      </w:r>
      <w:r>
        <w:rPr>
          <w:color w:val="000000"/>
          <w:lang w:val="uk-UA"/>
        </w:rPr>
        <w:t>і</w:t>
      </w:r>
      <w:r>
        <w:rPr>
          <w:color w:val="000000"/>
          <w:lang w:val="uk-UA"/>
        </w:rPr>
        <w:t>ду і флутіказону пропіонату порівняно з системним преднізолоном  у хворих із з</w:t>
      </w:r>
      <w:r>
        <w:rPr>
          <w:color w:val="000000"/>
          <w:lang w:val="uk-UA"/>
        </w:rPr>
        <w:t>а</w:t>
      </w:r>
      <w:r>
        <w:rPr>
          <w:color w:val="000000"/>
          <w:lang w:val="uk-UA"/>
        </w:rPr>
        <w:t>гостренням ХОЗЛ.</w:t>
      </w:r>
    </w:p>
    <w:p w:rsidR="00FC6DD7" w:rsidRDefault="00FC6DD7" w:rsidP="00FC6DD7">
      <w:pPr>
        <w:pStyle w:val="afffffffb"/>
        <w:autoSpaceDE w:val="0"/>
        <w:autoSpaceDN w:val="0"/>
        <w:rPr>
          <w:color w:val="000000"/>
          <w:lang w:val="uk-UA"/>
        </w:rPr>
      </w:pPr>
      <w:r>
        <w:rPr>
          <w:color w:val="000000"/>
          <w:lang w:val="uk-UA"/>
        </w:rPr>
        <w:t>3. Вивчити прихильність до лікарського лікування хворих на ХОЗЛ і в</w:t>
      </w:r>
      <w:r>
        <w:rPr>
          <w:color w:val="000000"/>
          <w:lang w:val="uk-UA"/>
        </w:rPr>
        <w:t>и</w:t>
      </w:r>
      <w:r>
        <w:rPr>
          <w:color w:val="000000"/>
          <w:lang w:val="uk-UA"/>
        </w:rPr>
        <w:t>значити заходи щодо її підвищення на амбулаторному етапі.</w:t>
      </w:r>
    </w:p>
    <w:p w:rsidR="00FC6DD7" w:rsidRDefault="00FC6DD7" w:rsidP="00FC6DD7">
      <w:pPr>
        <w:pStyle w:val="afffffffb"/>
        <w:autoSpaceDE w:val="0"/>
        <w:autoSpaceDN w:val="0"/>
        <w:rPr>
          <w:color w:val="000000"/>
          <w:lang w:val="uk-UA"/>
        </w:rPr>
      </w:pPr>
      <w:r>
        <w:rPr>
          <w:color w:val="000000"/>
          <w:lang w:val="uk-UA"/>
        </w:rPr>
        <w:t>4. Дослідити якість життя хворих на ХОЗЛ і вплив на нього спеціальних організаційних заходів на амбулаторному етапі лікування.</w:t>
      </w:r>
    </w:p>
    <w:p w:rsidR="00FC6DD7" w:rsidRDefault="00FC6DD7" w:rsidP="00FC6DD7">
      <w:pPr>
        <w:pStyle w:val="afffffffb"/>
        <w:autoSpaceDE w:val="0"/>
        <w:autoSpaceDN w:val="0"/>
        <w:rPr>
          <w:color w:val="000000"/>
          <w:lang w:val="uk-UA"/>
        </w:rPr>
      </w:pPr>
      <w:r>
        <w:rPr>
          <w:b/>
          <w:bCs/>
          <w:color w:val="000000"/>
          <w:lang w:val="uk-UA"/>
        </w:rPr>
        <w:t>Вид дослідження:</w:t>
      </w:r>
      <w:r>
        <w:rPr>
          <w:color w:val="000000"/>
          <w:lang w:val="uk-UA"/>
        </w:rPr>
        <w:t xml:space="preserve"> відкрите контрольоване дослідження.</w:t>
      </w:r>
    </w:p>
    <w:p w:rsidR="00FC6DD7" w:rsidRDefault="00FC6DD7" w:rsidP="00FC6DD7">
      <w:pPr>
        <w:pStyle w:val="afffffffb"/>
        <w:autoSpaceDE w:val="0"/>
        <w:autoSpaceDN w:val="0"/>
        <w:rPr>
          <w:b/>
          <w:bCs/>
          <w:color w:val="000000"/>
          <w:spacing w:val="10"/>
          <w:lang w:val="uk-UA"/>
        </w:rPr>
      </w:pPr>
      <w:r>
        <w:rPr>
          <w:b/>
          <w:bCs/>
          <w:color w:val="000000"/>
          <w:spacing w:val="10"/>
          <w:lang w:val="uk-UA"/>
        </w:rPr>
        <w:t xml:space="preserve">Об'єкт дослідження: </w:t>
      </w:r>
      <w:r>
        <w:rPr>
          <w:bCs/>
          <w:color w:val="000000"/>
          <w:spacing w:val="10"/>
          <w:lang w:val="uk-UA"/>
        </w:rPr>
        <w:t>загострення ХОЗЛ.</w:t>
      </w:r>
    </w:p>
    <w:p w:rsidR="00FC6DD7" w:rsidRDefault="00FC6DD7" w:rsidP="00FC6DD7">
      <w:pPr>
        <w:pStyle w:val="afffffffb"/>
        <w:autoSpaceDE w:val="0"/>
        <w:autoSpaceDN w:val="0"/>
        <w:rPr>
          <w:color w:val="000000"/>
          <w:lang w:val="uk-UA"/>
        </w:rPr>
      </w:pPr>
      <w:r>
        <w:rPr>
          <w:b/>
          <w:bCs/>
          <w:color w:val="000000"/>
          <w:spacing w:val="10"/>
          <w:lang w:val="uk-UA"/>
        </w:rPr>
        <w:t>Предмет дослідження:</w:t>
      </w:r>
      <w:r>
        <w:rPr>
          <w:color w:val="000000"/>
          <w:spacing w:val="10"/>
          <w:lang w:val="uk-UA"/>
        </w:rPr>
        <w:t xml:space="preserve"> </w:t>
      </w:r>
      <w:r>
        <w:rPr>
          <w:color w:val="000000"/>
          <w:lang w:val="uk-UA"/>
        </w:rPr>
        <w:t>організація лікувального процесу на амбулат</w:t>
      </w:r>
      <w:r>
        <w:rPr>
          <w:color w:val="000000"/>
          <w:lang w:val="uk-UA"/>
        </w:rPr>
        <w:t>о</w:t>
      </w:r>
      <w:r>
        <w:rPr>
          <w:color w:val="000000"/>
          <w:lang w:val="uk-UA"/>
        </w:rPr>
        <w:t>рному етапі, патологічні прояви у хворих на ХОЗЛ, лікувальні ефекти небула</w:t>
      </w:r>
      <w:r>
        <w:rPr>
          <w:color w:val="000000"/>
          <w:lang w:val="uk-UA"/>
        </w:rPr>
        <w:t>й</w:t>
      </w:r>
      <w:r>
        <w:rPr>
          <w:color w:val="000000"/>
          <w:lang w:val="uk-UA"/>
        </w:rPr>
        <w:t>зерної терапії, якість  життя хворих, прихильність хворих до лікування.</w:t>
      </w:r>
    </w:p>
    <w:p w:rsidR="00FC6DD7" w:rsidRDefault="00FC6DD7" w:rsidP="00FC6DD7">
      <w:pPr>
        <w:pStyle w:val="afffffffb"/>
        <w:autoSpaceDE w:val="0"/>
        <w:autoSpaceDN w:val="0"/>
        <w:rPr>
          <w:color w:val="000000"/>
          <w:lang w:val="uk-UA"/>
        </w:rPr>
      </w:pPr>
      <w:r>
        <w:rPr>
          <w:b/>
          <w:bCs/>
          <w:color w:val="000000"/>
          <w:lang w:val="uk-UA"/>
        </w:rPr>
        <w:t xml:space="preserve">Матеріал дослідження: </w:t>
      </w:r>
      <w:r>
        <w:rPr>
          <w:color w:val="000000"/>
          <w:lang w:val="uk-UA"/>
        </w:rPr>
        <w:t>124 хворих на ХОЗЛ.</w:t>
      </w:r>
    </w:p>
    <w:p w:rsidR="00FC6DD7" w:rsidRDefault="00FC6DD7" w:rsidP="00FC6DD7">
      <w:pPr>
        <w:pStyle w:val="afffffffb"/>
        <w:autoSpaceDE w:val="0"/>
        <w:autoSpaceDN w:val="0"/>
        <w:rPr>
          <w:color w:val="000000"/>
          <w:lang w:val="uk-UA"/>
        </w:rPr>
      </w:pPr>
      <w:r>
        <w:rPr>
          <w:b/>
          <w:bCs/>
          <w:color w:val="000000"/>
          <w:spacing w:val="10"/>
          <w:lang w:val="uk-UA"/>
        </w:rPr>
        <w:t>Методи дослідження</w:t>
      </w:r>
      <w:r>
        <w:rPr>
          <w:color w:val="000000"/>
          <w:lang w:val="uk-UA"/>
        </w:rPr>
        <w:t>: клінічне обстеження хворих (демографічні і а</w:t>
      </w:r>
      <w:r>
        <w:rPr>
          <w:color w:val="000000"/>
          <w:lang w:val="uk-UA"/>
        </w:rPr>
        <w:t>н</w:t>
      </w:r>
      <w:r>
        <w:rPr>
          <w:color w:val="000000"/>
          <w:lang w:val="uk-UA"/>
        </w:rPr>
        <w:t>тропометричні параметри, відомості про особливості життя хворого, розвитку захворювання, перебігу захворювання і його  лікування; оцінка пот</w:t>
      </w:r>
      <w:r>
        <w:rPr>
          <w:color w:val="000000"/>
          <w:lang w:val="uk-UA"/>
        </w:rPr>
        <w:t>о</w:t>
      </w:r>
      <w:r>
        <w:rPr>
          <w:color w:val="000000"/>
          <w:lang w:val="uk-UA"/>
        </w:rPr>
        <w:t>чного стану хворих), вивчення функції зовнішнього дихання  (спірографія), визначення як</w:t>
      </w:r>
      <w:r>
        <w:rPr>
          <w:color w:val="000000"/>
          <w:lang w:val="uk-UA"/>
        </w:rPr>
        <w:t>о</w:t>
      </w:r>
      <w:r>
        <w:rPr>
          <w:color w:val="000000"/>
          <w:lang w:val="uk-UA"/>
        </w:rPr>
        <w:t>сті життя і прихильності пацієнтів до лікарського лікування.</w:t>
      </w:r>
    </w:p>
    <w:p w:rsidR="00FC6DD7" w:rsidRDefault="00FC6DD7" w:rsidP="00FC6DD7">
      <w:pPr>
        <w:pStyle w:val="afffffffb"/>
        <w:autoSpaceDE w:val="0"/>
        <w:autoSpaceDN w:val="0"/>
        <w:rPr>
          <w:color w:val="000000"/>
          <w:lang w:val="uk-UA"/>
        </w:rPr>
      </w:pPr>
      <w:r>
        <w:rPr>
          <w:b/>
          <w:bCs/>
          <w:color w:val="000000"/>
          <w:spacing w:val="10"/>
          <w:lang w:val="uk-UA"/>
        </w:rPr>
        <w:t>Методи аналізу</w:t>
      </w:r>
      <w:r>
        <w:rPr>
          <w:b/>
          <w:bCs/>
          <w:color w:val="000000"/>
          <w:lang w:val="uk-UA"/>
        </w:rPr>
        <w:t>:</w:t>
      </w:r>
      <w:r>
        <w:rPr>
          <w:color w:val="000000"/>
          <w:lang w:val="uk-UA"/>
        </w:rPr>
        <w:t xml:space="preserve"> методи стандартної варіаційної статистики, кореляці</w:t>
      </w:r>
      <w:r>
        <w:rPr>
          <w:color w:val="000000"/>
          <w:lang w:val="uk-UA"/>
        </w:rPr>
        <w:t>й</w:t>
      </w:r>
      <w:r>
        <w:rPr>
          <w:color w:val="000000"/>
          <w:lang w:val="uk-UA"/>
        </w:rPr>
        <w:t>ний аналіз.</w:t>
      </w:r>
    </w:p>
    <w:p w:rsidR="00FC6DD7" w:rsidRDefault="00FC6DD7" w:rsidP="00FC6DD7">
      <w:pPr>
        <w:pStyle w:val="afffffffb"/>
        <w:autoSpaceDE w:val="0"/>
        <w:autoSpaceDN w:val="0"/>
        <w:rPr>
          <w:b/>
          <w:bCs/>
          <w:color w:val="000000"/>
          <w:lang w:val="uk-UA"/>
        </w:rPr>
      </w:pPr>
      <w:r>
        <w:rPr>
          <w:b/>
          <w:bCs/>
          <w:color w:val="000000"/>
          <w:lang w:val="uk-UA"/>
        </w:rPr>
        <w:t xml:space="preserve">Наукова новизна здобутих результатів. </w:t>
      </w:r>
      <w:r>
        <w:rPr>
          <w:bCs/>
          <w:color w:val="000000"/>
          <w:lang w:val="uk-UA"/>
        </w:rPr>
        <w:t>Вперше запропонована м</w:t>
      </w:r>
      <w:r>
        <w:rPr>
          <w:bCs/>
          <w:color w:val="000000"/>
          <w:lang w:val="uk-UA"/>
        </w:rPr>
        <w:t>о</w:t>
      </w:r>
      <w:r>
        <w:rPr>
          <w:bCs/>
          <w:color w:val="000000"/>
          <w:lang w:val="uk-UA"/>
        </w:rPr>
        <w:t>дель організації ведення хворих із загостренням ХОЗЛ в умовах пульмонолог</w:t>
      </w:r>
      <w:r>
        <w:rPr>
          <w:bCs/>
          <w:color w:val="000000"/>
          <w:lang w:val="uk-UA"/>
        </w:rPr>
        <w:t>і</w:t>
      </w:r>
      <w:r>
        <w:rPr>
          <w:bCs/>
          <w:color w:val="000000"/>
          <w:lang w:val="uk-UA"/>
        </w:rPr>
        <w:t>чного лікувально-реабілітаційного центру (ПЛРЦ). Одержані нові дані про те, що і</w:t>
      </w:r>
      <w:r>
        <w:rPr>
          <w:bCs/>
          <w:color w:val="000000"/>
          <w:lang w:val="uk-UA"/>
        </w:rPr>
        <w:t>н</w:t>
      </w:r>
      <w:r>
        <w:rPr>
          <w:bCs/>
          <w:color w:val="000000"/>
          <w:lang w:val="uk-UA"/>
        </w:rPr>
        <w:t>галяційні ГКС, застосовані за допомогою небулайзера, в порівнянні з систе</w:t>
      </w:r>
      <w:r>
        <w:rPr>
          <w:bCs/>
          <w:color w:val="000000"/>
          <w:lang w:val="uk-UA"/>
        </w:rPr>
        <w:t>м</w:t>
      </w:r>
      <w:r>
        <w:rPr>
          <w:bCs/>
          <w:color w:val="000000"/>
          <w:lang w:val="uk-UA"/>
        </w:rPr>
        <w:t>ним преднізолоном, володіють більшою безпекою і не менш високою клін</w:t>
      </w:r>
      <w:r>
        <w:rPr>
          <w:bCs/>
          <w:color w:val="000000"/>
          <w:lang w:val="uk-UA"/>
        </w:rPr>
        <w:t>і</w:t>
      </w:r>
      <w:r>
        <w:rPr>
          <w:bCs/>
          <w:color w:val="000000"/>
          <w:lang w:val="uk-UA"/>
        </w:rPr>
        <w:t>ко-функціональною ефективністю.</w:t>
      </w:r>
      <w:r>
        <w:rPr>
          <w:b/>
          <w:bCs/>
          <w:color w:val="000000"/>
          <w:lang w:val="uk-UA"/>
        </w:rPr>
        <w:t xml:space="preserve"> </w:t>
      </w:r>
    </w:p>
    <w:p w:rsidR="00FC6DD7" w:rsidRDefault="00FC6DD7" w:rsidP="00FC6DD7">
      <w:pPr>
        <w:pStyle w:val="afffffffb"/>
        <w:autoSpaceDE w:val="0"/>
        <w:autoSpaceDN w:val="0"/>
        <w:rPr>
          <w:color w:val="000000"/>
          <w:lang w:val="uk-UA"/>
        </w:rPr>
      </w:pPr>
      <w:r>
        <w:rPr>
          <w:color w:val="000000"/>
          <w:lang w:val="uk-UA"/>
        </w:rPr>
        <w:t>Вперше описана роль прихильності хворих до лікування у формуванні р</w:t>
      </w:r>
      <w:r>
        <w:rPr>
          <w:color w:val="000000"/>
          <w:lang w:val="uk-UA"/>
        </w:rPr>
        <w:t>і</w:t>
      </w:r>
      <w:r>
        <w:rPr>
          <w:color w:val="000000"/>
          <w:lang w:val="uk-UA"/>
        </w:rPr>
        <w:t>зних результатів комплексної терапії загострення ХОЗЛ. Обгрунтовані і розр</w:t>
      </w:r>
      <w:r>
        <w:rPr>
          <w:color w:val="000000"/>
          <w:lang w:val="uk-UA"/>
        </w:rPr>
        <w:t>о</w:t>
      </w:r>
      <w:r>
        <w:rPr>
          <w:color w:val="000000"/>
          <w:lang w:val="uk-UA"/>
        </w:rPr>
        <w:t xml:space="preserve">блені нові організаційні заходи, що дозволяють підвищити прихильність хворих до лікарської терапії на амбулаторному етапі. </w:t>
      </w:r>
    </w:p>
    <w:p w:rsidR="00FC6DD7" w:rsidRDefault="00FC6DD7" w:rsidP="00FC6DD7">
      <w:pPr>
        <w:pStyle w:val="afffffffb"/>
        <w:autoSpaceDE w:val="0"/>
        <w:autoSpaceDN w:val="0"/>
        <w:rPr>
          <w:color w:val="000000"/>
          <w:lang w:val="uk-UA"/>
        </w:rPr>
      </w:pPr>
      <w:r>
        <w:rPr>
          <w:color w:val="000000"/>
          <w:lang w:val="uk-UA"/>
        </w:rPr>
        <w:lastRenderedPageBreak/>
        <w:t>Уточнені чинники, що визначають якість життя хворих на ХОЗЛ на амб</w:t>
      </w:r>
      <w:r>
        <w:rPr>
          <w:color w:val="000000"/>
          <w:lang w:val="uk-UA"/>
        </w:rPr>
        <w:t>у</w:t>
      </w:r>
      <w:r>
        <w:rPr>
          <w:color w:val="000000"/>
          <w:lang w:val="uk-UA"/>
        </w:rPr>
        <w:t>латорному етапі. Показані і описані умови організації медичної допомоги хв</w:t>
      </w:r>
      <w:r>
        <w:rPr>
          <w:color w:val="000000"/>
          <w:lang w:val="uk-UA"/>
        </w:rPr>
        <w:t>о</w:t>
      </w:r>
      <w:r>
        <w:rPr>
          <w:color w:val="000000"/>
          <w:lang w:val="uk-UA"/>
        </w:rPr>
        <w:t>рим на ХОЗЛ, які сприяють підвищенню якості їх життя.</w:t>
      </w:r>
    </w:p>
    <w:p w:rsidR="00FC6DD7" w:rsidRDefault="00FC6DD7" w:rsidP="00FC6DD7">
      <w:pPr>
        <w:pStyle w:val="afffffffb"/>
        <w:autoSpaceDE w:val="0"/>
        <w:autoSpaceDN w:val="0"/>
        <w:rPr>
          <w:color w:val="000000"/>
          <w:lang w:val="uk-UA"/>
        </w:rPr>
      </w:pPr>
      <w:r>
        <w:rPr>
          <w:b/>
          <w:bCs/>
          <w:color w:val="000000"/>
          <w:lang w:val="uk-UA"/>
        </w:rPr>
        <w:t xml:space="preserve">Практична значущість здобутих результатів. </w:t>
      </w:r>
      <w:r>
        <w:rPr>
          <w:color w:val="000000"/>
          <w:lang w:val="uk-UA"/>
        </w:rPr>
        <w:t>Запропон</w:t>
      </w:r>
      <w:r>
        <w:rPr>
          <w:color w:val="000000"/>
          <w:lang w:val="uk-UA"/>
        </w:rPr>
        <w:t>о</w:t>
      </w:r>
      <w:r>
        <w:rPr>
          <w:color w:val="000000"/>
          <w:lang w:val="uk-UA"/>
        </w:rPr>
        <w:t>вані медичні і спеціальні організаційні заходи в рамках регіонального ПЛРЦ сприяють полі</w:t>
      </w:r>
      <w:r>
        <w:rPr>
          <w:color w:val="000000"/>
          <w:lang w:val="uk-UA"/>
        </w:rPr>
        <w:t>п</w:t>
      </w:r>
      <w:r>
        <w:rPr>
          <w:color w:val="000000"/>
          <w:lang w:val="uk-UA"/>
        </w:rPr>
        <w:t>шенню прихильності хворих на ХОЗЛ до лікарського лікування. Лікування з</w:t>
      </w:r>
      <w:r>
        <w:rPr>
          <w:color w:val="000000"/>
          <w:lang w:val="uk-UA"/>
        </w:rPr>
        <w:t>а</w:t>
      </w:r>
      <w:r>
        <w:rPr>
          <w:color w:val="000000"/>
          <w:lang w:val="uk-UA"/>
        </w:rPr>
        <w:t xml:space="preserve">гострень ХОЗЛ за допомогою </w:t>
      </w:r>
      <w:r>
        <w:rPr>
          <w:color w:val="000000"/>
        </w:rPr>
        <w:t>небулізованих</w:t>
      </w:r>
      <w:r>
        <w:rPr>
          <w:color w:val="000000"/>
          <w:lang w:val="uk-UA"/>
        </w:rPr>
        <w:t xml:space="preserve"> ГКС на амбулаторному етапі зн</w:t>
      </w:r>
      <w:r>
        <w:rPr>
          <w:color w:val="000000"/>
          <w:lang w:val="uk-UA"/>
        </w:rPr>
        <w:t>а</w:t>
      </w:r>
      <w:r>
        <w:rPr>
          <w:color w:val="000000"/>
          <w:lang w:val="uk-UA"/>
        </w:rPr>
        <w:t>чно зменшує кількість подальших госпіталізацій хворих. В цілому, реалізація розроблених  лікувальних і організаційних заходів дозволила знизити щорі</w:t>
      </w:r>
      <w:r>
        <w:rPr>
          <w:color w:val="000000"/>
          <w:lang w:val="uk-UA"/>
        </w:rPr>
        <w:t>ч</w:t>
      </w:r>
      <w:r>
        <w:rPr>
          <w:color w:val="000000"/>
          <w:lang w:val="uk-UA"/>
        </w:rPr>
        <w:t>ну кількість загострень ХОЗЛ в 2,7 рази, кількість госпіталізацій хворих – в 2,5 р</w:t>
      </w:r>
      <w:r>
        <w:rPr>
          <w:color w:val="000000"/>
          <w:lang w:val="uk-UA"/>
        </w:rPr>
        <w:t>а</w:t>
      </w:r>
      <w:r>
        <w:rPr>
          <w:color w:val="000000"/>
          <w:lang w:val="uk-UA"/>
        </w:rPr>
        <w:t xml:space="preserve">зи, тривалість амбулаторного лікування  –  в 2,1 рази. </w:t>
      </w:r>
    </w:p>
    <w:p w:rsidR="00FC6DD7" w:rsidRDefault="00FC6DD7" w:rsidP="00FC6DD7">
      <w:pPr>
        <w:pStyle w:val="afffffffb"/>
        <w:autoSpaceDE w:val="0"/>
        <w:autoSpaceDN w:val="0"/>
        <w:rPr>
          <w:color w:val="000000"/>
          <w:lang w:val="uk-UA"/>
        </w:rPr>
      </w:pPr>
      <w:r>
        <w:rPr>
          <w:b/>
          <w:bCs/>
          <w:color w:val="000000"/>
          <w:lang w:val="uk-UA"/>
        </w:rPr>
        <w:t xml:space="preserve">Результати дослідження упроваджені </w:t>
      </w:r>
      <w:r>
        <w:rPr>
          <w:color w:val="000000"/>
          <w:lang w:val="uk-UA"/>
        </w:rPr>
        <w:t>в роботу Військово-медичної служби ГУ СБУ в Автономній Республіці Крим, Кримської республіканської установи «Науково-дослідний інститут фізичних методів лікування і медичної кліматології  імені  І.М. Сєченова», Кримської республіканської установи «Кл</w:t>
      </w:r>
      <w:r>
        <w:rPr>
          <w:color w:val="000000"/>
          <w:lang w:val="uk-UA"/>
        </w:rPr>
        <w:t>і</w:t>
      </w:r>
      <w:r>
        <w:rPr>
          <w:color w:val="000000"/>
          <w:lang w:val="uk-UA"/>
        </w:rPr>
        <w:t>нічна лікарня імені Семашко», кафедр терапії і пульмонології факультету пі</w:t>
      </w:r>
      <w:r>
        <w:rPr>
          <w:color w:val="000000"/>
          <w:lang w:val="uk-UA"/>
        </w:rPr>
        <w:t>с</w:t>
      </w:r>
      <w:r>
        <w:rPr>
          <w:color w:val="000000"/>
          <w:lang w:val="uk-UA"/>
        </w:rPr>
        <w:t>лядипломної освіти Кримського державного медичного університету імені С.І. Георгієвського, міської клінічної лікарні №9 м. Дніпропетровс</w:t>
      </w:r>
      <w:r>
        <w:rPr>
          <w:color w:val="000000"/>
          <w:lang w:val="uk-UA"/>
        </w:rPr>
        <w:t>ь</w:t>
      </w:r>
      <w:r>
        <w:rPr>
          <w:color w:val="000000"/>
          <w:lang w:val="uk-UA"/>
        </w:rPr>
        <w:t>ка.</w:t>
      </w:r>
    </w:p>
    <w:p w:rsidR="00FC6DD7" w:rsidRDefault="00FC6DD7" w:rsidP="00FC6DD7">
      <w:pPr>
        <w:pStyle w:val="afffffffb"/>
        <w:autoSpaceDE w:val="0"/>
        <w:autoSpaceDN w:val="0"/>
        <w:rPr>
          <w:color w:val="000000"/>
          <w:lang w:val="uk-UA"/>
        </w:rPr>
      </w:pPr>
      <w:r>
        <w:rPr>
          <w:b/>
          <w:bCs/>
          <w:color w:val="000000"/>
          <w:lang w:val="uk-UA"/>
        </w:rPr>
        <w:t xml:space="preserve">Особистий  внесок  здобувача. </w:t>
      </w:r>
      <w:r>
        <w:rPr>
          <w:color w:val="000000"/>
          <w:lang w:val="uk-UA"/>
        </w:rPr>
        <w:t>Дисертаційна робота є самостійним д</w:t>
      </w:r>
      <w:r>
        <w:rPr>
          <w:color w:val="000000"/>
          <w:lang w:val="uk-UA"/>
        </w:rPr>
        <w:t>о</w:t>
      </w:r>
      <w:r>
        <w:rPr>
          <w:color w:val="000000"/>
          <w:lang w:val="uk-UA"/>
        </w:rPr>
        <w:t>слідженням автора. Особиста участь дисертанта полягала в узагальненні спец</w:t>
      </w:r>
      <w:r>
        <w:rPr>
          <w:color w:val="000000"/>
          <w:lang w:val="uk-UA"/>
        </w:rPr>
        <w:t>і</w:t>
      </w:r>
      <w:r>
        <w:rPr>
          <w:color w:val="000000"/>
          <w:lang w:val="uk-UA"/>
        </w:rPr>
        <w:t>альної літератури; визначенні мети і задач дослідження; в розробці методології дослідження; складанні плану обстеження хворих і методології здійснення л</w:t>
      </w:r>
      <w:r>
        <w:rPr>
          <w:color w:val="000000"/>
          <w:lang w:val="uk-UA"/>
        </w:rPr>
        <w:t>і</w:t>
      </w:r>
      <w:r>
        <w:rPr>
          <w:color w:val="000000"/>
          <w:lang w:val="uk-UA"/>
        </w:rPr>
        <w:t>кування; в систематизації і математичній обробці одержаних даних, а також в їх аналізі і узагальненні</w:t>
      </w:r>
      <w:r>
        <w:rPr>
          <w:color w:val="000000"/>
          <w:lang w:val="uk-UA" w:eastAsia="uk-UA"/>
        </w:rPr>
        <w:t xml:space="preserve">, </w:t>
      </w:r>
      <w:r>
        <w:rPr>
          <w:color w:val="000000"/>
          <w:lang w:val="uk-UA"/>
        </w:rPr>
        <w:t>формуванні висновків і практичних рекоме</w:t>
      </w:r>
      <w:r>
        <w:rPr>
          <w:color w:val="000000"/>
          <w:lang w:val="uk-UA"/>
        </w:rPr>
        <w:t>н</w:t>
      </w:r>
      <w:r>
        <w:rPr>
          <w:color w:val="000000"/>
          <w:lang w:val="uk-UA"/>
        </w:rPr>
        <w:t>дацій. Автор особисто займався упровадженням в практику основних положень дисертації, готував матеріали до публікацій.</w:t>
      </w:r>
    </w:p>
    <w:p w:rsidR="00FC6DD7" w:rsidRDefault="00FC6DD7" w:rsidP="00FC6DD7">
      <w:pPr>
        <w:pStyle w:val="afffffffb"/>
        <w:autoSpaceDE w:val="0"/>
        <w:autoSpaceDN w:val="0"/>
        <w:rPr>
          <w:color w:val="000000"/>
          <w:lang w:val="uk-UA"/>
        </w:rPr>
      </w:pPr>
      <w:r>
        <w:rPr>
          <w:b/>
          <w:bCs/>
          <w:color w:val="000000"/>
          <w:lang w:val="uk-UA"/>
        </w:rPr>
        <w:t xml:space="preserve">Апробація  результатів дисертації. </w:t>
      </w:r>
      <w:r>
        <w:rPr>
          <w:color w:val="000000"/>
          <w:lang w:val="uk-UA"/>
        </w:rPr>
        <w:t>Основні положення дисертації доп</w:t>
      </w:r>
      <w:r>
        <w:rPr>
          <w:color w:val="000000"/>
          <w:lang w:val="uk-UA"/>
        </w:rPr>
        <w:t>о</w:t>
      </w:r>
      <w:r>
        <w:rPr>
          <w:color w:val="000000"/>
          <w:lang w:val="uk-UA"/>
        </w:rPr>
        <w:t>віли на V Міжнародній науково-практичній конференції "Актуальні проблеми госпітальної медицини" (Севастополь, 2007), Міжнародній науково-практичній конференції «Актуальні проблеми курортології і медичної реаб</w:t>
      </w:r>
      <w:r>
        <w:rPr>
          <w:color w:val="000000"/>
          <w:lang w:val="uk-UA"/>
        </w:rPr>
        <w:t>і</w:t>
      </w:r>
      <w:r>
        <w:rPr>
          <w:color w:val="000000"/>
          <w:lang w:val="uk-UA"/>
        </w:rPr>
        <w:t>літації» (Одеса, 2007), науково-практичній конференції «Актуальні питання діяльності санато</w:t>
      </w:r>
      <w:r>
        <w:rPr>
          <w:color w:val="000000"/>
          <w:lang w:val="uk-UA"/>
        </w:rPr>
        <w:t>р</w:t>
      </w:r>
      <w:r>
        <w:rPr>
          <w:color w:val="000000"/>
          <w:lang w:val="uk-UA"/>
        </w:rPr>
        <w:t>но-курортних установ в сучасних умовах», присвяченої 100-річчю заснування санаторію «Примор'я» (Євпаторія, 2007), VII Республіканському конгресі кур</w:t>
      </w:r>
      <w:r>
        <w:rPr>
          <w:color w:val="000000"/>
          <w:lang w:val="uk-UA"/>
        </w:rPr>
        <w:t>о</w:t>
      </w:r>
      <w:r>
        <w:rPr>
          <w:color w:val="000000"/>
          <w:lang w:val="uk-UA"/>
        </w:rPr>
        <w:t>ртологів і фізіотерапевтів «Актуальні питання організації курортної справи, к</w:t>
      </w:r>
      <w:r>
        <w:rPr>
          <w:color w:val="000000"/>
          <w:lang w:val="uk-UA"/>
        </w:rPr>
        <w:t>у</w:t>
      </w:r>
      <w:r>
        <w:rPr>
          <w:color w:val="000000"/>
          <w:lang w:val="uk-UA"/>
        </w:rPr>
        <w:t>рортної політики і фізіотерапії АР Крим» (Євпаторія, 2007), XVII Національн</w:t>
      </w:r>
      <w:r>
        <w:rPr>
          <w:color w:val="000000"/>
          <w:lang w:val="uk-UA"/>
        </w:rPr>
        <w:t>о</w:t>
      </w:r>
      <w:r>
        <w:rPr>
          <w:color w:val="000000"/>
          <w:lang w:val="uk-UA"/>
        </w:rPr>
        <w:t>му конгресі з хвороб органів дихання (Росія, Казань, 2007), I Національному а</w:t>
      </w:r>
      <w:r>
        <w:rPr>
          <w:color w:val="000000"/>
          <w:lang w:val="uk-UA"/>
        </w:rPr>
        <w:t>с</w:t>
      </w:r>
      <w:r>
        <w:rPr>
          <w:color w:val="000000"/>
          <w:lang w:val="uk-UA"/>
        </w:rPr>
        <w:t>тма-конгресі (Київ, 2007), VIII Республіканському конгресі курортологів і фіз</w:t>
      </w:r>
      <w:r>
        <w:rPr>
          <w:color w:val="000000"/>
          <w:lang w:val="uk-UA"/>
        </w:rPr>
        <w:t>і</w:t>
      </w:r>
      <w:r>
        <w:rPr>
          <w:color w:val="000000"/>
          <w:lang w:val="uk-UA"/>
        </w:rPr>
        <w:t>отерапевтів АР Крим "Актуальні питання організації курортної справи, курор</w:t>
      </w:r>
      <w:r>
        <w:rPr>
          <w:color w:val="000000"/>
          <w:lang w:val="uk-UA"/>
        </w:rPr>
        <w:t>т</w:t>
      </w:r>
      <w:r>
        <w:rPr>
          <w:color w:val="000000"/>
          <w:lang w:val="uk-UA"/>
        </w:rPr>
        <w:t>ної політики і фізіотерапії АР Крим" (Євпаторія, 2008), II Національному а</w:t>
      </w:r>
      <w:r>
        <w:rPr>
          <w:color w:val="000000"/>
          <w:lang w:val="uk-UA"/>
        </w:rPr>
        <w:t>с</w:t>
      </w:r>
      <w:r>
        <w:rPr>
          <w:color w:val="000000"/>
          <w:lang w:val="uk-UA"/>
        </w:rPr>
        <w:t>тма-конгресі (Київ, 2008), IV З'їзді пульмонологів і фтизіатрів України (Київ, 2008),  Національному конгресі «Людина і ліки – Україна» (Київ, 2008), III З'їзді фізі</w:t>
      </w:r>
      <w:r>
        <w:rPr>
          <w:color w:val="000000"/>
          <w:lang w:val="uk-UA"/>
        </w:rPr>
        <w:t>о</w:t>
      </w:r>
      <w:r>
        <w:rPr>
          <w:color w:val="000000"/>
          <w:lang w:val="uk-UA"/>
        </w:rPr>
        <w:t xml:space="preserve">терапевтів і курортологів України (Ялта, 2008),  XVIII Національному </w:t>
      </w:r>
      <w:r>
        <w:rPr>
          <w:color w:val="000000"/>
          <w:lang w:val="uk-UA"/>
        </w:rPr>
        <w:lastRenderedPageBreak/>
        <w:t>конгресі з хвороб органів дихання (Росія, Єкатеринбург, 2008), XVIII Конгресі Європе</w:t>
      </w:r>
      <w:r>
        <w:rPr>
          <w:color w:val="000000"/>
          <w:lang w:val="uk-UA"/>
        </w:rPr>
        <w:t>й</w:t>
      </w:r>
      <w:r>
        <w:rPr>
          <w:color w:val="000000"/>
          <w:lang w:val="uk-UA"/>
        </w:rPr>
        <w:t>ського респіраторного товариства (Бе</w:t>
      </w:r>
      <w:r>
        <w:rPr>
          <w:color w:val="000000"/>
          <w:lang w:val="uk-UA"/>
        </w:rPr>
        <w:t>р</w:t>
      </w:r>
      <w:r>
        <w:rPr>
          <w:color w:val="000000"/>
          <w:lang w:val="uk-UA"/>
        </w:rPr>
        <w:t>лін, 2008).</w:t>
      </w:r>
    </w:p>
    <w:p w:rsidR="00FC6DD7" w:rsidRDefault="00FC6DD7" w:rsidP="00FC6DD7">
      <w:pPr>
        <w:pStyle w:val="afffffffb"/>
        <w:autoSpaceDE w:val="0"/>
        <w:autoSpaceDN w:val="0"/>
        <w:rPr>
          <w:color w:val="000000"/>
          <w:lang w:val="uk-UA"/>
        </w:rPr>
      </w:pPr>
      <w:r>
        <w:rPr>
          <w:b/>
          <w:bCs/>
          <w:color w:val="000000"/>
          <w:lang w:val="uk-UA"/>
        </w:rPr>
        <w:t xml:space="preserve">Публікації. </w:t>
      </w:r>
      <w:r>
        <w:rPr>
          <w:bCs/>
          <w:color w:val="000000"/>
          <w:lang w:val="uk-UA"/>
        </w:rPr>
        <w:t>За</w:t>
      </w:r>
      <w:r>
        <w:rPr>
          <w:color w:val="000000"/>
          <w:lang w:val="uk-UA"/>
        </w:rPr>
        <w:t xml:space="preserve"> темою дисертації опубліковано 19 праць, у тому числі 5 самостійних. З них в науково-медичних журналах опубліковані 3 (самості</w:t>
      </w:r>
      <w:r>
        <w:rPr>
          <w:color w:val="000000"/>
          <w:lang w:val="uk-UA"/>
        </w:rPr>
        <w:t>й</w:t>
      </w:r>
      <w:r>
        <w:rPr>
          <w:color w:val="000000"/>
          <w:lang w:val="uk-UA"/>
        </w:rPr>
        <w:t>них – 1), в збірках наукових праць – 5 (самостійних – 2), в збірках матеріалів і тез конференцій – 10  (самостійних – 2) праць. Були видані методичні рекоменд</w:t>
      </w:r>
      <w:r>
        <w:rPr>
          <w:color w:val="000000"/>
          <w:lang w:val="uk-UA"/>
        </w:rPr>
        <w:t>а</w:t>
      </w:r>
      <w:r>
        <w:rPr>
          <w:color w:val="000000"/>
          <w:lang w:val="uk-UA"/>
        </w:rPr>
        <w:t xml:space="preserve">ції, затверджені МОЗ України. В </w:t>
      </w:r>
      <w:r>
        <w:rPr>
          <w:color w:val="000000"/>
        </w:rPr>
        <w:t>атестован</w:t>
      </w:r>
      <w:r>
        <w:rPr>
          <w:color w:val="000000"/>
          <w:lang w:val="uk-UA"/>
        </w:rPr>
        <w:t>и</w:t>
      </w:r>
      <w:r>
        <w:rPr>
          <w:color w:val="000000"/>
        </w:rPr>
        <w:t>х</w:t>
      </w:r>
      <w:r>
        <w:rPr>
          <w:color w:val="000000"/>
          <w:lang w:val="uk-UA"/>
        </w:rPr>
        <w:t xml:space="preserve"> ВАК України виданнях опублік</w:t>
      </w:r>
      <w:r>
        <w:rPr>
          <w:color w:val="000000"/>
          <w:lang w:val="uk-UA"/>
        </w:rPr>
        <w:t>о</w:t>
      </w:r>
      <w:r>
        <w:rPr>
          <w:color w:val="000000"/>
          <w:lang w:val="uk-UA"/>
        </w:rPr>
        <w:t>вано 8 праць.</w:t>
      </w:r>
    </w:p>
    <w:p w:rsidR="00FC6DD7" w:rsidRDefault="00FC6DD7" w:rsidP="00FC6DD7">
      <w:pPr>
        <w:pStyle w:val="afffffffb"/>
        <w:autoSpaceDE w:val="0"/>
        <w:autoSpaceDN w:val="0"/>
        <w:rPr>
          <w:b/>
          <w:bCs/>
          <w:color w:val="000000"/>
          <w:lang w:val="uk-UA"/>
        </w:rPr>
      </w:pPr>
      <w:r>
        <w:rPr>
          <w:b/>
          <w:bCs/>
          <w:color w:val="000000"/>
          <w:lang w:val="uk-UA" w:eastAsia="uk-UA"/>
        </w:rPr>
        <w:t>Структура і об'єм дисертації.</w:t>
      </w:r>
      <w:r>
        <w:rPr>
          <w:color w:val="000000"/>
          <w:lang w:val="uk-UA" w:eastAsia="uk-UA"/>
        </w:rPr>
        <w:t xml:space="preserve"> Дисертація складається із вступу, 7 розд</w:t>
      </w:r>
      <w:r>
        <w:rPr>
          <w:color w:val="000000"/>
          <w:lang w:val="uk-UA" w:eastAsia="uk-UA"/>
        </w:rPr>
        <w:t>і</w:t>
      </w:r>
      <w:r>
        <w:rPr>
          <w:color w:val="000000"/>
          <w:lang w:val="uk-UA" w:eastAsia="uk-UA"/>
        </w:rPr>
        <w:t>лів (огляд літератури, матеріали і методи дослідження, 4 розділи з викладом матеріалу власних досліджень, аналіз і обговорення результатів дослідження), висновків, практичних рекомендацій, списку літератури, який включає 201 дж</w:t>
      </w:r>
      <w:r>
        <w:rPr>
          <w:color w:val="000000"/>
          <w:lang w:val="uk-UA" w:eastAsia="uk-UA"/>
        </w:rPr>
        <w:t>е</w:t>
      </w:r>
      <w:r>
        <w:rPr>
          <w:color w:val="000000"/>
          <w:lang w:val="uk-UA" w:eastAsia="uk-UA"/>
        </w:rPr>
        <w:t>рело, у тому числі 52 вітчизняних і 149 зарубіжних. Дисертація викладена на 145 сторінках (основний об'єм – 124 сторінки), містить 22 таблиці та 14 малю</w:t>
      </w:r>
      <w:r>
        <w:rPr>
          <w:color w:val="000000"/>
          <w:lang w:val="uk-UA" w:eastAsia="uk-UA"/>
        </w:rPr>
        <w:t>н</w:t>
      </w:r>
      <w:r>
        <w:rPr>
          <w:color w:val="000000"/>
          <w:lang w:val="uk-UA" w:eastAsia="uk-UA"/>
        </w:rPr>
        <w:t>ків.</w:t>
      </w:r>
    </w:p>
    <w:p w:rsidR="00FC6DD7" w:rsidRDefault="00FC6DD7" w:rsidP="00FC6DD7">
      <w:pPr>
        <w:jc w:val="center"/>
        <w:rPr>
          <w:b/>
          <w:bCs/>
          <w:color w:val="000000"/>
          <w:lang w:val="uk-UA"/>
        </w:rPr>
      </w:pPr>
    </w:p>
    <w:p w:rsidR="00FC6DD7" w:rsidRDefault="00FC6DD7" w:rsidP="00FC6DD7">
      <w:pPr>
        <w:autoSpaceDE w:val="0"/>
        <w:autoSpaceDN w:val="0"/>
        <w:jc w:val="center"/>
        <w:rPr>
          <w:b/>
          <w:bCs/>
          <w:color w:val="000000"/>
          <w:lang w:val="uk-UA" w:eastAsia="uk-UA"/>
        </w:rPr>
      </w:pPr>
      <w:r>
        <w:rPr>
          <w:b/>
          <w:bCs/>
          <w:color w:val="000000"/>
          <w:lang w:val="uk-UA" w:eastAsia="uk-UA"/>
        </w:rPr>
        <w:t>ОСНОВНИЙ  ЗМІСТ  РОБОТИ</w:t>
      </w:r>
    </w:p>
    <w:p w:rsidR="00FC6DD7" w:rsidRDefault="00FC6DD7" w:rsidP="00FC6DD7">
      <w:pPr>
        <w:pStyle w:val="afffffffb"/>
        <w:ind w:firstLine="0"/>
        <w:jc w:val="center"/>
        <w:rPr>
          <w:b/>
          <w:bCs/>
          <w:color w:val="000000"/>
          <w:lang w:val="uk-UA" w:eastAsia="uk-UA"/>
        </w:rPr>
      </w:pPr>
      <w:r>
        <w:rPr>
          <w:b/>
          <w:bCs/>
          <w:color w:val="000000"/>
          <w:lang w:val="uk-UA" w:eastAsia="uk-UA"/>
        </w:rPr>
        <w:t>Матеріал  і  методи  дослідження</w:t>
      </w:r>
    </w:p>
    <w:p w:rsidR="00FC6DD7" w:rsidRDefault="00FC6DD7" w:rsidP="00FC6DD7">
      <w:pPr>
        <w:pStyle w:val="afffffffb"/>
        <w:autoSpaceDE w:val="0"/>
        <w:autoSpaceDN w:val="0"/>
        <w:rPr>
          <w:color w:val="000000"/>
          <w:lang w:val="uk-UA" w:eastAsia="uk-UA"/>
        </w:rPr>
      </w:pPr>
      <w:r>
        <w:rPr>
          <w:bCs/>
          <w:i/>
          <w:iCs/>
          <w:color w:val="000000"/>
          <w:lang w:val="uk-UA" w:eastAsia="uk-UA"/>
        </w:rPr>
        <w:t>Матеріал дослідження</w:t>
      </w:r>
      <w:r>
        <w:rPr>
          <w:b/>
          <w:bCs/>
          <w:i/>
          <w:iCs/>
          <w:color w:val="000000"/>
          <w:lang w:val="uk-UA" w:eastAsia="uk-UA"/>
        </w:rPr>
        <w:t xml:space="preserve"> </w:t>
      </w:r>
      <w:r>
        <w:rPr>
          <w:i/>
          <w:iCs/>
          <w:color w:val="000000"/>
          <w:lang w:val="uk-UA" w:eastAsia="uk-UA"/>
        </w:rPr>
        <w:t xml:space="preserve">- </w:t>
      </w:r>
      <w:r>
        <w:rPr>
          <w:color w:val="000000"/>
          <w:lang w:val="uk-UA" w:eastAsia="uk-UA"/>
        </w:rPr>
        <w:t>124 хворих на ХОЗЛ. Чоловіків було 72 (58,1%), жінок – 52 (41,9%) осіб. Вік обстежуваних варіював від 27 до 60 років і в сере</w:t>
      </w:r>
      <w:r>
        <w:rPr>
          <w:color w:val="000000"/>
          <w:lang w:val="uk-UA" w:eastAsia="uk-UA"/>
        </w:rPr>
        <w:t>д</w:t>
      </w:r>
      <w:r>
        <w:rPr>
          <w:color w:val="000000"/>
          <w:lang w:val="uk-UA" w:eastAsia="uk-UA"/>
        </w:rPr>
        <w:t>ньому склав 52,3±1,9 роки. У 9 (7,3%) хворих вік дорівнював або був менше 30 років, у 17 (13,7%) – 31-40 рокам, у 52 (41,9%) – 41-50 рокам, у 46 (37,1%) – 51-60 рокам. Друга стадія ХОЗЛ мала місце у 45 (36,3%) і третя стадія  – у 79 (63,7%) хворих. У всіх випадках діагностовано загострення середнього ступеня тяжкості за класифікацією S.Burge і J.Wedzicha (2003).</w:t>
      </w:r>
    </w:p>
    <w:p w:rsidR="00FC6DD7" w:rsidRDefault="00FC6DD7" w:rsidP="00FC6DD7">
      <w:pPr>
        <w:pStyle w:val="afffffffb"/>
        <w:autoSpaceDE w:val="0"/>
        <w:autoSpaceDN w:val="0"/>
        <w:rPr>
          <w:color w:val="000000"/>
          <w:lang w:val="uk-UA" w:eastAsia="uk-UA"/>
        </w:rPr>
      </w:pPr>
      <w:r>
        <w:rPr>
          <w:color w:val="000000"/>
          <w:lang w:val="uk-UA"/>
        </w:rPr>
        <w:t>Хворі були розподілені на чотири групи. При формуванні 1-3-ї груп вик</w:t>
      </w:r>
      <w:r>
        <w:rPr>
          <w:color w:val="000000"/>
          <w:lang w:val="uk-UA"/>
        </w:rPr>
        <w:t>о</w:t>
      </w:r>
      <w:r>
        <w:rPr>
          <w:color w:val="000000"/>
          <w:lang w:val="uk-UA"/>
        </w:rPr>
        <w:t xml:space="preserve">ристовували рандомізацію випадковим методом за допомогою непрозорих </w:t>
      </w:r>
      <w:r>
        <w:rPr>
          <w:color w:val="000000"/>
          <w:lang w:val="uk-UA" w:eastAsia="uk-UA"/>
        </w:rPr>
        <w:t>з</w:t>
      </w:r>
      <w:r>
        <w:rPr>
          <w:color w:val="000000"/>
          <w:lang w:val="uk-UA" w:eastAsia="uk-UA"/>
        </w:rPr>
        <w:t>а</w:t>
      </w:r>
      <w:r>
        <w:rPr>
          <w:color w:val="000000"/>
          <w:lang w:val="uk-UA" w:eastAsia="uk-UA"/>
        </w:rPr>
        <w:t xml:space="preserve">печатаних конвертів. </w:t>
      </w:r>
    </w:p>
    <w:p w:rsidR="00FC6DD7" w:rsidRDefault="00FC6DD7" w:rsidP="00FC6DD7">
      <w:pPr>
        <w:pStyle w:val="afffffffb"/>
        <w:autoSpaceDE w:val="0"/>
        <w:autoSpaceDN w:val="0"/>
        <w:rPr>
          <w:color w:val="000000"/>
          <w:lang w:val="uk-UA" w:eastAsia="uk-UA"/>
        </w:rPr>
      </w:pPr>
      <w:r>
        <w:rPr>
          <w:color w:val="000000"/>
          <w:lang w:val="uk-UA"/>
        </w:rPr>
        <w:t>До 1-ої групи увійшли 28 хворих, що знаходилися на лікуванні в ПЛРЦ і приймали для терапії загострення ХОЗЛ системний преднізолон. 2-а група</w:t>
      </w:r>
      <w:r>
        <w:rPr>
          <w:color w:val="000000"/>
          <w:lang w:val="uk-UA" w:eastAsia="uk-UA"/>
        </w:rPr>
        <w:t xml:space="preserve"> б</w:t>
      </w:r>
      <w:r>
        <w:rPr>
          <w:color w:val="000000"/>
          <w:lang w:val="uk-UA" w:eastAsia="uk-UA"/>
        </w:rPr>
        <w:t>у</w:t>
      </w:r>
      <w:r>
        <w:rPr>
          <w:color w:val="000000"/>
          <w:lang w:val="uk-UA" w:eastAsia="uk-UA"/>
        </w:rPr>
        <w:t xml:space="preserve">ла сформована із 30 хворих, що одержували лікування в ПЛРЦ </w:t>
      </w:r>
      <w:r>
        <w:rPr>
          <w:color w:val="000000"/>
          <w:lang w:eastAsia="uk-UA"/>
        </w:rPr>
        <w:t>небул</w:t>
      </w:r>
      <w:r>
        <w:rPr>
          <w:color w:val="000000"/>
          <w:lang w:val="uk-UA" w:eastAsia="uk-UA"/>
        </w:rPr>
        <w:t>і</w:t>
      </w:r>
      <w:r>
        <w:rPr>
          <w:color w:val="000000"/>
          <w:lang w:eastAsia="uk-UA"/>
        </w:rPr>
        <w:t>зован</w:t>
      </w:r>
      <w:r>
        <w:rPr>
          <w:color w:val="000000"/>
          <w:lang w:val="uk-UA" w:eastAsia="uk-UA"/>
        </w:rPr>
        <w:t>и</w:t>
      </w:r>
      <w:r>
        <w:rPr>
          <w:color w:val="000000"/>
          <w:lang w:eastAsia="uk-UA"/>
        </w:rPr>
        <w:t>м</w:t>
      </w:r>
      <w:r>
        <w:rPr>
          <w:color w:val="000000"/>
          <w:lang w:val="uk-UA"/>
        </w:rPr>
        <w:t xml:space="preserve"> </w:t>
      </w:r>
      <w:r>
        <w:rPr>
          <w:color w:val="000000"/>
          <w:lang w:eastAsia="uk-UA"/>
        </w:rPr>
        <w:t>б</w:t>
      </w:r>
      <w:r>
        <w:rPr>
          <w:color w:val="000000"/>
          <w:lang w:eastAsia="uk-UA"/>
        </w:rPr>
        <w:t>у</w:t>
      </w:r>
      <w:r>
        <w:rPr>
          <w:color w:val="000000"/>
          <w:lang w:eastAsia="uk-UA"/>
        </w:rPr>
        <w:t>десон</w:t>
      </w:r>
      <w:r>
        <w:rPr>
          <w:color w:val="000000"/>
          <w:lang w:val="uk-UA" w:eastAsia="uk-UA"/>
        </w:rPr>
        <w:t>і</w:t>
      </w:r>
      <w:r>
        <w:rPr>
          <w:color w:val="000000"/>
          <w:lang w:eastAsia="uk-UA"/>
        </w:rPr>
        <w:t>дом</w:t>
      </w:r>
      <w:r>
        <w:rPr>
          <w:color w:val="000000"/>
          <w:lang w:val="uk-UA" w:eastAsia="uk-UA"/>
        </w:rPr>
        <w:t>. 3-ю групу склали 29 хворих, у яких для лікування</w:t>
      </w:r>
      <w:r>
        <w:rPr>
          <w:color w:val="000000"/>
          <w:lang w:val="uk-UA"/>
        </w:rPr>
        <w:t xml:space="preserve"> </w:t>
      </w:r>
      <w:r>
        <w:rPr>
          <w:color w:val="000000"/>
          <w:lang w:val="uk-UA" w:eastAsia="uk-UA"/>
        </w:rPr>
        <w:t xml:space="preserve">загострення ХОЗЛ в умовах ПЛРЦ була використана інгаляційна  терапія  </w:t>
      </w:r>
      <w:r>
        <w:rPr>
          <w:color w:val="000000"/>
          <w:lang w:eastAsia="uk-UA"/>
        </w:rPr>
        <w:t>небул</w:t>
      </w:r>
      <w:r>
        <w:rPr>
          <w:color w:val="000000"/>
          <w:lang w:val="uk-UA" w:eastAsia="uk-UA"/>
        </w:rPr>
        <w:t>і</w:t>
      </w:r>
      <w:r>
        <w:rPr>
          <w:color w:val="000000"/>
          <w:lang w:eastAsia="uk-UA"/>
        </w:rPr>
        <w:t>зован</w:t>
      </w:r>
      <w:r>
        <w:rPr>
          <w:color w:val="000000"/>
          <w:lang w:val="uk-UA" w:eastAsia="uk-UA"/>
        </w:rPr>
        <w:t>и</w:t>
      </w:r>
      <w:r>
        <w:rPr>
          <w:color w:val="000000"/>
          <w:lang w:eastAsia="uk-UA"/>
        </w:rPr>
        <w:t>м</w:t>
      </w:r>
      <w:r>
        <w:rPr>
          <w:color w:val="000000"/>
          <w:lang w:val="uk-UA" w:eastAsia="uk-UA"/>
        </w:rPr>
        <w:t xml:space="preserve"> </w:t>
      </w:r>
      <w:r>
        <w:rPr>
          <w:color w:val="000000"/>
          <w:lang w:eastAsia="uk-UA"/>
        </w:rPr>
        <w:t>флут</w:t>
      </w:r>
      <w:r>
        <w:rPr>
          <w:color w:val="000000"/>
          <w:lang w:val="uk-UA" w:eastAsia="uk-UA"/>
        </w:rPr>
        <w:t>і</w:t>
      </w:r>
      <w:r>
        <w:rPr>
          <w:color w:val="000000"/>
          <w:lang w:eastAsia="uk-UA"/>
        </w:rPr>
        <w:t>казоном</w:t>
      </w:r>
      <w:r>
        <w:rPr>
          <w:color w:val="000000"/>
          <w:lang w:val="uk-UA" w:eastAsia="uk-UA"/>
        </w:rPr>
        <w:t xml:space="preserve"> пропіонатом. До 4-ої групи увійшли 37 хворих, у яких лікування загострення ХОЗЛ проводилося в різних медичних установах</w:t>
      </w:r>
      <w:r>
        <w:rPr>
          <w:color w:val="000000"/>
          <w:lang w:val="uk-UA"/>
        </w:rPr>
        <w:t xml:space="preserve"> (РМУ) м</w:t>
      </w:r>
      <w:r>
        <w:rPr>
          <w:color w:val="000000"/>
          <w:lang w:val="uk-UA" w:eastAsia="uk-UA"/>
        </w:rPr>
        <w:t>. Сімф</w:t>
      </w:r>
      <w:r>
        <w:rPr>
          <w:color w:val="000000"/>
          <w:lang w:val="uk-UA" w:eastAsia="uk-UA"/>
        </w:rPr>
        <w:t>е</w:t>
      </w:r>
      <w:r>
        <w:rPr>
          <w:color w:val="000000"/>
          <w:lang w:val="uk-UA" w:eastAsia="uk-UA"/>
        </w:rPr>
        <w:t xml:space="preserve">рополя.  </w:t>
      </w:r>
    </w:p>
    <w:p w:rsidR="00FC6DD7" w:rsidRDefault="00FC6DD7" w:rsidP="00FC6DD7">
      <w:pPr>
        <w:pStyle w:val="afffffffb"/>
        <w:rPr>
          <w:color w:val="000000"/>
          <w:lang w:val="uk-UA"/>
        </w:rPr>
      </w:pPr>
      <w:r>
        <w:rPr>
          <w:bCs/>
          <w:i/>
          <w:iCs/>
          <w:color w:val="000000"/>
          <w:lang w:val="uk-UA" w:eastAsia="uk-UA"/>
        </w:rPr>
        <w:t>Методи дослідження</w:t>
      </w:r>
      <w:r>
        <w:rPr>
          <w:color w:val="000000"/>
          <w:lang w:val="uk-UA" w:eastAsia="uk-UA"/>
        </w:rPr>
        <w:t xml:space="preserve">. </w:t>
      </w:r>
      <w:r>
        <w:rPr>
          <w:color w:val="000000"/>
          <w:lang w:val="uk-UA"/>
        </w:rPr>
        <w:t xml:space="preserve">Клінічне обстеження хворих включало опит, огляд, виявлення </w:t>
      </w:r>
      <w:r>
        <w:rPr>
          <w:color w:val="000000"/>
        </w:rPr>
        <w:t>ф</w:t>
      </w:r>
      <w:r>
        <w:rPr>
          <w:color w:val="000000"/>
          <w:lang w:val="uk-UA"/>
        </w:rPr>
        <w:t>і</w:t>
      </w:r>
      <w:r>
        <w:rPr>
          <w:color w:val="000000"/>
        </w:rPr>
        <w:t>зикальн</w:t>
      </w:r>
      <w:r>
        <w:rPr>
          <w:color w:val="000000"/>
          <w:lang w:val="uk-UA"/>
        </w:rPr>
        <w:t>и</w:t>
      </w:r>
      <w:r>
        <w:rPr>
          <w:color w:val="000000"/>
        </w:rPr>
        <w:t>х</w:t>
      </w:r>
      <w:r>
        <w:rPr>
          <w:color w:val="000000"/>
          <w:lang w:val="uk-UA"/>
        </w:rPr>
        <w:t xml:space="preserve"> змін. Вивчалися демографічні і антропометричні пар</w:t>
      </w:r>
      <w:r>
        <w:rPr>
          <w:color w:val="000000"/>
          <w:lang w:val="uk-UA"/>
        </w:rPr>
        <w:t>а</w:t>
      </w:r>
      <w:r>
        <w:rPr>
          <w:color w:val="000000"/>
          <w:lang w:val="uk-UA"/>
        </w:rPr>
        <w:t>метри, відомості про особливості життя хворого, дані про особливості розв</w:t>
      </w:r>
      <w:r>
        <w:rPr>
          <w:color w:val="000000"/>
          <w:lang w:val="uk-UA"/>
        </w:rPr>
        <w:t>и</w:t>
      </w:r>
      <w:r>
        <w:rPr>
          <w:color w:val="000000"/>
          <w:lang w:val="uk-UA"/>
        </w:rPr>
        <w:t>тку захворювання і про особливості перебігу захворювання в попередній рік до о</w:t>
      </w:r>
      <w:r>
        <w:rPr>
          <w:color w:val="000000"/>
          <w:lang w:val="uk-UA"/>
        </w:rPr>
        <w:t>б</w:t>
      </w:r>
      <w:r>
        <w:rPr>
          <w:color w:val="000000"/>
          <w:lang w:val="uk-UA"/>
        </w:rPr>
        <w:t>стеження, дані про особливості планового лікування на протязі року після заг</w:t>
      </w:r>
      <w:r>
        <w:rPr>
          <w:color w:val="000000"/>
          <w:lang w:val="uk-UA"/>
        </w:rPr>
        <w:t>о</w:t>
      </w:r>
      <w:r>
        <w:rPr>
          <w:color w:val="000000"/>
          <w:lang w:val="uk-UA"/>
        </w:rPr>
        <w:t>стрення захворювання. Суб'єктивний рівень задишки визначався пацієнтом с</w:t>
      </w:r>
      <w:r>
        <w:rPr>
          <w:color w:val="000000"/>
          <w:lang w:val="uk-UA"/>
        </w:rPr>
        <w:t>а</w:t>
      </w:r>
      <w:r>
        <w:rPr>
          <w:color w:val="000000"/>
          <w:lang w:val="uk-UA"/>
        </w:rPr>
        <w:t>мостійно за шк</w:t>
      </w:r>
      <w:r>
        <w:rPr>
          <w:color w:val="000000"/>
          <w:lang w:val="uk-UA"/>
        </w:rPr>
        <w:t>а</w:t>
      </w:r>
      <w:r>
        <w:rPr>
          <w:color w:val="000000"/>
          <w:lang w:val="uk-UA"/>
        </w:rPr>
        <w:t xml:space="preserve">лою Борга (0-10 </w:t>
      </w:r>
      <w:r>
        <w:rPr>
          <w:color w:val="000000"/>
          <w:lang w:val="uk-UA"/>
        </w:rPr>
        <w:lastRenderedPageBreak/>
        <w:t>балів). Вираженість свистячого дихання (wheezing) оцінювал</w:t>
      </w:r>
      <w:r>
        <w:rPr>
          <w:color w:val="000000"/>
          <w:lang w:val="uk-UA"/>
        </w:rPr>
        <w:t>а</w:t>
      </w:r>
      <w:r>
        <w:rPr>
          <w:color w:val="000000"/>
          <w:lang w:val="uk-UA"/>
        </w:rPr>
        <w:t xml:space="preserve">ся за </w:t>
      </w:r>
      <w:r>
        <w:rPr>
          <w:color w:val="000000"/>
        </w:rPr>
        <w:t>4-бально</w:t>
      </w:r>
      <w:r>
        <w:rPr>
          <w:color w:val="000000"/>
          <w:lang w:val="uk-UA"/>
        </w:rPr>
        <w:t xml:space="preserve">ю шкалою (від 0 до 3 балів). </w:t>
      </w:r>
    </w:p>
    <w:p w:rsidR="00FC6DD7" w:rsidRDefault="00FC6DD7" w:rsidP="00FC6DD7">
      <w:pPr>
        <w:pStyle w:val="afffffffb"/>
        <w:autoSpaceDE w:val="0"/>
        <w:autoSpaceDN w:val="0"/>
        <w:rPr>
          <w:color w:val="000000"/>
          <w:lang w:val="uk-UA"/>
        </w:rPr>
      </w:pPr>
      <w:r>
        <w:rPr>
          <w:color w:val="000000"/>
          <w:lang w:val="uk-UA"/>
        </w:rPr>
        <w:t xml:space="preserve">З лабораторних методик використали загальний аналіз крові, </w:t>
      </w:r>
      <w:r>
        <w:rPr>
          <w:color w:val="000000"/>
        </w:rPr>
        <w:t>цитолог</w:t>
      </w:r>
      <w:r>
        <w:rPr>
          <w:color w:val="000000"/>
          <w:lang w:val="uk-UA"/>
        </w:rPr>
        <w:t>і</w:t>
      </w:r>
      <w:r>
        <w:rPr>
          <w:color w:val="000000"/>
        </w:rPr>
        <w:t>ч</w:t>
      </w:r>
      <w:r>
        <w:rPr>
          <w:color w:val="000000"/>
          <w:lang w:val="uk-UA"/>
        </w:rPr>
        <w:t>н</w:t>
      </w:r>
      <w:r>
        <w:rPr>
          <w:color w:val="000000"/>
        </w:rPr>
        <w:t>е</w:t>
      </w:r>
      <w:r>
        <w:rPr>
          <w:color w:val="000000"/>
          <w:lang w:val="uk-UA"/>
        </w:rPr>
        <w:t xml:space="preserve"> дослідження мокроти і визначення рівня глюкози в крові. </w:t>
      </w:r>
    </w:p>
    <w:p w:rsidR="00FC6DD7" w:rsidRDefault="00FC6DD7" w:rsidP="00FC6DD7">
      <w:pPr>
        <w:pStyle w:val="afffffffb"/>
        <w:autoSpaceDE w:val="0"/>
        <w:autoSpaceDN w:val="0"/>
        <w:rPr>
          <w:color w:val="000000"/>
          <w:lang w:val="uk-UA"/>
        </w:rPr>
      </w:pPr>
      <w:r>
        <w:rPr>
          <w:color w:val="000000"/>
          <w:lang w:val="uk-UA"/>
        </w:rPr>
        <w:t>Функція зовнішнього дихання оцінювалася за даними спірографії, вик</w:t>
      </w:r>
      <w:r>
        <w:rPr>
          <w:color w:val="000000"/>
          <w:lang w:val="uk-UA"/>
        </w:rPr>
        <w:t>о</w:t>
      </w:r>
      <w:r>
        <w:rPr>
          <w:color w:val="000000"/>
          <w:lang w:val="uk-UA"/>
        </w:rPr>
        <w:t>наної з використанням спіроаналізатора MicroLab Micro Medical Ltd (Велика Британія). Особливу увагу надане аналізу об'єму форсованого видиху за 1 сек</w:t>
      </w:r>
      <w:r>
        <w:rPr>
          <w:color w:val="000000"/>
          <w:lang w:val="uk-UA"/>
        </w:rPr>
        <w:t>у</w:t>
      </w:r>
      <w:r>
        <w:rPr>
          <w:color w:val="000000"/>
          <w:lang w:val="uk-UA"/>
        </w:rPr>
        <w:t>нду (ОФВ</w:t>
      </w:r>
      <w:r>
        <w:rPr>
          <w:color w:val="000000"/>
          <w:vertAlign w:val="subscript"/>
          <w:lang w:val="uk-UA"/>
        </w:rPr>
        <w:t>1</w:t>
      </w:r>
      <w:r>
        <w:rPr>
          <w:color w:val="000000"/>
          <w:lang w:val="uk-UA"/>
        </w:rPr>
        <w:t xml:space="preserve">), зміряного  в літрах і у відсотках від належної величини. Для тесту на оборотність бронхіальної обструкції використовували </w:t>
      </w:r>
      <w:r>
        <w:rPr>
          <w:color w:val="000000"/>
        </w:rPr>
        <w:t>сальбутамол</w:t>
      </w:r>
      <w:r>
        <w:rPr>
          <w:color w:val="000000"/>
          <w:lang w:val="uk-UA"/>
        </w:rPr>
        <w:t xml:space="preserve"> в дозі 200 </w:t>
      </w:r>
      <w:r>
        <w:rPr>
          <w:color w:val="000000"/>
        </w:rPr>
        <w:t>мкг</w:t>
      </w:r>
      <w:r>
        <w:rPr>
          <w:color w:val="000000"/>
          <w:lang w:val="uk-UA"/>
        </w:rPr>
        <w:t xml:space="preserve"> в дозуючому інгаляторі із </w:t>
      </w:r>
      <w:r>
        <w:rPr>
          <w:color w:val="000000"/>
        </w:rPr>
        <w:t>спейсером</w:t>
      </w:r>
      <w:r>
        <w:rPr>
          <w:color w:val="000000"/>
          <w:lang w:val="uk-UA"/>
        </w:rPr>
        <w:t>. Тест вважався негативним при пр</w:t>
      </w:r>
      <w:r>
        <w:rPr>
          <w:color w:val="000000"/>
          <w:lang w:val="uk-UA"/>
        </w:rPr>
        <w:t>и</w:t>
      </w:r>
      <w:r>
        <w:rPr>
          <w:color w:val="000000"/>
          <w:lang w:val="uk-UA"/>
        </w:rPr>
        <w:t>рості ОФВ</w:t>
      </w:r>
      <w:r>
        <w:rPr>
          <w:color w:val="000000"/>
          <w:vertAlign w:val="subscript"/>
          <w:lang w:val="uk-UA"/>
        </w:rPr>
        <w:t>1</w:t>
      </w:r>
      <w:r>
        <w:rPr>
          <w:color w:val="000000"/>
          <w:lang w:val="uk-UA"/>
        </w:rPr>
        <w:t xml:space="preserve"> менше 12% порівняно з початковим значенням показника. </w:t>
      </w:r>
    </w:p>
    <w:p w:rsidR="00FC6DD7" w:rsidRDefault="00FC6DD7" w:rsidP="00FC6DD7">
      <w:pPr>
        <w:pStyle w:val="afffffffb"/>
        <w:autoSpaceDE w:val="0"/>
        <w:autoSpaceDN w:val="0"/>
        <w:rPr>
          <w:color w:val="000000"/>
          <w:lang w:val="uk-UA"/>
        </w:rPr>
      </w:pPr>
      <w:r>
        <w:rPr>
          <w:color w:val="000000"/>
          <w:lang w:val="uk-UA"/>
        </w:rPr>
        <w:t xml:space="preserve">Прихильність хворих до лікарського лікування визначалася за допомогою скороченого тесту </w:t>
      </w:r>
      <w:r>
        <w:rPr>
          <w:color w:val="000000"/>
          <w:lang w:val="uk-UA" w:eastAsia="uk-UA"/>
        </w:rPr>
        <w:t>D.E</w:t>
      </w:r>
      <w:r>
        <w:rPr>
          <w:color w:val="000000"/>
          <w:lang w:val="uk-UA"/>
        </w:rPr>
        <w:t xml:space="preserve">. </w:t>
      </w:r>
      <w:r>
        <w:rPr>
          <w:color w:val="000000"/>
          <w:lang w:val="uk-UA" w:eastAsia="uk-UA"/>
        </w:rPr>
        <w:t>Morisky</w:t>
      </w:r>
      <w:r>
        <w:rPr>
          <w:color w:val="000000"/>
          <w:lang w:val="uk-UA"/>
        </w:rPr>
        <w:t xml:space="preserve"> (1986). Цей тест передбачає опит п</w:t>
      </w:r>
      <w:r>
        <w:rPr>
          <w:color w:val="000000"/>
          <w:lang w:val="uk-UA"/>
        </w:rPr>
        <w:t>а</w:t>
      </w:r>
      <w:r>
        <w:rPr>
          <w:color w:val="000000"/>
          <w:lang w:val="uk-UA"/>
        </w:rPr>
        <w:t>цієнта по 4 питанням, відповіді на кожне з яких оцінюються по 5 градаціям – ніколи (0 б</w:t>
      </w:r>
      <w:r>
        <w:rPr>
          <w:color w:val="000000"/>
          <w:lang w:val="uk-UA"/>
        </w:rPr>
        <w:t>а</w:t>
      </w:r>
      <w:r>
        <w:rPr>
          <w:color w:val="000000"/>
          <w:lang w:val="uk-UA"/>
        </w:rPr>
        <w:t xml:space="preserve">лів), рідко (1 бал), іноді (2 бали), часто (3 бали) і завжди (4 бали). </w:t>
      </w:r>
    </w:p>
    <w:p w:rsidR="00FC6DD7" w:rsidRDefault="00FC6DD7" w:rsidP="00FC6DD7">
      <w:pPr>
        <w:pStyle w:val="afffffffb"/>
        <w:autoSpaceDE w:val="0"/>
        <w:autoSpaceDN w:val="0"/>
        <w:rPr>
          <w:color w:val="000000"/>
          <w:lang w:val="uk-UA"/>
        </w:rPr>
      </w:pPr>
      <w:r>
        <w:rPr>
          <w:color w:val="000000"/>
          <w:lang w:val="uk-UA"/>
        </w:rPr>
        <w:t xml:space="preserve">Якість життя хворих (ЯЖ) вивчена за допомогою запитальника </w:t>
      </w:r>
      <w:r>
        <w:rPr>
          <w:color w:val="000000"/>
          <w:lang w:val="uk-UA" w:eastAsia="uk-UA"/>
        </w:rPr>
        <w:t xml:space="preserve">MOS </w:t>
      </w:r>
      <w:r>
        <w:rPr>
          <w:color w:val="000000"/>
          <w:lang w:val="uk-UA"/>
        </w:rPr>
        <w:t xml:space="preserve">36-Item </w:t>
      </w:r>
      <w:r>
        <w:rPr>
          <w:color w:val="000000"/>
          <w:lang w:val="uk-UA" w:eastAsia="uk-UA"/>
        </w:rPr>
        <w:t>Short-Form</w:t>
      </w:r>
      <w:r>
        <w:rPr>
          <w:color w:val="000000"/>
          <w:lang w:val="uk-UA"/>
        </w:rPr>
        <w:t xml:space="preserve"> </w:t>
      </w:r>
      <w:r>
        <w:rPr>
          <w:color w:val="000000"/>
          <w:lang w:val="uk-UA" w:eastAsia="uk-UA"/>
        </w:rPr>
        <w:t>Health Survey</w:t>
      </w:r>
      <w:r>
        <w:rPr>
          <w:color w:val="000000"/>
          <w:lang w:val="uk-UA"/>
        </w:rPr>
        <w:t xml:space="preserve"> (</w:t>
      </w:r>
      <w:r>
        <w:rPr>
          <w:color w:val="000000"/>
          <w:lang w:val="uk-UA" w:eastAsia="uk-UA"/>
        </w:rPr>
        <w:t>SF-36</w:t>
      </w:r>
      <w:r>
        <w:rPr>
          <w:color w:val="000000"/>
          <w:lang w:val="uk-UA"/>
        </w:rPr>
        <w:t>). Використовувався офіційний російськ</w:t>
      </w:r>
      <w:r>
        <w:rPr>
          <w:color w:val="000000"/>
          <w:lang w:val="uk-UA"/>
        </w:rPr>
        <w:t>о</w:t>
      </w:r>
      <w:r>
        <w:rPr>
          <w:color w:val="000000"/>
          <w:lang w:val="uk-UA"/>
        </w:rPr>
        <w:t>мовний аналог [Чучалин А.Г., 1999]. За наслідками анкетування проводився розрахунок 8 параметрів: фізичної активності (ФА), ролі фізичних проблем в обмеженні життєдіяльності (РФ), болю, життєздатності (ЖЗ), соціальної акти</w:t>
      </w:r>
      <w:r>
        <w:rPr>
          <w:color w:val="000000"/>
          <w:lang w:val="uk-UA"/>
        </w:rPr>
        <w:t>в</w:t>
      </w:r>
      <w:r>
        <w:rPr>
          <w:color w:val="000000"/>
          <w:lang w:val="uk-UA"/>
        </w:rPr>
        <w:t>ності (СА), ролі емоційних проблем в обмеженні життєдіяльності (РЕ), психі</w:t>
      </w:r>
      <w:r>
        <w:rPr>
          <w:color w:val="000000"/>
          <w:lang w:val="uk-UA"/>
        </w:rPr>
        <w:t>ч</w:t>
      </w:r>
      <w:r>
        <w:rPr>
          <w:color w:val="000000"/>
          <w:lang w:val="uk-UA"/>
        </w:rPr>
        <w:t>ного здоров'я (ПЗ) і загального здоров'я (ЗЗ). Кожний показник обчислювався відповідно до шкали від 0 до 100 балів, при цьому, чим був нижче бал, тим гі</w:t>
      </w:r>
      <w:r>
        <w:rPr>
          <w:color w:val="000000"/>
          <w:lang w:val="uk-UA"/>
        </w:rPr>
        <w:t>р</w:t>
      </w:r>
      <w:r>
        <w:rPr>
          <w:color w:val="000000"/>
          <w:lang w:val="uk-UA"/>
        </w:rPr>
        <w:t>ше розцінюв</w:t>
      </w:r>
      <w:r>
        <w:rPr>
          <w:color w:val="000000"/>
          <w:lang w:val="uk-UA"/>
        </w:rPr>
        <w:t>а</w:t>
      </w:r>
      <w:r>
        <w:rPr>
          <w:color w:val="000000"/>
          <w:lang w:val="uk-UA"/>
        </w:rPr>
        <w:t>лося ЯЖ.</w:t>
      </w:r>
    </w:p>
    <w:p w:rsidR="00FC6DD7" w:rsidRDefault="00FC6DD7" w:rsidP="00FC6DD7">
      <w:pPr>
        <w:pStyle w:val="afffffffb"/>
        <w:autoSpaceDE w:val="0"/>
        <w:autoSpaceDN w:val="0"/>
        <w:rPr>
          <w:color w:val="000000"/>
          <w:lang w:val="uk-UA"/>
        </w:rPr>
      </w:pPr>
      <w:r>
        <w:rPr>
          <w:bCs/>
          <w:i/>
          <w:iCs/>
          <w:color w:val="000000"/>
          <w:lang w:val="uk-UA" w:eastAsia="uk-UA"/>
        </w:rPr>
        <w:t>Методи лікування</w:t>
      </w:r>
      <w:r>
        <w:rPr>
          <w:color w:val="000000"/>
          <w:lang w:val="uk-UA" w:eastAsia="uk-UA"/>
        </w:rPr>
        <w:t xml:space="preserve">. </w:t>
      </w:r>
      <w:r>
        <w:rPr>
          <w:color w:val="000000"/>
          <w:lang w:val="uk-UA"/>
        </w:rPr>
        <w:t xml:space="preserve">Базисна терапія ХОЗЛ у хворих, які лікувалися в ПЛРЦ, строго відповідала основним принципам,  що викладені в </w:t>
      </w:r>
      <w:r>
        <w:rPr>
          <w:color w:val="000000"/>
          <w:lang w:val="uk-UA" w:eastAsia="uk-UA"/>
        </w:rPr>
        <w:t xml:space="preserve">GOLD-2006 </w:t>
      </w:r>
      <w:r>
        <w:rPr>
          <w:color w:val="000000"/>
          <w:lang w:val="uk-UA"/>
        </w:rPr>
        <w:t>і в наказах МОЗ України № 499 від 28 жовтня 2003 р. та № 128 від 19 березня 2009 р. Контроль за виконанням лікарських рекомендацій хворими, що спостерігал</w:t>
      </w:r>
      <w:r>
        <w:rPr>
          <w:color w:val="000000"/>
          <w:lang w:val="uk-UA"/>
        </w:rPr>
        <w:t>и</w:t>
      </w:r>
      <w:r>
        <w:rPr>
          <w:color w:val="000000"/>
          <w:lang w:val="uk-UA"/>
        </w:rPr>
        <w:t>ся в інших медичних установах, був відсутній, що з'явилося однією з умов д</w:t>
      </w:r>
      <w:r>
        <w:rPr>
          <w:color w:val="000000"/>
          <w:lang w:val="uk-UA"/>
        </w:rPr>
        <w:t>о</w:t>
      </w:r>
      <w:r>
        <w:rPr>
          <w:color w:val="000000"/>
          <w:lang w:val="uk-UA"/>
        </w:rPr>
        <w:t xml:space="preserve">слідження.  </w:t>
      </w:r>
    </w:p>
    <w:p w:rsidR="00FC6DD7" w:rsidRDefault="00FC6DD7" w:rsidP="00FC6DD7">
      <w:pPr>
        <w:pStyle w:val="afffffffb"/>
        <w:autoSpaceDE w:val="0"/>
        <w:autoSpaceDN w:val="0"/>
        <w:rPr>
          <w:color w:val="000000"/>
          <w:lang w:val="uk-UA"/>
        </w:rPr>
      </w:pPr>
      <w:r>
        <w:rPr>
          <w:color w:val="000000"/>
          <w:lang w:val="uk-UA"/>
        </w:rPr>
        <w:t>Хворі із загостренням ХОЗЛ, що знаходилися в ПЛРЦ,  лікувалися таким чином:</w:t>
      </w:r>
    </w:p>
    <w:p w:rsidR="00FC6DD7" w:rsidRDefault="00FC6DD7" w:rsidP="00FC6DD7">
      <w:pPr>
        <w:pStyle w:val="afffffffb"/>
        <w:autoSpaceDE w:val="0"/>
        <w:autoSpaceDN w:val="0"/>
        <w:rPr>
          <w:color w:val="000000"/>
          <w:lang w:val="uk-UA"/>
        </w:rPr>
      </w:pPr>
      <w:r>
        <w:rPr>
          <w:color w:val="000000"/>
          <w:lang w:val="uk-UA"/>
        </w:rPr>
        <w:t>1) 30 хворих одержали будесонид (суспензію  ПУЛЬМИКОРТ®, 0,5 мг/ мл, AstraZeneca) на фізіологічному розчині хлориду натрію (2-3 мл) через ко</w:t>
      </w:r>
      <w:r>
        <w:rPr>
          <w:color w:val="000000"/>
          <w:lang w:val="uk-UA"/>
        </w:rPr>
        <w:t>м</w:t>
      </w:r>
      <w:r>
        <w:rPr>
          <w:color w:val="000000"/>
          <w:lang w:val="uk-UA"/>
        </w:rPr>
        <w:t>пресорний інгалятор Pari Master з небулайзером LL;</w:t>
      </w:r>
    </w:p>
    <w:p w:rsidR="00FC6DD7" w:rsidRDefault="00FC6DD7" w:rsidP="00FC6DD7">
      <w:pPr>
        <w:pStyle w:val="afffffffb"/>
        <w:autoSpaceDE w:val="0"/>
        <w:autoSpaceDN w:val="0"/>
        <w:rPr>
          <w:color w:val="000000"/>
          <w:lang w:val="uk-UA"/>
        </w:rPr>
      </w:pPr>
      <w:r>
        <w:rPr>
          <w:color w:val="000000"/>
          <w:lang w:val="uk-UA"/>
        </w:rPr>
        <w:t>2) 29 хворих одержали флутіказону пропіонат (суспензію  ФЛИКСОТИД™ небули™, 2 мг/2 мл, GlaxoSmithKline) на фізіологічному ро</w:t>
      </w:r>
      <w:r>
        <w:rPr>
          <w:color w:val="000000"/>
          <w:lang w:val="uk-UA"/>
        </w:rPr>
        <w:t>з</w:t>
      </w:r>
      <w:r>
        <w:rPr>
          <w:color w:val="000000"/>
          <w:lang w:val="uk-UA"/>
        </w:rPr>
        <w:t>чині хлориду натрію (2-3 мл) через компресорний інгалятор Pari Master з неб</w:t>
      </w:r>
      <w:r>
        <w:rPr>
          <w:color w:val="000000"/>
          <w:lang w:val="uk-UA"/>
        </w:rPr>
        <w:t>у</w:t>
      </w:r>
      <w:r>
        <w:rPr>
          <w:color w:val="000000"/>
          <w:lang w:val="uk-UA"/>
        </w:rPr>
        <w:t>лайзером LL;</w:t>
      </w:r>
    </w:p>
    <w:p w:rsidR="00FC6DD7" w:rsidRDefault="00FC6DD7" w:rsidP="00FC6DD7">
      <w:pPr>
        <w:pStyle w:val="afffffffb"/>
        <w:autoSpaceDE w:val="0"/>
        <w:autoSpaceDN w:val="0"/>
        <w:rPr>
          <w:color w:val="000000"/>
          <w:lang w:val="uk-UA"/>
        </w:rPr>
      </w:pPr>
      <w:r>
        <w:rPr>
          <w:color w:val="000000"/>
          <w:lang w:val="uk-UA"/>
        </w:rPr>
        <w:t>3) 28 пацієнтам був призначений пероральний преднізолон 40 мг/доб.</w:t>
      </w:r>
    </w:p>
    <w:p w:rsidR="00FC6DD7" w:rsidRDefault="00FC6DD7" w:rsidP="00FC6DD7">
      <w:pPr>
        <w:pStyle w:val="afffffffb"/>
        <w:autoSpaceDE w:val="0"/>
        <w:autoSpaceDN w:val="0"/>
        <w:rPr>
          <w:color w:val="000000"/>
          <w:lang w:val="uk-UA"/>
        </w:rPr>
      </w:pPr>
      <w:r>
        <w:rPr>
          <w:color w:val="000000"/>
          <w:lang w:val="uk-UA"/>
        </w:rPr>
        <w:t xml:space="preserve">Тривалість терапії у вказаних групах складала, як мінімум, 10 днів. </w:t>
      </w:r>
    </w:p>
    <w:p w:rsidR="00FC6DD7" w:rsidRDefault="00FC6DD7" w:rsidP="00FC6DD7">
      <w:pPr>
        <w:pStyle w:val="afffffffb"/>
        <w:autoSpaceDE w:val="0"/>
        <w:autoSpaceDN w:val="0"/>
        <w:rPr>
          <w:color w:val="000000"/>
          <w:lang w:val="uk-UA"/>
        </w:rPr>
      </w:pPr>
      <w:r>
        <w:rPr>
          <w:color w:val="000000"/>
          <w:lang w:val="uk-UA"/>
        </w:rPr>
        <w:t>У пацієнтів, що увійшли до 4-ої групи, лікування загострення ХОЗЛ пр</w:t>
      </w:r>
      <w:r>
        <w:rPr>
          <w:color w:val="000000"/>
          <w:lang w:val="uk-UA"/>
        </w:rPr>
        <w:t>о</w:t>
      </w:r>
      <w:r>
        <w:rPr>
          <w:color w:val="000000"/>
          <w:lang w:val="uk-UA"/>
        </w:rPr>
        <w:t xml:space="preserve">водилося в різних медичних установах м. Сімферополя за допомогою </w:t>
      </w:r>
      <w:r>
        <w:rPr>
          <w:color w:val="000000"/>
          <w:lang w:val="uk-UA"/>
        </w:rPr>
        <w:lastRenderedPageBreak/>
        <w:t>традиці</w:t>
      </w:r>
      <w:r>
        <w:rPr>
          <w:color w:val="000000"/>
          <w:lang w:val="uk-UA"/>
        </w:rPr>
        <w:t>й</w:t>
      </w:r>
      <w:r>
        <w:rPr>
          <w:color w:val="000000"/>
          <w:lang w:val="uk-UA"/>
        </w:rPr>
        <w:t>ного для нашої країни внутрішньовенного введення 10,0-20,0 мл 2,4 % ро</w:t>
      </w:r>
      <w:r>
        <w:rPr>
          <w:color w:val="000000"/>
          <w:lang w:val="uk-UA"/>
        </w:rPr>
        <w:t>з</w:t>
      </w:r>
      <w:r>
        <w:rPr>
          <w:color w:val="000000"/>
          <w:lang w:val="uk-UA"/>
        </w:rPr>
        <w:t>чину еуфіліну або його поєднання з 60-90 мг преднізолону.</w:t>
      </w:r>
    </w:p>
    <w:p w:rsidR="00FC6DD7" w:rsidRDefault="00FC6DD7" w:rsidP="00FC6DD7">
      <w:pPr>
        <w:pStyle w:val="afffffffb"/>
        <w:autoSpaceDE w:val="0"/>
        <w:autoSpaceDN w:val="0"/>
        <w:rPr>
          <w:color w:val="000000"/>
          <w:lang w:val="uk-UA"/>
        </w:rPr>
      </w:pPr>
      <w:r>
        <w:rPr>
          <w:b/>
          <w:bCs/>
          <w:i/>
          <w:iCs/>
          <w:color w:val="000000"/>
          <w:lang w:val="uk-UA" w:eastAsia="uk-UA"/>
        </w:rPr>
        <w:t>Методи обробки  результатів дослідження</w:t>
      </w:r>
      <w:r>
        <w:rPr>
          <w:color w:val="000000"/>
          <w:lang w:val="uk-UA" w:eastAsia="uk-UA"/>
        </w:rPr>
        <w:t xml:space="preserve">. </w:t>
      </w:r>
      <w:r>
        <w:rPr>
          <w:color w:val="000000"/>
          <w:lang w:val="uk-UA"/>
        </w:rPr>
        <w:t>Статистичний опис вибірок здійснювали методами оцінки варіаційних рядів. Тип розподілу параметрів у варіаційному ряді встановлювали за критерієм Шапіро-Уїлка. Значущість ві</w:t>
      </w:r>
      <w:r>
        <w:rPr>
          <w:color w:val="000000"/>
          <w:lang w:val="uk-UA"/>
        </w:rPr>
        <w:t>д</w:t>
      </w:r>
      <w:r>
        <w:rPr>
          <w:color w:val="000000"/>
          <w:lang w:val="uk-UA"/>
        </w:rPr>
        <w:t>мінно</w:t>
      </w:r>
      <w:r>
        <w:rPr>
          <w:color w:val="000000"/>
          <w:lang w:val="uk-UA"/>
        </w:rPr>
        <w:t>с</w:t>
      </w:r>
      <w:r>
        <w:rPr>
          <w:color w:val="000000"/>
          <w:lang w:val="uk-UA"/>
        </w:rPr>
        <w:t>тей між вибірками встановлювалася за допомогою параметричних (t-критерій Ст'юдента) і непараметричних (Т-критерій Вілкоксона, U-критерій Манна-Уїтні) методів для залежних і незалежних вибірок. Достовірність ві</w:t>
      </w:r>
      <w:r>
        <w:rPr>
          <w:color w:val="000000"/>
          <w:lang w:val="uk-UA"/>
        </w:rPr>
        <w:t>д</w:t>
      </w:r>
      <w:r>
        <w:rPr>
          <w:color w:val="000000"/>
          <w:lang w:val="uk-UA"/>
        </w:rPr>
        <w:t>мінностей між відносними частотами визначалася обчисленням t-критерія Ст'юдента. Критерієм достовірності оцінок служив рівень значущості з вказі</w:t>
      </w:r>
      <w:r>
        <w:rPr>
          <w:color w:val="000000"/>
          <w:lang w:val="uk-UA"/>
        </w:rPr>
        <w:t>в</w:t>
      </w:r>
      <w:r>
        <w:rPr>
          <w:color w:val="000000"/>
          <w:lang w:val="uk-UA"/>
        </w:rPr>
        <w:t>кою вірогі</w:t>
      </w:r>
      <w:r>
        <w:rPr>
          <w:color w:val="000000"/>
          <w:lang w:val="uk-UA"/>
        </w:rPr>
        <w:t>д</w:t>
      </w:r>
      <w:r>
        <w:rPr>
          <w:color w:val="000000"/>
          <w:lang w:val="uk-UA"/>
        </w:rPr>
        <w:t>ності помилкової оцінки (р).  Взаємозв'язок між ознаками  вивчали шляхом  обчислення  коефіцієнта Спірмена (</w:t>
      </w:r>
      <w:r>
        <w:rPr>
          <w:color w:val="000000"/>
        </w:rPr>
        <w:t>ρ</w:t>
      </w:r>
      <w:r>
        <w:rPr>
          <w:color w:val="000000"/>
          <w:lang w:val="uk-UA"/>
        </w:rPr>
        <w:t>). Оцінка різниці середніх і коеф</w:t>
      </w:r>
      <w:r>
        <w:rPr>
          <w:color w:val="000000"/>
          <w:lang w:val="uk-UA"/>
        </w:rPr>
        <w:t>і</w:t>
      </w:r>
      <w:r>
        <w:rPr>
          <w:color w:val="000000"/>
          <w:lang w:val="uk-UA"/>
        </w:rPr>
        <w:t>цієнти к</w:t>
      </w:r>
      <w:r>
        <w:rPr>
          <w:color w:val="000000"/>
          <w:lang w:val="uk-UA"/>
        </w:rPr>
        <w:t>о</w:t>
      </w:r>
      <w:r>
        <w:rPr>
          <w:color w:val="000000"/>
          <w:lang w:val="uk-UA"/>
        </w:rPr>
        <w:t>реляції вважалися значущими при р&lt;0.05. Обробка даних дослідження викон</w:t>
      </w:r>
      <w:r>
        <w:rPr>
          <w:color w:val="000000"/>
          <w:lang w:val="uk-UA"/>
        </w:rPr>
        <w:t>у</w:t>
      </w:r>
      <w:r>
        <w:rPr>
          <w:color w:val="000000"/>
          <w:lang w:val="uk-UA"/>
        </w:rPr>
        <w:t>валася за допомогою програмного продукту STATISTICA 6.0 (фірма StatSoft, США).</w:t>
      </w:r>
    </w:p>
    <w:p w:rsidR="00FC6DD7" w:rsidRPr="00DF658B" w:rsidRDefault="00FC6DD7" w:rsidP="00FC6DD7">
      <w:pPr>
        <w:pStyle w:val="afffffffb"/>
        <w:autoSpaceDE w:val="0"/>
        <w:autoSpaceDN w:val="0"/>
        <w:spacing w:before="120"/>
        <w:ind w:firstLine="0"/>
        <w:jc w:val="center"/>
        <w:rPr>
          <w:b/>
          <w:bCs/>
          <w:color w:val="000000"/>
          <w:lang w:val="uk-UA"/>
        </w:rPr>
      </w:pPr>
      <w:r w:rsidRPr="00DF658B">
        <w:rPr>
          <w:b/>
          <w:bCs/>
          <w:color w:val="000000"/>
          <w:lang w:val="uk-UA"/>
        </w:rPr>
        <w:t>Результати власних досліджень та їх обговорення</w:t>
      </w:r>
    </w:p>
    <w:p w:rsidR="00FC6DD7" w:rsidRDefault="00FC6DD7" w:rsidP="00FC6DD7">
      <w:pPr>
        <w:pStyle w:val="afffffffb"/>
        <w:autoSpaceDE w:val="0"/>
        <w:autoSpaceDN w:val="0"/>
        <w:rPr>
          <w:color w:val="000000"/>
          <w:lang w:val="uk-UA"/>
        </w:rPr>
      </w:pPr>
      <w:r>
        <w:rPr>
          <w:bCs/>
          <w:i/>
          <w:color w:val="000000"/>
          <w:spacing w:val="10"/>
          <w:lang w:val="uk-UA"/>
        </w:rPr>
        <w:t>Організація амбулаторного лікування хворих на ХОЗЛ</w:t>
      </w:r>
      <w:r>
        <w:rPr>
          <w:bCs/>
          <w:color w:val="000000"/>
          <w:spacing w:val="10"/>
          <w:lang w:val="uk-UA"/>
        </w:rPr>
        <w:t>.</w:t>
      </w:r>
      <w:r>
        <w:rPr>
          <w:snapToGrid w:val="0"/>
          <w:color w:val="000000"/>
          <w:lang w:val="uk-UA"/>
        </w:rPr>
        <w:t xml:space="preserve"> З метою </w:t>
      </w:r>
      <w:r>
        <w:rPr>
          <w:color w:val="000000"/>
          <w:lang w:val="uk-UA"/>
        </w:rPr>
        <w:t>з</w:t>
      </w:r>
      <w:r>
        <w:rPr>
          <w:color w:val="000000"/>
          <w:lang w:val="uk-UA"/>
        </w:rPr>
        <w:t>а</w:t>
      </w:r>
      <w:r>
        <w:rPr>
          <w:color w:val="000000"/>
          <w:lang w:val="uk-UA"/>
        </w:rPr>
        <w:t>безпечення інтегрованої допомоги хворим на ХОЗЛ на амбулаторному етапі нами була запропонована модель організації лікування захворювання в умовах Сімферопольського пульмонологічного лікувально-реабілітаційного центру. Основними напрямами спільної роботи ПЛРЦ з практичними лікарями з'явил</w:t>
      </w:r>
      <w:r>
        <w:rPr>
          <w:color w:val="000000"/>
          <w:lang w:val="uk-UA"/>
        </w:rPr>
        <w:t>и</w:t>
      </w:r>
      <w:r>
        <w:rPr>
          <w:color w:val="000000"/>
          <w:lang w:val="uk-UA"/>
        </w:rPr>
        <w:t>ся створення і упровадження єдиного регістра хворих на ХОЗЛ, розповс</w:t>
      </w:r>
      <w:r>
        <w:rPr>
          <w:color w:val="000000"/>
          <w:lang w:val="uk-UA"/>
        </w:rPr>
        <w:t>ю</w:t>
      </w:r>
      <w:r>
        <w:rPr>
          <w:color w:val="000000"/>
          <w:lang w:val="uk-UA"/>
        </w:rPr>
        <w:t xml:space="preserve">дження інформації про нові способи діагностики і лікування ХОЗЛ, </w:t>
      </w:r>
      <w:r>
        <w:rPr>
          <w:snapToGrid w:val="0"/>
          <w:color w:val="000000"/>
          <w:lang w:val="uk-UA"/>
        </w:rPr>
        <w:t>організ</w:t>
      </w:r>
      <w:r>
        <w:rPr>
          <w:snapToGrid w:val="0"/>
          <w:color w:val="000000"/>
          <w:lang w:val="uk-UA"/>
        </w:rPr>
        <w:t>а</w:t>
      </w:r>
      <w:r>
        <w:rPr>
          <w:snapToGrid w:val="0"/>
          <w:color w:val="000000"/>
          <w:lang w:val="uk-UA"/>
        </w:rPr>
        <w:t>ція</w:t>
      </w:r>
      <w:r>
        <w:rPr>
          <w:color w:val="000000"/>
          <w:lang w:val="uk-UA"/>
        </w:rPr>
        <w:t xml:space="preserve"> </w:t>
      </w:r>
      <w:r>
        <w:rPr>
          <w:snapToGrid w:val="0"/>
          <w:color w:val="000000"/>
          <w:lang w:val="uk-UA"/>
        </w:rPr>
        <w:t>семінарів, конференцій і симпозіумів з проблем ХОЗЛ, створення</w:t>
      </w:r>
      <w:r>
        <w:rPr>
          <w:color w:val="000000"/>
          <w:lang w:val="uk-UA"/>
        </w:rPr>
        <w:t xml:space="preserve"> інформаці</w:t>
      </w:r>
      <w:r>
        <w:rPr>
          <w:color w:val="000000"/>
          <w:lang w:val="uk-UA"/>
        </w:rPr>
        <w:t>й</w:t>
      </w:r>
      <w:r>
        <w:rPr>
          <w:color w:val="000000"/>
          <w:lang w:val="uk-UA"/>
        </w:rPr>
        <w:t xml:space="preserve">ної бази по бронхолітичним, гормональним та іншим лікарським засобам, що застосовуються при ХОЗЛ. </w:t>
      </w:r>
    </w:p>
    <w:p w:rsidR="00FC6DD7" w:rsidRDefault="00FC6DD7" w:rsidP="00FC6DD7">
      <w:pPr>
        <w:pStyle w:val="afffffffb"/>
        <w:autoSpaceDE w:val="0"/>
        <w:autoSpaceDN w:val="0"/>
        <w:rPr>
          <w:color w:val="000000"/>
          <w:lang w:val="uk-UA"/>
        </w:rPr>
      </w:pPr>
      <w:r>
        <w:rPr>
          <w:color w:val="000000"/>
          <w:lang w:val="uk-UA"/>
        </w:rPr>
        <w:t>Робота ПЛРЦ з пацієнтами була направлена на формування їх прихил</w:t>
      </w:r>
      <w:r>
        <w:rPr>
          <w:color w:val="000000"/>
          <w:lang w:val="uk-UA"/>
        </w:rPr>
        <w:t>ь</w:t>
      </w:r>
      <w:r>
        <w:rPr>
          <w:color w:val="000000"/>
          <w:lang w:val="uk-UA"/>
        </w:rPr>
        <w:t>ності до лікарського лікування захворювання. Особливу увагу надане розробці і упровадженню освітніх програм для пацієнтів, їх індивідуальному навчанню на прийомі лікаря або в «ХОЗЛ-школі», а також регулярному контролю співробі</w:t>
      </w:r>
      <w:r>
        <w:rPr>
          <w:color w:val="000000"/>
          <w:lang w:val="uk-UA"/>
        </w:rPr>
        <w:t>т</w:t>
      </w:r>
      <w:r>
        <w:rPr>
          <w:color w:val="000000"/>
          <w:lang w:val="uk-UA"/>
        </w:rPr>
        <w:t>никами центру за правильністю виконання призначеного лік</w:t>
      </w:r>
      <w:r>
        <w:rPr>
          <w:color w:val="000000"/>
          <w:lang w:val="uk-UA"/>
        </w:rPr>
        <w:t>у</w:t>
      </w:r>
      <w:r>
        <w:rPr>
          <w:color w:val="000000"/>
          <w:lang w:val="uk-UA"/>
        </w:rPr>
        <w:t>вання.</w:t>
      </w:r>
    </w:p>
    <w:p w:rsidR="00FC6DD7" w:rsidRDefault="00FC6DD7" w:rsidP="00FC6DD7">
      <w:pPr>
        <w:pStyle w:val="afffffffb"/>
        <w:autoSpaceDE w:val="0"/>
        <w:autoSpaceDN w:val="0"/>
        <w:rPr>
          <w:color w:val="000000"/>
          <w:lang w:val="uk-UA"/>
        </w:rPr>
      </w:pPr>
      <w:r>
        <w:rPr>
          <w:color w:val="000000"/>
          <w:lang w:val="uk-UA"/>
        </w:rPr>
        <w:t>При однаковому початковому стані хворих на ХОЗЛ організація лікува</w:t>
      </w:r>
      <w:r>
        <w:rPr>
          <w:color w:val="000000"/>
          <w:lang w:val="uk-UA"/>
        </w:rPr>
        <w:t>н</w:t>
      </w:r>
      <w:r>
        <w:rPr>
          <w:color w:val="000000"/>
          <w:lang w:val="uk-UA"/>
        </w:rPr>
        <w:t>ня загострення в умовах ПЛРЦ призводила до істотного поліпшення їх кліні</w:t>
      </w:r>
      <w:r>
        <w:rPr>
          <w:color w:val="000000"/>
          <w:lang w:val="uk-UA"/>
        </w:rPr>
        <w:t>ч</w:t>
      </w:r>
      <w:r>
        <w:rPr>
          <w:color w:val="000000"/>
          <w:lang w:val="uk-UA"/>
        </w:rPr>
        <w:t>ного стану на 10-й день, а також до формування і підтримки стійкого благоп</w:t>
      </w:r>
      <w:r>
        <w:rPr>
          <w:color w:val="000000"/>
          <w:lang w:val="uk-UA"/>
        </w:rPr>
        <w:t>о</w:t>
      </w:r>
      <w:r>
        <w:rPr>
          <w:color w:val="000000"/>
          <w:lang w:val="uk-UA"/>
        </w:rPr>
        <w:t>лучного клінічного стану хворих на протязі наступного року порівняно з паці</w:t>
      </w:r>
      <w:r>
        <w:rPr>
          <w:color w:val="000000"/>
          <w:lang w:val="uk-UA"/>
        </w:rPr>
        <w:t>є</w:t>
      </w:r>
      <w:r>
        <w:rPr>
          <w:color w:val="000000"/>
          <w:lang w:val="uk-UA"/>
        </w:rPr>
        <w:t>нтами, що лікувалися в РМУ. Так, лікування загострення ХОЗЛ в ПЛРЦ супр</w:t>
      </w:r>
      <w:r>
        <w:rPr>
          <w:color w:val="000000"/>
          <w:lang w:val="uk-UA"/>
        </w:rPr>
        <w:t>о</w:t>
      </w:r>
      <w:r>
        <w:rPr>
          <w:color w:val="000000"/>
          <w:lang w:val="uk-UA"/>
        </w:rPr>
        <w:t>воджувалося зниженням щорічної кількості загострень хвороби в 2,7 рази, кіл</w:t>
      </w:r>
      <w:r>
        <w:rPr>
          <w:color w:val="000000"/>
          <w:lang w:val="uk-UA"/>
        </w:rPr>
        <w:t>ь</w:t>
      </w:r>
      <w:r>
        <w:rPr>
          <w:color w:val="000000"/>
          <w:lang w:val="uk-UA"/>
        </w:rPr>
        <w:t xml:space="preserve">кості госпіталізацій – в 2,5 рази, тривалості амбулаторного лікування  –  в 2,1 рази. </w:t>
      </w:r>
    </w:p>
    <w:p w:rsidR="00FC6DD7" w:rsidRDefault="00FC6DD7" w:rsidP="00FC6DD7">
      <w:pPr>
        <w:pStyle w:val="afffffffb"/>
        <w:autoSpaceDE w:val="0"/>
        <w:autoSpaceDN w:val="0"/>
        <w:rPr>
          <w:color w:val="000000"/>
          <w:lang w:val="uk-UA"/>
        </w:rPr>
      </w:pPr>
      <w:r>
        <w:rPr>
          <w:color w:val="000000"/>
          <w:lang w:val="uk-UA"/>
        </w:rPr>
        <w:t>В 2004 р. на базі ПЛРЦ була організована Республіканська спеціалізована пульмонологічна лікарсько-консультативна комісія (ЛКК), що увійшла до єд</w:t>
      </w:r>
      <w:r>
        <w:rPr>
          <w:color w:val="000000"/>
          <w:lang w:val="uk-UA"/>
        </w:rPr>
        <w:t>и</w:t>
      </w:r>
      <w:r>
        <w:rPr>
          <w:color w:val="000000"/>
          <w:lang w:val="uk-UA"/>
        </w:rPr>
        <w:t xml:space="preserve">ної системи медичної допомоги хворим на хронічні захворювання легенів. До складу ЛКК ввійшли лікарі-фахівці вищої категорії </w:t>
      </w:r>
      <w:r>
        <w:rPr>
          <w:color w:val="000000"/>
          <w:lang w:val="uk-UA"/>
        </w:rPr>
        <w:lastRenderedPageBreak/>
        <w:t>по пульмонол</w:t>
      </w:r>
      <w:r>
        <w:rPr>
          <w:color w:val="000000"/>
          <w:lang w:val="uk-UA"/>
        </w:rPr>
        <w:t>о</w:t>
      </w:r>
      <w:r>
        <w:rPr>
          <w:color w:val="000000"/>
          <w:lang w:val="uk-UA"/>
        </w:rPr>
        <w:t>гії, фтизіатрії і експертній діяльності, а також головний терапевт Міністерства охорони зд</w:t>
      </w:r>
      <w:r>
        <w:rPr>
          <w:color w:val="000000"/>
          <w:lang w:val="uk-UA"/>
        </w:rPr>
        <w:t>о</w:t>
      </w:r>
      <w:r>
        <w:rPr>
          <w:color w:val="000000"/>
          <w:lang w:val="uk-UA"/>
        </w:rPr>
        <w:t>ров'я АР Крим. Такий склад дав можливість найбільш точно сформулювати ді</w:t>
      </w:r>
      <w:r>
        <w:rPr>
          <w:color w:val="000000"/>
          <w:lang w:val="uk-UA"/>
        </w:rPr>
        <w:t>а</w:t>
      </w:r>
      <w:r>
        <w:rPr>
          <w:color w:val="000000"/>
          <w:lang w:val="uk-UA"/>
        </w:rPr>
        <w:t>гноз з указанням  ступеня тяжкості і стадії захворювання, вираженості функц</w:t>
      </w:r>
      <w:r>
        <w:rPr>
          <w:color w:val="000000"/>
          <w:lang w:val="uk-UA"/>
        </w:rPr>
        <w:t>і</w:t>
      </w:r>
      <w:r>
        <w:rPr>
          <w:color w:val="000000"/>
          <w:lang w:val="uk-UA"/>
        </w:rPr>
        <w:t>ональних порушень, а також визначити підстави для визнання ст</w:t>
      </w:r>
      <w:r>
        <w:rPr>
          <w:color w:val="000000"/>
          <w:lang w:val="uk-UA"/>
        </w:rPr>
        <w:t>а</w:t>
      </w:r>
      <w:r>
        <w:rPr>
          <w:color w:val="000000"/>
          <w:lang w:val="uk-UA"/>
        </w:rPr>
        <w:t>тусу інваліда відповідно до нормативних документів медико-соціальної екон</w:t>
      </w:r>
      <w:r>
        <w:rPr>
          <w:color w:val="000000"/>
          <w:lang w:val="uk-UA"/>
        </w:rPr>
        <w:t>о</w:t>
      </w:r>
      <w:r>
        <w:rPr>
          <w:color w:val="000000"/>
          <w:lang w:val="uk-UA"/>
        </w:rPr>
        <w:t>мічної комісії. В 2004-2007 рр. Республіканською спеціалізованою пульмонологічною ЛКК проконсультовано 1538 пацієнтів. При цьому було досягнуте зниження інте</w:t>
      </w:r>
      <w:r>
        <w:rPr>
          <w:color w:val="000000"/>
          <w:lang w:val="uk-UA"/>
        </w:rPr>
        <w:t>н</w:t>
      </w:r>
      <w:r>
        <w:rPr>
          <w:color w:val="000000"/>
          <w:lang w:val="uk-UA"/>
        </w:rPr>
        <w:t>сивного показника первинного виходу на інвалідність осіб прац</w:t>
      </w:r>
      <w:r>
        <w:rPr>
          <w:color w:val="000000"/>
          <w:lang w:val="uk-UA"/>
        </w:rPr>
        <w:t>е</w:t>
      </w:r>
      <w:r>
        <w:rPr>
          <w:color w:val="000000"/>
          <w:lang w:val="uk-UA"/>
        </w:rPr>
        <w:t>здатного віку, страждаючих хронічними захворюваннями легенів з 2,9 на 10 т</w:t>
      </w:r>
      <w:r>
        <w:rPr>
          <w:color w:val="000000"/>
          <w:lang w:val="uk-UA"/>
        </w:rPr>
        <w:t>и</w:t>
      </w:r>
      <w:r>
        <w:rPr>
          <w:color w:val="000000"/>
          <w:lang w:val="uk-UA"/>
        </w:rPr>
        <w:t>сяч населення в 2003 р. до 1,6 в 2007 р. (по Україні – 1,9 і 1,9 відповідно). Що стосується хворих на ХОЗЛ, то тут обговорюваний показник знизився з 0,8 на 10 тис. населення в 2003 р. до  0,5  в 2007 р. (по Україні – 0,8).</w:t>
      </w:r>
    </w:p>
    <w:p w:rsidR="00FC6DD7" w:rsidRDefault="00FC6DD7" w:rsidP="00FC6DD7">
      <w:pPr>
        <w:pStyle w:val="afffffffb"/>
        <w:autoSpaceDE w:val="0"/>
        <w:autoSpaceDN w:val="0"/>
        <w:rPr>
          <w:bCs/>
          <w:color w:val="000000"/>
          <w:spacing w:val="10"/>
          <w:lang w:val="uk-UA"/>
        </w:rPr>
      </w:pPr>
      <w:r>
        <w:rPr>
          <w:bCs/>
          <w:i/>
          <w:color w:val="000000"/>
          <w:spacing w:val="10"/>
          <w:lang w:val="uk-UA"/>
        </w:rPr>
        <w:t>Небулайзерна терапія загострення ХОЗЛ.</w:t>
      </w:r>
      <w:r>
        <w:rPr>
          <w:b/>
          <w:bCs/>
          <w:color w:val="000000"/>
          <w:spacing w:val="10"/>
          <w:lang w:val="uk-UA"/>
        </w:rPr>
        <w:t xml:space="preserve"> </w:t>
      </w:r>
      <w:r>
        <w:rPr>
          <w:bCs/>
          <w:color w:val="000000"/>
          <w:spacing w:val="10"/>
          <w:lang w:val="uk-UA"/>
        </w:rPr>
        <w:t>Нами проведено порі</w:t>
      </w:r>
      <w:r>
        <w:rPr>
          <w:bCs/>
          <w:color w:val="000000"/>
          <w:spacing w:val="10"/>
          <w:lang w:val="uk-UA"/>
        </w:rPr>
        <w:t>в</w:t>
      </w:r>
      <w:r>
        <w:rPr>
          <w:bCs/>
          <w:color w:val="000000"/>
          <w:spacing w:val="10"/>
          <w:lang w:val="uk-UA"/>
        </w:rPr>
        <w:t>няння клінічної ефективності і безпеки застосування небулізованих ГКС будесоніду і флутікозону пропіонату та системного преднізолону у 87 хворих із загостренням ХОЗЛ.</w:t>
      </w:r>
    </w:p>
    <w:p w:rsidR="00FC6DD7" w:rsidRDefault="00FC6DD7" w:rsidP="00FC6DD7">
      <w:pPr>
        <w:pStyle w:val="afffffffb"/>
        <w:autoSpaceDE w:val="0"/>
        <w:autoSpaceDN w:val="0"/>
        <w:rPr>
          <w:color w:val="000000"/>
          <w:lang w:val="uk-UA"/>
        </w:rPr>
      </w:pPr>
      <w:r>
        <w:rPr>
          <w:bCs/>
          <w:i/>
          <w:iCs/>
          <w:color w:val="000000"/>
          <w:lang w:val="uk-UA"/>
        </w:rPr>
        <w:t xml:space="preserve">Порівняння клінічної ефективності і безпеки </w:t>
      </w:r>
      <w:r>
        <w:rPr>
          <w:bCs/>
          <w:i/>
          <w:iCs/>
          <w:color w:val="000000"/>
        </w:rPr>
        <w:t>небул</w:t>
      </w:r>
      <w:r>
        <w:rPr>
          <w:bCs/>
          <w:i/>
          <w:iCs/>
          <w:color w:val="000000"/>
          <w:lang w:val="uk-UA"/>
        </w:rPr>
        <w:t>і</w:t>
      </w:r>
      <w:r>
        <w:rPr>
          <w:bCs/>
          <w:i/>
          <w:iCs/>
          <w:color w:val="000000"/>
        </w:rPr>
        <w:t>зованого</w:t>
      </w:r>
      <w:r>
        <w:rPr>
          <w:color w:val="000000"/>
          <w:lang w:val="uk-UA"/>
        </w:rPr>
        <w:t xml:space="preserve"> </w:t>
      </w:r>
      <w:r>
        <w:rPr>
          <w:bCs/>
          <w:i/>
          <w:iCs/>
          <w:color w:val="000000"/>
        </w:rPr>
        <w:t>будесоніду</w:t>
      </w:r>
      <w:r>
        <w:rPr>
          <w:bCs/>
          <w:i/>
          <w:iCs/>
          <w:color w:val="000000"/>
          <w:lang w:val="uk-UA"/>
        </w:rPr>
        <w:t xml:space="preserve"> і системного преднізолону</w:t>
      </w:r>
      <w:r>
        <w:rPr>
          <w:color w:val="000000"/>
          <w:lang w:val="uk-UA"/>
        </w:rPr>
        <w:t>. 28 пацієнтам, які склали 1-у групу, був призначений пероральний преднізолон 40 мг/доб. До 2-ої групи увійшли 30 хворих, що од</w:t>
      </w:r>
      <w:r>
        <w:rPr>
          <w:color w:val="000000"/>
          <w:lang w:val="uk-UA"/>
        </w:rPr>
        <w:t>е</w:t>
      </w:r>
      <w:r>
        <w:rPr>
          <w:color w:val="000000"/>
          <w:lang w:val="uk-UA"/>
        </w:rPr>
        <w:t xml:space="preserve">ржали </w:t>
      </w:r>
      <w:r>
        <w:rPr>
          <w:color w:val="000000"/>
        </w:rPr>
        <w:t>будесон</w:t>
      </w:r>
      <w:r>
        <w:rPr>
          <w:color w:val="000000"/>
          <w:lang w:val="uk-UA"/>
        </w:rPr>
        <w:t>і</w:t>
      </w:r>
      <w:r>
        <w:rPr>
          <w:color w:val="000000"/>
        </w:rPr>
        <w:t>д</w:t>
      </w:r>
      <w:r>
        <w:rPr>
          <w:color w:val="000000"/>
          <w:lang w:val="uk-UA"/>
        </w:rPr>
        <w:t>, початкова доза якого складала 4 мг/доб. Якщо приріст ОФВ</w:t>
      </w:r>
      <w:r>
        <w:rPr>
          <w:color w:val="000000"/>
          <w:vertAlign w:val="subscript"/>
          <w:lang w:val="uk-UA"/>
        </w:rPr>
        <w:t>1</w:t>
      </w:r>
      <w:r>
        <w:rPr>
          <w:color w:val="000000"/>
          <w:lang w:val="uk-UA"/>
        </w:rPr>
        <w:t xml:space="preserve"> через одну добу терапії залишався менше 15%, то дозу препарату збільшували до 6-8 мг/доб. У 16 хворих (57,1%), включених в групу </w:t>
      </w:r>
      <w:r>
        <w:rPr>
          <w:color w:val="000000"/>
        </w:rPr>
        <w:t>будесоніду</w:t>
      </w:r>
      <w:r>
        <w:rPr>
          <w:color w:val="000000"/>
          <w:lang w:val="uk-UA"/>
        </w:rPr>
        <w:t>, доза інгал</w:t>
      </w:r>
      <w:r>
        <w:rPr>
          <w:color w:val="000000"/>
          <w:lang w:val="uk-UA"/>
        </w:rPr>
        <w:t>я</w:t>
      </w:r>
      <w:r>
        <w:rPr>
          <w:color w:val="000000"/>
          <w:lang w:val="uk-UA"/>
        </w:rPr>
        <w:t xml:space="preserve">ційного препарату склала 4 мг/доб, у 9 хворих (32,1%) доза </w:t>
      </w:r>
      <w:r>
        <w:rPr>
          <w:color w:val="000000"/>
        </w:rPr>
        <w:t>буд</w:t>
      </w:r>
      <w:r>
        <w:rPr>
          <w:color w:val="000000"/>
        </w:rPr>
        <w:t>е</w:t>
      </w:r>
      <w:r>
        <w:rPr>
          <w:color w:val="000000"/>
        </w:rPr>
        <w:t>соніду</w:t>
      </w:r>
      <w:r>
        <w:rPr>
          <w:color w:val="000000"/>
          <w:lang w:val="uk-UA"/>
        </w:rPr>
        <w:t xml:space="preserve"> була збільшена до 6 мг/доб і у 3 хворих (10,7%) –  до 8 мг/доб. </w:t>
      </w:r>
    </w:p>
    <w:p w:rsidR="00FC6DD7" w:rsidRDefault="00FC6DD7" w:rsidP="00FC6DD7">
      <w:pPr>
        <w:pStyle w:val="afffffffb"/>
        <w:autoSpaceDE w:val="0"/>
        <w:autoSpaceDN w:val="0"/>
        <w:rPr>
          <w:color w:val="000000"/>
          <w:lang w:val="uk-UA"/>
        </w:rPr>
      </w:pPr>
      <w:r>
        <w:rPr>
          <w:color w:val="000000"/>
          <w:lang w:val="uk-UA"/>
        </w:rPr>
        <w:t xml:space="preserve">Терапія </w:t>
      </w:r>
      <w:r>
        <w:rPr>
          <w:color w:val="000000"/>
        </w:rPr>
        <w:t>будесон</w:t>
      </w:r>
      <w:r>
        <w:rPr>
          <w:color w:val="000000"/>
          <w:lang w:val="uk-UA"/>
        </w:rPr>
        <w:t>і</w:t>
      </w:r>
      <w:r>
        <w:rPr>
          <w:color w:val="000000"/>
        </w:rPr>
        <w:t>дом</w:t>
      </w:r>
      <w:r>
        <w:rPr>
          <w:color w:val="000000"/>
          <w:lang w:val="uk-UA"/>
        </w:rPr>
        <w:t xml:space="preserve"> і пероральним преднізолоном призвела до схожих змін ОФВ</w:t>
      </w:r>
      <w:r>
        <w:rPr>
          <w:color w:val="000000"/>
          <w:vertAlign w:val="subscript"/>
          <w:lang w:val="uk-UA"/>
        </w:rPr>
        <w:t>1</w:t>
      </w:r>
      <w:r>
        <w:rPr>
          <w:color w:val="000000"/>
          <w:lang w:val="uk-UA"/>
        </w:rPr>
        <w:t xml:space="preserve"> (приріст через 10 днів склав 0,73±0,09 л в групі </w:t>
      </w:r>
      <w:r>
        <w:rPr>
          <w:color w:val="000000"/>
        </w:rPr>
        <w:t>будесоніду</w:t>
      </w:r>
      <w:r>
        <w:rPr>
          <w:color w:val="000000"/>
          <w:lang w:val="uk-UA"/>
        </w:rPr>
        <w:t xml:space="preserve"> і 0,69±0,10 л – в групі перорального преднізолону). У всіх хворих в ході терапії спостерігалося значне зменшення </w:t>
      </w:r>
      <w:r>
        <w:rPr>
          <w:color w:val="000000"/>
        </w:rPr>
        <w:t>тах</w:t>
      </w:r>
      <w:r>
        <w:rPr>
          <w:color w:val="000000"/>
          <w:lang w:val="uk-UA"/>
        </w:rPr>
        <w:t>і</w:t>
      </w:r>
      <w:r>
        <w:rPr>
          <w:color w:val="000000"/>
        </w:rPr>
        <w:t>пное</w:t>
      </w:r>
      <w:r>
        <w:rPr>
          <w:color w:val="000000"/>
          <w:lang w:val="uk-UA"/>
        </w:rPr>
        <w:t xml:space="preserve"> (в групі </w:t>
      </w:r>
      <w:r>
        <w:rPr>
          <w:color w:val="000000"/>
        </w:rPr>
        <w:t>будесоніду</w:t>
      </w:r>
      <w:r>
        <w:rPr>
          <w:color w:val="000000"/>
          <w:lang w:val="uk-UA"/>
        </w:rPr>
        <w:t xml:space="preserve"> – на 6,2±1,3 в хвилину, в групі преднізолону — на 6,3±1,9 в хвилину) і тахікардії (в групі </w:t>
      </w:r>
      <w:r>
        <w:rPr>
          <w:color w:val="000000"/>
        </w:rPr>
        <w:t>б</w:t>
      </w:r>
      <w:r>
        <w:rPr>
          <w:color w:val="000000"/>
        </w:rPr>
        <w:t>у</w:t>
      </w:r>
      <w:r>
        <w:rPr>
          <w:color w:val="000000"/>
        </w:rPr>
        <w:t>десоніду</w:t>
      </w:r>
      <w:r>
        <w:rPr>
          <w:color w:val="000000"/>
          <w:lang w:val="uk-UA"/>
        </w:rPr>
        <w:t xml:space="preserve"> – на 15,9±0,9 в хвилину, в групі преднізолону – на 15,1±1,0 в хвил</w:t>
      </w:r>
      <w:r>
        <w:rPr>
          <w:color w:val="000000"/>
          <w:lang w:val="uk-UA"/>
        </w:rPr>
        <w:t>и</w:t>
      </w:r>
      <w:r>
        <w:rPr>
          <w:color w:val="000000"/>
          <w:lang w:val="uk-UA"/>
        </w:rPr>
        <w:t>ну), достовірних міжгрупових відмінностей не знайдено. Починаючи з 2-го дня д</w:t>
      </w:r>
      <w:r>
        <w:rPr>
          <w:color w:val="000000"/>
          <w:lang w:val="uk-UA"/>
        </w:rPr>
        <w:t>о</w:t>
      </w:r>
      <w:r>
        <w:rPr>
          <w:color w:val="000000"/>
          <w:lang w:val="uk-UA"/>
        </w:rPr>
        <w:t>слідження, між групами хворих спостерігалися достовірні відмінності по пок</w:t>
      </w:r>
      <w:r>
        <w:rPr>
          <w:color w:val="000000"/>
          <w:lang w:val="uk-UA"/>
        </w:rPr>
        <w:t>а</w:t>
      </w:r>
      <w:r>
        <w:rPr>
          <w:color w:val="000000"/>
          <w:lang w:val="uk-UA"/>
        </w:rPr>
        <w:t>зниках артеріального тиску (АТ): рівні систоли і діастоли АТ протягом всього дослідження були істотно вище у хворих, що приймали преднізолон. Задишка, оцінена за шкалою Борга, значно зменшилася до кінця терапії в обох групах хворих (на 4,91±0,51 бала в групі будесоніду і на 4,43±0,84 бала в групі предн</w:t>
      </w:r>
      <w:r>
        <w:rPr>
          <w:color w:val="000000"/>
          <w:lang w:val="uk-UA"/>
        </w:rPr>
        <w:t>і</w:t>
      </w:r>
      <w:r>
        <w:rPr>
          <w:color w:val="000000"/>
          <w:lang w:val="uk-UA"/>
        </w:rPr>
        <w:t>золону), проте зміни задишки були більш виражені у пацієнтів, що приймали будесонід, достовірні відмінності між групами по показнику задишки спостер</w:t>
      </w:r>
      <w:r>
        <w:rPr>
          <w:color w:val="000000"/>
          <w:lang w:val="uk-UA"/>
        </w:rPr>
        <w:t>і</w:t>
      </w:r>
      <w:r>
        <w:rPr>
          <w:color w:val="000000"/>
          <w:lang w:val="uk-UA"/>
        </w:rPr>
        <w:t>галися, починаючи з 3-го дня дослідження. У всіх хворих, включених в досл</w:t>
      </w:r>
      <w:r>
        <w:rPr>
          <w:color w:val="000000"/>
          <w:lang w:val="uk-UA"/>
        </w:rPr>
        <w:t>і</w:t>
      </w:r>
      <w:r>
        <w:rPr>
          <w:color w:val="000000"/>
          <w:lang w:val="uk-UA"/>
        </w:rPr>
        <w:t>дження, спостерігалося значне зменшення інтенсивності свистячого дихання (зміна пока</w:t>
      </w:r>
      <w:r>
        <w:rPr>
          <w:color w:val="000000"/>
          <w:lang w:val="uk-UA"/>
        </w:rPr>
        <w:t>з</w:t>
      </w:r>
      <w:r>
        <w:rPr>
          <w:color w:val="000000"/>
          <w:lang w:val="uk-UA"/>
        </w:rPr>
        <w:t xml:space="preserve">ника до кінця дослідження в групі </w:t>
      </w:r>
      <w:r>
        <w:rPr>
          <w:color w:val="000000"/>
        </w:rPr>
        <w:t>будесоніду</w:t>
      </w:r>
      <w:r>
        <w:rPr>
          <w:color w:val="000000"/>
          <w:lang w:val="uk-UA"/>
        </w:rPr>
        <w:t>: від 2,28±0,44 до 0,59±0,36 бала,  в групі преднізолону: від 2,34±0,31 до 0,87±0,11 бала). У хв</w:t>
      </w:r>
      <w:r>
        <w:rPr>
          <w:color w:val="000000"/>
          <w:lang w:val="uk-UA"/>
        </w:rPr>
        <w:t>о</w:t>
      </w:r>
      <w:r>
        <w:rPr>
          <w:color w:val="000000"/>
          <w:lang w:val="uk-UA"/>
        </w:rPr>
        <w:t xml:space="preserve">рих групи </w:t>
      </w:r>
      <w:r>
        <w:rPr>
          <w:color w:val="000000"/>
        </w:rPr>
        <w:t>будесоніду</w:t>
      </w:r>
      <w:r>
        <w:rPr>
          <w:color w:val="000000"/>
          <w:lang w:val="uk-UA"/>
        </w:rPr>
        <w:t xml:space="preserve"> </w:t>
      </w:r>
      <w:r>
        <w:rPr>
          <w:color w:val="000000"/>
          <w:lang w:val="uk-UA"/>
        </w:rPr>
        <w:lastRenderedPageBreak/>
        <w:t>динаміка даного показника була більш виражена: відмі</w:t>
      </w:r>
      <w:r>
        <w:rPr>
          <w:color w:val="000000"/>
          <w:lang w:val="uk-UA"/>
        </w:rPr>
        <w:t>н</w:t>
      </w:r>
      <w:r>
        <w:rPr>
          <w:color w:val="000000"/>
          <w:lang w:val="uk-UA"/>
        </w:rPr>
        <w:t>ності на 3, 5 і 10-й дні були ст</w:t>
      </w:r>
      <w:r>
        <w:rPr>
          <w:color w:val="000000"/>
          <w:lang w:val="uk-UA"/>
        </w:rPr>
        <w:t>а</w:t>
      </w:r>
      <w:r>
        <w:rPr>
          <w:color w:val="000000"/>
          <w:lang w:val="uk-UA"/>
        </w:rPr>
        <w:t>тистично достовірними (р&lt;0,001).</w:t>
      </w:r>
    </w:p>
    <w:p w:rsidR="00FC6DD7" w:rsidRDefault="00FC6DD7" w:rsidP="00FC6DD7">
      <w:pPr>
        <w:pStyle w:val="afffffffb"/>
        <w:autoSpaceDE w:val="0"/>
        <w:autoSpaceDN w:val="0"/>
        <w:rPr>
          <w:color w:val="000000"/>
          <w:lang w:val="uk-UA"/>
        </w:rPr>
      </w:pPr>
      <w:r>
        <w:rPr>
          <w:color w:val="000000"/>
          <w:lang w:val="uk-UA"/>
        </w:rPr>
        <w:t>Серед побічних ефектів в групі будесоніду були відзначені: кашель після інгаляції, підвищення АТ, сухість в роті та ін. У пацієнтів, що приймали сист</w:t>
      </w:r>
      <w:r>
        <w:rPr>
          <w:color w:val="000000"/>
          <w:lang w:val="uk-UA"/>
        </w:rPr>
        <w:t>е</w:t>
      </w:r>
      <w:r>
        <w:rPr>
          <w:color w:val="000000"/>
          <w:lang w:val="uk-UA"/>
        </w:rPr>
        <w:t>мний преднізолон, небажаних реакцій було більше. Частіше за все реєструвал</w:t>
      </w:r>
      <w:r>
        <w:rPr>
          <w:color w:val="000000"/>
          <w:lang w:val="uk-UA"/>
        </w:rPr>
        <w:t>и</w:t>
      </w:r>
      <w:r>
        <w:rPr>
          <w:color w:val="000000"/>
          <w:lang w:val="uk-UA"/>
        </w:rPr>
        <w:t>ся: посилення апетиту, підвищення АТ, занепокоєність і трив</w:t>
      </w:r>
      <w:r>
        <w:rPr>
          <w:color w:val="000000"/>
          <w:lang w:val="uk-UA"/>
        </w:rPr>
        <w:t>о</w:t>
      </w:r>
      <w:r>
        <w:rPr>
          <w:color w:val="000000"/>
          <w:lang w:val="uk-UA"/>
        </w:rPr>
        <w:t>жність, болі в епігастрії, бе</w:t>
      </w:r>
      <w:r>
        <w:rPr>
          <w:color w:val="000000"/>
          <w:lang w:val="uk-UA"/>
        </w:rPr>
        <w:t>з</w:t>
      </w:r>
      <w:r>
        <w:rPr>
          <w:color w:val="000000"/>
          <w:lang w:val="uk-UA"/>
        </w:rPr>
        <w:t>соння, печія та ін. При порівнянні побічних ефектів між групами хворих дост</w:t>
      </w:r>
      <w:r>
        <w:rPr>
          <w:color w:val="000000"/>
          <w:lang w:val="uk-UA"/>
        </w:rPr>
        <w:t>о</w:t>
      </w:r>
      <w:r>
        <w:rPr>
          <w:color w:val="000000"/>
          <w:lang w:val="uk-UA"/>
        </w:rPr>
        <w:t>вірна відмінність була знайдена по розвитку таких небажаних явищ, як пос</w:t>
      </w:r>
      <w:r>
        <w:rPr>
          <w:color w:val="000000"/>
          <w:lang w:val="uk-UA"/>
        </w:rPr>
        <w:t>и</w:t>
      </w:r>
      <w:r>
        <w:rPr>
          <w:color w:val="000000"/>
          <w:lang w:val="uk-UA"/>
        </w:rPr>
        <w:t>лення апетиту і гіперглікемія. Початкові рівні глюкози крові були порівнянні у пацієнтів обох груп (5,33±0,51 ммоль/л і 5,29±1,13 ммоль/л в гр</w:t>
      </w:r>
      <w:r>
        <w:rPr>
          <w:color w:val="000000"/>
          <w:lang w:val="uk-UA"/>
        </w:rPr>
        <w:t>у</w:t>
      </w:r>
      <w:r>
        <w:rPr>
          <w:color w:val="000000"/>
          <w:lang w:val="uk-UA"/>
        </w:rPr>
        <w:t>пах будесоніду і преднізолону, р&gt;0,5), надалі показники глікемії були достові</w:t>
      </w:r>
      <w:r>
        <w:rPr>
          <w:color w:val="000000"/>
          <w:lang w:val="uk-UA"/>
        </w:rPr>
        <w:t>р</w:t>
      </w:r>
      <w:r>
        <w:rPr>
          <w:color w:val="000000"/>
          <w:lang w:val="uk-UA"/>
        </w:rPr>
        <w:t>но вище у хворих, що приймали преднізолон (10-й день: 5,14±0,55 ммоль/л в групі буд</w:t>
      </w:r>
      <w:r>
        <w:rPr>
          <w:color w:val="000000"/>
          <w:lang w:val="uk-UA"/>
        </w:rPr>
        <w:t>е</w:t>
      </w:r>
      <w:r>
        <w:rPr>
          <w:color w:val="000000"/>
          <w:lang w:val="uk-UA"/>
        </w:rPr>
        <w:t>соніду і 6,32±0,62 ммоль/л  в  групі преднізолону, р&lt;0,001).</w:t>
      </w:r>
    </w:p>
    <w:p w:rsidR="00FC6DD7" w:rsidRDefault="00FC6DD7" w:rsidP="00FC6DD7">
      <w:pPr>
        <w:pStyle w:val="afffffffb"/>
        <w:autoSpaceDE w:val="0"/>
        <w:autoSpaceDN w:val="0"/>
        <w:rPr>
          <w:color w:val="000000"/>
          <w:lang w:val="uk-UA"/>
        </w:rPr>
      </w:pPr>
      <w:r>
        <w:rPr>
          <w:bCs/>
          <w:i/>
          <w:iCs/>
          <w:color w:val="000000"/>
          <w:lang w:val="uk-UA"/>
        </w:rPr>
        <w:t>Порівняння клінічної ефективності і безпеки небулізованого</w:t>
      </w:r>
      <w:r>
        <w:rPr>
          <w:color w:val="000000"/>
          <w:lang w:val="uk-UA"/>
        </w:rPr>
        <w:t xml:space="preserve"> </w:t>
      </w:r>
      <w:r>
        <w:rPr>
          <w:bCs/>
          <w:i/>
          <w:iCs/>
          <w:color w:val="000000"/>
          <w:lang w:val="uk-UA"/>
        </w:rPr>
        <w:t>флутіказону пропіонату і системного преднізолону</w:t>
      </w:r>
      <w:r>
        <w:rPr>
          <w:color w:val="000000"/>
          <w:lang w:val="uk-UA"/>
        </w:rPr>
        <w:t xml:space="preserve">. До 3-ї групи увійшли 29 хворих, що одержали </w:t>
      </w:r>
      <w:r>
        <w:rPr>
          <w:color w:val="000000"/>
        </w:rPr>
        <w:t>флут</w:t>
      </w:r>
      <w:r>
        <w:rPr>
          <w:color w:val="000000"/>
          <w:lang w:val="uk-UA"/>
        </w:rPr>
        <w:t>і</w:t>
      </w:r>
      <w:r>
        <w:rPr>
          <w:color w:val="000000"/>
        </w:rPr>
        <w:t>казону</w:t>
      </w:r>
      <w:r>
        <w:rPr>
          <w:color w:val="000000"/>
          <w:lang w:val="uk-UA"/>
        </w:rPr>
        <w:t xml:space="preserve"> </w:t>
      </w:r>
      <w:r>
        <w:rPr>
          <w:color w:val="000000"/>
        </w:rPr>
        <w:t>проп</w:t>
      </w:r>
      <w:r>
        <w:rPr>
          <w:color w:val="000000"/>
          <w:lang w:val="uk-UA"/>
        </w:rPr>
        <w:t>і</w:t>
      </w:r>
      <w:r>
        <w:rPr>
          <w:color w:val="000000"/>
        </w:rPr>
        <w:t>онат</w:t>
      </w:r>
      <w:r>
        <w:rPr>
          <w:color w:val="000000"/>
          <w:lang w:val="uk-UA"/>
        </w:rPr>
        <w:t xml:space="preserve">. У 15 хворих (51,7%), включених в цю групу, доза  препарату склала 4 мг/доб,  у 8 хворих (27,6 %) доза була збільшена до 6 мг/доб і у 6 хворих (20,7%) –  до 8 мг/доб. Результати лікування </w:t>
      </w:r>
      <w:r>
        <w:rPr>
          <w:color w:val="000000"/>
        </w:rPr>
        <w:t>небул</w:t>
      </w:r>
      <w:r>
        <w:rPr>
          <w:color w:val="000000"/>
          <w:lang w:val="uk-UA"/>
        </w:rPr>
        <w:t>і</w:t>
      </w:r>
      <w:r>
        <w:rPr>
          <w:color w:val="000000"/>
        </w:rPr>
        <w:t>з</w:t>
      </w:r>
      <w:r>
        <w:rPr>
          <w:color w:val="000000"/>
        </w:rPr>
        <w:t>о</w:t>
      </w:r>
      <w:r>
        <w:rPr>
          <w:color w:val="000000"/>
        </w:rPr>
        <w:t>ван</w:t>
      </w:r>
      <w:r>
        <w:rPr>
          <w:color w:val="000000"/>
          <w:lang w:val="uk-UA"/>
        </w:rPr>
        <w:t>и</w:t>
      </w:r>
      <w:r>
        <w:rPr>
          <w:color w:val="000000"/>
        </w:rPr>
        <w:t>м</w:t>
      </w:r>
      <w:r>
        <w:rPr>
          <w:color w:val="000000"/>
          <w:lang w:val="uk-UA"/>
        </w:rPr>
        <w:t xml:space="preserve"> </w:t>
      </w:r>
      <w:r>
        <w:rPr>
          <w:color w:val="000000"/>
        </w:rPr>
        <w:t>флут</w:t>
      </w:r>
      <w:r>
        <w:rPr>
          <w:color w:val="000000"/>
          <w:lang w:val="uk-UA"/>
        </w:rPr>
        <w:t>і</w:t>
      </w:r>
      <w:r>
        <w:rPr>
          <w:color w:val="000000"/>
        </w:rPr>
        <w:t>казоном</w:t>
      </w:r>
      <w:r>
        <w:rPr>
          <w:color w:val="000000"/>
          <w:lang w:val="uk-UA"/>
        </w:rPr>
        <w:t xml:space="preserve"> </w:t>
      </w:r>
      <w:r>
        <w:rPr>
          <w:color w:val="000000"/>
        </w:rPr>
        <w:t>проп</w:t>
      </w:r>
      <w:r>
        <w:rPr>
          <w:color w:val="000000"/>
          <w:lang w:val="uk-UA"/>
        </w:rPr>
        <w:t>і</w:t>
      </w:r>
      <w:r>
        <w:rPr>
          <w:color w:val="000000"/>
        </w:rPr>
        <w:t>онатом</w:t>
      </w:r>
      <w:r>
        <w:rPr>
          <w:color w:val="000000"/>
          <w:lang w:val="uk-UA"/>
        </w:rPr>
        <w:t xml:space="preserve"> порівнювалися з такими у хворих 1-ї групи, пр</w:t>
      </w:r>
      <w:r>
        <w:rPr>
          <w:color w:val="000000"/>
          <w:lang w:val="uk-UA"/>
        </w:rPr>
        <w:t>и</w:t>
      </w:r>
      <w:r>
        <w:rPr>
          <w:color w:val="000000"/>
          <w:lang w:val="uk-UA"/>
        </w:rPr>
        <w:t>ймаючих пероральний преднізолон.</w:t>
      </w:r>
    </w:p>
    <w:p w:rsidR="00FC6DD7" w:rsidRDefault="00FC6DD7" w:rsidP="00FC6DD7">
      <w:pPr>
        <w:pStyle w:val="afffffffb"/>
        <w:autoSpaceDE w:val="0"/>
        <w:autoSpaceDN w:val="0"/>
        <w:rPr>
          <w:color w:val="000000"/>
          <w:lang w:val="uk-UA"/>
        </w:rPr>
      </w:pPr>
      <w:r>
        <w:rPr>
          <w:color w:val="000000"/>
          <w:lang w:val="uk-UA"/>
        </w:rPr>
        <w:t>Терапія флутіказоном пропіонатом і пероральним преднізолоном призв</w:t>
      </w:r>
      <w:r>
        <w:rPr>
          <w:color w:val="000000"/>
          <w:lang w:val="uk-UA"/>
        </w:rPr>
        <w:t>е</w:t>
      </w:r>
      <w:r>
        <w:rPr>
          <w:color w:val="000000"/>
          <w:lang w:val="uk-UA"/>
        </w:rPr>
        <w:t>ла до схожих змін ОФВ</w:t>
      </w:r>
      <w:r>
        <w:rPr>
          <w:color w:val="000000"/>
          <w:vertAlign w:val="subscript"/>
          <w:lang w:val="uk-UA"/>
        </w:rPr>
        <w:t>1</w:t>
      </w:r>
      <w:r>
        <w:rPr>
          <w:color w:val="000000"/>
          <w:lang w:val="uk-UA"/>
        </w:rPr>
        <w:t>: приріст через 10 днів склав 0,71±0,43 л в групі флут</w:t>
      </w:r>
      <w:r>
        <w:rPr>
          <w:color w:val="000000"/>
          <w:lang w:val="uk-UA"/>
        </w:rPr>
        <w:t>і</w:t>
      </w:r>
      <w:r>
        <w:rPr>
          <w:color w:val="000000"/>
          <w:lang w:val="uk-UA"/>
        </w:rPr>
        <w:t>казону пропіонату і 0,69±0,10 л – в групі преднізолону. У всіх хворих в ході т</w:t>
      </w:r>
      <w:r>
        <w:rPr>
          <w:color w:val="000000"/>
          <w:lang w:val="uk-UA"/>
        </w:rPr>
        <w:t>е</w:t>
      </w:r>
      <w:r>
        <w:rPr>
          <w:color w:val="000000"/>
          <w:lang w:val="uk-UA"/>
        </w:rPr>
        <w:t xml:space="preserve">рапії спостерігалося значне зменшення </w:t>
      </w:r>
      <w:r>
        <w:rPr>
          <w:color w:val="000000"/>
        </w:rPr>
        <w:t>тах</w:t>
      </w:r>
      <w:r>
        <w:rPr>
          <w:color w:val="000000"/>
          <w:lang w:val="uk-UA"/>
        </w:rPr>
        <w:t>і</w:t>
      </w:r>
      <w:r>
        <w:rPr>
          <w:color w:val="000000"/>
        </w:rPr>
        <w:t>пное</w:t>
      </w:r>
      <w:r>
        <w:rPr>
          <w:color w:val="000000"/>
          <w:lang w:val="uk-UA"/>
        </w:rPr>
        <w:t xml:space="preserve"> (в групі </w:t>
      </w:r>
      <w:r>
        <w:rPr>
          <w:color w:val="000000"/>
        </w:rPr>
        <w:t>флутіказону пропіонату</w:t>
      </w:r>
      <w:r>
        <w:rPr>
          <w:color w:val="000000"/>
          <w:lang w:val="uk-UA"/>
        </w:rPr>
        <w:t xml:space="preserve"> – на 6,1±0,8 в хвилину, в групі преднізолону — на 5,8±0,5 в хвил</w:t>
      </w:r>
      <w:r>
        <w:rPr>
          <w:color w:val="000000"/>
          <w:lang w:val="uk-UA"/>
        </w:rPr>
        <w:t>и</w:t>
      </w:r>
      <w:r>
        <w:rPr>
          <w:color w:val="000000"/>
          <w:lang w:val="uk-UA"/>
        </w:rPr>
        <w:t xml:space="preserve">ну) і тахікардії (в групі </w:t>
      </w:r>
      <w:r>
        <w:rPr>
          <w:color w:val="000000"/>
        </w:rPr>
        <w:t>флутіказону пропіонату</w:t>
      </w:r>
      <w:r>
        <w:rPr>
          <w:color w:val="000000"/>
          <w:lang w:val="uk-UA"/>
        </w:rPr>
        <w:t xml:space="preserve"> — на 15,0±0,8 в хвилину, в гр</w:t>
      </w:r>
      <w:r>
        <w:rPr>
          <w:color w:val="000000"/>
          <w:lang w:val="uk-UA"/>
        </w:rPr>
        <w:t>у</w:t>
      </w:r>
      <w:r>
        <w:rPr>
          <w:color w:val="000000"/>
          <w:lang w:val="uk-UA"/>
        </w:rPr>
        <w:t>пі преднізолону – на 14,5±0,4 в хвилину), достовірних міжгрупових відмінно</w:t>
      </w:r>
      <w:r>
        <w:rPr>
          <w:color w:val="000000"/>
          <w:lang w:val="uk-UA"/>
        </w:rPr>
        <w:t>с</w:t>
      </w:r>
      <w:r>
        <w:rPr>
          <w:color w:val="000000"/>
          <w:lang w:val="uk-UA"/>
        </w:rPr>
        <w:t>тей не знайдено. Починаючи з 2-го дня дослідження, між групами хворих сп</w:t>
      </w:r>
      <w:r>
        <w:rPr>
          <w:color w:val="000000"/>
          <w:lang w:val="uk-UA"/>
        </w:rPr>
        <w:t>о</w:t>
      </w:r>
      <w:r>
        <w:rPr>
          <w:color w:val="000000"/>
          <w:lang w:val="uk-UA"/>
        </w:rPr>
        <w:t>стерігалися достовірні відмінності по показниках АТ: рівні систоли і діастоли АТ протягом всь</w:t>
      </w:r>
      <w:r>
        <w:rPr>
          <w:color w:val="000000"/>
          <w:lang w:val="uk-UA"/>
        </w:rPr>
        <w:t>о</w:t>
      </w:r>
      <w:r>
        <w:rPr>
          <w:color w:val="000000"/>
          <w:lang w:val="uk-UA"/>
        </w:rPr>
        <w:t>го дослідження були істотно вище у хворих, що приймали преднізолон.</w:t>
      </w:r>
    </w:p>
    <w:p w:rsidR="00FC6DD7" w:rsidRDefault="00FC6DD7" w:rsidP="00FC6DD7">
      <w:pPr>
        <w:pStyle w:val="afffffffb"/>
        <w:autoSpaceDE w:val="0"/>
        <w:autoSpaceDN w:val="0"/>
        <w:rPr>
          <w:color w:val="000000"/>
          <w:lang w:val="uk-UA"/>
        </w:rPr>
      </w:pPr>
      <w:r>
        <w:rPr>
          <w:color w:val="000000"/>
          <w:lang w:val="uk-UA"/>
        </w:rPr>
        <w:t>Задишка, оцінена за шкалою Борга, значно зменшилася до кінця терапії в обох групах хворих (на 4,41±0,44 бала в групі флутіказону пропіонату і на 4,23±0,63 бала в групі преднізолону), проте зміни задишки були більш виражені у пацієнтів, приймаючих флутіказону пропіонат, достовірні відмінності між групами по показнику задишки спостерігалися, починаючи з 3-го дня досл</w:t>
      </w:r>
      <w:r>
        <w:rPr>
          <w:color w:val="000000"/>
          <w:lang w:val="uk-UA"/>
        </w:rPr>
        <w:t>і</w:t>
      </w:r>
      <w:r>
        <w:rPr>
          <w:color w:val="000000"/>
          <w:lang w:val="uk-UA"/>
        </w:rPr>
        <w:t>дження. Активність допоміжної мускулатури також зазнала позитивну динам</w:t>
      </w:r>
      <w:r>
        <w:rPr>
          <w:color w:val="000000"/>
          <w:lang w:val="uk-UA"/>
        </w:rPr>
        <w:t>і</w:t>
      </w:r>
      <w:r>
        <w:rPr>
          <w:color w:val="000000"/>
          <w:lang w:val="uk-UA"/>
        </w:rPr>
        <w:t>ку у всіх хворих: до 10-го дня дослідження в групі флутіказону пропіонату участь в д</w:t>
      </w:r>
      <w:r>
        <w:rPr>
          <w:color w:val="000000"/>
          <w:lang w:val="uk-UA"/>
        </w:rPr>
        <w:t>и</w:t>
      </w:r>
      <w:r>
        <w:rPr>
          <w:color w:val="000000"/>
          <w:lang w:val="uk-UA"/>
        </w:rPr>
        <w:t xml:space="preserve">ханні допоміжних м'язів шиї зменшилася від 2,73±0,18 до 0,21±0,10 бала, в групі преднізолону — від 2,86±0,38 до 0,59±0,22 бала. Більш виражена динаміка мала місце у пацієнтів, приймаючих </w:t>
      </w:r>
      <w:r>
        <w:rPr>
          <w:color w:val="000000"/>
        </w:rPr>
        <w:t>флут</w:t>
      </w:r>
      <w:r>
        <w:rPr>
          <w:color w:val="000000"/>
          <w:lang w:val="uk-UA"/>
        </w:rPr>
        <w:t>і</w:t>
      </w:r>
      <w:r>
        <w:rPr>
          <w:color w:val="000000"/>
        </w:rPr>
        <w:t>казону</w:t>
      </w:r>
      <w:r>
        <w:rPr>
          <w:color w:val="000000"/>
          <w:lang w:val="uk-UA"/>
        </w:rPr>
        <w:t xml:space="preserve"> </w:t>
      </w:r>
      <w:r>
        <w:rPr>
          <w:color w:val="000000"/>
        </w:rPr>
        <w:t>проп</w:t>
      </w:r>
      <w:r>
        <w:rPr>
          <w:color w:val="000000"/>
          <w:lang w:val="uk-UA"/>
        </w:rPr>
        <w:t>і</w:t>
      </w:r>
      <w:r>
        <w:rPr>
          <w:color w:val="000000"/>
        </w:rPr>
        <w:t>онат</w:t>
      </w:r>
      <w:r>
        <w:rPr>
          <w:color w:val="000000"/>
          <w:lang w:val="uk-UA"/>
        </w:rPr>
        <w:t xml:space="preserve"> (на 10-й день – р&lt; 0,001). У всіх хворих, включених в дослідження, спостерігалося зна</w:t>
      </w:r>
      <w:r>
        <w:rPr>
          <w:color w:val="000000"/>
          <w:lang w:val="uk-UA"/>
        </w:rPr>
        <w:t>ч</w:t>
      </w:r>
      <w:r>
        <w:rPr>
          <w:color w:val="000000"/>
          <w:lang w:val="uk-UA"/>
        </w:rPr>
        <w:t>не зменшення інтенсивності свистячого дихання (зміна показника до кінця д</w:t>
      </w:r>
      <w:r>
        <w:rPr>
          <w:color w:val="000000"/>
          <w:lang w:val="uk-UA"/>
        </w:rPr>
        <w:t>о</w:t>
      </w:r>
      <w:r>
        <w:rPr>
          <w:color w:val="000000"/>
          <w:lang w:val="uk-UA"/>
        </w:rPr>
        <w:t xml:space="preserve">слідження в групі флутіказону </w:t>
      </w:r>
      <w:r>
        <w:rPr>
          <w:color w:val="000000"/>
          <w:lang w:val="uk-UA"/>
        </w:rPr>
        <w:lastRenderedPageBreak/>
        <w:t xml:space="preserve">пропіонату: від 2,41±0,18 до 0,71±0,10 бала,  в групі преднізолону: від 2,39±0,31 до 0,89±0,11 бала). У хворих групи </w:t>
      </w:r>
      <w:r>
        <w:rPr>
          <w:color w:val="000000"/>
        </w:rPr>
        <w:t>флутіказон</w:t>
      </w:r>
      <w:r>
        <w:rPr>
          <w:color w:val="000000"/>
          <w:lang w:val="uk-UA"/>
        </w:rPr>
        <w:t>у</w:t>
      </w:r>
      <w:r>
        <w:rPr>
          <w:color w:val="000000"/>
        </w:rPr>
        <w:t xml:space="preserve"> пропіонат</w:t>
      </w:r>
      <w:r>
        <w:rPr>
          <w:color w:val="000000"/>
          <w:lang w:val="uk-UA"/>
        </w:rPr>
        <w:t>у динаміка даного показника була більш виражена: ві</w:t>
      </w:r>
      <w:r>
        <w:rPr>
          <w:color w:val="000000"/>
          <w:lang w:val="uk-UA"/>
        </w:rPr>
        <w:t>д</w:t>
      </w:r>
      <w:r>
        <w:rPr>
          <w:color w:val="000000"/>
          <w:lang w:val="uk-UA"/>
        </w:rPr>
        <w:t>мінності на 3, 5 і 10-й дні були статистично достовірними (р&lt;0,001).</w:t>
      </w:r>
    </w:p>
    <w:p w:rsidR="00FC6DD7" w:rsidRDefault="00FC6DD7" w:rsidP="00FC6DD7">
      <w:pPr>
        <w:pStyle w:val="afffffffb"/>
        <w:autoSpaceDE w:val="0"/>
        <w:autoSpaceDN w:val="0"/>
        <w:rPr>
          <w:color w:val="000000"/>
          <w:lang w:val="uk-UA"/>
        </w:rPr>
      </w:pPr>
      <w:r>
        <w:rPr>
          <w:color w:val="000000"/>
          <w:lang w:val="uk-UA"/>
        </w:rPr>
        <w:t>Серед побічних ефектів в групі флутіказону пропіонату були відзначені: кашель після інгаляції, підвищення АТ, сухість в роті та ін. У пацієнтів, що приймали системний преднізолон, небажаних реакцій було більше. Частіше за все реєструвалися: посилення апетиту, підвищення АТ, занепокоєність і трив</w:t>
      </w:r>
      <w:r>
        <w:rPr>
          <w:color w:val="000000"/>
          <w:lang w:val="uk-UA"/>
        </w:rPr>
        <w:t>о</w:t>
      </w:r>
      <w:r>
        <w:rPr>
          <w:color w:val="000000"/>
          <w:lang w:val="uk-UA"/>
        </w:rPr>
        <w:t>жність, диспептичні розлади та ін. При порівнянні побічних ефектів між груп</w:t>
      </w:r>
      <w:r>
        <w:rPr>
          <w:color w:val="000000"/>
          <w:lang w:val="uk-UA"/>
        </w:rPr>
        <w:t>а</w:t>
      </w:r>
      <w:r>
        <w:rPr>
          <w:color w:val="000000"/>
          <w:lang w:val="uk-UA"/>
        </w:rPr>
        <w:t>ми хворих достовірна відмінність була знайдена по розвитку таких небажаних явищ, як підвищення АТ, посилення апетиту і гіперглікемії.</w:t>
      </w:r>
      <w:r>
        <w:rPr>
          <w:color w:val="000000"/>
          <w:lang w:val="uk-UA"/>
        </w:rPr>
        <w:tab/>
      </w:r>
    </w:p>
    <w:p w:rsidR="00FC6DD7" w:rsidRDefault="00FC6DD7" w:rsidP="00FC6DD7">
      <w:pPr>
        <w:pStyle w:val="afffffffb"/>
        <w:autoSpaceDE w:val="0"/>
        <w:autoSpaceDN w:val="0"/>
        <w:rPr>
          <w:color w:val="000000"/>
          <w:lang w:val="uk-UA"/>
        </w:rPr>
      </w:pPr>
      <w:r>
        <w:rPr>
          <w:color w:val="000000"/>
          <w:lang w:val="uk-UA"/>
        </w:rPr>
        <w:t xml:space="preserve">Початкові рівні глюкози крові були порівнянні у пацієнтів обох груп (5,54±0,51 ммоль/л і 5,43±0,52 ммоль/л в групах флутіказону пропіонату  і преднізолону, р&gt;0,5), надалі показники глікемії були достовірно вище у хворих, що приймали преднізолон (10-й день: 5,42±0,29 ммоль/л в групі флутіказону пропіонату і 6,19±0,52 ммоль/л в групі преднізолону, р&lt;0,001). </w:t>
      </w:r>
    </w:p>
    <w:p w:rsidR="00FC6DD7" w:rsidRDefault="00FC6DD7" w:rsidP="00FC6DD7">
      <w:pPr>
        <w:pStyle w:val="afffffffb"/>
        <w:autoSpaceDE w:val="0"/>
        <w:autoSpaceDN w:val="0"/>
        <w:rPr>
          <w:color w:val="000000"/>
          <w:lang w:val="uk-UA"/>
        </w:rPr>
      </w:pPr>
      <w:r>
        <w:rPr>
          <w:bCs/>
          <w:i/>
          <w:color w:val="000000"/>
          <w:lang w:val="uk-UA"/>
        </w:rPr>
        <w:t>Якість життя (ЯЖ) хворих залежно від особливостей лікування</w:t>
      </w:r>
      <w:r>
        <w:rPr>
          <w:i/>
          <w:color w:val="000000"/>
          <w:lang w:val="uk-UA"/>
        </w:rPr>
        <w:t xml:space="preserve"> </w:t>
      </w:r>
      <w:r>
        <w:rPr>
          <w:bCs/>
          <w:i/>
          <w:color w:val="000000"/>
          <w:lang w:val="uk-UA"/>
        </w:rPr>
        <w:t>загос</w:t>
      </w:r>
      <w:r>
        <w:rPr>
          <w:bCs/>
          <w:i/>
          <w:color w:val="000000"/>
          <w:lang w:val="uk-UA"/>
        </w:rPr>
        <w:t>т</w:t>
      </w:r>
      <w:r>
        <w:rPr>
          <w:bCs/>
          <w:i/>
          <w:color w:val="000000"/>
          <w:lang w:val="uk-UA"/>
        </w:rPr>
        <w:t>рень ХОЗЛ</w:t>
      </w:r>
      <w:r>
        <w:rPr>
          <w:bCs/>
          <w:color w:val="000000"/>
          <w:lang w:val="uk-UA"/>
        </w:rPr>
        <w:t>.</w:t>
      </w:r>
      <w:r>
        <w:rPr>
          <w:b/>
          <w:bCs/>
          <w:color w:val="000000"/>
          <w:lang w:val="uk-UA"/>
        </w:rPr>
        <w:t xml:space="preserve"> </w:t>
      </w:r>
      <w:r>
        <w:rPr>
          <w:color w:val="000000"/>
          <w:lang w:val="uk-UA"/>
        </w:rPr>
        <w:t xml:space="preserve">ЯЖ вивчено у 124 хворих на ХОЗЛ, що лікувалися в ПЛРЦ і в РМУ. Всі хворі самостійно заповнювали опитувальник </w:t>
      </w:r>
      <w:r>
        <w:rPr>
          <w:color w:val="000000"/>
          <w:lang w:val="uk-UA" w:eastAsia="uk-UA"/>
        </w:rPr>
        <w:t>SF-36</w:t>
      </w:r>
      <w:r>
        <w:rPr>
          <w:color w:val="000000"/>
          <w:lang w:val="uk-UA"/>
        </w:rPr>
        <w:t>. Власні дані пор</w:t>
      </w:r>
      <w:r>
        <w:rPr>
          <w:color w:val="000000"/>
          <w:lang w:val="uk-UA"/>
        </w:rPr>
        <w:t>і</w:t>
      </w:r>
      <w:r>
        <w:rPr>
          <w:color w:val="000000"/>
          <w:lang w:val="uk-UA"/>
        </w:rPr>
        <w:t>внювали з середньопопуляційними значеннями, які були отримані А.Г. Чучал</w:t>
      </w:r>
      <w:r>
        <w:rPr>
          <w:color w:val="000000"/>
          <w:lang w:val="uk-UA"/>
        </w:rPr>
        <w:t>і</w:t>
      </w:r>
      <w:r>
        <w:rPr>
          <w:color w:val="000000"/>
          <w:lang w:val="uk-UA"/>
        </w:rPr>
        <w:t>ним і співавт. під час широкомасштабного дослідження «ІКАР» в Росії в 2004 році.</w:t>
      </w:r>
    </w:p>
    <w:p w:rsidR="00FC6DD7" w:rsidRDefault="00FC6DD7" w:rsidP="00FC6DD7">
      <w:pPr>
        <w:pStyle w:val="afffffffb"/>
        <w:autoSpaceDE w:val="0"/>
        <w:autoSpaceDN w:val="0"/>
        <w:rPr>
          <w:color w:val="000000"/>
          <w:lang w:val="uk-UA"/>
        </w:rPr>
      </w:pPr>
      <w:r>
        <w:rPr>
          <w:color w:val="000000"/>
          <w:lang w:val="uk-UA"/>
        </w:rPr>
        <w:t>Встановлено, що різні варіанти лікарського лікування загострень ХОЗЛ призводять до формування різних рівнів ЯЖ хворих. Хороша ЯЖ, повністю з</w:t>
      </w:r>
      <w:r>
        <w:rPr>
          <w:color w:val="000000"/>
          <w:lang w:val="uk-UA"/>
        </w:rPr>
        <w:t>і</w:t>
      </w:r>
      <w:r>
        <w:rPr>
          <w:color w:val="000000"/>
          <w:lang w:val="uk-UA"/>
        </w:rPr>
        <w:t>ставна з ЯЖ в популяції, досягається при використанні для лікування в ПЛРЦ загострень ХОЗЛ будесоніду і флутіказону пропіонату. Деяке поліпшення ЯЖ хворих, але гірше порівняно з популяцією, досягається при лікуванні загос</w:t>
      </w:r>
      <w:r>
        <w:rPr>
          <w:color w:val="000000"/>
          <w:lang w:val="uk-UA"/>
        </w:rPr>
        <w:t>т</w:t>
      </w:r>
      <w:r>
        <w:rPr>
          <w:color w:val="000000"/>
          <w:lang w:val="uk-UA"/>
        </w:rPr>
        <w:t>рень  захворювання в ПЛРЦ курсом системного преднізолону. Застосування для лікування загострень ХОЗЛ внутрішньовенних преднізолону і е</w:t>
      </w:r>
      <w:r>
        <w:rPr>
          <w:color w:val="000000"/>
        </w:rPr>
        <w:t>уф</w:t>
      </w:r>
      <w:r>
        <w:rPr>
          <w:color w:val="000000"/>
          <w:lang w:val="uk-UA"/>
        </w:rPr>
        <w:t>і</w:t>
      </w:r>
      <w:r>
        <w:rPr>
          <w:color w:val="000000"/>
        </w:rPr>
        <w:t>л</w:t>
      </w:r>
      <w:r>
        <w:rPr>
          <w:color w:val="000000"/>
          <w:lang w:val="uk-UA"/>
        </w:rPr>
        <w:t>іну в РМУ не призводить до подальшого поліпшення ЯЖ хворих. Підтвердженням цьому є досягнуті прирости показників ЯЖ. Так, усереднений приріст ЯЖ хв</w:t>
      </w:r>
      <w:r>
        <w:rPr>
          <w:color w:val="000000"/>
          <w:lang w:val="uk-UA"/>
        </w:rPr>
        <w:t>о</w:t>
      </w:r>
      <w:r>
        <w:rPr>
          <w:color w:val="000000"/>
          <w:lang w:val="uk-UA"/>
        </w:rPr>
        <w:t>рих на ХОЗЛ при лікуванні загострень флутіказоном пропіонатом склав 46,31±4,90%, будесонідом – 39,40±5,17%, системним преднізолоном – 10,59±1,19% і внутр</w:t>
      </w:r>
      <w:r>
        <w:rPr>
          <w:color w:val="000000"/>
          <w:lang w:val="uk-UA"/>
        </w:rPr>
        <w:t>і</w:t>
      </w:r>
      <w:r>
        <w:rPr>
          <w:color w:val="000000"/>
          <w:lang w:val="uk-UA"/>
        </w:rPr>
        <w:t>шньовенними преднізолоном і еуфіліном – лише 1,13±0,38%. Також були виявлені істотні відмінності в дося</w:t>
      </w:r>
      <w:r>
        <w:rPr>
          <w:color w:val="000000"/>
          <w:lang w:val="uk-UA"/>
        </w:rPr>
        <w:t>г</w:t>
      </w:r>
      <w:r>
        <w:rPr>
          <w:color w:val="000000"/>
          <w:lang w:val="uk-UA"/>
        </w:rPr>
        <w:t>нутих ефектах ЯЖ і по окремих його показниках</w:t>
      </w:r>
    </w:p>
    <w:p w:rsidR="00FC6DD7" w:rsidRDefault="00FC6DD7" w:rsidP="00FC6DD7">
      <w:pPr>
        <w:pStyle w:val="afffffffb"/>
        <w:autoSpaceDE w:val="0"/>
        <w:autoSpaceDN w:val="0"/>
        <w:rPr>
          <w:color w:val="000000"/>
          <w:lang w:val="uk-UA"/>
        </w:rPr>
      </w:pPr>
      <w:r>
        <w:rPr>
          <w:color w:val="000000"/>
          <w:lang w:val="uk-UA"/>
        </w:rPr>
        <w:t>Істотно, що через 1 рік після лікування загострень ХОЗЛ в ПЛРЦ хворі звичайно відзначали значне зменшення ролі фізичних проблем і збільшення своєї фізичної активності. Це призводило до видимого поліпшення суб'єктивн</w:t>
      </w:r>
      <w:r>
        <w:rPr>
          <w:color w:val="000000"/>
          <w:lang w:val="uk-UA"/>
        </w:rPr>
        <w:t>о</w:t>
      </w:r>
      <w:r>
        <w:rPr>
          <w:color w:val="000000"/>
          <w:lang w:val="uk-UA"/>
        </w:rPr>
        <w:t>го сприйняття хворими загального стану свого здоров'я. Окрім цього нами встановлено, що  вживання  системного преднізолону для лікування загострень ХОЗЛ не покращує психічного здоров'я хворих при деякому поліпшенні їх ф</w:t>
      </w:r>
      <w:r>
        <w:rPr>
          <w:color w:val="000000"/>
          <w:lang w:val="uk-UA"/>
        </w:rPr>
        <w:t>і</w:t>
      </w:r>
      <w:r>
        <w:rPr>
          <w:color w:val="000000"/>
          <w:lang w:val="uk-UA"/>
        </w:rPr>
        <w:t xml:space="preserve">зичного стану. </w:t>
      </w:r>
    </w:p>
    <w:p w:rsidR="00FC6DD7" w:rsidRDefault="00FC6DD7" w:rsidP="00FC6DD7">
      <w:pPr>
        <w:pStyle w:val="afffffffb"/>
        <w:autoSpaceDE w:val="0"/>
        <w:autoSpaceDN w:val="0"/>
        <w:rPr>
          <w:color w:val="000000"/>
          <w:lang w:val="uk-UA"/>
        </w:rPr>
      </w:pPr>
      <w:r>
        <w:rPr>
          <w:color w:val="000000"/>
          <w:lang w:val="uk-UA"/>
        </w:rPr>
        <w:t>Використання небулізованих ГКС для лікування загострень ХОЗЛ пр</w:t>
      </w:r>
      <w:r>
        <w:rPr>
          <w:color w:val="000000"/>
          <w:lang w:val="uk-UA"/>
        </w:rPr>
        <w:t>и</w:t>
      </w:r>
      <w:r>
        <w:rPr>
          <w:color w:val="000000"/>
          <w:lang w:val="uk-UA"/>
        </w:rPr>
        <w:t xml:space="preserve">зводить до більш вираженого поліпшення ЯЖ хворих порівняно з </w:t>
      </w:r>
      <w:r>
        <w:rPr>
          <w:color w:val="000000"/>
          <w:lang w:val="uk-UA"/>
        </w:rPr>
        <w:lastRenderedPageBreak/>
        <w:t>лікуванням загострень системним преднізолоном, що характеризувалося зростанням їх ф</w:t>
      </w:r>
      <w:r>
        <w:rPr>
          <w:color w:val="000000"/>
          <w:lang w:val="uk-UA"/>
        </w:rPr>
        <w:t>і</w:t>
      </w:r>
      <w:r>
        <w:rPr>
          <w:color w:val="000000"/>
          <w:lang w:val="uk-UA"/>
        </w:rPr>
        <w:t>зичної активності в 4,8 рази, зменшенням ролі фізичних проблем в 4,4 рази, зменшенням значення болю в 13,0 раз, підвищенням їх життєздатності  в 2,2 р</w:t>
      </w:r>
      <w:r>
        <w:rPr>
          <w:color w:val="000000"/>
          <w:lang w:val="uk-UA"/>
        </w:rPr>
        <w:t>а</w:t>
      </w:r>
      <w:r>
        <w:rPr>
          <w:color w:val="000000"/>
          <w:lang w:val="uk-UA"/>
        </w:rPr>
        <w:t>зи і соціальної активності в 1,9 рази, зменшенням ролі психічно-емоційних проблем в 6,3 рази, поліпшенням психічного здоров'я в 4,4 рази і поліпшенням суб'єктивного сприйняття хворими загального стану свого здоров'я в 4,3 рази. В цілому вживання небулізованих ГКС для лікування загострень ХОЗЛ підв</w:t>
      </w:r>
      <w:r>
        <w:rPr>
          <w:color w:val="000000"/>
          <w:lang w:val="uk-UA"/>
        </w:rPr>
        <w:t>и</w:t>
      </w:r>
      <w:r>
        <w:rPr>
          <w:color w:val="000000"/>
          <w:lang w:val="uk-UA"/>
        </w:rPr>
        <w:t>щує ЯЖ хворих в 4,0 рази більше порівняно з хворими, що приймали системний предн</w:t>
      </w:r>
      <w:r>
        <w:rPr>
          <w:color w:val="000000"/>
          <w:lang w:val="uk-UA"/>
        </w:rPr>
        <w:t>і</w:t>
      </w:r>
      <w:r>
        <w:rPr>
          <w:color w:val="000000"/>
          <w:lang w:val="uk-UA"/>
        </w:rPr>
        <w:t>золон (табл. 1).</w:t>
      </w:r>
    </w:p>
    <w:p w:rsidR="00FC6DD7" w:rsidRDefault="00FC6DD7" w:rsidP="00FC6DD7">
      <w:pPr>
        <w:pStyle w:val="afffffffb"/>
        <w:autoSpaceDE w:val="0"/>
        <w:autoSpaceDN w:val="0"/>
        <w:rPr>
          <w:bCs/>
          <w:i/>
          <w:color w:val="000000"/>
          <w:spacing w:val="20"/>
          <w:lang w:val="uk-UA"/>
        </w:rPr>
      </w:pPr>
    </w:p>
    <w:p w:rsidR="00FC6DD7" w:rsidRDefault="00FC6DD7" w:rsidP="00FC6DD7">
      <w:pPr>
        <w:pStyle w:val="afffffffb"/>
        <w:autoSpaceDE w:val="0"/>
        <w:autoSpaceDN w:val="0"/>
        <w:rPr>
          <w:bCs/>
          <w:i/>
          <w:color w:val="000000"/>
          <w:spacing w:val="20"/>
          <w:lang w:val="uk-UA"/>
        </w:rPr>
      </w:pPr>
    </w:p>
    <w:p w:rsidR="00FC6DD7" w:rsidRDefault="00FC6DD7" w:rsidP="00FC6DD7">
      <w:pPr>
        <w:pStyle w:val="afffffffb"/>
        <w:autoSpaceDE w:val="0"/>
        <w:autoSpaceDN w:val="0"/>
        <w:jc w:val="right"/>
        <w:rPr>
          <w:color w:val="000000"/>
          <w:lang w:val="uk-UA"/>
        </w:rPr>
      </w:pPr>
      <w:r>
        <w:rPr>
          <w:color w:val="000000"/>
          <w:lang w:val="uk-UA"/>
        </w:rPr>
        <w:t>Таблиця 1</w:t>
      </w:r>
    </w:p>
    <w:p w:rsidR="00FC6DD7" w:rsidRDefault="00FC6DD7" w:rsidP="00FC6DD7">
      <w:pPr>
        <w:pStyle w:val="2fb"/>
        <w:rPr>
          <w:color w:val="000000"/>
          <w:lang w:val="uk-UA"/>
        </w:rPr>
      </w:pPr>
      <w:r>
        <w:rPr>
          <w:color w:val="000000"/>
          <w:lang w:val="uk-UA"/>
        </w:rPr>
        <w:t>Досягнуті зсуви (у %) показників ЯЖ хворих на ХОЗЛ залежно від особливо</w:t>
      </w:r>
      <w:r>
        <w:rPr>
          <w:color w:val="000000"/>
          <w:lang w:val="uk-UA"/>
        </w:rPr>
        <w:t>с</w:t>
      </w:r>
      <w:r>
        <w:rPr>
          <w:color w:val="000000"/>
          <w:lang w:val="uk-UA"/>
        </w:rPr>
        <w:t>тей лікування загострення в ПЛРЦ (М±m)</w:t>
      </w:r>
    </w:p>
    <w:tbl>
      <w:tblPr>
        <w:tblW w:w="5000" w:type="pct"/>
        <w:tblLook w:val="0000" w:firstRow="0" w:lastRow="0" w:firstColumn="0" w:lastColumn="0" w:noHBand="0" w:noVBand="0"/>
      </w:tblPr>
      <w:tblGrid>
        <w:gridCol w:w="1958"/>
        <w:gridCol w:w="2466"/>
        <w:gridCol w:w="2254"/>
        <w:gridCol w:w="2667"/>
      </w:tblGrid>
      <w:tr w:rsidR="00FC6DD7" w:rsidTr="00F019BB">
        <w:tc>
          <w:tcPr>
            <w:tcW w:w="1047" w:type="pct"/>
            <w:tcBorders>
              <w:top w:val="single" w:sz="4" w:space="0" w:color="auto"/>
              <w:left w:val="single" w:sz="4" w:space="0" w:color="auto"/>
              <w:bottom w:val="single" w:sz="4" w:space="0" w:color="auto"/>
              <w:right w:val="single" w:sz="4" w:space="0" w:color="auto"/>
            </w:tcBorders>
            <w:tcMar>
              <w:left w:w="28" w:type="dxa"/>
              <w:right w:w="28" w:type="dxa"/>
            </w:tcMar>
          </w:tcPr>
          <w:p w:rsidR="00FC6DD7" w:rsidRDefault="00FC6DD7" w:rsidP="00F019BB">
            <w:pPr>
              <w:pStyle w:val="afffffffb"/>
              <w:ind w:firstLine="0"/>
              <w:jc w:val="center"/>
              <w:rPr>
                <w:color w:val="000000"/>
                <w:lang w:val="uk-UA" w:eastAsia="uk-UA"/>
              </w:rPr>
            </w:pPr>
            <w:r>
              <w:rPr>
                <w:color w:val="000000"/>
                <w:lang w:val="uk-UA" w:eastAsia="uk-UA"/>
              </w:rPr>
              <w:t>Параметри ЯЖ</w:t>
            </w:r>
          </w:p>
        </w:tc>
        <w:tc>
          <w:tcPr>
            <w:tcW w:w="1319" w:type="pct"/>
            <w:tcBorders>
              <w:top w:val="single" w:sz="4" w:space="0" w:color="auto"/>
              <w:left w:val="single" w:sz="4" w:space="0" w:color="auto"/>
              <w:bottom w:val="single" w:sz="4" w:space="0" w:color="auto"/>
              <w:right w:val="single" w:sz="4" w:space="0" w:color="auto"/>
            </w:tcBorders>
            <w:tcMar>
              <w:left w:w="28" w:type="dxa"/>
              <w:right w:w="28" w:type="dxa"/>
            </w:tcMar>
          </w:tcPr>
          <w:p w:rsidR="00FC6DD7" w:rsidRDefault="00FC6DD7" w:rsidP="00F019BB">
            <w:pPr>
              <w:pStyle w:val="afffffffb"/>
              <w:ind w:firstLine="0"/>
              <w:jc w:val="center"/>
              <w:rPr>
                <w:color w:val="000000"/>
                <w:lang w:val="uk-UA" w:eastAsia="uk-UA"/>
              </w:rPr>
            </w:pPr>
            <w:r>
              <w:rPr>
                <w:color w:val="000000"/>
                <w:lang w:val="uk-UA" w:eastAsia="uk-UA"/>
              </w:rPr>
              <w:t xml:space="preserve"> Лікування систе</w:t>
            </w:r>
            <w:r>
              <w:rPr>
                <w:color w:val="000000"/>
                <w:lang w:val="uk-UA" w:eastAsia="uk-UA"/>
              </w:rPr>
              <w:t>м</w:t>
            </w:r>
            <w:r>
              <w:rPr>
                <w:color w:val="000000"/>
                <w:lang w:val="uk-UA" w:eastAsia="uk-UA"/>
              </w:rPr>
              <w:t>ним преднізолоном  (група 1, n=28)</w:t>
            </w:r>
          </w:p>
        </w:tc>
        <w:tc>
          <w:tcPr>
            <w:tcW w:w="1206" w:type="pct"/>
            <w:tcBorders>
              <w:top w:val="single" w:sz="4" w:space="0" w:color="auto"/>
              <w:left w:val="single" w:sz="4" w:space="0" w:color="auto"/>
              <w:bottom w:val="single" w:sz="4" w:space="0" w:color="auto"/>
              <w:right w:val="single" w:sz="4" w:space="0" w:color="auto"/>
            </w:tcBorders>
            <w:tcMar>
              <w:left w:w="28" w:type="dxa"/>
              <w:right w:w="28" w:type="dxa"/>
            </w:tcMar>
          </w:tcPr>
          <w:p w:rsidR="00FC6DD7" w:rsidRDefault="00FC6DD7" w:rsidP="00F019BB">
            <w:pPr>
              <w:pStyle w:val="afffffffb"/>
              <w:suppressAutoHyphens/>
              <w:ind w:firstLine="0"/>
              <w:jc w:val="center"/>
              <w:rPr>
                <w:color w:val="000000"/>
                <w:lang w:val="uk-UA" w:eastAsia="uk-UA"/>
              </w:rPr>
            </w:pPr>
            <w:r>
              <w:rPr>
                <w:color w:val="000000"/>
                <w:lang w:val="uk-UA" w:eastAsia="uk-UA"/>
              </w:rPr>
              <w:t xml:space="preserve"> Лікування </w:t>
            </w:r>
          </w:p>
          <w:p w:rsidR="00FC6DD7" w:rsidRDefault="00FC6DD7" w:rsidP="00F019BB">
            <w:pPr>
              <w:pStyle w:val="afffffffb"/>
              <w:ind w:firstLine="0"/>
              <w:jc w:val="center"/>
              <w:rPr>
                <w:color w:val="000000"/>
                <w:lang w:val="uk-UA" w:eastAsia="uk-UA"/>
              </w:rPr>
            </w:pPr>
            <w:r>
              <w:rPr>
                <w:color w:val="000000"/>
                <w:lang w:eastAsia="uk-UA"/>
              </w:rPr>
              <w:t>небул</w:t>
            </w:r>
            <w:r>
              <w:rPr>
                <w:color w:val="000000"/>
                <w:lang w:val="uk-UA" w:eastAsia="uk-UA"/>
              </w:rPr>
              <w:t>і</w:t>
            </w:r>
            <w:r>
              <w:rPr>
                <w:color w:val="000000"/>
                <w:lang w:eastAsia="uk-UA"/>
              </w:rPr>
              <w:t>зован</w:t>
            </w:r>
            <w:r>
              <w:rPr>
                <w:color w:val="000000"/>
                <w:lang w:val="uk-UA" w:eastAsia="uk-UA"/>
              </w:rPr>
              <w:t>и</w:t>
            </w:r>
            <w:r>
              <w:rPr>
                <w:color w:val="000000"/>
                <w:lang w:eastAsia="uk-UA"/>
              </w:rPr>
              <w:t>м</w:t>
            </w:r>
            <w:r>
              <w:rPr>
                <w:color w:val="000000"/>
                <w:lang w:val="uk-UA" w:eastAsia="uk-UA"/>
              </w:rPr>
              <w:t>и ГКС (група 2 + група 3, n=59)</w:t>
            </w:r>
          </w:p>
        </w:tc>
        <w:tc>
          <w:tcPr>
            <w:tcW w:w="1427" w:type="pct"/>
            <w:tcBorders>
              <w:top w:val="single" w:sz="4" w:space="0" w:color="auto"/>
              <w:left w:val="single" w:sz="4" w:space="0" w:color="auto"/>
              <w:bottom w:val="single" w:sz="4" w:space="0" w:color="auto"/>
              <w:right w:val="single" w:sz="4" w:space="0" w:color="auto"/>
            </w:tcBorders>
            <w:tcMar>
              <w:left w:w="28" w:type="dxa"/>
              <w:right w:w="28" w:type="dxa"/>
            </w:tcMar>
          </w:tcPr>
          <w:p w:rsidR="00FC6DD7" w:rsidRDefault="00FC6DD7" w:rsidP="00F019BB">
            <w:pPr>
              <w:pStyle w:val="afffffffb"/>
              <w:ind w:firstLine="0"/>
              <w:jc w:val="center"/>
              <w:rPr>
                <w:color w:val="000000"/>
                <w:lang w:val="uk-UA" w:eastAsia="uk-UA"/>
              </w:rPr>
            </w:pPr>
            <w:r>
              <w:rPr>
                <w:color w:val="000000"/>
                <w:lang w:val="uk-UA" w:eastAsia="uk-UA"/>
              </w:rPr>
              <w:t>Кратність поліпше</w:t>
            </w:r>
            <w:r>
              <w:rPr>
                <w:color w:val="000000"/>
                <w:lang w:val="uk-UA" w:eastAsia="uk-UA"/>
              </w:rPr>
              <w:t>н</w:t>
            </w:r>
            <w:r>
              <w:rPr>
                <w:color w:val="000000"/>
                <w:lang w:val="uk-UA" w:eastAsia="uk-UA"/>
              </w:rPr>
              <w:t xml:space="preserve">ня (рази) ЯЖ хворих при лікуванні </w:t>
            </w:r>
            <w:r>
              <w:rPr>
                <w:color w:val="000000"/>
                <w:lang w:eastAsia="uk-UA"/>
              </w:rPr>
              <w:t>небул</w:t>
            </w:r>
            <w:r>
              <w:rPr>
                <w:color w:val="000000"/>
                <w:lang w:val="uk-UA" w:eastAsia="uk-UA"/>
              </w:rPr>
              <w:t>і</w:t>
            </w:r>
            <w:r>
              <w:rPr>
                <w:color w:val="000000"/>
                <w:lang w:eastAsia="uk-UA"/>
              </w:rPr>
              <w:t>зов</w:t>
            </w:r>
            <w:r>
              <w:rPr>
                <w:color w:val="000000"/>
                <w:lang w:eastAsia="uk-UA"/>
              </w:rPr>
              <w:t>а</w:t>
            </w:r>
            <w:r>
              <w:rPr>
                <w:color w:val="000000"/>
                <w:lang w:eastAsia="uk-UA"/>
              </w:rPr>
              <w:t>н</w:t>
            </w:r>
            <w:r>
              <w:rPr>
                <w:color w:val="000000"/>
                <w:lang w:val="uk-UA" w:eastAsia="uk-UA"/>
              </w:rPr>
              <w:t>и</w:t>
            </w:r>
            <w:r>
              <w:rPr>
                <w:color w:val="000000"/>
                <w:lang w:eastAsia="uk-UA"/>
              </w:rPr>
              <w:t>ми</w:t>
            </w:r>
            <w:r>
              <w:rPr>
                <w:color w:val="000000"/>
                <w:lang w:val="uk-UA" w:eastAsia="uk-UA"/>
              </w:rPr>
              <w:t xml:space="preserve"> ГКС порівн</w:t>
            </w:r>
            <w:r>
              <w:rPr>
                <w:color w:val="000000"/>
                <w:lang w:val="uk-UA" w:eastAsia="uk-UA"/>
              </w:rPr>
              <w:t>я</w:t>
            </w:r>
            <w:r>
              <w:rPr>
                <w:color w:val="000000"/>
                <w:lang w:val="uk-UA" w:eastAsia="uk-UA"/>
              </w:rPr>
              <w:t>но з системним предніз</w:t>
            </w:r>
            <w:r>
              <w:rPr>
                <w:color w:val="000000"/>
                <w:lang w:val="uk-UA" w:eastAsia="uk-UA"/>
              </w:rPr>
              <w:t>о</w:t>
            </w:r>
            <w:r>
              <w:rPr>
                <w:color w:val="000000"/>
                <w:lang w:val="uk-UA" w:eastAsia="uk-UA"/>
              </w:rPr>
              <w:t>лоном</w:t>
            </w:r>
          </w:p>
        </w:tc>
      </w:tr>
      <w:tr w:rsidR="00FC6DD7" w:rsidTr="00F019BB">
        <w:tc>
          <w:tcPr>
            <w:tcW w:w="1047" w:type="pct"/>
            <w:tcBorders>
              <w:top w:val="single" w:sz="4" w:space="0" w:color="auto"/>
              <w:left w:val="single" w:sz="4" w:space="0" w:color="auto"/>
              <w:bottom w:val="dotted" w:sz="4" w:space="0" w:color="auto"/>
              <w:right w:val="single" w:sz="4" w:space="0" w:color="auto"/>
            </w:tcBorders>
            <w:tcMar>
              <w:left w:w="28" w:type="dxa"/>
              <w:right w:w="28" w:type="dxa"/>
            </w:tcMar>
          </w:tcPr>
          <w:p w:rsidR="00FC6DD7" w:rsidRDefault="00FC6DD7" w:rsidP="00F019BB">
            <w:pPr>
              <w:pStyle w:val="afffffffb"/>
              <w:ind w:left="113" w:firstLine="0"/>
              <w:rPr>
                <w:color w:val="000000"/>
                <w:lang w:val="uk-UA" w:eastAsia="uk-UA"/>
              </w:rPr>
            </w:pPr>
            <w:r>
              <w:rPr>
                <w:color w:val="000000"/>
                <w:lang w:val="uk-UA" w:eastAsia="uk-UA"/>
              </w:rPr>
              <w:t>ФА</w:t>
            </w:r>
          </w:p>
        </w:tc>
        <w:tc>
          <w:tcPr>
            <w:tcW w:w="1319" w:type="pct"/>
            <w:tcBorders>
              <w:top w:val="single" w:sz="4" w:space="0" w:color="auto"/>
              <w:left w:val="single"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13,78±2,66</w:t>
            </w:r>
          </w:p>
        </w:tc>
        <w:tc>
          <w:tcPr>
            <w:tcW w:w="1206" w:type="pct"/>
            <w:tcBorders>
              <w:top w:val="single" w:sz="4" w:space="0" w:color="auto"/>
              <w:left w:val="dotted"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65,78±1,77</w:t>
            </w:r>
          </w:p>
        </w:tc>
        <w:tc>
          <w:tcPr>
            <w:tcW w:w="1427" w:type="pct"/>
            <w:tcBorders>
              <w:top w:val="single" w:sz="4" w:space="0" w:color="auto"/>
              <w:left w:val="dotted" w:sz="4" w:space="0" w:color="auto"/>
              <w:bottom w:val="dotted" w:sz="4" w:space="0" w:color="auto"/>
              <w:right w:val="single" w:sz="4" w:space="0" w:color="auto"/>
            </w:tcBorders>
            <w:tcMar>
              <w:left w:w="28" w:type="dxa"/>
              <w:right w:w="28" w:type="dxa"/>
            </w:tcMar>
            <w:vAlign w:val="bottom"/>
          </w:tcPr>
          <w:p w:rsidR="00FC6DD7" w:rsidRDefault="00FC6DD7" w:rsidP="00F019BB">
            <w:pPr>
              <w:jc w:val="center"/>
              <w:rPr>
                <w:color w:val="000000"/>
                <w:lang w:val="uk-UA"/>
              </w:rPr>
            </w:pPr>
            <w:r>
              <w:rPr>
                <w:color w:val="000000"/>
                <w:lang w:val="uk-UA"/>
              </w:rPr>
              <w:t>4,77</w:t>
            </w:r>
          </w:p>
        </w:tc>
      </w:tr>
      <w:tr w:rsidR="00FC6DD7" w:rsidTr="00F019BB">
        <w:tc>
          <w:tcPr>
            <w:tcW w:w="1047" w:type="pct"/>
            <w:tcBorders>
              <w:top w:val="dotted" w:sz="4" w:space="0" w:color="auto"/>
              <w:left w:val="single" w:sz="4" w:space="0" w:color="auto"/>
              <w:bottom w:val="dotted" w:sz="4" w:space="0" w:color="auto"/>
              <w:right w:val="single" w:sz="4" w:space="0" w:color="auto"/>
            </w:tcBorders>
            <w:tcMar>
              <w:left w:w="28" w:type="dxa"/>
              <w:right w:w="28" w:type="dxa"/>
            </w:tcMar>
          </w:tcPr>
          <w:p w:rsidR="00FC6DD7" w:rsidRDefault="00FC6DD7" w:rsidP="00F019BB">
            <w:pPr>
              <w:pStyle w:val="afffffffb"/>
              <w:ind w:left="113" w:firstLine="0"/>
              <w:rPr>
                <w:color w:val="000000"/>
                <w:lang w:val="uk-UA" w:eastAsia="uk-UA"/>
              </w:rPr>
            </w:pPr>
            <w:r>
              <w:rPr>
                <w:color w:val="000000"/>
                <w:lang w:val="uk-UA" w:eastAsia="uk-UA"/>
              </w:rPr>
              <w:t>РФ</w:t>
            </w:r>
          </w:p>
        </w:tc>
        <w:tc>
          <w:tcPr>
            <w:tcW w:w="1319" w:type="pct"/>
            <w:tcBorders>
              <w:top w:val="dotted" w:sz="4" w:space="0" w:color="auto"/>
              <w:left w:val="single"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20,45±2,53</w:t>
            </w:r>
          </w:p>
        </w:tc>
        <w:tc>
          <w:tcPr>
            <w:tcW w:w="1206" w:type="pct"/>
            <w:tcBorders>
              <w:top w:val="dotted" w:sz="4" w:space="0" w:color="auto"/>
              <w:left w:val="dotted"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90,62±1,92</w:t>
            </w:r>
          </w:p>
        </w:tc>
        <w:tc>
          <w:tcPr>
            <w:tcW w:w="1427" w:type="pct"/>
            <w:tcBorders>
              <w:top w:val="dotted" w:sz="4" w:space="0" w:color="auto"/>
              <w:left w:val="dotted" w:sz="4" w:space="0" w:color="auto"/>
              <w:bottom w:val="dotted" w:sz="4" w:space="0" w:color="auto"/>
              <w:right w:val="single" w:sz="4" w:space="0" w:color="auto"/>
            </w:tcBorders>
            <w:tcMar>
              <w:left w:w="28" w:type="dxa"/>
              <w:right w:w="28" w:type="dxa"/>
            </w:tcMar>
            <w:vAlign w:val="bottom"/>
          </w:tcPr>
          <w:p w:rsidR="00FC6DD7" w:rsidRDefault="00FC6DD7" w:rsidP="00F019BB">
            <w:pPr>
              <w:jc w:val="center"/>
              <w:rPr>
                <w:color w:val="000000"/>
                <w:lang w:val="uk-UA"/>
              </w:rPr>
            </w:pPr>
            <w:r>
              <w:rPr>
                <w:color w:val="000000"/>
                <w:lang w:val="uk-UA"/>
              </w:rPr>
              <w:t>4,43</w:t>
            </w:r>
          </w:p>
        </w:tc>
      </w:tr>
      <w:tr w:rsidR="00FC6DD7" w:rsidTr="00F019BB">
        <w:tc>
          <w:tcPr>
            <w:tcW w:w="1047" w:type="pct"/>
            <w:tcBorders>
              <w:top w:val="dotted" w:sz="4" w:space="0" w:color="auto"/>
              <w:left w:val="single" w:sz="4" w:space="0" w:color="auto"/>
              <w:bottom w:val="dotted" w:sz="4" w:space="0" w:color="auto"/>
              <w:right w:val="single" w:sz="4" w:space="0" w:color="auto"/>
            </w:tcBorders>
            <w:tcMar>
              <w:left w:w="28" w:type="dxa"/>
              <w:right w:w="28" w:type="dxa"/>
            </w:tcMar>
          </w:tcPr>
          <w:p w:rsidR="00FC6DD7" w:rsidRDefault="00FC6DD7" w:rsidP="00F019BB">
            <w:pPr>
              <w:ind w:left="113"/>
              <w:rPr>
                <w:color w:val="000000"/>
                <w:lang w:val="uk-UA" w:eastAsia="uk-UA"/>
              </w:rPr>
            </w:pPr>
            <w:r>
              <w:rPr>
                <w:color w:val="000000"/>
                <w:lang w:val="uk-UA" w:eastAsia="uk-UA"/>
              </w:rPr>
              <w:t>Біль</w:t>
            </w:r>
          </w:p>
        </w:tc>
        <w:tc>
          <w:tcPr>
            <w:tcW w:w="1319" w:type="pct"/>
            <w:tcBorders>
              <w:top w:val="dotted" w:sz="4" w:space="0" w:color="auto"/>
              <w:left w:val="single"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1,14±2,15</w:t>
            </w:r>
          </w:p>
        </w:tc>
        <w:tc>
          <w:tcPr>
            <w:tcW w:w="1206" w:type="pct"/>
            <w:tcBorders>
              <w:top w:val="dotted" w:sz="4" w:space="0" w:color="auto"/>
              <w:left w:val="dotted"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14,73±1,65</w:t>
            </w:r>
          </w:p>
        </w:tc>
        <w:tc>
          <w:tcPr>
            <w:tcW w:w="1427" w:type="pct"/>
            <w:tcBorders>
              <w:top w:val="dotted" w:sz="4" w:space="0" w:color="auto"/>
              <w:left w:val="dotted" w:sz="4" w:space="0" w:color="auto"/>
              <w:bottom w:val="dotted" w:sz="4" w:space="0" w:color="auto"/>
              <w:right w:val="single" w:sz="4" w:space="0" w:color="auto"/>
            </w:tcBorders>
            <w:tcMar>
              <w:left w:w="28" w:type="dxa"/>
              <w:right w:w="28" w:type="dxa"/>
            </w:tcMar>
            <w:vAlign w:val="bottom"/>
          </w:tcPr>
          <w:p w:rsidR="00FC6DD7" w:rsidRDefault="00FC6DD7" w:rsidP="00F019BB">
            <w:pPr>
              <w:jc w:val="center"/>
              <w:rPr>
                <w:color w:val="000000"/>
                <w:lang w:val="uk-UA"/>
              </w:rPr>
            </w:pPr>
            <w:r>
              <w:rPr>
                <w:color w:val="000000"/>
                <w:lang w:val="uk-UA"/>
              </w:rPr>
              <w:t>13,00</w:t>
            </w:r>
          </w:p>
        </w:tc>
      </w:tr>
      <w:tr w:rsidR="00FC6DD7" w:rsidTr="00F019BB">
        <w:tc>
          <w:tcPr>
            <w:tcW w:w="1047" w:type="pct"/>
            <w:tcBorders>
              <w:top w:val="dotted" w:sz="4" w:space="0" w:color="auto"/>
              <w:left w:val="single" w:sz="4" w:space="0" w:color="auto"/>
              <w:bottom w:val="dotted" w:sz="4" w:space="0" w:color="auto"/>
              <w:right w:val="single" w:sz="4" w:space="0" w:color="auto"/>
            </w:tcBorders>
            <w:tcMar>
              <w:left w:w="28" w:type="dxa"/>
              <w:right w:w="28" w:type="dxa"/>
            </w:tcMar>
          </w:tcPr>
          <w:p w:rsidR="00FC6DD7" w:rsidRDefault="00FC6DD7" w:rsidP="00F019BB">
            <w:pPr>
              <w:ind w:left="113"/>
              <w:rPr>
                <w:color w:val="000000"/>
                <w:lang w:val="uk-UA" w:eastAsia="uk-UA"/>
              </w:rPr>
            </w:pPr>
            <w:r>
              <w:rPr>
                <w:color w:val="000000"/>
                <w:lang w:val="uk-UA" w:eastAsia="uk-UA"/>
              </w:rPr>
              <w:t>ЖЗ</w:t>
            </w:r>
          </w:p>
        </w:tc>
        <w:tc>
          <w:tcPr>
            <w:tcW w:w="1319" w:type="pct"/>
            <w:tcBorders>
              <w:top w:val="dotted" w:sz="4" w:space="0" w:color="auto"/>
              <w:left w:val="single"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15,58±2,18</w:t>
            </w:r>
          </w:p>
        </w:tc>
        <w:tc>
          <w:tcPr>
            <w:tcW w:w="1206" w:type="pct"/>
            <w:tcBorders>
              <w:top w:val="dotted" w:sz="4" w:space="0" w:color="auto"/>
              <w:left w:val="dotted"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34,1±1,86</w:t>
            </w:r>
          </w:p>
        </w:tc>
        <w:tc>
          <w:tcPr>
            <w:tcW w:w="1427" w:type="pct"/>
            <w:tcBorders>
              <w:top w:val="dotted" w:sz="4" w:space="0" w:color="auto"/>
              <w:left w:val="dotted" w:sz="4" w:space="0" w:color="auto"/>
              <w:bottom w:val="dotted" w:sz="4" w:space="0" w:color="auto"/>
              <w:right w:val="single" w:sz="4" w:space="0" w:color="auto"/>
            </w:tcBorders>
            <w:tcMar>
              <w:left w:w="28" w:type="dxa"/>
              <w:right w:w="28" w:type="dxa"/>
            </w:tcMar>
            <w:vAlign w:val="bottom"/>
          </w:tcPr>
          <w:p w:rsidR="00FC6DD7" w:rsidRDefault="00FC6DD7" w:rsidP="00F019BB">
            <w:pPr>
              <w:jc w:val="center"/>
              <w:rPr>
                <w:color w:val="000000"/>
                <w:lang w:val="uk-UA"/>
              </w:rPr>
            </w:pPr>
            <w:r>
              <w:rPr>
                <w:color w:val="000000"/>
                <w:lang w:val="uk-UA"/>
              </w:rPr>
              <w:t>2,19</w:t>
            </w:r>
          </w:p>
        </w:tc>
      </w:tr>
      <w:tr w:rsidR="00FC6DD7" w:rsidTr="00F019BB">
        <w:tc>
          <w:tcPr>
            <w:tcW w:w="1047" w:type="pct"/>
            <w:tcBorders>
              <w:top w:val="dotted" w:sz="4" w:space="0" w:color="auto"/>
              <w:left w:val="single" w:sz="4" w:space="0" w:color="auto"/>
              <w:bottom w:val="dotted" w:sz="4" w:space="0" w:color="auto"/>
              <w:right w:val="single" w:sz="4" w:space="0" w:color="auto"/>
            </w:tcBorders>
            <w:tcMar>
              <w:left w:w="28" w:type="dxa"/>
              <w:right w:w="28" w:type="dxa"/>
            </w:tcMar>
          </w:tcPr>
          <w:p w:rsidR="00FC6DD7" w:rsidRDefault="00FC6DD7" w:rsidP="00F019BB">
            <w:pPr>
              <w:ind w:left="113"/>
              <w:rPr>
                <w:color w:val="000000"/>
                <w:lang w:val="uk-UA" w:eastAsia="uk-UA"/>
              </w:rPr>
            </w:pPr>
            <w:r>
              <w:rPr>
                <w:color w:val="000000"/>
                <w:lang w:val="uk-UA" w:eastAsia="uk-UA"/>
              </w:rPr>
              <w:t>СА</w:t>
            </w:r>
          </w:p>
        </w:tc>
        <w:tc>
          <w:tcPr>
            <w:tcW w:w="1319" w:type="pct"/>
            <w:tcBorders>
              <w:top w:val="dotted" w:sz="4" w:space="0" w:color="auto"/>
              <w:left w:val="single"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10,15±2,46</w:t>
            </w:r>
          </w:p>
        </w:tc>
        <w:tc>
          <w:tcPr>
            <w:tcW w:w="1206" w:type="pct"/>
            <w:tcBorders>
              <w:top w:val="dotted" w:sz="4" w:space="0" w:color="auto"/>
              <w:left w:val="dotted"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19,03±2,05</w:t>
            </w:r>
          </w:p>
        </w:tc>
        <w:tc>
          <w:tcPr>
            <w:tcW w:w="1427" w:type="pct"/>
            <w:tcBorders>
              <w:top w:val="dotted" w:sz="4" w:space="0" w:color="auto"/>
              <w:left w:val="dotted" w:sz="4" w:space="0" w:color="auto"/>
              <w:bottom w:val="dotted" w:sz="4" w:space="0" w:color="auto"/>
              <w:right w:val="single" w:sz="4" w:space="0" w:color="auto"/>
            </w:tcBorders>
            <w:tcMar>
              <w:left w:w="28" w:type="dxa"/>
              <w:right w:w="28" w:type="dxa"/>
            </w:tcMar>
            <w:vAlign w:val="bottom"/>
          </w:tcPr>
          <w:p w:rsidR="00FC6DD7" w:rsidRDefault="00FC6DD7" w:rsidP="00F019BB">
            <w:pPr>
              <w:jc w:val="center"/>
              <w:rPr>
                <w:color w:val="000000"/>
                <w:lang w:val="uk-UA"/>
              </w:rPr>
            </w:pPr>
            <w:r>
              <w:rPr>
                <w:color w:val="000000"/>
                <w:lang w:val="uk-UA"/>
              </w:rPr>
              <w:t>1,87</w:t>
            </w:r>
          </w:p>
        </w:tc>
      </w:tr>
      <w:tr w:rsidR="00FC6DD7" w:rsidTr="00F019BB">
        <w:tc>
          <w:tcPr>
            <w:tcW w:w="1047" w:type="pct"/>
            <w:tcBorders>
              <w:top w:val="dotted" w:sz="4" w:space="0" w:color="auto"/>
              <w:left w:val="single" w:sz="4" w:space="0" w:color="auto"/>
              <w:bottom w:val="dotted" w:sz="4" w:space="0" w:color="auto"/>
              <w:right w:val="single" w:sz="4" w:space="0" w:color="auto"/>
            </w:tcBorders>
            <w:tcMar>
              <w:left w:w="28" w:type="dxa"/>
              <w:right w:w="28" w:type="dxa"/>
            </w:tcMar>
          </w:tcPr>
          <w:p w:rsidR="00FC6DD7" w:rsidRDefault="00FC6DD7" w:rsidP="00F019BB">
            <w:pPr>
              <w:ind w:left="113"/>
              <w:rPr>
                <w:color w:val="000000"/>
                <w:lang w:val="uk-UA" w:eastAsia="uk-UA"/>
              </w:rPr>
            </w:pPr>
            <w:r>
              <w:rPr>
                <w:color w:val="000000"/>
                <w:lang w:val="uk-UA" w:eastAsia="uk-UA"/>
              </w:rPr>
              <w:t>РЕ</w:t>
            </w:r>
          </w:p>
        </w:tc>
        <w:tc>
          <w:tcPr>
            <w:tcW w:w="1319" w:type="pct"/>
            <w:tcBorders>
              <w:top w:val="dotted" w:sz="4" w:space="0" w:color="auto"/>
              <w:left w:val="single"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8,27±2,61</w:t>
            </w:r>
          </w:p>
        </w:tc>
        <w:tc>
          <w:tcPr>
            <w:tcW w:w="1206" w:type="pct"/>
            <w:tcBorders>
              <w:top w:val="dotted" w:sz="4" w:space="0" w:color="auto"/>
              <w:left w:val="dotted"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51,67±2,14</w:t>
            </w:r>
          </w:p>
        </w:tc>
        <w:tc>
          <w:tcPr>
            <w:tcW w:w="1427" w:type="pct"/>
            <w:tcBorders>
              <w:top w:val="dotted" w:sz="4" w:space="0" w:color="auto"/>
              <w:left w:val="dotted" w:sz="4" w:space="0" w:color="auto"/>
              <w:bottom w:val="dotted" w:sz="4" w:space="0" w:color="auto"/>
              <w:right w:val="single" w:sz="4" w:space="0" w:color="auto"/>
            </w:tcBorders>
            <w:tcMar>
              <w:left w:w="28" w:type="dxa"/>
              <w:right w:w="28" w:type="dxa"/>
            </w:tcMar>
            <w:vAlign w:val="bottom"/>
          </w:tcPr>
          <w:p w:rsidR="00FC6DD7" w:rsidRDefault="00FC6DD7" w:rsidP="00F019BB">
            <w:pPr>
              <w:jc w:val="center"/>
              <w:rPr>
                <w:color w:val="000000"/>
                <w:lang w:val="uk-UA"/>
              </w:rPr>
            </w:pPr>
            <w:r>
              <w:rPr>
                <w:color w:val="000000"/>
                <w:lang w:val="uk-UA"/>
              </w:rPr>
              <w:t>6,25</w:t>
            </w:r>
          </w:p>
        </w:tc>
      </w:tr>
      <w:tr w:rsidR="00FC6DD7" w:rsidTr="00F019BB">
        <w:tc>
          <w:tcPr>
            <w:tcW w:w="1047" w:type="pct"/>
            <w:tcBorders>
              <w:top w:val="dotted" w:sz="4" w:space="0" w:color="auto"/>
              <w:left w:val="single" w:sz="4" w:space="0" w:color="auto"/>
              <w:bottom w:val="dotted" w:sz="4" w:space="0" w:color="auto"/>
              <w:right w:val="single" w:sz="4" w:space="0" w:color="auto"/>
            </w:tcBorders>
            <w:tcMar>
              <w:left w:w="28" w:type="dxa"/>
              <w:right w:w="28" w:type="dxa"/>
            </w:tcMar>
          </w:tcPr>
          <w:p w:rsidR="00FC6DD7" w:rsidRDefault="00FC6DD7" w:rsidP="00F019BB">
            <w:pPr>
              <w:ind w:left="113"/>
              <w:rPr>
                <w:color w:val="000000"/>
                <w:lang w:val="uk-UA" w:eastAsia="uk-UA"/>
              </w:rPr>
            </w:pPr>
            <w:r>
              <w:rPr>
                <w:color w:val="000000"/>
                <w:lang w:val="uk-UA" w:eastAsia="uk-UA"/>
              </w:rPr>
              <w:t>ПЗ</w:t>
            </w:r>
          </w:p>
        </w:tc>
        <w:tc>
          <w:tcPr>
            <w:tcW w:w="1319" w:type="pct"/>
            <w:tcBorders>
              <w:top w:val="dotted" w:sz="4" w:space="0" w:color="auto"/>
              <w:left w:val="single"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3,45±1,88</w:t>
            </w:r>
          </w:p>
        </w:tc>
        <w:tc>
          <w:tcPr>
            <w:tcW w:w="1206" w:type="pct"/>
            <w:tcBorders>
              <w:top w:val="dotted" w:sz="4" w:space="0" w:color="auto"/>
              <w:left w:val="dotted"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15,33±1,55</w:t>
            </w:r>
          </w:p>
        </w:tc>
        <w:tc>
          <w:tcPr>
            <w:tcW w:w="1427" w:type="pct"/>
            <w:tcBorders>
              <w:top w:val="dotted" w:sz="4" w:space="0" w:color="auto"/>
              <w:left w:val="dotted" w:sz="4" w:space="0" w:color="auto"/>
              <w:bottom w:val="dotted" w:sz="4" w:space="0" w:color="auto"/>
              <w:right w:val="single" w:sz="4" w:space="0" w:color="auto"/>
            </w:tcBorders>
            <w:tcMar>
              <w:left w:w="28" w:type="dxa"/>
              <w:right w:w="28" w:type="dxa"/>
            </w:tcMar>
            <w:vAlign w:val="bottom"/>
          </w:tcPr>
          <w:p w:rsidR="00FC6DD7" w:rsidRDefault="00FC6DD7" w:rsidP="00F019BB">
            <w:pPr>
              <w:jc w:val="center"/>
              <w:rPr>
                <w:color w:val="000000"/>
                <w:lang w:val="uk-UA"/>
              </w:rPr>
            </w:pPr>
            <w:r>
              <w:rPr>
                <w:color w:val="000000"/>
                <w:lang w:val="uk-UA"/>
              </w:rPr>
              <w:t>4,44</w:t>
            </w:r>
          </w:p>
        </w:tc>
      </w:tr>
      <w:tr w:rsidR="00FC6DD7" w:rsidTr="00F019BB">
        <w:tc>
          <w:tcPr>
            <w:tcW w:w="1047" w:type="pct"/>
            <w:tcBorders>
              <w:top w:val="dotted" w:sz="4" w:space="0" w:color="auto"/>
              <w:left w:val="single" w:sz="4" w:space="0" w:color="auto"/>
              <w:bottom w:val="dotted" w:sz="4" w:space="0" w:color="auto"/>
              <w:right w:val="single" w:sz="4" w:space="0" w:color="auto"/>
            </w:tcBorders>
            <w:tcMar>
              <w:left w:w="28" w:type="dxa"/>
              <w:right w:w="28" w:type="dxa"/>
            </w:tcMar>
          </w:tcPr>
          <w:p w:rsidR="00FC6DD7" w:rsidRDefault="00FC6DD7" w:rsidP="00F019BB">
            <w:pPr>
              <w:ind w:left="113"/>
              <w:rPr>
                <w:color w:val="000000"/>
                <w:lang w:val="uk-UA" w:eastAsia="uk-UA"/>
              </w:rPr>
            </w:pPr>
            <w:r>
              <w:rPr>
                <w:color w:val="000000"/>
                <w:lang w:val="uk-UA" w:eastAsia="uk-UA"/>
              </w:rPr>
              <w:t>ЗЗ</w:t>
            </w:r>
          </w:p>
        </w:tc>
        <w:tc>
          <w:tcPr>
            <w:tcW w:w="1319" w:type="pct"/>
            <w:tcBorders>
              <w:top w:val="dotted" w:sz="4" w:space="0" w:color="auto"/>
              <w:left w:val="single"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11,88±1,72</w:t>
            </w:r>
          </w:p>
        </w:tc>
        <w:tc>
          <w:tcPr>
            <w:tcW w:w="1206" w:type="pct"/>
            <w:tcBorders>
              <w:top w:val="dotted" w:sz="4" w:space="0" w:color="auto"/>
              <w:left w:val="dotted" w:sz="4" w:space="0" w:color="auto"/>
              <w:bottom w:val="dotted" w:sz="4" w:space="0" w:color="auto"/>
              <w:right w:val="dotted" w:sz="4" w:space="0" w:color="auto"/>
            </w:tcBorders>
            <w:tcMar>
              <w:left w:w="28" w:type="dxa"/>
              <w:right w:w="28" w:type="dxa"/>
            </w:tcMar>
          </w:tcPr>
          <w:p w:rsidR="00FC6DD7" w:rsidRDefault="00FC6DD7" w:rsidP="00F019BB">
            <w:pPr>
              <w:jc w:val="center"/>
              <w:rPr>
                <w:color w:val="000000"/>
                <w:lang w:val="uk-UA"/>
              </w:rPr>
            </w:pPr>
            <w:r>
              <w:rPr>
                <w:color w:val="000000"/>
                <w:lang w:val="uk-UA"/>
              </w:rPr>
              <w:t>50,49±1,64</w:t>
            </w:r>
          </w:p>
        </w:tc>
        <w:tc>
          <w:tcPr>
            <w:tcW w:w="1427" w:type="pct"/>
            <w:tcBorders>
              <w:top w:val="dotted" w:sz="4" w:space="0" w:color="auto"/>
              <w:left w:val="dotted" w:sz="4" w:space="0" w:color="auto"/>
              <w:bottom w:val="dotted" w:sz="4" w:space="0" w:color="auto"/>
              <w:right w:val="single" w:sz="4" w:space="0" w:color="auto"/>
            </w:tcBorders>
            <w:tcMar>
              <w:left w:w="28" w:type="dxa"/>
              <w:right w:w="28" w:type="dxa"/>
            </w:tcMar>
            <w:vAlign w:val="bottom"/>
          </w:tcPr>
          <w:p w:rsidR="00FC6DD7" w:rsidRDefault="00FC6DD7" w:rsidP="00F019BB">
            <w:pPr>
              <w:jc w:val="center"/>
              <w:rPr>
                <w:color w:val="000000"/>
                <w:lang w:val="uk-UA"/>
              </w:rPr>
            </w:pPr>
            <w:r>
              <w:rPr>
                <w:color w:val="000000"/>
                <w:lang w:val="uk-UA"/>
              </w:rPr>
              <w:t>4,25</w:t>
            </w:r>
          </w:p>
        </w:tc>
      </w:tr>
      <w:tr w:rsidR="00FC6DD7" w:rsidTr="00F019BB">
        <w:tc>
          <w:tcPr>
            <w:tcW w:w="1047" w:type="pct"/>
            <w:tcBorders>
              <w:top w:val="dotted" w:sz="4" w:space="0" w:color="auto"/>
              <w:left w:val="single" w:sz="4" w:space="0" w:color="auto"/>
              <w:bottom w:val="single" w:sz="4" w:space="0" w:color="auto"/>
              <w:right w:val="single" w:sz="4" w:space="0" w:color="auto"/>
            </w:tcBorders>
            <w:tcMar>
              <w:left w:w="28" w:type="dxa"/>
              <w:right w:w="28" w:type="dxa"/>
            </w:tcMar>
          </w:tcPr>
          <w:p w:rsidR="00FC6DD7" w:rsidRDefault="00FC6DD7" w:rsidP="00F019BB">
            <w:pPr>
              <w:jc w:val="center"/>
              <w:rPr>
                <w:color w:val="000000"/>
                <w:lang w:val="uk-UA"/>
              </w:rPr>
            </w:pPr>
            <w:r>
              <w:rPr>
                <w:color w:val="000000"/>
                <w:lang w:val="uk-UA"/>
              </w:rPr>
              <w:t>Усереднений зсув</w:t>
            </w:r>
          </w:p>
        </w:tc>
        <w:tc>
          <w:tcPr>
            <w:tcW w:w="1319" w:type="pct"/>
            <w:tcBorders>
              <w:top w:val="dotted" w:sz="4" w:space="0" w:color="auto"/>
              <w:left w:val="single" w:sz="4" w:space="0" w:color="auto"/>
              <w:bottom w:val="single" w:sz="4" w:space="0" w:color="auto"/>
              <w:right w:val="dotted" w:sz="4" w:space="0" w:color="auto"/>
            </w:tcBorders>
            <w:tcMar>
              <w:left w:w="28" w:type="dxa"/>
              <w:right w:w="28" w:type="dxa"/>
            </w:tcMar>
            <w:vAlign w:val="center"/>
          </w:tcPr>
          <w:p w:rsidR="00FC6DD7" w:rsidRDefault="00FC6DD7" w:rsidP="00F019BB">
            <w:pPr>
              <w:jc w:val="center"/>
              <w:rPr>
                <w:color w:val="000000"/>
                <w:lang w:val="uk-UA"/>
              </w:rPr>
            </w:pPr>
            <w:r>
              <w:rPr>
                <w:color w:val="000000"/>
                <w:lang w:val="uk-UA"/>
              </w:rPr>
              <w:t xml:space="preserve"> 10,59±1,19</w:t>
            </w:r>
          </w:p>
        </w:tc>
        <w:tc>
          <w:tcPr>
            <w:tcW w:w="1206" w:type="pct"/>
            <w:tcBorders>
              <w:top w:val="dotted" w:sz="4" w:space="0" w:color="auto"/>
              <w:left w:val="dotted" w:sz="4" w:space="0" w:color="auto"/>
              <w:bottom w:val="single" w:sz="4" w:space="0" w:color="auto"/>
              <w:right w:val="dotted" w:sz="4" w:space="0" w:color="auto"/>
            </w:tcBorders>
            <w:tcMar>
              <w:left w:w="28" w:type="dxa"/>
              <w:right w:w="28" w:type="dxa"/>
            </w:tcMar>
            <w:vAlign w:val="center"/>
          </w:tcPr>
          <w:p w:rsidR="00FC6DD7" w:rsidRDefault="00FC6DD7" w:rsidP="00F019BB">
            <w:pPr>
              <w:jc w:val="center"/>
              <w:rPr>
                <w:color w:val="000000"/>
                <w:lang w:val="uk-UA"/>
              </w:rPr>
            </w:pPr>
            <w:r>
              <w:rPr>
                <w:color w:val="000000"/>
                <w:lang w:val="uk-UA"/>
              </w:rPr>
              <w:t>42,93±3,55</w:t>
            </w:r>
          </w:p>
        </w:tc>
        <w:tc>
          <w:tcPr>
            <w:tcW w:w="1427" w:type="pct"/>
            <w:tcBorders>
              <w:top w:val="dotted" w:sz="4" w:space="0" w:color="auto"/>
              <w:left w:val="dotted" w:sz="4" w:space="0" w:color="auto"/>
              <w:bottom w:val="single" w:sz="4" w:space="0" w:color="auto"/>
              <w:right w:val="single" w:sz="4" w:space="0" w:color="auto"/>
            </w:tcBorders>
            <w:tcMar>
              <w:left w:w="28" w:type="dxa"/>
              <w:right w:w="28" w:type="dxa"/>
            </w:tcMar>
            <w:vAlign w:val="center"/>
          </w:tcPr>
          <w:p w:rsidR="00FC6DD7" w:rsidRDefault="00FC6DD7" w:rsidP="00F019BB">
            <w:pPr>
              <w:jc w:val="center"/>
              <w:rPr>
                <w:color w:val="000000"/>
                <w:lang w:val="uk-UA"/>
              </w:rPr>
            </w:pPr>
            <w:r>
              <w:rPr>
                <w:color w:val="000000"/>
                <w:lang w:val="uk-UA"/>
              </w:rPr>
              <w:t>4,03</w:t>
            </w:r>
          </w:p>
        </w:tc>
      </w:tr>
    </w:tbl>
    <w:p w:rsidR="00FC6DD7" w:rsidRDefault="00FC6DD7" w:rsidP="00FC6DD7">
      <w:pPr>
        <w:pStyle w:val="afffffffb"/>
        <w:autoSpaceDE w:val="0"/>
        <w:autoSpaceDN w:val="0"/>
        <w:rPr>
          <w:color w:val="000000"/>
          <w:lang w:val="uk-UA"/>
        </w:rPr>
      </w:pPr>
    </w:p>
    <w:p w:rsidR="00FC6DD7" w:rsidRDefault="00FC6DD7" w:rsidP="00FC6DD7">
      <w:pPr>
        <w:pStyle w:val="afffffffb"/>
        <w:autoSpaceDE w:val="0"/>
        <w:autoSpaceDN w:val="0"/>
        <w:rPr>
          <w:color w:val="000000"/>
          <w:lang w:val="uk-UA"/>
        </w:rPr>
      </w:pPr>
      <w:r>
        <w:rPr>
          <w:bCs/>
          <w:i/>
          <w:color w:val="000000"/>
          <w:spacing w:val="20"/>
          <w:lang w:val="uk-UA"/>
        </w:rPr>
        <w:t>Прихильність до лікування хворих на ХОЗЛ</w:t>
      </w:r>
      <w:r>
        <w:rPr>
          <w:bCs/>
          <w:color w:val="000000"/>
          <w:lang w:val="uk-UA"/>
        </w:rPr>
        <w:t>.</w:t>
      </w:r>
      <w:r>
        <w:rPr>
          <w:b/>
          <w:bCs/>
          <w:color w:val="000000"/>
          <w:lang w:val="uk-UA"/>
        </w:rPr>
        <w:t xml:space="preserve"> </w:t>
      </w:r>
      <w:r>
        <w:rPr>
          <w:color w:val="000000"/>
          <w:lang w:val="uk-UA"/>
        </w:rPr>
        <w:t>Прихильність до лік</w:t>
      </w:r>
      <w:r>
        <w:rPr>
          <w:color w:val="000000"/>
          <w:lang w:val="uk-UA"/>
        </w:rPr>
        <w:t>у</w:t>
      </w:r>
      <w:r>
        <w:rPr>
          <w:color w:val="000000"/>
          <w:lang w:val="uk-UA"/>
        </w:rPr>
        <w:t>вання визначається як міра, до якої поведінка пацієнта відповідає призначеним медичним рекомендаціям. Під поведінкою пацієнта розуміється  прийом ліка</w:t>
      </w:r>
      <w:r>
        <w:rPr>
          <w:color w:val="000000"/>
          <w:lang w:val="uk-UA"/>
        </w:rPr>
        <w:t>р</w:t>
      </w:r>
      <w:r>
        <w:rPr>
          <w:color w:val="000000"/>
          <w:lang w:val="uk-UA"/>
        </w:rPr>
        <w:t>ських препаратів і модифікація способу життя. Прихильність до лікарського л</w:t>
      </w:r>
      <w:r>
        <w:rPr>
          <w:color w:val="000000"/>
          <w:lang w:val="uk-UA"/>
        </w:rPr>
        <w:t>і</w:t>
      </w:r>
      <w:r>
        <w:rPr>
          <w:color w:val="000000"/>
          <w:lang w:val="uk-UA"/>
        </w:rPr>
        <w:t>кування хворих на ХОЗЛ в різних клінічних ситуаціях і за різних умов орган</w:t>
      </w:r>
      <w:r>
        <w:rPr>
          <w:color w:val="000000"/>
          <w:lang w:val="uk-UA"/>
        </w:rPr>
        <w:t>і</w:t>
      </w:r>
      <w:r>
        <w:rPr>
          <w:color w:val="000000"/>
          <w:lang w:val="uk-UA"/>
        </w:rPr>
        <w:t>зації лікувального процесу до теперішнього часу практично не вивчалася. Для вивчення прихильності пацієнтів до лікування був використаний скорочений тест D.E. Morisky (1986).</w:t>
      </w:r>
    </w:p>
    <w:p w:rsidR="00FC6DD7" w:rsidRDefault="00FC6DD7" w:rsidP="00FC6DD7">
      <w:pPr>
        <w:pStyle w:val="afffffffb"/>
        <w:autoSpaceDE w:val="0"/>
        <w:autoSpaceDN w:val="0"/>
        <w:rPr>
          <w:color w:val="000000"/>
          <w:lang w:val="uk-UA"/>
        </w:rPr>
      </w:pPr>
      <w:r>
        <w:rPr>
          <w:color w:val="000000"/>
          <w:lang w:val="uk-UA"/>
        </w:rPr>
        <w:lastRenderedPageBreak/>
        <w:t>Вивчення відношення пацієнтів ХОЗЛ до лікарського лікування показало, що  в період загострення захворювання пацієнти у 81,45% випадків забували приймати прописані їм лікарські препарати, у 97,58% випадків були неакура</w:t>
      </w:r>
      <w:r>
        <w:rPr>
          <w:color w:val="000000"/>
          <w:lang w:val="uk-UA"/>
        </w:rPr>
        <w:t>т</w:t>
      </w:r>
      <w:r>
        <w:rPr>
          <w:color w:val="000000"/>
          <w:lang w:val="uk-UA"/>
        </w:rPr>
        <w:t>ними відносно прийому лікарських засобів, у 94,35% випадків припиняли лік</w:t>
      </w:r>
      <w:r>
        <w:rPr>
          <w:color w:val="000000"/>
          <w:lang w:val="uk-UA"/>
        </w:rPr>
        <w:t>у</w:t>
      </w:r>
      <w:r>
        <w:rPr>
          <w:color w:val="000000"/>
          <w:lang w:val="uk-UA"/>
        </w:rPr>
        <w:t>вання при поліпшенні свого стану і у 48,39% випадків припиняли використов</w:t>
      </w:r>
      <w:r>
        <w:rPr>
          <w:color w:val="000000"/>
          <w:lang w:val="uk-UA"/>
        </w:rPr>
        <w:t>у</w:t>
      </w:r>
      <w:r>
        <w:rPr>
          <w:color w:val="000000"/>
          <w:lang w:val="uk-UA"/>
        </w:rPr>
        <w:t>вати лікарські препарати, якщо при їх прийомі самопочуття погіршувалося. В цілому прихильність до лікування хворих на ХОЗЛ під час розвитку загостре</w:t>
      </w:r>
      <w:r>
        <w:rPr>
          <w:color w:val="000000"/>
          <w:lang w:val="uk-UA"/>
        </w:rPr>
        <w:t>н</w:t>
      </w:r>
      <w:r>
        <w:rPr>
          <w:color w:val="000000"/>
          <w:lang w:val="uk-UA"/>
        </w:rPr>
        <w:t>ня була низькою і дорівнювала 5,85</w:t>
      </w:r>
      <w:r>
        <w:rPr>
          <w:color w:val="000000"/>
          <w:lang w:val="uk-UA"/>
        </w:rPr>
        <w:sym w:font="Symbol" w:char="F0B1"/>
      </w:r>
      <w:r>
        <w:rPr>
          <w:color w:val="000000"/>
          <w:lang w:val="uk-UA"/>
        </w:rPr>
        <w:t>0,26 бала, коли якнайкращий її прояв п</w:t>
      </w:r>
      <w:r>
        <w:rPr>
          <w:color w:val="000000"/>
          <w:lang w:val="uk-UA"/>
        </w:rPr>
        <w:t>о</w:t>
      </w:r>
      <w:r>
        <w:rPr>
          <w:color w:val="000000"/>
          <w:lang w:val="uk-UA"/>
        </w:rPr>
        <w:t>винен відповідати нульовому значенню. Таке відношення хворих до лікарськ</w:t>
      </w:r>
      <w:r>
        <w:rPr>
          <w:color w:val="000000"/>
          <w:lang w:val="uk-UA"/>
        </w:rPr>
        <w:t>о</w:t>
      </w:r>
      <w:r>
        <w:rPr>
          <w:color w:val="000000"/>
          <w:lang w:val="uk-UA"/>
        </w:rPr>
        <w:t>го лікування цілком могло сприяти розвитку загострень захворювання.</w:t>
      </w:r>
    </w:p>
    <w:p w:rsidR="00FC6DD7" w:rsidRDefault="00FC6DD7" w:rsidP="00FC6DD7">
      <w:pPr>
        <w:pStyle w:val="afffffffb"/>
        <w:rPr>
          <w:color w:val="000000"/>
          <w:lang w:val="uk-UA"/>
        </w:rPr>
      </w:pPr>
      <w:r>
        <w:rPr>
          <w:color w:val="000000"/>
          <w:lang w:val="uk-UA"/>
        </w:rPr>
        <w:t>Подальше лікування загострень в РМУ застосуванням вну</w:t>
      </w:r>
      <w:r>
        <w:rPr>
          <w:color w:val="000000"/>
          <w:lang w:val="uk-UA"/>
        </w:rPr>
        <w:t>т</w:t>
      </w:r>
      <w:r>
        <w:rPr>
          <w:color w:val="000000"/>
          <w:lang w:val="uk-UA"/>
        </w:rPr>
        <w:t>рішньовенних преднізолону і еуфіліну не змінило у хворих їх прихильності до лікарського л</w:t>
      </w:r>
      <w:r>
        <w:rPr>
          <w:color w:val="000000"/>
          <w:lang w:val="uk-UA"/>
        </w:rPr>
        <w:t>і</w:t>
      </w:r>
      <w:r>
        <w:rPr>
          <w:color w:val="000000"/>
          <w:lang w:val="uk-UA"/>
        </w:rPr>
        <w:t>кування, яка залишалася досить низької, складаючи 5,35±0,37 бала. Викори</w:t>
      </w:r>
      <w:r>
        <w:rPr>
          <w:color w:val="000000"/>
          <w:lang w:val="uk-UA"/>
        </w:rPr>
        <w:t>с</w:t>
      </w:r>
      <w:r>
        <w:rPr>
          <w:color w:val="000000"/>
          <w:lang w:val="uk-UA"/>
        </w:rPr>
        <w:t>тання для лікування загострень курсу системного преднізолону в ум</w:t>
      </w:r>
      <w:r>
        <w:rPr>
          <w:color w:val="000000"/>
          <w:lang w:val="uk-UA"/>
        </w:rPr>
        <w:t>о</w:t>
      </w:r>
      <w:r>
        <w:rPr>
          <w:color w:val="000000"/>
          <w:lang w:val="uk-UA"/>
        </w:rPr>
        <w:t>вах ПЛРЦ лише частково поліпшило прихильність пацієнтів до лікарського л</w:t>
      </w:r>
      <w:r>
        <w:rPr>
          <w:color w:val="000000"/>
          <w:lang w:val="uk-UA"/>
        </w:rPr>
        <w:t>і</w:t>
      </w:r>
      <w:r>
        <w:rPr>
          <w:color w:val="000000"/>
          <w:lang w:val="uk-UA"/>
        </w:rPr>
        <w:t>кування, яка в цілому склала 3,36±0,12 бала і статистично значущо відрізнялася від початк</w:t>
      </w:r>
      <w:r>
        <w:rPr>
          <w:color w:val="000000"/>
          <w:lang w:val="uk-UA"/>
        </w:rPr>
        <w:t>о</w:t>
      </w:r>
      <w:r>
        <w:rPr>
          <w:color w:val="000000"/>
          <w:lang w:val="uk-UA"/>
        </w:rPr>
        <w:t xml:space="preserve">вого рівня (5,89±0,28 бала, </w:t>
      </w:r>
      <w:r>
        <w:rPr>
          <w:color w:val="000000"/>
          <w:lang w:val="uk-UA" w:eastAsia="uk-UA"/>
        </w:rPr>
        <w:t>p&lt;0,001)</w:t>
      </w:r>
      <w:r>
        <w:rPr>
          <w:color w:val="000000"/>
          <w:lang w:val="uk-UA"/>
        </w:rPr>
        <w:t>. Найістотніші зсуви у формуванні прих</w:t>
      </w:r>
      <w:r>
        <w:rPr>
          <w:color w:val="000000"/>
          <w:lang w:val="uk-UA"/>
        </w:rPr>
        <w:t>и</w:t>
      </w:r>
      <w:r>
        <w:rPr>
          <w:color w:val="000000"/>
          <w:lang w:val="uk-UA"/>
        </w:rPr>
        <w:t>льності хворих до лікування були досягнуті при використанні для лікування з</w:t>
      </w:r>
      <w:r>
        <w:rPr>
          <w:color w:val="000000"/>
          <w:lang w:val="uk-UA"/>
        </w:rPr>
        <w:t>а</w:t>
      </w:r>
      <w:r>
        <w:rPr>
          <w:color w:val="000000"/>
          <w:lang w:val="uk-UA"/>
        </w:rPr>
        <w:t>гострень ХОЗЛ небулізованих ГКС: прихильність до лікування у разі вж</w:t>
      </w:r>
      <w:r>
        <w:rPr>
          <w:color w:val="000000"/>
          <w:lang w:val="uk-UA"/>
        </w:rPr>
        <w:t>и</w:t>
      </w:r>
      <w:r>
        <w:rPr>
          <w:color w:val="000000"/>
          <w:lang w:val="uk-UA"/>
        </w:rPr>
        <w:t xml:space="preserve">вання інгаляцій небулізованого будесоніду склала 0,67±0,08 бала (до лікування – 5,91±0,34 бала, </w:t>
      </w:r>
      <w:r>
        <w:rPr>
          <w:color w:val="000000"/>
          <w:lang w:val="uk-UA" w:eastAsia="uk-UA"/>
        </w:rPr>
        <w:t>p&lt;0,001)</w:t>
      </w:r>
      <w:r>
        <w:rPr>
          <w:color w:val="000000"/>
          <w:lang w:val="uk-UA"/>
        </w:rPr>
        <w:t xml:space="preserve">, а при </w:t>
      </w:r>
      <w:r>
        <w:rPr>
          <w:color w:val="000000"/>
          <w:lang w:val="uk-UA" w:eastAsia="uk-UA"/>
        </w:rPr>
        <w:t xml:space="preserve">використанні </w:t>
      </w:r>
      <w:r>
        <w:rPr>
          <w:color w:val="000000"/>
          <w:lang w:val="uk-UA"/>
        </w:rPr>
        <w:t>інгаляцій флутіказону пропіон</w:t>
      </w:r>
      <w:r>
        <w:rPr>
          <w:color w:val="000000"/>
          <w:lang w:val="uk-UA"/>
        </w:rPr>
        <w:t>а</w:t>
      </w:r>
      <w:r>
        <w:rPr>
          <w:color w:val="000000"/>
          <w:lang w:val="uk-UA"/>
        </w:rPr>
        <w:t>ту – 0,45±0,05 бала (до лікування – 5,83</w:t>
      </w:r>
      <w:r>
        <w:rPr>
          <w:color w:val="000000"/>
          <w:lang w:val="uk-UA"/>
        </w:rPr>
        <w:sym w:font="Symbol" w:char="F0B1"/>
      </w:r>
      <w:r>
        <w:rPr>
          <w:color w:val="000000"/>
          <w:lang w:val="uk-UA"/>
        </w:rPr>
        <w:t xml:space="preserve">0,31 бала, </w:t>
      </w:r>
      <w:r>
        <w:rPr>
          <w:color w:val="000000"/>
          <w:lang w:val="uk-UA" w:eastAsia="uk-UA"/>
        </w:rPr>
        <w:t>p&lt;0,001)</w:t>
      </w:r>
      <w:r>
        <w:rPr>
          <w:color w:val="000000"/>
          <w:lang w:val="uk-UA"/>
        </w:rPr>
        <w:t>. Усереднені зсуви прихильності до лікування хворих на ХОЗЛ в залежності від засобу лікування загострення наведені на рис. 1.</w:t>
      </w:r>
    </w:p>
    <w:p w:rsidR="00FC6DD7" w:rsidRDefault="00FC6DD7" w:rsidP="00FC6DD7">
      <w:pPr>
        <w:pStyle w:val="afffffffb"/>
        <w:rPr>
          <w:b/>
          <w:bCs/>
          <w:color w:val="000000"/>
          <w:lang w:val="uk-UA"/>
        </w:rPr>
      </w:pPr>
    </w:p>
    <w:p w:rsidR="00FC6DD7" w:rsidRDefault="00FC6DD7" w:rsidP="00FC6DD7">
      <w:pPr>
        <w:pStyle w:val="afffffffb"/>
        <w:rPr>
          <w:b/>
          <w:bCs/>
          <w:color w:val="000000"/>
          <w:lang w:val="uk-UA"/>
        </w:rPr>
      </w:pPr>
    </w:p>
    <w:bookmarkStart w:id="0" w:name="_MON_1313580857"/>
    <w:bookmarkStart w:id="1" w:name="_MON_1313581058"/>
    <w:bookmarkEnd w:id="0"/>
    <w:bookmarkEnd w:id="1"/>
    <w:p w:rsidR="00FC6DD7" w:rsidRDefault="00FC6DD7" w:rsidP="00FC6DD7">
      <w:pPr>
        <w:pStyle w:val="afffffffb"/>
        <w:autoSpaceDE w:val="0"/>
        <w:autoSpaceDN w:val="0"/>
        <w:ind w:firstLine="0"/>
        <w:rPr>
          <w:color w:val="000000"/>
          <w:lang w:val="uk-UA"/>
        </w:rPr>
      </w:pPr>
      <w:r>
        <w:rPr>
          <w:color w:val="000000"/>
        </w:rPr>
        <w:object w:dxaOrig="10528" w:dyaOrig="7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15pt;height:359.15pt" o:ole="">
            <v:imagedata r:id="rId13" o:title=""/>
          </v:shape>
          <o:OLEObject Type="Embed" ProgID="Word.Picture.8" ShapeID="_x0000_i1025" DrawAspect="Content" ObjectID="_1494412110" r:id="rId14"/>
        </w:object>
      </w:r>
    </w:p>
    <w:p w:rsidR="00FC6DD7" w:rsidRDefault="00FC6DD7" w:rsidP="00FC6DD7">
      <w:pPr>
        <w:pStyle w:val="afffffffb"/>
        <w:autoSpaceDE w:val="0"/>
        <w:autoSpaceDN w:val="0"/>
        <w:rPr>
          <w:color w:val="000000"/>
          <w:lang w:val="uk-UA"/>
        </w:rPr>
      </w:pPr>
      <w:r>
        <w:rPr>
          <w:color w:val="000000"/>
          <w:lang w:val="uk-UA"/>
        </w:rPr>
        <w:t xml:space="preserve"> </w:t>
      </w:r>
    </w:p>
    <w:p w:rsidR="00FC6DD7" w:rsidRDefault="00FC6DD7" w:rsidP="00FC6DD7">
      <w:pPr>
        <w:pStyle w:val="afffffffb"/>
        <w:autoSpaceDE w:val="0"/>
        <w:autoSpaceDN w:val="0"/>
        <w:rPr>
          <w:color w:val="000000"/>
          <w:lang w:val="uk-UA"/>
        </w:rPr>
      </w:pPr>
      <w:r>
        <w:rPr>
          <w:color w:val="000000"/>
          <w:lang w:val="uk-UA"/>
        </w:rPr>
        <w:t>Формування правильного відношення хворих на ХОЗЛ до свого лікува</w:t>
      </w:r>
      <w:r>
        <w:rPr>
          <w:color w:val="000000"/>
          <w:lang w:val="uk-UA"/>
        </w:rPr>
        <w:t>н</w:t>
      </w:r>
      <w:r>
        <w:rPr>
          <w:color w:val="000000"/>
          <w:lang w:val="uk-UA"/>
        </w:rPr>
        <w:t>ня має принципове значення для їх ЯЖ, що підтверджується статистично зн</w:t>
      </w:r>
      <w:r>
        <w:rPr>
          <w:color w:val="000000"/>
          <w:lang w:val="uk-UA"/>
        </w:rPr>
        <w:t>а</w:t>
      </w:r>
      <w:r>
        <w:rPr>
          <w:color w:val="000000"/>
          <w:lang w:val="uk-UA"/>
        </w:rPr>
        <w:t>чущим зв'язком рівня прихильності до лікування з усіма показниками ЯЖ: ф</w:t>
      </w:r>
      <w:r>
        <w:rPr>
          <w:color w:val="000000"/>
          <w:lang w:val="uk-UA"/>
        </w:rPr>
        <w:t>і</w:t>
      </w:r>
      <w:r>
        <w:rPr>
          <w:color w:val="000000"/>
          <w:lang w:val="uk-UA"/>
        </w:rPr>
        <w:t>зичною активності хворих (ρ=-0,64), роллю фізичних проблем (ρ=-0,60), суб'є</w:t>
      </w:r>
      <w:r>
        <w:rPr>
          <w:color w:val="000000"/>
          <w:lang w:val="uk-UA"/>
        </w:rPr>
        <w:t>к</w:t>
      </w:r>
      <w:r>
        <w:rPr>
          <w:color w:val="000000"/>
          <w:lang w:val="uk-UA"/>
        </w:rPr>
        <w:t>тивною оцінкою хворими загального стану свого здоров'я (ρ=-0,59) і роллю емоційних пр</w:t>
      </w:r>
      <w:r>
        <w:rPr>
          <w:color w:val="000000"/>
          <w:lang w:val="uk-UA"/>
        </w:rPr>
        <w:t>о</w:t>
      </w:r>
      <w:r>
        <w:rPr>
          <w:color w:val="000000"/>
          <w:lang w:val="uk-UA"/>
        </w:rPr>
        <w:t xml:space="preserve">блем в житті хворих, викликаних хворобою (ρ=-0,55). </w:t>
      </w:r>
    </w:p>
    <w:p w:rsidR="00FC6DD7" w:rsidRDefault="00FC6DD7" w:rsidP="00FC6DD7">
      <w:pPr>
        <w:autoSpaceDE w:val="0"/>
        <w:autoSpaceDN w:val="0"/>
        <w:adjustRightInd w:val="0"/>
        <w:ind w:firstLine="709"/>
        <w:rPr>
          <w:color w:val="000000"/>
          <w:lang w:val="uk-UA"/>
        </w:rPr>
      </w:pPr>
      <w:r>
        <w:rPr>
          <w:color w:val="000000"/>
          <w:lang w:val="uk-UA"/>
        </w:rPr>
        <w:t>Таким чином, нами вперше встановлено, що застосування для лікування загострень ХОЗЛ небулізованих ГКС в умовах спеціалізованої медичної уст</w:t>
      </w:r>
      <w:r>
        <w:rPr>
          <w:color w:val="000000"/>
          <w:lang w:val="uk-UA"/>
        </w:rPr>
        <w:t>а</w:t>
      </w:r>
      <w:r>
        <w:rPr>
          <w:color w:val="000000"/>
          <w:lang w:val="uk-UA"/>
        </w:rPr>
        <w:t>нови дозволяє сформувати якнайкращу прихильність пацієнтів до лікарського лікування. Істотно, що її формування багато в чому залежало від умов лікува</w:t>
      </w:r>
      <w:r>
        <w:rPr>
          <w:color w:val="000000"/>
          <w:lang w:val="uk-UA"/>
        </w:rPr>
        <w:t>н</w:t>
      </w:r>
      <w:r>
        <w:rPr>
          <w:color w:val="000000"/>
          <w:lang w:val="uk-UA"/>
        </w:rPr>
        <w:t>ня загострень ХОЗЛ. Лікування загострень ХОЗЛ і подальше спостереження хворих протягом одного року в ПЛРЦ, де  неухильно застосовувалася станда</w:t>
      </w:r>
      <w:r>
        <w:rPr>
          <w:color w:val="000000"/>
          <w:lang w:val="uk-UA"/>
        </w:rPr>
        <w:t>р</w:t>
      </w:r>
      <w:r>
        <w:rPr>
          <w:color w:val="000000"/>
          <w:lang w:val="uk-UA"/>
        </w:rPr>
        <w:t>тна лікарська терапія і здійснювалися додаткові організаційні заходи, призв</w:t>
      </w:r>
      <w:r>
        <w:rPr>
          <w:color w:val="000000"/>
          <w:lang w:val="uk-UA"/>
        </w:rPr>
        <w:t>о</w:t>
      </w:r>
      <w:r>
        <w:rPr>
          <w:color w:val="000000"/>
          <w:lang w:val="uk-UA"/>
        </w:rPr>
        <w:t>дили до істотного поліпшення прихильності до лікування в порівнянні з лік</w:t>
      </w:r>
      <w:r>
        <w:rPr>
          <w:color w:val="000000"/>
          <w:lang w:val="uk-UA"/>
        </w:rPr>
        <w:t>у</w:t>
      </w:r>
      <w:r>
        <w:rPr>
          <w:color w:val="000000"/>
          <w:lang w:val="uk-UA"/>
        </w:rPr>
        <w:t>ванням в інших несп</w:t>
      </w:r>
      <w:r>
        <w:rPr>
          <w:color w:val="000000"/>
          <w:lang w:val="uk-UA"/>
        </w:rPr>
        <w:t>е</w:t>
      </w:r>
      <w:r>
        <w:rPr>
          <w:color w:val="000000"/>
          <w:lang w:val="uk-UA"/>
        </w:rPr>
        <w:t>ціалізованих медичних установах.</w:t>
      </w:r>
    </w:p>
    <w:p w:rsidR="00FC6DD7" w:rsidRDefault="00FC6DD7" w:rsidP="00FC6DD7">
      <w:pPr>
        <w:pStyle w:val="affffffb"/>
        <w:autoSpaceDE w:val="0"/>
        <w:autoSpaceDN w:val="0"/>
        <w:rPr>
          <w:color w:val="000000"/>
          <w:lang w:val="uk-UA" w:eastAsia="uk-UA"/>
        </w:rPr>
      </w:pPr>
    </w:p>
    <w:p w:rsidR="00FC6DD7" w:rsidRDefault="00FC6DD7" w:rsidP="00FC6DD7">
      <w:pPr>
        <w:pStyle w:val="affffffb"/>
        <w:autoSpaceDE w:val="0"/>
        <w:autoSpaceDN w:val="0"/>
        <w:rPr>
          <w:color w:val="000000"/>
          <w:lang w:val="uk-UA"/>
        </w:rPr>
      </w:pPr>
      <w:r>
        <w:rPr>
          <w:color w:val="000000"/>
          <w:lang w:val="uk-UA"/>
        </w:rPr>
        <w:t>ВИСНОВКИ</w:t>
      </w:r>
    </w:p>
    <w:p w:rsidR="00FC6DD7" w:rsidRDefault="00FC6DD7" w:rsidP="00FC6DD7">
      <w:pPr>
        <w:pStyle w:val="afffffffb"/>
        <w:spacing w:before="120"/>
        <w:rPr>
          <w:color w:val="000000"/>
          <w:lang w:val="uk-UA"/>
        </w:rPr>
      </w:pPr>
      <w:r>
        <w:rPr>
          <w:color w:val="000000"/>
          <w:lang w:val="uk-UA" w:eastAsia="uk-UA"/>
        </w:rPr>
        <w:t xml:space="preserve"> </w:t>
      </w:r>
      <w:r>
        <w:rPr>
          <w:color w:val="000000"/>
          <w:lang w:val="uk-UA"/>
        </w:rPr>
        <w:t>В дисертації наведене наукове рішення актуальної задачі клінічної пул</w:t>
      </w:r>
      <w:r>
        <w:rPr>
          <w:color w:val="000000"/>
          <w:lang w:val="uk-UA"/>
        </w:rPr>
        <w:t>ь</w:t>
      </w:r>
      <w:r>
        <w:rPr>
          <w:color w:val="000000"/>
          <w:lang w:val="uk-UA"/>
        </w:rPr>
        <w:t>монології, що виявляється в науковому обгрунтовуванні і розробці системи з</w:t>
      </w:r>
      <w:r>
        <w:rPr>
          <w:color w:val="000000"/>
          <w:lang w:val="uk-UA"/>
        </w:rPr>
        <w:t>а</w:t>
      </w:r>
      <w:r>
        <w:rPr>
          <w:color w:val="000000"/>
          <w:lang w:val="uk-UA"/>
        </w:rPr>
        <w:t xml:space="preserve">ходів щодо підвищення ефективності амбулаторного лікування </w:t>
      </w:r>
      <w:r>
        <w:rPr>
          <w:color w:val="000000"/>
          <w:lang w:val="uk-UA"/>
        </w:rPr>
        <w:lastRenderedPageBreak/>
        <w:t>загос</w:t>
      </w:r>
      <w:r>
        <w:rPr>
          <w:color w:val="000000"/>
          <w:lang w:val="uk-UA"/>
        </w:rPr>
        <w:t>т</w:t>
      </w:r>
      <w:r>
        <w:rPr>
          <w:color w:val="000000"/>
          <w:lang w:val="uk-UA"/>
        </w:rPr>
        <w:t>рень ХОЗЛ з використанням інгаляційного застосування глюкокортикостероїдів ч</w:t>
      </w:r>
      <w:r>
        <w:rPr>
          <w:color w:val="000000"/>
          <w:lang w:val="uk-UA"/>
        </w:rPr>
        <w:t>е</w:t>
      </w:r>
      <w:r>
        <w:rPr>
          <w:color w:val="000000"/>
          <w:lang w:val="uk-UA"/>
        </w:rPr>
        <w:t>рез небулайзери.</w:t>
      </w:r>
    </w:p>
    <w:p w:rsidR="00FC6DD7" w:rsidRDefault="00FC6DD7" w:rsidP="00FC6DD7">
      <w:pPr>
        <w:pStyle w:val="afffffffb"/>
        <w:autoSpaceDE w:val="0"/>
        <w:autoSpaceDN w:val="0"/>
        <w:rPr>
          <w:color w:val="000000"/>
          <w:lang w:val="uk-UA"/>
        </w:rPr>
      </w:pPr>
      <w:r>
        <w:rPr>
          <w:color w:val="000000"/>
          <w:lang w:val="uk-UA"/>
        </w:rPr>
        <w:t>1. Для підвищення ефективності лікування загострень ХОЗЛ на амбул</w:t>
      </w:r>
      <w:r>
        <w:rPr>
          <w:color w:val="000000"/>
          <w:lang w:val="uk-UA"/>
        </w:rPr>
        <w:t>а</w:t>
      </w:r>
      <w:r>
        <w:rPr>
          <w:color w:val="000000"/>
          <w:lang w:val="uk-UA"/>
        </w:rPr>
        <w:t>торному етапі запропонована модель організації ведення хворих в умовах сп</w:t>
      </w:r>
      <w:r>
        <w:rPr>
          <w:color w:val="000000"/>
          <w:lang w:val="uk-UA"/>
        </w:rPr>
        <w:t>е</w:t>
      </w:r>
      <w:r>
        <w:rPr>
          <w:color w:val="000000"/>
          <w:lang w:val="uk-UA"/>
        </w:rPr>
        <w:t>ціалізованого пульмонологічного лікувально-реабілітаційного центру (ПЛРЦ), призначеного для здійснення комплексу діагностичних, лікувальних, профіла</w:t>
      </w:r>
      <w:r>
        <w:rPr>
          <w:color w:val="000000"/>
          <w:lang w:val="uk-UA"/>
        </w:rPr>
        <w:t>к</w:t>
      </w:r>
      <w:r>
        <w:rPr>
          <w:color w:val="000000"/>
          <w:lang w:val="uk-UA"/>
        </w:rPr>
        <w:t>тичних, реабілітаційних, інформаційних і освітніх заходів. Лікування загос</w:t>
      </w:r>
      <w:r>
        <w:rPr>
          <w:color w:val="000000"/>
          <w:lang w:val="uk-UA"/>
        </w:rPr>
        <w:t>т</w:t>
      </w:r>
      <w:r>
        <w:rPr>
          <w:color w:val="000000"/>
          <w:lang w:val="uk-UA"/>
        </w:rPr>
        <w:t>рення ХОЗЛ в ПЛРЦ супроводжувалося зниженням щорічної кількості загос</w:t>
      </w:r>
      <w:r>
        <w:rPr>
          <w:color w:val="000000"/>
          <w:lang w:val="uk-UA"/>
        </w:rPr>
        <w:t>т</w:t>
      </w:r>
      <w:r>
        <w:rPr>
          <w:color w:val="000000"/>
          <w:lang w:val="uk-UA"/>
        </w:rPr>
        <w:t>рень хвороби в 2,7 рази, кількості госпіталізацій – в 2,5 рази, тривалості амб</w:t>
      </w:r>
      <w:r>
        <w:rPr>
          <w:color w:val="000000"/>
          <w:lang w:val="uk-UA"/>
        </w:rPr>
        <w:t>у</w:t>
      </w:r>
      <w:r>
        <w:rPr>
          <w:color w:val="000000"/>
          <w:lang w:val="uk-UA"/>
        </w:rPr>
        <w:t xml:space="preserve">латорного лікування  –  в 2,1 рази. </w:t>
      </w:r>
    </w:p>
    <w:p w:rsidR="00FC6DD7" w:rsidRDefault="00FC6DD7" w:rsidP="00FC6DD7">
      <w:pPr>
        <w:pStyle w:val="afffffffb"/>
        <w:autoSpaceDE w:val="0"/>
        <w:autoSpaceDN w:val="0"/>
        <w:rPr>
          <w:color w:val="000000"/>
          <w:lang w:val="uk-UA"/>
        </w:rPr>
      </w:pPr>
      <w:r>
        <w:rPr>
          <w:color w:val="000000"/>
          <w:lang w:val="uk-UA"/>
        </w:rPr>
        <w:t>2. Для лікування загострення ХОЗЛ доцільне застосування небулізован</w:t>
      </w:r>
      <w:r>
        <w:rPr>
          <w:color w:val="000000"/>
          <w:lang w:val="uk-UA"/>
        </w:rPr>
        <w:t>о</w:t>
      </w:r>
      <w:r>
        <w:rPr>
          <w:color w:val="000000"/>
          <w:lang w:val="uk-UA"/>
        </w:rPr>
        <w:t>го будесоніду, що, в порівнянні з пероральним прийомом преднізолону, супр</w:t>
      </w:r>
      <w:r>
        <w:rPr>
          <w:color w:val="000000"/>
          <w:lang w:val="uk-UA"/>
        </w:rPr>
        <w:t>о</w:t>
      </w:r>
      <w:r>
        <w:rPr>
          <w:color w:val="000000"/>
          <w:lang w:val="uk-UA"/>
        </w:rPr>
        <w:t>воджується такою ж високою клініко-функціональною ефективністю, але ме</w:t>
      </w:r>
      <w:r>
        <w:rPr>
          <w:color w:val="000000"/>
          <w:lang w:val="uk-UA"/>
        </w:rPr>
        <w:t>н</w:t>
      </w:r>
      <w:r>
        <w:rPr>
          <w:color w:val="000000"/>
          <w:lang w:val="uk-UA"/>
        </w:rPr>
        <w:t>шою частотою гіперглікемії (на 18,4 %) і підвищення системного артеріал</w:t>
      </w:r>
      <w:r>
        <w:rPr>
          <w:color w:val="000000"/>
          <w:lang w:val="uk-UA"/>
        </w:rPr>
        <w:t>ь</w:t>
      </w:r>
      <w:r>
        <w:rPr>
          <w:color w:val="000000"/>
          <w:lang w:val="uk-UA"/>
        </w:rPr>
        <w:t xml:space="preserve">ного тиску (на 16,0%). </w:t>
      </w:r>
    </w:p>
    <w:p w:rsidR="00FC6DD7" w:rsidRDefault="00FC6DD7" w:rsidP="00FC6DD7">
      <w:pPr>
        <w:pStyle w:val="afffffffb"/>
        <w:autoSpaceDE w:val="0"/>
        <w:autoSpaceDN w:val="0"/>
        <w:rPr>
          <w:color w:val="000000"/>
          <w:lang w:val="uk-UA"/>
        </w:rPr>
      </w:pPr>
      <w:r>
        <w:rPr>
          <w:color w:val="000000"/>
          <w:lang w:val="uk-UA"/>
        </w:rPr>
        <w:t>3. Використання для лікування важкого загострення ХОЗЛ небулізіров</w:t>
      </w:r>
      <w:r>
        <w:rPr>
          <w:color w:val="000000"/>
          <w:lang w:val="uk-UA"/>
        </w:rPr>
        <w:t>а</w:t>
      </w:r>
      <w:r>
        <w:rPr>
          <w:color w:val="000000"/>
          <w:lang w:val="uk-UA"/>
        </w:rPr>
        <w:t>ного флутіказону пропіонату, в порівнянні з пероральним прийомом предніз</w:t>
      </w:r>
      <w:r>
        <w:rPr>
          <w:color w:val="000000"/>
          <w:lang w:val="uk-UA"/>
        </w:rPr>
        <w:t>о</w:t>
      </w:r>
      <w:r>
        <w:rPr>
          <w:color w:val="000000"/>
          <w:lang w:val="uk-UA"/>
        </w:rPr>
        <w:t>лону, супроводжується схожою високою клініко-функціональною ефективні</w:t>
      </w:r>
      <w:r>
        <w:rPr>
          <w:color w:val="000000"/>
          <w:lang w:val="uk-UA"/>
        </w:rPr>
        <w:t>с</w:t>
      </w:r>
      <w:r>
        <w:rPr>
          <w:color w:val="000000"/>
          <w:lang w:val="uk-UA"/>
        </w:rPr>
        <w:t xml:space="preserve">тю при меншій частоті гіперглікемії (на 18.4 %) і підвищення системного АТ (на 16,0%). </w:t>
      </w:r>
    </w:p>
    <w:p w:rsidR="00FC6DD7" w:rsidRDefault="00FC6DD7" w:rsidP="00FC6DD7">
      <w:pPr>
        <w:pStyle w:val="afffffffb"/>
        <w:autoSpaceDE w:val="0"/>
        <w:autoSpaceDN w:val="0"/>
        <w:rPr>
          <w:color w:val="000000"/>
          <w:lang w:val="uk-UA"/>
        </w:rPr>
      </w:pPr>
      <w:r>
        <w:rPr>
          <w:color w:val="000000"/>
          <w:lang w:val="uk-UA"/>
        </w:rPr>
        <w:t>4. Відмінності між клінічною ефективністю і частотою побічних проявів небулізованих будесоніду і флутіказону пропіонату відсутні. Інгаляційне вж</w:t>
      </w:r>
      <w:r>
        <w:rPr>
          <w:color w:val="000000"/>
          <w:lang w:val="uk-UA"/>
        </w:rPr>
        <w:t>и</w:t>
      </w:r>
      <w:r>
        <w:rPr>
          <w:color w:val="000000"/>
          <w:lang w:val="uk-UA"/>
        </w:rPr>
        <w:t>вання цих препаратів при загостренні ХОЗЛ призводить на 10-й день терапії до схожого збільшення ОФВ</w:t>
      </w:r>
      <w:r>
        <w:rPr>
          <w:color w:val="000000"/>
          <w:vertAlign w:val="subscript"/>
          <w:lang w:val="uk-UA"/>
        </w:rPr>
        <w:t>1</w:t>
      </w:r>
      <w:r>
        <w:rPr>
          <w:color w:val="000000"/>
          <w:lang w:val="uk-UA"/>
        </w:rPr>
        <w:t>: на 0,71 л і 0,72 л відповідно.</w:t>
      </w:r>
    </w:p>
    <w:p w:rsidR="00FC6DD7" w:rsidRDefault="00FC6DD7" w:rsidP="00FC6DD7">
      <w:pPr>
        <w:pStyle w:val="afffffffb"/>
        <w:autoSpaceDE w:val="0"/>
        <w:autoSpaceDN w:val="0"/>
        <w:rPr>
          <w:color w:val="000000"/>
          <w:lang w:val="uk-UA"/>
        </w:rPr>
      </w:pPr>
      <w:r>
        <w:rPr>
          <w:color w:val="000000"/>
          <w:lang w:val="uk-UA"/>
        </w:rPr>
        <w:t>5. Застосування для лікування загострень ХОЗЛ в спеціалізованій меди</w:t>
      </w:r>
      <w:r>
        <w:rPr>
          <w:color w:val="000000"/>
          <w:lang w:val="uk-UA"/>
        </w:rPr>
        <w:t>ч</w:t>
      </w:r>
      <w:r>
        <w:rPr>
          <w:color w:val="000000"/>
          <w:lang w:val="uk-UA"/>
        </w:rPr>
        <w:t>ній установі небулізованих глюкокортикостероїдів супроводжується форм</w:t>
      </w:r>
      <w:r>
        <w:rPr>
          <w:color w:val="000000"/>
          <w:lang w:val="uk-UA"/>
        </w:rPr>
        <w:t>у</w:t>
      </w:r>
      <w:r>
        <w:rPr>
          <w:color w:val="000000"/>
          <w:lang w:val="uk-UA"/>
        </w:rPr>
        <w:t>ванням якості життя хворих, котра порівнянна з якістю життя в популяції (п</w:t>
      </w:r>
      <w:r>
        <w:rPr>
          <w:color w:val="000000"/>
          <w:lang w:val="uk-UA"/>
        </w:rPr>
        <w:t>о</w:t>
      </w:r>
      <w:r>
        <w:rPr>
          <w:color w:val="000000"/>
          <w:lang w:val="uk-UA"/>
        </w:rPr>
        <w:t>ліпшення в цілому на 40,9±3,6%); використання в цих цілях курсу системного преднізолону лише частково покращує (в цілому на 10,6±1,2%), а преднізолону і еуфіліну в ін'єкційних формах – не призводить до поліпшення (приріст в ціл</w:t>
      </w:r>
      <w:r>
        <w:rPr>
          <w:color w:val="000000"/>
          <w:lang w:val="uk-UA"/>
        </w:rPr>
        <w:t>о</w:t>
      </w:r>
      <w:r>
        <w:rPr>
          <w:color w:val="000000"/>
          <w:lang w:val="uk-UA"/>
        </w:rPr>
        <w:t>му на 1,1±0,4%) якості життя хворих. Використання небулізованих глюкоко</w:t>
      </w:r>
      <w:r>
        <w:rPr>
          <w:color w:val="000000"/>
          <w:lang w:val="uk-UA"/>
        </w:rPr>
        <w:t>р</w:t>
      </w:r>
      <w:r>
        <w:rPr>
          <w:color w:val="000000"/>
          <w:lang w:val="uk-UA"/>
        </w:rPr>
        <w:t>тикостероїдів для лікування загострень ХОЗЛ в 4,0 рази більш значущо покр</w:t>
      </w:r>
      <w:r>
        <w:rPr>
          <w:color w:val="000000"/>
          <w:lang w:val="uk-UA"/>
        </w:rPr>
        <w:t>а</w:t>
      </w:r>
      <w:r>
        <w:rPr>
          <w:color w:val="000000"/>
          <w:lang w:val="uk-UA"/>
        </w:rPr>
        <w:t>щує якість життя порівняно з системними стероїдами.</w:t>
      </w:r>
    </w:p>
    <w:p w:rsidR="00FC6DD7" w:rsidRDefault="00FC6DD7" w:rsidP="00FC6DD7">
      <w:pPr>
        <w:pStyle w:val="afffffffb"/>
        <w:autoSpaceDE w:val="0"/>
        <w:autoSpaceDN w:val="0"/>
        <w:rPr>
          <w:color w:val="000000"/>
          <w:lang w:val="uk-UA"/>
        </w:rPr>
      </w:pPr>
      <w:r>
        <w:rPr>
          <w:color w:val="000000"/>
          <w:lang w:val="uk-UA"/>
        </w:rPr>
        <w:t>6. Лікування загострень ХОЗЛ в умовах спеціалізованої медичної устан</w:t>
      </w:r>
      <w:r>
        <w:rPr>
          <w:color w:val="000000"/>
          <w:lang w:val="uk-UA"/>
        </w:rPr>
        <w:t>о</w:t>
      </w:r>
      <w:r>
        <w:rPr>
          <w:color w:val="000000"/>
          <w:lang w:val="uk-UA"/>
        </w:rPr>
        <w:t>ви за допомогою небулізованих глюкокортикостероїдів дозволяє сформувати якнайкращу прихильність пацієнтів до лікарського лікування. Деяке  нароста</w:t>
      </w:r>
      <w:r>
        <w:rPr>
          <w:color w:val="000000"/>
          <w:lang w:val="uk-UA"/>
        </w:rPr>
        <w:t>н</w:t>
      </w:r>
      <w:r>
        <w:rPr>
          <w:color w:val="000000"/>
          <w:lang w:val="uk-UA"/>
        </w:rPr>
        <w:t>ня прихильності до лікування можна добитися шляхом використання при заго</w:t>
      </w:r>
      <w:r>
        <w:rPr>
          <w:color w:val="000000"/>
          <w:lang w:val="uk-UA"/>
        </w:rPr>
        <w:t>с</w:t>
      </w:r>
      <w:r>
        <w:rPr>
          <w:color w:val="000000"/>
          <w:lang w:val="uk-UA"/>
        </w:rPr>
        <w:t>тренні ХОЗЛ системного преднізолону, але з гіршим ефектом, ніж у небуліз</w:t>
      </w:r>
      <w:r>
        <w:rPr>
          <w:color w:val="000000"/>
          <w:lang w:val="uk-UA"/>
        </w:rPr>
        <w:t>о</w:t>
      </w:r>
      <w:r>
        <w:rPr>
          <w:color w:val="000000"/>
          <w:lang w:val="uk-UA"/>
        </w:rPr>
        <w:t>ваних глюкокортикостероїдів. Прихильність до лікування хворих на ХОЗЛ практично не міняється і залишається низькою у разі їх лікування в різних м</w:t>
      </w:r>
      <w:r>
        <w:rPr>
          <w:color w:val="000000"/>
          <w:lang w:val="uk-UA"/>
        </w:rPr>
        <w:t>е</w:t>
      </w:r>
      <w:r>
        <w:rPr>
          <w:color w:val="000000"/>
          <w:lang w:val="uk-UA"/>
        </w:rPr>
        <w:t>дичних установах із застосуванням ін'єкційних форм еуфіліну і предніз</w:t>
      </w:r>
      <w:r>
        <w:rPr>
          <w:color w:val="000000"/>
          <w:lang w:val="uk-UA"/>
        </w:rPr>
        <w:t>о</w:t>
      </w:r>
      <w:r>
        <w:rPr>
          <w:color w:val="000000"/>
          <w:lang w:val="uk-UA"/>
        </w:rPr>
        <w:t>лону.</w:t>
      </w:r>
    </w:p>
    <w:p w:rsidR="00FC6DD7" w:rsidRDefault="00FC6DD7" w:rsidP="00FC6DD7">
      <w:pPr>
        <w:pStyle w:val="afffffffb"/>
        <w:suppressAutoHyphens/>
        <w:autoSpaceDE w:val="0"/>
        <w:autoSpaceDN w:val="0"/>
        <w:jc w:val="center"/>
        <w:rPr>
          <w:b/>
          <w:bCs/>
          <w:color w:val="000000"/>
          <w:lang w:val="uk-UA"/>
        </w:rPr>
      </w:pPr>
    </w:p>
    <w:p w:rsidR="00FC6DD7" w:rsidRDefault="00FC6DD7" w:rsidP="00FC6DD7">
      <w:pPr>
        <w:pStyle w:val="afffffffb"/>
        <w:suppressAutoHyphens/>
        <w:autoSpaceDE w:val="0"/>
        <w:autoSpaceDN w:val="0"/>
        <w:jc w:val="center"/>
        <w:rPr>
          <w:b/>
          <w:bCs/>
          <w:color w:val="000000"/>
          <w:lang w:val="uk-UA"/>
        </w:rPr>
      </w:pPr>
      <w:r>
        <w:rPr>
          <w:b/>
          <w:bCs/>
          <w:color w:val="000000"/>
          <w:lang w:val="uk-UA"/>
        </w:rPr>
        <w:lastRenderedPageBreak/>
        <w:t>Рекомендації щодо  науково-теоретичного та  практичного  використання  здобутих  результатів</w:t>
      </w:r>
    </w:p>
    <w:p w:rsidR="00FC6DD7" w:rsidRDefault="00FC6DD7" w:rsidP="00FC6DD7">
      <w:pPr>
        <w:pStyle w:val="afffffffb"/>
        <w:autoSpaceDE w:val="0"/>
        <w:autoSpaceDN w:val="0"/>
        <w:rPr>
          <w:color w:val="000000"/>
          <w:lang w:val="uk-UA"/>
        </w:rPr>
      </w:pPr>
      <w:r>
        <w:rPr>
          <w:color w:val="000000"/>
          <w:lang w:val="uk-UA"/>
        </w:rPr>
        <w:t>1. Для підвищення ефективності амбулаторного лікування і поліпшення якості життя хворих на ХОЗЛ пропонується створення спеціалізованого пул</w:t>
      </w:r>
      <w:r>
        <w:rPr>
          <w:color w:val="000000"/>
          <w:lang w:val="uk-UA"/>
        </w:rPr>
        <w:t>ь</w:t>
      </w:r>
      <w:r>
        <w:rPr>
          <w:color w:val="000000"/>
          <w:lang w:val="uk-UA"/>
        </w:rPr>
        <w:t>монологічного лікувально-реабілітаційного центру з своїм штатом співробітн</w:t>
      </w:r>
      <w:r>
        <w:rPr>
          <w:color w:val="000000"/>
          <w:lang w:val="uk-UA"/>
        </w:rPr>
        <w:t>и</w:t>
      </w:r>
      <w:r>
        <w:rPr>
          <w:color w:val="000000"/>
          <w:lang w:val="uk-UA"/>
        </w:rPr>
        <w:t>ків, спеціальним устаткуванням і функціональними задачами. Центр признач</w:t>
      </w:r>
      <w:r>
        <w:rPr>
          <w:color w:val="000000"/>
          <w:lang w:val="uk-UA"/>
        </w:rPr>
        <w:t>е</w:t>
      </w:r>
      <w:r>
        <w:rPr>
          <w:color w:val="000000"/>
          <w:lang w:val="uk-UA"/>
        </w:rPr>
        <w:t>ний для здійснення комплексу діагностичних, лікувальних, профілактичних, реабілітаційних, інформаційних, освітніх заходів, що формують у пацієнтів в</w:t>
      </w:r>
      <w:r>
        <w:rPr>
          <w:color w:val="000000"/>
          <w:lang w:val="uk-UA"/>
        </w:rPr>
        <w:t>и</w:t>
      </w:r>
      <w:r>
        <w:rPr>
          <w:color w:val="000000"/>
          <w:lang w:val="uk-UA"/>
        </w:rPr>
        <w:t xml:space="preserve">соку прихильність до лікування ХОЗЛ. </w:t>
      </w:r>
    </w:p>
    <w:p w:rsidR="00FC6DD7" w:rsidRDefault="00FC6DD7" w:rsidP="00FC6DD7">
      <w:pPr>
        <w:pStyle w:val="afffffffb"/>
        <w:autoSpaceDE w:val="0"/>
        <w:autoSpaceDN w:val="0"/>
        <w:rPr>
          <w:snapToGrid w:val="0"/>
          <w:color w:val="000000"/>
          <w:lang w:val="uk-UA"/>
        </w:rPr>
      </w:pPr>
      <w:r>
        <w:rPr>
          <w:color w:val="000000"/>
          <w:lang w:val="uk-UA"/>
        </w:rPr>
        <w:t>2. Для лікування загострень ХОЗЛ на амбулаторному етапі необхідна н</w:t>
      </w:r>
      <w:r>
        <w:rPr>
          <w:color w:val="000000"/>
          <w:lang w:val="uk-UA"/>
        </w:rPr>
        <w:t>е</w:t>
      </w:r>
      <w:r>
        <w:rPr>
          <w:color w:val="000000"/>
          <w:lang w:val="uk-UA"/>
        </w:rPr>
        <w:t xml:space="preserve">булайзерна терапія за допомогою струменевих </w:t>
      </w:r>
      <w:r>
        <w:rPr>
          <w:snapToGrid w:val="0"/>
          <w:color w:val="000000"/>
          <w:lang w:val="uk-UA"/>
        </w:rPr>
        <w:t xml:space="preserve">інгаляторів, що забезпечують  </w:t>
      </w:r>
      <w:r>
        <w:rPr>
          <w:color w:val="000000"/>
          <w:lang w:val="uk-UA"/>
        </w:rPr>
        <w:t>респірабельну фракцію не менше 50%, об'єм наповнення небулайзерної кам</w:t>
      </w:r>
      <w:r>
        <w:rPr>
          <w:color w:val="000000"/>
          <w:lang w:val="uk-UA"/>
        </w:rPr>
        <w:t>е</w:t>
      </w:r>
      <w:r>
        <w:rPr>
          <w:color w:val="000000"/>
          <w:lang w:val="uk-UA"/>
        </w:rPr>
        <w:t>ри не менше 5 мл, залишковий об'єм не більше 1 мл, час інгаляції не більше 15 хвилин при об'ємі розчину 5 мл, швидкість потоку повітря 6-10 л/хв, тиск 2-7 Бар, продуктивність не менше 0,2 мл/хв. Перевагу слідує віддавати небулайз</w:t>
      </w:r>
      <w:r>
        <w:rPr>
          <w:color w:val="000000"/>
          <w:lang w:val="uk-UA"/>
        </w:rPr>
        <w:t>е</w:t>
      </w:r>
      <w:r>
        <w:rPr>
          <w:color w:val="000000"/>
          <w:lang w:val="uk-UA"/>
        </w:rPr>
        <w:t>рам, які активуються вдихом пацієнта і які забезпечені клапанним переривн</w:t>
      </w:r>
      <w:r>
        <w:rPr>
          <w:color w:val="000000"/>
          <w:lang w:val="uk-UA"/>
        </w:rPr>
        <w:t>и</w:t>
      </w:r>
      <w:r>
        <w:rPr>
          <w:color w:val="000000"/>
          <w:lang w:val="uk-UA"/>
        </w:rPr>
        <w:t xml:space="preserve">ком потоку у фазу видиху. </w:t>
      </w:r>
    </w:p>
    <w:p w:rsidR="00FC6DD7" w:rsidRDefault="00FC6DD7" w:rsidP="00FC6DD7">
      <w:pPr>
        <w:pStyle w:val="afffffffb"/>
        <w:autoSpaceDE w:val="0"/>
        <w:autoSpaceDN w:val="0"/>
        <w:rPr>
          <w:color w:val="000000"/>
          <w:lang w:val="uk-UA"/>
        </w:rPr>
      </w:pPr>
      <w:r>
        <w:rPr>
          <w:color w:val="000000"/>
          <w:lang w:val="uk-UA"/>
        </w:rPr>
        <w:t>3. При загостренні ХОЗЛ слід віддавати перевагу застосуванню будесон</w:t>
      </w:r>
      <w:r>
        <w:rPr>
          <w:color w:val="000000"/>
          <w:lang w:val="uk-UA"/>
        </w:rPr>
        <w:t>і</w:t>
      </w:r>
      <w:r>
        <w:rPr>
          <w:color w:val="000000"/>
          <w:lang w:val="uk-UA"/>
        </w:rPr>
        <w:t>ду (суспензія  ПУЛЬМИКОРТ®, 0,5 мг/ мл, AstraZeneca) або флутіказону пр</w:t>
      </w:r>
      <w:r>
        <w:rPr>
          <w:color w:val="000000"/>
          <w:lang w:val="uk-UA"/>
        </w:rPr>
        <w:t>о</w:t>
      </w:r>
      <w:r>
        <w:rPr>
          <w:color w:val="000000"/>
          <w:lang w:val="uk-UA"/>
        </w:rPr>
        <w:t xml:space="preserve">піонату (суспензія  ФЛИКСОТИД™ небули™, 2 мг/2 мл, GlaxoSmithKline) на фізіологічному розчині хлориду натрію (2-3 </w:t>
      </w:r>
      <w:r>
        <w:rPr>
          <w:color w:val="000000"/>
        </w:rPr>
        <w:t>мл</w:t>
      </w:r>
      <w:r>
        <w:rPr>
          <w:color w:val="000000"/>
          <w:lang w:val="uk-UA"/>
        </w:rPr>
        <w:t>) через компресорний інгал</w:t>
      </w:r>
      <w:r>
        <w:rPr>
          <w:color w:val="000000"/>
          <w:lang w:val="uk-UA"/>
        </w:rPr>
        <w:t>я</w:t>
      </w:r>
      <w:r>
        <w:rPr>
          <w:color w:val="000000"/>
          <w:lang w:val="uk-UA"/>
        </w:rPr>
        <w:t xml:space="preserve">тор в добовій дозі 4-8 </w:t>
      </w:r>
      <w:r>
        <w:rPr>
          <w:color w:val="000000"/>
        </w:rPr>
        <w:t>мг</w:t>
      </w:r>
      <w:r>
        <w:rPr>
          <w:color w:val="000000"/>
          <w:lang w:val="uk-UA"/>
        </w:rPr>
        <w:t xml:space="preserve"> тривалістю не менше 10 днів.</w:t>
      </w:r>
    </w:p>
    <w:p w:rsidR="00FC6DD7" w:rsidRDefault="00FC6DD7" w:rsidP="00FC6DD7">
      <w:pPr>
        <w:pStyle w:val="afffffffb"/>
        <w:rPr>
          <w:color w:val="000000"/>
          <w:lang w:val="uk-UA"/>
        </w:rPr>
      </w:pPr>
      <w:r>
        <w:rPr>
          <w:color w:val="000000"/>
          <w:lang w:val="uk-UA"/>
        </w:rPr>
        <w:t xml:space="preserve">Методики лікування загострень ХОЗЛ були викладені в рекомендаціях:  </w:t>
      </w:r>
    </w:p>
    <w:p w:rsidR="00FC6DD7" w:rsidRDefault="00FC6DD7" w:rsidP="00FC6DD7">
      <w:pPr>
        <w:pStyle w:val="afffffffb"/>
        <w:autoSpaceDE w:val="0"/>
        <w:autoSpaceDN w:val="0"/>
        <w:rPr>
          <w:color w:val="000000"/>
          <w:lang w:val="uk-UA" w:eastAsia="uk-UA"/>
        </w:rPr>
      </w:pPr>
      <w:r>
        <w:rPr>
          <w:color w:val="000000"/>
          <w:lang w:val="uk-UA" w:eastAsia="uk-UA"/>
        </w:rPr>
        <w:t>Прогнозування  наслідків  лікування бронхіальної  астми та хронічного обструктивного захворювання легенів:  методичні</w:t>
      </w:r>
      <w:r>
        <w:rPr>
          <w:color w:val="000000"/>
          <w:lang w:val="uk-UA"/>
        </w:rPr>
        <w:t xml:space="preserve"> </w:t>
      </w:r>
      <w:r>
        <w:rPr>
          <w:color w:val="000000"/>
          <w:lang w:val="uk-UA" w:eastAsia="uk-UA"/>
        </w:rPr>
        <w:t>рекомендації / укладачі: С.Г. Доніч, С.С. Солдатченко, Й.П. Ігнатоніс, В.М. Савченко, А.Г. Мальченко. – К</w:t>
      </w:r>
      <w:r>
        <w:rPr>
          <w:color w:val="000000"/>
          <w:lang w:val="uk-UA" w:eastAsia="uk-UA"/>
        </w:rPr>
        <w:t>и</w:t>
      </w:r>
      <w:r>
        <w:rPr>
          <w:color w:val="000000"/>
          <w:lang w:val="uk-UA" w:eastAsia="uk-UA"/>
        </w:rPr>
        <w:t xml:space="preserve">їв: КРУ «НДІ фізичних методів лікування і медичної кліматології ім. І.М.Сєченова», 2008. – 19 с. </w:t>
      </w:r>
    </w:p>
    <w:p w:rsidR="00FC6DD7" w:rsidRDefault="00FC6DD7" w:rsidP="00FC6DD7">
      <w:pPr>
        <w:pStyle w:val="2fb"/>
        <w:overflowPunct/>
        <w:autoSpaceDE/>
        <w:autoSpaceDN/>
        <w:adjustRightInd/>
        <w:spacing w:before="0"/>
        <w:textAlignment w:val="auto"/>
        <w:rPr>
          <w:b/>
          <w:bCs/>
          <w:color w:val="000000"/>
          <w:lang w:val="uk-UA"/>
        </w:rPr>
      </w:pPr>
    </w:p>
    <w:p w:rsidR="00FC6DD7" w:rsidRDefault="00FC6DD7" w:rsidP="00FC6DD7">
      <w:pPr>
        <w:suppressAutoHyphens/>
        <w:spacing w:after="120"/>
        <w:jc w:val="center"/>
        <w:rPr>
          <w:color w:val="000000"/>
          <w:lang w:val="uk-UA"/>
        </w:rPr>
      </w:pPr>
      <w:r>
        <w:rPr>
          <w:b/>
          <w:bCs/>
          <w:color w:val="000000"/>
          <w:lang w:val="uk-UA" w:eastAsia="uk-UA"/>
        </w:rPr>
        <w:br w:type="page"/>
      </w:r>
      <w:r>
        <w:rPr>
          <w:b/>
          <w:bCs/>
          <w:color w:val="000000"/>
          <w:lang w:val="uk-UA" w:eastAsia="uk-UA"/>
        </w:rPr>
        <w:lastRenderedPageBreak/>
        <w:t>СПИСОК  ОПУБЛІКОВАНИХ  ПРАЦЬ</w:t>
      </w:r>
    </w:p>
    <w:p w:rsidR="00FC6DD7" w:rsidRDefault="00FC6DD7" w:rsidP="00FC6DD7">
      <w:pPr>
        <w:pStyle w:val="afffffffb"/>
        <w:tabs>
          <w:tab w:val="left" w:pos="360"/>
        </w:tabs>
        <w:spacing w:line="233" w:lineRule="auto"/>
        <w:rPr>
          <w:color w:val="000000"/>
        </w:rPr>
      </w:pPr>
      <w:r>
        <w:rPr>
          <w:color w:val="000000"/>
          <w:lang w:val="uk-UA"/>
        </w:rPr>
        <w:t xml:space="preserve">1. </w:t>
      </w:r>
      <w:r>
        <w:rPr>
          <w:color w:val="000000"/>
        </w:rPr>
        <w:t>Мальченко А.Г. Современные ингаляторы: принципы работы и техн</w:t>
      </w:r>
      <w:r>
        <w:rPr>
          <w:color w:val="000000"/>
        </w:rPr>
        <w:t>и</w:t>
      </w:r>
      <w:r>
        <w:rPr>
          <w:color w:val="000000"/>
        </w:rPr>
        <w:t xml:space="preserve">ческие решения / А.Г.Мальченко // Вестник физиотерапии и курортологии. – 2007. – №1. –  С.10-13. </w:t>
      </w:r>
    </w:p>
    <w:p w:rsidR="00FC6DD7" w:rsidRDefault="00FC6DD7" w:rsidP="00FC6DD7">
      <w:pPr>
        <w:pStyle w:val="afffffffb"/>
        <w:tabs>
          <w:tab w:val="left" w:pos="360"/>
        </w:tabs>
        <w:spacing w:line="233" w:lineRule="auto"/>
        <w:rPr>
          <w:color w:val="000000"/>
        </w:rPr>
      </w:pPr>
      <w:r>
        <w:rPr>
          <w:color w:val="000000"/>
          <w:lang w:val="uk-UA"/>
        </w:rPr>
        <w:t xml:space="preserve">2. </w:t>
      </w:r>
      <w:r>
        <w:rPr>
          <w:color w:val="000000"/>
        </w:rPr>
        <w:t>Медицинская реабилитация больных хроническими неспецифическими заболеваниями легких / С.С.Солдатченко, С.Г.Донич, И.П.Игнатонис, А.Г.Мальченко, И.Г. Ульченко // Вестник физиотерапии и курортологии. – 2007. – №2. –  С.7-9.</w:t>
      </w:r>
    </w:p>
    <w:p w:rsidR="00FC6DD7" w:rsidRDefault="00FC6DD7" w:rsidP="00FC6DD7">
      <w:pPr>
        <w:pStyle w:val="afffffffb"/>
        <w:tabs>
          <w:tab w:val="left" w:pos="360"/>
        </w:tabs>
        <w:spacing w:line="233" w:lineRule="auto"/>
        <w:rPr>
          <w:color w:val="000000"/>
        </w:rPr>
      </w:pPr>
      <w:r>
        <w:rPr>
          <w:color w:val="000000"/>
          <w:lang w:val="uk-UA"/>
        </w:rPr>
        <w:t xml:space="preserve">3. </w:t>
      </w:r>
      <w:r>
        <w:rPr>
          <w:color w:val="000000"/>
        </w:rPr>
        <w:t>Солдатченко С.С. Медицинская реабилитация в пульмонологической клинике / С.С.Солдатченко, С.Г.Донич, А.Г.Мальченко // Украинский пульм</w:t>
      </w:r>
      <w:r>
        <w:rPr>
          <w:color w:val="000000"/>
        </w:rPr>
        <w:t>о</w:t>
      </w:r>
      <w:r>
        <w:rPr>
          <w:color w:val="000000"/>
        </w:rPr>
        <w:t>нологический журнал. –2008. – №3 (Додаток). –  С.47-49.</w:t>
      </w:r>
    </w:p>
    <w:p w:rsidR="00FC6DD7" w:rsidRDefault="00FC6DD7" w:rsidP="00FC6DD7">
      <w:pPr>
        <w:pStyle w:val="afffffffb"/>
        <w:tabs>
          <w:tab w:val="left" w:pos="360"/>
        </w:tabs>
        <w:spacing w:line="233" w:lineRule="auto"/>
        <w:rPr>
          <w:color w:val="000000"/>
        </w:rPr>
      </w:pPr>
      <w:r>
        <w:rPr>
          <w:color w:val="000000"/>
          <w:lang w:val="uk-UA"/>
        </w:rPr>
        <w:t xml:space="preserve">4. </w:t>
      </w:r>
      <w:r>
        <w:rPr>
          <w:color w:val="000000"/>
        </w:rPr>
        <w:t>Реабилитация больных хроническими заболеваниями легких: обзор л</w:t>
      </w:r>
      <w:r>
        <w:rPr>
          <w:color w:val="000000"/>
        </w:rPr>
        <w:t>и</w:t>
      </w:r>
      <w:r>
        <w:rPr>
          <w:color w:val="000000"/>
        </w:rPr>
        <w:t>тературы и собственные данные / С.С.Солдатченко, С.Г.Донич, И.П.Игнатонис, А.Г.Мальченко, И.Г.Ульченко // Актуальные  вопросы  курортологии, физиот</w:t>
      </w:r>
      <w:r>
        <w:rPr>
          <w:color w:val="000000"/>
        </w:rPr>
        <w:t>е</w:t>
      </w:r>
      <w:r>
        <w:rPr>
          <w:color w:val="000000"/>
        </w:rPr>
        <w:t xml:space="preserve">рапии и медицинской  реабилитации: труды Крымского  республиканского НИИ имени И.М.Сеченова. </w:t>
      </w:r>
      <w:r>
        <w:rPr>
          <w:color w:val="000000"/>
        </w:rPr>
        <w:sym w:font="Symbol" w:char="F02D"/>
      </w:r>
      <w:r>
        <w:rPr>
          <w:color w:val="000000"/>
        </w:rPr>
        <w:t xml:space="preserve"> Ялта, 2006.  </w:t>
      </w:r>
      <w:r>
        <w:rPr>
          <w:color w:val="000000"/>
        </w:rPr>
        <w:sym w:font="Symbol" w:char="F02D"/>
      </w:r>
      <w:r>
        <w:rPr>
          <w:color w:val="000000"/>
        </w:rPr>
        <w:t xml:space="preserve"> Том XVII. Часть 2. </w:t>
      </w:r>
      <w:r>
        <w:rPr>
          <w:color w:val="000000"/>
        </w:rPr>
        <w:sym w:font="Symbol" w:char="F02D"/>
      </w:r>
      <w:r>
        <w:rPr>
          <w:color w:val="000000"/>
        </w:rPr>
        <w:t xml:space="preserve"> С.72-88.</w:t>
      </w:r>
    </w:p>
    <w:p w:rsidR="00FC6DD7" w:rsidRDefault="00FC6DD7" w:rsidP="00FC6DD7">
      <w:pPr>
        <w:pStyle w:val="afffffffb"/>
        <w:tabs>
          <w:tab w:val="left" w:pos="360"/>
        </w:tabs>
        <w:spacing w:line="233" w:lineRule="auto"/>
        <w:rPr>
          <w:color w:val="000000"/>
        </w:rPr>
      </w:pPr>
      <w:r>
        <w:rPr>
          <w:color w:val="000000"/>
          <w:lang w:val="uk-UA"/>
        </w:rPr>
        <w:t xml:space="preserve">5. </w:t>
      </w:r>
      <w:r>
        <w:rPr>
          <w:color w:val="000000"/>
        </w:rPr>
        <w:t>Небулайзерная терапия: теоретические аспекты и материальное обе</w:t>
      </w:r>
      <w:r>
        <w:rPr>
          <w:color w:val="000000"/>
        </w:rPr>
        <w:t>с</w:t>
      </w:r>
      <w:r>
        <w:rPr>
          <w:color w:val="000000"/>
        </w:rPr>
        <w:t>печение / С.С.Солдатченко, С.Г.Донич, И.П.Игнатонис, А.Г.Мальченко, И.Г.Ульченко // Актуальные  вопросы  курортологии, физиотерапии и мед</w:t>
      </w:r>
      <w:r>
        <w:rPr>
          <w:color w:val="000000"/>
        </w:rPr>
        <w:t>и</w:t>
      </w:r>
      <w:r>
        <w:rPr>
          <w:color w:val="000000"/>
        </w:rPr>
        <w:t xml:space="preserve">цинской  реабилитации: труды Крымского  республиканского НИИ имени И.М.Сеченова. </w:t>
      </w:r>
      <w:r>
        <w:rPr>
          <w:color w:val="000000"/>
        </w:rPr>
        <w:sym w:font="Symbol" w:char="F02D"/>
      </w:r>
      <w:r>
        <w:rPr>
          <w:color w:val="000000"/>
        </w:rPr>
        <w:t xml:space="preserve"> Ялта, 2004.  </w:t>
      </w:r>
      <w:r>
        <w:rPr>
          <w:color w:val="000000"/>
        </w:rPr>
        <w:sym w:font="Symbol" w:char="F02D"/>
      </w:r>
      <w:r>
        <w:rPr>
          <w:color w:val="000000"/>
        </w:rPr>
        <w:t xml:space="preserve"> Том XV. Часть 2. </w:t>
      </w:r>
      <w:r>
        <w:rPr>
          <w:color w:val="000000"/>
        </w:rPr>
        <w:sym w:font="Symbol" w:char="F02D"/>
      </w:r>
      <w:r>
        <w:rPr>
          <w:color w:val="000000"/>
        </w:rPr>
        <w:t xml:space="preserve"> С.73-79.</w:t>
      </w:r>
    </w:p>
    <w:p w:rsidR="00FC6DD7" w:rsidRDefault="00FC6DD7" w:rsidP="00FC6DD7">
      <w:pPr>
        <w:pStyle w:val="afffffffb"/>
        <w:tabs>
          <w:tab w:val="left" w:pos="360"/>
        </w:tabs>
        <w:spacing w:line="233" w:lineRule="auto"/>
        <w:rPr>
          <w:color w:val="000000"/>
        </w:rPr>
      </w:pPr>
      <w:r>
        <w:rPr>
          <w:color w:val="000000"/>
          <w:lang w:val="uk-UA"/>
        </w:rPr>
        <w:t xml:space="preserve">6. </w:t>
      </w:r>
      <w:r>
        <w:rPr>
          <w:color w:val="000000"/>
        </w:rPr>
        <w:t>Организация медицинской реабилитации больных хроническими заб</w:t>
      </w:r>
      <w:r>
        <w:rPr>
          <w:color w:val="000000"/>
        </w:rPr>
        <w:t>о</w:t>
      </w:r>
      <w:r>
        <w:rPr>
          <w:color w:val="000000"/>
        </w:rPr>
        <w:t>леваниями легких в Автономной Республике Крым / С.С.Солдатченко, С.Г.Донич, И.П.Игнатонис, Н.А.Овсянников, М.А.Захарова, А.Г.Мальченко, И.Г.Ульченко // Актуальные  вопросы  курортологии, физиотерапии и мед</w:t>
      </w:r>
      <w:r>
        <w:rPr>
          <w:color w:val="000000"/>
        </w:rPr>
        <w:t>и</w:t>
      </w:r>
      <w:r>
        <w:rPr>
          <w:color w:val="000000"/>
        </w:rPr>
        <w:t>цинской  реабилитации: труды Крымского  республ</w:t>
      </w:r>
      <w:r>
        <w:rPr>
          <w:color w:val="000000"/>
        </w:rPr>
        <w:t>и</w:t>
      </w:r>
      <w:r>
        <w:rPr>
          <w:color w:val="000000"/>
        </w:rPr>
        <w:t xml:space="preserve">канского НИИ имени И.М.Сеченова. </w:t>
      </w:r>
      <w:r>
        <w:rPr>
          <w:color w:val="000000"/>
        </w:rPr>
        <w:sym w:font="Symbol" w:char="F02D"/>
      </w:r>
      <w:r>
        <w:rPr>
          <w:color w:val="000000"/>
        </w:rPr>
        <w:t xml:space="preserve"> Ялта, 2007.  </w:t>
      </w:r>
      <w:r>
        <w:rPr>
          <w:color w:val="000000"/>
        </w:rPr>
        <w:sym w:font="Symbol" w:char="F02D"/>
      </w:r>
      <w:r>
        <w:rPr>
          <w:color w:val="000000"/>
        </w:rPr>
        <w:t xml:space="preserve"> Том XVIII. Часть 1. </w:t>
      </w:r>
      <w:r>
        <w:rPr>
          <w:color w:val="000000"/>
        </w:rPr>
        <w:sym w:font="Symbol" w:char="F02D"/>
      </w:r>
      <w:r>
        <w:rPr>
          <w:color w:val="000000"/>
        </w:rPr>
        <w:t xml:space="preserve"> С.78-82.</w:t>
      </w:r>
    </w:p>
    <w:p w:rsidR="00FC6DD7" w:rsidRDefault="00FC6DD7" w:rsidP="00FC6DD7">
      <w:pPr>
        <w:pStyle w:val="afffffffb"/>
        <w:tabs>
          <w:tab w:val="left" w:pos="360"/>
        </w:tabs>
        <w:spacing w:line="233" w:lineRule="auto"/>
        <w:rPr>
          <w:color w:val="000000"/>
        </w:rPr>
      </w:pPr>
      <w:r>
        <w:rPr>
          <w:color w:val="000000"/>
          <w:lang w:val="uk-UA"/>
        </w:rPr>
        <w:t xml:space="preserve">7. </w:t>
      </w:r>
      <w:r>
        <w:rPr>
          <w:color w:val="000000"/>
        </w:rPr>
        <w:t>Мальченко А.Г. Качество  жизни  больных хроническим обструкти</w:t>
      </w:r>
      <w:r>
        <w:rPr>
          <w:color w:val="000000"/>
        </w:rPr>
        <w:t>в</w:t>
      </w:r>
      <w:r>
        <w:rPr>
          <w:color w:val="000000"/>
        </w:rPr>
        <w:t>ным заболеванием легких при разных вариантах лекарственного лечения  об</w:t>
      </w:r>
      <w:r>
        <w:rPr>
          <w:color w:val="000000"/>
        </w:rPr>
        <w:t>о</w:t>
      </w:r>
      <w:r>
        <w:rPr>
          <w:color w:val="000000"/>
        </w:rPr>
        <w:t xml:space="preserve">стрений заболевания / А.Г.Мальченко //  Актуальные  вопросы  курортологии, физиотерапии и медицинской </w:t>
      </w:r>
      <w:r>
        <w:rPr>
          <w:color w:val="000000"/>
          <w:lang w:val="uk-UA"/>
        </w:rPr>
        <w:t xml:space="preserve"> </w:t>
      </w:r>
      <w:r>
        <w:rPr>
          <w:color w:val="000000"/>
        </w:rPr>
        <w:t xml:space="preserve">реабилитации: труды Крымского </w:t>
      </w:r>
      <w:r>
        <w:rPr>
          <w:color w:val="000000"/>
          <w:lang w:val="uk-UA"/>
        </w:rPr>
        <w:t xml:space="preserve"> </w:t>
      </w:r>
      <w:r>
        <w:rPr>
          <w:color w:val="000000"/>
        </w:rPr>
        <w:t>республика</w:t>
      </w:r>
      <w:r>
        <w:rPr>
          <w:color w:val="000000"/>
        </w:rPr>
        <w:t>н</w:t>
      </w:r>
      <w:r>
        <w:rPr>
          <w:color w:val="000000"/>
        </w:rPr>
        <w:t>ского учреждения "НИИ имени</w:t>
      </w:r>
      <w:r>
        <w:rPr>
          <w:color w:val="000000"/>
          <w:lang w:val="uk-UA"/>
        </w:rPr>
        <w:t xml:space="preserve"> </w:t>
      </w:r>
      <w:r>
        <w:rPr>
          <w:color w:val="000000"/>
        </w:rPr>
        <w:t>И.М.Сеченова".</w:t>
      </w:r>
      <w:r>
        <w:rPr>
          <w:color w:val="000000"/>
          <w:lang w:val="uk-UA"/>
        </w:rPr>
        <w:t xml:space="preserve"> </w:t>
      </w:r>
      <w:r>
        <w:rPr>
          <w:color w:val="000000"/>
        </w:rPr>
        <w:sym w:font="Symbol" w:char="F02D"/>
      </w:r>
      <w:r>
        <w:rPr>
          <w:color w:val="000000"/>
        </w:rPr>
        <w:t xml:space="preserve"> Ялта, 2009.</w:t>
      </w:r>
      <w:r>
        <w:rPr>
          <w:color w:val="000000"/>
          <w:lang w:val="uk-UA"/>
        </w:rPr>
        <w:t xml:space="preserve"> </w:t>
      </w:r>
      <w:r>
        <w:rPr>
          <w:color w:val="000000"/>
        </w:rPr>
        <w:t xml:space="preserve"> </w:t>
      </w:r>
      <w:r>
        <w:rPr>
          <w:color w:val="000000"/>
        </w:rPr>
        <w:sym w:font="Symbol" w:char="F02D"/>
      </w:r>
      <w:r>
        <w:rPr>
          <w:color w:val="000000"/>
        </w:rPr>
        <w:t xml:space="preserve"> Том </w:t>
      </w:r>
      <w:r>
        <w:rPr>
          <w:color w:val="000000"/>
          <w:lang w:val="en-US"/>
        </w:rPr>
        <w:t>XX</w:t>
      </w:r>
      <w:r>
        <w:rPr>
          <w:color w:val="000000"/>
        </w:rPr>
        <w:t xml:space="preserve">. </w:t>
      </w:r>
      <w:r>
        <w:rPr>
          <w:color w:val="000000"/>
        </w:rPr>
        <w:sym w:font="Symbol" w:char="F02D"/>
      </w:r>
      <w:r>
        <w:rPr>
          <w:color w:val="000000"/>
        </w:rPr>
        <w:t xml:space="preserve"> </w:t>
      </w:r>
      <w:r>
        <w:rPr>
          <w:color w:val="000000"/>
          <w:lang w:val="uk-UA"/>
        </w:rPr>
        <w:t>С.72</w:t>
      </w:r>
      <w:r>
        <w:rPr>
          <w:color w:val="000000"/>
        </w:rPr>
        <w:t>-91.</w:t>
      </w:r>
    </w:p>
    <w:p w:rsidR="00FC6DD7" w:rsidRDefault="00FC6DD7" w:rsidP="00FC6DD7">
      <w:pPr>
        <w:pStyle w:val="afffffffb"/>
        <w:tabs>
          <w:tab w:val="left" w:pos="360"/>
        </w:tabs>
        <w:spacing w:line="233" w:lineRule="auto"/>
        <w:rPr>
          <w:color w:val="000000"/>
        </w:rPr>
      </w:pPr>
      <w:r>
        <w:rPr>
          <w:color w:val="000000"/>
          <w:lang w:val="uk-UA"/>
        </w:rPr>
        <w:t xml:space="preserve">8. </w:t>
      </w:r>
      <w:r>
        <w:rPr>
          <w:color w:val="000000"/>
        </w:rPr>
        <w:t>Мальченко А.Г. Приверженность к лечению больных хроническим о</w:t>
      </w:r>
      <w:r>
        <w:rPr>
          <w:color w:val="000000"/>
        </w:rPr>
        <w:t>б</w:t>
      </w:r>
      <w:r>
        <w:rPr>
          <w:color w:val="000000"/>
        </w:rPr>
        <w:t>структивным заболеванием легких при разных вариантах лекарственного леч</w:t>
      </w:r>
      <w:r>
        <w:rPr>
          <w:color w:val="000000"/>
        </w:rPr>
        <w:t>е</w:t>
      </w:r>
      <w:r>
        <w:rPr>
          <w:color w:val="000000"/>
        </w:rPr>
        <w:t>ния  обострений заболевания / А.Г.Мальченко //  Актуальные  вопросы  куро</w:t>
      </w:r>
      <w:r>
        <w:rPr>
          <w:color w:val="000000"/>
        </w:rPr>
        <w:t>р</w:t>
      </w:r>
      <w:r>
        <w:rPr>
          <w:color w:val="000000"/>
        </w:rPr>
        <w:t xml:space="preserve">тологии, физиотерапии и медицинской </w:t>
      </w:r>
      <w:r>
        <w:rPr>
          <w:color w:val="000000"/>
          <w:lang w:val="uk-UA"/>
        </w:rPr>
        <w:t xml:space="preserve"> </w:t>
      </w:r>
      <w:r>
        <w:rPr>
          <w:color w:val="000000"/>
        </w:rPr>
        <w:t xml:space="preserve">реабилитации: труды Крымского </w:t>
      </w:r>
      <w:r>
        <w:rPr>
          <w:color w:val="000000"/>
          <w:lang w:val="uk-UA"/>
        </w:rPr>
        <w:t xml:space="preserve"> </w:t>
      </w:r>
      <w:r>
        <w:rPr>
          <w:color w:val="000000"/>
        </w:rPr>
        <w:t>ре</w:t>
      </w:r>
      <w:r>
        <w:rPr>
          <w:color w:val="000000"/>
        </w:rPr>
        <w:t>с</w:t>
      </w:r>
      <w:r>
        <w:rPr>
          <w:color w:val="000000"/>
        </w:rPr>
        <w:t>публиканского учреждения "НИИ имени</w:t>
      </w:r>
      <w:r>
        <w:rPr>
          <w:color w:val="000000"/>
          <w:lang w:val="uk-UA"/>
        </w:rPr>
        <w:t xml:space="preserve"> </w:t>
      </w:r>
      <w:r>
        <w:rPr>
          <w:color w:val="000000"/>
        </w:rPr>
        <w:t>И.М.Сеченова".</w:t>
      </w:r>
      <w:r>
        <w:rPr>
          <w:color w:val="000000"/>
          <w:lang w:val="uk-UA"/>
        </w:rPr>
        <w:t xml:space="preserve"> </w:t>
      </w:r>
      <w:r>
        <w:rPr>
          <w:color w:val="000000"/>
        </w:rPr>
        <w:sym w:font="Symbol" w:char="F02D"/>
      </w:r>
      <w:r>
        <w:rPr>
          <w:color w:val="000000"/>
        </w:rPr>
        <w:t xml:space="preserve"> Ялта, 2009.</w:t>
      </w:r>
      <w:r>
        <w:rPr>
          <w:color w:val="000000"/>
          <w:lang w:val="uk-UA"/>
        </w:rPr>
        <w:t xml:space="preserve"> </w:t>
      </w:r>
      <w:r>
        <w:rPr>
          <w:color w:val="000000"/>
        </w:rPr>
        <w:t xml:space="preserve"> </w:t>
      </w:r>
      <w:r>
        <w:rPr>
          <w:color w:val="000000"/>
        </w:rPr>
        <w:sym w:font="Symbol" w:char="F02D"/>
      </w:r>
      <w:r>
        <w:rPr>
          <w:color w:val="000000"/>
        </w:rPr>
        <w:t xml:space="preserve"> Том </w:t>
      </w:r>
      <w:r>
        <w:rPr>
          <w:color w:val="000000"/>
          <w:lang w:val="en-US"/>
        </w:rPr>
        <w:t>X</w:t>
      </w:r>
      <w:r>
        <w:rPr>
          <w:color w:val="000000"/>
        </w:rPr>
        <w:t>Х</w:t>
      </w:r>
      <w:r>
        <w:rPr>
          <w:color w:val="000000"/>
          <w:lang w:val="en-US"/>
        </w:rPr>
        <w:t>I</w:t>
      </w:r>
      <w:r>
        <w:rPr>
          <w:color w:val="000000"/>
        </w:rPr>
        <w:t xml:space="preserve">. </w:t>
      </w:r>
      <w:r>
        <w:rPr>
          <w:color w:val="000000"/>
        </w:rPr>
        <w:sym w:font="Symbol" w:char="F02D"/>
      </w:r>
      <w:r>
        <w:rPr>
          <w:color w:val="000000"/>
        </w:rPr>
        <w:t xml:space="preserve"> </w:t>
      </w:r>
      <w:r>
        <w:rPr>
          <w:color w:val="000000"/>
          <w:lang w:val="uk-UA"/>
        </w:rPr>
        <w:t>С.</w:t>
      </w:r>
      <w:r>
        <w:rPr>
          <w:color w:val="000000"/>
        </w:rPr>
        <w:t>101-119.</w:t>
      </w:r>
    </w:p>
    <w:p w:rsidR="00FC6DD7" w:rsidRDefault="00FC6DD7" w:rsidP="00FC6DD7">
      <w:pPr>
        <w:pStyle w:val="afffffffb"/>
        <w:tabs>
          <w:tab w:val="left" w:pos="360"/>
        </w:tabs>
        <w:spacing w:line="233" w:lineRule="auto"/>
        <w:rPr>
          <w:color w:val="000000"/>
        </w:rPr>
      </w:pPr>
      <w:r>
        <w:rPr>
          <w:color w:val="000000"/>
          <w:lang w:val="uk-UA"/>
        </w:rPr>
        <w:t xml:space="preserve">9. </w:t>
      </w:r>
      <w:r>
        <w:rPr>
          <w:color w:val="000000"/>
        </w:rPr>
        <w:t>Клинико-функциональная оценка применения небулизированного фли</w:t>
      </w:r>
      <w:r>
        <w:rPr>
          <w:color w:val="000000"/>
        </w:rPr>
        <w:t>к</w:t>
      </w:r>
      <w:r>
        <w:rPr>
          <w:color w:val="000000"/>
        </w:rPr>
        <w:t>сотида у больных с тяжелым обострением бронхиальной астмы / С.С.Солдатченко, С.Г.Донич, И.П.Игнатонис, А.Г.Мальченко // Вестник мо</w:t>
      </w:r>
      <w:r>
        <w:rPr>
          <w:color w:val="000000"/>
        </w:rPr>
        <w:t>р</w:t>
      </w:r>
      <w:r>
        <w:rPr>
          <w:color w:val="000000"/>
        </w:rPr>
        <w:t>ского врача. – 2007. – №4. Тезисы V Международной научно-практической конференции «Актуальные проблемы госпитальной тер</w:t>
      </w:r>
      <w:r>
        <w:rPr>
          <w:color w:val="000000"/>
        </w:rPr>
        <w:t>а</w:t>
      </w:r>
      <w:r>
        <w:rPr>
          <w:color w:val="000000"/>
        </w:rPr>
        <w:t>пии». – С.280.</w:t>
      </w:r>
    </w:p>
    <w:p w:rsidR="00FC6DD7" w:rsidRDefault="00FC6DD7" w:rsidP="00FC6DD7">
      <w:pPr>
        <w:pStyle w:val="afffffffb"/>
        <w:tabs>
          <w:tab w:val="left" w:pos="360"/>
        </w:tabs>
        <w:spacing w:line="233" w:lineRule="auto"/>
        <w:rPr>
          <w:color w:val="000000"/>
        </w:rPr>
      </w:pPr>
      <w:r>
        <w:rPr>
          <w:color w:val="000000"/>
          <w:lang w:val="uk-UA"/>
        </w:rPr>
        <w:lastRenderedPageBreak/>
        <w:t xml:space="preserve">10. </w:t>
      </w:r>
      <w:r>
        <w:rPr>
          <w:color w:val="000000"/>
        </w:rPr>
        <w:t>Донич С.Г. Небулизированные кортикостероиды в комплексной тер</w:t>
      </w:r>
      <w:r>
        <w:rPr>
          <w:color w:val="000000"/>
        </w:rPr>
        <w:t>а</w:t>
      </w:r>
      <w:r>
        <w:rPr>
          <w:color w:val="000000"/>
        </w:rPr>
        <w:t>пии бронхиальной астмы / С.Г.Донич, С.С.Солдатченко, А.Г.Мальченко // Вестник физиотерапии и курортологии. – 2007. – Специальный выпуск. Мат</w:t>
      </w:r>
      <w:r>
        <w:rPr>
          <w:color w:val="000000"/>
        </w:rPr>
        <w:t>е</w:t>
      </w:r>
      <w:r>
        <w:rPr>
          <w:color w:val="000000"/>
        </w:rPr>
        <w:t>риалы научно-практической конференции «Актуальные вопросы деятельности санаторно-курортных учреждений в современных услов</w:t>
      </w:r>
      <w:r>
        <w:rPr>
          <w:color w:val="000000"/>
        </w:rPr>
        <w:t>и</w:t>
      </w:r>
      <w:r>
        <w:rPr>
          <w:color w:val="000000"/>
        </w:rPr>
        <w:t>ях», посвященной 100-летию основания санатория «Приморье» (Евпат</w:t>
      </w:r>
      <w:r>
        <w:rPr>
          <w:color w:val="000000"/>
        </w:rPr>
        <w:t>о</w:t>
      </w:r>
      <w:r>
        <w:rPr>
          <w:color w:val="000000"/>
        </w:rPr>
        <w:t>рия). – С.117.</w:t>
      </w:r>
    </w:p>
    <w:p w:rsidR="00FC6DD7" w:rsidRDefault="00FC6DD7" w:rsidP="00FC6DD7">
      <w:pPr>
        <w:pStyle w:val="afffffffb"/>
        <w:tabs>
          <w:tab w:val="left" w:pos="360"/>
        </w:tabs>
        <w:spacing w:line="233" w:lineRule="auto"/>
        <w:rPr>
          <w:color w:val="000000"/>
        </w:rPr>
      </w:pPr>
      <w:r>
        <w:rPr>
          <w:color w:val="000000"/>
          <w:lang w:val="uk-UA"/>
        </w:rPr>
        <w:t xml:space="preserve">11. </w:t>
      </w:r>
      <w:r>
        <w:rPr>
          <w:color w:val="000000"/>
        </w:rPr>
        <w:t>Сравнение эффектив</w:t>
      </w:r>
      <w:r>
        <w:rPr>
          <w:color w:val="000000"/>
        </w:rPr>
        <w:softHyphen/>
        <w:t>ности небул</w:t>
      </w:r>
      <w:r>
        <w:rPr>
          <w:color w:val="000000"/>
          <w:lang w:val="uk-UA"/>
        </w:rPr>
        <w:t>и</w:t>
      </w:r>
      <w:r>
        <w:rPr>
          <w:color w:val="000000"/>
        </w:rPr>
        <w:t>з</w:t>
      </w:r>
      <w:r>
        <w:rPr>
          <w:color w:val="000000"/>
          <w:lang w:val="uk-UA"/>
        </w:rPr>
        <w:t>иро</w:t>
      </w:r>
      <w:r>
        <w:rPr>
          <w:color w:val="000000"/>
        </w:rPr>
        <w:t>ван</w:t>
      </w:r>
      <w:r>
        <w:rPr>
          <w:color w:val="000000"/>
          <w:lang w:val="uk-UA"/>
        </w:rPr>
        <w:t>н</w:t>
      </w:r>
      <w:r>
        <w:rPr>
          <w:color w:val="000000"/>
        </w:rPr>
        <w:t>ых и си</w:t>
      </w:r>
      <w:r>
        <w:rPr>
          <w:color w:val="000000"/>
        </w:rPr>
        <w:t>с</w:t>
      </w:r>
      <w:r>
        <w:rPr>
          <w:color w:val="000000"/>
        </w:rPr>
        <w:t>темных кор</w:t>
      </w:r>
      <w:r>
        <w:rPr>
          <w:color w:val="000000"/>
        </w:rPr>
        <w:softHyphen/>
        <w:t>тикостероидов у боль</w:t>
      </w:r>
      <w:r>
        <w:rPr>
          <w:color w:val="000000"/>
        </w:rPr>
        <w:softHyphen/>
        <w:t>ных с тяжелым обост</w:t>
      </w:r>
      <w:r>
        <w:rPr>
          <w:color w:val="000000"/>
        </w:rPr>
        <w:softHyphen/>
        <w:t>рением бронхиал</w:t>
      </w:r>
      <w:r>
        <w:rPr>
          <w:color w:val="000000"/>
        </w:rPr>
        <w:t>ь</w:t>
      </w:r>
      <w:r>
        <w:rPr>
          <w:color w:val="000000"/>
        </w:rPr>
        <w:t>ной астмы / С.С.Солдатченко, С.Г.Донич, А.Г.Мальченко, И.П.Игнатонис  // XVII Наци</w:t>
      </w:r>
      <w:r>
        <w:rPr>
          <w:color w:val="000000"/>
        </w:rPr>
        <w:t>о</w:t>
      </w:r>
      <w:r>
        <w:rPr>
          <w:color w:val="000000"/>
        </w:rPr>
        <w:t>нальный конгресс по болезням органов дыхания: сборник резюме. – Казань, 2007. – С.99.</w:t>
      </w:r>
    </w:p>
    <w:p w:rsidR="00FC6DD7" w:rsidRDefault="00FC6DD7" w:rsidP="00FC6DD7">
      <w:pPr>
        <w:pStyle w:val="afffffffb"/>
        <w:tabs>
          <w:tab w:val="left" w:pos="360"/>
        </w:tabs>
        <w:spacing w:line="233" w:lineRule="auto"/>
        <w:rPr>
          <w:color w:val="000000"/>
        </w:rPr>
      </w:pPr>
      <w:r>
        <w:rPr>
          <w:color w:val="000000"/>
          <w:lang w:val="uk-UA"/>
        </w:rPr>
        <w:t xml:space="preserve">12. </w:t>
      </w:r>
      <w:r>
        <w:rPr>
          <w:color w:val="000000"/>
        </w:rPr>
        <w:t>Реабилитационные программы в пульмонологической службе Ав</w:t>
      </w:r>
      <w:r>
        <w:rPr>
          <w:color w:val="000000"/>
        </w:rPr>
        <w:softHyphen/>
        <w:t>то</w:t>
      </w:r>
      <w:r>
        <w:rPr>
          <w:color w:val="000000"/>
        </w:rPr>
        <w:softHyphen/>
      </w:r>
      <w:r>
        <w:rPr>
          <w:color w:val="000000"/>
        </w:rPr>
        <w:softHyphen/>
        <w:t>номной Республике Крым / С.Г.Донич</w:t>
      </w:r>
      <w:r>
        <w:rPr>
          <w:color w:val="000000"/>
          <w:lang w:val="uk-UA"/>
        </w:rPr>
        <w:t>,</w:t>
      </w:r>
      <w:r>
        <w:rPr>
          <w:color w:val="000000"/>
        </w:rPr>
        <w:t xml:space="preserve"> С.С.Солдатченко, И.П. Игн</w:t>
      </w:r>
      <w:r>
        <w:rPr>
          <w:color w:val="000000"/>
        </w:rPr>
        <w:t>а</w:t>
      </w:r>
      <w:r>
        <w:rPr>
          <w:color w:val="000000"/>
        </w:rPr>
        <w:t>тонис, А.Г.Мальченко</w:t>
      </w:r>
      <w:r>
        <w:rPr>
          <w:color w:val="000000"/>
          <w:lang w:val="uk-UA"/>
        </w:rPr>
        <w:t xml:space="preserve"> </w:t>
      </w:r>
      <w:r>
        <w:rPr>
          <w:color w:val="000000"/>
        </w:rPr>
        <w:t>// Актуальные проблемы курортологии и медицинской реабил</w:t>
      </w:r>
      <w:r>
        <w:rPr>
          <w:color w:val="000000"/>
        </w:rPr>
        <w:t>и</w:t>
      </w:r>
      <w:r>
        <w:rPr>
          <w:color w:val="000000"/>
        </w:rPr>
        <w:t>тации: материалы международной научно-практической конференции. – Оде</w:t>
      </w:r>
      <w:r>
        <w:rPr>
          <w:color w:val="000000"/>
        </w:rPr>
        <w:t>с</w:t>
      </w:r>
      <w:r>
        <w:rPr>
          <w:color w:val="000000"/>
        </w:rPr>
        <w:t>са, 2007. – С.100.</w:t>
      </w:r>
    </w:p>
    <w:p w:rsidR="00FC6DD7" w:rsidRDefault="00FC6DD7" w:rsidP="00FC6DD7">
      <w:pPr>
        <w:pStyle w:val="afffffffb"/>
        <w:tabs>
          <w:tab w:val="left" w:pos="360"/>
        </w:tabs>
        <w:spacing w:line="233" w:lineRule="auto"/>
        <w:rPr>
          <w:color w:val="000000"/>
        </w:rPr>
      </w:pPr>
      <w:r>
        <w:rPr>
          <w:color w:val="000000"/>
          <w:lang w:val="uk-UA"/>
        </w:rPr>
        <w:t xml:space="preserve">13. </w:t>
      </w:r>
      <w:r>
        <w:rPr>
          <w:color w:val="000000"/>
        </w:rPr>
        <w:t>Интегрированная медицинская помощь больным бронхиальной ас</w:t>
      </w:r>
      <w:r>
        <w:rPr>
          <w:color w:val="000000"/>
        </w:rPr>
        <w:t>т</w:t>
      </w:r>
      <w:r>
        <w:rPr>
          <w:color w:val="000000"/>
        </w:rPr>
        <w:t>мой в Автономной Республике Крым / С.С.Солдатченко, С.Г. Донич, И.П.Игнатонис, А.Г.Мальченко // Астма та алергія. – 2007. –   №1-2. Матер</w:t>
      </w:r>
      <w:r>
        <w:rPr>
          <w:color w:val="000000"/>
          <w:lang w:val="uk-UA"/>
        </w:rPr>
        <w:t>і</w:t>
      </w:r>
      <w:r>
        <w:rPr>
          <w:color w:val="000000"/>
        </w:rPr>
        <w:t>а</w:t>
      </w:r>
      <w:r>
        <w:rPr>
          <w:color w:val="000000"/>
        </w:rPr>
        <w:t>л</w:t>
      </w:r>
      <w:r>
        <w:rPr>
          <w:color w:val="000000"/>
          <w:lang w:val="uk-UA"/>
        </w:rPr>
        <w:t>и</w:t>
      </w:r>
      <w:r>
        <w:rPr>
          <w:color w:val="000000"/>
        </w:rPr>
        <w:t xml:space="preserve"> I Нац</w:t>
      </w:r>
      <w:r>
        <w:rPr>
          <w:color w:val="000000"/>
          <w:lang w:val="uk-UA"/>
        </w:rPr>
        <w:t>і</w:t>
      </w:r>
      <w:r>
        <w:rPr>
          <w:color w:val="000000"/>
        </w:rPr>
        <w:t>онального Астма-Конгрес</w:t>
      </w:r>
      <w:r>
        <w:rPr>
          <w:color w:val="000000"/>
          <w:lang w:val="uk-UA"/>
        </w:rPr>
        <w:t>у</w:t>
      </w:r>
      <w:r>
        <w:rPr>
          <w:color w:val="000000"/>
        </w:rPr>
        <w:t>. – С.179.</w:t>
      </w:r>
    </w:p>
    <w:p w:rsidR="00FC6DD7" w:rsidRDefault="00FC6DD7" w:rsidP="00FC6DD7">
      <w:pPr>
        <w:pStyle w:val="afffffffb"/>
        <w:tabs>
          <w:tab w:val="left" w:pos="360"/>
        </w:tabs>
        <w:spacing w:line="233" w:lineRule="auto"/>
        <w:rPr>
          <w:color w:val="000000"/>
        </w:rPr>
      </w:pPr>
      <w:r>
        <w:rPr>
          <w:color w:val="000000"/>
          <w:lang w:val="uk-UA"/>
        </w:rPr>
        <w:t xml:space="preserve">14. </w:t>
      </w:r>
      <w:r>
        <w:rPr>
          <w:color w:val="000000"/>
        </w:rPr>
        <w:t>Улучшение качества жизни и приверженности к лечению у больных бронхиальной астмой в условиях пульмонологического реаб</w:t>
      </w:r>
      <w:r>
        <w:rPr>
          <w:color w:val="000000"/>
        </w:rPr>
        <w:t>и</w:t>
      </w:r>
      <w:r>
        <w:rPr>
          <w:color w:val="000000"/>
        </w:rPr>
        <w:t>литационного центра  /  С.Г.Донич, С.С.Солдатченко, И.П.Игнатонис</w:t>
      </w:r>
      <w:r>
        <w:rPr>
          <w:color w:val="000000"/>
          <w:lang w:val="uk-UA"/>
        </w:rPr>
        <w:t>, А.Г.Мальченко</w:t>
      </w:r>
      <w:r>
        <w:rPr>
          <w:color w:val="000000"/>
        </w:rPr>
        <w:t xml:space="preserve"> // Мат</w:t>
      </w:r>
      <w:r>
        <w:rPr>
          <w:color w:val="000000"/>
        </w:rPr>
        <w:t>е</w:t>
      </w:r>
      <w:r>
        <w:rPr>
          <w:color w:val="000000"/>
        </w:rPr>
        <w:t>риалы III Съезда физиотерапевтов и курортологов Украины. – Ялта, 2008. – С.210.</w:t>
      </w:r>
    </w:p>
    <w:p w:rsidR="00FC6DD7" w:rsidRDefault="00FC6DD7" w:rsidP="00FC6DD7">
      <w:pPr>
        <w:pStyle w:val="afffffffb"/>
        <w:tabs>
          <w:tab w:val="left" w:pos="360"/>
        </w:tabs>
        <w:spacing w:line="233" w:lineRule="auto"/>
        <w:rPr>
          <w:color w:val="000000"/>
        </w:rPr>
      </w:pPr>
      <w:r>
        <w:rPr>
          <w:color w:val="000000"/>
          <w:lang w:val="uk-UA"/>
        </w:rPr>
        <w:t xml:space="preserve">15. </w:t>
      </w:r>
      <w:r>
        <w:rPr>
          <w:color w:val="000000"/>
        </w:rPr>
        <w:t>Оценка клинической эффективности и безопасности небулизирова</w:t>
      </w:r>
      <w:r>
        <w:rPr>
          <w:color w:val="000000"/>
        </w:rPr>
        <w:t>н</w:t>
      </w:r>
      <w:r>
        <w:rPr>
          <w:color w:val="000000"/>
        </w:rPr>
        <w:t>ных и системных кортикостероидов у больных с тяжелым обострением бронх</w:t>
      </w:r>
      <w:r>
        <w:rPr>
          <w:color w:val="000000"/>
        </w:rPr>
        <w:t>и</w:t>
      </w:r>
      <w:r>
        <w:rPr>
          <w:color w:val="000000"/>
        </w:rPr>
        <w:t>альной астмы / С.С.Солдатченко, С.Г.Донич, И.П.Игнатонис</w:t>
      </w:r>
      <w:r>
        <w:rPr>
          <w:color w:val="000000"/>
          <w:lang w:val="uk-UA"/>
        </w:rPr>
        <w:t>, А.Г.Мальченко</w:t>
      </w:r>
      <w:r>
        <w:rPr>
          <w:color w:val="000000"/>
        </w:rPr>
        <w:t xml:space="preserve">  // Тезисы докладов I национального конгресса «Человек и л</w:t>
      </w:r>
      <w:r>
        <w:rPr>
          <w:color w:val="000000"/>
        </w:rPr>
        <w:t>е</w:t>
      </w:r>
      <w:r>
        <w:rPr>
          <w:color w:val="000000"/>
        </w:rPr>
        <w:t>карство – Украина». – Киев, 2008. – С.75.</w:t>
      </w:r>
    </w:p>
    <w:p w:rsidR="00FC6DD7" w:rsidRDefault="00FC6DD7" w:rsidP="00FC6DD7">
      <w:pPr>
        <w:pStyle w:val="afffffffb"/>
        <w:tabs>
          <w:tab w:val="left" w:pos="360"/>
        </w:tabs>
        <w:spacing w:line="233" w:lineRule="auto"/>
        <w:rPr>
          <w:color w:val="000000"/>
        </w:rPr>
      </w:pPr>
      <w:r>
        <w:rPr>
          <w:color w:val="000000"/>
          <w:lang w:val="uk-UA"/>
        </w:rPr>
        <w:t xml:space="preserve">16. </w:t>
      </w:r>
      <w:r>
        <w:rPr>
          <w:color w:val="000000"/>
        </w:rPr>
        <w:t>Медицинская реабилитация в пульмонологической клинике / С.С.Солдатченко, С.Г.Донич, А.Г.Мальченко, И.П.Игнатонис // Украинский пульмонологический журнал. –2008. – №3 (Додаток). Мат</w:t>
      </w:r>
      <w:r>
        <w:rPr>
          <w:color w:val="000000"/>
        </w:rPr>
        <w:t>е</w:t>
      </w:r>
      <w:r>
        <w:rPr>
          <w:color w:val="000000"/>
        </w:rPr>
        <w:t xml:space="preserve">риалы </w:t>
      </w:r>
      <w:r>
        <w:rPr>
          <w:color w:val="000000"/>
          <w:lang w:val="en-US"/>
        </w:rPr>
        <w:t>IV</w:t>
      </w:r>
      <w:r>
        <w:rPr>
          <w:color w:val="000000"/>
        </w:rPr>
        <w:t xml:space="preserve"> Съезда пульмонологов и фтизиатров Украины. –  С.47-49.</w:t>
      </w:r>
    </w:p>
    <w:p w:rsidR="00FC6DD7" w:rsidRDefault="00FC6DD7" w:rsidP="00FC6DD7">
      <w:pPr>
        <w:pStyle w:val="afffffffb"/>
        <w:tabs>
          <w:tab w:val="left" w:pos="360"/>
        </w:tabs>
        <w:spacing w:line="233" w:lineRule="auto"/>
        <w:rPr>
          <w:color w:val="000000"/>
        </w:rPr>
      </w:pPr>
      <w:r>
        <w:rPr>
          <w:color w:val="000000"/>
          <w:lang w:val="uk-UA"/>
        </w:rPr>
        <w:t xml:space="preserve">17. </w:t>
      </w:r>
      <w:r>
        <w:rPr>
          <w:color w:val="000000"/>
        </w:rPr>
        <w:t>Сравнение клинической эффективности и безопасности небулизир</w:t>
      </w:r>
      <w:r>
        <w:rPr>
          <w:color w:val="000000"/>
        </w:rPr>
        <w:t>о</w:t>
      </w:r>
      <w:r>
        <w:rPr>
          <w:color w:val="000000"/>
        </w:rPr>
        <w:t>ванного будесонида и системного преднизолона у больных с тяжелым обостр</w:t>
      </w:r>
      <w:r>
        <w:rPr>
          <w:color w:val="000000"/>
        </w:rPr>
        <w:t>е</w:t>
      </w:r>
      <w:r>
        <w:rPr>
          <w:color w:val="000000"/>
        </w:rPr>
        <w:t>нием бронхиальной астмы / С.С.Солдатченко, С.Г.Донич, И.П.Игнатонис</w:t>
      </w:r>
      <w:r>
        <w:rPr>
          <w:color w:val="000000"/>
          <w:lang w:val="uk-UA"/>
        </w:rPr>
        <w:t>, А.Г. Мальченко</w:t>
      </w:r>
      <w:r>
        <w:rPr>
          <w:color w:val="000000"/>
        </w:rPr>
        <w:t xml:space="preserve"> // XVIII Национальный конгресса по болезням органов дых</w:t>
      </w:r>
      <w:r>
        <w:rPr>
          <w:color w:val="000000"/>
        </w:rPr>
        <w:t>а</w:t>
      </w:r>
      <w:r>
        <w:rPr>
          <w:color w:val="000000"/>
        </w:rPr>
        <w:t>ния: сборник резюме. – Екатеринбург, 2008. – С.109.</w:t>
      </w:r>
    </w:p>
    <w:p w:rsidR="00FC6DD7" w:rsidRDefault="00FC6DD7" w:rsidP="00FC6DD7">
      <w:pPr>
        <w:pStyle w:val="afffffffb"/>
        <w:tabs>
          <w:tab w:val="left" w:pos="360"/>
        </w:tabs>
        <w:spacing w:line="233" w:lineRule="auto"/>
        <w:rPr>
          <w:color w:val="000000"/>
          <w:lang w:val="en-US"/>
        </w:rPr>
      </w:pPr>
      <w:r>
        <w:rPr>
          <w:color w:val="000000"/>
          <w:lang w:val="uk-UA"/>
        </w:rPr>
        <w:t xml:space="preserve">18. </w:t>
      </w:r>
      <w:r>
        <w:rPr>
          <w:color w:val="000000"/>
          <w:lang w:val="en-US"/>
        </w:rPr>
        <w:t>Efficacy and safety of the nebulized and systemic glucocorticosteroids in the treatment of severe asthma exacerbations / S.Donich, S.Soldatchenko, A.Malchenko, I.Ignatonis // ERS Congress: abstracts. – Be</w:t>
      </w:r>
      <w:r>
        <w:rPr>
          <w:color w:val="000000"/>
          <w:lang w:val="en-US"/>
        </w:rPr>
        <w:t>r</w:t>
      </w:r>
      <w:r>
        <w:rPr>
          <w:color w:val="000000"/>
          <w:lang w:val="en-US"/>
        </w:rPr>
        <w:t>lin, 2008. – P.811.</w:t>
      </w:r>
    </w:p>
    <w:p w:rsidR="00FC6DD7" w:rsidRDefault="00FC6DD7" w:rsidP="00FC6DD7">
      <w:pPr>
        <w:pStyle w:val="afffffffb"/>
        <w:tabs>
          <w:tab w:val="left" w:pos="360"/>
        </w:tabs>
        <w:spacing w:line="233" w:lineRule="auto"/>
        <w:rPr>
          <w:color w:val="000000"/>
          <w:lang w:val="uk-UA"/>
        </w:rPr>
      </w:pPr>
      <w:r>
        <w:rPr>
          <w:color w:val="000000"/>
          <w:lang w:val="uk-UA"/>
        </w:rPr>
        <w:t xml:space="preserve">19. Прогнозування  наслідків  лікування бронхіальної  астми:  методичні рекомендації / укладачі: С.Г.Доніч, С.С.Солдатченко, Й.П.Ігнатоніс, </w:t>
      </w:r>
      <w:r>
        <w:rPr>
          <w:color w:val="000000"/>
          <w:lang w:val="uk-UA"/>
        </w:rPr>
        <w:lastRenderedPageBreak/>
        <w:t xml:space="preserve">В.М.Савченко, А.Г.Мальченко. – Київ: КРУ «НДІ фізичних методів лікування і медичної кліматології ім. І.М.Сєченова, 2008. – 19 с. </w:t>
      </w:r>
    </w:p>
    <w:p w:rsidR="00FC6DD7" w:rsidRDefault="00FC6DD7" w:rsidP="00FC6DD7">
      <w:pPr>
        <w:pStyle w:val="2fb"/>
        <w:overflowPunct/>
        <w:autoSpaceDE/>
        <w:autoSpaceDN/>
        <w:adjustRightInd/>
        <w:spacing w:before="0"/>
        <w:textAlignment w:val="auto"/>
        <w:rPr>
          <w:b/>
          <w:bCs/>
          <w:color w:val="000000"/>
          <w:lang w:val="uk-UA"/>
        </w:rPr>
      </w:pPr>
      <w:r>
        <w:rPr>
          <w:b/>
          <w:bCs/>
          <w:color w:val="000000"/>
          <w:lang w:val="uk-UA"/>
        </w:rPr>
        <w:br w:type="page"/>
      </w:r>
      <w:r>
        <w:rPr>
          <w:b/>
          <w:bCs/>
          <w:color w:val="000000"/>
          <w:lang w:val="uk-UA"/>
        </w:rPr>
        <w:lastRenderedPageBreak/>
        <w:t>АНОТАЦІЇ</w:t>
      </w:r>
    </w:p>
    <w:p w:rsidR="00FC6DD7" w:rsidRDefault="00FC6DD7" w:rsidP="00FC6DD7">
      <w:pPr>
        <w:pStyle w:val="11"/>
        <w:spacing w:before="120"/>
        <w:ind w:firstLine="720"/>
        <w:rPr>
          <w:b/>
          <w:bCs/>
          <w:color w:val="000000"/>
          <w:szCs w:val="28"/>
        </w:rPr>
      </w:pPr>
      <w:r>
        <w:rPr>
          <w:color w:val="000000"/>
          <w:szCs w:val="28"/>
        </w:rPr>
        <w:t>Мальченко А.Г. Комплексна оцінка клінічної ефективності небула</w:t>
      </w:r>
      <w:r>
        <w:rPr>
          <w:color w:val="000000"/>
          <w:szCs w:val="28"/>
        </w:rPr>
        <w:t>й</w:t>
      </w:r>
      <w:r>
        <w:rPr>
          <w:color w:val="000000"/>
          <w:szCs w:val="28"/>
        </w:rPr>
        <w:t>зерних інгаляцій глюкокортикостероїдів при загостренні хронічного</w:t>
      </w:r>
      <w:r>
        <w:rPr>
          <w:color w:val="000000"/>
        </w:rPr>
        <w:t xml:space="preserve"> </w:t>
      </w:r>
      <w:r>
        <w:rPr>
          <w:color w:val="000000"/>
          <w:szCs w:val="28"/>
        </w:rPr>
        <w:t>о</w:t>
      </w:r>
      <w:r>
        <w:rPr>
          <w:color w:val="000000"/>
          <w:szCs w:val="28"/>
        </w:rPr>
        <w:t>б</w:t>
      </w:r>
      <w:r>
        <w:rPr>
          <w:color w:val="000000"/>
          <w:szCs w:val="28"/>
        </w:rPr>
        <w:t xml:space="preserve">структивного захворювання легенів. – </w:t>
      </w:r>
      <w:r>
        <w:rPr>
          <w:b/>
          <w:bCs/>
          <w:color w:val="000000"/>
          <w:szCs w:val="28"/>
        </w:rPr>
        <w:t>Рукопис.</w:t>
      </w:r>
    </w:p>
    <w:p w:rsidR="00FC6DD7" w:rsidRDefault="00FC6DD7" w:rsidP="00FC6DD7">
      <w:pPr>
        <w:autoSpaceDE w:val="0"/>
        <w:autoSpaceDN w:val="0"/>
        <w:adjustRightInd w:val="0"/>
        <w:spacing w:line="228" w:lineRule="auto"/>
        <w:ind w:firstLine="709"/>
        <w:rPr>
          <w:color w:val="000000"/>
          <w:lang w:val="uk-UA"/>
        </w:rPr>
      </w:pPr>
      <w:r>
        <w:rPr>
          <w:color w:val="000000"/>
          <w:lang w:val="uk-UA"/>
        </w:rPr>
        <w:t>Дисертація на здобуття наукового ступеня кандидата медичних наук за спеціальністю 14.01.27 – пульмонологія. Кримська республіканська установа «Науково-дослідний інститут фізичних методів лікування і медичної клімат</w:t>
      </w:r>
      <w:r>
        <w:rPr>
          <w:color w:val="000000"/>
          <w:lang w:val="uk-UA"/>
        </w:rPr>
        <w:t>о</w:t>
      </w:r>
      <w:r>
        <w:rPr>
          <w:color w:val="000000"/>
          <w:lang w:val="uk-UA"/>
        </w:rPr>
        <w:t>логії  імені  І.М. Сєченова», Ялта,  2009 р.</w:t>
      </w:r>
    </w:p>
    <w:p w:rsidR="00FC6DD7" w:rsidRDefault="00FC6DD7" w:rsidP="00FC6DD7">
      <w:pPr>
        <w:autoSpaceDE w:val="0"/>
        <w:autoSpaceDN w:val="0"/>
        <w:adjustRightInd w:val="0"/>
        <w:spacing w:line="228" w:lineRule="auto"/>
        <w:ind w:firstLine="709"/>
        <w:rPr>
          <w:color w:val="000000"/>
          <w:lang w:val="uk-UA" w:eastAsia="uk-UA"/>
        </w:rPr>
      </w:pPr>
      <w:r>
        <w:rPr>
          <w:color w:val="000000"/>
          <w:lang w:val="uk-UA"/>
        </w:rPr>
        <w:t xml:space="preserve">В дисертації наведене наукове рішення актуальної задачі клінічної </w:t>
      </w:r>
      <w:r>
        <w:rPr>
          <w:color w:val="000000"/>
          <w:lang w:val="uk-UA" w:eastAsia="uk-UA"/>
        </w:rPr>
        <w:t>пул</w:t>
      </w:r>
      <w:r>
        <w:rPr>
          <w:color w:val="000000"/>
          <w:lang w:val="uk-UA" w:eastAsia="uk-UA"/>
        </w:rPr>
        <w:t>ь</w:t>
      </w:r>
      <w:r>
        <w:rPr>
          <w:color w:val="000000"/>
          <w:lang w:val="uk-UA" w:eastAsia="uk-UA"/>
        </w:rPr>
        <w:t xml:space="preserve">монології, </w:t>
      </w:r>
      <w:r>
        <w:rPr>
          <w:color w:val="000000"/>
          <w:lang w:val="uk-UA"/>
        </w:rPr>
        <w:t xml:space="preserve">що </w:t>
      </w:r>
      <w:r>
        <w:rPr>
          <w:color w:val="000000"/>
          <w:lang w:val="uk-UA" w:eastAsia="uk-UA"/>
        </w:rPr>
        <w:t>полягає в обгрунтовуванні і розробці системи заходів щодо пі</w:t>
      </w:r>
      <w:r>
        <w:rPr>
          <w:color w:val="000000"/>
          <w:lang w:val="uk-UA" w:eastAsia="uk-UA"/>
        </w:rPr>
        <w:t>д</w:t>
      </w:r>
      <w:r>
        <w:rPr>
          <w:color w:val="000000"/>
          <w:lang w:val="uk-UA" w:eastAsia="uk-UA"/>
        </w:rPr>
        <w:t>вищення ефективності амбулаторного лікування загострень</w:t>
      </w:r>
      <w:r>
        <w:rPr>
          <w:color w:val="000000"/>
          <w:lang w:val="uk-UA"/>
        </w:rPr>
        <w:t xml:space="preserve"> </w:t>
      </w:r>
      <w:r>
        <w:rPr>
          <w:color w:val="000000"/>
          <w:lang w:val="uk-UA" w:eastAsia="uk-UA"/>
        </w:rPr>
        <w:t>хронічного обстр</w:t>
      </w:r>
      <w:r>
        <w:rPr>
          <w:color w:val="000000"/>
          <w:lang w:val="uk-UA" w:eastAsia="uk-UA"/>
        </w:rPr>
        <w:t>у</w:t>
      </w:r>
      <w:r>
        <w:rPr>
          <w:color w:val="000000"/>
          <w:lang w:val="uk-UA" w:eastAsia="uk-UA"/>
        </w:rPr>
        <w:t>ктивного захворювання легенів (ХОЗЛ) з використанням інгаляційного вж</w:t>
      </w:r>
      <w:r>
        <w:rPr>
          <w:color w:val="000000"/>
          <w:lang w:val="uk-UA" w:eastAsia="uk-UA"/>
        </w:rPr>
        <w:t>и</w:t>
      </w:r>
      <w:r>
        <w:rPr>
          <w:color w:val="000000"/>
          <w:lang w:val="uk-UA" w:eastAsia="uk-UA"/>
        </w:rPr>
        <w:t>вання глюкокортикостероїдів через небулайзери. Запропонована модель орган</w:t>
      </w:r>
      <w:r>
        <w:rPr>
          <w:color w:val="000000"/>
          <w:lang w:val="uk-UA" w:eastAsia="uk-UA"/>
        </w:rPr>
        <w:t>і</w:t>
      </w:r>
      <w:r>
        <w:rPr>
          <w:color w:val="000000"/>
          <w:lang w:val="uk-UA" w:eastAsia="uk-UA"/>
        </w:rPr>
        <w:t>зації ведення хворих в умовах спеціалізованого</w:t>
      </w:r>
      <w:r>
        <w:rPr>
          <w:color w:val="000000"/>
          <w:lang w:val="uk-UA"/>
        </w:rPr>
        <w:t xml:space="preserve"> </w:t>
      </w:r>
      <w:r>
        <w:rPr>
          <w:color w:val="000000"/>
          <w:lang w:val="uk-UA" w:eastAsia="uk-UA"/>
        </w:rPr>
        <w:t>пульмонологічного лікув</w:t>
      </w:r>
      <w:r>
        <w:rPr>
          <w:color w:val="000000"/>
          <w:lang w:val="uk-UA" w:eastAsia="uk-UA"/>
        </w:rPr>
        <w:t>а</w:t>
      </w:r>
      <w:r>
        <w:rPr>
          <w:color w:val="000000"/>
          <w:lang w:val="uk-UA" w:eastAsia="uk-UA"/>
        </w:rPr>
        <w:t>льно-реабілітаційного центру, лікування загострення ХОЗЛ в якому супроводжув</w:t>
      </w:r>
      <w:r>
        <w:rPr>
          <w:color w:val="000000"/>
          <w:lang w:val="uk-UA" w:eastAsia="uk-UA"/>
        </w:rPr>
        <w:t>а</w:t>
      </w:r>
      <w:r>
        <w:rPr>
          <w:color w:val="000000"/>
          <w:lang w:val="uk-UA" w:eastAsia="uk-UA"/>
        </w:rPr>
        <w:t>лося зниженням щорічної кількості загострень хвороби в 2,7 рази, кількості г</w:t>
      </w:r>
      <w:r>
        <w:rPr>
          <w:color w:val="000000"/>
          <w:lang w:val="uk-UA" w:eastAsia="uk-UA"/>
        </w:rPr>
        <w:t>о</w:t>
      </w:r>
      <w:r>
        <w:rPr>
          <w:color w:val="000000"/>
          <w:lang w:val="uk-UA" w:eastAsia="uk-UA"/>
        </w:rPr>
        <w:t>спіталізацій – в 2,5 рази, тривалості амбулаторного лікування  –  в 2,1 р</w:t>
      </w:r>
      <w:r>
        <w:rPr>
          <w:color w:val="000000"/>
          <w:lang w:val="uk-UA" w:eastAsia="uk-UA"/>
        </w:rPr>
        <w:t>а</w:t>
      </w:r>
      <w:r>
        <w:rPr>
          <w:color w:val="000000"/>
          <w:lang w:val="uk-UA" w:eastAsia="uk-UA"/>
        </w:rPr>
        <w:t>зи. Для лікування загострення ХОЗЛ доцільне застосування небулізованих будесоніду і флутіказону пропіонату, що, в порівнянні з пероральним прийомом предніз</w:t>
      </w:r>
      <w:r>
        <w:rPr>
          <w:color w:val="000000"/>
          <w:lang w:val="uk-UA" w:eastAsia="uk-UA"/>
        </w:rPr>
        <w:t>о</w:t>
      </w:r>
      <w:r>
        <w:rPr>
          <w:color w:val="000000"/>
          <w:lang w:val="uk-UA" w:eastAsia="uk-UA"/>
        </w:rPr>
        <w:t>лону, супроводжується такою ж високою клініко-функціональною ефективні</w:t>
      </w:r>
      <w:r>
        <w:rPr>
          <w:color w:val="000000"/>
          <w:lang w:val="uk-UA" w:eastAsia="uk-UA"/>
        </w:rPr>
        <w:t>с</w:t>
      </w:r>
      <w:r>
        <w:rPr>
          <w:color w:val="000000"/>
          <w:lang w:val="uk-UA" w:eastAsia="uk-UA"/>
        </w:rPr>
        <w:t>тю, але меншою частотою гіперглікемії (на 18,4 %) і підвищення системного артеріального тиску (на 16,0%). При цьому істотно поліпшуються якість життя хворих і їх прихильність до лікування.</w:t>
      </w:r>
    </w:p>
    <w:p w:rsidR="00FC6DD7" w:rsidRDefault="00FC6DD7" w:rsidP="00FC6DD7">
      <w:pPr>
        <w:autoSpaceDE w:val="0"/>
        <w:autoSpaceDN w:val="0"/>
        <w:adjustRightInd w:val="0"/>
        <w:spacing w:line="228" w:lineRule="auto"/>
        <w:ind w:firstLine="709"/>
        <w:rPr>
          <w:color w:val="000000"/>
          <w:lang w:val="uk-UA"/>
        </w:rPr>
      </w:pPr>
      <w:r>
        <w:rPr>
          <w:color w:val="000000"/>
          <w:lang w:val="uk-UA"/>
        </w:rPr>
        <w:t xml:space="preserve">Ключові слова: хронічне обструктивне захворювання легенів, загострення захворювання, глюкокортикостероїди, </w:t>
      </w:r>
      <w:r>
        <w:rPr>
          <w:color w:val="000000"/>
          <w:lang w:val="uk-UA" w:eastAsia="uk-UA"/>
        </w:rPr>
        <w:t>небулайзери</w:t>
      </w:r>
      <w:r>
        <w:rPr>
          <w:color w:val="000000"/>
          <w:lang w:val="uk-UA"/>
        </w:rPr>
        <w:t>, якість життя, прихил</w:t>
      </w:r>
      <w:r>
        <w:rPr>
          <w:color w:val="000000"/>
          <w:lang w:val="uk-UA"/>
        </w:rPr>
        <w:t>ь</w:t>
      </w:r>
      <w:r>
        <w:rPr>
          <w:color w:val="000000"/>
          <w:lang w:val="uk-UA"/>
        </w:rPr>
        <w:t>ність до лікування.</w:t>
      </w:r>
    </w:p>
    <w:p w:rsidR="00FC6DD7" w:rsidRDefault="00FC6DD7" w:rsidP="00FC6DD7">
      <w:pPr>
        <w:pStyle w:val="11"/>
        <w:ind w:firstLine="720"/>
        <w:rPr>
          <w:color w:val="000000"/>
          <w:szCs w:val="28"/>
        </w:rPr>
      </w:pPr>
    </w:p>
    <w:p w:rsidR="00FC6DD7" w:rsidRDefault="00FC6DD7" w:rsidP="00FC6DD7">
      <w:pPr>
        <w:pStyle w:val="11"/>
        <w:ind w:firstLine="720"/>
        <w:rPr>
          <w:color w:val="000000"/>
          <w:szCs w:val="28"/>
          <w:lang w:val="en-US"/>
        </w:rPr>
      </w:pPr>
      <w:r>
        <w:rPr>
          <w:color w:val="000000"/>
          <w:szCs w:val="28"/>
          <w:lang w:val="en-US"/>
        </w:rPr>
        <w:t>Malchenko A.G. Complex estimation of glucocorticosteroid nebulizer i</w:t>
      </w:r>
      <w:r>
        <w:rPr>
          <w:color w:val="000000"/>
          <w:szCs w:val="28"/>
          <w:lang w:val="en-US"/>
        </w:rPr>
        <w:t>n</w:t>
      </w:r>
      <w:r>
        <w:rPr>
          <w:color w:val="000000"/>
          <w:szCs w:val="28"/>
          <w:lang w:val="en-US"/>
        </w:rPr>
        <w:t xml:space="preserve">halations clinical efficiency in exacerbation of chronic  obstructive lung disease. – </w:t>
      </w:r>
      <w:r>
        <w:rPr>
          <w:b/>
          <w:bCs/>
          <w:color w:val="000000"/>
          <w:szCs w:val="28"/>
          <w:lang w:val="en-US"/>
        </w:rPr>
        <w:t>Manuscript</w:t>
      </w:r>
      <w:r>
        <w:rPr>
          <w:color w:val="000000"/>
          <w:szCs w:val="28"/>
          <w:lang w:val="en-US"/>
        </w:rPr>
        <w:t>.</w:t>
      </w:r>
    </w:p>
    <w:p w:rsidR="00FC6DD7" w:rsidRDefault="00FC6DD7" w:rsidP="00FC6DD7">
      <w:pPr>
        <w:autoSpaceDE w:val="0"/>
        <w:autoSpaceDN w:val="0"/>
        <w:adjustRightInd w:val="0"/>
        <w:spacing w:line="228" w:lineRule="auto"/>
        <w:ind w:firstLine="709"/>
        <w:rPr>
          <w:color w:val="000000"/>
          <w:lang w:val="en-US"/>
        </w:rPr>
      </w:pPr>
      <w:r>
        <w:rPr>
          <w:color w:val="000000"/>
          <w:lang w:val="en-US"/>
        </w:rPr>
        <w:t>Dissertation on competition for medical sciences doctor’s degree on speciality 14.01.27 – pulmonology. Crimean republican institution  «Scientific-research inst</w:t>
      </w:r>
      <w:r>
        <w:rPr>
          <w:color w:val="000000"/>
          <w:lang w:val="en-US"/>
        </w:rPr>
        <w:t>i</w:t>
      </w:r>
      <w:r>
        <w:rPr>
          <w:color w:val="000000"/>
          <w:lang w:val="en-US"/>
        </w:rPr>
        <w:t>tute of physical  methods of treatment and medical  climatology  named after I.M. Sechenov», Yalta,  2009.</w:t>
      </w:r>
    </w:p>
    <w:p w:rsidR="00FC6DD7" w:rsidRDefault="00FC6DD7" w:rsidP="00FC6DD7">
      <w:pPr>
        <w:autoSpaceDE w:val="0"/>
        <w:autoSpaceDN w:val="0"/>
        <w:adjustRightInd w:val="0"/>
        <w:spacing w:line="228" w:lineRule="auto"/>
        <w:ind w:firstLine="709"/>
        <w:rPr>
          <w:color w:val="000000"/>
          <w:lang w:val="en-US"/>
        </w:rPr>
      </w:pPr>
      <w:r>
        <w:rPr>
          <w:color w:val="000000"/>
          <w:lang w:val="en-US"/>
        </w:rPr>
        <w:t xml:space="preserve"> The scientific solution of  clinical pulmonology actual task, consisting in the system of measures substantiation and development for the improvement of ambul</w:t>
      </w:r>
      <w:r>
        <w:rPr>
          <w:color w:val="000000"/>
          <w:lang w:val="en-US"/>
        </w:rPr>
        <w:t>a</w:t>
      </w:r>
      <w:r>
        <w:rPr>
          <w:color w:val="000000"/>
          <w:lang w:val="en-US"/>
        </w:rPr>
        <w:t>tory medical treatment efficiency in  exacerbation of  chronic obstructive pulmonary disease (COPD) by nebulized glucocorticosteroid  inhalation, is presented in the di</w:t>
      </w:r>
      <w:r>
        <w:rPr>
          <w:color w:val="000000"/>
          <w:lang w:val="en-US"/>
        </w:rPr>
        <w:t>s</w:t>
      </w:r>
      <w:r>
        <w:rPr>
          <w:color w:val="000000"/>
          <w:lang w:val="en-US"/>
        </w:rPr>
        <w:t>sertation. The model of patients treatment organization in  conditions of specialized pulmonological medico-rehabilitation center is offered, where medical treatment of COPD exacerbation was accompanied by   decline of disease exacerbation annual amount in 2,7 times, amounts of hospitalizations – in 2,5 times, duration of ambul</w:t>
      </w:r>
      <w:r>
        <w:rPr>
          <w:color w:val="000000"/>
          <w:lang w:val="en-US"/>
        </w:rPr>
        <w:t>a</w:t>
      </w:r>
      <w:r>
        <w:rPr>
          <w:color w:val="000000"/>
          <w:lang w:val="en-US"/>
        </w:rPr>
        <w:t>tory medical treatment  –  in 2,1 times. For medical treatment of  COPD exa</w:t>
      </w:r>
      <w:r>
        <w:rPr>
          <w:color w:val="000000"/>
          <w:lang w:val="en-US"/>
        </w:rPr>
        <w:t>c</w:t>
      </w:r>
      <w:r>
        <w:rPr>
          <w:color w:val="000000"/>
          <w:lang w:val="en-US"/>
        </w:rPr>
        <w:t>erbation the application of nebulizering  budesonid and fluticazon propionat is advi</w:t>
      </w:r>
      <w:r>
        <w:rPr>
          <w:color w:val="000000"/>
          <w:lang w:val="en-US"/>
        </w:rPr>
        <w:t>s</w:t>
      </w:r>
      <w:r>
        <w:rPr>
          <w:color w:val="000000"/>
          <w:lang w:val="en-US"/>
        </w:rPr>
        <w:t>able, that, in comparison with the per-oral prednizolon taking, is accompanied by the same high clinico-functional efficiency, but not so high frequency of hyperglycemia (by 18</w:t>
      </w:r>
      <w:r>
        <w:rPr>
          <w:color w:val="000000"/>
          <w:lang w:val="uk-UA"/>
        </w:rPr>
        <w:t>,</w:t>
      </w:r>
      <w:r>
        <w:rPr>
          <w:color w:val="000000"/>
          <w:lang w:val="en-US"/>
        </w:rPr>
        <w:t>4 %) and  the system arterial presser rise (by 16</w:t>
      </w:r>
      <w:r>
        <w:rPr>
          <w:color w:val="000000"/>
          <w:lang w:val="uk-UA"/>
        </w:rPr>
        <w:t>,0</w:t>
      </w:r>
      <w:r>
        <w:rPr>
          <w:color w:val="000000"/>
          <w:lang w:val="en-US"/>
        </w:rPr>
        <w:t>%). At the same time patients quality of life and their adherence to medical treatment get  considerably better.</w:t>
      </w:r>
    </w:p>
    <w:p w:rsidR="00FC6DD7" w:rsidRDefault="00FC6DD7" w:rsidP="00FC6DD7">
      <w:pPr>
        <w:autoSpaceDE w:val="0"/>
        <w:autoSpaceDN w:val="0"/>
        <w:adjustRightInd w:val="0"/>
        <w:spacing w:line="228" w:lineRule="auto"/>
        <w:ind w:firstLine="709"/>
        <w:rPr>
          <w:color w:val="000000"/>
          <w:lang w:val="en-US"/>
        </w:rPr>
      </w:pPr>
      <w:r>
        <w:rPr>
          <w:color w:val="000000"/>
          <w:lang w:val="en-US"/>
        </w:rPr>
        <w:t>Key words: chronic obstructive lung disease, disease exacerbation, glucocort</w:t>
      </w:r>
      <w:r>
        <w:rPr>
          <w:color w:val="000000"/>
          <w:lang w:val="en-US"/>
        </w:rPr>
        <w:t>i</w:t>
      </w:r>
      <w:r>
        <w:rPr>
          <w:color w:val="000000"/>
          <w:lang w:val="en-US"/>
        </w:rPr>
        <w:t>costeroids, nebulayzers, quality of life, adherence to medical treatment.</w:t>
      </w:r>
    </w:p>
    <w:p w:rsidR="00FC6DD7" w:rsidRDefault="00FC6DD7" w:rsidP="00FC6DD7">
      <w:pPr>
        <w:pStyle w:val="11"/>
        <w:ind w:firstLine="720"/>
        <w:rPr>
          <w:color w:val="000000"/>
          <w:szCs w:val="28"/>
        </w:rPr>
      </w:pPr>
    </w:p>
    <w:p w:rsidR="00FC6DD7" w:rsidRDefault="00FC6DD7" w:rsidP="00FC6DD7">
      <w:pPr>
        <w:pStyle w:val="11"/>
        <w:ind w:firstLine="720"/>
        <w:rPr>
          <w:b/>
          <w:bCs/>
          <w:color w:val="000000"/>
          <w:szCs w:val="28"/>
        </w:rPr>
      </w:pPr>
      <w:r>
        <w:rPr>
          <w:color w:val="000000"/>
          <w:szCs w:val="28"/>
        </w:rPr>
        <w:t xml:space="preserve">Мальченко А.Г. Комплексная оценка клинической эффективности небулайзерных ингаляций </w:t>
      </w:r>
      <w:r>
        <w:rPr>
          <w:color w:val="000000"/>
          <w:szCs w:val="28"/>
        </w:rPr>
        <w:lastRenderedPageBreak/>
        <w:t>глюкокортикостероидов при обострении хр</w:t>
      </w:r>
      <w:r>
        <w:rPr>
          <w:color w:val="000000"/>
          <w:szCs w:val="28"/>
        </w:rPr>
        <w:t>о</w:t>
      </w:r>
      <w:r>
        <w:rPr>
          <w:color w:val="000000"/>
          <w:szCs w:val="28"/>
        </w:rPr>
        <w:t xml:space="preserve">нического обструктивного заболевания легких. – </w:t>
      </w:r>
      <w:r>
        <w:rPr>
          <w:b/>
          <w:bCs/>
          <w:color w:val="000000"/>
          <w:szCs w:val="28"/>
        </w:rPr>
        <w:t>Рукопись.</w:t>
      </w:r>
    </w:p>
    <w:p w:rsidR="00FC6DD7" w:rsidRDefault="00FC6DD7" w:rsidP="00FC6DD7">
      <w:pPr>
        <w:autoSpaceDE w:val="0"/>
        <w:autoSpaceDN w:val="0"/>
        <w:adjustRightInd w:val="0"/>
        <w:spacing w:line="228" w:lineRule="auto"/>
        <w:ind w:firstLine="709"/>
        <w:rPr>
          <w:color w:val="000000"/>
        </w:rPr>
      </w:pPr>
      <w:r>
        <w:rPr>
          <w:color w:val="000000"/>
        </w:rPr>
        <w:t>Диссертация на соискание ученой степени кандидата медицинских наук по специальности 14.01.27 – пульмонология. Крымское республиканское учр</w:t>
      </w:r>
      <w:r>
        <w:rPr>
          <w:color w:val="000000"/>
        </w:rPr>
        <w:t>е</w:t>
      </w:r>
      <w:r>
        <w:rPr>
          <w:color w:val="000000"/>
        </w:rPr>
        <w:t>ждение «Научно-исследовательский институт физических  методов лечения и медицинской  климатологии  имени И.М. Сеченова», Ялта,  2009 г.</w:t>
      </w:r>
    </w:p>
    <w:p w:rsidR="00FC6DD7" w:rsidRDefault="00FC6DD7" w:rsidP="00FC6DD7">
      <w:pPr>
        <w:autoSpaceDE w:val="0"/>
        <w:autoSpaceDN w:val="0"/>
        <w:adjustRightInd w:val="0"/>
        <w:spacing w:line="228" w:lineRule="auto"/>
        <w:ind w:firstLine="709"/>
        <w:rPr>
          <w:color w:val="000000"/>
        </w:rPr>
      </w:pPr>
      <w:r>
        <w:rPr>
          <w:color w:val="000000"/>
        </w:rPr>
        <w:t>В диссертации представлено научное решение актуальной задачи клин</w:t>
      </w:r>
      <w:r>
        <w:rPr>
          <w:color w:val="000000"/>
        </w:rPr>
        <w:t>и</w:t>
      </w:r>
      <w:r>
        <w:rPr>
          <w:color w:val="000000"/>
        </w:rPr>
        <w:t>ческой пульмонологии, заключающееся в обосновании и разработке системы мероприятий по повышению эффективности амбулаторного лечения обостр</w:t>
      </w:r>
      <w:r>
        <w:rPr>
          <w:color w:val="000000"/>
        </w:rPr>
        <w:t>е</w:t>
      </w:r>
      <w:r>
        <w:rPr>
          <w:color w:val="000000"/>
        </w:rPr>
        <w:t>ний хронического обструктивного заболевания легких (ХОЗЛ) с использован</w:t>
      </w:r>
      <w:r>
        <w:rPr>
          <w:color w:val="000000"/>
        </w:rPr>
        <w:t>и</w:t>
      </w:r>
      <w:r>
        <w:rPr>
          <w:color w:val="000000"/>
        </w:rPr>
        <w:t>ем ингаляционного применения глюкокортикостероидов (ГКС) через небула</w:t>
      </w:r>
      <w:r>
        <w:rPr>
          <w:color w:val="000000"/>
        </w:rPr>
        <w:t>й</w:t>
      </w:r>
      <w:r>
        <w:rPr>
          <w:color w:val="000000"/>
        </w:rPr>
        <w:t>зеры. Предложена модель организации ведения больных в условиях специал</w:t>
      </w:r>
      <w:r>
        <w:rPr>
          <w:color w:val="000000"/>
        </w:rPr>
        <w:t>и</w:t>
      </w:r>
      <w:r>
        <w:rPr>
          <w:color w:val="000000"/>
        </w:rPr>
        <w:t>зированного пульмонологического лечебно-реабилитационного центра (ПЛРЦ), лечение обострения ХОЗЛ в котором сопровождалось снижением ежегодного количества обострений болезни в 2,7 раза, количества госпитализаций – в 2,5 раза, продолжительности амбулаторного лечения  –  в 2,1 раза. Для лечения обострения ХОЗЛ целесообразно применение небулизированных будесонида и флутиказона пропионата (4-8 мг/сут), что, по сравнению с пероральным при</w:t>
      </w:r>
      <w:r>
        <w:rPr>
          <w:color w:val="000000"/>
        </w:rPr>
        <w:t>е</w:t>
      </w:r>
      <w:r>
        <w:rPr>
          <w:color w:val="000000"/>
        </w:rPr>
        <w:t>мом преднизолона (40 мг/сут), сопровождается столь же выс</w:t>
      </w:r>
      <w:r>
        <w:rPr>
          <w:color w:val="000000"/>
        </w:rPr>
        <w:t>о</w:t>
      </w:r>
      <w:r>
        <w:rPr>
          <w:color w:val="000000"/>
        </w:rPr>
        <w:t>кой клинико-функциональной эффективностью, но меньшей частотой гиперглик</w:t>
      </w:r>
      <w:r>
        <w:rPr>
          <w:color w:val="000000"/>
        </w:rPr>
        <w:t>е</w:t>
      </w:r>
      <w:r>
        <w:rPr>
          <w:color w:val="000000"/>
        </w:rPr>
        <w:t>мии (на 18</w:t>
      </w:r>
      <w:r>
        <w:rPr>
          <w:color w:val="000000"/>
          <w:lang w:val="uk-UA"/>
        </w:rPr>
        <w:t>,</w:t>
      </w:r>
      <w:r>
        <w:rPr>
          <w:color w:val="000000"/>
        </w:rPr>
        <w:t>4 %) и повышения системного АД (на 16</w:t>
      </w:r>
      <w:r>
        <w:rPr>
          <w:color w:val="000000"/>
          <w:lang w:val="uk-UA"/>
        </w:rPr>
        <w:t>,0</w:t>
      </w:r>
      <w:r>
        <w:rPr>
          <w:color w:val="000000"/>
        </w:rPr>
        <w:t xml:space="preserve">%). </w:t>
      </w:r>
    </w:p>
    <w:p w:rsidR="00FC6DD7" w:rsidRDefault="00FC6DD7" w:rsidP="00FC6DD7">
      <w:pPr>
        <w:autoSpaceDE w:val="0"/>
        <w:autoSpaceDN w:val="0"/>
        <w:adjustRightInd w:val="0"/>
        <w:spacing w:line="228" w:lineRule="auto"/>
        <w:ind w:firstLine="709"/>
        <w:rPr>
          <w:color w:val="000000"/>
        </w:rPr>
      </w:pPr>
      <w:r>
        <w:rPr>
          <w:color w:val="000000"/>
        </w:rPr>
        <w:t>Применение для лечения обострений ХОЗЛ в специализированном мед</w:t>
      </w:r>
      <w:r>
        <w:rPr>
          <w:color w:val="000000"/>
        </w:rPr>
        <w:t>и</w:t>
      </w:r>
      <w:r>
        <w:rPr>
          <w:color w:val="000000"/>
        </w:rPr>
        <w:t>цинском учреждении небулизированных ГКС сопровождается формированием к</w:t>
      </w:r>
      <w:r>
        <w:rPr>
          <w:color w:val="000000"/>
        </w:rPr>
        <w:t>а</w:t>
      </w:r>
      <w:r>
        <w:rPr>
          <w:color w:val="000000"/>
        </w:rPr>
        <w:t>чества жизни (КЖ) больных, сопоставимого с КЖ в популяции (улучшение в целом на 40</w:t>
      </w:r>
      <w:r>
        <w:rPr>
          <w:color w:val="000000"/>
          <w:lang w:val="uk-UA"/>
        </w:rPr>
        <w:t>,</w:t>
      </w:r>
      <w:r>
        <w:rPr>
          <w:color w:val="000000"/>
        </w:rPr>
        <w:t>9±3</w:t>
      </w:r>
      <w:r>
        <w:rPr>
          <w:color w:val="000000"/>
          <w:lang w:val="uk-UA"/>
        </w:rPr>
        <w:t>,</w:t>
      </w:r>
      <w:r>
        <w:rPr>
          <w:color w:val="000000"/>
        </w:rPr>
        <w:t>6%); использование в этих целях курса системного предниз</w:t>
      </w:r>
      <w:r>
        <w:rPr>
          <w:color w:val="000000"/>
        </w:rPr>
        <w:t>о</w:t>
      </w:r>
      <w:r>
        <w:rPr>
          <w:color w:val="000000"/>
        </w:rPr>
        <w:t>лона лишь частично улучшает (в целом на 10</w:t>
      </w:r>
      <w:r>
        <w:rPr>
          <w:color w:val="000000"/>
          <w:lang w:val="uk-UA"/>
        </w:rPr>
        <w:t>,</w:t>
      </w:r>
      <w:r>
        <w:rPr>
          <w:color w:val="000000"/>
        </w:rPr>
        <w:t>6±1</w:t>
      </w:r>
      <w:r>
        <w:rPr>
          <w:color w:val="000000"/>
          <w:lang w:val="uk-UA"/>
        </w:rPr>
        <w:t>,</w:t>
      </w:r>
      <w:r>
        <w:rPr>
          <w:color w:val="000000"/>
        </w:rPr>
        <w:t>2%), а преднизолона и эуфи</w:t>
      </w:r>
      <w:r>
        <w:rPr>
          <w:color w:val="000000"/>
        </w:rPr>
        <w:t>л</w:t>
      </w:r>
      <w:r>
        <w:rPr>
          <w:color w:val="000000"/>
        </w:rPr>
        <w:t>лина в инъекционных формах – не приводит к улучшению (прирост в целом на 1</w:t>
      </w:r>
      <w:r>
        <w:rPr>
          <w:color w:val="000000"/>
          <w:lang w:val="uk-UA"/>
        </w:rPr>
        <w:t>,</w:t>
      </w:r>
      <w:r>
        <w:rPr>
          <w:color w:val="000000"/>
        </w:rPr>
        <w:t>1±0</w:t>
      </w:r>
      <w:r>
        <w:rPr>
          <w:color w:val="000000"/>
          <w:lang w:val="uk-UA"/>
        </w:rPr>
        <w:t>,</w:t>
      </w:r>
      <w:r>
        <w:rPr>
          <w:color w:val="000000"/>
        </w:rPr>
        <w:t>4%) КЖ больных. Применение ингаляционных ГКС для лечения обостр</w:t>
      </w:r>
      <w:r>
        <w:rPr>
          <w:color w:val="000000"/>
        </w:rPr>
        <w:t>е</w:t>
      </w:r>
      <w:r>
        <w:rPr>
          <w:color w:val="000000"/>
        </w:rPr>
        <w:t xml:space="preserve">ний ХОЗЛ в </w:t>
      </w:r>
      <w:r>
        <w:rPr>
          <w:color w:val="000000"/>
          <w:lang w:val="uk-UA"/>
        </w:rPr>
        <w:t>4,0</w:t>
      </w:r>
      <w:r>
        <w:rPr>
          <w:color w:val="000000"/>
        </w:rPr>
        <w:t xml:space="preserve"> раза более значимо улучшает КЖ в сравнении с системными стероидами.</w:t>
      </w:r>
    </w:p>
    <w:p w:rsidR="00FC6DD7" w:rsidRDefault="00FC6DD7" w:rsidP="00FC6DD7">
      <w:pPr>
        <w:autoSpaceDE w:val="0"/>
        <w:autoSpaceDN w:val="0"/>
        <w:adjustRightInd w:val="0"/>
        <w:spacing w:line="228" w:lineRule="auto"/>
        <w:ind w:firstLine="709"/>
        <w:rPr>
          <w:color w:val="000000"/>
        </w:rPr>
      </w:pPr>
      <w:r>
        <w:rPr>
          <w:color w:val="000000"/>
        </w:rPr>
        <w:t>Лечение обострений ХОЗЛ в условиях специализированного медицинск</w:t>
      </w:r>
      <w:r>
        <w:rPr>
          <w:color w:val="000000"/>
        </w:rPr>
        <w:t>о</w:t>
      </w:r>
      <w:r>
        <w:rPr>
          <w:color w:val="000000"/>
        </w:rPr>
        <w:t>го учреждения с помощью небулизированных ГКС позволяет сформировать наилучшую приверженность пациентов к лекарственному лечению. Некоторое  нарастание приверженности к лечению можно добиться путем использования при обострении ХОЗЛ системного преднизолона, но с худшим эффектом, чем у и</w:t>
      </w:r>
      <w:r>
        <w:rPr>
          <w:color w:val="000000"/>
        </w:rPr>
        <w:t>н</w:t>
      </w:r>
      <w:r>
        <w:rPr>
          <w:color w:val="000000"/>
        </w:rPr>
        <w:t>галяционных ГКС. Приверженность к лечению больных ХОЗЛ практически не меняется и остается низкой в случае их лечения в разных медицинских у</w:t>
      </w:r>
      <w:r>
        <w:rPr>
          <w:color w:val="000000"/>
        </w:rPr>
        <w:t>ч</w:t>
      </w:r>
      <w:r>
        <w:rPr>
          <w:color w:val="000000"/>
        </w:rPr>
        <w:t>реждениях с применением инъекционных форм эуфиллина и преднизолона.</w:t>
      </w:r>
    </w:p>
    <w:p w:rsidR="00FC6DD7" w:rsidRDefault="00FC6DD7" w:rsidP="00FC6DD7">
      <w:pPr>
        <w:pStyle w:val="afffffffb"/>
        <w:autoSpaceDE w:val="0"/>
        <w:autoSpaceDN w:val="0"/>
        <w:rPr>
          <w:color w:val="000000"/>
          <w:lang w:val="uk-UA"/>
        </w:rPr>
      </w:pPr>
      <w:r>
        <w:rPr>
          <w:color w:val="000000"/>
        </w:rPr>
        <w:t>Ключевые слова: хроническое обструктивное заболевание легких, обос</w:t>
      </w:r>
      <w:r>
        <w:rPr>
          <w:color w:val="000000"/>
        </w:rPr>
        <w:t>т</w:t>
      </w:r>
      <w:r>
        <w:rPr>
          <w:color w:val="000000"/>
        </w:rPr>
        <w:t>рение заболевания, глюкокортикостероиды, небулайзеры, качество жизни, пр</w:t>
      </w:r>
      <w:r>
        <w:rPr>
          <w:color w:val="000000"/>
        </w:rPr>
        <w:t>и</w:t>
      </w:r>
      <w:r>
        <w:rPr>
          <w:color w:val="000000"/>
        </w:rPr>
        <w:t>верженность к лечению.</w:t>
      </w:r>
      <w:r>
        <w:rPr>
          <w:color w:val="000000"/>
          <w:lang w:val="uk-UA"/>
        </w:rPr>
        <w:t xml:space="preserve">    </w:t>
      </w:r>
    </w:p>
    <w:p w:rsidR="00FC6DD7" w:rsidRDefault="00FC6DD7" w:rsidP="00FC6DD7">
      <w:pPr>
        <w:pStyle w:val="afffffffb"/>
        <w:spacing w:before="120" w:after="240"/>
        <w:ind w:firstLine="0"/>
        <w:jc w:val="center"/>
        <w:rPr>
          <w:b/>
          <w:bCs/>
          <w:color w:val="000000"/>
          <w:lang w:val="uk-UA" w:eastAsia="uk-UA"/>
        </w:rPr>
      </w:pPr>
      <w:r>
        <w:rPr>
          <w:b/>
          <w:bCs/>
          <w:color w:val="000000"/>
          <w:lang w:val="uk-UA" w:eastAsia="uk-UA"/>
        </w:rPr>
        <w:br w:type="page"/>
      </w:r>
      <w:r>
        <w:rPr>
          <w:b/>
          <w:bCs/>
          <w:color w:val="000000"/>
          <w:lang w:val="uk-UA" w:eastAsia="uk-UA"/>
        </w:rPr>
        <w:lastRenderedPageBreak/>
        <w:t>СПИСОК  УМОВНИХ  СКОРОЧЕНЬ</w:t>
      </w:r>
    </w:p>
    <w:tbl>
      <w:tblPr>
        <w:tblW w:w="0" w:type="auto"/>
        <w:tblLook w:val="0000" w:firstRow="0" w:lastRow="0" w:firstColumn="0" w:lastColumn="0" w:noHBand="0" w:noVBand="0"/>
      </w:tblPr>
      <w:tblGrid>
        <w:gridCol w:w="9355"/>
      </w:tblGrid>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color w:val="000000"/>
                <w:lang w:val="uk-UA"/>
              </w:rPr>
            </w:pPr>
            <w:r>
              <w:rPr>
                <w:color w:val="000000"/>
                <w:lang w:val="uk-UA"/>
              </w:rPr>
              <w:t>АТ</w:t>
            </w:r>
            <w:r>
              <w:rPr>
                <w:color w:val="000000"/>
                <w:lang w:val="uk-UA"/>
              </w:rPr>
              <w:tab/>
              <w:t>– артеріальний тиск</w:t>
            </w:r>
          </w:p>
        </w:tc>
        <w:tc>
          <w:tcPr>
            <w:gridSpan w:val="0"/>
          </w:tcPr>
          <w:p w:rsidR="00FC6DD7" w:rsidRDefault="00FC6DD7">
            <w:pPr>
              <w:rPr>
                <w:color w:val="000000"/>
                <w:lang w:val="uk-UA"/>
              </w:rPr>
            </w:pPr>
            <w:r>
              <w:rPr>
                <w:color w:val="000000"/>
                <w:lang w:val="uk-UA"/>
              </w:rPr>
              <w:t xml:space="preserve"> </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color w:val="000000"/>
                <w:lang w:val="uk-UA"/>
              </w:rPr>
            </w:pPr>
            <w:r>
              <w:rPr>
                <w:color w:val="000000"/>
                <w:lang w:val="uk-UA"/>
              </w:rPr>
              <w:t>ВООЗ – Всесвітня організація охорони здоров'я</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color w:val="000000"/>
                <w:lang w:val="uk-UA"/>
              </w:rPr>
            </w:pPr>
            <w:r>
              <w:rPr>
                <w:color w:val="000000"/>
                <w:lang w:val="uk-UA"/>
              </w:rPr>
              <w:t>ГКС</w:t>
            </w:r>
            <w:r>
              <w:rPr>
                <w:color w:val="000000"/>
                <w:lang w:val="uk-UA"/>
              </w:rPr>
              <w:tab/>
              <w:t xml:space="preserve">– </w:t>
            </w:r>
            <w:r>
              <w:rPr>
                <w:color w:val="000000"/>
              </w:rPr>
              <w:t>глюкокортикостеро</w:t>
            </w:r>
            <w:r>
              <w:rPr>
                <w:color w:val="000000"/>
                <w:lang w:val="uk-UA"/>
              </w:rPr>
              <w:t>ї</w:t>
            </w:r>
            <w:r>
              <w:rPr>
                <w:color w:val="000000"/>
              </w:rPr>
              <w:t>д</w:t>
            </w:r>
            <w:r>
              <w:rPr>
                <w:color w:val="000000"/>
                <w:lang w:val="uk-UA"/>
              </w:rPr>
              <w:t>и</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snapToGrid w:val="0"/>
                <w:color w:val="000000"/>
                <w:lang w:val="uk-UA"/>
              </w:rPr>
            </w:pPr>
            <w:r>
              <w:rPr>
                <w:snapToGrid w:val="0"/>
                <w:color w:val="000000"/>
                <w:lang w:val="uk-UA"/>
              </w:rPr>
              <w:t xml:space="preserve">ЖЗ </w:t>
            </w:r>
            <w:r>
              <w:rPr>
                <w:snapToGrid w:val="0"/>
                <w:color w:val="000000"/>
                <w:lang w:val="uk-UA"/>
              </w:rPr>
              <w:tab/>
              <w:t>– життєздатність</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snapToGrid w:val="0"/>
                <w:color w:val="000000"/>
                <w:lang w:val="uk-UA"/>
              </w:rPr>
            </w:pPr>
            <w:r>
              <w:rPr>
                <w:snapToGrid w:val="0"/>
                <w:color w:val="000000"/>
                <w:lang w:val="uk-UA"/>
              </w:rPr>
              <w:t xml:space="preserve">ЗЗ </w:t>
            </w:r>
            <w:r>
              <w:rPr>
                <w:snapToGrid w:val="0"/>
                <w:color w:val="000000"/>
                <w:lang w:val="uk-UA"/>
              </w:rPr>
              <w:tab/>
              <w:t>– загальне здоров'я</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color w:val="000000"/>
                <w:lang w:val="uk-UA"/>
              </w:rPr>
            </w:pPr>
            <w:r>
              <w:rPr>
                <w:color w:val="000000"/>
                <w:lang w:val="uk-UA"/>
              </w:rPr>
              <w:t xml:space="preserve">ЛКК    – лікарсько-консультативна комісія </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color w:val="000000"/>
                <w:lang w:val="uk-UA"/>
              </w:rPr>
            </w:pPr>
            <w:r>
              <w:rPr>
                <w:color w:val="000000"/>
                <w:lang w:val="uk-UA"/>
              </w:rPr>
              <w:t>ОФВ</w:t>
            </w:r>
            <w:r>
              <w:rPr>
                <w:color w:val="000000"/>
                <w:vertAlign w:val="subscript"/>
                <w:lang w:val="uk-UA"/>
              </w:rPr>
              <w:t>1</w:t>
            </w:r>
            <w:r>
              <w:rPr>
                <w:color w:val="000000"/>
                <w:lang w:val="uk-UA"/>
              </w:rPr>
              <w:tab/>
              <w:t>– об'єм форсованого видиху за 1 секунду</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snapToGrid w:val="0"/>
                <w:color w:val="000000"/>
                <w:lang w:val="uk-UA"/>
              </w:rPr>
            </w:pPr>
            <w:r>
              <w:rPr>
                <w:snapToGrid w:val="0"/>
                <w:color w:val="000000"/>
                <w:lang w:val="uk-UA"/>
              </w:rPr>
              <w:t xml:space="preserve">ПЗ </w:t>
            </w:r>
            <w:r>
              <w:rPr>
                <w:snapToGrid w:val="0"/>
                <w:color w:val="000000"/>
                <w:lang w:val="uk-UA"/>
              </w:rPr>
              <w:tab/>
              <w:t>– психічне здоров'я</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color w:val="000000"/>
                <w:lang w:val="uk-UA"/>
              </w:rPr>
            </w:pPr>
            <w:r>
              <w:rPr>
                <w:color w:val="000000"/>
                <w:lang w:val="uk-UA"/>
              </w:rPr>
              <w:t>ПЛРЦ – пульмонологічний лікувально-реабілітаційний центр</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color w:val="000000"/>
                <w:lang w:val="uk-UA"/>
              </w:rPr>
            </w:pPr>
            <w:r>
              <w:rPr>
                <w:color w:val="000000"/>
                <w:lang w:val="uk-UA"/>
              </w:rPr>
              <w:t xml:space="preserve">РМУ </w:t>
            </w:r>
            <w:r>
              <w:rPr>
                <w:color w:val="000000"/>
                <w:lang w:val="uk-UA"/>
              </w:rPr>
              <w:tab/>
              <w:t>– різні медичні установи</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snapToGrid w:val="0"/>
                <w:color w:val="000000"/>
                <w:lang w:val="uk-UA"/>
              </w:rPr>
            </w:pPr>
            <w:r>
              <w:rPr>
                <w:snapToGrid w:val="0"/>
                <w:color w:val="000000"/>
                <w:lang w:val="uk-UA"/>
              </w:rPr>
              <w:t xml:space="preserve">РФ </w:t>
            </w:r>
            <w:r>
              <w:rPr>
                <w:snapToGrid w:val="0"/>
                <w:color w:val="000000"/>
                <w:lang w:val="uk-UA"/>
              </w:rPr>
              <w:tab/>
              <w:t>– роль фізичних проблем в обмеженні життєдіяльності</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snapToGrid w:val="0"/>
                <w:color w:val="000000"/>
                <w:lang w:val="uk-UA"/>
              </w:rPr>
            </w:pPr>
            <w:r>
              <w:rPr>
                <w:snapToGrid w:val="0"/>
                <w:color w:val="000000"/>
                <w:lang w:val="uk-UA"/>
              </w:rPr>
              <w:t xml:space="preserve">РЕ </w:t>
            </w:r>
            <w:r>
              <w:rPr>
                <w:snapToGrid w:val="0"/>
                <w:color w:val="000000"/>
                <w:lang w:val="uk-UA"/>
              </w:rPr>
              <w:tab/>
              <w:t>– роль емоційних проблем в обмеженні життєдіяльності</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snapToGrid w:val="0"/>
                <w:color w:val="000000"/>
                <w:lang w:val="uk-UA"/>
              </w:rPr>
            </w:pPr>
            <w:r>
              <w:rPr>
                <w:snapToGrid w:val="0"/>
                <w:color w:val="000000"/>
                <w:lang w:val="uk-UA"/>
              </w:rPr>
              <w:t xml:space="preserve">СА </w:t>
            </w:r>
            <w:r>
              <w:rPr>
                <w:snapToGrid w:val="0"/>
                <w:color w:val="000000"/>
                <w:lang w:val="uk-UA"/>
              </w:rPr>
              <w:tab/>
              <w:t>– соціальна активність</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snapToGrid w:val="0"/>
                <w:color w:val="000000"/>
                <w:lang w:val="uk-UA"/>
              </w:rPr>
            </w:pPr>
            <w:r>
              <w:rPr>
                <w:snapToGrid w:val="0"/>
                <w:color w:val="000000"/>
                <w:lang w:val="uk-UA"/>
              </w:rPr>
              <w:t xml:space="preserve">ФА </w:t>
            </w:r>
            <w:r>
              <w:rPr>
                <w:snapToGrid w:val="0"/>
                <w:color w:val="000000"/>
                <w:lang w:val="uk-UA"/>
              </w:rPr>
              <w:tab/>
              <w:t xml:space="preserve">– фізична активність </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color w:val="000000"/>
                <w:lang w:val="uk-UA"/>
              </w:rPr>
            </w:pPr>
            <w:r>
              <w:rPr>
                <w:color w:val="000000"/>
                <w:lang w:val="uk-UA"/>
              </w:rPr>
              <w:t>ХОЗЛ – хронічне обструктивне захворювання легенів</w:t>
            </w:r>
          </w:p>
        </w:tc>
      </w:tr>
      <w:tr w:rsidR="00FC6DD7" w:rsidTr="00F019BB">
        <w:tc>
          <w:tcPr>
            <w:tcW w:w="9410" w:type="dxa"/>
            <w:tcBorders>
              <w:top w:val="nil"/>
              <w:left w:val="nil"/>
              <w:bottom w:val="nil"/>
              <w:right w:val="nil"/>
            </w:tcBorders>
            <w:tcMar>
              <w:left w:w="28" w:type="dxa"/>
              <w:right w:w="28" w:type="dxa"/>
            </w:tcMar>
          </w:tcPr>
          <w:p w:rsidR="00FC6DD7" w:rsidRDefault="00FC6DD7" w:rsidP="00F019BB">
            <w:pPr>
              <w:ind w:left="567"/>
              <w:rPr>
                <w:color w:val="000000"/>
                <w:lang w:val="uk-UA"/>
              </w:rPr>
            </w:pPr>
            <w:r>
              <w:rPr>
                <w:color w:val="000000"/>
                <w:lang w:val="uk-UA"/>
              </w:rPr>
              <w:t xml:space="preserve">ЯЖ </w:t>
            </w:r>
            <w:r>
              <w:rPr>
                <w:color w:val="000000"/>
                <w:lang w:val="uk-UA"/>
              </w:rPr>
              <w:tab/>
              <w:t>– якість життя</w:t>
            </w:r>
          </w:p>
        </w:tc>
      </w:tr>
    </w:tbl>
    <w:p w:rsidR="00FC6DD7" w:rsidRDefault="00FC6DD7" w:rsidP="00FC6DD7">
      <w:pPr>
        <w:rPr>
          <w:color w:val="000000"/>
          <w:lang w:val="uk-UA"/>
        </w:rPr>
      </w:pPr>
    </w:p>
    <w:p w:rsidR="00FC6DD7" w:rsidRPr="004D7A6B" w:rsidRDefault="00FC6DD7" w:rsidP="00FC6DD7">
      <w:pPr>
        <w:pStyle w:val="afffffffb"/>
        <w:ind w:firstLine="0"/>
        <w:rPr>
          <w:color w:val="000000"/>
          <w:sz w:val="24"/>
          <w:lang w:val="uk-UA"/>
        </w:rPr>
      </w:pPr>
      <w:r>
        <w:rPr>
          <w:lang w:val="uk-UA"/>
        </w:rPr>
        <w:br w:type="page"/>
      </w: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p>
    <w:p w:rsidR="00FC6DD7" w:rsidRPr="004D7A6B" w:rsidRDefault="00FC6DD7" w:rsidP="00FC6DD7">
      <w:pPr>
        <w:autoSpaceDE w:val="0"/>
        <w:autoSpaceDN w:val="0"/>
        <w:jc w:val="center"/>
        <w:rPr>
          <w:b/>
          <w:bCs/>
          <w:color w:val="000000"/>
          <w:sz w:val="24"/>
          <w:lang w:val="uk-UA"/>
        </w:rPr>
      </w:pPr>
      <w:r w:rsidRPr="004D7A6B">
        <w:rPr>
          <w:b/>
          <w:bCs/>
          <w:color w:val="000000"/>
          <w:sz w:val="24"/>
          <w:lang w:val="uk-UA"/>
        </w:rPr>
        <w:t>Мальченко Анатолій Григорович</w:t>
      </w:r>
    </w:p>
    <w:p w:rsidR="00FC6DD7" w:rsidRPr="004D7A6B" w:rsidRDefault="00FC6DD7" w:rsidP="00FC6DD7">
      <w:pPr>
        <w:ind w:right="284"/>
        <w:jc w:val="right"/>
        <w:rPr>
          <w:b/>
          <w:bCs/>
          <w:color w:val="000000"/>
          <w:sz w:val="24"/>
          <w:lang w:val="uk-UA"/>
        </w:rPr>
      </w:pPr>
    </w:p>
    <w:p w:rsidR="00FC6DD7" w:rsidRPr="004D7A6B" w:rsidRDefault="00FC6DD7" w:rsidP="00FC6DD7">
      <w:pPr>
        <w:autoSpaceDE w:val="0"/>
        <w:autoSpaceDN w:val="0"/>
        <w:ind w:firstLine="540"/>
        <w:jc w:val="center"/>
        <w:rPr>
          <w:b/>
          <w:bCs/>
          <w:color w:val="000000"/>
          <w:sz w:val="24"/>
          <w:lang w:val="uk-UA"/>
        </w:rPr>
      </w:pPr>
    </w:p>
    <w:p w:rsidR="00FC6DD7" w:rsidRPr="004D7A6B" w:rsidRDefault="00FC6DD7" w:rsidP="00FC6DD7">
      <w:pPr>
        <w:autoSpaceDE w:val="0"/>
        <w:autoSpaceDN w:val="0"/>
        <w:ind w:firstLine="540"/>
        <w:jc w:val="center"/>
        <w:rPr>
          <w:b/>
          <w:bCs/>
          <w:color w:val="000000"/>
          <w:sz w:val="24"/>
          <w:lang w:val="uk-UA"/>
        </w:rPr>
      </w:pPr>
      <w:r w:rsidRPr="004D7A6B">
        <w:rPr>
          <w:b/>
          <w:bCs/>
          <w:color w:val="000000"/>
          <w:sz w:val="24"/>
          <w:lang w:val="uk-UA"/>
        </w:rPr>
        <w:t xml:space="preserve">Комплексна оцінка клінічної ефективності </w:t>
      </w:r>
      <w:r w:rsidRPr="004D7A6B">
        <w:rPr>
          <w:b/>
          <w:bCs/>
          <w:color w:val="000000"/>
          <w:sz w:val="24"/>
        </w:rPr>
        <w:t>небулайзерн</w:t>
      </w:r>
      <w:r w:rsidRPr="004D7A6B">
        <w:rPr>
          <w:b/>
          <w:bCs/>
          <w:color w:val="000000"/>
          <w:sz w:val="24"/>
          <w:lang w:val="uk-UA"/>
        </w:rPr>
        <w:t>и</w:t>
      </w:r>
      <w:r w:rsidRPr="004D7A6B">
        <w:rPr>
          <w:b/>
          <w:bCs/>
          <w:color w:val="000000"/>
          <w:sz w:val="24"/>
        </w:rPr>
        <w:t>х</w:t>
      </w:r>
      <w:r w:rsidRPr="004D7A6B">
        <w:rPr>
          <w:b/>
          <w:bCs/>
          <w:color w:val="000000"/>
          <w:sz w:val="24"/>
          <w:lang w:val="uk-UA"/>
        </w:rPr>
        <w:t xml:space="preserve"> </w:t>
      </w:r>
    </w:p>
    <w:p w:rsidR="00FC6DD7" w:rsidRPr="004D7A6B" w:rsidRDefault="00FC6DD7" w:rsidP="00FC6DD7">
      <w:pPr>
        <w:autoSpaceDE w:val="0"/>
        <w:autoSpaceDN w:val="0"/>
        <w:ind w:firstLine="540"/>
        <w:jc w:val="center"/>
        <w:rPr>
          <w:b/>
          <w:bCs/>
          <w:color w:val="000000"/>
          <w:sz w:val="24"/>
          <w:lang w:val="uk-UA"/>
        </w:rPr>
      </w:pPr>
      <w:r w:rsidRPr="004D7A6B">
        <w:rPr>
          <w:b/>
          <w:bCs/>
          <w:color w:val="000000"/>
          <w:sz w:val="24"/>
          <w:lang w:val="uk-UA"/>
        </w:rPr>
        <w:t xml:space="preserve">інгаляцій </w:t>
      </w:r>
      <w:r w:rsidRPr="004D7A6B">
        <w:rPr>
          <w:b/>
          <w:bCs/>
          <w:color w:val="000000"/>
          <w:sz w:val="24"/>
        </w:rPr>
        <w:t>глюкокортикостеро</w:t>
      </w:r>
      <w:r w:rsidRPr="004D7A6B">
        <w:rPr>
          <w:b/>
          <w:bCs/>
          <w:color w:val="000000"/>
          <w:sz w:val="24"/>
          <w:lang w:val="uk-UA"/>
        </w:rPr>
        <w:t>ї</w:t>
      </w:r>
      <w:r w:rsidRPr="004D7A6B">
        <w:rPr>
          <w:b/>
          <w:bCs/>
          <w:color w:val="000000"/>
          <w:sz w:val="24"/>
        </w:rPr>
        <w:t>д</w:t>
      </w:r>
      <w:r w:rsidRPr="004D7A6B">
        <w:rPr>
          <w:b/>
          <w:bCs/>
          <w:color w:val="000000"/>
          <w:sz w:val="24"/>
          <w:lang w:val="uk-UA"/>
        </w:rPr>
        <w:t>і</w:t>
      </w:r>
      <w:r w:rsidRPr="004D7A6B">
        <w:rPr>
          <w:b/>
          <w:bCs/>
          <w:color w:val="000000"/>
          <w:sz w:val="24"/>
        </w:rPr>
        <w:t>в</w:t>
      </w:r>
      <w:r w:rsidRPr="004D7A6B">
        <w:rPr>
          <w:b/>
          <w:bCs/>
          <w:color w:val="000000"/>
          <w:sz w:val="24"/>
          <w:lang w:val="uk-UA"/>
        </w:rPr>
        <w:t xml:space="preserve"> при загостренні </w:t>
      </w:r>
    </w:p>
    <w:p w:rsidR="00FC6DD7" w:rsidRPr="004D7A6B" w:rsidRDefault="00FC6DD7" w:rsidP="00FC6DD7">
      <w:pPr>
        <w:autoSpaceDE w:val="0"/>
        <w:autoSpaceDN w:val="0"/>
        <w:ind w:firstLine="540"/>
        <w:jc w:val="center"/>
        <w:rPr>
          <w:b/>
          <w:bCs/>
          <w:color w:val="000000"/>
          <w:sz w:val="24"/>
          <w:lang w:val="uk-UA"/>
        </w:rPr>
      </w:pPr>
      <w:r w:rsidRPr="004D7A6B">
        <w:rPr>
          <w:b/>
          <w:bCs/>
          <w:color w:val="000000"/>
          <w:sz w:val="24"/>
          <w:lang w:val="uk-UA"/>
        </w:rPr>
        <w:t>хронічного обструктивного захворювання легенів</w:t>
      </w:r>
    </w:p>
    <w:p w:rsidR="00FC6DD7" w:rsidRPr="004D7A6B" w:rsidRDefault="00FC6DD7" w:rsidP="00FC6DD7">
      <w:pPr>
        <w:pStyle w:val="afffffffb"/>
        <w:ind w:firstLine="0"/>
        <w:jc w:val="center"/>
        <w:rPr>
          <w:b/>
          <w:bCs/>
          <w:color w:val="000000"/>
          <w:sz w:val="24"/>
          <w:lang w:val="uk-UA"/>
        </w:rPr>
      </w:pPr>
    </w:p>
    <w:p w:rsidR="00FC6DD7" w:rsidRPr="004D7A6B" w:rsidRDefault="00FC6DD7" w:rsidP="00FC6DD7">
      <w:pPr>
        <w:pStyle w:val="afffffffb"/>
        <w:autoSpaceDE w:val="0"/>
        <w:autoSpaceDN w:val="0"/>
        <w:ind w:firstLine="0"/>
        <w:jc w:val="center"/>
        <w:rPr>
          <w:b/>
          <w:bCs/>
          <w:color w:val="000000"/>
          <w:sz w:val="24"/>
          <w:lang w:val="uk-UA"/>
        </w:rPr>
      </w:pPr>
      <w:r w:rsidRPr="004D7A6B">
        <w:rPr>
          <w:b/>
          <w:bCs/>
          <w:color w:val="000000"/>
          <w:sz w:val="24"/>
          <w:lang w:val="uk-UA"/>
        </w:rPr>
        <w:t>(Автореферат)</w:t>
      </w:r>
    </w:p>
    <w:p w:rsidR="00FC6DD7" w:rsidRPr="004D7A6B" w:rsidRDefault="00FC6DD7" w:rsidP="00FC6DD7">
      <w:pPr>
        <w:pStyle w:val="afffffffb"/>
        <w:ind w:firstLine="0"/>
        <w:rPr>
          <w:color w:val="000000"/>
          <w:sz w:val="24"/>
          <w:lang w:val="uk-UA"/>
        </w:rPr>
      </w:pPr>
    </w:p>
    <w:p w:rsidR="00FC6DD7" w:rsidRPr="004D7A6B" w:rsidRDefault="00FC6DD7" w:rsidP="00FC6DD7">
      <w:pPr>
        <w:pStyle w:val="afffffffb"/>
        <w:autoSpaceDE w:val="0"/>
        <w:autoSpaceDN w:val="0"/>
        <w:ind w:firstLine="0"/>
        <w:rPr>
          <w:color w:val="000000"/>
          <w:lang w:val="uk-UA"/>
        </w:rPr>
      </w:pPr>
    </w:p>
    <w:p w:rsidR="00FC6DD7" w:rsidRPr="004D7A6B" w:rsidRDefault="00FC6DD7" w:rsidP="00FC6DD7">
      <w:pPr>
        <w:pStyle w:val="afffffffb"/>
        <w:autoSpaceDE w:val="0"/>
        <w:autoSpaceDN w:val="0"/>
        <w:ind w:firstLine="0"/>
        <w:rPr>
          <w:color w:val="000000"/>
          <w:lang w:val="uk-UA"/>
        </w:rPr>
      </w:pPr>
    </w:p>
    <w:p w:rsidR="00FC6DD7" w:rsidRPr="004D7A6B" w:rsidRDefault="00FC6DD7" w:rsidP="00FC6DD7">
      <w:pPr>
        <w:pStyle w:val="afffffffb"/>
        <w:autoSpaceDE w:val="0"/>
        <w:autoSpaceDN w:val="0"/>
        <w:ind w:firstLine="0"/>
        <w:rPr>
          <w:color w:val="000000"/>
          <w:lang w:val="uk-UA"/>
        </w:rPr>
      </w:pPr>
    </w:p>
    <w:p w:rsidR="00FC6DD7" w:rsidRPr="004D7A6B" w:rsidRDefault="00FC6DD7" w:rsidP="00FC6DD7">
      <w:pPr>
        <w:pStyle w:val="afffffffb"/>
        <w:ind w:firstLine="0"/>
        <w:jc w:val="center"/>
        <w:rPr>
          <w:color w:val="000000"/>
          <w:sz w:val="22"/>
          <w:szCs w:val="22"/>
          <w:lang w:val="uk-UA" w:eastAsia="uk-UA"/>
        </w:rPr>
      </w:pPr>
      <w:r w:rsidRPr="004D7A6B">
        <w:rPr>
          <w:color w:val="000000"/>
          <w:sz w:val="22"/>
          <w:szCs w:val="22"/>
          <w:lang w:val="uk-UA" w:eastAsia="uk-UA"/>
        </w:rPr>
        <w:t xml:space="preserve">Підписано до </w:t>
      </w:r>
      <w:r w:rsidRPr="004D7A6B">
        <w:rPr>
          <w:color w:val="000000"/>
          <w:sz w:val="22"/>
          <w:szCs w:val="22"/>
          <w:lang w:eastAsia="uk-UA"/>
        </w:rPr>
        <w:t>друку</w:t>
      </w:r>
      <w:r w:rsidRPr="004D7A6B">
        <w:rPr>
          <w:color w:val="000000"/>
          <w:sz w:val="22"/>
          <w:szCs w:val="22"/>
          <w:lang w:val="uk-UA" w:eastAsia="uk-UA"/>
        </w:rPr>
        <w:t xml:space="preserve"> 2</w:t>
      </w:r>
      <w:r>
        <w:rPr>
          <w:color w:val="000000"/>
          <w:sz w:val="22"/>
          <w:szCs w:val="22"/>
          <w:lang w:val="uk-UA" w:eastAsia="uk-UA"/>
        </w:rPr>
        <w:t>0</w:t>
      </w:r>
      <w:r w:rsidRPr="004D7A6B">
        <w:rPr>
          <w:color w:val="000000"/>
          <w:sz w:val="22"/>
          <w:szCs w:val="22"/>
          <w:lang w:val="uk-UA" w:eastAsia="uk-UA"/>
        </w:rPr>
        <w:t>.08.2009</w:t>
      </w:r>
    </w:p>
    <w:p w:rsidR="00FC6DD7" w:rsidRPr="004D7A6B" w:rsidRDefault="00FC6DD7" w:rsidP="00FC6DD7">
      <w:pPr>
        <w:pStyle w:val="afffffffb"/>
        <w:autoSpaceDE w:val="0"/>
        <w:autoSpaceDN w:val="0"/>
        <w:ind w:firstLine="0"/>
        <w:jc w:val="center"/>
        <w:rPr>
          <w:color w:val="000000"/>
          <w:sz w:val="22"/>
          <w:szCs w:val="22"/>
          <w:lang w:val="uk-UA" w:eastAsia="uk-UA"/>
        </w:rPr>
      </w:pPr>
      <w:r w:rsidRPr="004D7A6B">
        <w:rPr>
          <w:color w:val="000000"/>
          <w:sz w:val="22"/>
          <w:szCs w:val="22"/>
          <w:lang w:val="uk-UA" w:eastAsia="uk-UA"/>
        </w:rPr>
        <w:t>Формат 60</w:t>
      </w:r>
      <w:r w:rsidRPr="004D7A6B">
        <w:rPr>
          <w:color w:val="000000"/>
          <w:sz w:val="22"/>
          <w:szCs w:val="22"/>
          <w:lang w:val="uk-UA"/>
        </w:rPr>
        <w:sym w:font="Symbol" w:char="F0B4"/>
      </w:r>
      <w:r w:rsidRPr="004D7A6B">
        <w:rPr>
          <w:color w:val="000000"/>
          <w:sz w:val="22"/>
          <w:szCs w:val="22"/>
          <w:lang w:val="uk-UA" w:eastAsia="uk-UA"/>
        </w:rPr>
        <w:t>90 1/16</w:t>
      </w:r>
    </w:p>
    <w:p w:rsidR="00FC6DD7" w:rsidRPr="004D7A6B" w:rsidRDefault="00FC6DD7" w:rsidP="00FC6DD7">
      <w:pPr>
        <w:pStyle w:val="afffffffb"/>
        <w:autoSpaceDE w:val="0"/>
        <w:autoSpaceDN w:val="0"/>
        <w:ind w:firstLine="0"/>
        <w:jc w:val="center"/>
        <w:rPr>
          <w:color w:val="000000"/>
          <w:sz w:val="22"/>
          <w:szCs w:val="22"/>
          <w:lang w:val="uk-UA"/>
        </w:rPr>
      </w:pPr>
      <w:r w:rsidRPr="004D7A6B">
        <w:rPr>
          <w:color w:val="000000"/>
          <w:sz w:val="22"/>
          <w:szCs w:val="22"/>
          <w:lang w:val="uk-UA"/>
        </w:rPr>
        <w:t xml:space="preserve">Папір фінський. Об'єм 0,9 ум. </w:t>
      </w:r>
      <w:r w:rsidRPr="004D7A6B">
        <w:rPr>
          <w:color w:val="000000"/>
          <w:sz w:val="22"/>
          <w:szCs w:val="22"/>
        </w:rPr>
        <w:t>друк</w:t>
      </w:r>
      <w:r w:rsidRPr="004D7A6B">
        <w:rPr>
          <w:color w:val="000000"/>
          <w:sz w:val="22"/>
          <w:szCs w:val="22"/>
          <w:lang w:val="uk-UA"/>
        </w:rPr>
        <w:t>. арк.</w:t>
      </w:r>
    </w:p>
    <w:p w:rsidR="00FC6DD7" w:rsidRPr="004D7A6B" w:rsidRDefault="00FC6DD7" w:rsidP="00FC6DD7">
      <w:pPr>
        <w:pStyle w:val="afffffffb"/>
        <w:autoSpaceDE w:val="0"/>
        <w:autoSpaceDN w:val="0"/>
        <w:ind w:firstLine="0"/>
        <w:jc w:val="center"/>
        <w:rPr>
          <w:color w:val="000000"/>
          <w:sz w:val="22"/>
          <w:szCs w:val="22"/>
          <w:lang w:val="uk-UA"/>
        </w:rPr>
      </w:pPr>
      <w:r w:rsidRPr="004D7A6B">
        <w:rPr>
          <w:color w:val="000000"/>
          <w:sz w:val="22"/>
          <w:szCs w:val="22"/>
          <w:lang w:val="uk-UA"/>
        </w:rPr>
        <w:t>Тираж 100 прим.</w:t>
      </w:r>
    </w:p>
    <w:p w:rsidR="00FC6DD7" w:rsidRPr="004D7A6B" w:rsidRDefault="00FC6DD7" w:rsidP="00FC6DD7">
      <w:pPr>
        <w:pStyle w:val="afffffffb"/>
        <w:autoSpaceDE w:val="0"/>
        <w:autoSpaceDN w:val="0"/>
        <w:ind w:firstLine="0"/>
        <w:jc w:val="center"/>
        <w:rPr>
          <w:color w:val="000000"/>
          <w:sz w:val="22"/>
          <w:szCs w:val="22"/>
          <w:lang w:val="uk-UA"/>
        </w:rPr>
      </w:pPr>
      <w:r w:rsidRPr="004D7A6B">
        <w:rPr>
          <w:color w:val="000000"/>
          <w:sz w:val="22"/>
          <w:szCs w:val="22"/>
          <w:lang w:val="uk-UA"/>
        </w:rPr>
        <w:t>Друк. ПП Ніколаєнко</w:t>
      </w:r>
    </w:p>
    <w:p w:rsidR="00FC6DD7" w:rsidRPr="004D7A6B" w:rsidRDefault="00FC6DD7" w:rsidP="00FC6DD7">
      <w:pPr>
        <w:pStyle w:val="afffffffb"/>
        <w:autoSpaceDE w:val="0"/>
        <w:autoSpaceDN w:val="0"/>
        <w:ind w:firstLine="0"/>
        <w:jc w:val="center"/>
        <w:rPr>
          <w:color w:val="000000"/>
          <w:sz w:val="22"/>
          <w:szCs w:val="22"/>
          <w:lang w:val="uk-UA"/>
        </w:rPr>
      </w:pPr>
      <w:r w:rsidRPr="004D7A6B">
        <w:rPr>
          <w:color w:val="000000"/>
          <w:sz w:val="22"/>
          <w:szCs w:val="22"/>
          <w:lang w:val="uk-UA"/>
        </w:rPr>
        <w:t>АР Крим, м. Ялта, вул. Руданського, 4/1</w:t>
      </w:r>
    </w:p>
    <w:p w:rsidR="00FC6DD7" w:rsidRPr="004D7A6B" w:rsidRDefault="00FC6DD7" w:rsidP="00FC6DD7">
      <w:pPr>
        <w:pStyle w:val="afffffffb"/>
        <w:autoSpaceDE w:val="0"/>
        <w:autoSpaceDN w:val="0"/>
        <w:ind w:firstLine="0"/>
        <w:jc w:val="center"/>
        <w:rPr>
          <w:color w:val="000000"/>
          <w:sz w:val="22"/>
          <w:szCs w:val="22"/>
          <w:lang w:val="uk-UA"/>
        </w:rPr>
      </w:pPr>
      <w:r w:rsidRPr="004D7A6B">
        <w:rPr>
          <w:color w:val="000000"/>
          <w:sz w:val="22"/>
          <w:szCs w:val="22"/>
          <w:lang w:val="uk-UA"/>
        </w:rPr>
        <w:t>тел. 23-09-38</w:t>
      </w:r>
    </w:p>
    <w:p w:rsidR="00FC6DD7" w:rsidRPr="004D7A6B" w:rsidRDefault="00FC6DD7" w:rsidP="00FC6DD7">
      <w:pPr>
        <w:pStyle w:val="afffffffb"/>
        <w:ind w:firstLine="0"/>
        <w:rPr>
          <w:color w:val="000000"/>
          <w:lang w:val="uk-UA"/>
        </w:rPr>
      </w:pPr>
    </w:p>
    <w:p w:rsidR="002130E9" w:rsidRDefault="002130E9" w:rsidP="002130E9">
      <w:pPr>
        <w:spacing w:line="360" w:lineRule="auto"/>
        <w:ind w:right="5"/>
        <w:jc w:val="both"/>
        <w:rPr>
          <w:b/>
          <w:sz w:val="28"/>
          <w:szCs w:val="28"/>
        </w:rPr>
      </w:pPr>
      <w:bookmarkStart w:id="2" w:name="_GoBack"/>
      <w:bookmarkEnd w:id="2"/>
    </w:p>
    <w:p w:rsidR="004C075C" w:rsidRDefault="009817E6" w:rsidP="006F131F">
      <w:pPr>
        <w:pStyle w:val="aa"/>
        <w:spacing w:line="360" w:lineRule="auto"/>
        <w:jc w:val="center"/>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15"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6"/>
      <w:headerReference w:type="default" r:id="rId17"/>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A7" w:rsidRDefault="002160A7">
      <w:pPr>
        <w:spacing w:after="0" w:line="240" w:lineRule="auto"/>
      </w:pPr>
      <w:r>
        <w:separator/>
      </w:r>
    </w:p>
  </w:endnote>
  <w:endnote w:type="continuationSeparator" w:id="0">
    <w:p w:rsidR="002160A7" w:rsidRDefault="0021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D7" w:rsidRDefault="00FC6DD7">
    <w:pPr>
      <w:tabs>
        <w:tab w:val="center" w:pos="4677"/>
        <w:tab w:val="right" w:pos="9355"/>
      </w:tabs>
      <w:spacing w:line="288" w:lineRule="aut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D7" w:rsidRDefault="00FC6DD7">
    <w:pPr>
      <w:tabs>
        <w:tab w:val="center" w:pos="4677"/>
        <w:tab w:val="right" w:pos="9355"/>
      </w:tabs>
      <w:spacing w:line="288" w:lineRule="auto"/>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2160A7">
    <w:pPr>
      <w:pStyle w:val="a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FC6DD7">
      <w:rPr>
        <w:rStyle w:val="af7"/>
        <w:rFonts w:eastAsia="Garamond"/>
        <w:noProof/>
      </w:rPr>
      <w:t>10</w:t>
    </w:r>
    <w:r>
      <w:rPr>
        <w:rStyle w:val="af7"/>
        <w:rFonts w:eastAsia="Garamond"/>
      </w:rPr>
      <w:fldChar w:fldCharType="end"/>
    </w:r>
  </w:p>
  <w:p w:rsidR="009335CF" w:rsidRDefault="002160A7">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A7" w:rsidRDefault="002160A7">
      <w:pPr>
        <w:spacing w:after="0" w:line="240" w:lineRule="auto"/>
      </w:pPr>
      <w:r>
        <w:separator/>
      </w:r>
    </w:p>
  </w:footnote>
  <w:footnote w:type="continuationSeparator" w:id="0">
    <w:p w:rsidR="002160A7" w:rsidRDefault="00216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D7" w:rsidRDefault="00FC6DD7" w:rsidP="00AF5E17">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FC6DD7" w:rsidRDefault="00FC6DD7">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D7" w:rsidRDefault="00FC6DD7">
    <w:pPr>
      <w:framePr w:wrap="auto" w:vAnchor="text" w:hAnchor="margin" w:xAlign="center" w:y="1"/>
    </w:pPr>
    <w:r>
      <w:fldChar w:fldCharType="begin"/>
    </w:r>
    <w:r>
      <w:instrText xml:space="preserve">PAGE  </w:instrText>
    </w:r>
    <w:r>
      <w:fldChar w:fldCharType="separate"/>
    </w:r>
    <w:r>
      <w:rPr>
        <w:noProof/>
      </w:rPr>
      <w:t>2</w:t>
    </w:r>
    <w:r>
      <w:fldChar w:fldCharType="end"/>
    </w:r>
  </w:p>
  <w:p w:rsidR="00FC6DD7" w:rsidRDefault="00FC6DD7">
    <w:pP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D7" w:rsidRDefault="00FC6DD7" w:rsidP="00AF5E17">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4</w:t>
    </w:r>
    <w:r>
      <w:rPr>
        <w:rStyle w:val="af7"/>
      </w:rPr>
      <w:fldChar w:fldCharType="end"/>
    </w:r>
  </w:p>
  <w:p w:rsidR="00FC6DD7" w:rsidRDefault="00FC6DD7">
    <w:pPr>
      <w:ind w:right="36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2160A7">
    <w:pPr>
      <w:pStyle w:val="a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160A7">
    <w:pPr>
      <w:pStyle w:val="af5"/>
      <w:framePr w:wrap="around" w:vAnchor="text" w:hAnchor="margin" w:xAlign="right" w:y="1"/>
      <w:rPr>
        <w:rStyle w:val="af7"/>
        <w:lang w:val="uk-UA"/>
      </w:rPr>
    </w:pPr>
  </w:p>
  <w:p w:rsidR="009335CF" w:rsidRDefault="002160A7">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0">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1">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0"/>
  </w:num>
  <w:num w:numId="2">
    <w:abstractNumId w:val="39"/>
  </w:num>
  <w:num w:numId="3">
    <w:abstractNumId w:val="0"/>
  </w:num>
  <w:num w:numId="4">
    <w:abstractNumId w:val="27"/>
  </w:num>
  <w:num w:numId="5">
    <w:abstractNumId w:val="25"/>
  </w:num>
  <w:num w:numId="6">
    <w:abstractNumId w:val="32"/>
  </w:num>
  <w:num w:numId="7">
    <w:abstractNumId w:val="23"/>
  </w:num>
  <w:num w:numId="8">
    <w:abstractNumId w:val="42"/>
  </w:num>
  <w:num w:numId="9">
    <w:abstractNumId w:val="30"/>
  </w:num>
  <w:num w:numId="10">
    <w:abstractNumId w:val="34"/>
  </w:num>
  <w:num w:numId="11">
    <w:abstractNumId w:val="43"/>
  </w:num>
  <w:num w:numId="12">
    <w:abstractNumId w:val="36"/>
  </w:num>
  <w:num w:numId="13">
    <w:abstractNumId w:val="38"/>
  </w:num>
  <w:num w:numId="14">
    <w:abstractNumId w:val="35"/>
  </w:num>
  <w:num w:numId="15">
    <w:abstractNumId w:val="28"/>
  </w:num>
  <w:num w:numId="16">
    <w:abstractNumId w:val="33"/>
  </w:num>
  <w:num w:numId="17">
    <w:abstractNumId w:val="4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1"/>
  </w:num>
  <w:num w:numId="2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30E9"/>
    <w:rsid w:val="00215864"/>
    <w:rsid w:val="002160A7"/>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14EFE"/>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07ED"/>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24C1"/>
    <w:rsid w:val="005B2E1A"/>
    <w:rsid w:val="005B5114"/>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71"/>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74E2"/>
    <w:rsid w:val="00B43775"/>
    <w:rsid w:val="00B43CB9"/>
    <w:rsid w:val="00B442AE"/>
    <w:rsid w:val="00B46626"/>
    <w:rsid w:val="00B46752"/>
    <w:rsid w:val="00B46D43"/>
    <w:rsid w:val="00B4703B"/>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2E83"/>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7E5"/>
    <w:rsid w:val="00EE5F01"/>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1"/>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uiPriority w:val="99"/>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uiPriority w:val="99"/>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 w:type="paragraph" w:customStyle="1" w:styleId="afffffffffffffffffff1">
    <w:name w:val="Заг_табл"/>
    <w:basedOn w:val="a5"/>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6"/>
    <w:rsid w:val="0044302A"/>
    <w:rPr>
      <w:rFonts w:ascii="Verdana" w:hAnsi="Verdana" w:hint="default"/>
      <w:sz w:val="23"/>
      <w:szCs w:val="23"/>
    </w:rPr>
  </w:style>
  <w:style w:type="paragraph" w:customStyle="1" w:styleId="3ff2">
    <w:name w:val="Îñíîâíîé òåêñò ñ îòñòóïîì 3"/>
    <w:basedOn w:val="a5"/>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5"/>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5"/>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5"/>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5"/>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6"/>
    <w:rsid w:val="004953AD"/>
    <w:rPr>
      <w:rFonts w:cs="Times New Roman"/>
    </w:rPr>
  </w:style>
  <w:style w:type="character" w:customStyle="1" w:styleId="announcetitle">
    <w:name w:val="announce_title"/>
    <w:basedOn w:val="a6"/>
    <w:rsid w:val="004953AD"/>
    <w:rPr>
      <w:rFonts w:cs="Times New Roman"/>
    </w:rPr>
  </w:style>
  <w:style w:type="character" w:customStyle="1" w:styleId="156">
    <w:name w:val="Знак Знак15"/>
    <w:basedOn w:val="a6"/>
    <w:rsid w:val="0093541C"/>
    <w:rPr>
      <w:rFonts w:ascii="Arial" w:hAnsi="Arial" w:cs="Arial"/>
      <w:b/>
      <w:bCs/>
      <w:kern w:val="32"/>
      <w:sz w:val="32"/>
      <w:szCs w:val="32"/>
    </w:rPr>
  </w:style>
  <w:style w:type="paragraph" w:customStyle="1" w:styleId="n1a">
    <w:name w:val="n1a"/>
    <w:basedOn w:val="a5"/>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6"/>
    <w:rsid w:val="0093541C"/>
    <w:rPr>
      <w:rFonts w:ascii="Times New Roman" w:hAnsi="Times New Roman" w:cs="Times New Roman"/>
      <w:sz w:val="24"/>
      <w:szCs w:val="24"/>
    </w:rPr>
  </w:style>
  <w:style w:type="character" w:customStyle="1" w:styleId="BodyText210">
    <w:name w:val="Body Text 21 Знак"/>
    <w:basedOn w:val="a6"/>
    <w:rsid w:val="0093541C"/>
    <w:rPr>
      <w:rFonts w:ascii="Times New Roman" w:hAnsi="Times New Roman" w:cs="Times New Roman"/>
      <w:sz w:val="28"/>
      <w:lang w:val="en-US" w:eastAsia="x-none"/>
    </w:rPr>
  </w:style>
  <w:style w:type="paragraph" w:customStyle="1" w:styleId="annotationsubject">
    <w:name w:val="annotation subject"/>
    <w:basedOn w:val="afffd"/>
    <w:next w:val="afffd"/>
    <w:rsid w:val="0093541C"/>
    <w:rPr>
      <w:b/>
      <w:bCs/>
    </w:rPr>
  </w:style>
  <w:style w:type="paragraph" w:customStyle="1" w:styleId="BalloonText">
    <w:name w:val="Balloon Text"/>
    <w:basedOn w:val="a5"/>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6"/>
    <w:rsid w:val="0093541C"/>
    <w:rPr>
      <w:rFonts w:ascii="Times New Roman" w:hAnsi="Times New Roman" w:cs="Times New Roman"/>
      <w:sz w:val="26"/>
      <w:szCs w:val="26"/>
    </w:rPr>
  </w:style>
  <w:style w:type="character" w:customStyle="1" w:styleId="FontStyle19">
    <w:name w:val="Font Style19"/>
    <w:basedOn w:val="a6"/>
    <w:rsid w:val="0093541C"/>
    <w:rPr>
      <w:rFonts w:ascii="Times New Roman" w:hAnsi="Times New Roman" w:cs="Times New Roman"/>
      <w:spacing w:val="10"/>
      <w:sz w:val="24"/>
      <w:szCs w:val="24"/>
    </w:rPr>
  </w:style>
  <w:style w:type="paragraph" w:customStyle="1" w:styleId="text-content-page1">
    <w:name w:val="text-content-page1"/>
    <w:basedOn w:val="a5"/>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5"/>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6"/>
    <w:rsid w:val="0093541C"/>
    <w:rPr>
      <w:rFonts w:ascii="Times New Roman" w:hAnsi="Times New Roman" w:cs="Times New Roman"/>
      <w:i/>
      <w:iCs/>
      <w:sz w:val="18"/>
      <w:szCs w:val="18"/>
    </w:rPr>
  </w:style>
  <w:style w:type="character" w:customStyle="1" w:styleId="FontStyle43">
    <w:name w:val="Font Style43"/>
    <w:basedOn w:val="a6"/>
    <w:rsid w:val="0093541C"/>
    <w:rPr>
      <w:rFonts w:ascii="Times New Roman" w:hAnsi="Times New Roman" w:cs="Times New Roman"/>
      <w:w w:val="75"/>
      <w:sz w:val="22"/>
      <w:szCs w:val="22"/>
    </w:rPr>
  </w:style>
  <w:style w:type="paragraph" w:customStyle="1" w:styleId="Style22">
    <w:name w:val="Style22"/>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5"/>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5"/>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6"/>
    <w:rsid w:val="0093541C"/>
    <w:rPr>
      <w:rFonts w:ascii="Arial Narrow" w:hAnsi="Arial Narrow" w:cs="Arial Narrow"/>
      <w:b/>
      <w:bCs/>
      <w:sz w:val="16"/>
      <w:szCs w:val="16"/>
    </w:rPr>
  </w:style>
  <w:style w:type="character" w:customStyle="1" w:styleId="FontStyle49">
    <w:name w:val="Font Style49"/>
    <w:basedOn w:val="a6"/>
    <w:rsid w:val="0093541C"/>
    <w:rPr>
      <w:rFonts w:ascii="Arial Narrow" w:hAnsi="Arial Narrow" w:cs="Arial Narrow"/>
      <w:b/>
      <w:bCs/>
      <w:i/>
      <w:iCs/>
      <w:sz w:val="16"/>
      <w:szCs w:val="16"/>
    </w:rPr>
  </w:style>
  <w:style w:type="character" w:customStyle="1" w:styleId="FontStyle69">
    <w:name w:val="Font Style69"/>
    <w:basedOn w:val="a6"/>
    <w:rsid w:val="0093541C"/>
    <w:rPr>
      <w:rFonts w:ascii="Times New Roman" w:hAnsi="Times New Roman" w:cs="Times New Roman"/>
      <w:w w:val="80"/>
      <w:sz w:val="24"/>
      <w:szCs w:val="24"/>
    </w:rPr>
  </w:style>
  <w:style w:type="paragraph" w:customStyle="1" w:styleId="Style28">
    <w:name w:val="Style28"/>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5"/>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6"/>
    <w:rsid w:val="0093541C"/>
    <w:rPr>
      <w:rFonts w:ascii="Cambria" w:hAnsi="Cambria" w:cs="Cambria"/>
      <w:sz w:val="16"/>
      <w:szCs w:val="16"/>
    </w:rPr>
  </w:style>
  <w:style w:type="character" w:customStyle="1" w:styleId="FontStyle71">
    <w:name w:val="Font Style71"/>
    <w:basedOn w:val="a6"/>
    <w:rsid w:val="0093541C"/>
    <w:rPr>
      <w:rFonts w:ascii="Times New Roman" w:hAnsi="Times New Roman" w:cs="Times New Roman"/>
      <w:b/>
      <w:bCs/>
      <w:i/>
      <w:iCs/>
      <w:sz w:val="12"/>
      <w:szCs w:val="12"/>
    </w:rPr>
  </w:style>
  <w:style w:type="paragraph" w:customStyle="1" w:styleId="Style19">
    <w:name w:val="Style19"/>
    <w:basedOn w:val="a5"/>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6"/>
    <w:rsid w:val="0093541C"/>
    <w:rPr>
      <w:rFonts w:ascii="Times New Roman" w:hAnsi="Times New Roman" w:cs="Times New Roman"/>
      <w:b/>
      <w:bCs/>
      <w:w w:val="60"/>
      <w:sz w:val="30"/>
      <w:szCs w:val="30"/>
    </w:rPr>
  </w:style>
  <w:style w:type="character" w:customStyle="1" w:styleId="FontStyle70">
    <w:name w:val="Font Style70"/>
    <w:basedOn w:val="a6"/>
    <w:rsid w:val="0093541C"/>
    <w:rPr>
      <w:rFonts w:ascii="Lucida Sans Unicode" w:hAnsi="Lucida Sans Unicode" w:cs="Lucida Sans Unicode"/>
      <w:sz w:val="16"/>
      <w:szCs w:val="16"/>
    </w:rPr>
  </w:style>
  <w:style w:type="character" w:customStyle="1" w:styleId="FontStyle72">
    <w:name w:val="Font Style72"/>
    <w:basedOn w:val="a6"/>
    <w:rsid w:val="0093541C"/>
    <w:rPr>
      <w:rFonts w:ascii="Times New Roman" w:hAnsi="Times New Roman" w:cs="Times New Roman"/>
      <w:i/>
      <w:iCs/>
      <w:sz w:val="16"/>
      <w:szCs w:val="16"/>
    </w:rPr>
  </w:style>
  <w:style w:type="character" w:customStyle="1" w:styleId="FontStyle14">
    <w:name w:val="Font Style14"/>
    <w:basedOn w:val="a6"/>
    <w:rsid w:val="0093541C"/>
    <w:rPr>
      <w:rFonts w:ascii="Times New Roman" w:hAnsi="Times New Roman" w:cs="Times New Roman"/>
      <w:b/>
      <w:bCs/>
      <w:smallCaps/>
      <w:sz w:val="18"/>
      <w:szCs w:val="18"/>
    </w:rPr>
  </w:style>
  <w:style w:type="paragraph" w:customStyle="1" w:styleId="HTML11">
    <w:name w:val="Стандартный HTML1"/>
    <w:basedOn w:val="a5"/>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5"/>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6"/>
    <w:link w:val="14c"/>
    <w:rsid w:val="009340B0"/>
    <w:rPr>
      <w:rFonts w:ascii="Times New Roman" w:eastAsia="Times New Roman" w:hAnsi="Times New Roman" w:cs="Times New Roman"/>
      <w:sz w:val="28"/>
      <w:szCs w:val="28"/>
      <w:lang/>
    </w:rPr>
  </w:style>
  <w:style w:type="paragraph" w:customStyle="1" w:styleId="PlainText">
    <w:name w:val="Plain Text"/>
    <w:basedOn w:val="a5"/>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6"/>
    <w:rsid w:val="00091892"/>
    <w:rPr>
      <w:rFonts w:ascii="Arial" w:hAnsi="Arial" w:cs="Arial" w:hint="default"/>
      <w:color w:val="000000"/>
      <w:sz w:val="18"/>
      <w:szCs w:val="18"/>
    </w:rPr>
  </w:style>
  <w:style w:type="paragraph" w:customStyle="1" w:styleId="BodyTextIndent3">
    <w:name w:val="Body Text Indent 3"/>
    <w:basedOn w:val="a5"/>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6"/>
    <w:rsid w:val="00F10875"/>
  </w:style>
  <w:style w:type="character" w:customStyle="1" w:styleId="maintextbldleft">
    <w:name w:val="maintextbldleft"/>
    <w:basedOn w:val="a6"/>
    <w:rsid w:val="00F10875"/>
  </w:style>
  <w:style w:type="character" w:customStyle="1" w:styleId="journaltitle">
    <w:name w:val="journal_title"/>
    <w:basedOn w:val="a6"/>
    <w:rsid w:val="00F10875"/>
  </w:style>
  <w:style w:type="paragraph" w:customStyle="1" w:styleId="1ffffb">
    <w:name w:val="_Стиль1"/>
    <w:basedOn w:val="aa"/>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7">
    <w:name w:val="осн.текст10"/>
    <w:basedOn w:val="a5"/>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6">
    <w:name w:val=" Знак Знак5"/>
    <w:basedOn w:val="a6"/>
    <w:rsid w:val="00A5497A"/>
    <w:rPr>
      <w:sz w:val="16"/>
      <w:szCs w:val="16"/>
    </w:rPr>
  </w:style>
  <w:style w:type="character" w:customStyle="1" w:styleId="4fe">
    <w:name w:val=" Знак Знак4"/>
    <w:basedOn w:val="a6"/>
    <w:rsid w:val="00A5497A"/>
    <w:rPr>
      <w:sz w:val="24"/>
      <w:szCs w:val="24"/>
    </w:rPr>
  </w:style>
  <w:style w:type="character" w:customStyle="1" w:styleId="6f">
    <w:name w:val=" Знак Знак6"/>
    <w:basedOn w:val="a6"/>
    <w:rsid w:val="00A5497A"/>
  </w:style>
  <w:style w:type="character" w:customStyle="1" w:styleId="158">
    <w:name w:val=" Знак Знак15"/>
    <w:basedOn w:val="a6"/>
    <w:rsid w:val="00A5497A"/>
    <w:rPr>
      <w:b/>
      <w:sz w:val="28"/>
    </w:rPr>
  </w:style>
  <w:style w:type="character" w:customStyle="1" w:styleId="14e">
    <w:name w:val=" Знак Знак14"/>
    <w:basedOn w:val="a6"/>
    <w:rsid w:val="00A5497A"/>
    <w:rPr>
      <w:sz w:val="28"/>
    </w:rPr>
  </w:style>
  <w:style w:type="character" w:customStyle="1" w:styleId="136">
    <w:name w:val=" Знак Знак13"/>
    <w:basedOn w:val="a6"/>
    <w:rsid w:val="00A5497A"/>
    <w:rPr>
      <w:b/>
      <w:sz w:val="32"/>
    </w:rPr>
  </w:style>
  <w:style w:type="character" w:customStyle="1" w:styleId="128">
    <w:name w:val=" Знак Знак12"/>
    <w:basedOn w:val="a6"/>
    <w:rsid w:val="00A5497A"/>
    <w:rPr>
      <w:sz w:val="28"/>
    </w:rPr>
  </w:style>
  <w:style w:type="character" w:customStyle="1" w:styleId="11c">
    <w:name w:val=" Знак Знак11"/>
    <w:basedOn w:val="a6"/>
    <w:rsid w:val="00A5497A"/>
    <w:rPr>
      <w:b/>
      <w:bCs/>
      <w:i/>
      <w:iCs/>
      <w:sz w:val="26"/>
      <w:szCs w:val="26"/>
    </w:rPr>
  </w:style>
  <w:style w:type="character" w:customStyle="1" w:styleId="108">
    <w:name w:val=" Знак Знак10"/>
    <w:basedOn w:val="a6"/>
    <w:rsid w:val="00A5497A"/>
    <w:rPr>
      <w:b/>
      <w:bCs/>
      <w:sz w:val="22"/>
      <w:szCs w:val="22"/>
    </w:rPr>
  </w:style>
  <w:style w:type="character" w:customStyle="1" w:styleId="9d">
    <w:name w:val=" Знак Знак9"/>
    <w:basedOn w:val="a6"/>
    <w:rsid w:val="00A5497A"/>
    <w:rPr>
      <w:sz w:val="24"/>
      <w:szCs w:val="24"/>
    </w:rPr>
  </w:style>
  <w:style w:type="character" w:customStyle="1" w:styleId="8f">
    <w:name w:val=" Знак Знак8"/>
    <w:basedOn w:val="a6"/>
    <w:rsid w:val="00A5497A"/>
    <w:rPr>
      <w:i/>
      <w:iCs/>
      <w:sz w:val="24"/>
      <w:szCs w:val="24"/>
    </w:rPr>
  </w:style>
  <w:style w:type="character" w:customStyle="1" w:styleId="7d">
    <w:name w:val=" Знак Знак7"/>
    <w:basedOn w:val="a6"/>
    <w:rsid w:val="00A5497A"/>
    <w:rPr>
      <w:sz w:val="28"/>
    </w:rPr>
  </w:style>
  <w:style w:type="character" w:customStyle="1" w:styleId="3ff3">
    <w:name w:val=" Знак Знак3"/>
    <w:basedOn w:val="a6"/>
    <w:rsid w:val="00A5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ydisser.com/search.htm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26</Pages>
  <Words>7651</Words>
  <Characters>43611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584</cp:revision>
  <dcterms:created xsi:type="dcterms:W3CDTF">2015-05-26T12:20:00Z</dcterms:created>
  <dcterms:modified xsi:type="dcterms:W3CDTF">2015-05-29T10:40:00Z</dcterms:modified>
</cp:coreProperties>
</file>