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6B07B1" w:rsidRDefault="006B07B1" w:rsidP="006B07B1">
      <w:bookmarkStart w:id="0" w:name="_Hlt159839706"/>
      <w:bookmarkEnd w:id="0"/>
    </w:p>
    <w:p w:rsidR="003F2351" w:rsidRDefault="003F2351" w:rsidP="003F2351">
      <w:pPr>
        <w:pStyle w:val="afffffffe"/>
        <w:rPr>
          <w:sz w:val="28"/>
        </w:rPr>
      </w:pPr>
      <w:r>
        <w:rPr>
          <w:sz w:val="28"/>
        </w:rPr>
        <w:t>МІНІСТЕРСТВО ОХОРОНИ ЗД</w:t>
      </w:r>
      <w:r>
        <w:rPr>
          <w:sz w:val="28"/>
        </w:rPr>
        <w:t>О</w:t>
      </w:r>
      <w:r>
        <w:rPr>
          <w:sz w:val="28"/>
        </w:rPr>
        <w:t>РОВ’Я УКРАЇНИ</w:t>
      </w:r>
    </w:p>
    <w:p w:rsidR="003F2351" w:rsidRDefault="003F2351" w:rsidP="003F2351">
      <w:pPr>
        <w:pStyle w:val="afffffffe"/>
        <w:rPr>
          <w:sz w:val="28"/>
        </w:rPr>
      </w:pPr>
      <w:r>
        <w:rPr>
          <w:sz w:val="28"/>
        </w:rPr>
        <w:t xml:space="preserve">НАЦІОНАЛЬНИЙ МЕДИЧНИЙ УНІВЕРСИТЕТ </w:t>
      </w:r>
    </w:p>
    <w:p w:rsidR="003F2351" w:rsidRDefault="003F2351" w:rsidP="003F2351">
      <w:pPr>
        <w:pStyle w:val="afffffffe"/>
        <w:rPr>
          <w:sz w:val="28"/>
        </w:rPr>
      </w:pPr>
      <w:r>
        <w:rPr>
          <w:sz w:val="28"/>
        </w:rPr>
        <w:t>імені О.О. БОГОМОЛЬЦЯ</w:t>
      </w:r>
    </w:p>
    <w:p w:rsidR="003F2351" w:rsidRDefault="003F2351" w:rsidP="003F2351">
      <w:pPr>
        <w:pStyle w:val="afffffffe"/>
      </w:pPr>
    </w:p>
    <w:p w:rsidR="003F2351" w:rsidRDefault="003F2351" w:rsidP="003F2351">
      <w:pPr>
        <w:pStyle w:val="afffffffe"/>
        <w:jc w:val="right"/>
      </w:pPr>
    </w:p>
    <w:p w:rsidR="003F2351" w:rsidRDefault="003F2351" w:rsidP="003F2351">
      <w:pPr>
        <w:pStyle w:val="afffffffe"/>
        <w:jc w:val="right"/>
      </w:pPr>
    </w:p>
    <w:p w:rsidR="003F2351" w:rsidRDefault="003F2351" w:rsidP="003F2351">
      <w:pPr>
        <w:pStyle w:val="afffffffe"/>
      </w:pPr>
      <w:r>
        <w:t>ДЕМА Олена Володимирівна</w:t>
      </w:r>
    </w:p>
    <w:p w:rsidR="003F2351" w:rsidRDefault="003F2351" w:rsidP="003F2351">
      <w:pPr>
        <w:pStyle w:val="afffffffe"/>
        <w:rPr>
          <w:b/>
          <w:sz w:val="28"/>
        </w:rPr>
      </w:pPr>
    </w:p>
    <w:p w:rsidR="003F2351" w:rsidRDefault="003F2351" w:rsidP="003F2351">
      <w:pPr>
        <w:pStyle w:val="afffffffe"/>
        <w:jc w:val="right"/>
        <w:rPr>
          <w:b/>
          <w:sz w:val="24"/>
        </w:rPr>
      </w:pPr>
      <w:r>
        <w:rPr>
          <w:b/>
          <w:sz w:val="28"/>
        </w:rPr>
        <w:t>УДК 614.7:632.954:6</w:t>
      </w:r>
      <w:r>
        <w:rPr>
          <w:b/>
          <w:sz w:val="24"/>
        </w:rPr>
        <w:t>3</w:t>
      </w:r>
    </w:p>
    <w:p w:rsidR="003F2351" w:rsidRDefault="003F2351" w:rsidP="003F2351">
      <w:pPr>
        <w:pStyle w:val="afffffffe"/>
        <w:rPr>
          <w:b/>
          <w:sz w:val="28"/>
        </w:rPr>
      </w:pPr>
    </w:p>
    <w:p w:rsidR="003F2351" w:rsidRDefault="003F2351" w:rsidP="003F2351">
      <w:pPr>
        <w:pStyle w:val="afffffffe"/>
      </w:pPr>
      <w:r>
        <w:t>ГІГІЄНІЧНЕ ОБҐРУНТУВАННЯ РЕГЛАМЕНТІВ</w:t>
      </w:r>
    </w:p>
    <w:p w:rsidR="003F2351" w:rsidRDefault="003F2351" w:rsidP="003F2351">
      <w:pPr>
        <w:pStyle w:val="afffffffe"/>
      </w:pPr>
      <w:r>
        <w:t>ВИКОРИСТАННЯ У СІЛЬСЬКОМУ ГОСПОДАРСТВІ</w:t>
      </w:r>
    </w:p>
    <w:p w:rsidR="003F2351" w:rsidRDefault="003F2351" w:rsidP="003F2351">
      <w:pPr>
        <w:pStyle w:val="afffffffe"/>
      </w:pPr>
      <w:r>
        <w:t>ГЕРБІЦИДІВ НА ОСНОВІ ІМ</w:t>
      </w:r>
      <w:r>
        <w:t>А</w:t>
      </w:r>
      <w:r>
        <w:t>ЗЕТАПІРУ</w:t>
      </w:r>
    </w:p>
    <w:p w:rsidR="003F2351" w:rsidRDefault="003F2351" w:rsidP="003F2351">
      <w:pPr>
        <w:pStyle w:val="afffffffe"/>
        <w:rPr>
          <w:b/>
          <w:sz w:val="28"/>
        </w:rPr>
      </w:pPr>
    </w:p>
    <w:p w:rsidR="003F2351" w:rsidRDefault="003F2351" w:rsidP="003F2351">
      <w:pPr>
        <w:pStyle w:val="afffffffe"/>
        <w:rPr>
          <w:b/>
        </w:rPr>
      </w:pPr>
      <w:r>
        <w:rPr>
          <w:b/>
        </w:rPr>
        <w:t>14.02.01 – гігієна</w:t>
      </w:r>
    </w:p>
    <w:p w:rsidR="003F2351" w:rsidRDefault="003F2351" w:rsidP="003F2351">
      <w:pPr>
        <w:pStyle w:val="afffffffe"/>
        <w:rPr>
          <w:b/>
          <w:sz w:val="28"/>
        </w:rPr>
      </w:pPr>
    </w:p>
    <w:p w:rsidR="003F2351" w:rsidRDefault="003F2351" w:rsidP="003F2351">
      <w:pPr>
        <w:pStyle w:val="afffffffe"/>
        <w:rPr>
          <w:b/>
          <w:sz w:val="28"/>
        </w:rPr>
      </w:pPr>
    </w:p>
    <w:p w:rsidR="003F2351" w:rsidRDefault="003F2351" w:rsidP="003F2351">
      <w:pPr>
        <w:pStyle w:val="afffffffe"/>
        <w:rPr>
          <w:b/>
          <w:sz w:val="28"/>
        </w:rPr>
      </w:pPr>
      <w:r>
        <w:rPr>
          <w:b/>
          <w:sz w:val="28"/>
        </w:rPr>
        <w:t>АВТОРЕФЕРАТ</w:t>
      </w:r>
    </w:p>
    <w:p w:rsidR="003F2351" w:rsidRDefault="003F2351" w:rsidP="003F2351">
      <w:pPr>
        <w:pStyle w:val="afffffffe"/>
        <w:rPr>
          <w:b/>
          <w:sz w:val="28"/>
        </w:rPr>
      </w:pPr>
      <w:r>
        <w:rPr>
          <w:b/>
          <w:sz w:val="28"/>
        </w:rPr>
        <w:t>дисертації на здобуття наукового ступеня</w:t>
      </w:r>
    </w:p>
    <w:p w:rsidR="003F2351" w:rsidRDefault="003F2351" w:rsidP="003F2351">
      <w:pPr>
        <w:pStyle w:val="afffffffe"/>
        <w:rPr>
          <w:b/>
          <w:sz w:val="28"/>
        </w:rPr>
      </w:pPr>
      <w:r>
        <w:rPr>
          <w:b/>
          <w:sz w:val="28"/>
        </w:rPr>
        <w:t>кандидата медичних наук</w:t>
      </w:r>
    </w:p>
    <w:p w:rsidR="003F2351" w:rsidRDefault="003F2351" w:rsidP="003F2351">
      <w:pPr>
        <w:pStyle w:val="afffffffe"/>
        <w:rPr>
          <w:sz w:val="28"/>
        </w:rPr>
      </w:pPr>
    </w:p>
    <w:p w:rsidR="003F2351" w:rsidRDefault="003F2351" w:rsidP="003F2351">
      <w:pPr>
        <w:pStyle w:val="afffffffe"/>
        <w:rPr>
          <w:sz w:val="28"/>
        </w:rPr>
      </w:pPr>
    </w:p>
    <w:p w:rsidR="003F2351" w:rsidRDefault="003F2351" w:rsidP="003F2351">
      <w:pPr>
        <w:pStyle w:val="afffffffe"/>
        <w:rPr>
          <w:sz w:val="28"/>
        </w:rPr>
      </w:pPr>
    </w:p>
    <w:p w:rsidR="003F2351" w:rsidRDefault="003F2351" w:rsidP="003F2351">
      <w:pPr>
        <w:pStyle w:val="afffffffe"/>
        <w:rPr>
          <w:sz w:val="28"/>
        </w:rPr>
      </w:pPr>
    </w:p>
    <w:p w:rsidR="003F2351" w:rsidRDefault="003F2351" w:rsidP="003F2351">
      <w:pPr>
        <w:pStyle w:val="afffffffe"/>
        <w:rPr>
          <w:sz w:val="28"/>
        </w:rPr>
      </w:pPr>
    </w:p>
    <w:p w:rsidR="003F2351" w:rsidRDefault="003F2351" w:rsidP="003F2351">
      <w:pPr>
        <w:pStyle w:val="afffffffe"/>
        <w:rPr>
          <w:sz w:val="28"/>
        </w:rPr>
      </w:pPr>
    </w:p>
    <w:p w:rsidR="003F2351" w:rsidRDefault="003F2351" w:rsidP="003F2351">
      <w:pPr>
        <w:jc w:val="center"/>
        <w:rPr>
          <w:b/>
          <w:sz w:val="28"/>
          <w:lang w:val="uk-UA"/>
        </w:rPr>
      </w:pPr>
      <w:r>
        <w:rPr>
          <w:b/>
          <w:sz w:val="28"/>
          <w:lang w:val="uk-UA"/>
        </w:rPr>
        <w:t>Київ – 2007</w:t>
      </w:r>
    </w:p>
    <w:p w:rsidR="003F2351" w:rsidRDefault="003F2351" w:rsidP="003F2351">
      <w:pPr>
        <w:rPr>
          <w:sz w:val="28"/>
          <w:lang w:val="uk-UA"/>
        </w:rPr>
      </w:pPr>
      <w:r>
        <w:rPr>
          <w:b/>
          <w:sz w:val="28"/>
          <w:lang w:val="uk-UA"/>
        </w:rPr>
        <w:br w:type="page"/>
      </w:r>
      <w:r>
        <w:rPr>
          <w:sz w:val="28"/>
          <w:lang w:val="uk-UA"/>
        </w:rPr>
        <w:lastRenderedPageBreak/>
        <w:t>Дисертацією є рукопис</w:t>
      </w:r>
    </w:p>
    <w:p w:rsidR="003F2351" w:rsidRDefault="003F2351" w:rsidP="003F2351">
      <w:pPr>
        <w:jc w:val="both"/>
        <w:rPr>
          <w:sz w:val="28"/>
          <w:lang w:val="uk-UA"/>
        </w:rPr>
      </w:pPr>
    </w:p>
    <w:p w:rsidR="003F2351" w:rsidRDefault="003F2351" w:rsidP="003F2351">
      <w:pPr>
        <w:jc w:val="both"/>
        <w:rPr>
          <w:sz w:val="28"/>
          <w:lang w:val="uk-UA"/>
        </w:rPr>
      </w:pPr>
      <w:r>
        <w:rPr>
          <w:sz w:val="28"/>
          <w:lang w:val="uk-UA"/>
        </w:rPr>
        <w:t>Робота виконана в Національному медичному університеті імені О.О. Богомольця МОЗ України</w:t>
      </w:r>
    </w:p>
    <w:p w:rsidR="003F2351" w:rsidRDefault="003F2351" w:rsidP="003F2351">
      <w:pPr>
        <w:jc w:val="both"/>
        <w:rPr>
          <w:sz w:val="28"/>
          <w:lang w:val="uk-UA"/>
        </w:rPr>
      </w:pPr>
    </w:p>
    <w:p w:rsidR="003F2351" w:rsidRPr="003F2351" w:rsidRDefault="003F2351" w:rsidP="003F2351">
      <w:pPr>
        <w:jc w:val="both"/>
        <w:rPr>
          <w:b/>
          <w:sz w:val="28"/>
        </w:rPr>
      </w:pPr>
      <w:r>
        <w:rPr>
          <w:b/>
          <w:sz w:val="28"/>
          <w:lang w:val="uk-UA"/>
        </w:rPr>
        <w:t>Науковий керівник</w:t>
      </w:r>
      <w:r w:rsidRPr="003F2351">
        <w:rPr>
          <w:b/>
          <w:sz w:val="28"/>
        </w:rPr>
        <w:t xml:space="preserve"> </w:t>
      </w:r>
    </w:p>
    <w:p w:rsidR="003F2351" w:rsidRPr="003F2351" w:rsidRDefault="003F2351" w:rsidP="003F2351">
      <w:pPr>
        <w:jc w:val="both"/>
        <w:rPr>
          <w:b/>
          <w:sz w:val="28"/>
        </w:rPr>
      </w:pPr>
    </w:p>
    <w:p w:rsidR="003F2351" w:rsidRPr="002E4AA0" w:rsidRDefault="003F2351" w:rsidP="003F2351">
      <w:pPr>
        <w:rPr>
          <w:b/>
          <w:sz w:val="28"/>
        </w:rPr>
      </w:pPr>
      <w:r>
        <w:rPr>
          <w:sz w:val="28"/>
          <w:lang w:val="uk-UA"/>
        </w:rPr>
        <w:t>доктор медичних наук, професор,</w:t>
      </w:r>
      <w:r w:rsidRPr="002E4AA0">
        <w:rPr>
          <w:sz w:val="28"/>
        </w:rPr>
        <w:t xml:space="preserve"> </w:t>
      </w:r>
      <w:r>
        <w:rPr>
          <w:b/>
          <w:sz w:val="28"/>
          <w:lang w:val="uk-UA"/>
        </w:rPr>
        <w:t>Гаркавий Сергій Іванович,</w:t>
      </w:r>
      <w:r w:rsidRPr="002E4AA0">
        <w:rPr>
          <w:b/>
          <w:sz w:val="28"/>
        </w:rPr>
        <w:t xml:space="preserve"> </w:t>
      </w:r>
    </w:p>
    <w:p w:rsidR="003F2351" w:rsidRPr="002E4AA0" w:rsidRDefault="003F2351" w:rsidP="003F2351">
      <w:pPr>
        <w:rPr>
          <w:sz w:val="28"/>
        </w:rPr>
      </w:pPr>
      <w:r>
        <w:rPr>
          <w:sz w:val="28"/>
          <w:lang w:val="uk-UA"/>
        </w:rPr>
        <w:t>Національний медичний університет</w:t>
      </w:r>
      <w:r w:rsidRPr="002E4AA0">
        <w:rPr>
          <w:sz w:val="28"/>
        </w:rPr>
        <w:t xml:space="preserve"> </w:t>
      </w:r>
      <w:r>
        <w:rPr>
          <w:sz w:val="28"/>
          <w:lang w:val="uk-UA"/>
        </w:rPr>
        <w:t>імені О.О. Богомольця МОЗ</w:t>
      </w:r>
    </w:p>
    <w:p w:rsidR="003F2351" w:rsidRDefault="003F2351" w:rsidP="003F2351">
      <w:pPr>
        <w:rPr>
          <w:sz w:val="28"/>
          <w:lang w:val="uk-UA"/>
        </w:rPr>
      </w:pPr>
      <w:r>
        <w:rPr>
          <w:sz w:val="28"/>
          <w:lang w:val="uk-UA"/>
        </w:rPr>
        <w:t>України, завідувач кафедри комунальної гігієни</w:t>
      </w:r>
      <w:r w:rsidRPr="002E4AA0">
        <w:rPr>
          <w:sz w:val="28"/>
        </w:rPr>
        <w:t xml:space="preserve"> </w:t>
      </w:r>
      <w:r>
        <w:rPr>
          <w:sz w:val="28"/>
          <w:lang w:val="uk-UA"/>
        </w:rPr>
        <w:t>та екології людини.</w:t>
      </w:r>
    </w:p>
    <w:p w:rsidR="003F2351" w:rsidRDefault="003F2351" w:rsidP="003F2351">
      <w:pPr>
        <w:ind w:left="2124" w:firstLine="708"/>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3F2351" w:rsidRDefault="003F2351" w:rsidP="003F2351">
      <w:pPr>
        <w:rPr>
          <w:b/>
          <w:sz w:val="28"/>
          <w:lang w:val="uk-UA"/>
        </w:rPr>
      </w:pPr>
      <w:r>
        <w:rPr>
          <w:b/>
          <w:sz w:val="28"/>
          <w:lang w:val="uk-UA"/>
        </w:rPr>
        <w:t>Офіційні опоненти:</w:t>
      </w:r>
    </w:p>
    <w:p w:rsidR="003F2351" w:rsidRDefault="003F2351" w:rsidP="003F2351">
      <w:pPr>
        <w:rPr>
          <w:b/>
          <w:sz w:val="28"/>
          <w:lang w:val="uk-UA"/>
        </w:rPr>
      </w:pPr>
    </w:p>
    <w:p w:rsidR="003F2351" w:rsidRDefault="003F2351" w:rsidP="003F2351">
      <w:pPr>
        <w:jc w:val="both"/>
        <w:rPr>
          <w:sz w:val="28"/>
          <w:lang w:val="uk-UA"/>
        </w:rPr>
      </w:pPr>
      <w:r>
        <w:rPr>
          <w:sz w:val="28"/>
          <w:lang w:val="uk-UA"/>
        </w:rPr>
        <w:t xml:space="preserve">доктор медичних наук, професор </w:t>
      </w:r>
      <w:r>
        <w:rPr>
          <w:b/>
          <w:sz w:val="28"/>
          <w:lang w:val="uk-UA"/>
        </w:rPr>
        <w:t>Ципріян Віктор Іванович,</w:t>
      </w:r>
      <w:r>
        <w:rPr>
          <w:sz w:val="28"/>
          <w:lang w:val="uk-UA"/>
        </w:rPr>
        <w:t xml:space="preserve"> Національний медичний університет імені О.О.Богомольця МОЗ України, завідувач кафедри гігієни харчування; </w:t>
      </w:r>
    </w:p>
    <w:p w:rsidR="003F2351" w:rsidRDefault="003F2351" w:rsidP="003F2351">
      <w:pPr>
        <w:jc w:val="both"/>
        <w:rPr>
          <w:b/>
          <w:sz w:val="28"/>
          <w:lang w:val="uk-UA"/>
        </w:rPr>
      </w:pPr>
    </w:p>
    <w:p w:rsidR="003F2351" w:rsidRDefault="003F2351" w:rsidP="003F2351">
      <w:pPr>
        <w:jc w:val="both"/>
        <w:rPr>
          <w:b/>
          <w:sz w:val="28"/>
          <w:lang w:val="uk-UA"/>
        </w:rPr>
      </w:pPr>
      <w:r>
        <w:rPr>
          <w:sz w:val="28"/>
          <w:lang w:val="uk-UA"/>
        </w:rPr>
        <w:t xml:space="preserve">доктор медичних наук, </w:t>
      </w:r>
      <w:r>
        <w:rPr>
          <w:b/>
          <w:sz w:val="28"/>
          <w:lang w:val="uk-UA"/>
        </w:rPr>
        <w:t>Вашкулат Микола Павлович,</w:t>
      </w:r>
      <w:r>
        <w:rPr>
          <w:sz w:val="28"/>
          <w:lang w:val="uk-UA"/>
        </w:rPr>
        <w:t xml:space="preserve"> головний науковий співробітник лабораторії гігієни грунту та відходів Державної установи “Інститут гігієни та медичної екології імені О.М. Марзєєва Академії медичних наук України”.</w:t>
      </w:r>
    </w:p>
    <w:p w:rsidR="003F2351" w:rsidRDefault="003F2351" w:rsidP="003F2351">
      <w:pPr>
        <w:jc w:val="both"/>
        <w:rPr>
          <w:b/>
          <w:sz w:val="28"/>
          <w:lang w:val="uk-UA"/>
        </w:rPr>
      </w:pPr>
    </w:p>
    <w:p w:rsidR="003F2351" w:rsidRDefault="003F2351" w:rsidP="003F2351">
      <w:pPr>
        <w:rPr>
          <w:b/>
          <w:sz w:val="28"/>
          <w:lang w:val="uk-UA"/>
        </w:rPr>
      </w:pPr>
    </w:p>
    <w:p w:rsidR="003F2351" w:rsidRDefault="003F2351" w:rsidP="003F2351">
      <w:pPr>
        <w:rPr>
          <w:b/>
          <w:sz w:val="28"/>
          <w:lang w:val="uk-UA"/>
        </w:rPr>
      </w:pPr>
    </w:p>
    <w:p w:rsidR="003F2351" w:rsidRDefault="003F2351" w:rsidP="003F2351">
      <w:pPr>
        <w:rPr>
          <w:b/>
          <w:sz w:val="28"/>
          <w:lang w:val="uk-UA"/>
        </w:rPr>
      </w:pPr>
    </w:p>
    <w:p w:rsidR="003F2351" w:rsidRDefault="003F2351" w:rsidP="003F2351">
      <w:pPr>
        <w:rPr>
          <w:b/>
          <w:sz w:val="28"/>
          <w:lang w:val="uk-UA"/>
        </w:rPr>
      </w:pPr>
    </w:p>
    <w:p w:rsidR="003F2351" w:rsidRDefault="003F2351" w:rsidP="003F2351">
      <w:pPr>
        <w:rPr>
          <w:sz w:val="28"/>
          <w:lang w:val="uk-UA"/>
        </w:rPr>
      </w:pPr>
      <w:r>
        <w:rPr>
          <w:sz w:val="28"/>
          <w:lang w:val="uk-UA"/>
        </w:rPr>
        <w:t xml:space="preserve">Захист відбудеться </w:t>
      </w:r>
      <w:r>
        <w:rPr>
          <w:sz w:val="28"/>
          <w:u w:val="single"/>
          <w:lang w:val="uk-UA"/>
        </w:rPr>
        <w:t>« 17 »</w:t>
      </w:r>
      <w:r>
        <w:rPr>
          <w:sz w:val="28"/>
          <w:lang w:val="uk-UA"/>
        </w:rPr>
        <w:t xml:space="preserve">   січня   2008   року о     _____ годині</w:t>
      </w:r>
    </w:p>
    <w:p w:rsidR="003F2351" w:rsidRDefault="003F2351" w:rsidP="003F2351">
      <w:pPr>
        <w:rPr>
          <w:sz w:val="28"/>
          <w:lang w:val="uk-UA"/>
        </w:rPr>
      </w:pPr>
      <w:r>
        <w:rPr>
          <w:sz w:val="28"/>
          <w:lang w:val="uk-UA"/>
        </w:rPr>
        <w:t xml:space="preserve">на засіданні спеціалізованої вченої ради Д 26.003.01 у Національному медичному університеті імені О.О. Богомольця за адресою: 03057, </w:t>
      </w:r>
    </w:p>
    <w:p w:rsidR="003F2351" w:rsidRDefault="003F2351" w:rsidP="003F2351">
      <w:pPr>
        <w:rPr>
          <w:sz w:val="28"/>
          <w:lang w:val="uk-UA"/>
        </w:rPr>
      </w:pPr>
      <w:r>
        <w:rPr>
          <w:sz w:val="28"/>
          <w:lang w:val="uk-UA"/>
        </w:rPr>
        <w:t>м. Київ-57, пр. Перемоги, 34, санітарно-гігієнічний корпус, аудиторія №2.</w:t>
      </w:r>
    </w:p>
    <w:p w:rsidR="003F2351" w:rsidRDefault="003F2351" w:rsidP="003F2351">
      <w:pPr>
        <w:rPr>
          <w:sz w:val="28"/>
          <w:lang w:val="uk-UA"/>
        </w:rPr>
      </w:pPr>
    </w:p>
    <w:p w:rsidR="003F2351" w:rsidRDefault="003F2351" w:rsidP="003F2351">
      <w:pPr>
        <w:rPr>
          <w:sz w:val="28"/>
          <w:lang w:val="uk-UA"/>
        </w:rPr>
      </w:pPr>
      <w:r>
        <w:rPr>
          <w:sz w:val="28"/>
          <w:lang w:val="uk-UA"/>
        </w:rPr>
        <w:t>З дисертацією можна ознайомитися у бібліотеці Національного медичного університету імені О.О. Богомольця за адресою: 03057,  м. Київ-57, вул. Зоологічна, 1.</w:t>
      </w:r>
    </w:p>
    <w:p w:rsidR="003F2351" w:rsidRDefault="003F2351" w:rsidP="003F2351">
      <w:pPr>
        <w:rPr>
          <w:sz w:val="28"/>
          <w:lang w:val="uk-UA"/>
        </w:rPr>
      </w:pPr>
    </w:p>
    <w:p w:rsidR="003F2351" w:rsidRDefault="003F2351" w:rsidP="003F2351">
      <w:pPr>
        <w:rPr>
          <w:sz w:val="28"/>
          <w:lang w:val="uk-UA"/>
        </w:rPr>
      </w:pPr>
      <w:r>
        <w:rPr>
          <w:sz w:val="28"/>
          <w:lang w:val="uk-UA"/>
        </w:rPr>
        <w:t>Автореферат розісланий «</w:t>
      </w:r>
      <w:r>
        <w:rPr>
          <w:sz w:val="28"/>
          <w:u w:val="single"/>
          <w:lang w:val="uk-UA"/>
        </w:rPr>
        <w:t xml:space="preserve"> 12 </w:t>
      </w:r>
      <w:r>
        <w:rPr>
          <w:sz w:val="28"/>
          <w:lang w:val="uk-UA"/>
        </w:rPr>
        <w:t xml:space="preserve">»   </w:t>
      </w:r>
      <w:r w:rsidRPr="002E4AA0">
        <w:rPr>
          <w:sz w:val="28"/>
          <w:lang w:val="uk-UA"/>
        </w:rPr>
        <w:t>__грудня__</w:t>
      </w:r>
      <w:r>
        <w:rPr>
          <w:sz w:val="28"/>
          <w:lang w:val="uk-UA"/>
        </w:rPr>
        <w:t xml:space="preserve"> 2007  р.</w:t>
      </w:r>
    </w:p>
    <w:p w:rsidR="003F2351" w:rsidRDefault="003F2351" w:rsidP="003F2351">
      <w:pPr>
        <w:rPr>
          <w:sz w:val="28"/>
          <w:lang w:val="uk-UA"/>
        </w:rPr>
      </w:pPr>
    </w:p>
    <w:p w:rsidR="003F2351" w:rsidRDefault="003F2351" w:rsidP="003F2351">
      <w:pPr>
        <w:rPr>
          <w:sz w:val="28"/>
          <w:lang w:val="uk-UA"/>
        </w:rPr>
      </w:pPr>
    </w:p>
    <w:p w:rsidR="003F2351" w:rsidRDefault="003F2351" w:rsidP="003F2351">
      <w:pPr>
        <w:rPr>
          <w:b/>
          <w:sz w:val="28"/>
          <w:lang w:val="uk-UA"/>
        </w:rPr>
      </w:pPr>
      <w:r>
        <w:rPr>
          <w:b/>
          <w:sz w:val="28"/>
          <w:lang w:val="uk-UA"/>
        </w:rPr>
        <w:t>Вчений секретар</w:t>
      </w:r>
    </w:p>
    <w:p w:rsidR="003F2351" w:rsidRDefault="003F2351" w:rsidP="003F2351">
      <w:pPr>
        <w:rPr>
          <w:b/>
          <w:sz w:val="28"/>
          <w:lang w:val="uk-UA"/>
        </w:rPr>
      </w:pPr>
      <w:r>
        <w:rPr>
          <w:b/>
          <w:sz w:val="28"/>
          <w:lang w:val="uk-UA"/>
        </w:rPr>
        <w:t>спеціалізованої вченої ради,</w:t>
      </w:r>
    </w:p>
    <w:p w:rsidR="003F2351" w:rsidRDefault="003F2351" w:rsidP="003F2351">
      <w:pPr>
        <w:rPr>
          <w:b/>
          <w:sz w:val="28"/>
          <w:lang w:val="uk-UA"/>
        </w:rPr>
      </w:pPr>
      <w:r>
        <w:rPr>
          <w:b/>
          <w:sz w:val="28"/>
          <w:lang w:val="uk-UA"/>
        </w:rPr>
        <w:t>професор                                                                        В.Г. Войцеховський</w:t>
      </w:r>
    </w:p>
    <w:p w:rsidR="003F2351" w:rsidRDefault="003F2351" w:rsidP="003F2351">
      <w:pPr>
        <w:jc w:val="center"/>
        <w:rPr>
          <w:sz w:val="28"/>
          <w:lang w:val="uk-UA"/>
        </w:rPr>
        <w:sectPr w:rsidR="003F2351">
          <w:pgSz w:w="11906" w:h="16838"/>
          <w:pgMar w:top="1134" w:right="850" w:bottom="1134" w:left="1701" w:header="708" w:footer="708" w:gutter="0"/>
          <w:cols w:space="708"/>
          <w:docGrid w:linePitch="360"/>
        </w:sectPr>
      </w:pPr>
    </w:p>
    <w:p w:rsidR="003F2351" w:rsidRDefault="003F2351" w:rsidP="003F2351">
      <w:pPr>
        <w:jc w:val="center"/>
        <w:rPr>
          <w:b/>
          <w:sz w:val="28"/>
          <w:lang w:val="uk-UA"/>
        </w:rPr>
      </w:pPr>
      <w:r>
        <w:rPr>
          <w:b/>
          <w:sz w:val="28"/>
          <w:lang w:val="uk-UA"/>
        </w:rPr>
        <w:lastRenderedPageBreak/>
        <w:t>ЗАГАЛЬНА ХАРАКТЕРИСТИКА РОБОТИ</w:t>
      </w:r>
    </w:p>
    <w:p w:rsidR="003F2351" w:rsidRDefault="003F2351" w:rsidP="003F2351">
      <w:pPr>
        <w:jc w:val="center"/>
        <w:rPr>
          <w:b/>
          <w:sz w:val="28"/>
          <w:lang w:val="uk-UA"/>
        </w:rPr>
      </w:pPr>
    </w:p>
    <w:p w:rsidR="003F2351" w:rsidRDefault="003F2351" w:rsidP="003F2351">
      <w:pPr>
        <w:ind w:firstLine="720"/>
        <w:jc w:val="both"/>
        <w:rPr>
          <w:sz w:val="28"/>
          <w:lang w:val="uk-UA"/>
        </w:rPr>
      </w:pPr>
      <w:r>
        <w:rPr>
          <w:b/>
          <w:sz w:val="28"/>
          <w:lang w:val="uk-UA"/>
        </w:rPr>
        <w:t xml:space="preserve">Актуальність теми. </w:t>
      </w:r>
      <w:r>
        <w:rPr>
          <w:sz w:val="28"/>
          <w:lang w:val="uk-UA"/>
        </w:rPr>
        <w:t>Однією з найбільш актуальних еколого-гігієнічних пр</w:t>
      </w:r>
      <w:r>
        <w:rPr>
          <w:sz w:val="28"/>
          <w:lang w:val="uk-UA"/>
        </w:rPr>
        <w:t>о</w:t>
      </w:r>
      <w:r>
        <w:rPr>
          <w:sz w:val="28"/>
          <w:lang w:val="uk-UA"/>
        </w:rPr>
        <w:t>блем в умовах подальшого сталого розвитку сільськогосподарського виробництва в Україні є охорона довкілля, і зокрема ґрунту, від забр</w:t>
      </w:r>
      <w:r>
        <w:rPr>
          <w:sz w:val="28"/>
          <w:lang w:val="uk-UA"/>
        </w:rPr>
        <w:t>у</w:t>
      </w:r>
      <w:r>
        <w:rPr>
          <w:sz w:val="28"/>
          <w:lang w:val="uk-UA"/>
        </w:rPr>
        <w:t>днення пестицидами. Останні, як штучно створені екзогенні для довкілля біологічно активні речовини, є потенційно небезпечними чинниками впливу на здоров’я та санітарно-епідемічне благополуччя населення (Проданчук М.Г., 2001; Онищенко Г.Г., 2003; Спину Є.І. 2004). Внаслідок високої біологічної активності, надзвичайного поширення, застос</w:t>
      </w:r>
      <w:r>
        <w:rPr>
          <w:sz w:val="28"/>
          <w:lang w:val="uk-UA"/>
        </w:rPr>
        <w:t>у</w:t>
      </w:r>
      <w:r>
        <w:rPr>
          <w:sz w:val="28"/>
          <w:lang w:val="uk-UA"/>
        </w:rPr>
        <w:t>вання у різних галузях господарства та побуті, можливого забруднення пра</w:t>
      </w:r>
      <w:r>
        <w:rPr>
          <w:sz w:val="28"/>
          <w:lang w:val="uk-UA"/>
        </w:rPr>
        <w:t>к</w:t>
      </w:r>
      <w:r>
        <w:rPr>
          <w:sz w:val="28"/>
          <w:lang w:val="uk-UA"/>
        </w:rPr>
        <w:t>тично усіх об’єктів навколишнього середовища залишками своїх компонентів, пості</w:t>
      </w:r>
      <w:r>
        <w:rPr>
          <w:sz w:val="28"/>
          <w:lang w:val="uk-UA"/>
        </w:rPr>
        <w:t>й</w:t>
      </w:r>
      <w:r>
        <w:rPr>
          <w:sz w:val="28"/>
          <w:lang w:val="uk-UA"/>
        </w:rPr>
        <w:t>ного прямого або опосередкованого контакту з різними прошарками населення, пестиц</w:t>
      </w:r>
      <w:r>
        <w:rPr>
          <w:sz w:val="28"/>
          <w:lang w:val="uk-UA"/>
        </w:rPr>
        <w:t>и</w:t>
      </w:r>
      <w:r>
        <w:rPr>
          <w:sz w:val="28"/>
          <w:lang w:val="uk-UA"/>
        </w:rPr>
        <w:t>ди потребують особливої, комплексної токсиколого-гігієнічної та мед</w:t>
      </w:r>
      <w:r>
        <w:rPr>
          <w:sz w:val="28"/>
          <w:lang w:val="uk-UA"/>
        </w:rPr>
        <w:t>и</w:t>
      </w:r>
      <w:r>
        <w:rPr>
          <w:sz w:val="28"/>
          <w:lang w:val="uk-UA"/>
        </w:rPr>
        <w:t>ко-екологічної оцінки, прогнозування потенційного ризику для здоров’я працю</w:t>
      </w:r>
      <w:r>
        <w:rPr>
          <w:sz w:val="28"/>
          <w:lang w:val="uk-UA"/>
        </w:rPr>
        <w:t>ю</w:t>
      </w:r>
      <w:r>
        <w:rPr>
          <w:sz w:val="28"/>
          <w:lang w:val="uk-UA"/>
        </w:rPr>
        <w:t>чих і усього населення в цілому та наступного еколого-гігієнічного моніт</w:t>
      </w:r>
      <w:r>
        <w:rPr>
          <w:sz w:val="28"/>
          <w:lang w:val="uk-UA"/>
        </w:rPr>
        <w:t>о</w:t>
      </w:r>
      <w:r>
        <w:rPr>
          <w:sz w:val="28"/>
          <w:lang w:val="uk-UA"/>
        </w:rPr>
        <w:t>рингу (Трахтенберг І.М., 1998; Кірсенко В.В., Яструб Т.О., Карпенко В.Н., 2002;</w:t>
      </w:r>
      <w:r w:rsidRPr="002C7E9F">
        <w:rPr>
          <w:sz w:val="28"/>
          <w:lang w:val="uk-UA"/>
        </w:rPr>
        <w:t xml:space="preserve"> </w:t>
      </w:r>
      <w:r>
        <w:rPr>
          <w:sz w:val="28"/>
          <w:lang w:val="uk-UA"/>
        </w:rPr>
        <w:t>Ракитский В.Н., Ильницкая А.В., Юдіна Т.В. и др., 2002; Кундієв Ю.І., Кірсенко В.В., Яструб Т.О., 2007).</w:t>
      </w:r>
    </w:p>
    <w:p w:rsidR="003F2351" w:rsidRDefault="003F2351" w:rsidP="003F2351">
      <w:pPr>
        <w:ind w:firstLine="720"/>
        <w:jc w:val="both"/>
        <w:rPr>
          <w:sz w:val="28"/>
          <w:lang w:val="uk-UA"/>
        </w:rPr>
      </w:pPr>
      <w:r>
        <w:rPr>
          <w:sz w:val="28"/>
          <w:lang w:val="uk-UA"/>
        </w:rPr>
        <w:t>Найважливішою передумовою дієвого контролю за використанням пе</w:t>
      </w:r>
      <w:r>
        <w:rPr>
          <w:sz w:val="28"/>
          <w:lang w:val="uk-UA"/>
        </w:rPr>
        <w:t>с</w:t>
      </w:r>
      <w:r>
        <w:rPr>
          <w:sz w:val="28"/>
          <w:lang w:val="uk-UA"/>
        </w:rPr>
        <w:t>тицидів, запобігання забруднення об’єктів довкілля та сільськогосподарської прод</w:t>
      </w:r>
      <w:r>
        <w:rPr>
          <w:sz w:val="28"/>
          <w:lang w:val="uk-UA"/>
        </w:rPr>
        <w:t>у</w:t>
      </w:r>
      <w:r>
        <w:rPr>
          <w:sz w:val="28"/>
          <w:lang w:val="uk-UA"/>
        </w:rPr>
        <w:t>кції, і, в результаті, збереження здоров’я населення є наявність науково обґрунт</w:t>
      </w:r>
      <w:r>
        <w:rPr>
          <w:sz w:val="28"/>
          <w:lang w:val="uk-UA"/>
        </w:rPr>
        <w:t>о</w:t>
      </w:r>
      <w:r>
        <w:rPr>
          <w:sz w:val="28"/>
          <w:lang w:val="uk-UA"/>
        </w:rPr>
        <w:t>ваних гігієнічних нормативів і регламентів застосування хімічних засобів захисту рослин (Проданчук Н.Г., Спину Є.І., 2000; Проданчук М.Г., Жмінько П.Г., Недопитанська Н.М., 2005). Враховуючи, що центральним провідним ланцюгом міграці</w:t>
      </w:r>
      <w:r>
        <w:rPr>
          <w:sz w:val="28"/>
          <w:lang w:val="uk-UA"/>
        </w:rPr>
        <w:t>й</w:t>
      </w:r>
      <w:r>
        <w:rPr>
          <w:sz w:val="28"/>
          <w:lang w:val="uk-UA"/>
        </w:rPr>
        <w:t>них процесів в біосфері є ґрунт, що він безпосередньо впливає на хімічний склад в</w:t>
      </w:r>
      <w:r>
        <w:rPr>
          <w:sz w:val="28"/>
          <w:lang w:val="uk-UA"/>
        </w:rPr>
        <w:t>о</w:t>
      </w:r>
      <w:r>
        <w:rPr>
          <w:sz w:val="28"/>
          <w:lang w:val="uk-UA"/>
        </w:rPr>
        <w:t>ди поверхневих і підземних джерел водопостачання, атмосферного повітря, проду</w:t>
      </w:r>
      <w:r>
        <w:rPr>
          <w:sz w:val="28"/>
          <w:lang w:val="uk-UA"/>
        </w:rPr>
        <w:t>к</w:t>
      </w:r>
      <w:r>
        <w:rPr>
          <w:sz w:val="28"/>
          <w:lang w:val="uk-UA"/>
        </w:rPr>
        <w:t>тів харчування рослинного і тваринного походження, і, тому, чинить опосередков</w:t>
      </w:r>
      <w:r>
        <w:rPr>
          <w:sz w:val="28"/>
          <w:lang w:val="uk-UA"/>
        </w:rPr>
        <w:t>а</w:t>
      </w:r>
      <w:r>
        <w:rPr>
          <w:sz w:val="28"/>
          <w:lang w:val="uk-UA"/>
        </w:rPr>
        <w:t>ний вплив на здоров’я людини (Гончарук Є.Г., 1977, 1995), суттєвого значення набуває розробка гігієні</w:t>
      </w:r>
      <w:r>
        <w:rPr>
          <w:sz w:val="28"/>
          <w:lang w:val="uk-UA"/>
        </w:rPr>
        <w:t>ч</w:t>
      </w:r>
      <w:r>
        <w:rPr>
          <w:sz w:val="28"/>
          <w:lang w:val="uk-UA"/>
        </w:rPr>
        <w:t>них нормативів пестицидів саме у ґрунті (Гончарук Є.Г., Сидоренко Г.И., 1986; Гончарук Є.Г., Салата О.В., Коршун М.М., 2004). При цьому особливої уваги з боку гіг</w:t>
      </w:r>
      <w:r>
        <w:rPr>
          <w:sz w:val="28"/>
          <w:lang w:val="uk-UA"/>
        </w:rPr>
        <w:t>і</w:t>
      </w:r>
      <w:r>
        <w:rPr>
          <w:sz w:val="28"/>
          <w:lang w:val="uk-UA"/>
        </w:rPr>
        <w:t>єністів та екологів потребують стійкі речовини, які тривалий час здатні зберіг</w:t>
      </w:r>
      <w:r>
        <w:rPr>
          <w:sz w:val="28"/>
          <w:lang w:val="uk-UA"/>
        </w:rPr>
        <w:t>а</w:t>
      </w:r>
      <w:r>
        <w:rPr>
          <w:sz w:val="28"/>
          <w:lang w:val="uk-UA"/>
        </w:rPr>
        <w:t>тися в об’єктах довкілля, що збільшує потенційний ризик їх несприятливого впл</w:t>
      </w:r>
      <w:r>
        <w:rPr>
          <w:sz w:val="28"/>
          <w:lang w:val="uk-UA"/>
        </w:rPr>
        <w:t>и</w:t>
      </w:r>
      <w:r>
        <w:rPr>
          <w:sz w:val="28"/>
          <w:lang w:val="uk-UA"/>
        </w:rPr>
        <w:t>ву на здоров’я населення (Проданчук М.Г., Спину Є.І., 2004; Кірсенко В.В., Яструб Т.О. 2006). Саме до таких доволі стабільних речовин належить пре</w:t>
      </w:r>
      <w:r>
        <w:rPr>
          <w:sz w:val="28"/>
          <w:lang w:val="uk-UA"/>
        </w:rPr>
        <w:t>д</w:t>
      </w:r>
      <w:r>
        <w:rPr>
          <w:sz w:val="28"/>
          <w:lang w:val="uk-UA"/>
        </w:rPr>
        <w:t>ставник відносно нового покоління гербіцидів – похідних імідазолінону – імазет</w:t>
      </w:r>
      <w:r>
        <w:rPr>
          <w:sz w:val="28"/>
          <w:lang w:val="uk-UA"/>
        </w:rPr>
        <w:t>а</w:t>
      </w:r>
      <w:r>
        <w:rPr>
          <w:sz w:val="28"/>
          <w:lang w:val="uk-UA"/>
        </w:rPr>
        <w:t>пір, який як діюча речовина входить до складу препаратів Півот, 10 % водорозчи</w:t>
      </w:r>
      <w:r>
        <w:rPr>
          <w:sz w:val="28"/>
          <w:lang w:val="uk-UA"/>
        </w:rPr>
        <w:t>н</w:t>
      </w:r>
      <w:r>
        <w:rPr>
          <w:sz w:val="28"/>
          <w:lang w:val="uk-UA"/>
        </w:rPr>
        <w:t>ний концентрат (в.р.к.), Патріот, 10% в.р.к. та ДТ-03, в.р.к.</w:t>
      </w:r>
    </w:p>
    <w:p w:rsidR="003F2351" w:rsidRDefault="003F2351" w:rsidP="003F2351">
      <w:pPr>
        <w:jc w:val="both"/>
        <w:rPr>
          <w:sz w:val="28"/>
          <w:lang w:val="uk-UA"/>
        </w:rPr>
      </w:pPr>
      <w:r>
        <w:rPr>
          <w:sz w:val="28"/>
          <w:lang w:val="uk-UA"/>
        </w:rPr>
        <w:t>____________</w:t>
      </w:r>
    </w:p>
    <w:p w:rsidR="003F2351" w:rsidRDefault="003F2351" w:rsidP="003F2351">
      <w:pPr>
        <w:jc w:val="both"/>
        <w:rPr>
          <w:sz w:val="28"/>
          <w:lang w:val="uk-UA"/>
        </w:rPr>
      </w:pPr>
      <w:r>
        <w:rPr>
          <w:lang w:val="uk-UA"/>
        </w:rPr>
        <w:t xml:space="preserve">Автор висловлює глибоку вдячність академіку НАН і АМН України </w:t>
      </w:r>
      <w:r w:rsidRPr="002E4AA0">
        <w:rPr>
          <w:bdr w:val="single" w:sz="4" w:space="0" w:color="auto"/>
          <w:lang w:val="uk-UA"/>
        </w:rPr>
        <w:t>Гончаруку Є.Г.</w:t>
      </w:r>
      <w:r>
        <w:rPr>
          <w:lang w:val="uk-UA"/>
        </w:rPr>
        <w:t xml:space="preserve"> за допомогу при визначенні наукового напрямку та програми досліджень</w:t>
      </w:r>
      <w:r>
        <w:rPr>
          <w:sz w:val="28"/>
          <w:lang w:val="uk-UA"/>
        </w:rPr>
        <w:t>.</w:t>
      </w:r>
    </w:p>
    <w:p w:rsidR="003F2351" w:rsidRDefault="003F2351" w:rsidP="003F2351">
      <w:pPr>
        <w:ind w:firstLine="720"/>
        <w:jc w:val="both"/>
        <w:rPr>
          <w:sz w:val="28"/>
          <w:lang w:val="uk-UA"/>
        </w:rPr>
      </w:pPr>
      <w:r>
        <w:rPr>
          <w:sz w:val="28"/>
          <w:lang w:val="uk-UA"/>
        </w:rPr>
        <w:br w:type="page"/>
      </w:r>
    </w:p>
    <w:p w:rsidR="003F2351" w:rsidRDefault="003F2351" w:rsidP="003F2351">
      <w:pPr>
        <w:pStyle w:val="afffffffa"/>
        <w:ind w:firstLine="709"/>
        <w:jc w:val="both"/>
      </w:pPr>
      <w:r>
        <w:lastRenderedPageBreak/>
        <w:t>Препарати на основі імазетапіру рекомендовані для використання на бобових культурах з нормами витрат від 0,5 до 1,0 л/га шляхом обприскування ґрунту до в</w:t>
      </w:r>
      <w:r>
        <w:t>и</w:t>
      </w:r>
      <w:r>
        <w:t>сівання, до сходів або після сходів. Їх впровадження в практику сільського господарства вимагає всебічної токсиколого-гігієнічної оцінки, розробки та впровадження наукового обґрунтованих гігієнічних нормативів та ре</w:t>
      </w:r>
      <w:r>
        <w:t>г</w:t>
      </w:r>
      <w:r>
        <w:t>ламентів, а також розробки та затвердження аналітичних методів визначення, які дозволяють контролювати вміст речовини, що вивчається, в об’єктах д</w:t>
      </w:r>
      <w:r>
        <w:t>о</w:t>
      </w:r>
      <w:r>
        <w:t>вкілля.</w:t>
      </w:r>
    </w:p>
    <w:p w:rsidR="003F2351" w:rsidRDefault="003F2351" w:rsidP="003F2351">
      <w:pPr>
        <w:ind w:firstLine="720"/>
        <w:jc w:val="both"/>
        <w:rPr>
          <w:sz w:val="28"/>
          <w:lang w:val="uk-UA"/>
        </w:rPr>
      </w:pPr>
      <w:r>
        <w:rPr>
          <w:b/>
          <w:sz w:val="28"/>
          <w:lang w:val="uk-UA"/>
        </w:rPr>
        <w:t xml:space="preserve">Зв’язок роботи з науковими програмами, планами, темами. </w:t>
      </w:r>
      <w:r>
        <w:rPr>
          <w:sz w:val="28"/>
          <w:lang w:val="uk-UA"/>
        </w:rPr>
        <w:t>Дана наукова робота є фрагментом науково-дослідної роботи “Екпериментальне вивчення поє</w:t>
      </w:r>
      <w:r>
        <w:rPr>
          <w:sz w:val="28"/>
          <w:lang w:val="uk-UA"/>
        </w:rPr>
        <w:t>д</w:t>
      </w:r>
      <w:r>
        <w:rPr>
          <w:sz w:val="28"/>
          <w:lang w:val="uk-UA"/>
        </w:rPr>
        <w:t>наної дії зовнішнього гама-опроміненя і хімічних забруднювачів ґрунту (пестиц</w:t>
      </w:r>
      <w:r>
        <w:rPr>
          <w:sz w:val="28"/>
          <w:lang w:val="uk-UA"/>
        </w:rPr>
        <w:t>и</w:t>
      </w:r>
      <w:r>
        <w:rPr>
          <w:sz w:val="28"/>
          <w:lang w:val="uk-UA"/>
        </w:rPr>
        <w:t>дів, важких металів)”, № держреєстрації 0104U003026, госпдоговірної теми № 709 “Розробка гігієнічних нормативів і регламентів препаратів фірми”, № держреєстр</w:t>
      </w:r>
      <w:r>
        <w:rPr>
          <w:sz w:val="28"/>
          <w:lang w:val="uk-UA"/>
        </w:rPr>
        <w:t>а</w:t>
      </w:r>
      <w:r>
        <w:rPr>
          <w:sz w:val="28"/>
          <w:lang w:val="uk-UA"/>
        </w:rPr>
        <w:t>ції 0102U001815, госпдоговірної теми № 829 “Наукові дослідження препаратів фі</w:t>
      </w:r>
      <w:r>
        <w:rPr>
          <w:sz w:val="28"/>
          <w:lang w:val="uk-UA"/>
        </w:rPr>
        <w:t>р</w:t>
      </w:r>
      <w:r>
        <w:rPr>
          <w:sz w:val="28"/>
          <w:lang w:val="uk-UA"/>
        </w:rPr>
        <w:t>ми”, № держреєстрації 0103U005638 та госпдоговірної теми № 989 “Наукові досл</w:t>
      </w:r>
      <w:r>
        <w:rPr>
          <w:sz w:val="28"/>
          <w:lang w:val="uk-UA"/>
        </w:rPr>
        <w:t>і</w:t>
      </w:r>
      <w:r>
        <w:rPr>
          <w:sz w:val="28"/>
          <w:lang w:val="uk-UA"/>
        </w:rPr>
        <w:t>дження препаратів замовника”, № держреєстрації 0104U005594</w:t>
      </w:r>
      <w:r>
        <w:rPr>
          <w:rStyle w:val="affffffffffffffffffff9"/>
          <w:lang w:val="uk-UA"/>
        </w:rPr>
        <w:footnoteReference w:id="1"/>
      </w:r>
      <w:r>
        <w:rPr>
          <w:sz w:val="28"/>
          <w:lang w:val="uk-UA"/>
        </w:rPr>
        <w:t>.</w:t>
      </w:r>
      <w:r>
        <w:rPr>
          <w:i/>
          <w:sz w:val="28"/>
          <w:lang w:val="uk-UA"/>
        </w:rPr>
        <w:t xml:space="preserve"> </w:t>
      </w:r>
      <w:r>
        <w:rPr>
          <w:sz w:val="28"/>
          <w:lang w:val="uk-UA"/>
        </w:rPr>
        <w:t>Робота виконана відповідно до Плану проведення державних випробувань пестицидів і агрохімікатів на 2002 та 2003 роки згідно з Законом України “Про затвердження Порядку проведення державних випробувань, державної реєстрації та перереєстрації, видання переліків пестицидів і агрохімікатів, дозволених до використання в Україні” від 4 березня 1996 року № 295.</w:t>
      </w:r>
    </w:p>
    <w:p w:rsidR="003F2351" w:rsidRDefault="003F2351" w:rsidP="003F2351">
      <w:pPr>
        <w:ind w:firstLine="720"/>
        <w:jc w:val="both"/>
        <w:rPr>
          <w:sz w:val="28"/>
          <w:lang w:val="uk-UA"/>
        </w:rPr>
      </w:pPr>
      <w:r>
        <w:rPr>
          <w:b/>
          <w:sz w:val="28"/>
          <w:lang w:val="uk-UA"/>
        </w:rPr>
        <w:t xml:space="preserve">Мета і завдання дослідження. </w:t>
      </w:r>
      <w:r>
        <w:rPr>
          <w:sz w:val="28"/>
          <w:lang w:val="uk-UA"/>
        </w:rPr>
        <w:t>Мета дослідження: гігієнічна оцінка та наукове обґрунтування ре</w:t>
      </w:r>
      <w:r>
        <w:rPr>
          <w:sz w:val="28"/>
          <w:lang w:val="uk-UA"/>
        </w:rPr>
        <w:t>г</w:t>
      </w:r>
      <w:r>
        <w:rPr>
          <w:sz w:val="28"/>
          <w:lang w:val="uk-UA"/>
        </w:rPr>
        <w:t>ламентів безпечного застосування гербіцидів Півот, 10 % в.р.к., Патріот, 10% в.р.к., ДТ-03, в.р.к. і гранично допустимої концентрації їх діючої речовини імазетапіру у ґрунті на підставі компл</w:t>
      </w:r>
      <w:r>
        <w:rPr>
          <w:sz w:val="28"/>
          <w:lang w:val="uk-UA"/>
        </w:rPr>
        <w:t>е</w:t>
      </w:r>
      <w:r>
        <w:rPr>
          <w:sz w:val="28"/>
          <w:lang w:val="uk-UA"/>
        </w:rPr>
        <w:t>ксних натурних та експериментальних досліджень його поведінки в об’єктах навк</w:t>
      </w:r>
      <w:r>
        <w:rPr>
          <w:sz w:val="28"/>
          <w:lang w:val="uk-UA"/>
        </w:rPr>
        <w:t>о</w:t>
      </w:r>
      <w:r>
        <w:rPr>
          <w:sz w:val="28"/>
          <w:lang w:val="uk-UA"/>
        </w:rPr>
        <w:t>лишнього середовища і визначення потенційного ризику шкідливого впливу на зд</w:t>
      </w:r>
      <w:r>
        <w:rPr>
          <w:sz w:val="28"/>
          <w:lang w:val="uk-UA"/>
        </w:rPr>
        <w:t>о</w:t>
      </w:r>
      <w:r>
        <w:rPr>
          <w:sz w:val="28"/>
          <w:lang w:val="uk-UA"/>
        </w:rPr>
        <w:t>ров’я населення та працюючих.</w:t>
      </w:r>
    </w:p>
    <w:p w:rsidR="003F2351" w:rsidRDefault="003F2351" w:rsidP="003F2351">
      <w:pPr>
        <w:ind w:firstLine="720"/>
        <w:rPr>
          <w:sz w:val="28"/>
          <w:lang w:val="uk-UA"/>
        </w:rPr>
      </w:pPr>
      <w:r>
        <w:rPr>
          <w:sz w:val="28"/>
          <w:lang w:val="uk-UA"/>
        </w:rPr>
        <w:t>Для досягнення цієї мети були поставлені наступні завдання:</w:t>
      </w:r>
    </w:p>
    <w:p w:rsidR="003F2351" w:rsidRDefault="003F2351" w:rsidP="003F2351">
      <w:pPr>
        <w:ind w:firstLine="720"/>
        <w:jc w:val="both"/>
        <w:rPr>
          <w:sz w:val="28"/>
          <w:lang w:val="uk-UA"/>
        </w:rPr>
      </w:pPr>
      <w:r>
        <w:rPr>
          <w:sz w:val="28"/>
          <w:lang w:val="uk-UA"/>
        </w:rPr>
        <w:t>1. Встановити параметри токсикометрії препарату ДТ-03 при різних шляхах і тривалості надходження в організм лабораторних тварин та вивчити його подразнюючі та с</w:t>
      </w:r>
      <w:r>
        <w:rPr>
          <w:sz w:val="28"/>
          <w:lang w:val="uk-UA"/>
        </w:rPr>
        <w:t>е</w:t>
      </w:r>
      <w:r>
        <w:rPr>
          <w:sz w:val="28"/>
          <w:lang w:val="uk-UA"/>
        </w:rPr>
        <w:t>нсибілізуючі властивості.</w:t>
      </w:r>
    </w:p>
    <w:p w:rsidR="003F2351" w:rsidRPr="003F2351" w:rsidRDefault="003F2351" w:rsidP="003F2351">
      <w:pPr>
        <w:pStyle w:val="afffffffa"/>
        <w:ind w:firstLine="709"/>
        <w:jc w:val="both"/>
        <w:rPr>
          <w:lang w:val="uk-UA"/>
        </w:rPr>
      </w:pPr>
      <w:r w:rsidRPr="003F2351">
        <w:rPr>
          <w:lang w:val="uk-UA"/>
        </w:rPr>
        <w:t>2. Дати порівняльну токсиколого-гігієнічну оцінку гербіциду імазетапір та препаратів на його основі Півот, Патріот та ДТ-03.</w:t>
      </w:r>
    </w:p>
    <w:p w:rsidR="003F2351" w:rsidRPr="003F2351" w:rsidRDefault="003F2351" w:rsidP="003F2351">
      <w:pPr>
        <w:pStyle w:val="afffffffa"/>
        <w:ind w:firstLine="709"/>
        <w:jc w:val="both"/>
        <w:rPr>
          <w:lang w:val="uk-UA"/>
        </w:rPr>
      </w:pPr>
      <w:r w:rsidRPr="003F2351">
        <w:rPr>
          <w:lang w:val="uk-UA"/>
        </w:rPr>
        <w:t xml:space="preserve">3. Розробити кількісні методи аналітичного визначення імазетапіру в об’єктах довкілля, сільськогосподарській сировині, продуктах харчування та повітрі робочої зони з використанням високоефективної рідинної хроматографії (ВЕРХ), затвердити їх у чинному порядку та </w:t>
      </w:r>
      <w:r w:rsidRPr="003F2351">
        <w:rPr>
          <w:spacing w:val="-4"/>
          <w:lang w:val="uk-UA"/>
        </w:rPr>
        <w:t>впровадити в практику установ та закладів державної саніт</w:t>
      </w:r>
      <w:r w:rsidRPr="003F2351">
        <w:rPr>
          <w:spacing w:val="-4"/>
          <w:lang w:val="uk-UA"/>
        </w:rPr>
        <w:t>а</w:t>
      </w:r>
      <w:r w:rsidRPr="003F2351">
        <w:rPr>
          <w:spacing w:val="-4"/>
          <w:lang w:val="uk-UA"/>
        </w:rPr>
        <w:t>рно-епідеміологічної служби України.</w:t>
      </w:r>
    </w:p>
    <w:p w:rsidR="003F2351" w:rsidRPr="003F2351" w:rsidRDefault="003F2351" w:rsidP="003F2351">
      <w:pPr>
        <w:pStyle w:val="afffffffa"/>
        <w:ind w:firstLine="709"/>
        <w:jc w:val="both"/>
        <w:rPr>
          <w:lang w:val="uk-UA"/>
        </w:rPr>
      </w:pPr>
      <w:r w:rsidRPr="003F2351">
        <w:rPr>
          <w:lang w:val="uk-UA"/>
        </w:rPr>
        <w:lastRenderedPageBreak/>
        <w:t>4. Науково обґрунтувати ГДК імазетапіру у ґрунті на підставі вивчення його поведінки в системах “ґрунт-вода”, “ґрунт-повітря”, “ґрунт-рослина” з врахуванням впливу на процеси самоочищення ґрунту.</w:t>
      </w:r>
    </w:p>
    <w:p w:rsidR="003F2351" w:rsidRPr="003F2351" w:rsidRDefault="003F2351" w:rsidP="003F2351">
      <w:pPr>
        <w:pStyle w:val="afffffffa"/>
        <w:ind w:firstLine="709"/>
        <w:jc w:val="both"/>
        <w:rPr>
          <w:lang w:val="uk-UA"/>
        </w:rPr>
      </w:pPr>
      <w:r w:rsidRPr="003F2351">
        <w:rPr>
          <w:lang w:val="uk-UA"/>
        </w:rPr>
        <w:t>5. Вивчити динаміку залишкових кількостей імазетапіру в об’єктах довкілля при використанні гербіцидів Півот, Патріот, ДТ-03, в.р.к. в умовах сільськогосподарського виробництва в Україні.</w:t>
      </w:r>
    </w:p>
    <w:p w:rsidR="003F2351" w:rsidRPr="003F2351" w:rsidRDefault="003F2351" w:rsidP="003F2351">
      <w:pPr>
        <w:pStyle w:val="afffffffa"/>
        <w:ind w:firstLine="709"/>
        <w:jc w:val="both"/>
        <w:rPr>
          <w:lang w:val="uk-UA"/>
        </w:rPr>
      </w:pPr>
      <w:r w:rsidRPr="003F2351">
        <w:rPr>
          <w:lang w:val="uk-UA"/>
        </w:rPr>
        <w:t>6. Вивчити умови праці при використанні препаратів Півот, Патр</w:t>
      </w:r>
      <w:r w:rsidRPr="003F2351">
        <w:rPr>
          <w:lang w:val="uk-UA"/>
        </w:rPr>
        <w:t>і</w:t>
      </w:r>
      <w:r w:rsidRPr="003F2351">
        <w:rPr>
          <w:lang w:val="uk-UA"/>
        </w:rPr>
        <w:t>от, та ДТ-03, в сільському господарстві та оцінити ризик комплек</w:t>
      </w:r>
      <w:r w:rsidRPr="003F2351">
        <w:rPr>
          <w:lang w:val="uk-UA"/>
        </w:rPr>
        <w:t>с</w:t>
      </w:r>
      <w:r w:rsidRPr="003F2351">
        <w:rPr>
          <w:lang w:val="uk-UA"/>
        </w:rPr>
        <w:t>ного інгаляційного і перкутанного впливу імазетапіру на працюючих.</w:t>
      </w:r>
    </w:p>
    <w:p w:rsidR="003F2351" w:rsidRPr="003F2351" w:rsidRDefault="003F2351" w:rsidP="003F2351">
      <w:pPr>
        <w:pStyle w:val="afffffffa"/>
        <w:ind w:firstLine="709"/>
        <w:jc w:val="both"/>
        <w:rPr>
          <w:lang w:val="uk-UA"/>
        </w:rPr>
      </w:pPr>
      <w:r w:rsidRPr="003F2351">
        <w:rPr>
          <w:lang w:val="uk-UA"/>
        </w:rPr>
        <w:t>7. Науково обґрунтувати гігієнічні регламенти та розробити інструкції з бе</w:t>
      </w:r>
      <w:r w:rsidRPr="003F2351">
        <w:rPr>
          <w:lang w:val="uk-UA"/>
        </w:rPr>
        <w:t>з</w:t>
      </w:r>
      <w:r w:rsidRPr="003F2351">
        <w:rPr>
          <w:lang w:val="uk-UA"/>
        </w:rPr>
        <w:t>печного застосування в сільському господарстві гербіцидів на основі імазетапіру.</w:t>
      </w:r>
    </w:p>
    <w:p w:rsidR="003F2351" w:rsidRPr="003F2351" w:rsidRDefault="003F2351" w:rsidP="003F2351">
      <w:pPr>
        <w:pStyle w:val="afffffffa"/>
        <w:ind w:firstLine="709"/>
        <w:jc w:val="both"/>
        <w:rPr>
          <w:lang w:val="uk-UA"/>
        </w:rPr>
      </w:pPr>
      <w:r w:rsidRPr="003F2351">
        <w:rPr>
          <w:i/>
          <w:lang w:val="uk-UA"/>
        </w:rPr>
        <w:t>Об’єкт дослідження</w:t>
      </w:r>
      <w:r w:rsidRPr="003F2351">
        <w:rPr>
          <w:lang w:val="uk-UA"/>
        </w:rPr>
        <w:t xml:space="preserve"> – закономірності поведінки імазетапіру в об’єктах д</w:t>
      </w:r>
      <w:r w:rsidRPr="003F2351">
        <w:rPr>
          <w:lang w:val="uk-UA"/>
        </w:rPr>
        <w:t>о</w:t>
      </w:r>
      <w:r w:rsidRPr="003F2351">
        <w:rPr>
          <w:lang w:val="uk-UA"/>
        </w:rPr>
        <w:t>вкілля та ризик його комплексного впливу на працюючих в грунтово-кліматичних умовах України.</w:t>
      </w:r>
    </w:p>
    <w:p w:rsidR="003F2351" w:rsidRPr="003F2351" w:rsidRDefault="003F2351" w:rsidP="003F2351">
      <w:pPr>
        <w:pStyle w:val="afffffffa"/>
        <w:ind w:firstLine="709"/>
        <w:jc w:val="both"/>
        <w:rPr>
          <w:lang w:val="uk-UA"/>
        </w:rPr>
      </w:pPr>
      <w:r w:rsidRPr="003F2351">
        <w:rPr>
          <w:i/>
          <w:lang w:val="uk-UA"/>
        </w:rPr>
        <w:t>Предмет дослідження</w:t>
      </w:r>
      <w:r w:rsidRPr="003F2351">
        <w:rPr>
          <w:lang w:val="uk-UA"/>
        </w:rPr>
        <w:t xml:space="preserve"> – токсичність імазетапіру та препаратів на його основі; міграція імазетапіру в системах «грунт – ґрунтові води», «грунт – атмосферне пові</w:t>
      </w:r>
      <w:r w:rsidRPr="003F2351">
        <w:rPr>
          <w:lang w:val="uk-UA"/>
        </w:rPr>
        <w:t>т</w:t>
      </w:r>
      <w:r w:rsidRPr="003F2351">
        <w:rPr>
          <w:lang w:val="uk-UA"/>
        </w:rPr>
        <w:t>ря», «грунт – рослини»; вплив на мікробіоценоз та ферментативну активність ґру</w:t>
      </w:r>
      <w:r w:rsidRPr="003F2351">
        <w:rPr>
          <w:lang w:val="uk-UA"/>
        </w:rPr>
        <w:t>н</w:t>
      </w:r>
      <w:r w:rsidRPr="003F2351">
        <w:rPr>
          <w:lang w:val="uk-UA"/>
        </w:rPr>
        <w:t>ту; вміст імазетапіру в об’єктах довкілля ( в ґрунті, повітрі), рослинності, рівні з</w:t>
      </w:r>
      <w:r w:rsidRPr="003F2351">
        <w:rPr>
          <w:lang w:val="uk-UA"/>
        </w:rPr>
        <w:t>а</w:t>
      </w:r>
      <w:r w:rsidRPr="003F2351">
        <w:rPr>
          <w:lang w:val="uk-UA"/>
        </w:rPr>
        <w:t>бруднення повітря робочої зони, нашивок на спецодязі і змивів з відкритих ділянок шкіри працюючих.</w:t>
      </w:r>
    </w:p>
    <w:p w:rsidR="003F2351" w:rsidRPr="003F2351" w:rsidRDefault="003F2351" w:rsidP="003F2351">
      <w:pPr>
        <w:pStyle w:val="afffffffa"/>
        <w:ind w:firstLine="709"/>
        <w:jc w:val="both"/>
        <w:rPr>
          <w:lang w:val="uk-UA"/>
        </w:rPr>
      </w:pPr>
      <w:r w:rsidRPr="003F2351">
        <w:rPr>
          <w:i/>
          <w:lang w:val="uk-UA"/>
        </w:rPr>
        <w:t>Методи дослідження</w:t>
      </w:r>
      <w:r w:rsidRPr="003F2351">
        <w:rPr>
          <w:lang w:val="uk-UA"/>
        </w:rPr>
        <w:t xml:space="preserve"> – методи лабораторного та натурного гігієнічних експ</w:t>
      </w:r>
      <w:r w:rsidRPr="003F2351">
        <w:rPr>
          <w:lang w:val="uk-UA"/>
        </w:rPr>
        <w:t>е</w:t>
      </w:r>
      <w:r w:rsidRPr="003F2351">
        <w:rPr>
          <w:lang w:val="uk-UA"/>
        </w:rPr>
        <w:t>риментів, при проведенні яких використані токсикологічні, санітарно-хімічні, хіміко-аналітичні, в тому числі хроматографічні, санітарно-мікробіологічні, біохімічні, клініко-діагностичні методи, методи варіаційної статистики, кореляційного, регресійного аналізу та математ</w:t>
      </w:r>
      <w:r w:rsidRPr="003F2351">
        <w:rPr>
          <w:lang w:val="uk-UA"/>
        </w:rPr>
        <w:t>и</w:t>
      </w:r>
      <w:r w:rsidRPr="003F2351">
        <w:rPr>
          <w:lang w:val="uk-UA"/>
        </w:rPr>
        <w:t>чного моделювання.</w:t>
      </w:r>
    </w:p>
    <w:p w:rsidR="003F2351" w:rsidRPr="003F2351" w:rsidRDefault="003F2351" w:rsidP="003F2351">
      <w:pPr>
        <w:pStyle w:val="afffffffa"/>
        <w:ind w:firstLine="709"/>
        <w:jc w:val="both"/>
        <w:rPr>
          <w:lang w:val="uk-UA"/>
        </w:rPr>
      </w:pPr>
      <w:r w:rsidRPr="003F2351">
        <w:rPr>
          <w:b/>
          <w:lang w:val="uk-UA"/>
        </w:rPr>
        <w:t xml:space="preserve">Наукова новизна одержаних результатів. </w:t>
      </w:r>
      <w:r w:rsidRPr="003F2351">
        <w:rPr>
          <w:lang w:val="uk-UA"/>
        </w:rPr>
        <w:t>В результаті проведеного досл</w:t>
      </w:r>
      <w:r w:rsidRPr="003F2351">
        <w:rPr>
          <w:lang w:val="uk-UA"/>
        </w:rPr>
        <w:t>і</w:t>
      </w:r>
      <w:r w:rsidRPr="003F2351">
        <w:rPr>
          <w:lang w:val="uk-UA"/>
        </w:rPr>
        <w:t>дження вперше в Україні досліджено токсичні властивості нового гербіциду ДТ-03, та дана порі</w:t>
      </w:r>
      <w:r w:rsidRPr="003F2351">
        <w:rPr>
          <w:lang w:val="uk-UA"/>
        </w:rPr>
        <w:t>в</w:t>
      </w:r>
      <w:r w:rsidRPr="003F2351">
        <w:rPr>
          <w:lang w:val="uk-UA"/>
        </w:rPr>
        <w:t>няльна токсиколого-гігієнічна оцінка препаратів Півот і Патріот на основі імазетапіру.</w:t>
      </w:r>
    </w:p>
    <w:p w:rsidR="003F2351" w:rsidRPr="003F2351" w:rsidRDefault="003F2351" w:rsidP="003F2351">
      <w:pPr>
        <w:pStyle w:val="afffffffa"/>
        <w:ind w:firstLine="709"/>
        <w:jc w:val="both"/>
        <w:rPr>
          <w:lang w:val="uk-UA"/>
        </w:rPr>
      </w:pPr>
      <w:r w:rsidRPr="003F2351">
        <w:rPr>
          <w:lang w:val="uk-UA"/>
        </w:rPr>
        <w:t>Встановлено закономірності поведінки імазетапіру в системах «ґрунт - вода», «ґрунт - повітря», «ґрунт - рослина» в різних ґрунтово-кліматичних умовах, та особливості його впливу на ферментативну активність і мікробіоценоз ґрунту.</w:t>
      </w:r>
    </w:p>
    <w:p w:rsidR="003F2351" w:rsidRDefault="003F2351" w:rsidP="003F2351">
      <w:pPr>
        <w:pStyle w:val="afffffffa"/>
        <w:ind w:firstLine="709"/>
        <w:jc w:val="both"/>
      </w:pPr>
      <w:r>
        <w:t>Проведено вивчення умов праці при застосуванні препаратів на основі імаз</w:t>
      </w:r>
      <w:r>
        <w:t>е</w:t>
      </w:r>
      <w:r>
        <w:t>тапіру та зроблений прогноз потенційного ризику комплексного інгаляційного та перкутанного впливу імазетапіру на працюючих.</w:t>
      </w:r>
    </w:p>
    <w:p w:rsidR="003F2351" w:rsidRDefault="003F2351" w:rsidP="003F2351">
      <w:pPr>
        <w:pStyle w:val="afffffffa"/>
        <w:ind w:firstLine="709"/>
        <w:jc w:val="both"/>
      </w:pPr>
      <w:r>
        <w:t>Встановлені закономірності поведінки імазетапіру в об’єктах агроценозу при використанні препаратів Півот, Патріот та ДТ-03.</w:t>
      </w:r>
    </w:p>
    <w:p w:rsidR="003F2351" w:rsidRDefault="003F2351" w:rsidP="003F2351">
      <w:pPr>
        <w:pStyle w:val="afffffffa"/>
        <w:ind w:firstLine="709"/>
        <w:jc w:val="both"/>
      </w:pPr>
      <w:r>
        <w:t xml:space="preserve">Визначені найкращі умови екстракції імазетапіру з проб повітря, води, ґрунту та рослинного матеріалу, очистки екстрактів, хроматографічного </w:t>
      </w:r>
      <w:r>
        <w:lastRenderedPageBreak/>
        <w:t>розділення методом високоефективної рідинної хроматографії, детектування та кількісного визначення імазетапіру.</w:t>
      </w:r>
    </w:p>
    <w:p w:rsidR="003F2351" w:rsidRDefault="003F2351" w:rsidP="003F2351">
      <w:pPr>
        <w:pStyle w:val="afffffffa"/>
        <w:ind w:firstLine="720"/>
        <w:jc w:val="both"/>
      </w:pPr>
      <w:r>
        <w:rPr>
          <w:b/>
        </w:rPr>
        <w:t xml:space="preserve">Практичне значення одержаних результатів </w:t>
      </w:r>
      <w:r>
        <w:t>полягає в науковому обгрунт</w:t>
      </w:r>
      <w:r>
        <w:t>у</w:t>
      </w:r>
      <w:r>
        <w:t>ванні ГДК імазетапіру у ґрунті, гігієнічних регламентів та інструкцій з безпечного використання гербіцидів Півот, Патріот та ДТ-03 в сіл</w:t>
      </w:r>
      <w:r>
        <w:t>ь</w:t>
      </w:r>
      <w:r>
        <w:t>ському господарстві. Відповідно до чинного законодавства України вищезазначений гігієнічний норматив і регламенти були розглянуті в Комітеті з питань гігієнічного регламентування МОЗ України впродовж 2003–2004 років, затверджені Головним державним санітарним лікарем України (</w:t>
      </w:r>
      <w:r>
        <w:rPr>
          <w:rFonts w:ascii="Times New Roman CYR" w:hAnsi="Times New Roman CYR"/>
        </w:rPr>
        <w:t>Постанови Державного санітарного лікаря України № 35 від 18.12.2003 р., № 36 від 22.12.2003 р. та № 13 від 15.04.2004 р.)</w:t>
      </w:r>
      <w:r>
        <w:t xml:space="preserve"> та надіслані в державну санепідслужбу для впровадження і практичного використа</w:t>
      </w:r>
      <w:r>
        <w:t>н</w:t>
      </w:r>
      <w:r>
        <w:t>ня.</w:t>
      </w:r>
    </w:p>
    <w:p w:rsidR="003F2351" w:rsidRDefault="003F2351" w:rsidP="003F2351">
      <w:pPr>
        <w:pStyle w:val="afffffffa"/>
        <w:ind w:firstLine="709"/>
        <w:jc w:val="both"/>
      </w:pPr>
      <w:r>
        <w:t>Результати роботи використані при підготовці інформаційного ли</w:t>
      </w:r>
      <w:r>
        <w:t>с</w:t>
      </w:r>
      <w:r>
        <w:t>та № 131-2005 „Методика розрахункового гігієнічного нормування пестицидів у ґру</w:t>
      </w:r>
      <w:r>
        <w:t>н</w:t>
      </w:r>
      <w:r>
        <w:t>ті”.</w:t>
      </w:r>
    </w:p>
    <w:p w:rsidR="003F2351" w:rsidRDefault="003F2351" w:rsidP="003F2351">
      <w:pPr>
        <w:pStyle w:val="afffffffa"/>
        <w:ind w:firstLine="709"/>
        <w:jc w:val="both"/>
      </w:pPr>
      <w:r>
        <w:t>Крім того, розроблені кількісні методи визначення залишкових кількостей ім</w:t>
      </w:r>
      <w:r>
        <w:t>а</w:t>
      </w:r>
      <w:r>
        <w:t>зетапіру у повітрі робочої зони, атмосферному повітрі, ґрунті, воді та продуктах х</w:t>
      </w:r>
      <w:r>
        <w:t>а</w:t>
      </w:r>
      <w:r>
        <w:t xml:space="preserve">рчування (Методичні вказівки </w:t>
      </w:r>
      <w:r>
        <w:rPr>
          <w:rFonts w:ascii="Times New Roman CYR" w:hAnsi="Times New Roman CYR"/>
        </w:rPr>
        <w:t>№ 440-2003, № 441</w:t>
      </w:r>
      <w:r>
        <w:t xml:space="preserve">-2003, </w:t>
      </w:r>
      <w:r>
        <w:rPr>
          <w:rFonts w:ascii="Times New Roman CYR" w:hAnsi="Times New Roman CYR"/>
        </w:rPr>
        <w:t>№ 474</w:t>
      </w:r>
      <w:r>
        <w:t>-2004,</w:t>
      </w:r>
      <w:r>
        <w:rPr>
          <w:rFonts w:ascii="Times New Roman CYR" w:hAnsi="Times New Roman CYR"/>
        </w:rPr>
        <w:t xml:space="preserve"> </w:t>
      </w:r>
      <w:r>
        <w:rPr>
          <w:rFonts w:ascii="Times New Roman CYR" w:hAnsi="Times New Roman CYR"/>
          <w:spacing w:val="-6"/>
        </w:rPr>
        <w:t>№ 583</w:t>
      </w:r>
      <w:r>
        <w:rPr>
          <w:spacing w:val="-6"/>
        </w:rPr>
        <w:t>-2005</w:t>
      </w:r>
      <w:r>
        <w:t>), які затверджені Головним державним санітарним лікарем України, видані у формі оф</w:t>
      </w:r>
      <w:r>
        <w:t>і</w:t>
      </w:r>
      <w:r>
        <w:t>ційних друкованих видань і направлені в органи санепідслужби для здійснення ко</w:t>
      </w:r>
      <w:r>
        <w:t>н</w:t>
      </w:r>
      <w:r>
        <w:t>тролю за вмістом імазетапіру в усіх вище зазначених об’єктах довкілля.</w:t>
      </w:r>
    </w:p>
    <w:p w:rsidR="003F2351" w:rsidRDefault="003F2351" w:rsidP="003F2351">
      <w:pPr>
        <w:pStyle w:val="afffffffa"/>
        <w:ind w:firstLine="709"/>
        <w:jc w:val="both"/>
      </w:pPr>
      <w:r>
        <w:t>Перелічені вище норматив та методичні вказівки були використані при вир</w:t>
      </w:r>
      <w:r>
        <w:t>і</w:t>
      </w:r>
      <w:r>
        <w:t>шенні питання щодо можливості реєстрації та застосування гербіцидів Півот, 10% в.р.к., Патріот, 10% в.р.к. та ДТ-03, в.р.к. в Україні, що знайшло відображення в “П</w:t>
      </w:r>
      <w:r>
        <w:t>е</w:t>
      </w:r>
      <w:r>
        <w:t>реліку пестицидів і агрохімікатів, дозволених до використання в Україні”, який був погоджений МОЗ України (листи від 26.02.2003 № 05-20/154 та 20.04.2004 № 05-29/16-497).</w:t>
      </w:r>
    </w:p>
    <w:p w:rsidR="003F2351" w:rsidRDefault="003F2351" w:rsidP="003F2351">
      <w:pPr>
        <w:pStyle w:val="afffffffa"/>
        <w:ind w:firstLine="709"/>
        <w:jc w:val="both"/>
      </w:pPr>
      <w:r>
        <w:t>Матеріали досліджень використовуються в роботі фахівців міністерств, відо</w:t>
      </w:r>
      <w:r>
        <w:t>м</w:t>
      </w:r>
      <w:r>
        <w:t>ств і установ державного, у тому числі санітарного нагляду при здійсненні контр</w:t>
      </w:r>
      <w:r>
        <w:t>о</w:t>
      </w:r>
      <w:r>
        <w:t>лю за безпечним для здоров’я населення та об’єктів довкілля використанням хімі</w:t>
      </w:r>
      <w:r>
        <w:t>ч</w:t>
      </w:r>
      <w:r>
        <w:t>них засобів захисту рослин, підприємств та організацій, які застосовують пестициди, на</w:t>
      </w:r>
      <w:r>
        <w:t>у</w:t>
      </w:r>
      <w:r>
        <w:t>ково-дослідних інститутів гігієгічного профілю.</w:t>
      </w:r>
    </w:p>
    <w:p w:rsidR="003F2351" w:rsidRDefault="003F2351" w:rsidP="003F2351">
      <w:pPr>
        <w:pStyle w:val="afffffffa"/>
        <w:ind w:firstLine="709"/>
        <w:jc w:val="both"/>
      </w:pPr>
      <w:r>
        <w:rPr>
          <w:b/>
        </w:rPr>
        <w:t xml:space="preserve">Особистий внесок здобувача </w:t>
      </w:r>
      <w:r>
        <w:t>полягає в проведенні патентно-інформаційного пошуку, складанні аналітичного огляду вітчизняної та іноземної літератури, форм</w:t>
      </w:r>
      <w:r>
        <w:t>у</w:t>
      </w:r>
      <w:r>
        <w:t>люванні мети та завдань дослідження. Автором самостійно здійснена порівняльна токсикологічна оцінка препаратів на основі імазетапіру, проведений лабораторний експеримент з вивчення закономірностей міграції імазетапіру з ґрунту в суміжні с</w:t>
      </w:r>
      <w:r>
        <w:t>е</w:t>
      </w:r>
      <w:r>
        <w:t>редовища та його впливу на ферментативну активність і мікробіоценоз ґрунту, о</w:t>
      </w:r>
      <w:r>
        <w:t>б</w:t>
      </w:r>
      <w:r>
        <w:t>ґрунтована ГДК імазетапіру у ґрунті, досліджено поведінку імазетапіру в об’єктах агроценозу, розраховано ризик шкідливого впливу імазетапіру на працюючих з рі</w:t>
      </w:r>
      <w:r>
        <w:t>з</w:t>
      </w:r>
      <w:r>
        <w:t>ними препаратами.</w:t>
      </w:r>
    </w:p>
    <w:p w:rsidR="003F2351" w:rsidRDefault="003F2351" w:rsidP="003F2351">
      <w:pPr>
        <w:pStyle w:val="afffffffa"/>
        <w:ind w:firstLine="709"/>
        <w:jc w:val="both"/>
      </w:pPr>
      <w:r>
        <w:lastRenderedPageBreak/>
        <w:t>Автором взято участь в експериментальному вивченні токсичних властиво</w:t>
      </w:r>
      <w:r>
        <w:t>с</w:t>
      </w:r>
      <w:r>
        <w:t>тей препарату ДТ-03, в розробці аналітичних методів визначення імазетапіру в сіл</w:t>
      </w:r>
      <w:r>
        <w:t>ь</w:t>
      </w:r>
      <w:r>
        <w:t>ськогосподарській сировині та об’єктах навколишнього середовища, в санітарно-мікробіологічних дослідженнях ґрунту, в проведенні натурних досліджень з вивче</w:t>
      </w:r>
      <w:r>
        <w:t>н</w:t>
      </w:r>
      <w:r>
        <w:t>ня умов праці при застосуванні препаратів на основі імазетапіру в умовах агропр</w:t>
      </w:r>
      <w:r>
        <w:t>о</w:t>
      </w:r>
      <w:r>
        <w:t>мислового комплексу</w:t>
      </w:r>
      <w:r>
        <w:rPr>
          <w:rStyle w:val="affffffffffffffffffff9"/>
        </w:rPr>
        <w:footnoteReference w:id="2"/>
      </w:r>
      <w:r>
        <w:t>. Автором самостійно проведено визначення вмісту імазетап</w:t>
      </w:r>
      <w:r>
        <w:t>і</w:t>
      </w:r>
      <w:r>
        <w:t>ру в пробах води, ґрунту, рослинах, повітрі, нашивках зі спецодягу та змивах з ві</w:t>
      </w:r>
      <w:r>
        <w:t>д</w:t>
      </w:r>
      <w:r>
        <w:t>критих ділянок шкіри, санітарно-хімічне визначення азоту нітратів, нітритів, аміаку та ґрунтових ферментів (каталази, фосфатази, протеази).</w:t>
      </w:r>
    </w:p>
    <w:p w:rsidR="003F2351" w:rsidRDefault="003F2351" w:rsidP="003F2351">
      <w:pPr>
        <w:pStyle w:val="afffffffa"/>
        <w:ind w:firstLine="709"/>
        <w:jc w:val="both"/>
      </w:pPr>
      <w:r>
        <w:t>Статистична обробка результатів дослідження, їх узагальнення та аналіз, оф</w:t>
      </w:r>
      <w:r>
        <w:t>о</w:t>
      </w:r>
      <w:r>
        <w:t>рмлення методичних вказівок з аналітичного визначення імазетапіру, розробка гіг</w:t>
      </w:r>
      <w:r>
        <w:t>і</w:t>
      </w:r>
      <w:r>
        <w:t>єнічних регламентів та інструкцій з безпечного застосування препаратів Півот, Патріот та ДТ-03, написання всіх розділів дисертації та формулювання висновків роботи здій</w:t>
      </w:r>
      <w:r>
        <w:t>с</w:t>
      </w:r>
      <w:r>
        <w:t>нено автором особисто.</w:t>
      </w:r>
    </w:p>
    <w:p w:rsidR="003F2351" w:rsidRDefault="003F2351" w:rsidP="003F2351">
      <w:pPr>
        <w:pStyle w:val="afffffffa"/>
        <w:ind w:firstLine="709"/>
        <w:jc w:val="both"/>
        <w:rPr>
          <w:color w:val="000000"/>
        </w:rPr>
      </w:pPr>
      <w:r>
        <w:rPr>
          <w:b/>
        </w:rPr>
        <w:t xml:space="preserve">Апробація результатів дисертації. </w:t>
      </w:r>
      <w:r>
        <w:t>Результати роботи викладено і обговор</w:t>
      </w:r>
      <w:r>
        <w:t>е</w:t>
      </w:r>
      <w:r>
        <w:t>но на: V Всеукраїнській науковій конференції молодих вчених гігієністів, токсик</w:t>
      </w:r>
      <w:r>
        <w:t>о</w:t>
      </w:r>
      <w:r>
        <w:t>логів, хіміків-аналітиків «Сучасні проблеми гігієни, токсикології та аналіт</w:t>
      </w:r>
      <w:r>
        <w:t>и</w:t>
      </w:r>
      <w:r>
        <w:t>чної хімії» (Київ, 2003 р.); Всеукраїнській науково-практичній конференції студентів та молодих вч</w:t>
      </w:r>
      <w:r>
        <w:t>е</w:t>
      </w:r>
      <w:r>
        <w:t>них «Актуальні проблеми клінічної, експериментальної, профілактичної медиц</w:t>
      </w:r>
      <w:r>
        <w:t>и</w:t>
      </w:r>
      <w:r>
        <w:t>ни та стоматології» (Донецьк, 2003 р.); VII з’їзді Всеукраїнського лікарського товариства «Українські медичні вісті» (Тернопіль, 2003 р.); 58-й науково-практичній конференції студентів та молодих вчених НМУ «Актуальні проблеми сучасної медицини» (Київ, 2003 р.); Науково-практичній конференції «Актуальні проблеми токсикології, гігієни та аналітичної хімії пестицидів і агрохімікатів» (Київ, 2003 р.); XIV з’їзді гігієністів України «Гігієнічна наука та практика на рубежі ст</w:t>
      </w:r>
      <w:r>
        <w:t>о</w:t>
      </w:r>
      <w:r>
        <w:t>літь» (Дніпропетровськ, 2004 р.); Другій міжнародній конференції «Чистота довкілля в нашому місті» (Тру</w:t>
      </w:r>
      <w:r>
        <w:t>с</w:t>
      </w:r>
      <w:r>
        <w:t>кавець, 2004 р.); II з’їзді Токсикологів України (Київ, 2004 р.); Міжнародній науково-практичній конференції «Інтегрований захист рослин на початку XXI століття» (Київ, 2004 р.); 59-й науково-практичній конференції студентів та молодих вчених НМУ «Актуальні проблеми суча</w:t>
      </w:r>
      <w:r>
        <w:t>с</w:t>
      </w:r>
      <w:r>
        <w:t>ної медицини» (Київ, 2005 р.); ХІ конгресі Світової федерації українських лікарських тов</w:t>
      </w:r>
      <w:r>
        <w:t>а</w:t>
      </w:r>
      <w:r>
        <w:t>риств (Полтава, 2006).</w:t>
      </w:r>
    </w:p>
    <w:p w:rsidR="003F2351" w:rsidRDefault="003F2351" w:rsidP="003F2351">
      <w:pPr>
        <w:ind w:firstLine="720"/>
        <w:jc w:val="both"/>
        <w:rPr>
          <w:sz w:val="28"/>
          <w:lang w:val="uk-UA"/>
        </w:rPr>
      </w:pPr>
      <w:r>
        <w:rPr>
          <w:b/>
          <w:sz w:val="28"/>
          <w:lang w:val="uk-UA"/>
        </w:rPr>
        <w:t xml:space="preserve">Публікації. </w:t>
      </w:r>
      <w:r>
        <w:rPr>
          <w:sz w:val="28"/>
          <w:lang w:val="uk-UA"/>
        </w:rPr>
        <w:t>За результатами досліджень опубліковано 20 наукових праць, які відображають основні її положення, серед них - 8 статей у наукових журналах, які входять до переліку фахових видань ВАК України та 12 тез доповідей на конфере</w:t>
      </w:r>
      <w:r>
        <w:rPr>
          <w:sz w:val="28"/>
          <w:lang w:val="uk-UA"/>
        </w:rPr>
        <w:t>н</w:t>
      </w:r>
      <w:r>
        <w:rPr>
          <w:sz w:val="28"/>
          <w:lang w:val="uk-UA"/>
        </w:rPr>
        <w:t>ціях та з’їздах.</w:t>
      </w:r>
    </w:p>
    <w:p w:rsidR="003F2351" w:rsidRDefault="003F2351" w:rsidP="003F2351">
      <w:pPr>
        <w:ind w:firstLine="720"/>
        <w:jc w:val="both"/>
        <w:rPr>
          <w:sz w:val="28"/>
          <w:lang w:val="uk-UA"/>
        </w:rPr>
      </w:pPr>
      <w:r>
        <w:rPr>
          <w:b/>
          <w:sz w:val="28"/>
          <w:lang w:val="uk-UA"/>
        </w:rPr>
        <w:t xml:space="preserve">Структура та обсяг дисертації. </w:t>
      </w:r>
      <w:r>
        <w:rPr>
          <w:sz w:val="28"/>
          <w:lang w:val="uk-UA"/>
        </w:rPr>
        <w:t xml:space="preserve">Дисертація складається із вступу та 8 розділів, висновків, 4 додатків. Роботу викладено на 203 сторінках, містить 42 </w:t>
      </w:r>
      <w:r>
        <w:rPr>
          <w:sz w:val="28"/>
          <w:lang w:val="uk-UA"/>
        </w:rPr>
        <w:lastRenderedPageBreak/>
        <w:t>таблиці та 12 рисунків. Список використаних джерел літератури складається із 164 найменувань.</w:t>
      </w:r>
    </w:p>
    <w:p w:rsidR="003F2351" w:rsidRDefault="003F2351" w:rsidP="003F2351">
      <w:pPr>
        <w:ind w:firstLine="720"/>
        <w:jc w:val="center"/>
        <w:rPr>
          <w:b/>
          <w:sz w:val="28"/>
          <w:lang w:val="uk-UA"/>
        </w:rPr>
      </w:pPr>
      <w:r>
        <w:rPr>
          <w:sz w:val="28"/>
          <w:lang w:val="uk-UA"/>
        </w:rPr>
        <w:br w:type="page"/>
      </w:r>
      <w:r>
        <w:rPr>
          <w:b/>
          <w:sz w:val="28"/>
          <w:lang w:val="uk-UA"/>
        </w:rPr>
        <w:lastRenderedPageBreak/>
        <w:t>ОСНОВНИЙ ЗМІСТ РОБОТИ</w:t>
      </w:r>
    </w:p>
    <w:p w:rsidR="003F2351" w:rsidRDefault="003F2351" w:rsidP="003F2351">
      <w:pPr>
        <w:ind w:firstLine="720"/>
        <w:rPr>
          <w:b/>
          <w:sz w:val="28"/>
          <w:lang w:val="uk-UA"/>
        </w:rPr>
      </w:pPr>
    </w:p>
    <w:p w:rsidR="003F2351" w:rsidRDefault="003F2351" w:rsidP="003F2351">
      <w:pPr>
        <w:ind w:firstLine="709"/>
        <w:jc w:val="both"/>
        <w:rPr>
          <w:rFonts w:ascii="Times New Roman CYR" w:hAnsi="Times New Roman CYR"/>
          <w:spacing w:val="4"/>
          <w:sz w:val="28"/>
          <w:lang w:val="uk-UA"/>
        </w:rPr>
      </w:pPr>
      <w:r>
        <w:rPr>
          <w:b/>
          <w:sz w:val="28"/>
          <w:lang w:val="uk-UA"/>
        </w:rPr>
        <w:t>Програма, матеріали і методи дослідже</w:t>
      </w:r>
      <w:r>
        <w:rPr>
          <w:b/>
          <w:sz w:val="28"/>
          <w:lang w:val="uk-UA"/>
        </w:rPr>
        <w:t>н</w:t>
      </w:r>
      <w:r>
        <w:rPr>
          <w:b/>
          <w:sz w:val="28"/>
          <w:lang w:val="uk-UA"/>
        </w:rPr>
        <w:t xml:space="preserve">ня. </w:t>
      </w:r>
      <w:r>
        <w:rPr>
          <w:sz w:val="28"/>
          <w:lang w:val="uk-UA"/>
        </w:rPr>
        <w:t xml:space="preserve">З метою реалізаціх поставлених завдань було проведено 5 серій токсикологічних експериментів з визначення параметрів гострої токсичності, подразнюючої та сенсибілізуючої дії, субхронічної токсичності препарату ДТ-03, </w:t>
      </w:r>
      <w:r>
        <w:rPr>
          <w:rFonts w:ascii="Times New Roman CYR" w:hAnsi="Times New Roman CYR"/>
          <w:spacing w:val="4"/>
          <w:sz w:val="28"/>
          <w:lang w:val="uk-UA"/>
        </w:rPr>
        <w:t>4 серії лабораторних дослідів з наукового обґрунтування гігієнічного нормативу імазетапіру у ґрунті, 4 серії натурних спостережень за динамікою залишкових кількостей імазет</w:t>
      </w:r>
      <w:r>
        <w:rPr>
          <w:rFonts w:ascii="Times New Roman CYR" w:hAnsi="Times New Roman CYR"/>
          <w:spacing w:val="4"/>
          <w:sz w:val="28"/>
          <w:lang w:val="uk-UA"/>
        </w:rPr>
        <w:t>а</w:t>
      </w:r>
      <w:r>
        <w:rPr>
          <w:rFonts w:ascii="Times New Roman CYR" w:hAnsi="Times New Roman CYR"/>
          <w:spacing w:val="4"/>
          <w:sz w:val="28"/>
          <w:lang w:val="uk-UA"/>
        </w:rPr>
        <w:t>піру в об’єктах довкілля та 3 серії натурних експериментів з гігієнічної оцінки умов праці при застосуванні досліджуваних гербіцидів.</w:t>
      </w:r>
    </w:p>
    <w:p w:rsidR="003F2351" w:rsidRDefault="003F2351" w:rsidP="003F2351">
      <w:pPr>
        <w:ind w:firstLine="709"/>
        <w:jc w:val="both"/>
        <w:rPr>
          <w:sz w:val="28"/>
          <w:lang w:val="uk-UA"/>
        </w:rPr>
      </w:pPr>
      <w:r>
        <w:rPr>
          <w:sz w:val="28"/>
          <w:lang w:val="uk-UA"/>
        </w:rPr>
        <w:t>Гостру пероральну токсичність та шкіряно-резорбтивну дію препарату ДТ-03 вивчали на 20 білих безпородних щурах та 10 білих безпородних мишах, подразнюючу дію – на 6 кролях, сенсибілізуючу дію – на 9 гвінейських свинках, субхронічний дослід тривалістю 28 днів проводили на 24 білих безпородних щурах.</w:t>
      </w:r>
    </w:p>
    <w:p w:rsidR="003F2351" w:rsidRDefault="003F2351" w:rsidP="003F2351">
      <w:pPr>
        <w:ind w:firstLine="709"/>
        <w:jc w:val="both"/>
        <w:rPr>
          <w:sz w:val="28"/>
          <w:lang w:val="uk-UA"/>
        </w:rPr>
      </w:pPr>
      <w:r>
        <w:rPr>
          <w:sz w:val="28"/>
          <w:lang w:val="uk-UA"/>
        </w:rPr>
        <w:t>Лабораторні експерименти з вивчення поведінки імазетапіру у ґрунті здійсненні з використанням модельних пристроїв конструкції акад. Гончарука Є.Г.: 6 фільтраційних колон, призначених для забезпечення вільної фільтрації води в системі “ґрунт – ґрунтові води”; 2 модернізованих лаборато</w:t>
      </w:r>
      <w:r>
        <w:rPr>
          <w:sz w:val="28"/>
          <w:lang w:val="uk-UA"/>
        </w:rPr>
        <w:t>р</w:t>
      </w:r>
      <w:r>
        <w:rPr>
          <w:sz w:val="28"/>
          <w:lang w:val="uk-UA"/>
        </w:rPr>
        <w:t>них мікрокліматичних пристроів для моделювання поведінки в сист</w:t>
      </w:r>
      <w:r>
        <w:rPr>
          <w:sz w:val="28"/>
          <w:lang w:val="uk-UA"/>
        </w:rPr>
        <w:t>е</w:t>
      </w:r>
      <w:r>
        <w:rPr>
          <w:sz w:val="28"/>
          <w:lang w:val="uk-UA"/>
        </w:rPr>
        <w:t>мі “грунт – атмосферне повітря”; фітокліматичної камери для вирощування рослин.</w:t>
      </w:r>
    </w:p>
    <w:p w:rsidR="003F2351" w:rsidRDefault="003F2351" w:rsidP="003F2351">
      <w:pPr>
        <w:ind w:firstLine="709"/>
        <w:jc w:val="both"/>
        <w:rPr>
          <w:sz w:val="28"/>
          <w:lang w:val="uk-UA"/>
        </w:rPr>
      </w:pPr>
      <w:r>
        <w:rPr>
          <w:sz w:val="28"/>
          <w:lang w:val="uk-UA"/>
        </w:rPr>
        <w:t>Натурні дослідження з вивчення поведінки імазетапіру в об’єктах довкілля та умов праці при застосуванні препаратів Півот, Патріот та ДТ-03 у як</w:t>
      </w:r>
      <w:r>
        <w:rPr>
          <w:sz w:val="28"/>
          <w:lang w:val="uk-UA"/>
        </w:rPr>
        <w:t>о</w:t>
      </w:r>
      <w:r>
        <w:rPr>
          <w:sz w:val="28"/>
          <w:lang w:val="uk-UA"/>
        </w:rPr>
        <w:t>сті посходових гербіцидів на сої та горосі проводили у різних господарствах Київської області при максимальній нормі витрат (1,0 та 0,75 л/га відповідно) впродовж 2 вегетаційних сезонів у 2002–2003 р</w:t>
      </w:r>
      <w:r>
        <w:rPr>
          <w:sz w:val="28"/>
          <w:lang w:val="uk-UA"/>
        </w:rPr>
        <w:t>о</w:t>
      </w:r>
      <w:r>
        <w:rPr>
          <w:sz w:val="28"/>
          <w:lang w:val="uk-UA"/>
        </w:rPr>
        <w:t>ках.</w:t>
      </w:r>
    </w:p>
    <w:p w:rsidR="003F2351" w:rsidRDefault="003F2351" w:rsidP="003F2351">
      <w:pPr>
        <w:ind w:firstLine="709"/>
        <w:jc w:val="both"/>
        <w:rPr>
          <w:sz w:val="28"/>
          <w:lang w:val="uk-UA"/>
        </w:rPr>
      </w:pPr>
      <w:r>
        <w:rPr>
          <w:sz w:val="28"/>
          <w:lang w:val="uk-UA"/>
        </w:rPr>
        <w:t>Узагальнена інформація про етапи, методи та обсяг досл</w:t>
      </w:r>
      <w:r>
        <w:rPr>
          <w:sz w:val="28"/>
          <w:lang w:val="uk-UA"/>
        </w:rPr>
        <w:t>і</w:t>
      </w:r>
      <w:r>
        <w:rPr>
          <w:sz w:val="28"/>
          <w:lang w:val="uk-UA"/>
        </w:rPr>
        <w:t>джень наведена у таблиці 1.</w:t>
      </w:r>
    </w:p>
    <w:p w:rsidR="003F2351" w:rsidRDefault="003F2351" w:rsidP="003F2351">
      <w:pPr>
        <w:ind w:firstLine="709"/>
        <w:jc w:val="both"/>
        <w:rPr>
          <w:sz w:val="28"/>
          <w:lang w:val="uk-UA"/>
        </w:rPr>
      </w:pPr>
      <w:r>
        <w:rPr>
          <w:b/>
          <w:sz w:val="28"/>
        </w:rPr>
        <w:t>Токсикологічна оцінка імазетапіру та препаратів на його осн</w:t>
      </w:r>
      <w:r>
        <w:rPr>
          <w:b/>
          <w:sz w:val="28"/>
        </w:rPr>
        <w:t>о</w:t>
      </w:r>
      <w:r>
        <w:rPr>
          <w:b/>
          <w:sz w:val="28"/>
        </w:rPr>
        <w:t>ві.</w:t>
      </w:r>
      <w:r>
        <w:rPr>
          <w:sz w:val="28"/>
        </w:rPr>
        <w:t xml:space="preserve"> Встановлено, що величина середньої смертельної дози препарату ДТ-03 при </w:t>
      </w:r>
      <w:r>
        <w:rPr>
          <w:sz w:val="28"/>
          <w:lang w:val="uk-UA"/>
        </w:rPr>
        <w:t>введенні</w:t>
      </w:r>
      <w:r>
        <w:rPr>
          <w:sz w:val="28"/>
        </w:rPr>
        <w:t xml:space="preserve"> у шлунок для щурів та мишей пер</w:t>
      </w:r>
      <w:r>
        <w:rPr>
          <w:sz w:val="28"/>
        </w:rPr>
        <w:t>е</w:t>
      </w:r>
      <w:r>
        <w:rPr>
          <w:sz w:val="28"/>
        </w:rPr>
        <w:t xml:space="preserve">вищує 5000 і 2000 мг/кг відповідно, </w:t>
      </w:r>
      <w:r>
        <w:rPr>
          <w:spacing w:val="4"/>
          <w:sz w:val="28"/>
        </w:rPr>
        <w:t>при крізьшкірному надходженні – перев</w:t>
      </w:r>
      <w:r>
        <w:rPr>
          <w:spacing w:val="4"/>
          <w:sz w:val="28"/>
        </w:rPr>
        <w:t>и</w:t>
      </w:r>
      <w:r>
        <w:rPr>
          <w:spacing w:val="4"/>
          <w:sz w:val="28"/>
        </w:rPr>
        <w:t xml:space="preserve">щує 2000 мг/кг. </w:t>
      </w:r>
      <w:r>
        <w:rPr>
          <w:sz w:val="28"/>
        </w:rPr>
        <w:t>Препарат ДТ-03</w:t>
      </w:r>
      <w:r>
        <w:rPr>
          <w:sz w:val="28"/>
          <w:lang w:val="uk-UA"/>
        </w:rPr>
        <w:t xml:space="preserve"> </w:t>
      </w:r>
      <w:r>
        <w:rPr>
          <w:sz w:val="28"/>
        </w:rPr>
        <w:t xml:space="preserve">не </w:t>
      </w:r>
      <w:r>
        <w:rPr>
          <w:sz w:val="28"/>
          <w:lang w:val="uk-UA"/>
        </w:rPr>
        <w:t>подразнює шкіру</w:t>
      </w:r>
      <w:r>
        <w:rPr>
          <w:sz w:val="28"/>
        </w:rPr>
        <w:t xml:space="preserve"> та слизові об</w:t>
      </w:r>
      <w:r>
        <w:rPr>
          <w:sz w:val="28"/>
        </w:rPr>
        <w:t>о</w:t>
      </w:r>
      <w:r>
        <w:rPr>
          <w:sz w:val="28"/>
        </w:rPr>
        <w:t xml:space="preserve">лонки ока кролів. </w:t>
      </w:r>
      <w:r>
        <w:rPr>
          <w:spacing w:val="4"/>
          <w:sz w:val="28"/>
        </w:rPr>
        <w:t>В експерименті з нашкірною сенсибілізацією морських свинок алергенних властивостей у препарату ДТ-03</w:t>
      </w:r>
      <w:r>
        <w:rPr>
          <w:spacing w:val="4"/>
          <w:sz w:val="28"/>
          <w:lang w:val="uk-UA"/>
        </w:rPr>
        <w:t xml:space="preserve"> </w:t>
      </w:r>
      <w:r>
        <w:rPr>
          <w:spacing w:val="4"/>
          <w:sz w:val="28"/>
        </w:rPr>
        <w:t xml:space="preserve">не виявлено. </w:t>
      </w:r>
      <w:r>
        <w:rPr>
          <w:sz w:val="28"/>
        </w:rPr>
        <w:t>Кум</w:t>
      </w:r>
      <w:r>
        <w:rPr>
          <w:sz w:val="28"/>
        </w:rPr>
        <w:t>у</w:t>
      </w:r>
      <w:r>
        <w:rPr>
          <w:sz w:val="28"/>
        </w:rPr>
        <w:t>лятивні властивості у гербіциду ДТ-03</w:t>
      </w:r>
      <w:r>
        <w:rPr>
          <w:sz w:val="28"/>
          <w:lang w:val="uk-UA"/>
        </w:rPr>
        <w:t xml:space="preserve"> </w:t>
      </w:r>
      <w:r w:rsidRPr="00377B22">
        <w:rPr>
          <w:sz w:val="28"/>
          <w:lang w:val="uk-UA"/>
        </w:rPr>
        <w:t xml:space="preserve">виражені </w:t>
      </w:r>
      <w:r>
        <w:rPr>
          <w:sz w:val="28"/>
        </w:rPr>
        <w:t>слабко: коефіцієнт кумуляції при щоденному впродовж 28 днів введенні препарату у шлунок пер</w:t>
      </w:r>
      <w:r>
        <w:rPr>
          <w:sz w:val="28"/>
        </w:rPr>
        <w:t>е</w:t>
      </w:r>
      <w:r>
        <w:rPr>
          <w:sz w:val="28"/>
        </w:rPr>
        <w:t xml:space="preserve">вищував </w:t>
      </w:r>
      <w:r>
        <w:rPr>
          <w:sz w:val="28"/>
          <w:lang w:val="uk-UA"/>
        </w:rPr>
        <w:t>5. Максимально недіючою дозою препарату ДТ-03 у субхронічному досліді визнано дозу 500 мг/кг.</w:t>
      </w:r>
    </w:p>
    <w:p w:rsidR="003F2351" w:rsidRPr="003F2351" w:rsidRDefault="003F2351" w:rsidP="003F2351">
      <w:pPr>
        <w:pStyle w:val="affffffff"/>
        <w:ind w:firstLine="709"/>
        <w:jc w:val="both"/>
        <w:rPr>
          <w:sz w:val="28"/>
          <w:lang w:val="uk-UA"/>
        </w:rPr>
      </w:pPr>
      <w:r w:rsidRPr="003F2351">
        <w:rPr>
          <w:sz w:val="28"/>
          <w:lang w:val="uk-UA"/>
        </w:rPr>
        <w:t>Порівняльна токсикологічна оцінка імазетапіру та препаратів на його основі Півот, Патріот та ДТ-03 свідчить, що за показниками гострої токсичності, подразнюючої та сенсибілізуючої дії принцип</w:t>
      </w:r>
      <w:r w:rsidRPr="003F2351">
        <w:rPr>
          <w:sz w:val="28"/>
          <w:lang w:val="uk-UA"/>
        </w:rPr>
        <w:t>о</w:t>
      </w:r>
      <w:r w:rsidRPr="003F2351">
        <w:rPr>
          <w:sz w:val="28"/>
          <w:lang w:val="uk-UA"/>
        </w:rPr>
        <w:t xml:space="preserve">вих розбіжностей </w:t>
      </w:r>
    </w:p>
    <w:p w:rsidR="003F2351" w:rsidRDefault="003F2351" w:rsidP="003F2351">
      <w:pPr>
        <w:pStyle w:val="afffffffe"/>
        <w:jc w:val="right"/>
        <w:rPr>
          <w:b/>
          <w:i/>
          <w:sz w:val="28"/>
        </w:rPr>
      </w:pPr>
      <w:r w:rsidRPr="003F2351">
        <w:rPr>
          <w:spacing w:val="-10"/>
          <w:sz w:val="28"/>
          <w:lang w:val="uk-UA"/>
        </w:rPr>
        <w:br w:type="page"/>
      </w:r>
      <w:r w:rsidRPr="003F2351">
        <w:rPr>
          <w:b/>
          <w:i/>
          <w:sz w:val="28"/>
          <w:lang w:val="uk-UA"/>
        </w:rPr>
        <w:lastRenderedPageBreak/>
        <w:t xml:space="preserve"> </w:t>
      </w:r>
      <w:r>
        <w:rPr>
          <w:b/>
          <w:i/>
          <w:sz w:val="28"/>
        </w:rPr>
        <w:t>Таблиця 1</w:t>
      </w:r>
    </w:p>
    <w:p w:rsidR="003F2351" w:rsidRDefault="003F2351" w:rsidP="003F2351">
      <w:pPr>
        <w:pStyle w:val="afffffffe"/>
        <w:rPr>
          <w:sz w:val="28"/>
        </w:rPr>
      </w:pPr>
      <w:r>
        <w:rPr>
          <w:sz w:val="28"/>
        </w:rPr>
        <w:t>Етапи, предмети, методи та обсяг досліджень</w:t>
      </w:r>
    </w:p>
    <w:p w:rsidR="003F2351" w:rsidRDefault="003F2351" w:rsidP="003F2351">
      <w:pPr>
        <w:pStyle w:val="afffffffe"/>
        <w:spacing w:line="216" w:lineRule="auto"/>
        <w:rPr>
          <w:sz w:val="16"/>
        </w:rPr>
      </w:pPr>
    </w:p>
    <w:tbl>
      <w:tblPr>
        <w:tblW w:w="96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060"/>
        <w:gridCol w:w="1980"/>
        <w:gridCol w:w="3060"/>
        <w:gridCol w:w="1000"/>
      </w:tblGrid>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w:t>
            </w:r>
          </w:p>
          <w:p w:rsidR="003F2351" w:rsidRDefault="003F2351" w:rsidP="00E525CF">
            <w:pPr>
              <w:spacing w:line="228" w:lineRule="auto"/>
              <w:jc w:val="center"/>
              <w:rPr>
                <w:sz w:val="26"/>
                <w:lang w:val="uk-UA"/>
              </w:rPr>
            </w:pPr>
            <w:r>
              <w:rPr>
                <w:sz w:val="26"/>
                <w:lang w:val="uk-UA"/>
              </w:rPr>
              <w:t>п/п</w:t>
            </w:r>
          </w:p>
        </w:tc>
        <w:tc>
          <w:tcPr>
            <w:tcW w:w="3060" w:type="dxa"/>
            <w:vAlign w:val="center"/>
          </w:tcPr>
          <w:p w:rsidR="003F2351" w:rsidRDefault="003F2351" w:rsidP="00E525CF">
            <w:pPr>
              <w:spacing w:line="228" w:lineRule="auto"/>
              <w:jc w:val="center"/>
              <w:rPr>
                <w:sz w:val="26"/>
                <w:lang w:val="uk-UA"/>
              </w:rPr>
            </w:pPr>
            <w:r>
              <w:rPr>
                <w:sz w:val="26"/>
                <w:lang w:val="uk-UA"/>
              </w:rPr>
              <w:t>Етап досліджень</w:t>
            </w:r>
          </w:p>
        </w:tc>
        <w:tc>
          <w:tcPr>
            <w:tcW w:w="1980" w:type="dxa"/>
            <w:vAlign w:val="center"/>
          </w:tcPr>
          <w:p w:rsidR="003F2351" w:rsidRDefault="003F2351" w:rsidP="00E525CF">
            <w:pPr>
              <w:spacing w:line="228" w:lineRule="auto"/>
              <w:jc w:val="center"/>
              <w:rPr>
                <w:sz w:val="26"/>
                <w:lang w:val="uk-UA"/>
              </w:rPr>
            </w:pPr>
            <w:r>
              <w:rPr>
                <w:sz w:val="26"/>
                <w:lang w:val="uk-UA"/>
              </w:rPr>
              <w:t>Пре</w:t>
            </w:r>
            <w:r>
              <w:rPr>
                <w:sz w:val="26"/>
                <w:lang w:val="uk-UA"/>
              </w:rPr>
              <w:t>д</w:t>
            </w:r>
            <w:r>
              <w:rPr>
                <w:sz w:val="26"/>
                <w:lang w:val="uk-UA"/>
              </w:rPr>
              <w:t>мет досліджень</w:t>
            </w:r>
          </w:p>
        </w:tc>
        <w:tc>
          <w:tcPr>
            <w:tcW w:w="3060" w:type="dxa"/>
            <w:vAlign w:val="center"/>
          </w:tcPr>
          <w:p w:rsidR="003F2351" w:rsidRDefault="003F2351" w:rsidP="00E525CF">
            <w:pPr>
              <w:spacing w:line="228" w:lineRule="auto"/>
              <w:jc w:val="center"/>
              <w:rPr>
                <w:sz w:val="26"/>
                <w:lang w:val="uk-UA"/>
              </w:rPr>
            </w:pPr>
            <w:r>
              <w:rPr>
                <w:sz w:val="26"/>
                <w:lang w:val="uk-UA"/>
              </w:rPr>
              <w:t>Методи досліджень</w:t>
            </w:r>
          </w:p>
        </w:tc>
        <w:tc>
          <w:tcPr>
            <w:tcW w:w="1000" w:type="dxa"/>
            <w:vAlign w:val="center"/>
          </w:tcPr>
          <w:p w:rsidR="003F2351" w:rsidRDefault="003F2351" w:rsidP="00E525CF">
            <w:pPr>
              <w:spacing w:line="228" w:lineRule="auto"/>
              <w:jc w:val="center"/>
              <w:rPr>
                <w:sz w:val="26"/>
                <w:lang w:val="uk-UA"/>
              </w:rPr>
            </w:pPr>
            <w:r>
              <w:rPr>
                <w:sz w:val="26"/>
                <w:lang w:val="uk-UA"/>
              </w:rPr>
              <w:t>Обсяг досл</w:t>
            </w:r>
            <w:r>
              <w:rPr>
                <w:sz w:val="26"/>
                <w:lang w:val="uk-UA"/>
              </w:rPr>
              <w:t>і</w:t>
            </w:r>
            <w:r>
              <w:rPr>
                <w:sz w:val="26"/>
                <w:lang w:val="uk-UA"/>
              </w:rPr>
              <w:t>д-</w:t>
            </w:r>
          </w:p>
          <w:p w:rsidR="003F2351" w:rsidRDefault="003F2351" w:rsidP="00E525CF">
            <w:pPr>
              <w:spacing w:line="228" w:lineRule="auto"/>
              <w:jc w:val="center"/>
              <w:rPr>
                <w:sz w:val="26"/>
                <w:lang w:val="uk-UA"/>
              </w:rPr>
            </w:pPr>
            <w:r>
              <w:rPr>
                <w:sz w:val="26"/>
                <w:lang w:val="uk-UA"/>
              </w:rPr>
              <w:t>жень</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1.</w:t>
            </w:r>
          </w:p>
        </w:tc>
        <w:tc>
          <w:tcPr>
            <w:tcW w:w="3060" w:type="dxa"/>
            <w:vAlign w:val="center"/>
          </w:tcPr>
          <w:p w:rsidR="003F2351" w:rsidRDefault="003F2351" w:rsidP="00E525CF">
            <w:pPr>
              <w:spacing w:line="228" w:lineRule="auto"/>
              <w:jc w:val="center"/>
              <w:rPr>
                <w:sz w:val="26"/>
                <w:lang w:val="uk-UA"/>
              </w:rPr>
            </w:pPr>
            <w:r>
              <w:rPr>
                <w:sz w:val="26"/>
                <w:lang w:val="uk-UA"/>
              </w:rPr>
              <w:t>Первинна токсиколог</w:t>
            </w:r>
            <w:r>
              <w:rPr>
                <w:sz w:val="26"/>
                <w:lang w:val="uk-UA"/>
              </w:rPr>
              <w:t>і</w:t>
            </w:r>
            <w:r>
              <w:rPr>
                <w:sz w:val="26"/>
                <w:lang w:val="uk-UA"/>
              </w:rPr>
              <w:t>чна оцінка гербіциду ДТ-03, в.р.к.</w:t>
            </w:r>
          </w:p>
        </w:tc>
        <w:tc>
          <w:tcPr>
            <w:tcW w:w="1980" w:type="dxa"/>
            <w:vAlign w:val="center"/>
          </w:tcPr>
          <w:p w:rsidR="003F2351" w:rsidRDefault="003F2351" w:rsidP="00E525CF">
            <w:pPr>
              <w:spacing w:line="228" w:lineRule="auto"/>
              <w:jc w:val="center"/>
              <w:rPr>
                <w:sz w:val="26"/>
                <w:lang w:val="uk-UA"/>
              </w:rPr>
            </w:pPr>
            <w:r>
              <w:rPr>
                <w:sz w:val="26"/>
                <w:lang w:val="uk-UA"/>
              </w:rPr>
              <w:t>ДТ-03, в.р.к., білі безпородні щури та миші, кролі, морські свинки</w:t>
            </w:r>
          </w:p>
        </w:tc>
        <w:tc>
          <w:tcPr>
            <w:tcW w:w="3060" w:type="dxa"/>
            <w:vAlign w:val="center"/>
          </w:tcPr>
          <w:p w:rsidR="003F2351" w:rsidRDefault="003F2351" w:rsidP="00E525CF">
            <w:pPr>
              <w:spacing w:line="228" w:lineRule="auto"/>
              <w:rPr>
                <w:sz w:val="26"/>
                <w:lang w:val="uk-UA"/>
              </w:rPr>
            </w:pPr>
            <w:r>
              <w:rPr>
                <w:sz w:val="26"/>
                <w:lang w:val="uk-UA"/>
              </w:rPr>
              <w:t>1. Токсикологічний;</w:t>
            </w:r>
          </w:p>
          <w:p w:rsidR="003F2351" w:rsidRDefault="003F2351" w:rsidP="00E525CF">
            <w:pPr>
              <w:spacing w:line="228" w:lineRule="auto"/>
              <w:rPr>
                <w:sz w:val="26"/>
                <w:lang w:val="uk-UA"/>
              </w:rPr>
            </w:pPr>
            <w:r>
              <w:rPr>
                <w:sz w:val="26"/>
                <w:lang w:val="uk-UA"/>
              </w:rPr>
              <w:t>2. Токсикометричний</w:t>
            </w:r>
          </w:p>
        </w:tc>
        <w:tc>
          <w:tcPr>
            <w:tcW w:w="1000" w:type="dxa"/>
          </w:tcPr>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69</w:t>
            </w:r>
          </w:p>
          <w:p w:rsidR="003F2351" w:rsidRDefault="003F2351" w:rsidP="00E525CF">
            <w:pPr>
              <w:spacing w:line="228" w:lineRule="auto"/>
              <w:jc w:val="center"/>
              <w:rPr>
                <w:sz w:val="26"/>
                <w:lang w:val="uk-UA"/>
              </w:rPr>
            </w:pPr>
            <w:r>
              <w:rPr>
                <w:sz w:val="26"/>
                <w:lang w:val="uk-UA"/>
              </w:rPr>
              <w:t>тварин</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2.</w:t>
            </w:r>
          </w:p>
        </w:tc>
        <w:tc>
          <w:tcPr>
            <w:tcW w:w="3060" w:type="dxa"/>
            <w:vAlign w:val="center"/>
          </w:tcPr>
          <w:p w:rsidR="003F2351" w:rsidRDefault="003F2351" w:rsidP="00E525CF">
            <w:pPr>
              <w:spacing w:line="228" w:lineRule="auto"/>
              <w:jc w:val="center"/>
              <w:rPr>
                <w:sz w:val="26"/>
                <w:lang w:val="uk-UA"/>
              </w:rPr>
            </w:pPr>
            <w:r>
              <w:rPr>
                <w:sz w:val="26"/>
                <w:lang w:val="uk-UA"/>
              </w:rPr>
              <w:t>Лабораторні експер</w:t>
            </w:r>
            <w:r>
              <w:rPr>
                <w:sz w:val="26"/>
                <w:lang w:val="uk-UA"/>
              </w:rPr>
              <w:t>и</w:t>
            </w:r>
            <w:r>
              <w:rPr>
                <w:sz w:val="26"/>
                <w:lang w:val="uk-UA"/>
              </w:rPr>
              <w:t>менти з встановлення закономірностей поведінки гербіциду імаз</w:t>
            </w:r>
            <w:r>
              <w:rPr>
                <w:sz w:val="26"/>
                <w:lang w:val="uk-UA"/>
              </w:rPr>
              <w:t>е</w:t>
            </w:r>
            <w:r>
              <w:rPr>
                <w:sz w:val="26"/>
                <w:lang w:val="uk-UA"/>
              </w:rPr>
              <w:t>тапіру в системі “грунт-суміжні серед</w:t>
            </w:r>
            <w:r>
              <w:rPr>
                <w:sz w:val="26"/>
                <w:lang w:val="uk-UA"/>
              </w:rPr>
              <w:t>о</w:t>
            </w:r>
            <w:r>
              <w:rPr>
                <w:sz w:val="26"/>
                <w:lang w:val="uk-UA"/>
              </w:rPr>
              <w:t>вища” (4 серії)</w:t>
            </w:r>
          </w:p>
        </w:tc>
        <w:tc>
          <w:tcPr>
            <w:tcW w:w="1980" w:type="dxa"/>
            <w:vAlign w:val="center"/>
          </w:tcPr>
          <w:p w:rsidR="003F2351" w:rsidRDefault="003F2351" w:rsidP="00E525CF">
            <w:pPr>
              <w:spacing w:line="228" w:lineRule="auto"/>
              <w:jc w:val="center"/>
              <w:rPr>
                <w:sz w:val="26"/>
                <w:lang w:val="uk-UA"/>
              </w:rPr>
            </w:pPr>
            <w:r>
              <w:rPr>
                <w:sz w:val="26"/>
                <w:lang w:val="uk-UA"/>
              </w:rPr>
              <w:t>Гербіцид імаз</w:t>
            </w:r>
            <w:r>
              <w:rPr>
                <w:sz w:val="26"/>
                <w:lang w:val="uk-UA"/>
              </w:rPr>
              <w:t>е</w:t>
            </w:r>
            <w:r>
              <w:rPr>
                <w:sz w:val="26"/>
                <w:lang w:val="uk-UA"/>
              </w:rPr>
              <w:t>тапір, ґрунт, вода, повітря, ро</w:t>
            </w:r>
            <w:r>
              <w:rPr>
                <w:sz w:val="26"/>
                <w:lang w:val="uk-UA"/>
              </w:rPr>
              <w:t>с</w:t>
            </w:r>
            <w:r>
              <w:rPr>
                <w:sz w:val="26"/>
                <w:lang w:val="uk-UA"/>
              </w:rPr>
              <w:t>лини</w:t>
            </w:r>
          </w:p>
        </w:tc>
        <w:tc>
          <w:tcPr>
            <w:tcW w:w="3060" w:type="dxa"/>
            <w:vAlign w:val="center"/>
          </w:tcPr>
          <w:p w:rsidR="003F2351" w:rsidRDefault="003F2351" w:rsidP="00E525CF">
            <w:pPr>
              <w:spacing w:line="228" w:lineRule="auto"/>
              <w:rPr>
                <w:sz w:val="26"/>
                <w:lang w:val="uk-UA"/>
              </w:rPr>
            </w:pPr>
            <w:r>
              <w:rPr>
                <w:sz w:val="26"/>
                <w:lang w:val="uk-UA"/>
              </w:rPr>
              <w:t>1. Санітарно-хімічні: аз</w:t>
            </w:r>
            <w:r>
              <w:rPr>
                <w:sz w:val="26"/>
                <w:lang w:val="uk-UA"/>
              </w:rPr>
              <w:t>о</w:t>
            </w:r>
            <w:r>
              <w:rPr>
                <w:sz w:val="26"/>
                <w:lang w:val="uk-UA"/>
              </w:rPr>
              <w:t>товмісні речовини;</w:t>
            </w:r>
          </w:p>
          <w:p w:rsidR="003F2351" w:rsidRDefault="003F2351" w:rsidP="00E525CF">
            <w:pPr>
              <w:spacing w:line="228" w:lineRule="auto"/>
              <w:rPr>
                <w:sz w:val="26"/>
                <w:lang w:val="uk-UA"/>
              </w:rPr>
            </w:pPr>
            <w:r>
              <w:rPr>
                <w:sz w:val="26"/>
                <w:lang w:val="uk-UA"/>
              </w:rPr>
              <w:t>2. Санітарно-мікробіологічні: чисел</w:t>
            </w:r>
            <w:r>
              <w:rPr>
                <w:sz w:val="26"/>
                <w:lang w:val="uk-UA"/>
              </w:rPr>
              <w:t>ь</w:t>
            </w:r>
            <w:r>
              <w:rPr>
                <w:sz w:val="26"/>
                <w:lang w:val="uk-UA"/>
              </w:rPr>
              <w:t>ність сапрофітної ґрунт</w:t>
            </w:r>
            <w:r>
              <w:rPr>
                <w:sz w:val="26"/>
                <w:lang w:val="uk-UA"/>
              </w:rPr>
              <w:t>о</w:t>
            </w:r>
            <w:r>
              <w:rPr>
                <w:sz w:val="26"/>
                <w:lang w:val="uk-UA"/>
              </w:rPr>
              <w:t>вої мікрофлори, мікробне число, чисельність E.coli;</w:t>
            </w:r>
          </w:p>
          <w:p w:rsidR="003F2351" w:rsidRDefault="003F2351" w:rsidP="00E525CF">
            <w:pPr>
              <w:spacing w:line="228" w:lineRule="auto"/>
              <w:rPr>
                <w:sz w:val="26"/>
                <w:lang w:val="uk-UA"/>
              </w:rPr>
            </w:pPr>
            <w:r>
              <w:rPr>
                <w:sz w:val="26"/>
                <w:lang w:val="uk-UA"/>
              </w:rPr>
              <w:t>3. Біохімічні: активність ґрунтової фосфатази, пр</w:t>
            </w:r>
            <w:r>
              <w:rPr>
                <w:sz w:val="26"/>
                <w:lang w:val="uk-UA"/>
              </w:rPr>
              <w:t>о</w:t>
            </w:r>
            <w:r>
              <w:rPr>
                <w:sz w:val="26"/>
                <w:lang w:val="uk-UA"/>
              </w:rPr>
              <w:t xml:space="preserve">теази, каталази; </w:t>
            </w:r>
          </w:p>
          <w:p w:rsidR="003F2351" w:rsidRDefault="003F2351" w:rsidP="00E525CF">
            <w:pPr>
              <w:spacing w:line="228" w:lineRule="auto"/>
              <w:rPr>
                <w:sz w:val="26"/>
                <w:lang w:val="uk-UA"/>
              </w:rPr>
            </w:pPr>
            <w:r>
              <w:rPr>
                <w:sz w:val="26"/>
                <w:lang w:val="uk-UA"/>
              </w:rPr>
              <w:t>4. Високоефективна</w:t>
            </w:r>
          </w:p>
          <w:p w:rsidR="003F2351" w:rsidRDefault="003F2351" w:rsidP="00E525CF">
            <w:pPr>
              <w:spacing w:line="228" w:lineRule="auto"/>
              <w:rPr>
                <w:sz w:val="26"/>
                <w:lang w:val="uk-UA"/>
              </w:rPr>
            </w:pPr>
            <w:r>
              <w:rPr>
                <w:sz w:val="26"/>
                <w:lang w:val="uk-UA"/>
              </w:rPr>
              <w:t>рідинна хроматографія</w:t>
            </w:r>
          </w:p>
        </w:tc>
        <w:tc>
          <w:tcPr>
            <w:tcW w:w="1000" w:type="dxa"/>
          </w:tcPr>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720</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720</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720</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468</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3.</w:t>
            </w:r>
          </w:p>
        </w:tc>
        <w:tc>
          <w:tcPr>
            <w:tcW w:w="3060" w:type="dxa"/>
            <w:vAlign w:val="center"/>
          </w:tcPr>
          <w:p w:rsidR="003F2351" w:rsidRDefault="003F2351" w:rsidP="00E525CF">
            <w:pPr>
              <w:spacing w:line="228" w:lineRule="auto"/>
              <w:jc w:val="center"/>
              <w:rPr>
                <w:sz w:val="26"/>
                <w:lang w:val="uk-UA"/>
              </w:rPr>
            </w:pPr>
            <w:r>
              <w:rPr>
                <w:sz w:val="26"/>
                <w:lang w:val="uk-UA"/>
              </w:rPr>
              <w:t>Розробка методів в</w:t>
            </w:r>
            <w:r>
              <w:rPr>
                <w:sz w:val="26"/>
                <w:lang w:val="uk-UA"/>
              </w:rPr>
              <w:t>и</w:t>
            </w:r>
            <w:r>
              <w:rPr>
                <w:sz w:val="26"/>
                <w:lang w:val="uk-UA"/>
              </w:rPr>
              <w:t>значення імазетапіру в об’єктах довкілля</w:t>
            </w:r>
          </w:p>
        </w:tc>
        <w:tc>
          <w:tcPr>
            <w:tcW w:w="1980" w:type="dxa"/>
            <w:vAlign w:val="center"/>
          </w:tcPr>
          <w:p w:rsidR="003F2351" w:rsidRDefault="003F2351" w:rsidP="00E525CF">
            <w:pPr>
              <w:spacing w:line="228" w:lineRule="auto"/>
              <w:jc w:val="center"/>
              <w:rPr>
                <w:sz w:val="26"/>
                <w:lang w:val="uk-UA"/>
              </w:rPr>
            </w:pPr>
            <w:r>
              <w:rPr>
                <w:sz w:val="26"/>
                <w:lang w:val="uk-UA"/>
              </w:rPr>
              <w:t>Імазетапір, пов</w:t>
            </w:r>
            <w:r>
              <w:rPr>
                <w:sz w:val="26"/>
                <w:lang w:val="uk-UA"/>
              </w:rPr>
              <w:t>і</w:t>
            </w:r>
            <w:r>
              <w:rPr>
                <w:sz w:val="26"/>
                <w:lang w:val="uk-UA"/>
              </w:rPr>
              <w:t>тря, вода, ґрунт, боби сої та зерно гороху</w:t>
            </w:r>
          </w:p>
        </w:tc>
        <w:tc>
          <w:tcPr>
            <w:tcW w:w="3060" w:type="dxa"/>
            <w:vAlign w:val="center"/>
          </w:tcPr>
          <w:p w:rsidR="003F2351" w:rsidRDefault="003F2351" w:rsidP="00E525CF">
            <w:pPr>
              <w:spacing w:line="228" w:lineRule="auto"/>
              <w:rPr>
                <w:sz w:val="26"/>
                <w:lang w:val="uk-UA"/>
              </w:rPr>
            </w:pPr>
            <w:r>
              <w:rPr>
                <w:sz w:val="26"/>
                <w:lang w:val="uk-UA"/>
              </w:rPr>
              <w:t>1. Високоефективна</w:t>
            </w:r>
          </w:p>
          <w:p w:rsidR="003F2351" w:rsidRDefault="003F2351" w:rsidP="00E525CF">
            <w:pPr>
              <w:spacing w:line="228" w:lineRule="auto"/>
              <w:rPr>
                <w:sz w:val="26"/>
                <w:lang w:val="uk-UA"/>
              </w:rPr>
            </w:pPr>
            <w:r>
              <w:rPr>
                <w:sz w:val="26"/>
                <w:lang w:val="uk-UA"/>
              </w:rPr>
              <w:t>рідинна хроматографія</w:t>
            </w:r>
          </w:p>
        </w:tc>
        <w:tc>
          <w:tcPr>
            <w:tcW w:w="1000" w:type="dxa"/>
            <w:vAlign w:val="center"/>
          </w:tcPr>
          <w:p w:rsidR="003F2351" w:rsidRDefault="003F2351" w:rsidP="00E525CF">
            <w:pPr>
              <w:spacing w:line="228" w:lineRule="auto"/>
              <w:jc w:val="center"/>
              <w:rPr>
                <w:sz w:val="26"/>
                <w:lang w:val="uk-UA"/>
              </w:rPr>
            </w:pPr>
            <w:r>
              <w:rPr>
                <w:sz w:val="26"/>
                <w:lang w:val="uk-UA"/>
              </w:rPr>
              <w:t>88</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4.</w:t>
            </w:r>
          </w:p>
        </w:tc>
        <w:tc>
          <w:tcPr>
            <w:tcW w:w="3060" w:type="dxa"/>
            <w:vAlign w:val="center"/>
          </w:tcPr>
          <w:p w:rsidR="003F2351" w:rsidRDefault="003F2351" w:rsidP="00E525CF">
            <w:pPr>
              <w:spacing w:line="228" w:lineRule="auto"/>
              <w:jc w:val="center"/>
              <w:rPr>
                <w:sz w:val="26"/>
                <w:lang w:val="uk-UA"/>
              </w:rPr>
            </w:pPr>
            <w:r>
              <w:rPr>
                <w:sz w:val="26"/>
                <w:lang w:val="uk-UA"/>
              </w:rPr>
              <w:t>Натурні експерименти з вивчення поведінки гербіцидів в об’єктах довкілля (4 серій)</w:t>
            </w:r>
          </w:p>
        </w:tc>
        <w:tc>
          <w:tcPr>
            <w:tcW w:w="1980" w:type="dxa"/>
            <w:vAlign w:val="center"/>
          </w:tcPr>
          <w:p w:rsidR="003F2351" w:rsidRDefault="003F2351" w:rsidP="00E525CF">
            <w:pPr>
              <w:spacing w:line="228" w:lineRule="auto"/>
              <w:jc w:val="center"/>
              <w:rPr>
                <w:sz w:val="26"/>
                <w:lang w:val="uk-UA"/>
              </w:rPr>
            </w:pPr>
            <w:r>
              <w:rPr>
                <w:sz w:val="26"/>
                <w:lang w:val="uk-UA"/>
              </w:rPr>
              <w:t>Гербіциди Півот, Патріот, ДТ-03, ґрунт, рослини, боби сої та зерна гороху</w:t>
            </w:r>
          </w:p>
        </w:tc>
        <w:tc>
          <w:tcPr>
            <w:tcW w:w="3060" w:type="dxa"/>
            <w:vAlign w:val="center"/>
          </w:tcPr>
          <w:p w:rsidR="003F2351" w:rsidRDefault="003F2351" w:rsidP="00E525CF">
            <w:pPr>
              <w:spacing w:line="228" w:lineRule="auto"/>
              <w:rPr>
                <w:sz w:val="26"/>
                <w:lang w:val="uk-UA"/>
              </w:rPr>
            </w:pPr>
            <w:r>
              <w:rPr>
                <w:sz w:val="26"/>
                <w:lang w:val="uk-UA"/>
              </w:rPr>
              <w:t>1. Високоефективна</w:t>
            </w:r>
          </w:p>
          <w:p w:rsidR="003F2351" w:rsidRDefault="003F2351" w:rsidP="00E525CF">
            <w:pPr>
              <w:spacing w:line="228" w:lineRule="auto"/>
              <w:rPr>
                <w:sz w:val="26"/>
                <w:lang w:val="uk-UA"/>
              </w:rPr>
            </w:pPr>
            <w:r>
              <w:rPr>
                <w:sz w:val="26"/>
                <w:lang w:val="uk-UA"/>
              </w:rPr>
              <w:t>рідинна хроматографія;</w:t>
            </w:r>
          </w:p>
          <w:p w:rsidR="003F2351" w:rsidRDefault="003F2351" w:rsidP="00E525CF">
            <w:pPr>
              <w:spacing w:line="228" w:lineRule="auto"/>
              <w:rPr>
                <w:sz w:val="26"/>
                <w:lang w:val="uk-UA"/>
              </w:rPr>
            </w:pPr>
            <w:r>
              <w:rPr>
                <w:sz w:val="26"/>
                <w:lang w:val="uk-UA"/>
              </w:rPr>
              <w:t>2. Математичне модел</w:t>
            </w:r>
            <w:r>
              <w:rPr>
                <w:sz w:val="26"/>
                <w:lang w:val="uk-UA"/>
              </w:rPr>
              <w:t>ю</w:t>
            </w:r>
            <w:r>
              <w:rPr>
                <w:sz w:val="26"/>
                <w:lang w:val="uk-UA"/>
              </w:rPr>
              <w:t>вання</w:t>
            </w:r>
          </w:p>
        </w:tc>
        <w:tc>
          <w:tcPr>
            <w:tcW w:w="1000" w:type="dxa"/>
          </w:tcPr>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140</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8</w:t>
            </w:r>
          </w:p>
          <w:p w:rsidR="003F2351" w:rsidRDefault="003F2351" w:rsidP="00E525CF">
            <w:pPr>
              <w:spacing w:line="228" w:lineRule="auto"/>
              <w:jc w:val="center"/>
              <w:rPr>
                <w:sz w:val="26"/>
                <w:lang w:val="uk-UA"/>
              </w:rPr>
            </w:pPr>
            <w:r>
              <w:rPr>
                <w:sz w:val="26"/>
                <w:lang w:val="uk-UA"/>
              </w:rPr>
              <w:t>мас</w:t>
            </w:r>
            <w:r>
              <w:rPr>
                <w:sz w:val="26"/>
                <w:lang w:val="uk-UA"/>
              </w:rPr>
              <w:t>и</w:t>
            </w:r>
            <w:r>
              <w:rPr>
                <w:sz w:val="26"/>
                <w:lang w:val="uk-UA"/>
              </w:rPr>
              <w:t>вів</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5.</w:t>
            </w:r>
          </w:p>
        </w:tc>
        <w:tc>
          <w:tcPr>
            <w:tcW w:w="3060" w:type="dxa"/>
            <w:vAlign w:val="center"/>
          </w:tcPr>
          <w:p w:rsidR="003F2351" w:rsidRDefault="003F2351" w:rsidP="00E525CF">
            <w:pPr>
              <w:spacing w:line="228" w:lineRule="auto"/>
              <w:jc w:val="center"/>
              <w:rPr>
                <w:sz w:val="26"/>
                <w:lang w:val="uk-UA"/>
              </w:rPr>
            </w:pPr>
            <w:r>
              <w:rPr>
                <w:sz w:val="26"/>
                <w:lang w:val="uk-UA"/>
              </w:rPr>
              <w:t>Натурні експерименти з гігієнічної оцінки умов праці при заст</w:t>
            </w:r>
            <w:r>
              <w:rPr>
                <w:sz w:val="26"/>
                <w:lang w:val="uk-UA"/>
              </w:rPr>
              <w:t>о</w:t>
            </w:r>
            <w:r>
              <w:rPr>
                <w:sz w:val="26"/>
                <w:lang w:val="uk-UA"/>
              </w:rPr>
              <w:t>суванні гербіцидів на основі імазетапіру (3 серій)</w:t>
            </w:r>
          </w:p>
        </w:tc>
        <w:tc>
          <w:tcPr>
            <w:tcW w:w="1980" w:type="dxa"/>
            <w:vAlign w:val="center"/>
          </w:tcPr>
          <w:p w:rsidR="003F2351" w:rsidRDefault="003F2351" w:rsidP="00E525CF">
            <w:pPr>
              <w:spacing w:line="228" w:lineRule="auto"/>
              <w:jc w:val="center"/>
              <w:rPr>
                <w:sz w:val="26"/>
                <w:lang w:val="uk-UA"/>
              </w:rPr>
            </w:pPr>
            <w:r>
              <w:rPr>
                <w:sz w:val="26"/>
                <w:lang w:val="uk-UA"/>
              </w:rPr>
              <w:t>Півот, Патріот, ДТ-03, особи, що працюють з ними, повітря р</w:t>
            </w:r>
            <w:r>
              <w:rPr>
                <w:sz w:val="26"/>
                <w:lang w:val="uk-UA"/>
              </w:rPr>
              <w:t>о</w:t>
            </w:r>
            <w:r>
              <w:rPr>
                <w:sz w:val="26"/>
                <w:lang w:val="uk-UA"/>
              </w:rPr>
              <w:t>бочої зони, атмосферне пов</w:t>
            </w:r>
            <w:r>
              <w:rPr>
                <w:sz w:val="26"/>
                <w:lang w:val="uk-UA"/>
              </w:rPr>
              <w:t>і</w:t>
            </w:r>
            <w:r>
              <w:rPr>
                <w:sz w:val="26"/>
                <w:lang w:val="uk-UA"/>
              </w:rPr>
              <w:t xml:space="preserve">тря, нашивки на спецодязі, змиви зі шкіри </w:t>
            </w:r>
          </w:p>
        </w:tc>
        <w:tc>
          <w:tcPr>
            <w:tcW w:w="3060" w:type="dxa"/>
            <w:vAlign w:val="center"/>
          </w:tcPr>
          <w:p w:rsidR="003F2351" w:rsidRDefault="003F2351" w:rsidP="00E525CF">
            <w:pPr>
              <w:spacing w:line="228" w:lineRule="auto"/>
              <w:rPr>
                <w:sz w:val="26"/>
                <w:lang w:val="uk-UA"/>
              </w:rPr>
            </w:pPr>
            <w:r>
              <w:rPr>
                <w:sz w:val="26"/>
                <w:lang w:val="uk-UA"/>
              </w:rPr>
              <w:t>1. Фізичні: температура повітря, вологість, атмо</w:t>
            </w:r>
            <w:r>
              <w:rPr>
                <w:sz w:val="26"/>
                <w:lang w:val="uk-UA"/>
              </w:rPr>
              <w:t>с</w:t>
            </w:r>
            <w:r>
              <w:rPr>
                <w:sz w:val="26"/>
                <w:lang w:val="uk-UA"/>
              </w:rPr>
              <w:t>ферний тиск, швидкість руху повітря</w:t>
            </w:r>
          </w:p>
          <w:p w:rsidR="003F2351" w:rsidRDefault="003F2351" w:rsidP="00E525CF">
            <w:pPr>
              <w:spacing w:line="228" w:lineRule="auto"/>
              <w:rPr>
                <w:sz w:val="26"/>
                <w:lang w:val="uk-UA"/>
              </w:rPr>
            </w:pPr>
            <w:r>
              <w:rPr>
                <w:sz w:val="26"/>
                <w:lang w:val="uk-UA"/>
              </w:rPr>
              <w:t>2. Клініко-діагностичні: температура тіла, частота пульсу, артеріальний тиск 3. Високоефективна</w:t>
            </w:r>
          </w:p>
          <w:p w:rsidR="003F2351" w:rsidRDefault="003F2351" w:rsidP="00E525CF">
            <w:pPr>
              <w:spacing w:line="228" w:lineRule="auto"/>
              <w:rPr>
                <w:sz w:val="26"/>
                <w:lang w:val="uk-UA"/>
              </w:rPr>
            </w:pPr>
            <w:r>
              <w:rPr>
                <w:sz w:val="26"/>
                <w:lang w:val="uk-UA"/>
              </w:rPr>
              <w:t>рідинна хроматографія</w:t>
            </w:r>
          </w:p>
        </w:tc>
        <w:tc>
          <w:tcPr>
            <w:tcW w:w="1000" w:type="dxa"/>
            <w:vAlign w:val="center"/>
          </w:tcPr>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36</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36</w:t>
            </w:r>
          </w:p>
          <w:p w:rsidR="003F2351" w:rsidRDefault="003F2351" w:rsidP="00E525CF">
            <w:pPr>
              <w:spacing w:line="228" w:lineRule="auto"/>
              <w:jc w:val="center"/>
              <w:rPr>
                <w:sz w:val="26"/>
                <w:lang w:val="uk-UA"/>
              </w:rPr>
            </w:pPr>
            <w:r>
              <w:rPr>
                <w:sz w:val="26"/>
                <w:lang w:val="uk-UA"/>
              </w:rPr>
              <w:t>156</w:t>
            </w:r>
          </w:p>
        </w:tc>
      </w:tr>
      <w:tr w:rsidR="003F2351" w:rsidTr="00E525CF">
        <w:tblPrEx>
          <w:tblCellMar>
            <w:top w:w="0" w:type="dxa"/>
            <w:bottom w:w="0" w:type="dxa"/>
          </w:tblCellMar>
        </w:tblPrEx>
        <w:tc>
          <w:tcPr>
            <w:tcW w:w="568" w:type="dxa"/>
            <w:vAlign w:val="center"/>
          </w:tcPr>
          <w:p w:rsidR="003F2351" w:rsidRDefault="003F2351" w:rsidP="00E525CF">
            <w:pPr>
              <w:spacing w:line="228" w:lineRule="auto"/>
              <w:jc w:val="center"/>
              <w:rPr>
                <w:sz w:val="26"/>
                <w:lang w:val="uk-UA"/>
              </w:rPr>
            </w:pPr>
            <w:r>
              <w:rPr>
                <w:sz w:val="26"/>
                <w:lang w:val="uk-UA"/>
              </w:rPr>
              <w:t>6.</w:t>
            </w:r>
          </w:p>
        </w:tc>
        <w:tc>
          <w:tcPr>
            <w:tcW w:w="3060" w:type="dxa"/>
            <w:vAlign w:val="center"/>
          </w:tcPr>
          <w:p w:rsidR="003F2351" w:rsidRDefault="003F2351" w:rsidP="00E525CF">
            <w:pPr>
              <w:spacing w:line="228" w:lineRule="auto"/>
              <w:jc w:val="center"/>
              <w:rPr>
                <w:sz w:val="26"/>
                <w:lang w:val="uk-UA"/>
              </w:rPr>
            </w:pPr>
            <w:r>
              <w:rPr>
                <w:sz w:val="26"/>
                <w:lang w:val="uk-UA"/>
              </w:rPr>
              <w:t>Аналіз та статистична обробка одержаних р</w:t>
            </w:r>
            <w:r>
              <w:rPr>
                <w:sz w:val="26"/>
                <w:lang w:val="uk-UA"/>
              </w:rPr>
              <w:t>е</w:t>
            </w:r>
            <w:r>
              <w:rPr>
                <w:sz w:val="26"/>
                <w:lang w:val="uk-UA"/>
              </w:rPr>
              <w:t xml:space="preserve">зультатів </w:t>
            </w:r>
          </w:p>
        </w:tc>
        <w:tc>
          <w:tcPr>
            <w:tcW w:w="1980" w:type="dxa"/>
            <w:vAlign w:val="center"/>
          </w:tcPr>
          <w:p w:rsidR="003F2351" w:rsidRDefault="003F2351" w:rsidP="00E525CF">
            <w:pPr>
              <w:spacing w:line="228" w:lineRule="auto"/>
              <w:jc w:val="center"/>
              <w:rPr>
                <w:sz w:val="26"/>
                <w:lang w:val="uk-UA"/>
              </w:rPr>
            </w:pPr>
            <w:r>
              <w:rPr>
                <w:sz w:val="26"/>
                <w:lang w:val="uk-UA"/>
              </w:rPr>
              <w:t>Цифрові масиви</w:t>
            </w:r>
          </w:p>
        </w:tc>
        <w:tc>
          <w:tcPr>
            <w:tcW w:w="3060" w:type="dxa"/>
            <w:vAlign w:val="center"/>
          </w:tcPr>
          <w:p w:rsidR="003F2351" w:rsidRDefault="003F2351" w:rsidP="00E525CF">
            <w:pPr>
              <w:spacing w:line="228" w:lineRule="auto"/>
              <w:rPr>
                <w:sz w:val="26"/>
                <w:lang w:val="uk-UA"/>
              </w:rPr>
            </w:pPr>
            <w:r>
              <w:rPr>
                <w:sz w:val="26"/>
                <w:lang w:val="uk-UA"/>
              </w:rPr>
              <w:t>1. Варіаційна статистика;</w:t>
            </w:r>
          </w:p>
          <w:p w:rsidR="003F2351" w:rsidRDefault="003F2351" w:rsidP="00E525CF">
            <w:pPr>
              <w:spacing w:line="228" w:lineRule="auto"/>
              <w:rPr>
                <w:sz w:val="26"/>
                <w:lang w:val="uk-UA"/>
              </w:rPr>
            </w:pPr>
            <w:r>
              <w:rPr>
                <w:sz w:val="26"/>
                <w:lang w:val="uk-UA"/>
              </w:rPr>
              <w:t>2. Оцінка достовірності розходжень за t-критерієм Стьюдента;</w:t>
            </w:r>
          </w:p>
          <w:p w:rsidR="003F2351" w:rsidRDefault="003F2351" w:rsidP="00E525CF">
            <w:pPr>
              <w:spacing w:line="228" w:lineRule="auto"/>
              <w:rPr>
                <w:sz w:val="26"/>
                <w:lang w:val="uk-UA"/>
              </w:rPr>
            </w:pPr>
            <w:r>
              <w:rPr>
                <w:sz w:val="26"/>
                <w:lang w:val="uk-UA"/>
              </w:rPr>
              <w:t>3. Кореляційний та регр</w:t>
            </w:r>
            <w:r>
              <w:rPr>
                <w:sz w:val="26"/>
                <w:lang w:val="uk-UA"/>
              </w:rPr>
              <w:t>е</w:t>
            </w:r>
            <w:r>
              <w:rPr>
                <w:sz w:val="26"/>
                <w:lang w:val="uk-UA"/>
              </w:rPr>
              <w:t>сійний аналізи</w:t>
            </w:r>
          </w:p>
        </w:tc>
        <w:tc>
          <w:tcPr>
            <w:tcW w:w="1000" w:type="dxa"/>
          </w:tcPr>
          <w:p w:rsidR="003F2351" w:rsidRDefault="003F2351" w:rsidP="00E525CF">
            <w:pPr>
              <w:spacing w:line="228" w:lineRule="auto"/>
              <w:jc w:val="center"/>
              <w:rPr>
                <w:sz w:val="26"/>
                <w:lang w:val="uk-UA"/>
              </w:rPr>
            </w:pPr>
            <w:r>
              <w:rPr>
                <w:sz w:val="26"/>
                <w:lang w:val="uk-UA"/>
              </w:rPr>
              <w:t>2667</w:t>
            </w: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p>
          <w:p w:rsidR="003F2351" w:rsidRDefault="003F2351" w:rsidP="00E525CF">
            <w:pPr>
              <w:spacing w:line="228" w:lineRule="auto"/>
              <w:jc w:val="center"/>
              <w:rPr>
                <w:sz w:val="26"/>
                <w:lang w:val="uk-UA"/>
              </w:rPr>
            </w:pPr>
            <w:r>
              <w:rPr>
                <w:sz w:val="26"/>
                <w:lang w:val="uk-UA"/>
              </w:rPr>
              <w:t>57</w:t>
            </w:r>
          </w:p>
          <w:p w:rsidR="003F2351" w:rsidRDefault="003F2351" w:rsidP="00E525CF">
            <w:pPr>
              <w:spacing w:line="228" w:lineRule="auto"/>
              <w:jc w:val="center"/>
              <w:rPr>
                <w:sz w:val="26"/>
                <w:lang w:val="uk-UA"/>
              </w:rPr>
            </w:pPr>
            <w:r>
              <w:rPr>
                <w:sz w:val="26"/>
                <w:lang w:val="uk-UA"/>
              </w:rPr>
              <w:t>9</w:t>
            </w:r>
          </w:p>
          <w:p w:rsidR="003F2351" w:rsidRDefault="003F2351" w:rsidP="00E525CF">
            <w:pPr>
              <w:spacing w:line="228" w:lineRule="auto"/>
              <w:jc w:val="center"/>
              <w:rPr>
                <w:sz w:val="26"/>
                <w:lang w:val="uk-UA"/>
              </w:rPr>
            </w:pPr>
            <w:r>
              <w:rPr>
                <w:sz w:val="26"/>
                <w:lang w:val="uk-UA"/>
              </w:rPr>
              <w:t>мас</w:t>
            </w:r>
            <w:r>
              <w:rPr>
                <w:sz w:val="26"/>
                <w:lang w:val="uk-UA"/>
              </w:rPr>
              <w:t>и</w:t>
            </w:r>
            <w:r>
              <w:rPr>
                <w:sz w:val="26"/>
                <w:lang w:val="uk-UA"/>
              </w:rPr>
              <w:t>вів</w:t>
            </w:r>
          </w:p>
        </w:tc>
      </w:tr>
    </w:tbl>
    <w:p w:rsidR="003F2351" w:rsidRDefault="003F2351" w:rsidP="003F2351">
      <w:pPr>
        <w:pStyle w:val="affffffff"/>
        <w:jc w:val="both"/>
        <w:rPr>
          <w:sz w:val="28"/>
        </w:rPr>
      </w:pPr>
      <w:r>
        <w:rPr>
          <w:i/>
        </w:rPr>
        <w:br w:type="page"/>
      </w:r>
      <w:r>
        <w:rPr>
          <w:sz w:val="28"/>
        </w:rPr>
        <w:lastRenderedPageBreak/>
        <w:t>між досліджуваними речовинами немає. Незалежно від фірми – виробника імазетапір і препарати на його основі за гострою то</w:t>
      </w:r>
      <w:r>
        <w:rPr>
          <w:sz w:val="28"/>
        </w:rPr>
        <w:t>к</w:t>
      </w:r>
      <w:r>
        <w:rPr>
          <w:sz w:val="28"/>
        </w:rPr>
        <w:t>сичністю при пероральному та крізьшкірному надходженні в організм є мало або помірно н</w:t>
      </w:r>
      <w:r>
        <w:rPr>
          <w:sz w:val="28"/>
        </w:rPr>
        <w:t>е</w:t>
      </w:r>
      <w:r>
        <w:rPr>
          <w:sz w:val="28"/>
        </w:rPr>
        <w:t>безпечними, шкіру та слизові оболонки ока не подразнюють, або подразнюють слабко, не володіють алергенною дією. Віддалені біологічні ефекти дії не є ліміт</w:t>
      </w:r>
      <w:r>
        <w:rPr>
          <w:sz w:val="28"/>
        </w:rPr>
        <w:t>у</w:t>
      </w:r>
      <w:r>
        <w:rPr>
          <w:sz w:val="28"/>
        </w:rPr>
        <w:t>ючим критерієм при оцінці небезпечності імазетапіру та обґрунтуванні допустимої добової дози для людини. Інтегральний клас небезпечності імазетапіру та препаратів на його основі – ІІ, встановл</w:t>
      </w:r>
      <w:r>
        <w:rPr>
          <w:sz w:val="28"/>
        </w:rPr>
        <w:t>е</w:t>
      </w:r>
      <w:r>
        <w:rPr>
          <w:sz w:val="28"/>
        </w:rPr>
        <w:t>ний за лімітуючим критерієм – гострою інгаляційною токси</w:t>
      </w:r>
      <w:r>
        <w:rPr>
          <w:sz w:val="28"/>
        </w:rPr>
        <w:t>ч</w:t>
      </w:r>
      <w:r>
        <w:rPr>
          <w:sz w:val="28"/>
        </w:rPr>
        <w:t>ністю.</w:t>
      </w:r>
    </w:p>
    <w:p w:rsidR="003F2351" w:rsidRDefault="003F2351" w:rsidP="003F2351">
      <w:pPr>
        <w:pStyle w:val="affffffff"/>
        <w:ind w:firstLine="709"/>
        <w:jc w:val="both"/>
        <w:rPr>
          <w:sz w:val="28"/>
        </w:rPr>
      </w:pPr>
      <w:r>
        <w:rPr>
          <w:b w:val="0"/>
          <w:sz w:val="28"/>
        </w:rPr>
        <w:t xml:space="preserve">Розробка хроматографічних методів визначення імазетапіру в об’єктах навколишнього середовища. </w:t>
      </w:r>
      <w:r>
        <w:rPr>
          <w:sz w:val="28"/>
        </w:rPr>
        <w:t>Розроблено оптимальні умови екстракції, очищення та концентр</w:t>
      </w:r>
      <w:r>
        <w:rPr>
          <w:sz w:val="28"/>
        </w:rPr>
        <w:t>у</w:t>
      </w:r>
      <w:r>
        <w:rPr>
          <w:sz w:val="28"/>
        </w:rPr>
        <w:t>вання імазетапіру з об’єктів навколишнього середовища з урахуванням пол</w:t>
      </w:r>
      <w:r>
        <w:rPr>
          <w:sz w:val="28"/>
        </w:rPr>
        <w:t>я</w:t>
      </w:r>
      <w:r>
        <w:rPr>
          <w:sz w:val="28"/>
        </w:rPr>
        <w:t>рності сполуки. Встановлено, що найзручнішим методом хроматографічного визн</w:t>
      </w:r>
      <w:r>
        <w:rPr>
          <w:sz w:val="28"/>
        </w:rPr>
        <w:t>а</w:t>
      </w:r>
      <w:r>
        <w:rPr>
          <w:sz w:val="28"/>
        </w:rPr>
        <w:t>чення імазетапіру, враховуючи його полярність та розчинність, є метод ВЕРХ, який дозволяє уникнути дериватизації, яка потрібна для визначення досл</w:t>
      </w:r>
      <w:r>
        <w:rPr>
          <w:sz w:val="28"/>
        </w:rPr>
        <w:t>і</w:t>
      </w:r>
      <w:r>
        <w:rPr>
          <w:sz w:val="28"/>
        </w:rPr>
        <w:t>джуваної речовини методом газорідинної хроматографії. В умовах ВЕРХ імазетапір ефективно визначається з ультрафіолетовим детектором при 254 нм, на сталевій колонці 250х4,6 мм, заповнений нерухомою фазою Нуклеосил С</w:t>
      </w:r>
      <w:r>
        <w:rPr>
          <w:sz w:val="28"/>
          <w:vertAlign w:val="subscript"/>
        </w:rPr>
        <w:t>18</w:t>
      </w:r>
      <w:r>
        <w:rPr>
          <w:sz w:val="28"/>
        </w:rPr>
        <w:t xml:space="preserve"> при кімнатній температурі. Найоптимальнішою є рухома фаза ацетонітрил – 0,02 % розчин ортофосфорной кисл</w:t>
      </w:r>
      <w:r>
        <w:rPr>
          <w:sz w:val="28"/>
        </w:rPr>
        <w:t>о</w:t>
      </w:r>
      <w:r>
        <w:rPr>
          <w:sz w:val="28"/>
        </w:rPr>
        <w:t>ти (4,5 + 4 за об’ємом) при швидкості 0,5 мл/хв. За цих умов час утримання імазетапіру становить 6,3 – 6,4 хвилини, мінімальна кількість речовини, що детектується – 10 нг, лінійний діапазон детектування 10–100 нг.</w:t>
      </w:r>
    </w:p>
    <w:p w:rsidR="003F2351" w:rsidRDefault="003F2351" w:rsidP="003F2351">
      <w:pPr>
        <w:pStyle w:val="afffffffa"/>
        <w:ind w:firstLine="709"/>
        <w:jc w:val="both"/>
        <w:rPr>
          <w:spacing w:val="-8"/>
        </w:rPr>
      </w:pPr>
      <w:r>
        <w:t>Запропоновано методи кількісного визначення імазет</w:t>
      </w:r>
      <w:r>
        <w:t>а</w:t>
      </w:r>
      <w:r>
        <w:t>піру з використанням ВЕРХ є високочутливими і селективними, з межами визначення в повітрі робочої зони – 0,25 мг/м</w:t>
      </w:r>
      <w:r>
        <w:rPr>
          <w:vertAlign w:val="superscript"/>
        </w:rPr>
        <w:t>3</w:t>
      </w:r>
      <w:r>
        <w:t>, атмосферному повітрі – 0,03 мг/м</w:t>
      </w:r>
      <w:r>
        <w:rPr>
          <w:vertAlign w:val="superscript"/>
        </w:rPr>
        <w:t>3</w:t>
      </w:r>
      <w:r>
        <w:t>, воді – 0,005 мг/дм</w:t>
      </w:r>
      <w:r>
        <w:rPr>
          <w:vertAlign w:val="superscript"/>
        </w:rPr>
        <w:t>3</w:t>
      </w:r>
      <w:r>
        <w:t>, ґрунті – 0,03 мг/кг, зерні гороху – 0,1 мг/кг та б</w:t>
      </w:r>
      <w:r>
        <w:t>о</w:t>
      </w:r>
      <w:r>
        <w:t>бах сої – 0,25 мг/кг, які дозволяють контролювати гігієнічні нормативи імаз</w:t>
      </w:r>
      <w:r>
        <w:t>е</w:t>
      </w:r>
      <w:r>
        <w:t xml:space="preserve">тапіру в об’єктах довкілля. </w:t>
      </w:r>
      <w:r>
        <w:rPr>
          <w:spacing w:val="-8"/>
        </w:rPr>
        <w:t>Середнє значення визначення імазетапіру у всіх випадках було не м</w:t>
      </w:r>
      <w:r>
        <w:rPr>
          <w:spacing w:val="-8"/>
        </w:rPr>
        <w:t>е</w:t>
      </w:r>
      <w:r>
        <w:rPr>
          <w:spacing w:val="-8"/>
        </w:rPr>
        <w:t>нше 65 %, і в основному, більшим за 70 %.</w:t>
      </w:r>
    </w:p>
    <w:p w:rsidR="003F2351" w:rsidRDefault="003F2351" w:rsidP="003F2351">
      <w:pPr>
        <w:pStyle w:val="afffffffa"/>
        <w:ind w:firstLine="720"/>
        <w:jc w:val="both"/>
        <w:rPr>
          <w:spacing w:val="-6"/>
          <w:kern w:val="28"/>
        </w:rPr>
      </w:pPr>
      <w:r>
        <w:rPr>
          <w:b/>
        </w:rPr>
        <w:t>Встановлення закономірностей поведінки імазетапіру в си</w:t>
      </w:r>
      <w:r>
        <w:rPr>
          <w:b/>
        </w:rPr>
        <w:t>с</w:t>
      </w:r>
      <w:r>
        <w:rPr>
          <w:b/>
        </w:rPr>
        <w:t>темі “грунт – суміжні середов</w:t>
      </w:r>
      <w:r>
        <w:rPr>
          <w:b/>
        </w:rPr>
        <w:t>и</w:t>
      </w:r>
      <w:r>
        <w:rPr>
          <w:b/>
        </w:rPr>
        <w:t>ща”.</w:t>
      </w:r>
      <w:r>
        <w:t xml:space="preserve"> Встановлено, що імазетапір є надзвичайно рухомим в системі “грунт – ґрунтові в</w:t>
      </w:r>
      <w:r>
        <w:t>о</w:t>
      </w:r>
      <w:r>
        <w:t>ди” та мало рухомим в системі “грунт – атмосферне повітря”. Рівні міграції імазетапіру з ґрунту в обох випадках залежали від типу п</w:t>
      </w:r>
      <w:r>
        <w:t>о</w:t>
      </w:r>
      <w:r>
        <w:t>верхневого орного шару і вихідних концентрацій речовини. За однакових і</w:t>
      </w:r>
      <w:r>
        <w:t>н</w:t>
      </w:r>
      <w:r>
        <w:t>ших умов з модельний ґрунтовий еталон (МГЕ) імазетапір мігрував більшою мірою, ніж з чорнозему вил</w:t>
      </w:r>
      <w:r>
        <w:t>у</w:t>
      </w:r>
      <w:r>
        <w:t xml:space="preserve">гуваного (табл. 2). Рівні міграції підвищувались </w:t>
      </w:r>
      <w:r>
        <w:rPr>
          <w:spacing w:val="-6"/>
          <w:kern w:val="28"/>
        </w:rPr>
        <w:t>при збільшенні вихідних концентр</w:t>
      </w:r>
      <w:r>
        <w:rPr>
          <w:spacing w:val="-6"/>
          <w:kern w:val="28"/>
        </w:rPr>
        <w:t>а</w:t>
      </w:r>
      <w:r>
        <w:rPr>
          <w:spacing w:val="-6"/>
          <w:kern w:val="28"/>
        </w:rPr>
        <w:t>цій імазетапіру у поверхневому шарі ґр</w:t>
      </w:r>
      <w:r>
        <w:rPr>
          <w:spacing w:val="-6"/>
          <w:kern w:val="28"/>
        </w:rPr>
        <w:t>у</w:t>
      </w:r>
      <w:r>
        <w:rPr>
          <w:spacing w:val="-6"/>
          <w:kern w:val="28"/>
        </w:rPr>
        <w:t>нту.</w:t>
      </w:r>
    </w:p>
    <w:p w:rsidR="003F2351" w:rsidRDefault="003F2351" w:rsidP="003F2351">
      <w:pPr>
        <w:pStyle w:val="afffffffa"/>
        <w:ind w:firstLine="720"/>
        <w:jc w:val="both"/>
        <w:rPr>
          <w:spacing w:val="-6"/>
        </w:rPr>
      </w:pPr>
      <w:r>
        <w:rPr>
          <w:spacing w:val="-6"/>
        </w:rPr>
        <w:t>Порогова концентрація імазетапіру у ґрунті, при якій надходження у ґрунтові води не перевищує гранично-допустимої концентрації у воді вод</w:t>
      </w:r>
      <w:r>
        <w:rPr>
          <w:spacing w:val="-6"/>
        </w:rPr>
        <w:t>о</w:t>
      </w:r>
      <w:r>
        <w:rPr>
          <w:spacing w:val="-6"/>
        </w:rPr>
        <w:t>йм, становить 0,03 мг/кг. Тоді як порогова концентрація імазетапіру у ґр</w:t>
      </w:r>
      <w:r>
        <w:rPr>
          <w:spacing w:val="-6"/>
        </w:rPr>
        <w:t>у</w:t>
      </w:r>
      <w:r>
        <w:rPr>
          <w:spacing w:val="-6"/>
        </w:rPr>
        <w:t>нті за повітряно-міграційним показником шкідлив</w:t>
      </w:r>
      <w:r>
        <w:rPr>
          <w:spacing w:val="-6"/>
        </w:rPr>
        <w:t>о</w:t>
      </w:r>
      <w:r>
        <w:rPr>
          <w:spacing w:val="-6"/>
        </w:rPr>
        <w:t>сті перевищує 0,6 мг/кг.</w:t>
      </w:r>
    </w:p>
    <w:p w:rsidR="003F2351" w:rsidRDefault="003F2351" w:rsidP="003F2351">
      <w:pPr>
        <w:pStyle w:val="BodyText20"/>
        <w:ind w:firstLine="720"/>
        <w:rPr>
          <w:spacing w:val="-8"/>
        </w:rPr>
      </w:pPr>
      <w:r>
        <w:rPr>
          <w:spacing w:val="-8"/>
        </w:rPr>
        <w:t>П</w:t>
      </w:r>
      <w:r>
        <w:rPr>
          <w:rFonts w:ascii="Times New Roman CYR" w:hAnsi="Times New Roman CYR"/>
          <w:spacing w:val="-8"/>
        </w:rPr>
        <w:t>ри передпосівній обробці ґрунту гербіцидом в 1 і 5 максимальних н</w:t>
      </w:r>
      <w:r>
        <w:rPr>
          <w:rFonts w:ascii="Times New Roman CYR" w:hAnsi="Times New Roman CYR"/>
          <w:spacing w:val="-8"/>
        </w:rPr>
        <w:t>о</w:t>
      </w:r>
      <w:r>
        <w:rPr>
          <w:rFonts w:ascii="Times New Roman CYR" w:hAnsi="Times New Roman CYR"/>
          <w:spacing w:val="-8"/>
        </w:rPr>
        <w:t>рмах витрат не залежно від його типу транслокації гігієнічно значимих кіл</w:t>
      </w:r>
      <w:r>
        <w:rPr>
          <w:rFonts w:ascii="Times New Roman CYR" w:hAnsi="Times New Roman CYR"/>
          <w:spacing w:val="-8"/>
        </w:rPr>
        <w:t>ь</w:t>
      </w:r>
      <w:r>
        <w:rPr>
          <w:rFonts w:ascii="Times New Roman CYR" w:hAnsi="Times New Roman CYR"/>
          <w:spacing w:val="-8"/>
        </w:rPr>
        <w:t>костей імазетапіру в зелену масу рослин гороху (цільова культура), жита та салату (культури сівозміни) не виявлено, а порогова концентрація імазетап</w:t>
      </w:r>
      <w:r>
        <w:rPr>
          <w:rFonts w:ascii="Times New Roman CYR" w:hAnsi="Times New Roman CYR"/>
          <w:spacing w:val="-8"/>
        </w:rPr>
        <w:t>і</w:t>
      </w:r>
      <w:r>
        <w:rPr>
          <w:rFonts w:ascii="Times New Roman CYR" w:hAnsi="Times New Roman CYR"/>
          <w:spacing w:val="-8"/>
        </w:rPr>
        <w:t>ру у ґрунті за транслокаційним показником шкідливості пер</w:t>
      </w:r>
      <w:r>
        <w:rPr>
          <w:rFonts w:ascii="Times New Roman CYR" w:hAnsi="Times New Roman CYR"/>
          <w:spacing w:val="-8"/>
        </w:rPr>
        <w:t>е</w:t>
      </w:r>
      <w:r>
        <w:rPr>
          <w:rFonts w:ascii="Times New Roman CYR" w:hAnsi="Times New Roman CYR"/>
          <w:spacing w:val="-8"/>
        </w:rPr>
        <w:t>вищує 0,15 мг/кг.</w:t>
      </w:r>
    </w:p>
    <w:p w:rsidR="003F2351" w:rsidRDefault="003F2351" w:rsidP="003F2351">
      <w:pPr>
        <w:pStyle w:val="afffffffa"/>
        <w:ind w:firstLine="720"/>
        <w:jc w:val="right"/>
        <w:rPr>
          <w:i/>
        </w:rPr>
      </w:pPr>
      <w:r>
        <w:rPr>
          <w:i/>
        </w:rPr>
        <w:t>Таблиця 2</w:t>
      </w:r>
    </w:p>
    <w:p w:rsidR="003F2351" w:rsidRDefault="003F2351" w:rsidP="003F2351">
      <w:pPr>
        <w:pStyle w:val="20"/>
        <w:rPr>
          <w:lang w:val="uk-UA"/>
        </w:rPr>
      </w:pPr>
      <w:r>
        <w:rPr>
          <w:lang w:val="uk-UA"/>
        </w:rPr>
        <w:lastRenderedPageBreak/>
        <w:t>Баланс імазетапіру у системі «грунт – грунтові води»</w:t>
      </w:r>
    </w:p>
    <w:p w:rsidR="003F2351" w:rsidRDefault="003F2351" w:rsidP="003F2351">
      <w:pPr>
        <w:rPr>
          <w:sz w:val="1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1080"/>
        <w:gridCol w:w="1064"/>
        <w:gridCol w:w="1010"/>
        <w:gridCol w:w="986"/>
        <w:gridCol w:w="993"/>
        <w:gridCol w:w="992"/>
      </w:tblGrid>
      <w:tr w:rsidR="003F2351" w:rsidTr="00E525CF">
        <w:tblPrEx>
          <w:tblCellMar>
            <w:top w:w="0" w:type="dxa"/>
            <w:left w:w="0" w:type="dxa"/>
            <w:bottom w:w="0" w:type="dxa"/>
            <w:right w:w="0" w:type="dxa"/>
          </w:tblCellMar>
        </w:tblPrEx>
        <w:trPr>
          <w:cantSplit/>
        </w:trPr>
        <w:tc>
          <w:tcPr>
            <w:tcW w:w="3060" w:type="dxa"/>
            <w:vMerge w:val="restart"/>
            <w:shd w:val="clear" w:color="auto" w:fill="FFFFFF"/>
            <w:vAlign w:val="center"/>
          </w:tcPr>
          <w:p w:rsidR="003F2351" w:rsidRDefault="003F2351" w:rsidP="00E525CF">
            <w:pPr>
              <w:jc w:val="center"/>
              <w:rPr>
                <w:sz w:val="28"/>
                <w:lang w:val="uk-UA"/>
              </w:rPr>
            </w:pPr>
            <w:r>
              <w:rPr>
                <w:sz w:val="28"/>
                <w:lang w:val="uk-UA"/>
              </w:rPr>
              <w:t>Показник</w:t>
            </w:r>
          </w:p>
        </w:tc>
        <w:tc>
          <w:tcPr>
            <w:tcW w:w="6125" w:type="dxa"/>
            <w:gridSpan w:val="6"/>
            <w:vAlign w:val="center"/>
          </w:tcPr>
          <w:p w:rsidR="003F2351" w:rsidRDefault="003F2351" w:rsidP="00E525CF">
            <w:pPr>
              <w:jc w:val="center"/>
              <w:rPr>
                <w:sz w:val="28"/>
                <w:lang w:val="uk-UA"/>
              </w:rPr>
            </w:pPr>
            <w:r>
              <w:rPr>
                <w:sz w:val="28"/>
                <w:lang w:val="uk-UA"/>
              </w:rPr>
              <w:t xml:space="preserve">Тип грунту і вихідний вміст імазетапіру у його </w:t>
            </w:r>
          </w:p>
          <w:p w:rsidR="003F2351" w:rsidRDefault="003F2351" w:rsidP="00E525CF">
            <w:pPr>
              <w:jc w:val="center"/>
              <w:rPr>
                <w:sz w:val="28"/>
                <w:lang w:val="uk-UA"/>
              </w:rPr>
            </w:pPr>
            <w:r>
              <w:rPr>
                <w:sz w:val="28"/>
                <w:lang w:val="uk-UA"/>
              </w:rPr>
              <w:t>повер</w:t>
            </w:r>
            <w:r>
              <w:rPr>
                <w:sz w:val="28"/>
                <w:lang w:val="uk-UA"/>
              </w:rPr>
              <w:t>х</w:t>
            </w:r>
            <w:r>
              <w:rPr>
                <w:sz w:val="28"/>
                <w:lang w:val="uk-UA"/>
              </w:rPr>
              <w:t>невому (20 см) шарі (мг/кг)</w:t>
            </w:r>
          </w:p>
        </w:tc>
      </w:tr>
      <w:tr w:rsidR="003F2351" w:rsidTr="00E525CF">
        <w:tblPrEx>
          <w:tblCellMar>
            <w:top w:w="0" w:type="dxa"/>
            <w:left w:w="0" w:type="dxa"/>
            <w:bottom w:w="0" w:type="dxa"/>
            <w:right w:w="0" w:type="dxa"/>
          </w:tblCellMar>
        </w:tblPrEx>
        <w:trPr>
          <w:cantSplit/>
        </w:trPr>
        <w:tc>
          <w:tcPr>
            <w:tcW w:w="3060" w:type="dxa"/>
            <w:vMerge/>
            <w:vAlign w:val="center"/>
          </w:tcPr>
          <w:p w:rsidR="003F2351" w:rsidRDefault="003F2351" w:rsidP="00E525CF">
            <w:pPr>
              <w:jc w:val="center"/>
              <w:rPr>
                <w:sz w:val="28"/>
                <w:lang w:val="uk-UA"/>
              </w:rPr>
            </w:pPr>
          </w:p>
        </w:tc>
        <w:tc>
          <w:tcPr>
            <w:tcW w:w="3154" w:type="dxa"/>
            <w:gridSpan w:val="3"/>
            <w:vAlign w:val="center"/>
          </w:tcPr>
          <w:p w:rsidR="003F2351" w:rsidRDefault="003F2351" w:rsidP="00E525CF">
            <w:pPr>
              <w:jc w:val="center"/>
              <w:rPr>
                <w:sz w:val="28"/>
                <w:lang w:val="uk-UA"/>
              </w:rPr>
            </w:pPr>
            <w:r>
              <w:rPr>
                <w:sz w:val="28"/>
                <w:lang w:val="uk-UA"/>
              </w:rPr>
              <w:t>МГЕ № 1</w:t>
            </w:r>
          </w:p>
        </w:tc>
        <w:tc>
          <w:tcPr>
            <w:tcW w:w="2971" w:type="dxa"/>
            <w:gridSpan w:val="3"/>
            <w:vAlign w:val="center"/>
          </w:tcPr>
          <w:p w:rsidR="003F2351" w:rsidRDefault="003F2351" w:rsidP="00E525CF">
            <w:pPr>
              <w:jc w:val="center"/>
              <w:rPr>
                <w:sz w:val="28"/>
                <w:lang w:val="uk-UA"/>
              </w:rPr>
            </w:pPr>
            <w:r>
              <w:rPr>
                <w:sz w:val="28"/>
                <w:lang w:val="uk-UA"/>
              </w:rPr>
              <w:t xml:space="preserve">Чорнозем </w:t>
            </w:r>
          </w:p>
        </w:tc>
      </w:tr>
      <w:tr w:rsidR="003F2351" w:rsidTr="00E525CF">
        <w:tblPrEx>
          <w:tblCellMar>
            <w:top w:w="0" w:type="dxa"/>
            <w:left w:w="0" w:type="dxa"/>
            <w:bottom w:w="0" w:type="dxa"/>
            <w:right w:w="0" w:type="dxa"/>
          </w:tblCellMar>
        </w:tblPrEx>
        <w:trPr>
          <w:cantSplit/>
        </w:trPr>
        <w:tc>
          <w:tcPr>
            <w:tcW w:w="3060" w:type="dxa"/>
            <w:vMerge/>
            <w:tcBorders>
              <w:bottom w:val="single" w:sz="4" w:space="0" w:color="auto"/>
            </w:tcBorders>
            <w:vAlign w:val="center"/>
          </w:tcPr>
          <w:p w:rsidR="003F2351" w:rsidRDefault="003F2351" w:rsidP="00E525CF">
            <w:pPr>
              <w:jc w:val="center"/>
              <w:rPr>
                <w:sz w:val="28"/>
                <w:lang w:val="uk-UA"/>
              </w:rPr>
            </w:pPr>
          </w:p>
        </w:tc>
        <w:tc>
          <w:tcPr>
            <w:tcW w:w="1080" w:type="dxa"/>
            <w:tcBorders>
              <w:bottom w:val="single" w:sz="4" w:space="0" w:color="auto"/>
            </w:tcBorders>
            <w:vAlign w:val="center"/>
          </w:tcPr>
          <w:p w:rsidR="003F2351" w:rsidRDefault="003F2351" w:rsidP="00E525CF">
            <w:pPr>
              <w:jc w:val="center"/>
              <w:rPr>
                <w:sz w:val="28"/>
                <w:lang w:val="uk-UA"/>
              </w:rPr>
            </w:pPr>
            <w:r>
              <w:rPr>
                <w:sz w:val="28"/>
                <w:lang w:val="uk-UA"/>
              </w:rPr>
              <w:t>0,03</w:t>
            </w:r>
          </w:p>
        </w:tc>
        <w:tc>
          <w:tcPr>
            <w:tcW w:w="1064" w:type="dxa"/>
            <w:tcBorders>
              <w:bottom w:val="single" w:sz="4" w:space="0" w:color="auto"/>
            </w:tcBorders>
            <w:vAlign w:val="center"/>
          </w:tcPr>
          <w:p w:rsidR="003F2351" w:rsidRDefault="003F2351" w:rsidP="00E525CF">
            <w:pPr>
              <w:jc w:val="center"/>
              <w:rPr>
                <w:sz w:val="28"/>
                <w:lang w:val="uk-UA"/>
              </w:rPr>
            </w:pPr>
            <w:r>
              <w:rPr>
                <w:sz w:val="28"/>
                <w:lang w:val="uk-UA"/>
              </w:rPr>
              <w:t>0,15</w:t>
            </w:r>
          </w:p>
        </w:tc>
        <w:tc>
          <w:tcPr>
            <w:tcW w:w="1010" w:type="dxa"/>
            <w:tcBorders>
              <w:bottom w:val="single" w:sz="4" w:space="0" w:color="auto"/>
            </w:tcBorders>
            <w:vAlign w:val="center"/>
          </w:tcPr>
          <w:p w:rsidR="003F2351" w:rsidRDefault="003F2351" w:rsidP="00E525CF">
            <w:pPr>
              <w:jc w:val="center"/>
              <w:rPr>
                <w:sz w:val="28"/>
                <w:lang w:val="uk-UA"/>
              </w:rPr>
            </w:pPr>
            <w:r>
              <w:rPr>
                <w:sz w:val="28"/>
                <w:lang w:val="uk-UA"/>
              </w:rPr>
              <w:t>0,3</w:t>
            </w:r>
          </w:p>
        </w:tc>
        <w:tc>
          <w:tcPr>
            <w:tcW w:w="986" w:type="dxa"/>
            <w:tcBorders>
              <w:bottom w:val="single" w:sz="4" w:space="0" w:color="auto"/>
            </w:tcBorders>
            <w:vAlign w:val="center"/>
          </w:tcPr>
          <w:p w:rsidR="003F2351" w:rsidRDefault="003F2351" w:rsidP="00E525CF">
            <w:pPr>
              <w:jc w:val="center"/>
              <w:rPr>
                <w:sz w:val="28"/>
                <w:lang w:val="uk-UA"/>
              </w:rPr>
            </w:pPr>
            <w:r>
              <w:rPr>
                <w:sz w:val="28"/>
                <w:lang w:val="uk-UA"/>
              </w:rPr>
              <w:t>0,03</w:t>
            </w:r>
          </w:p>
        </w:tc>
        <w:tc>
          <w:tcPr>
            <w:tcW w:w="993" w:type="dxa"/>
            <w:tcBorders>
              <w:bottom w:val="single" w:sz="4" w:space="0" w:color="auto"/>
            </w:tcBorders>
            <w:vAlign w:val="center"/>
          </w:tcPr>
          <w:p w:rsidR="003F2351" w:rsidRDefault="003F2351" w:rsidP="00E525CF">
            <w:pPr>
              <w:jc w:val="center"/>
              <w:rPr>
                <w:sz w:val="28"/>
                <w:lang w:val="uk-UA"/>
              </w:rPr>
            </w:pPr>
            <w:r>
              <w:rPr>
                <w:sz w:val="28"/>
                <w:lang w:val="uk-UA"/>
              </w:rPr>
              <w:t>0,3</w:t>
            </w:r>
          </w:p>
        </w:tc>
        <w:tc>
          <w:tcPr>
            <w:tcW w:w="992" w:type="dxa"/>
            <w:tcBorders>
              <w:bottom w:val="single" w:sz="4" w:space="0" w:color="auto"/>
            </w:tcBorders>
            <w:vAlign w:val="center"/>
          </w:tcPr>
          <w:p w:rsidR="003F2351" w:rsidRDefault="003F2351" w:rsidP="00E525CF">
            <w:pPr>
              <w:jc w:val="center"/>
              <w:rPr>
                <w:sz w:val="28"/>
                <w:lang w:val="uk-UA"/>
              </w:rPr>
            </w:pPr>
            <w:r>
              <w:rPr>
                <w:sz w:val="28"/>
                <w:lang w:val="uk-UA"/>
              </w:rPr>
              <w:t>0,6</w:t>
            </w:r>
          </w:p>
        </w:tc>
      </w:tr>
      <w:tr w:rsidR="003F2351" w:rsidTr="00E525CF">
        <w:tblPrEx>
          <w:tblCellMar>
            <w:top w:w="0" w:type="dxa"/>
            <w:left w:w="0" w:type="dxa"/>
            <w:bottom w:w="0" w:type="dxa"/>
            <w:right w:w="0" w:type="dxa"/>
          </w:tblCellMar>
        </w:tblPrEx>
        <w:trPr>
          <w:cantSplit/>
        </w:trPr>
        <w:tc>
          <w:tcPr>
            <w:tcW w:w="3060" w:type="dxa"/>
            <w:tcBorders>
              <w:top w:val="single" w:sz="4" w:space="0" w:color="auto"/>
            </w:tcBorders>
            <w:shd w:val="clear" w:color="auto" w:fill="FFFFFF"/>
            <w:vAlign w:val="center"/>
          </w:tcPr>
          <w:p w:rsidR="003F2351" w:rsidRDefault="003F2351" w:rsidP="00E525CF">
            <w:pPr>
              <w:rPr>
                <w:sz w:val="28"/>
                <w:lang w:val="uk-UA"/>
              </w:rPr>
            </w:pPr>
            <w:r>
              <w:rPr>
                <w:sz w:val="28"/>
                <w:lang w:val="uk-UA"/>
              </w:rPr>
              <w:t>Внесено в колону, мг</w:t>
            </w:r>
          </w:p>
        </w:tc>
        <w:tc>
          <w:tcPr>
            <w:tcW w:w="1080" w:type="dxa"/>
            <w:tcBorders>
              <w:top w:val="nil"/>
            </w:tcBorders>
            <w:vAlign w:val="center"/>
          </w:tcPr>
          <w:p w:rsidR="003F2351" w:rsidRDefault="003F2351" w:rsidP="00E525CF">
            <w:pPr>
              <w:jc w:val="center"/>
              <w:rPr>
                <w:sz w:val="28"/>
                <w:lang w:val="uk-UA"/>
              </w:rPr>
            </w:pPr>
            <w:r>
              <w:rPr>
                <w:sz w:val="28"/>
                <w:lang w:val="uk-UA"/>
              </w:rPr>
              <w:t>1,6</w:t>
            </w:r>
          </w:p>
        </w:tc>
        <w:tc>
          <w:tcPr>
            <w:tcW w:w="1064" w:type="dxa"/>
            <w:tcBorders>
              <w:top w:val="nil"/>
            </w:tcBorders>
            <w:vAlign w:val="center"/>
          </w:tcPr>
          <w:p w:rsidR="003F2351" w:rsidRDefault="003F2351" w:rsidP="00E525CF">
            <w:pPr>
              <w:jc w:val="center"/>
              <w:rPr>
                <w:sz w:val="28"/>
                <w:lang w:val="uk-UA"/>
              </w:rPr>
            </w:pPr>
            <w:r>
              <w:rPr>
                <w:sz w:val="28"/>
                <w:lang w:val="uk-UA"/>
              </w:rPr>
              <w:t>8,0</w:t>
            </w:r>
          </w:p>
        </w:tc>
        <w:tc>
          <w:tcPr>
            <w:tcW w:w="1010" w:type="dxa"/>
            <w:tcBorders>
              <w:top w:val="nil"/>
            </w:tcBorders>
            <w:vAlign w:val="center"/>
          </w:tcPr>
          <w:p w:rsidR="003F2351" w:rsidRDefault="003F2351" w:rsidP="00E525CF">
            <w:pPr>
              <w:jc w:val="center"/>
              <w:rPr>
                <w:sz w:val="28"/>
                <w:lang w:val="uk-UA"/>
              </w:rPr>
            </w:pPr>
            <w:r>
              <w:rPr>
                <w:sz w:val="28"/>
                <w:lang w:val="uk-UA"/>
              </w:rPr>
              <w:t>16,0</w:t>
            </w:r>
          </w:p>
        </w:tc>
        <w:tc>
          <w:tcPr>
            <w:tcW w:w="986" w:type="dxa"/>
            <w:tcBorders>
              <w:top w:val="nil"/>
            </w:tcBorders>
            <w:vAlign w:val="center"/>
          </w:tcPr>
          <w:p w:rsidR="003F2351" w:rsidRDefault="003F2351" w:rsidP="00E525CF">
            <w:pPr>
              <w:jc w:val="center"/>
              <w:rPr>
                <w:sz w:val="28"/>
                <w:lang w:val="uk-UA"/>
              </w:rPr>
            </w:pPr>
            <w:r>
              <w:rPr>
                <w:sz w:val="28"/>
                <w:lang w:val="uk-UA"/>
              </w:rPr>
              <w:t>1,6</w:t>
            </w:r>
          </w:p>
        </w:tc>
        <w:tc>
          <w:tcPr>
            <w:tcW w:w="993" w:type="dxa"/>
            <w:tcBorders>
              <w:top w:val="nil"/>
            </w:tcBorders>
            <w:vAlign w:val="center"/>
          </w:tcPr>
          <w:p w:rsidR="003F2351" w:rsidRDefault="003F2351" w:rsidP="00E525CF">
            <w:pPr>
              <w:jc w:val="center"/>
              <w:rPr>
                <w:sz w:val="28"/>
                <w:lang w:val="uk-UA"/>
              </w:rPr>
            </w:pPr>
            <w:r>
              <w:rPr>
                <w:sz w:val="28"/>
                <w:lang w:val="uk-UA"/>
              </w:rPr>
              <w:t>16,0</w:t>
            </w:r>
          </w:p>
        </w:tc>
        <w:tc>
          <w:tcPr>
            <w:tcW w:w="992" w:type="dxa"/>
            <w:tcBorders>
              <w:top w:val="nil"/>
            </w:tcBorders>
            <w:vAlign w:val="center"/>
          </w:tcPr>
          <w:p w:rsidR="003F2351" w:rsidRDefault="003F2351" w:rsidP="00E525CF">
            <w:pPr>
              <w:jc w:val="center"/>
              <w:rPr>
                <w:sz w:val="28"/>
                <w:lang w:val="uk-UA"/>
              </w:rPr>
            </w:pPr>
            <w:r>
              <w:rPr>
                <w:sz w:val="28"/>
                <w:lang w:val="uk-UA"/>
              </w:rPr>
              <w:t>32,0</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rPr>
                <w:sz w:val="28"/>
                <w:lang w:val="uk-UA"/>
              </w:rPr>
            </w:pPr>
            <w:r>
              <w:rPr>
                <w:sz w:val="28"/>
                <w:lang w:val="uk-UA"/>
              </w:rPr>
              <w:t>Знайдено у філь</w:t>
            </w:r>
            <w:r>
              <w:rPr>
                <w:sz w:val="28"/>
                <w:lang w:val="uk-UA"/>
              </w:rPr>
              <w:t>т</w:t>
            </w:r>
            <w:r>
              <w:rPr>
                <w:sz w:val="28"/>
                <w:lang w:val="uk-UA"/>
              </w:rPr>
              <w:t>раті, мг</w:t>
            </w:r>
          </w:p>
        </w:tc>
        <w:tc>
          <w:tcPr>
            <w:tcW w:w="1080" w:type="dxa"/>
            <w:vAlign w:val="center"/>
          </w:tcPr>
          <w:p w:rsidR="003F2351" w:rsidRDefault="003F2351" w:rsidP="00E525CF">
            <w:pPr>
              <w:jc w:val="center"/>
              <w:rPr>
                <w:sz w:val="28"/>
                <w:lang w:val="uk-UA"/>
              </w:rPr>
            </w:pPr>
            <w:r>
              <w:rPr>
                <w:sz w:val="28"/>
                <w:lang w:val="uk-UA"/>
              </w:rPr>
              <w:t>0,20</w:t>
            </w:r>
          </w:p>
        </w:tc>
        <w:tc>
          <w:tcPr>
            <w:tcW w:w="1064" w:type="dxa"/>
            <w:vAlign w:val="center"/>
          </w:tcPr>
          <w:p w:rsidR="003F2351" w:rsidRDefault="003F2351" w:rsidP="00E525CF">
            <w:pPr>
              <w:jc w:val="center"/>
              <w:rPr>
                <w:sz w:val="28"/>
                <w:lang w:val="uk-UA"/>
              </w:rPr>
            </w:pPr>
            <w:r>
              <w:rPr>
                <w:sz w:val="28"/>
                <w:lang w:val="uk-UA"/>
              </w:rPr>
              <w:t>1,12</w:t>
            </w:r>
          </w:p>
        </w:tc>
        <w:tc>
          <w:tcPr>
            <w:tcW w:w="1010" w:type="dxa"/>
            <w:vAlign w:val="center"/>
          </w:tcPr>
          <w:p w:rsidR="003F2351" w:rsidRDefault="003F2351" w:rsidP="00E525CF">
            <w:pPr>
              <w:jc w:val="center"/>
              <w:rPr>
                <w:sz w:val="28"/>
                <w:lang w:val="uk-UA"/>
              </w:rPr>
            </w:pPr>
            <w:r>
              <w:rPr>
                <w:sz w:val="28"/>
                <w:lang w:val="uk-UA"/>
              </w:rPr>
              <w:t>9,5</w:t>
            </w:r>
          </w:p>
        </w:tc>
        <w:tc>
          <w:tcPr>
            <w:tcW w:w="986" w:type="dxa"/>
            <w:vAlign w:val="center"/>
          </w:tcPr>
          <w:p w:rsidR="003F2351" w:rsidRDefault="003F2351" w:rsidP="00E525CF">
            <w:pPr>
              <w:jc w:val="center"/>
              <w:rPr>
                <w:sz w:val="28"/>
                <w:lang w:val="uk-UA"/>
              </w:rPr>
            </w:pPr>
            <w:r>
              <w:rPr>
                <w:sz w:val="28"/>
                <w:lang w:val="uk-UA"/>
              </w:rPr>
              <w:t>0,10</w:t>
            </w:r>
          </w:p>
        </w:tc>
        <w:tc>
          <w:tcPr>
            <w:tcW w:w="993" w:type="dxa"/>
            <w:vAlign w:val="center"/>
          </w:tcPr>
          <w:p w:rsidR="003F2351" w:rsidRDefault="003F2351" w:rsidP="00E525CF">
            <w:pPr>
              <w:jc w:val="center"/>
              <w:rPr>
                <w:sz w:val="28"/>
                <w:lang w:val="uk-UA"/>
              </w:rPr>
            </w:pPr>
            <w:r>
              <w:rPr>
                <w:sz w:val="28"/>
                <w:lang w:val="uk-UA"/>
              </w:rPr>
              <w:t>7,34</w:t>
            </w:r>
          </w:p>
        </w:tc>
        <w:tc>
          <w:tcPr>
            <w:tcW w:w="992" w:type="dxa"/>
            <w:vAlign w:val="center"/>
          </w:tcPr>
          <w:p w:rsidR="003F2351" w:rsidRDefault="003F2351" w:rsidP="00E525CF">
            <w:pPr>
              <w:jc w:val="center"/>
              <w:rPr>
                <w:sz w:val="28"/>
                <w:lang w:val="uk-UA"/>
              </w:rPr>
            </w:pPr>
            <w:r>
              <w:rPr>
                <w:sz w:val="28"/>
                <w:lang w:val="uk-UA"/>
              </w:rPr>
              <w:t>19,37</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jc w:val="right"/>
              <w:rPr>
                <w:sz w:val="28"/>
                <w:lang w:val="uk-UA"/>
              </w:rPr>
            </w:pPr>
            <w:r>
              <w:rPr>
                <w:sz w:val="28"/>
                <w:lang w:val="uk-UA"/>
              </w:rPr>
              <w:t>% до внесеного в кол</w:t>
            </w:r>
            <w:r>
              <w:rPr>
                <w:sz w:val="28"/>
                <w:lang w:val="uk-UA"/>
              </w:rPr>
              <w:t>о</w:t>
            </w:r>
            <w:r>
              <w:rPr>
                <w:sz w:val="28"/>
                <w:lang w:val="uk-UA"/>
              </w:rPr>
              <w:t>ну</w:t>
            </w:r>
          </w:p>
        </w:tc>
        <w:tc>
          <w:tcPr>
            <w:tcW w:w="1080" w:type="dxa"/>
            <w:vAlign w:val="center"/>
          </w:tcPr>
          <w:p w:rsidR="003F2351" w:rsidRDefault="003F2351" w:rsidP="00E525CF">
            <w:pPr>
              <w:jc w:val="center"/>
              <w:rPr>
                <w:sz w:val="28"/>
                <w:lang w:val="uk-UA"/>
              </w:rPr>
            </w:pPr>
            <w:r>
              <w:rPr>
                <w:sz w:val="28"/>
                <w:lang w:val="uk-UA"/>
              </w:rPr>
              <w:t>12,50</w:t>
            </w:r>
          </w:p>
        </w:tc>
        <w:tc>
          <w:tcPr>
            <w:tcW w:w="1064" w:type="dxa"/>
            <w:vAlign w:val="center"/>
          </w:tcPr>
          <w:p w:rsidR="003F2351" w:rsidRDefault="003F2351" w:rsidP="00E525CF">
            <w:pPr>
              <w:jc w:val="center"/>
              <w:rPr>
                <w:sz w:val="28"/>
                <w:lang w:val="uk-UA"/>
              </w:rPr>
            </w:pPr>
            <w:r>
              <w:rPr>
                <w:sz w:val="28"/>
                <w:lang w:val="uk-UA"/>
              </w:rPr>
              <w:t>14,00</w:t>
            </w:r>
          </w:p>
        </w:tc>
        <w:tc>
          <w:tcPr>
            <w:tcW w:w="1010" w:type="dxa"/>
            <w:vAlign w:val="center"/>
          </w:tcPr>
          <w:p w:rsidR="003F2351" w:rsidRDefault="003F2351" w:rsidP="00E525CF">
            <w:pPr>
              <w:jc w:val="center"/>
              <w:rPr>
                <w:sz w:val="28"/>
                <w:lang w:val="uk-UA"/>
              </w:rPr>
            </w:pPr>
            <w:r>
              <w:rPr>
                <w:sz w:val="28"/>
                <w:lang w:val="uk-UA"/>
              </w:rPr>
              <w:t>59,38</w:t>
            </w:r>
          </w:p>
        </w:tc>
        <w:tc>
          <w:tcPr>
            <w:tcW w:w="986" w:type="dxa"/>
            <w:vAlign w:val="center"/>
          </w:tcPr>
          <w:p w:rsidR="003F2351" w:rsidRDefault="003F2351" w:rsidP="00E525CF">
            <w:pPr>
              <w:jc w:val="center"/>
              <w:rPr>
                <w:sz w:val="28"/>
                <w:lang w:val="uk-UA"/>
              </w:rPr>
            </w:pPr>
            <w:r>
              <w:rPr>
                <w:sz w:val="28"/>
                <w:lang w:val="uk-UA"/>
              </w:rPr>
              <w:t>6,25</w:t>
            </w:r>
          </w:p>
        </w:tc>
        <w:tc>
          <w:tcPr>
            <w:tcW w:w="993" w:type="dxa"/>
            <w:vAlign w:val="center"/>
          </w:tcPr>
          <w:p w:rsidR="003F2351" w:rsidRDefault="003F2351" w:rsidP="00E525CF">
            <w:pPr>
              <w:jc w:val="center"/>
              <w:rPr>
                <w:sz w:val="28"/>
                <w:lang w:val="uk-UA"/>
              </w:rPr>
            </w:pPr>
            <w:r>
              <w:rPr>
                <w:sz w:val="28"/>
                <w:lang w:val="uk-UA"/>
              </w:rPr>
              <w:t>45,88</w:t>
            </w:r>
          </w:p>
        </w:tc>
        <w:tc>
          <w:tcPr>
            <w:tcW w:w="992" w:type="dxa"/>
            <w:vAlign w:val="center"/>
          </w:tcPr>
          <w:p w:rsidR="003F2351" w:rsidRDefault="003F2351" w:rsidP="00E525CF">
            <w:pPr>
              <w:jc w:val="center"/>
              <w:rPr>
                <w:sz w:val="28"/>
                <w:lang w:val="uk-UA"/>
              </w:rPr>
            </w:pPr>
            <w:r>
              <w:rPr>
                <w:sz w:val="28"/>
                <w:lang w:val="uk-UA"/>
              </w:rPr>
              <w:t>60,53</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rPr>
                <w:sz w:val="28"/>
                <w:lang w:val="uk-UA"/>
              </w:rPr>
            </w:pPr>
            <w:r>
              <w:rPr>
                <w:sz w:val="28"/>
                <w:lang w:val="uk-UA"/>
              </w:rPr>
              <w:t>Знайдено у ґрунті, мг</w:t>
            </w:r>
          </w:p>
        </w:tc>
        <w:tc>
          <w:tcPr>
            <w:tcW w:w="1080" w:type="dxa"/>
            <w:vAlign w:val="center"/>
          </w:tcPr>
          <w:p w:rsidR="003F2351" w:rsidRDefault="003F2351" w:rsidP="00E525CF">
            <w:pPr>
              <w:jc w:val="center"/>
              <w:rPr>
                <w:sz w:val="28"/>
                <w:lang w:val="uk-UA"/>
              </w:rPr>
            </w:pPr>
            <w:r>
              <w:rPr>
                <w:sz w:val="28"/>
                <w:lang w:val="uk-UA"/>
              </w:rPr>
              <w:t>0,66</w:t>
            </w:r>
          </w:p>
        </w:tc>
        <w:tc>
          <w:tcPr>
            <w:tcW w:w="1064" w:type="dxa"/>
            <w:vAlign w:val="center"/>
          </w:tcPr>
          <w:p w:rsidR="003F2351" w:rsidRDefault="003F2351" w:rsidP="00E525CF">
            <w:pPr>
              <w:jc w:val="center"/>
              <w:rPr>
                <w:sz w:val="28"/>
                <w:lang w:val="uk-UA"/>
              </w:rPr>
            </w:pPr>
            <w:r>
              <w:rPr>
                <w:sz w:val="28"/>
                <w:lang w:val="uk-UA"/>
              </w:rPr>
              <w:t>4,32</w:t>
            </w:r>
          </w:p>
        </w:tc>
        <w:tc>
          <w:tcPr>
            <w:tcW w:w="1010" w:type="dxa"/>
            <w:vAlign w:val="center"/>
          </w:tcPr>
          <w:p w:rsidR="003F2351" w:rsidRDefault="003F2351" w:rsidP="00E525CF">
            <w:pPr>
              <w:jc w:val="center"/>
              <w:rPr>
                <w:sz w:val="28"/>
                <w:lang w:val="uk-UA"/>
              </w:rPr>
            </w:pPr>
            <w:r>
              <w:rPr>
                <w:sz w:val="28"/>
                <w:lang w:val="uk-UA"/>
              </w:rPr>
              <w:t>6,24</w:t>
            </w:r>
          </w:p>
        </w:tc>
        <w:tc>
          <w:tcPr>
            <w:tcW w:w="986" w:type="dxa"/>
            <w:vAlign w:val="center"/>
          </w:tcPr>
          <w:p w:rsidR="003F2351" w:rsidRDefault="003F2351" w:rsidP="00E525CF">
            <w:pPr>
              <w:jc w:val="center"/>
              <w:rPr>
                <w:sz w:val="28"/>
                <w:lang w:val="uk-UA"/>
              </w:rPr>
            </w:pPr>
            <w:r>
              <w:rPr>
                <w:sz w:val="28"/>
                <w:lang w:val="uk-UA"/>
              </w:rPr>
              <w:t>0,03</w:t>
            </w:r>
          </w:p>
        </w:tc>
        <w:tc>
          <w:tcPr>
            <w:tcW w:w="993" w:type="dxa"/>
            <w:vAlign w:val="center"/>
          </w:tcPr>
          <w:p w:rsidR="003F2351" w:rsidRDefault="003F2351" w:rsidP="00E525CF">
            <w:pPr>
              <w:jc w:val="center"/>
              <w:rPr>
                <w:sz w:val="28"/>
                <w:lang w:val="uk-UA"/>
              </w:rPr>
            </w:pPr>
            <w:r>
              <w:rPr>
                <w:sz w:val="28"/>
                <w:lang w:val="uk-UA"/>
              </w:rPr>
              <w:t>0,12</w:t>
            </w:r>
          </w:p>
        </w:tc>
        <w:tc>
          <w:tcPr>
            <w:tcW w:w="992" w:type="dxa"/>
            <w:vAlign w:val="center"/>
          </w:tcPr>
          <w:p w:rsidR="003F2351" w:rsidRDefault="003F2351" w:rsidP="00E525CF">
            <w:pPr>
              <w:jc w:val="center"/>
              <w:rPr>
                <w:sz w:val="28"/>
                <w:lang w:val="uk-UA"/>
              </w:rPr>
            </w:pPr>
            <w:r>
              <w:rPr>
                <w:sz w:val="28"/>
                <w:lang w:val="uk-UA"/>
              </w:rPr>
              <w:t>0,21</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jc w:val="right"/>
              <w:rPr>
                <w:sz w:val="28"/>
                <w:lang w:val="uk-UA"/>
              </w:rPr>
            </w:pPr>
            <w:r>
              <w:rPr>
                <w:sz w:val="28"/>
                <w:lang w:val="uk-UA"/>
              </w:rPr>
              <w:t>% до внесеного в кол</w:t>
            </w:r>
            <w:r>
              <w:rPr>
                <w:sz w:val="28"/>
                <w:lang w:val="uk-UA"/>
              </w:rPr>
              <w:t>о</w:t>
            </w:r>
            <w:r>
              <w:rPr>
                <w:sz w:val="28"/>
                <w:lang w:val="uk-UA"/>
              </w:rPr>
              <w:t>ну</w:t>
            </w:r>
          </w:p>
        </w:tc>
        <w:tc>
          <w:tcPr>
            <w:tcW w:w="1080" w:type="dxa"/>
            <w:vAlign w:val="center"/>
          </w:tcPr>
          <w:p w:rsidR="003F2351" w:rsidRDefault="003F2351" w:rsidP="00E525CF">
            <w:pPr>
              <w:jc w:val="center"/>
              <w:rPr>
                <w:sz w:val="28"/>
                <w:lang w:val="uk-UA"/>
              </w:rPr>
            </w:pPr>
            <w:r>
              <w:rPr>
                <w:sz w:val="28"/>
                <w:lang w:val="uk-UA"/>
              </w:rPr>
              <w:t>41,25</w:t>
            </w:r>
          </w:p>
        </w:tc>
        <w:tc>
          <w:tcPr>
            <w:tcW w:w="1064" w:type="dxa"/>
            <w:vAlign w:val="center"/>
          </w:tcPr>
          <w:p w:rsidR="003F2351" w:rsidRDefault="003F2351" w:rsidP="00E525CF">
            <w:pPr>
              <w:jc w:val="center"/>
              <w:rPr>
                <w:sz w:val="28"/>
                <w:lang w:val="uk-UA"/>
              </w:rPr>
            </w:pPr>
            <w:r>
              <w:rPr>
                <w:sz w:val="28"/>
                <w:lang w:val="uk-UA"/>
              </w:rPr>
              <w:t>54,00</w:t>
            </w:r>
          </w:p>
        </w:tc>
        <w:tc>
          <w:tcPr>
            <w:tcW w:w="1010" w:type="dxa"/>
            <w:vAlign w:val="center"/>
          </w:tcPr>
          <w:p w:rsidR="003F2351" w:rsidRDefault="003F2351" w:rsidP="00E525CF">
            <w:pPr>
              <w:jc w:val="center"/>
              <w:rPr>
                <w:sz w:val="28"/>
                <w:lang w:val="uk-UA"/>
              </w:rPr>
            </w:pPr>
            <w:r>
              <w:rPr>
                <w:sz w:val="28"/>
                <w:lang w:val="uk-UA"/>
              </w:rPr>
              <w:t>39,00</w:t>
            </w:r>
          </w:p>
        </w:tc>
        <w:tc>
          <w:tcPr>
            <w:tcW w:w="986" w:type="dxa"/>
            <w:vAlign w:val="center"/>
          </w:tcPr>
          <w:p w:rsidR="003F2351" w:rsidRDefault="003F2351" w:rsidP="00E525CF">
            <w:pPr>
              <w:jc w:val="center"/>
              <w:rPr>
                <w:sz w:val="28"/>
                <w:lang w:val="uk-UA"/>
              </w:rPr>
            </w:pPr>
            <w:r>
              <w:rPr>
                <w:sz w:val="28"/>
                <w:lang w:val="uk-UA"/>
              </w:rPr>
              <w:t>1,88</w:t>
            </w:r>
          </w:p>
        </w:tc>
        <w:tc>
          <w:tcPr>
            <w:tcW w:w="993" w:type="dxa"/>
            <w:vAlign w:val="center"/>
          </w:tcPr>
          <w:p w:rsidR="003F2351" w:rsidRDefault="003F2351" w:rsidP="00E525CF">
            <w:pPr>
              <w:jc w:val="center"/>
              <w:rPr>
                <w:sz w:val="28"/>
                <w:lang w:val="uk-UA"/>
              </w:rPr>
            </w:pPr>
            <w:r>
              <w:rPr>
                <w:sz w:val="28"/>
                <w:lang w:val="uk-UA"/>
              </w:rPr>
              <w:t>0,75</w:t>
            </w:r>
          </w:p>
        </w:tc>
        <w:tc>
          <w:tcPr>
            <w:tcW w:w="992" w:type="dxa"/>
            <w:vAlign w:val="center"/>
          </w:tcPr>
          <w:p w:rsidR="003F2351" w:rsidRDefault="003F2351" w:rsidP="00E525CF">
            <w:pPr>
              <w:jc w:val="center"/>
              <w:rPr>
                <w:sz w:val="28"/>
                <w:lang w:val="uk-UA"/>
              </w:rPr>
            </w:pPr>
            <w:r>
              <w:rPr>
                <w:sz w:val="28"/>
                <w:lang w:val="uk-UA"/>
              </w:rPr>
              <w:t>0,65</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rPr>
                <w:sz w:val="28"/>
                <w:lang w:val="uk-UA"/>
              </w:rPr>
            </w:pPr>
            <w:r>
              <w:rPr>
                <w:sz w:val="28"/>
                <w:lang w:val="uk-UA"/>
              </w:rPr>
              <w:sym w:font="Symbol" w:char="F053"/>
            </w:r>
            <w:r>
              <w:rPr>
                <w:sz w:val="28"/>
                <w:lang w:val="uk-UA"/>
              </w:rPr>
              <w:t xml:space="preserve"> знайдено, мг</w:t>
            </w:r>
          </w:p>
        </w:tc>
        <w:tc>
          <w:tcPr>
            <w:tcW w:w="1080" w:type="dxa"/>
            <w:vAlign w:val="center"/>
          </w:tcPr>
          <w:p w:rsidR="003F2351" w:rsidRDefault="003F2351" w:rsidP="00E525CF">
            <w:pPr>
              <w:jc w:val="center"/>
              <w:rPr>
                <w:sz w:val="28"/>
                <w:lang w:val="uk-UA"/>
              </w:rPr>
            </w:pPr>
            <w:r>
              <w:rPr>
                <w:sz w:val="28"/>
                <w:lang w:val="uk-UA"/>
              </w:rPr>
              <w:t>0,86</w:t>
            </w:r>
          </w:p>
        </w:tc>
        <w:tc>
          <w:tcPr>
            <w:tcW w:w="1064" w:type="dxa"/>
            <w:vAlign w:val="center"/>
          </w:tcPr>
          <w:p w:rsidR="003F2351" w:rsidRDefault="003F2351" w:rsidP="00E525CF">
            <w:pPr>
              <w:jc w:val="center"/>
              <w:rPr>
                <w:sz w:val="28"/>
                <w:lang w:val="uk-UA"/>
              </w:rPr>
            </w:pPr>
            <w:r>
              <w:rPr>
                <w:sz w:val="28"/>
                <w:lang w:val="uk-UA"/>
              </w:rPr>
              <w:t>5,44</w:t>
            </w:r>
          </w:p>
        </w:tc>
        <w:tc>
          <w:tcPr>
            <w:tcW w:w="1010" w:type="dxa"/>
            <w:vAlign w:val="center"/>
          </w:tcPr>
          <w:p w:rsidR="003F2351" w:rsidRDefault="003F2351" w:rsidP="00E525CF">
            <w:pPr>
              <w:jc w:val="center"/>
              <w:rPr>
                <w:sz w:val="28"/>
                <w:lang w:val="uk-UA"/>
              </w:rPr>
            </w:pPr>
            <w:r>
              <w:rPr>
                <w:sz w:val="28"/>
                <w:lang w:val="uk-UA"/>
              </w:rPr>
              <w:t>15,74</w:t>
            </w:r>
          </w:p>
        </w:tc>
        <w:tc>
          <w:tcPr>
            <w:tcW w:w="986" w:type="dxa"/>
            <w:vAlign w:val="center"/>
          </w:tcPr>
          <w:p w:rsidR="003F2351" w:rsidRDefault="003F2351" w:rsidP="00E525CF">
            <w:pPr>
              <w:jc w:val="center"/>
              <w:rPr>
                <w:sz w:val="28"/>
                <w:lang w:val="uk-UA"/>
              </w:rPr>
            </w:pPr>
            <w:r>
              <w:rPr>
                <w:sz w:val="28"/>
                <w:lang w:val="uk-UA"/>
              </w:rPr>
              <w:t>0,13</w:t>
            </w:r>
          </w:p>
        </w:tc>
        <w:tc>
          <w:tcPr>
            <w:tcW w:w="993" w:type="dxa"/>
            <w:vAlign w:val="center"/>
          </w:tcPr>
          <w:p w:rsidR="003F2351" w:rsidRDefault="003F2351" w:rsidP="00E525CF">
            <w:pPr>
              <w:jc w:val="center"/>
              <w:rPr>
                <w:sz w:val="28"/>
                <w:lang w:val="uk-UA"/>
              </w:rPr>
            </w:pPr>
            <w:r>
              <w:rPr>
                <w:sz w:val="28"/>
                <w:lang w:val="uk-UA"/>
              </w:rPr>
              <w:t>7,46</w:t>
            </w:r>
          </w:p>
        </w:tc>
        <w:tc>
          <w:tcPr>
            <w:tcW w:w="992" w:type="dxa"/>
            <w:vAlign w:val="center"/>
          </w:tcPr>
          <w:p w:rsidR="003F2351" w:rsidRDefault="003F2351" w:rsidP="00E525CF">
            <w:pPr>
              <w:jc w:val="center"/>
              <w:rPr>
                <w:sz w:val="28"/>
                <w:lang w:val="uk-UA"/>
              </w:rPr>
            </w:pPr>
            <w:r>
              <w:rPr>
                <w:sz w:val="28"/>
                <w:lang w:val="uk-UA"/>
              </w:rPr>
              <w:t>19,58</w:t>
            </w:r>
          </w:p>
        </w:tc>
      </w:tr>
      <w:tr w:rsidR="003F2351" w:rsidTr="00E525CF">
        <w:tblPrEx>
          <w:tblCellMar>
            <w:top w:w="0" w:type="dxa"/>
            <w:left w:w="0" w:type="dxa"/>
            <w:bottom w:w="0" w:type="dxa"/>
            <w:right w:w="0" w:type="dxa"/>
          </w:tblCellMar>
        </w:tblPrEx>
        <w:trPr>
          <w:cantSplit/>
        </w:trPr>
        <w:tc>
          <w:tcPr>
            <w:tcW w:w="3060" w:type="dxa"/>
            <w:shd w:val="clear" w:color="auto" w:fill="FFFFFF"/>
            <w:vAlign w:val="center"/>
          </w:tcPr>
          <w:p w:rsidR="003F2351" w:rsidRDefault="003F2351" w:rsidP="00E525CF">
            <w:pPr>
              <w:jc w:val="right"/>
              <w:rPr>
                <w:sz w:val="28"/>
                <w:lang w:val="uk-UA"/>
              </w:rPr>
            </w:pPr>
            <w:r>
              <w:rPr>
                <w:sz w:val="28"/>
                <w:lang w:val="uk-UA"/>
              </w:rPr>
              <w:t>% до внесеного в кол</w:t>
            </w:r>
            <w:r>
              <w:rPr>
                <w:sz w:val="28"/>
                <w:lang w:val="uk-UA"/>
              </w:rPr>
              <w:t>о</w:t>
            </w:r>
            <w:r>
              <w:rPr>
                <w:sz w:val="28"/>
                <w:lang w:val="uk-UA"/>
              </w:rPr>
              <w:t>ну</w:t>
            </w:r>
          </w:p>
        </w:tc>
        <w:tc>
          <w:tcPr>
            <w:tcW w:w="1080" w:type="dxa"/>
            <w:vAlign w:val="center"/>
          </w:tcPr>
          <w:p w:rsidR="003F2351" w:rsidRDefault="003F2351" w:rsidP="00E525CF">
            <w:pPr>
              <w:jc w:val="center"/>
              <w:rPr>
                <w:sz w:val="28"/>
                <w:lang w:val="uk-UA"/>
              </w:rPr>
            </w:pPr>
            <w:r>
              <w:rPr>
                <w:sz w:val="28"/>
                <w:lang w:val="uk-UA"/>
              </w:rPr>
              <w:t>53,75</w:t>
            </w:r>
          </w:p>
        </w:tc>
        <w:tc>
          <w:tcPr>
            <w:tcW w:w="1064" w:type="dxa"/>
            <w:vAlign w:val="center"/>
          </w:tcPr>
          <w:p w:rsidR="003F2351" w:rsidRDefault="003F2351" w:rsidP="00E525CF">
            <w:pPr>
              <w:jc w:val="center"/>
              <w:rPr>
                <w:sz w:val="28"/>
                <w:lang w:val="uk-UA"/>
              </w:rPr>
            </w:pPr>
            <w:r>
              <w:rPr>
                <w:sz w:val="28"/>
                <w:lang w:val="uk-UA"/>
              </w:rPr>
              <w:t>68,00</w:t>
            </w:r>
          </w:p>
        </w:tc>
        <w:tc>
          <w:tcPr>
            <w:tcW w:w="1010" w:type="dxa"/>
            <w:vAlign w:val="center"/>
          </w:tcPr>
          <w:p w:rsidR="003F2351" w:rsidRDefault="003F2351" w:rsidP="00E525CF">
            <w:pPr>
              <w:jc w:val="center"/>
              <w:rPr>
                <w:sz w:val="28"/>
                <w:lang w:val="uk-UA"/>
              </w:rPr>
            </w:pPr>
            <w:r>
              <w:rPr>
                <w:sz w:val="28"/>
                <w:lang w:val="uk-UA"/>
              </w:rPr>
              <w:t>98,38</w:t>
            </w:r>
          </w:p>
        </w:tc>
        <w:tc>
          <w:tcPr>
            <w:tcW w:w="986" w:type="dxa"/>
            <w:vAlign w:val="center"/>
          </w:tcPr>
          <w:p w:rsidR="003F2351" w:rsidRDefault="003F2351" w:rsidP="00E525CF">
            <w:pPr>
              <w:jc w:val="center"/>
              <w:rPr>
                <w:sz w:val="28"/>
                <w:lang w:val="uk-UA"/>
              </w:rPr>
            </w:pPr>
            <w:r>
              <w:rPr>
                <w:sz w:val="28"/>
                <w:lang w:val="uk-UA"/>
              </w:rPr>
              <w:t>8,13</w:t>
            </w:r>
          </w:p>
        </w:tc>
        <w:tc>
          <w:tcPr>
            <w:tcW w:w="993" w:type="dxa"/>
            <w:vAlign w:val="center"/>
          </w:tcPr>
          <w:p w:rsidR="003F2351" w:rsidRDefault="003F2351" w:rsidP="00E525CF">
            <w:pPr>
              <w:jc w:val="center"/>
              <w:rPr>
                <w:sz w:val="28"/>
                <w:lang w:val="uk-UA"/>
              </w:rPr>
            </w:pPr>
            <w:r>
              <w:rPr>
                <w:sz w:val="28"/>
                <w:lang w:val="uk-UA"/>
              </w:rPr>
              <w:t>46,63</w:t>
            </w:r>
          </w:p>
        </w:tc>
        <w:tc>
          <w:tcPr>
            <w:tcW w:w="992" w:type="dxa"/>
            <w:vAlign w:val="center"/>
          </w:tcPr>
          <w:p w:rsidR="003F2351" w:rsidRDefault="003F2351" w:rsidP="00E525CF">
            <w:pPr>
              <w:jc w:val="center"/>
              <w:rPr>
                <w:sz w:val="28"/>
                <w:lang w:val="uk-UA"/>
              </w:rPr>
            </w:pPr>
            <w:r>
              <w:rPr>
                <w:sz w:val="28"/>
                <w:lang w:val="uk-UA"/>
              </w:rPr>
              <w:t>61,18</w:t>
            </w:r>
          </w:p>
        </w:tc>
      </w:tr>
    </w:tbl>
    <w:p w:rsidR="003F2351" w:rsidRDefault="003F2351" w:rsidP="003F2351">
      <w:pPr>
        <w:ind w:firstLine="709"/>
        <w:jc w:val="both"/>
        <w:rPr>
          <w:sz w:val="28"/>
          <w:lang w:val="uk-UA"/>
        </w:rPr>
      </w:pPr>
    </w:p>
    <w:p w:rsidR="003F2351" w:rsidRDefault="003F2351" w:rsidP="003F2351">
      <w:pPr>
        <w:ind w:firstLine="709"/>
        <w:jc w:val="both"/>
        <w:rPr>
          <w:sz w:val="28"/>
          <w:lang w:val="uk-UA"/>
        </w:rPr>
      </w:pPr>
      <w:r>
        <w:rPr>
          <w:sz w:val="28"/>
          <w:lang w:val="uk-UA"/>
        </w:rPr>
        <w:t>Імазетапір у високих концентраціях, які відповідали 10 і 50 максимальним нормам витрат, пригнічував нітрифікуючу акти</w:t>
      </w:r>
      <w:r>
        <w:rPr>
          <w:sz w:val="28"/>
          <w:lang w:val="uk-UA"/>
        </w:rPr>
        <w:t>в</w:t>
      </w:r>
      <w:r>
        <w:rPr>
          <w:sz w:val="28"/>
          <w:lang w:val="uk-UA"/>
        </w:rPr>
        <w:t>ність ґрунту (рис. 1), ґрунтову сапрофітну мікр</w:t>
      </w:r>
      <w:r>
        <w:rPr>
          <w:sz w:val="28"/>
          <w:lang w:val="uk-UA"/>
        </w:rPr>
        <w:t>о</w:t>
      </w:r>
      <w:r>
        <w:rPr>
          <w:sz w:val="28"/>
          <w:lang w:val="uk-UA"/>
        </w:rPr>
        <w:t>флору та мікробне число, а також призводив до достовірних різноспрямованих змін фо</w:t>
      </w:r>
      <w:r>
        <w:rPr>
          <w:sz w:val="28"/>
          <w:lang w:val="uk-UA"/>
        </w:rPr>
        <w:t>с</w:t>
      </w:r>
      <w:r>
        <w:rPr>
          <w:sz w:val="28"/>
          <w:lang w:val="uk-UA"/>
        </w:rPr>
        <w:t>фатазної активності чорнозему вилугуваного.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040"/>
      </w:tblGrid>
      <w:tr w:rsidR="003F2351" w:rsidTr="00E525CF">
        <w:tblPrEx>
          <w:tblCellMar>
            <w:top w:w="0" w:type="dxa"/>
            <w:bottom w:w="0" w:type="dxa"/>
          </w:tblCellMar>
        </w:tblPrEx>
        <w:tc>
          <w:tcPr>
            <w:tcW w:w="4968" w:type="dxa"/>
            <w:tcBorders>
              <w:top w:val="nil"/>
              <w:left w:val="nil"/>
              <w:bottom w:val="nil"/>
              <w:right w:val="nil"/>
            </w:tcBorders>
          </w:tcPr>
          <w:p w:rsidR="003F2351" w:rsidRDefault="003F2351" w:rsidP="00E525CF">
            <w:pPr>
              <w:jc w:val="center"/>
              <w:rPr>
                <w:b/>
                <w:sz w:val="28"/>
                <w:lang w:val="uk-UA"/>
              </w:rPr>
            </w:pPr>
            <w:r>
              <w:rPr>
                <w:b/>
                <w:sz w:val="28"/>
                <w:lang w:val="uk-UA"/>
              </w:rPr>
              <w:t>А</w:t>
            </w:r>
          </w:p>
        </w:tc>
        <w:tc>
          <w:tcPr>
            <w:tcW w:w="5040" w:type="dxa"/>
            <w:tcBorders>
              <w:top w:val="nil"/>
              <w:left w:val="nil"/>
              <w:bottom w:val="nil"/>
              <w:right w:val="nil"/>
            </w:tcBorders>
          </w:tcPr>
          <w:p w:rsidR="003F2351" w:rsidRDefault="003F2351" w:rsidP="00E525CF">
            <w:pPr>
              <w:jc w:val="center"/>
              <w:rPr>
                <w:b/>
                <w:sz w:val="28"/>
                <w:lang w:val="uk-UA"/>
              </w:rPr>
            </w:pPr>
            <w:r>
              <w:rPr>
                <w:b/>
                <w:sz w:val="28"/>
                <w:lang w:val="uk-UA"/>
              </w:rPr>
              <w:t>Б</w:t>
            </w:r>
          </w:p>
        </w:tc>
      </w:tr>
      <w:tr w:rsidR="003F2351" w:rsidTr="00E525CF">
        <w:tblPrEx>
          <w:tblCellMar>
            <w:top w:w="0" w:type="dxa"/>
            <w:bottom w:w="0" w:type="dxa"/>
          </w:tblCellMar>
        </w:tblPrEx>
        <w:trPr>
          <w:trHeight w:val="4964"/>
        </w:trPr>
        <w:tc>
          <w:tcPr>
            <w:tcW w:w="4968" w:type="dxa"/>
            <w:tcBorders>
              <w:top w:val="nil"/>
              <w:left w:val="nil"/>
              <w:bottom w:val="nil"/>
              <w:right w:val="nil"/>
            </w:tcBorders>
          </w:tcPr>
          <w:p w:rsidR="003F2351" w:rsidRDefault="003F2351" w:rsidP="00E525CF">
            <w:pPr>
              <w:rPr>
                <w:lang w:val="uk-UA"/>
              </w:rPr>
            </w:pPr>
            <w:r>
              <w:rPr>
                <w:noProof/>
                <w:lang w:eastAsia="ru-RU"/>
              </w:rPr>
              <w:drawing>
                <wp:inline distT="0" distB="0" distL="0" distR="0">
                  <wp:extent cx="3089910" cy="3058795"/>
                  <wp:effectExtent l="0" t="0" r="0" b="0"/>
                  <wp:docPr id="467" name="Диаграмма 4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40" w:type="dxa"/>
            <w:tcBorders>
              <w:top w:val="nil"/>
              <w:left w:val="nil"/>
              <w:bottom w:val="nil"/>
              <w:right w:val="nil"/>
            </w:tcBorders>
          </w:tcPr>
          <w:p w:rsidR="003F2351" w:rsidRDefault="003F2351" w:rsidP="00E525CF">
            <w:pPr>
              <w:rPr>
                <w:lang w:val="uk-UA"/>
              </w:rPr>
            </w:pPr>
            <w:r>
              <w:rPr>
                <w:noProof/>
                <w:lang w:eastAsia="ru-RU"/>
              </w:rPr>
              <w:drawing>
                <wp:inline distT="0" distB="0" distL="0" distR="0">
                  <wp:extent cx="3168650" cy="3058795"/>
                  <wp:effectExtent l="0" t="0" r="0" b="0"/>
                  <wp:docPr id="466" name="Диаграмма 4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F2351" w:rsidTr="00E525CF">
        <w:tblPrEx>
          <w:tblCellMar>
            <w:top w:w="0" w:type="dxa"/>
            <w:bottom w:w="0" w:type="dxa"/>
          </w:tblCellMar>
        </w:tblPrEx>
        <w:tc>
          <w:tcPr>
            <w:tcW w:w="10008" w:type="dxa"/>
            <w:gridSpan w:val="2"/>
            <w:tcBorders>
              <w:top w:val="nil"/>
              <w:left w:val="nil"/>
              <w:bottom w:val="nil"/>
              <w:right w:val="nil"/>
            </w:tcBorders>
          </w:tcPr>
          <w:p w:rsidR="003F2351" w:rsidRDefault="003F2351" w:rsidP="00E525CF">
            <w:pPr>
              <w:jc w:val="center"/>
              <w:rPr>
                <w:lang w:val="uk-UA"/>
              </w:rPr>
            </w:pPr>
            <w:r>
              <w:rPr>
                <w:sz w:val="28"/>
                <w:lang w:val="uk-UA"/>
              </w:rPr>
              <w:t>Рис.1. Динаміка вмісту іонів амонію (А) та нітрат-іонів (Б) у чорноземі вилугуваному в залежності від вихідної концентрації імазетапіру</w:t>
            </w:r>
          </w:p>
        </w:tc>
      </w:tr>
    </w:tbl>
    <w:p w:rsidR="003F2351" w:rsidRDefault="003F2351" w:rsidP="003F2351">
      <w:pPr>
        <w:ind w:firstLine="709"/>
        <w:jc w:val="both"/>
        <w:rPr>
          <w:sz w:val="28"/>
          <w:lang w:val="uk-UA"/>
        </w:rPr>
      </w:pPr>
    </w:p>
    <w:p w:rsidR="003F2351" w:rsidRDefault="003F2351" w:rsidP="003F2351">
      <w:pPr>
        <w:ind w:firstLine="709"/>
        <w:jc w:val="both"/>
        <w:rPr>
          <w:sz w:val="28"/>
          <w:lang w:val="uk-UA"/>
        </w:rPr>
      </w:pPr>
      <w:r>
        <w:rPr>
          <w:sz w:val="28"/>
          <w:lang w:val="uk-UA"/>
        </w:rPr>
        <w:t>В зазначених концентраціях речовина різноспрямовано впл</w:t>
      </w:r>
      <w:r>
        <w:rPr>
          <w:sz w:val="28"/>
          <w:lang w:val="uk-UA"/>
        </w:rPr>
        <w:t>и</w:t>
      </w:r>
      <w:r>
        <w:rPr>
          <w:sz w:val="28"/>
          <w:lang w:val="uk-UA"/>
        </w:rPr>
        <w:t>вала на процес самоочищення чорнозему вилугуваного від с</w:t>
      </w:r>
      <w:r>
        <w:rPr>
          <w:sz w:val="28"/>
          <w:lang w:val="uk-UA"/>
        </w:rPr>
        <w:t>а</w:t>
      </w:r>
      <w:r>
        <w:rPr>
          <w:sz w:val="28"/>
          <w:lang w:val="uk-UA"/>
        </w:rPr>
        <w:t>нітарно-показових кишкових паличок штаму М 17: в концентрації 0,3 мг/кг – прискорювала відм</w:t>
      </w:r>
      <w:r>
        <w:rPr>
          <w:sz w:val="28"/>
          <w:lang w:val="uk-UA"/>
        </w:rPr>
        <w:t>и</w:t>
      </w:r>
      <w:r>
        <w:rPr>
          <w:sz w:val="28"/>
          <w:lang w:val="uk-UA"/>
        </w:rPr>
        <w:t>рання, а в концентрації 1,5 мг/кг – уповільнювала. У максимальній з випробуваних концентрацій імазетапір спричиняв підвище</w:t>
      </w:r>
      <w:r>
        <w:rPr>
          <w:sz w:val="28"/>
          <w:lang w:val="uk-UA"/>
        </w:rPr>
        <w:t>н</w:t>
      </w:r>
      <w:r>
        <w:rPr>
          <w:sz w:val="28"/>
          <w:lang w:val="uk-UA"/>
        </w:rPr>
        <w:t xml:space="preserve">ня активності каталази ґрунту у перші 5 днів спостереження. В той же час у вивченому </w:t>
      </w:r>
      <w:r>
        <w:rPr>
          <w:sz w:val="28"/>
          <w:lang w:val="uk-UA"/>
        </w:rPr>
        <w:lastRenderedPageBreak/>
        <w:t>діапазоні концентрацій імазетапір не впливав на протеолітичну активність ґру</w:t>
      </w:r>
      <w:r>
        <w:rPr>
          <w:sz w:val="28"/>
          <w:lang w:val="uk-UA"/>
        </w:rPr>
        <w:t>н</w:t>
      </w:r>
      <w:r>
        <w:rPr>
          <w:sz w:val="28"/>
          <w:lang w:val="uk-UA"/>
        </w:rPr>
        <w:t>ту.</w:t>
      </w:r>
    </w:p>
    <w:p w:rsidR="003F2351" w:rsidRDefault="003F2351" w:rsidP="003F2351">
      <w:pPr>
        <w:ind w:firstLine="709"/>
        <w:jc w:val="both"/>
        <w:rPr>
          <w:sz w:val="28"/>
          <w:lang w:val="uk-UA"/>
        </w:rPr>
      </w:pPr>
      <w:r>
        <w:rPr>
          <w:sz w:val="28"/>
          <w:lang w:val="uk-UA"/>
        </w:rPr>
        <w:t>З урахуванням результатів вивчення впливу імазетапіру на фермент</w:t>
      </w:r>
      <w:r>
        <w:rPr>
          <w:sz w:val="28"/>
          <w:lang w:val="uk-UA"/>
        </w:rPr>
        <w:t>а</w:t>
      </w:r>
      <w:r>
        <w:rPr>
          <w:sz w:val="28"/>
          <w:lang w:val="uk-UA"/>
        </w:rPr>
        <w:t>тивну активність, чисельність сапрофітної мікрофлори та процеси самооч</w:t>
      </w:r>
      <w:r>
        <w:rPr>
          <w:sz w:val="28"/>
          <w:lang w:val="uk-UA"/>
        </w:rPr>
        <w:t>и</w:t>
      </w:r>
      <w:r>
        <w:rPr>
          <w:sz w:val="28"/>
          <w:lang w:val="uk-UA"/>
        </w:rPr>
        <w:t>щення чорнозему вилугуваного від санітарно-показових мікроорганізмів у якості граничної концентрації за загально-санітарним показником шкідлив</w:t>
      </w:r>
      <w:r>
        <w:rPr>
          <w:sz w:val="28"/>
          <w:lang w:val="uk-UA"/>
        </w:rPr>
        <w:t>о</w:t>
      </w:r>
      <w:r>
        <w:rPr>
          <w:sz w:val="28"/>
          <w:lang w:val="uk-UA"/>
        </w:rPr>
        <w:t>сті можна визнати 0,15 мг/кг.</w:t>
      </w:r>
    </w:p>
    <w:p w:rsidR="003F2351" w:rsidRDefault="003F2351" w:rsidP="003F2351">
      <w:pPr>
        <w:ind w:firstLine="709"/>
        <w:jc w:val="both"/>
        <w:rPr>
          <w:rFonts w:ascii="Times New Roman CYR" w:hAnsi="Times New Roman CYR"/>
          <w:sz w:val="28"/>
          <w:lang w:val="uk-UA"/>
        </w:rPr>
      </w:pPr>
      <w:r>
        <w:rPr>
          <w:rFonts w:ascii="Times New Roman CYR" w:hAnsi="Times New Roman CYR"/>
          <w:sz w:val="28"/>
          <w:lang w:val="uk-UA"/>
        </w:rPr>
        <w:t>Таким чином, лімітуючою ланкою при вивченні поведінки імазетапіру у ґрунті є ве</w:t>
      </w:r>
      <w:r>
        <w:rPr>
          <w:rFonts w:ascii="Times New Roman CYR" w:hAnsi="Times New Roman CYR"/>
          <w:sz w:val="28"/>
          <w:lang w:val="uk-UA"/>
        </w:rPr>
        <w:t>р</w:t>
      </w:r>
      <w:r>
        <w:rPr>
          <w:rFonts w:ascii="Times New Roman CYR" w:hAnsi="Times New Roman CYR"/>
          <w:sz w:val="28"/>
          <w:lang w:val="uk-UA"/>
        </w:rPr>
        <w:t>тикальна міграція за профілем ґрунту у ґрунтовий потік. Мінімальна порогова концентрація, яка встановлена в екстремальних грунтово-кліматичних умовах за водно-міграційним показником шкідливості, дозволила науково обґрунтувати величину ГДК імазетапіру у ґр</w:t>
      </w:r>
      <w:r>
        <w:rPr>
          <w:rFonts w:ascii="Times New Roman CYR" w:hAnsi="Times New Roman CYR"/>
          <w:sz w:val="28"/>
          <w:lang w:val="uk-UA"/>
        </w:rPr>
        <w:t>у</w:t>
      </w:r>
      <w:r>
        <w:rPr>
          <w:rFonts w:ascii="Times New Roman CYR" w:hAnsi="Times New Roman CYR"/>
          <w:sz w:val="28"/>
          <w:lang w:val="uk-UA"/>
        </w:rPr>
        <w:t>нті на рівні 0,03 мг/кг.</w:t>
      </w:r>
    </w:p>
    <w:p w:rsidR="003F2351" w:rsidRDefault="003F2351" w:rsidP="003F2351">
      <w:pPr>
        <w:ind w:firstLine="709"/>
        <w:jc w:val="both"/>
        <w:rPr>
          <w:sz w:val="28"/>
          <w:lang w:val="uk-UA"/>
        </w:rPr>
      </w:pPr>
      <w:r>
        <w:rPr>
          <w:b/>
          <w:sz w:val="28"/>
          <w:lang w:val="uk-UA"/>
        </w:rPr>
        <w:t>Еколого-гігієнічна оцінка поведінки імазетапіру в об’єктах агроценозу при застосуванні гербіцидів на його основі в сільському господарс</w:t>
      </w:r>
      <w:r>
        <w:rPr>
          <w:b/>
          <w:sz w:val="28"/>
          <w:lang w:val="uk-UA"/>
        </w:rPr>
        <w:t>т</w:t>
      </w:r>
      <w:r>
        <w:rPr>
          <w:b/>
          <w:sz w:val="28"/>
          <w:lang w:val="uk-UA"/>
        </w:rPr>
        <w:t>ві.</w:t>
      </w:r>
      <w:r>
        <w:rPr>
          <w:sz w:val="28"/>
          <w:lang w:val="uk-UA"/>
        </w:rPr>
        <w:t xml:space="preserve"> В грунтово-кліматичних умовах Поліської зони України зникнення імазетапіру з ґрунту та зеленої маси рослин відбувалось за експонентною з</w:t>
      </w:r>
      <w:r>
        <w:rPr>
          <w:sz w:val="28"/>
          <w:lang w:val="uk-UA"/>
        </w:rPr>
        <w:t>а</w:t>
      </w:r>
      <w:r>
        <w:rPr>
          <w:sz w:val="28"/>
          <w:lang w:val="uk-UA"/>
        </w:rPr>
        <w:t>лежністю (рис. 2, табл. 3).</w:t>
      </w:r>
    </w:p>
    <w:p w:rsidR="003F2351" w:rsidRDefault="003F2351" w:rsidP="003F2351">
      <w:pPr>
        <w:ind w:firstLine="709"/>
        <w:jc w:val="both"/>
        <w:rPr>
          <w:sz w:val="28"/>
          <w:lang w:val="uk-UA"/>
        </w:rPr>
      </w:pPr>
    </w:p>
    <w:tbl>
      <w:tblPr>
        <w:tblW w:w="0" w:type="auto"/>
        <w:tblLayout w:type="fixed"/>
        <w:tblLook w:val="01E0" w:firstRow="1" w:lastRow="1" w:firstColumn="1" w:lastColumn="1" w:noHBand="0" w:noVBand="0"/>
      </w:tblPr>
      <w:tblGrid>
        <w:gridCol w:w="5376"/>
        <w:gridCol w:w="4632"/>
      </w:tblGrid>
      <w:tr w:rsidR="003F2351" w:rsidTr="00E525CF">
        <w:tblPrEx>
          <w:tblCellMar>
            <w:top w:w="0" w:type="dxa"/>
            <w:bottom w:w="0" w:type="dxa"/>
          </w:tblCellMar>
        </w:tblPrEx>
        <w:tc>
          <w:tcPr>
            <w:tcW w:w="5376" w:type="dxa"/>
          </w:tcPr>
          <w:p w:rsidR="003F2351" w:rsidRDefault="003F2351" w:rsidP="00E525CF">
            <w:pPr>
              <w:jc w:val="center"/>
              <w:rPr>
                <w:b/>
                <w:sz w:val="28"/>
                <w:lang w:val="uk-UA"/>
              </w:rPr>
            </w:pPr>
            <w:r>
              <w:rPr>
                <w:b/>
                <w:sz w:val="28"/>
                <w:lang w:val="uk-UA"/>
              </w:rPr>
              <w:t>А</w:t>
            </w:r>
          </w:p>
        </w:tc>
        <w:tc>
          <w:tcPr>
            <w:tcW w:w="4632" w:type="dxa"/>
          </w:tcPr>
          <w:p w:rsidR="003F2351" w:rsidRDefault="003F2351" w:rsidP="00E525CF">
            <w:pPr>
              <w:jc w:val="center"/>
              <w:rPr>
                <w:b/>
                <w:sz w:val="28"/>
                <w:lang w:val="uk-UA"/>
              </w:rPr>
            </w:pPr>
            <w:r>
              <w:rPr>
                <w:b/>
                <w:sz w:val="28"/>
                <w:lang w:val="uk-UA"/>
              </w:rPr>
              <w:t>Б</w:t>
            </w:r>
          </w:p>
        </w:tc>
      </w:tr>
      <w:tr w:rsidR="003F2351" w:rsidTr="00E525CF">
        <w:tblPrEx>
          <w:tblCellMar>
            <w:top w:w="0" w:type="dxa"/>
            <w:bottom w:w="0" w:type="dxa"/>
          </w:tblCellMar>
        </w:tblPrEx>
        <w:tc>
          <w:tcPr>
            <w:tcW w:w="5376" w:type="dxa"/>
          </w:tcPr>
          <w:p w:rsidR="003F2351" w:rsidRDefault="003F2351" w:rsidP="00E525CF">
            <w:pPr>
              <w:rPr>
                <w:lang w:val="uk-UA"/>
              </w:rPr>
            </w:pPr>
            <w:r>
              <w:rPr>
                <w:noProof/>
                <w:lang w:eastAsia="ru-RU"/>
              </w:rPr>
              <w:drawing>
                <wp:inline distT="0" distB="0" distL="0" distR="0">
                  <wp:extent cx="3279140" cy="3153410"/>
                  <wp:effectExtent l="0" t="0" r="0" b="0"/>
                  <wp:docPr id="465" name="Диаграмма 4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2" w:type="dxa"/>
          </w:tcPr>
          <w:p w:rsidR="003F2351" w:rsidRDefault="003F2351" w:rsidP="00E525CF">
            <w:pPr>
              <w:rPr>
                <w:lang w:val="uk-UA"/>
              </w:rPr>
            </w:pPr>
            <w:r>
              <w:rPr>
                <w:noProof/>
                <w:lang w:eastAsia="ru-RU"/>
              </w:rPr>
              <w:drawing>
                <wp:inline distT="0" distB="0" distL="0" distR="0">
                  <wp:extent cx="2774950" cy="3121660"/>
                  <wp:effectExtent l="0" t="0" r="0" b="0"/>
                  <wp:docPr id="464" name="Диаграмма 4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F2351" w:rsidTr="00E525CF">
        <w:tblPrEx>
          <w:tblCellMar>
            <w:top w:w="0" w:type="dxa"/>
            <w:bottom w:w="0" w:type="dxa"/>
          </w:tblCellMar>
        </w:tblPrEx>
        <w:tc>
          <w:tcPr>
            <w:tcW w:w="10008" w:type="dxa"/>
            <w:gridSpan w:val="2"/>
          </w:tcPr>
          <w:p w:rsidR="003F2351" w:rsidRDefault="003F2351" w:rsidP="00E525CF">
            <w:pPr>
              <w:jc w:val="center"/>
              <w:rPr>
                <w:sz w:val="28"/>
                <w:lang w:val="uk-UA"/>
              </w:rPr>
            </w:pPr>
            <w:r>
              <w:rPr>
                <w:sz w:val="28"/>
                <w:lang w:val="uk-UA"/>
              </w:rPr>
              <w:t xml:space="preserve">Рис. 2. </w:t>
            </w:r>
            <w:r>
              <w:rPr>
                <w:rFonts w:ascii="Times New Roman CYR" w:hAnsi="Times New Roman CYR"/>
                <w:spacing w:val="-4"/>
                <w:sz w:val="28"/>
                <w:lang w:val="uk-UA"/>
              </w:rPr>
              <w:t>Динаміка залишкових кількостей імазетапіру у ґрунті (А) та зеленій масі рослин (Б) при посходовій обробці гербіцидами</w:t>
            </w:r>
          </w:p>
        </w:tc>
      </w:tr>
    </w:tbl>
    <w:p w:rsidR="003F2351" w:rsidRDefault="003F2351" w:rsidP="003F2351">
      <w:pPr>
        <w:pStyle w:val="afffffffa"/>
        <w:ind w:firstLine="720"/>
        <w:jc w:val="both"/>
      </w:pPr>
    </w:p>
    <w:p w:rsidR="003F2351" w:rsidRDefault="003F2351" w:rsidP="003F2351">
      <w:pPr>
        <w:pStyle w:val="afffffffa"/>
        <w:ind w:firstLine="720"/>
        <w:jc w:val="both"/>
      </w:pPr>
      <w:r>
        <w:t>Руйнація імазетапіру у цільових рослинах відб</w:t>
      </w:r>
      <w:r>
        <w:t>у</w:t>
      </w:r>
      <w:r>
        <w:t>валась швидше, ніж у ґрунті. Період н</w:t>
      </w:r>
      <w:r>
        <w:t>а</w:t>
      </w:r>
      <w:r>
        <w:t>півзникнення імазетапіру з ґрунту склав в середньому 9,5 доби, у зеленій масі рослин гороху та сої був прибл</w:t>
      </w:r>
      <w:r>
        <w:t>и</w:t>
      </w:r>
      <w:r>
        <w:t>зно однаковим і становив 5,9 діб.</w:t>
      </w:r>
    </w:p>
    <w:p w:rsidR="003F2351" w:rsidRDefault="003F2351" w:rsidP="003F2351">
      <w:pPr>
        <w:jc w:val="right"/>
        <w:rPr>
          <w:i/>
          <w:sz w:val="28"/>
          <w:lang w:val="uk-UA"/>
        </w:rPr>
      </w:pPr>
      <w:r>
        <w:rPr>
          <w:i/>
          <w:sz w:val="28"/>
          <w:lang w:val="uk-UA"/>
        </w:rPr>
        <w:t>Таблиця 3</w:t>
      </w:r>
    </w:p>
    <w:p w:rsidR="003F2351" w:rsidRDefault="003F2351" w:rsidP="003F2351">
      <w:pPr>
        <w:jc w:val="center"/>
        <w:rPr>
          <w:b/>
          <w:sz w:val="28"/>
          <w:lang w:val="uk-UA"/>
        </w:rPr>
      </w:pPr>
      <w:r>
        <w:rPr>
          <w:b/>
          <w:sz w:val="28"/>
          <w:lang w:val="uk-UA"/>
        </w:rPr>
        <w:t>Математичні моделі процесу зникнення імазетапіру з ґрунту</w:t>
      </w:r>
    </w:p>
    <w:p w:rsidR="003F2351" w:rsidRDefault="003F2351" w:rsidP="003F2351">
      <w:pPr>
        <w:jc w:val="center"/>
        <w:rPr>
          <w:b/>
          <w:sz w:val="28"/>
          <w:lang w:val="uk-UA"/>
        </w:rPr>
      </w:pPr>
      <w:r>
        <w:rPr>
          <w:b/>
          <w:sz w:val="28"/>
          <w:lang w:val="uk-UA"/>
        </w:rPr>
        <w:t>та зеленої маси р</w:t>
      </w:r>
      <w:r>
        <w:rPr>
          <w:b/>
          <w:sz w:val="28"/>
          <w:lang w:val="uk-UA"/>
        </w:rPr>
        <w:t>о</w:t>
      </w:r>
      <w:r>
        <w:rPr>
          <w:b/>
          <w:sz w:val="28"/>
          <w:lang w:val="uk-UA"/>
        </w:rPr>
        <w:t>слин</w:t>
      </w:r>
    </w:p>
    <w:p w:rsidR="003F2351" w:rsidRDefault="003F2351" w:rsidP="003F2351">
      <w:pPr>
        <w:jc w:val="center"/>
        <w:rPr>
          <w:b/>
          <w:sz w:val="16"/>
          <w:lang w:val="uk-UA"/>
        </w:rPr>
      </w:pPr>
    </w:p>
    <w:tbl>
      <w:tblPr>
        <w:tblW w:w="95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3F2351" w:rsidTr="00E525CF">
        <w:tblPrEx>
          <w:tblCellMar>
            <w:top w:w="0" w:type="dxa"/>
            <w:bottom w:w="0" w:type="dxa"/>
          </w:tblCellMar>
        </w:tblPrEx>
        <w:trPr>
          <w:cantSplit/>
        </w:trPr>
        <w:tc>
          <w:tcPr>
            <w:tcW w:w="3190" w:type="dxa"/>
            <w:vMerge w:val="restart"/>
            <w:vAlign w:val="center"/>
          </w:tcPr>
          <w:p w:rsidR="003F2351" w:rsidRDefault="003F2351" w:rsidP="00E525CF">
            <w:pPr>
              <w:pStyle w:val="1"/>
              <w:jc w:val="both"/>
              <w:rPr>
                <w:b w:val="0"/>
                <w:sz w:val="28"/>
                <w:lang w:val="uk-UA"/>
              </w:rPr>
            </w:pPr>
            <w:r>
              <w:rPr>
                <w:b w:val="0"/>
                <w:sz w:val="28"/>
                <w:lang w:val="uk-UA"/>
              </w:rPr>
              <w:t>Гербіцид</w:t>
            </w:r>
          </w:p>
        </w:tc>
        <w:tc>
          <w:tcPr>
            <w:tcW w:w="6381" w:type="dxa"/>
            <w:gridSpan w:val="2"/>
          </w:tcPr>
          <w:p w:rsidR="003F2351" w:rsidRDefault="003F2351" w:rsidP="00E525CF">
            <w:pPr>
              <w:jc w:val="center"/>
              <w:rPr>
                <w:sz w:val="28"/>
                <w:lang w:val="uk-UA"/>
              </w:rPr>
            </w:pPr>
            <w:r>
              <w:rPr>
                <w:sz w:val="28"/>
                <w:lang w:val="uk-UA"/>
              </w:rPr>
              <w:t>Математична модель</w:t>
            </w:r>
          </w:p>
        </w:tc>
      </w:tr>
      <w:tr w:rsidR="003F2351" w:rsidTr="00E525CF">
        <w:tblPrEx>
          <w:tblCellMar>
            <w:top w:w="0" w:type="dxa"/>
            <w:bottom w:w="0" w:type="dxa"/>
          </w:tblCellMar>
        </w:tblPrEx>
        <w:trPr>
          <w:cantSplit/>
        </w:trPr>
        <w:tc>
          <w:tcPr>
            <w:tcW w:w="3190" w:type="dxa"/>
            <w:vMerge/>
          </w:tcPr>
          <w:p w:rsidR="003F2351" w:rsidRDefault="003F2351" w:rsidP="00E525CF">
            <w:pPr>
              <w:rPr>
                <w:sz w:val="28"/>
              </w:rPr>
            </w:pPr>
          </w:p>
        </w:tc>
        <w:tc>
          <w:tcPr>
            <w:tcW w:w="3190" w:type="dxa"/>
          </w:tcPr>
          <w:p w:rsidR="003F2351" w:rsidRDefault="003F2351" w:rsidP="00E525CF">
            <w:pPr>
              <w:jc w:val="center"/>
              <w:rPr>
                <w:sz w:val="28"/>
                <w:lang w:val="uk-UA"/>
              </w:rPr>
            </w:pPr>
            <w:r>
              <w:rPr>
                <w:sz w:val="28"/>
                <w:lang w:val="uk-UA"/>
              </w:rPr>
              <w:t>Грунт</w:t>
            </w:r>
          </w:p>
        </w:tc>
        <w:tc>
          <w:tcPr>
            <w:tcW w:w="3191" w:type="dxa"/>
          </w:tcPr>
          <w:p w:rsidR="003F2351" w:rsidRDefault="003F2351" w:rsidP="00E525CF">
            <w:pPr>
              <w:jc w:val="center"/>
              <w:rPr>
                <w:sz w:val="28"/>
                <w:lang w:val="uk-UA"/>
              </w:rPr>
            </w:pPr>
            <w:r>
              <w:rPr>
                <w:sz w:val="28"/>
                <w:lang w:val="uk-UA"/>
              </w:rPr>
              <w:t>Зелена маса рослин</w:t>
            </w:r>
          </w:p>
        </w:tc>
      </w:tr>
      <w:tr w:rsidR="003F2351" w:rsidTr="00E525CF">
        <w:tblPrEx>
          <w:tblCellMar>
            <w:top w:w="0" w:type="dxa"/>
            <w:bottom w:w="0" w:type="dxa"/>
          </w:tblCellMar>
        </w:tblPrEx>
        <w:tc>
          <w:tcPr>
            <w:tcW w:w="3190" w:type="dxa"/>
          </w:tcPr>
          <w:p w:rsidR="003F2351" w:rsidRDefault="003F2351" w:rsidP="00E525CF">
            <w:pPr>
              <w:rPr>
                <w:sz w:val="28"/>
              </w:rPr>
            </w:pPr>
            <w:r>
              <w:rPr>
                <w:sz w:val="28"/>
              </w:rPr>
              <w:t>Півот, 10%, в.р.к. (г</w:t>
            </w:r>
            <w:r>
              <w:rPr>
                <w:sz w:val="28"/>
              </w:rPr>
              <w:t>о</w:t>
            </w:r>
            <w:r>
              <w:rPr>
                <w:sz w:val="28"/>
              </w:rPr>
              <w:t>рох)</w:t>
            </w:r>
          </w:p>
        </w:tc>
        <w:tc>
          <w:tcPr>
            <w:tcW w:w="3190"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1,00</w:t>
            </w:r>
            <w:r>
              <w:rPr>
                <w:color w:val="808080"/>
                <w:sz w:val="28"/>
                <w:lang w:val="uk-UA"/>
              </w:rPr>
              <w:sym w:font="Symbol" w:char="F0B4"/>
            </w:r>
            <w:r>
              <w:rPr>
                <w:color w:val="000000"/>
                <w:sz w:val="28"/>
                <w:lang w:val="en-US"/>
              </w:rPr>
              <w:t>e</w:t>
            </w:r>
            <w:r>
              <w:rPr>
                <w:color w:val="000000"/>
                <w:sz w:val="28"/>
                <w:vertAlign w:val="superscript"/>
                <w:lang w:val="uk-UA"/>
              </w:rPr>
              <w:t>-0,0692</w:t>
            </w:r>
            <w:r>
              <w:rPr>
                <w:color w:val="000000"/>
                <w:sz w:val="28"/>
                <w:vertAlign w:val="superscript"/>
                <w:lang w:val="uk-UA"/>
              </w:rPr>
              <w:sym w:font="Symbol" w:char="F0B4"/>
            </w:r>
            <w:r>
              <w:rPr>
                <w:color w:val="000000"/>
                <w:sz w:val="28"/>
                <w:vertAlign w:val="superscript"/>
                <w:lang w:val="en-US"/>
              </w:rPr>
              <w:t>t</w:t>
            </w:r>
          </w:p>
        </w:tc>
        <w:tc>
          <w:tcPr>
            <w:tcW w:w="3191"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0,55</w:t>
            </w:r>
            <w:r>
              <w:rPr>
                <w:color w:val="808080"/>
                <w:sz w:val="28"/>
                <w:lang w:val="uk-UA"/>
              </w:rPr>
              <w:sym w:font="Symbol" w:char="F0B4"/>
            </w:r>
            <w:r>
              <w:rPr>
                <w:color w:val="000000"/>
                <w:sz w:val="28"/>
                <w:lang w:val="en-US"/>
              </w:rPr>
              <w:t>e</w:t>
            </w:r>
            <w:r>
              <w:rPr>
                <w:color w:val="000000"/>
                <w:sz w:val="28"/>
                <w:vertAlign w:val="superscript"/>
                <w:lang w:val="uk-UA"/>
              </w:rPr>
              <w:t>-0,0107</w:t>
            </w:r>
            <w:r>
              <w:rPr>
                <w:color w:val="000000"/>
                <w:sz w:val="28"/>
                <w:vertAlign w:val="superscript"/>
                <w:lang w:val="uk-UA"/>
              </w:rPr>
              <w:sym w:font="Symbol" w:char="F0B4"/>
            </w:r>
            <w:r>
              <w:rPr>
                <w:color w:val="000000"/>
                <w:sz w:val="28"/>
                <w:vertAlign w:val="superscript"/>
                <w:lang w:val="en-US"/>
              </w:rPr>
              <w:t>t</w:t>
            </w:r>
          </w:p>
        </w:tc>
      </w:tr>
      <w:tr w:rsidR="003F2351" w:rsidTr="00E525CF">
        <w:tblPrEx>
          <w:tblCellMar>
            <w:top w:w="0" w:type="dxa"/>
            <w:bottom w:w="0" w:type="dxa"/>
          </w:tblCellMar>
        </w:tblPrEx>
        <w:tc>
          <w:tcPr>
            <w:tcW w:w="3190" w:type="dxa"/>
          </w:tcPr>
          <w:p w:rsidR="003F2351" w:rsidRDefault="003F2351" w:rsidP="00E525CF">
            <w:pPr>
              <w:rPr>
                <w:sz w:val="28"/>
              </w:rPr>
            </w:pPr>
            <w:r>
              <w:rPr>
                <w:sz w:val="28"/>
              </w:rPr>
              <w:t>Півот, 10%, в.р.к. (соя)</w:t>
            </w:r>
          </w:p>
        </w:tc>
        <w:tc>
          <w:tcPr>
            <w:tcW w:w="3190"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1,30</w:t>
            </w:r>
            <w:r>
              <w:rPr>
                <w:color w:val="808080"/>
                <w:sz w:val="28"/>
                <w:lang w:val="uk-UA"/>
              </w:rPr>
              <w:sym w:font="Symbol" w:char="F0B4"/>
            </w:r>
            <w:r>
              <w:rPr>
                <w:color w:val="000000"/>
                <w:sz w:val="28"/>
                <w:lang w:val="en-US"/>
              </w:rPr>
              <w:t>e</w:t>
            </w:r>
            <w:r>
              <w:rPr>
                <w:color w:val="000000"/>
                <w:sz w:val="28"/>
                <w:vertAlign w:val="superscript"/>
                <w:lang w:val="uk-UA"/>
              </w:rPr>
              <w:t>-0,0803</w:t>
            </w:r>
            <w:r>
              <w:rPr>
                <w:color w:val="000000"/>
                <w:sz w:val="28"/>
                <w:vertAlign w:val="superscript"/>
                <w:lang w:val="uk-UA"/>
              </w:rPr>
              <w:sym w:font="Symbol" w:char="F0B4"/>
            </w:r>
            <w:r>
              <w:rPr>
                <w:color w:val="000000"/>
                <w:sz w:val="28"/>
                <w:vertAlign w:val="superscript"/>
                <w:lang w:val="en-US"/>
              </w:rPr>
              <w:t>t</w:t>
            </w:r>
          </w:p>
        </w:tc>
        <w:tc>
          <w:tcPr>
            <w:tcW w:w="3191"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0,60</w:t>
            </w:r>
            <w:r>
              <w:rPr>
                <w:color w:val="808080"/>
                <w:sz w:val="28"/>
                <w:lang w:val="uk-UA"/>
              </w:rPr>
              <w:sym w:font="Symbol" w:char="F0B4"/>
            </w:r>
            <w:r>
              <w:rPr>
                <w:color w:val="000000"/>
                <w:sz w:val="28"/>
                <w:lang w:val="en-US"/>
              </w:rPr>
              <w:t>e</w:t>
            </w:r>
            <w:r>
              <w:rPr>
                <w:color w:val="000000"/>
                <w:sz w:val="28"/>
                <w:vertAlign w:val="superscript"/>
                <w:lang w:val="uk-UA"/>
              </w:rPr>
              <w:t>-0,0128</w:t>
            </w:r>
            <w:r>
              <w:rPr>
                <w:color w:val="000000"/>
                <w:sz w:val="28"/>
                <w:vertAlign w:val="superscript"/>
                <w:lang w:val="uk-UA"/>
              </w:rPr>
              <w:sym w:font="Symbol" w:char="F0B4"/>
            </w:r>
            <w:r>
              <w:rPr>
                <w:color w:val="000000"/>
                <w:sz w:val="28"/>
                <w:vertAlign w:val="superscript"/>
                <w:lang w:val="en-US"/>
              </w:rPr>
              <w:t>t</w:t>
            </w:r>
          </w:p>
        </w:tc>
      </w:tr>
      <w:tr w:rsidR="003F2351" w:rsidTr="00E525CF">
        <w:tblPrEx>
          <w:tblCellMar>
            <w:top w:w="0" w:type="dxa"/>
            <w:bottom w:w="0" w:type="dxa"/>
          </w:tblCellMar>
        </w:tblPrEx>
        <w:tc>
          <w:tcPr>
            <w:tcW w:w="3190" w:type="dxa"/>
          </w:tcPr>
          <w:p w:rsidR="003F2351" w:rsidRDefault="003F2351" w:rsidP="00E525CF">
            <w:pPr>
              <w:rPr>
                <w:sz w:val="28"/>
              </w:rPr>
            </w:pPr>
            <w:r>
              <w:rPr>
                <w:sz w:val="28"/>
              </w:rPr>
              <w:t>Патріот, 10%, в.р.к. (соя)</w:t>
            </w:r>
          </w:p>
        </w:tc>
        <w:tc>
          <w:tcPr>
            <w:tcW w:w="3190"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0,54</w:t>
            </w:r>
            <w:r>
              <w:rPr>
                <w:color w:val="808080"/>
                <w:sz w:val="28"/>
                <w:lang w:val="uk-UA"/>
              </w:rPr>
              <w:sym w:font="Symbol" w:char="F0B4"/>
            </w:r>
            <w:r>
              <w:rPr>
                <w:color w:val="000000"/>
                <w:sz w:val="28"/>
                <w:lang w:val="en-US"/>
              </w:rPr>
              <w:t>e</w:t>
            </w:r>
            <w:r>
              <w:rPr>
                <w:color w:val="000000"/>
                <w:sz w:val="28"/>
                <w:vertAlign w:val="superscript"/>
                <w:lang w:val="uk-UA"/>
              </w:rPr>
              <w:t>-0,0749</w:t>
            </w:r>
            <w:r>
              <w:rPr>
                <w:color w:val="000000"/>
                <w:sz w:val="28"/>
                <w:vertAlign w:val="superscript"/>
                <w:lang w:val="uk-UA"/>
              </w:rPr>
              <w:sym w:font="Symbol" w:char="F0B4"/>
            </w:r>
            <w:r>
              <w:rPr>
                <w:color w:val="000000"/>
                <w:sz w:val="28"/>
                <w:vertAlign w:val="superscript"/>
                <w:lang w:val="en-US"/>
              </w:rPr>
              <w:t>t</w:t>
            </w:r>
          </w:p>
        </w:tc>
        <w:tc>
          <w:tcPr>
            <w:tcW w:w="3191"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0,50</w:t>
            </w:r>
            <w:r>
              <w:rPr>
                <w:color w:val="808080"/>
                <w:sz w:val="28"/>
                <w:lang w:val="uk-UA"/>
              </w:rPr>
              <w:sym w:font="Symbol" w:char="F0B4"/>
            </w:r>
            <w:r>
              <w:rPr>
                <w:color w:val="000000"/>
                <w:sz w:val="28"/>
                <w:lang w:val="en-US"/>
              </w:rPr>
              <w:t>e</w:t>
            </w:r>
            <w:r>
              <w:rPr>
                <w:color w:val="000000"/>
                <w:sz w:val="28"/>
                <w:vertAlign w:val="superscript"/>
                <w:lang w:val="uk-UA"/>
              </w:rPr>
              <w:t>-0,0123</w:t>
            </w:r>
            <w:r>
              <w:rPr>
                <w:color w:val="000000"/>
                <w:sz w:val="28"/>
                <w:vertAlign w:val="superscript"/>
                <w:lang w:val="uk-UA"/>
              </w:rPr>
              <w:sym w:font="Symbol" w:char="F0B4"/>
            </w:r>
            <w:r>
              <w:rPr>
                <w:color w:val="000000"/>
                <w:sz w:val="28"/>
                <w:vertAlign w:val="superscript"/>
                <w:lang w:val="en-US"/>
              </w:rPr>
              <w:t>t</w:t>
            </w:r>
          </w:p>
        </w:tc>
      </w:tr>
      <w:tr w:rsidR="003F2351" w:rsidTr="00E525CF">
        <w:tblPrEx>
          <w:tblCellMar>
            <w:top w:w="0" w:type="dxa"/>
            <w:bottom w:w="0" w:type="dxa"/>
          </w:tblCellMar>
        </w:tblPrEx>
        <w:tc>
          <w:tcPr>
            <w:tcW w:w="3190" w:type="dxa"/>
          </w:tcPr>
          <w:p w:rsidR="003F2351" w:rsidRDefault="003F2351" w:rsidP="00E525CF">
            <w:pPr>
              <w:rPr>
                <w:sz w:val="28"/>
              </w:rPr>
            </w:pPr>
            <w:r>
              <w:rPr>
                <w:sz w:val="28"/>
              </w:rPr>
              <w:t>ДТ-03, в.р.к. (соя)</w:t>
            </w:r>
          </w:p>
        </w:tc>
        <w:tc>
          <w:tcPr>
            <w:tcW w:w="3190"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0,17</w:t>
            </w:r>
            <w:r>
              <w:rPr>
                <w:color w:val="808080"/>
                <w:sz w:val="28"/>
                <w:lang w:val="uk-UA"/>
              </w:rPr>
              <w:sym w:font="Symbol" w:char="F0B4"/>
            </w:r>
            <w:r>
              <w:rPr>
                <w:color w:val="000000"/>
                <w:sz w:val="28"/>
                <w:lang w:val="en-US"/>
              </w:rPr>
              <w:t>e</w:t>
            </w:r>
            <w:r>
              <w:rPr>
                <w:color w:val="000000"/>
                <w:sz w:val="28"/>
                <w:vertAlign w:val="superscript"/>
                <w:lang w:val="uk-UA"/>
              </w:rPr>
              <w:t>-0,0682</w:t>
            </w:r>
            <w:r>
              <w:rPr>
                <w:color w:val="000000"/>
                <w:sz w:val="28"/>
                <w:vertAlign w:val="superscript"/>
                <w:lang w:val="uk-UA"/>
              </w:rPr>
              <w:sym w:font="Symbol" w:char="F0B4"/>
            </w:r>
            <w:r>
              <w:rPr>
                <w:color w:val="000000"/>
                <w:sz w:val="28"/>
                <w:vertAlign w:val="superscript"/>
                <w:lang w:val="en-US"/>
              </w:rPr>
              <w:t>t</w:t>
            </w:r>
          </w:p>
        </w:tc>
        <w:tc>
          <w:tcPr>
            <w:tcW w:w="3191" w:type="dxa"/>
          </w:tcPr>
          <w:p w:rsidR="003F2351" w:rsidRDefault="003F2351" w:rsidP="00E525CF">
            <w:pPr>
              <w:jc w:val="center"/>
              <w:rPr>
                <w:sz w:val="28"/>
                <w:lang w:val="uk-UA"/>
              </w:rPr>
            </w:pPr>
            <w:r>
              <w:rPr>
                <w:color w:val="000000"/>
                <w:sz w:val="28"/>
                <w:lang w:val="en-US"/>
              </w:rPr>
              <w:t>C</w:t>
            </w:r>
            <w:r>
              <w:rPr>
                <w:color w:val="000000"/>
                <w:sz w:val="28"/>
                <w:vertAlign w:val="subscript"/>
                <w:lang w:val="en-US"/>
              </w:rPr>
              <w:t>t</w:t>
            </w:r>
            <w:r>
              <w:rPr>
                <w:color w:val="000000"/>
                <w:sz w:val="28"/>
                <w:lang w:val="uk-UA"/>
              </w:rPr>
              <w:t xml:space="preserve"> = 0,13</w:t>
            </w:r>
            <w:r>
              <w:rPr>
                <w:color w:val="808080"/>
                <w:sz w:val="28"/>
                <w:lang w:val="uk-UA"/>
              </w:rPr>
              <w:sym w:font="Symbol" w:char="F0B4"/>
            </w:r>
            <w:r>
              <w:rPr>
                <w:color w:val="000000"/>
                <w:sz w:val="28"/>
                <w:lang w:val="en-US"/>
              </w:rPr>
              <w:t>e</w:t>
            </w:r>
            <w:r>
              <w:rPr>
                <w:color w:val="000000"/>
                <w:sz w:val="28"/>
                <w:vertAlign w:val="superscript"/>
                <w:lang w:val="uk-UA"/>
              </w:rPr>
              <w:t>-0,0110</w:t>
            </w:r>
            <w:r>
              <w:rPr>
                <w:color w:val="000000"/>
                <w:sz w:val="28"/>
                <w:vertAlign w:val="superscript"/>
                <w:lang w:val="uk-UA"/>
              </w:rPr>
              <w:sym w:font="Symbol" w:char="F0B4"/>
            </w:r>
            <w:r>
              <w:rPr>
                <w:color w:val="000000"/>
                <w:sz w:val="28"/>
                <w:vertAlign w:val="superscript"/>
                <w:lang w:val="en-US"/>
              </w:rPr>
              <w:t>t</w:t>
            </w:r>
          </w:p>
        </w:tc>
      </w:tr>
    </w:tbl>
    <w:p w:rsidR="003F2351" w:rsidRDefault="003F2351" w:rsidP="003F2351">
      <w:pPr>
        <w:pStyle w:val="afffffffa"/>
        <w:ind w:firstLine="720"/>
        <w:jc w:val="both"/>
        <w:rPr>
          <w:szCs w:val="28"/>
        </w:rPr>
      </w:pPr>
      <w:r w:rsidRPr="00445297">
        <w:rPr>
          <w:szCs w:val="28"/>
        </w:rPr>
        <w:t>Примітка: С</w:t>
      </w:r>
      <w:r w:rsidRPr="00445297">
        <w:rPr>
          <w:szCs w:val="28"/>
          <w:vertAlign w:val="subscript"/>
          <w:lang w:val="en-US"/>
        </w:rPr>
        <w:t>t</w:t>
      </w:r>
      <w:r w:rsidRPr="00445297">
        <w:rPr>
          <w:szCs w:val="28"/>
        </w:rPr>
        <w:t xml:space="preserve"> – концентрація імазетапіру, мг/кг; е – основа натурального логарифму; t – час, доба.</w:t>
      </w:r>
    </w:p>
    <w:p w:rsidR="003F2351" w:rsidRDefault="003F2351" w:rsidP="003F2351">
      <w:pPr>
        <w:pStyle w:val="afffffffa"/>
        <w:ind w:firstLine="720"/>
        <w:jc w:val="both"/>
      </w:pPr>
      <w:r>
        <w:t>За стабільністю у ґрунті та вегетуючих сільськогосподарських культ</w:t>
      </w:r>
      <w:r>
        <w:t>у</w:t>
      </w:r>
      <w:r>
        <w:t>рах у натурних умовах імазетапір може бути віднесений до 3 класу небезпе</w:t>
      </w:r>
      <w:r>
        <w:t>ч</w:t>
      </w:r>
      <w:r>
        <w:t>ності. При цьому потенційний екотоксикологічний ризик використання ге</w:t>
      </w:r>
      <w:r>
        <w:t>р</w:t>
      </w:r>
      <w:r>
        <w:t>біцидів на основі імазетапіру у ґрунтово-кліматичних умовах Поліської зони України є на 4 порядки нижчим, ніж у ДДТ, та на 1–3 порядки нижчим, ніж у хлор- і фосфорорганічних сполук, сим-триазинів, шестичленних гетероциклів та с</w:t>
      </w:r>
      <w:r>
        <w:t>и</w:t>
      </w:r>
      <w:r>
        <w:t>нтетичних піретроїдів.</w:t>
      </w:r>
    </w:p>
    <w:p w:rsidR="003F2351" w:rsidRDefault="003F2351" w:rsidP="003F2351">
      <w:pPr>
        <w:pStyle w:val="38"/>
        <w:spacing w:after="0"/>
        <w:ind w:left="0" w:firstLine="709"/>
        <w:rPr>
          <w:i/>
          <w:sz w:val="28"/>
          <w:lang w:val="uk-UA"/>
        </w:rPr>
      </w:pPr>
      <w:r>
        <w:rPr>
          <w:sz w:val="28"/>
          <w:lang w:val="uk-UA"/>
        </w:rPr>
        <w:t>На час збору врожаю залишкові кіл</w:t>
      </w:r>
      <w:r>
        <w:rPr>
          <w:sz w:val="28"/>
          <w:lang w:val="uk-UA"/>
        </w:rPr>
        <w:t>ь</w:t>
      </w:r>
      <w:r>
        <w:rPr>
          <w:sz w:val="28"/>
          <w:lang w:val="uk-UA"/>
        </w:rPr>
        <w:t>кості імазетапіру були відсутні в бобах сої, соєвій олії та зерні гороху при межі кількісного визначення розробленого нами метода високоефективної рідинної хромато</w:t>
      </w:r>
      <w:r>
        <w:rPr>
          <w:sz w:val="28"/>
          <w:lang w:val="uk-UA"/>
        </w:rPr>
        <w:t>г</w:t>
      </w:r>
      <w:r>
        <w:rPr>
          <w:sz w:val="28"/>
          <w:lang w:val="uk-UA"/>
        </w:rPr>
        <w:t>рафії. Це дозволило рекомендувати контроль за вмістом імазетапіру у б</w:t>
      </w:r>
      <w:r>
        <w:rPr>
          <w:sz w:val="28"/>
          <w:lang w:val="uk-UA"/>
        </w:rPr>
        <w:t>о</w:t>
      </w:r>
      <w:r>
        <w:rPr>
          <w:sz w:val="28"/>
          <w:lang w:val="uk-UA"/>
        </w:rPr>
        <w:t>бах сої та зерні гороху проводити за раніше затвердженими величинами МДР для сої (боби) – 0,5 мг/кг та бобових – 0,1 мг/кг. На підставі визначення фа</w:t>
      </w:r>
      <w:r>
        <w:rPr>
          <w:sz w:val="28"/>
          <w:lang w:val="uk-UA"/>
        </w:rPr>
        <w:t>к</w:t>
      </w:r>
      <w:r>
        <w:rPr>
          <w:sz w:val="28"/>
          <w:lang w:val="uk-UA"/>
        </w:rPr>
        <w:t>тичного вмісту імазетапіру у соєвій олії та враховуючи коефіцієнт розп</w:t>
      </w:r>
      <w:r>
        <w:rPr>
          <w:sz w:val="28"/>
          <w:lang w:val="uk-UA"/>
        </w:rPr>
        <w:t>о</w:t>
      </w:r>
      <w:r>
        <w:rPr>
          <w:sz w:val="28"/>
          <w:lang w:val="uk-UA"/>
        </w:rPr>
        <w:t>ділу н-октанол-вода доведено, що вст</w:t>
      </w:r>
      <w:r>
        <w:rPr>
          <w:sz w:val="28"/>
          <w:lang w:val="uk-UA"/>
        </w:rPr>
        <w:t>а</w:t>
      </w:r>
      <w:r>
        <w:rPr>
          <w:sz w:val="28"/>
          <w:lang w:val="uk-UA"/>
        </w:rPr>
        <w:t>новлення МДР імазетапіру у соєвій олії не потрібне. Враховуючи ранні строки застосування досліджуваних ге</w:t>
      </w:r>
      <w:r>
        <w:rPr>
          <w:sz w:val="28"/>
          <w:lang w:val="uk-UA"/>
        </w:rPr>
        <w:t>р</w:t>
      </w:r>
      <w:r>
        <w:rPr>
          <w:sz w:val="28"/>
          <w:lang w:val="uk-UA"/>
        </w:rPr>
        <w:t>біцидів (до посіву, до сходів або по сходах), тривалий термін вегетації до збору вр</w:t>
      </w:r>
      <w:r>
        <w:rPr>
          <w:sz w:val="28"/>
          <w:lang w:val="uk-UA"/>
        </w:rPr>
        <w:t>о</w:t>
      </w:r>
      <w:r>
        <w:rPr>
          <w:sz w:val="28"/>
          <w:lang w:val="uk-UA"/>
        </w:rPr>
        <w:t>жаю та високу швидкість руйнації у рослинах сої та гороху строки очікува</w:t>
      </w:r>
      <w:r>
        <w:rPr>
          <w:sz w:val="28"/>
          <w:lang w:val="uk-UA"/>
        </w:rPr>
        <w:t>н</w:t>
      </w:r>
      <w:r>
        <w:rPr>
          <w:sz w:val="28"/>
          <w:lang w:val="uk-UA"/>
        </w:rPr>
        <w:t>ня до збору врожаю зазначених цільових культур встановлювати недоц</w:t>
      </w:r>
      <w:r>
        <w:rPr>
          <w:sz w:val="28"/>
          <w:lang w:val="uk-UA"/>
        </w:rPr>
        <w:t>і</w:t>
      </w:r>
      <w:r>
        <w:rPr>
          <w:sz w:val="28"/>
          <w:lang w:val="uk-UA"/>
        </w:rPr>
        <w:t>льно</w:t>
      </w:r>
      <w:r>
        <w:rPr>
          <w:i/>
          <w:sz w:val="28"/>
          <w:lang w:val="uk-UA"/>
        </w:rPr>
        <w:t>.</w:t>
      </w:r>
    </w:p>
    <w:p w:rsidR="003F2351" w:rsidRDefault="003F2351" w:rsidP="003F2351">
      <w:pPr>
        <w:ind w:firstLine="720"/>
        <w:jc w:val="both"/>
        <w:rPr>
          <w:sz w:val="28"/>
          <w:lang w:val="uk-UA"/>
        </w:rPr>
      </w:pPr>
      <w:r>
        <w:rPr>
          <w:b/>
          <w:sz w:val="28"/>
          <w:lang w:val="uk-UA"/>
        </w:rPr>
        <w:t>Гігієнічна оцінка безпечності використання препаратів на основі імазетапіру для працю</w:t>
      </w:r>
      <w:r>
        <w:rPr>
          <w:b/>
          <w:sz w:val="28"/>
          <w:lang w:val="uk-UA"/>
        </w:rPr>
        <w:t>ю</w:t>
      </w:r>
      <w:r>
        <w:rPr>
          <w:b/>
          <w:sz w:val="28"/>
          <w:lang w:val="uk-UA"/>
        </w:rPr>
        <w:t xml:space="preserve">чих. </w:t>
      </w:r>
    </w:p>
    <w:p w:rsidR="003F2351" w:rsidRDefault="003F2351" w:rsidP="003F2351">
      <w:pPr>
        <w:pStyle w:val="afffffffa"/>
        <w:ind w:firstLine="709"/>
        <w:jc w:val="both"/>
        <w:rPr>
          <w:spacing w:val="4"/>
        </w:rPr>
      </w:pPr>
      <w:r>
        <w:rPr>
          <w:spacing w:val="4"/>
        </w:rPr>
        <w:t xml:space="preserve">Встановлено, що при застосуванні </w:t>
      </w:r>
      <w:r>
        <w:rPr>
          <w:rFonts w:ascii="Times New Roman CYR" w:hAnsi="Times New Roman CYR"/>
        </w:rPr>
        <w:t xml:space="preserve">препаратів </w:t>
      </w:r>
      <w:r>
        <w:t xml:space="preserve">Півот, Патріот та ДТ-03 </w:t>
      </w:r>
      <w:r>
        <w:rPr>
          <w:spacing w:val="4"/>
        </w:rPr>
        <w:t>концентрації ім</w:t>
      </w:r>
      <w:r>
        <w:rPr>
          <w:spacing w:val="4"/>
        </w:rPr>
        <w:t>а</w:t>
      </w:r>
      <w:r>
        <w:rPr>
          <w:spacing w:val="4"/>
        </w:rPr>
        <w:t>зетапіру в повітрі зони дихання оператора розчинного вузла були значно нижчими за ОБРВ в повітрі робочої зони, а в повітрі зони дихання тракториста з</w:t>
      </w:r>
      <w:r>
        <w:rPr>
          <w:spacing w:val="4"/>
        </w:rPr>
        <w:t>а</w:t>
      </w:r>
      <w:r>
        <w:rPr>
          <w:spacing w:val="4"/>
        </w:rPr>
        <w:t>лишкових кількостей імазетапіру не виявлено при межі кількісного визначення методу ВЕРХ 0,005 мг/м</w:t>
      </w:r>
      <w:r>
        <w:rPr>
          <w:spacing w:val="4"/>
          <w:vertAlign w:val="superscript"/>
        </w:rPr>
        <w:t>3</w:t>
      </w:r>
      <w:r>
        <w:rPr>
          <w:spacing w:val="4"/>
        </w:rPr>
        <w:t>.</w:t>
      </w:r>
    </w:p>
    <w:p w:rsidR="003F2351" w:rsidRDefault="003F2351" w:rsidP="003F2351">
      <w:pPr>
        <w:pStyle w:val="afffffffa"/>
        <w:ind w:firstLine="709"/>
        <w:jc w:val="both"/>
      </w:pPr>
      <w:r>
        <w:lastRenderedPageBreak/>
        <w:t>У змивах з відкритих ділянок шкіри операторів розчинного вузла імаз</w:t>
      </w:r>
      <w:r>
        <w:t>е</w:t>
      </w:r>
      <w:r>
        <w:t>тапір виявляли лише в 33,3 % проб у незначних кількостях – від 1,0 до 1,2 мкг. У змивах з відкритих ділянок шкіри тракториста та змивах з поверхні шкіри під спецодягом обох працівників залишкових кіл</w:t>
      </w:r>
      <w:r>
        <w:t>ь</w:t>
      </w:r>
      <w:r>
        <w:t>костей імазетапіру не виявлено при межі кількісного визначення 1 мкг. Найб</w:t>
      </w:r>
      <w:r>
        <w:t>і</w:t>
      </w:r>
      <w:r>
        <w:t>льші кількості гербіциду знайдені у змивах з гумових рукавичок запр</w:t>
      </w:r>
      <w:r>
        <w:t>а</w:t>
      </w:r>
      <w:r>
        <w:t>вників – від 1,1 до 3,2 мкг.</w:t>
      </w:r>
    </w:p>
    <w:p w:rsidR="003F2351" w:rsidRDefault="003F2351" w:rsidP="003F2351">
      <w:pPr>
        <w:pStyle w:val="2ffff9"/>
        <w:spacing w:after="0" w:line="240" w:lineRule="auto"/>
        <w:ind w:firstLine="709"/>
        <w:jc w:val="both"/>
        <w:rPr>
          <w:spacing w:val="-2"/>
          <w:sz w:val="28"/>
          <w:lang w:val="uk-UA"/>
        </w:rPr>
      </w:pPr>
      <w:r>
        <w:rPr>
          <w:sz w:val="28"/>
          <w:lang w:val="uk-UA"/>
        </w:rPr>
        <w:t xml:space="preserve">Незалежно від препарату, яким проводиться обробка поля, потенційний ризик шкідливої дії імазетапіру при надходженні в організм інгаляційним шляхом, оцінений за співвідношенням фактичної концентрації у повітрі </w:t>
      </w:r>
      <w:r>
        <w:rPr>
          <w:spacing w:val="-2"/>
          <w:sz w:val="28"/>
          <w:lang w:val="uk-UA"/>
        </w:rPr>
        <w:t>робочої зони до гігієнічного нормативу, для тракториста, ст</w:t>
      </w:r>
      <w:r>
        <w:rPr>
          <w:spacing w:val="-2"/>
          <w:sz w:val="28"/>
          <w:lang w:val="uk-UA"/>
        </w:rPr>
        <w:t>а</w:t>
      </w:r>
      <w:r>
        <w:rPr>
          <w:spacing w:val="-2"/>
          <w:sz w:val="28"/>
          <w:lang w:val="uk-UA"/>
        </w:rPr>
        <w:t>новить 0,01, а для оператора розчинного вузла коливається у межах від 0,010 до 0,016 (табл. 4).</w:t>
      </w:r>
    </w:p>
    <w:p w:rsidR="003F2351" w:rsidRDefault="003F2351" w:rsidP="003F2351">
      <w:pPr>
        <w:pStyle w:val="2ffff9"/>
        <w:spacing w:after="0" w:line="240" w:lineRule="auto"/>
        <w:ind w:firstLine="709"/>
        <w:jc w:val="right"/>
        <w:rPr>
          <w:i/>
          <w:sz w:val="16"/>
          <w:lang w:val="uk-UA"/>
        </w:rPr>
      </w:pPr>
    </w:p>
    <w:p w:rsidR="003F2351" w:rsidRDefault="003F2351" w:rsidP="003F2351">
      <w:pPr>
        <w:pStyle w:val="2ffff9"/>
        <w:spacing w:after="0" w:line="240" w:lineRule="auto"/>
        <w:ind w:firstLine="709"/>
        <w:jc w:val="right"/>
        <w:rPr>
          <w:i/>
          <w:sz w:val="28"/>
          <w:lang w:val="uk-UA"/>
        </w:rPr>
      </w:pPr>
      <w:r>
        <w:rPr>
          <w:i/>
          <w:sz w:val="28"/>
          <w:lang w:val="uk-UA"/>
        </w:rPr>
        <w:t>Таблиця 4</w:t>
      </w:r>
    </w:p>
    <w:p w:rsidR="003F2351" w:rsidRDefault="003F2351" w:rsidP="003F2351">
      <w:pPr>
        <w:pStyle w:val="2ffff9"/>
        <w:spacing w:after="0" w:line="240" w:lineRule="auto"/>
        <w:ind w:firstLine="709"/>
        <w:jc w:val="center"/>
        <w:rPr>
          <w:b/>
          <w:sz w:val="28"/>
          <w:lang w:val="uk-UA"/>
        </w:rPr>
      </w:pPr>
      <w:r>
        <w:rPr>
          <w:b/>
          <w:sz w:val="28"/>
          <w:lang w:val="uk-UA"/>
        </w:rPr>
        <w:t>Оцінка ризику шкідливої дії імазетапіру при застосуванні препар</w:t>
      </w:r>
      <w:r>
        <w:rPr>
          <w:b/>
          <w:sz w:val="28"/>
          <w:lang w:val="uk-UA"/>
        </w:rPr>
        <w:t>а</w:t>
      </w:r>
      <w:r>
        <w:rPr>
          <w:b/>
          <w:sz w:val="28"/>
          <w:lang w:val="uk-UA"/>
        </w:rPr>
        <w:t>тів Півот, 10 % в.р.к. , Патріот, 10% в.р.к. та ДТ-03, в.р.к. в максимально рекомендованій нормі витрат (1 л/га)</w:t>
      </w:r>
    </w:p>
    <w:p w:rsidR="003F2351" w:rsidRDefault="003F2351" w:rsidP="003F2351">
      <w:pPr>
        <w:pStyle w:val="2ffff9"/>
        <w:spacing w:after="0" w:line="240" w:lineRule="auto"/>
        <w:ind w:firstLine="709"/>
        <w:jc w:val="center"/>
        <w:rPr>
          <w:b/>
          <w:sz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68"/>
        <w:gridCol w:w="1754"/>
        <w:gridCol w:w="961"/>
        <w:gridCol w:w="961"/>
        <w:gridCol w:w="961"/>
        <w:gridCol w:w="961"/>
        <w:gridCol w:w="961"/>
        <w:gridCol w:w="961"/>
      </w:tblGrid>
      <w:tr w:rsidR="003F2351" w:rsidTr="00E525CF">
        <w:tblPrEx>
          <w:tblCellMar>
            <w:top w:w="0" w:type="dxa"/>
            <w:bottom w:w="0" w:type="dxa"/>
          </w:tblCellMar>
        </w:tblPrEx>
        <w:trPr>
          <w:cantSplit/>
        </w:trPr>
        <w:tc>
          <w:tcPr>
            <w:tcW w:w="1868" w:type="dxa"/>
            <w:vMerge w:val="restart"/>
            <w:vAlign w:val="center"/>
          </w:tcPr>
          <w:p w:rsidR="003F2351" w:rsidRDefault="003F2351" w:rsidP="00E525CF">
            <w:pPr>
              <w:jc w:val="center"/>
              <w:rPr>
                <w:sz w:val="28"/>
                <w:lang w:val="uk-UA"/>
              </w:rPr>
            </w:pPr>
            <w:r>
              <w:rPr>
                <w:sz w:val="28"/>
                <w:lang w:val="uk-UA"/>
              </w:rPr>
              <w:t>Показник</w:t>
            </w:r>
          </w:p>
        </w:tc>
        <w:tc>
          <w:tcPr>
            <w:tcW w:w="1754" w:type="dxa"/>
            <w:vMerge w:val="restart"/>
            <w:vAlign w:val="center"/>
          </w:tcPr>
          <w:p w:rsidR="003F2351" w:rsidRDefault="003F2351" w:rsidP="00E525CF">
            <w:pPr>
              <w:jc w:val="center"/>
              <w:rPr>
                <w:sz w:val="28"/>
                <w:lang w:val="uk-UA"/>
              </w:rPr>
            </w:pPr>
            <w:r>
              <w:rPr>
                <w:sz w:val="28"/>
                <w:lang w:val="uk-UA"/>
              </w:rPr>
              <w:t>Шлях надходження</w:t>
            </w:r>
          </w:p>
        </w:tc>
        <w:tc>
          <w:tcPr>
            <w:tcW w:w="5766" w:type="dxa"/>
            <w:gridSpan w:val="6"/>
            <w:vAlign w:val="center"/>
          </w:tcPr>
          <w:p w:rsidR="003F2351" w:rsidRDefault="003F2351" w:rsidP="00E525CF">
            <w:pPr>
              <w:pStyle w:val="2ffff9"/>
              <w:spacing w:after="0" w:line="240" w:lineRule="auto"/>
              <w:jc w:val="center"/>
              <w:rPr>
                <w:sz w:val="28"/>
                <w:lang w:val="uk-UA"/>
              </w:rPr>
            </w:pPr>
            <w:r>
              <w:rPr>
                <w:sz w:val="28"/>
                <w:lang w:val="uk-UA"/>
              </w:rPr>
              <w:t>Ризик при застосуванні препар</w:t>
            </w:r>
            <w:r>
              <w:rPr>
                <w:sz w:val="28"/>
                <w:lang w:val="uk-UA"/>
              </w:rPr>
              <w:t>а</w:t>
            </w:r>
            <w:r>
              <w:rPr>
                <w:sz w:val="28"/>
                <w:lang w:val="uk-UA"/>
              </w:rPr>
              <w:t>ту</w:t>
            </w:r>
          </w:p>
        </w:tc>
      </w:tr>
      <w:tr w:rsidR="003F2351" w:rsidTr="00E525CF">
        <w:tblPrEx>
          <w:tblCellMar>
            <w:top w:w="0" w:type="dxa"/>
            <w:bottom w:w="0" w:type="dxa"/>
          </w:tblCellMar>
        </w:tblPrEx>
        <w:trPr>
          <w:cantSplit/>
        </w:trPr>
        <w:tc>
          <w:tcPr>
            <w:tcW w:w="1868" w:type="dxa"/>
            <w:vMerge/>
            <w:vAlign w:val="center"/>
          </w:tcPr>
          <w:p w:rsidR="003F2351" w:rsidRDefault="003F2351" w:rsidP="00E525CF">
            <w:pPr>
              <w:rPr>
                <w:sz w:val="28"/>
                <w:lang w:val="uk-UA"/>
              </w:rPr>
            </w:pPr>
          </w:p>
        </w:tc>
        <w:tc>
          <w:tcPr>
            <w:tcW w:w="1754" w:type="dxa"/>
            <w:vMerge/>
          </w:tcPr>
          <w:p w:rsidR="003F2351" w:rsidRDefault="003F2351" w:rsidP="00E525CF">
            <w:pPr>
              <w:rPr>
                <w:sz w:val="28"/>
                <w:lang w:val="uk-UA"/>
              </w:rPr>
            </w:pPr>
          </w:p>
        </w:tc>
        <w:tc>
          <w:tcPr>
            <w:tcW w:w="1922" w:type="dxa"/>
            <w:gridSpan w:val="2"/>
            <w:vAlign w:val="center"/>
          </w:tcPr>
          <w:p w:rsidR="003F2351" w:rsidRDefault="003F2351" w:rsidP="00E525CF">
            <w:pPr>
              <w:pStyle w:val="2ffff9"/>
              <w:spacing w:after="0" w:line="240" w:lineRule="auto"/>
              <w:jc w:val="center"/>
              <w:rPr>
                <w:sz w:val="28"/>
                <w:lang w:val="uk-UA"/>
              </w:rPr>
            </w:pPr>
            <w:r>
              <w:rPr>
                <w:sz w:val="28"/>
                <w:lang w:val="uk-UA"/>
              </w:rPr>
              <w:t>Півот, 10 % в.р.к.</w:t>
            </w:r>
          </w:p>
        </w:tc>
        <w:tc>
          <w:tcPr>
            <w:tcW w:w="1922" w:type="dxa"/>
            <w:gridSpan w:val="2"/>
            <w:vAlign w:val="center"/>
          </w:tcPr>
          <w:p w:rsidR="003F2351" w:rsidRDefault="003F2351" w:rsidP="00E525CF">
            <w:pPr>
              <w:pStyle w:val="2ffff9"/>
              <w:spacing w:after="0" w:line="240" w:lineRule="auto"/>
              <w:jc w:val="center"/>
              <w:rPr>
                <w:sz w:val="28"/>
                <w:lang w:val="uk-UA"/>
              </w:rPr>
            </w:pPr>
            <w:r>
              <w:rPr>
                <w:sz w:val="28"/>
                <w:lang w:val="uk-UA"/>
              </w:rPr>
              <w:t>Патріот, 10 % в.р.к.</w:t>
            </w:r>
          </w:p>
        </w:tc>
        <w:tc>
          <w:tcPr>
            <w:tcW w:w="1922" w:type="dxa"/>
            <w:gridSpan w:val="2"/>
            <w:vAlign w:val="center"/>
          </w:tcPr>
          <w:p w:rsidR="003F2351" w:rsidRDefault="003F2351" w:rsidP="00E525CF">
            <w:pPr>
              <w:pStyle w:val="2ffff9"/>
              <w:spacing w:after="0" w:line="240" w:lineRule="auto"/>
              <w:jc w:val="center"/>
              <w:rPr>
                <w:sz w:val="28"/>
                <w:lang w:val="uk-UA"/>
              </w:rPr>
            </w:pPr>
            <w:r>
              <w:rPr>
                <w:sz w:val="28"/>
                <w:lang w:val="uk-UA"/>
              </w:rPr>
              <w:t>ДТ-03, в.р.к.</w:t>
            </w:r>
          </w:p>
        </w:tc>
      </w:tr>
      <w:tr w:rsidR="003F2351" w:rsidTr="00E525CF">
        <w:tblPrEx>
          <w:tblCellMar>
            <w:top w:w="0" w:type="dxa"/>
            <w:bottom w:w="0" w:type="dxa"/>
          </w:tblCellMar>
        </w:tblPrEx>
        <w:trPr>
          <w:cantSplit/>
          <w:trHeight w:val="1689"/>
        </w:trPr>
        <w:tc>
          <w:tcPr>
            <w:tcW w:w="1868" w:type="dxa"/>
            <w:vMerge/>
            <w:vAlign w:val="center"/>
          </w:tcPr>
          <w:p w:rsidR="003F2351" w:rsidRDefault="003F2351" w:rsidP="00E525CF">
            <w:pPr>
              <w:rPr>
                <w:sz w:val="28"/>
                <w:lang w:val="uk-UA"/>
              </w:rPr>
            </w:pPr>
          </w:p>
        </w:tc>
        <w:tc>
          <w:tcPr>
            <w:tcW w:w="1754" w:type="dxa"/>
            <w:vMerge/>
          </w:tcPr>
          <w:p w:rsidR="003F2351" w:rsidRDefault="003F2351" w:rsidP="00E525CF">
            <w:pPr>
              <w:rPr>
                <w:sz w:val="28"/>
                <w:lang w:val="uk-UA"/>
              </w:rPr>
            </w:pPr>
          </w:p>
        </w:tc>
        <w:tc>
          <w:tcPr>
            <w:tcW w:w="961" w:type="dxa"/>
            <w:textDirection w:val="btLr"/>
            <w:vAlign w:val="center"/>
          </w:tcPr>
          <w:p w:rsidR="003F2351" w:rsidRDefault="003F2351" w:rsidP="00E525CF">
            <w:pPr>
              <w:ind w:left="113" w:right="113"/>
              <w:jc w:val="center"/>
              <w:rPr>
                <w:sz w:val="28"/>
                <w:lang w:val="uk-UA"/>
              </w:rPr>
            </w:pPr>
            <w:r>
              <w:rPr>
                <w:sz w:val="28"/>
                <w:lang w:val="uk-UA"/>
              </w:rPr>
              <w:t>Заправник</w:t>
            </w:r>
          </w:p>
        </w:tc>
        <w:tc>
          <w:tcPr>
            <w:tcW w:w="961" w:type="dxa"/>
            <w:textDirection w:val="btLr"/>
            <w:vAlign w:val="center"/>
          </w:tcPr>
          <w:p w:rsidR="003F2351" w:rsidRDefault="003F2351" w:rsidP="00E525CF">
            <w:pPr>
              <w:ind w:left="113" w:right="113"/>
              <w:jc w:val="center"/>
              <w:rPr>
                <w:sz w:val="28"/>
                <w:lang w:val="uk-UA"/>
              </w:rPr>
            </w:pPr>
            <w:r>
              <w:rPr>
                <w:sz w:val="28"/>
                <w:lang w:val="uk-UA"/>
              </w:rPr>
              <w:t>Тракторист</w:t>
            </w:r>
          </w:p>
        </w:tc>
        <w:tc>
          <w:tcPr>
            <w:tcW w:w="961" w:type="dxa"/>
            <w:textDirection w:val="btLr"/>
            <w:vAlign w:val="center"/>
          </w:tcPr>
          <w:p w:rsidR="003F2351" w:rsidRDefault="003F2351" w:rsidP="00E525CF">
            <w:pPr>
              <w:ind w:left="113" w:right="113"/>
              <w:jc w:val="center"/>
              <w:rPr>
                <w:sz w:val="28"/>
                <w:lang w:val="uk-UA"/>
              </w:rPr>
            </w:pPr>
            <w:r>
              <w:rPr>
                <w:sz w:val="28"/>
                <w:lang w:val="uk-UA"/>
              </w:rPr>
              <w:t>Заправник</w:t>
            </w:r>
          </w:p>
        </w:tc>
        <w:tc>
          <w:tcPr>
            <w:tcW w:w="961" w:type="dxa"/>
            <w:textDirection w:val="btLr"/>
            <w:vAlign w:val="center"/>
          </w:tcPr>
          <w:p w:rsidR="003F2351" w:rsidRDefault="003F2351" w:rsidP="00E525CF">
            <w:pPr>
              <w:ind w:left="113" w:right="113"/>
              <w:jc w:val="center"/>
              <w:rPr>
                <w:sz w:val="28"/>
                <w:lang w:val="uk-UA"/>
              </w:rPr>
            </w:pPr>
            <w:r>
              <w:rPr>
                <w:sz w:val="28"/>
                <w:lang w:val="uk-UA"/>
              </w:rPr>
              <w:t>Тракторист</w:t>
            </w:r>
          </w:p>
        </w:tc>
        <w:tc>
          <w:tcPr>
            <w:tcW w:w="961" w:type="dxa"/>
            <w:textDirection w:val="btLr"/>
            <w:vAlign w:val="center"/>
          </w:tcPr>
          <w:p w:rsidR="003F2351" w:rsidRDefault="003F2351" w:rsidP="00E525CF">
            <w:pPr>
              <w:ind w:left="113" w:right="113"/>
              <w:jc w:val="center"/>
              <w:rPr>
                <w:sz w:val="28"/>
                <w:lang w:val="uk-UA"/>
              </w:rPr>
            </w:pPr>
            <w:r>
              <w:rPr>
                <w:sz w:val="28"/>
                <w:lang w:val="uk-UA"/>
              </w:rPr>
              <w:t>Заправник</w:t>
            </w:r>
          </w:p>
        </w:tc>
        <w:tc>
          <w:tcPr>
            <w:tcW w:w="961" w:type="dxa"/>
            <w:textDirection w:val="btLr"/>
            <w:vAlign w:val="center"/>
          </w:tcPr>
          <w:p w:rsidR="003F2351" w:rsidRDefault="003F2351" w:rsidP="00E525CF">
            <w:pPr>
              <w:ind w:left="113" w:right="113"/>
              <w:jc w:val="center"/>
              <w:rPr>
                <w:sz w:val="28"/>
                <w:lang w:val="uk-UA"/>
              </w:rPr>
            </w:pPr>
            <w:r>
              <w:rPr>
                <w:sz w:val="28"/>
                <w:lang w:val="uk-UA"/>
              </w:rPr>
              <w:t>Тракторист</w:t>
            </w:r>
          </w:p>
        </w:tc>
      </w:tr>
      <w:tr w:rsidR="003F2351" w:rsidTr="00E525CF">
        <w:tblPrEx>
          <w:tblCellMar>
            <w:top w:w="0" w:type="dxa"/>
            <w:bottom w:w="0" w:type="dxa"/>
          </w:tblCellMar>
        </w:tblPrEx>
        <w:trPr>
          <w:cantSplit/>
        </w:trPr>
        <w:tc>
          <w:tcPr>
            <w:tcW w:w="1868" w:type="dxa"/>
            <w:vMerge w:val="restart"/>
            <w:vAlign w:val="center"/>
          </w:tcPr>
          <w:p w:rsidR="003F2351" w:rsidRDefault="003F2351" w:rsidP="00E525CF">
            <w:pPr>
              <w:jc w:val="center"/>
              <w:rPr>
                <w:spacing w:val="-4"/>
                <w:sz w:val="28"/>
                <w:lang w:val="uk-UA"/>
              </w:rPr>
            </w:pPr>
            <w:r>
              <w:rPr>
                <w:sz w:val="28"/>
                <w:lang w:val="uk-UA"/>
              </w:rPr>
              <w:t>Ризик шкідливої дії</w:t>
            </w:r>
          </w:p>
        </w:tc>
        <w:tc>
          <w:tcPr>
            <w:tcW w:w="1754" w:type="dxa"/>
          </w:tcPr>
          <w:p w:rsidR="003F2351" w:rsidRDefault="003F2351" w:rsidP="00E525CF">
            <w:pPr>
              <w:jc w:val="both"/>
              <w:rPr>
                <w:spacing w:val="-4"/>
                <w:sz w:val="28"/>
                <w:lang w:val="uk-UA"/>
              </w:rPr>
            </w:pPr>
            <w:r>
              <w:rPr>
                <w:spacing w:val="-4"/>
                <w:sz w:val="28"/>
                <w:lang w:val="uk-UA"/>
              </w:rPr>
              <w:t>Інгаляційно</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0,014</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0,016</w:t>
            </w:r>
          </w:p>
        </w:tc>
        <w:tc>
          <w:tcPr>
            <w:tcW w:w="961" w:type="dxa"/>
          </w:tcPr>
          <w:p w:rsidR="003F2351" w:rsidRDefault="003F2351" w:rsidP="00E525CF">
            <w:pPr>
              <w:jc w:val="center"/>
              <w:rPr>
                <w:sz w:val="28"/>
                <w:lang w:val="uk-UA"/>
              </w:rPr>
            </w:pPr>
            <w:r>
              <w:rPr>
                <w:sz w:val="28"/>
                <w:lang w:val="uk-UA"/>
              </w:rPr>
              <w:t>0,010</w:t>
            </w:r>
          </w:p>
        </w:tc>
      </w:tr>
      <w:tr w:rsidR="003F2351" w:rsidTr="00E525CF">
        <w:tblPrEx>
          <w:tblCellMar>
            <w:top w:w="0" w:type="dxa"/>
            <w:bottom w:w="0" w:type="dxa"/>
          </w:tblCellMar>
        </w:tblPrEx>
        <w:trPr>
          <w:cantSplit/>
        </w:trPr>
        <w:tc>
          <w:tcPr>
            <w:tcW w:w="1868" w:type="dxa"/>
            <w:vMerge/>
            <w:vAlign w:val="center"/>
          </w:tcPr>
          <w:p w:rsidR="003F2351" w:rsidRDefault="003F2351" w:rsidP="00E525CF">
            <w:pPr>
              <w:jc w:val="center"/>
              <w:rPr>
                <w:sz w:val="28"/>
                <w:lang w:val="uk-UA"/>
              </w:rPr>
            </w:pPr>
          </w:p>
        </w:tc>
        <w:tc>
          <w:tcPr>
            <w:tcW w:w="1754" w:type="dxa"/>
          </w:tcPr>
          <w:p w:rsidR="003F2351" w:rsidRDefault="003F2351" w:rsidP="00E525CF">
            <w:pPr>
              <w:jc w:val="both"/>
              <w:rPr>
                <w:spacing w:val="-4"/>
                <w:sz w:val="28"/>
                <w:lang w:val="uk-UA"/>
              </w:rPr>
            </w:pPr>
            <w:r>
              <w:rPr>
                <w:spacing w:val="-4"/>
                <w:sz w:val="28"/>
                <w:lang w:val="uk-UA"/>
              </w:rPr>
              <w:t>Перкутанно</w:t>
            </w:r>
          </w:p>
        </w:tc>
        <w:tc>
          <w:tcPr>
            <w:tcW w:w="961" w:type="dxa"/>
          </w:tcPr>
          <w:p w:rsidR="003F2351" w:rsidRDefault="003F2351" w:rsidP="00E525CF">
            <w:pPr>
              <w:jc w:val="center"/>
              <w:rPr>
                <w:sz w:val="28"/>
                <w:lang w:val="uk-UA"/>
              </w:rPr>
            </w:pPr>
            <w:r>
              <w:rPr>
                <w:sz w:val="28"/>
                <w:lang w:val="uk-UA"/>
              </w:rPr>
              <w:t>0,067</w:t>
            </w:r>
          </w:p>
        </w:tc>
        <w:tc>
          <w:tcPr>
            <w:tcW w:w="961" w:type="dxa"/>
          </w:tcPr>
          <w:p w:rsidR="003F2351" w:rsidRDefault="003F2351" w:rsidP="00E525CF">
            <w:pPr>
              <w:jc w:val="center"/>
              <w:rPr>
                <w:sz w:val="28"/>
                <w:lang w:val="uk-UA"/>
              </w:rPr>
            </w:pPr>
            <w:r>
              <w:rPr>
                <w:sz w:val="28"/>
                <w:lang w:val="uk-UA"/>
              </w:rPr>
              <w:t>0,066</w:t>
            </w:r>
          </w:p>
        </w:tc>
        <w:tc>
          <w:tcPr>
            <w:tcW w:w="961" w:type="dxa"/>
          </w:tcPr>
          <w:p w:rsidR="003F2351" w:rsidRDefault="003F2351" w:rsidP="00E525CF">
            <w:pPr>
              <w:jc w:val="center"/>
              <w:rPr>
                <w:sz w:val="28"/>
                <w:lang w:val="uk-UA"/>
              </w:rPr>
            </w:pPr>
            <w:r>
              <w:rPr>
                <w:sz w:val="28"/>
                <w:lang w:val="uk-UA"/>
              </w:rPr>
              <w:t>0,063</w:t>
            </w:r>
          </w:p>
        </w:tc>
        <w:tc>
          <w:tcPr>
            <w:tcW w:w="961" w:type="dxa"/>
          </w:tcPr>
          <w:p w:rsidR="003F2351" w:rsidRDefault="003F2351" w:rsidP="00E525CF">
            <w:pPr>
              <w:jc w:val="center"/>
              <w:rPr>
                <w:sz w:val="28"/>
                <w:lang w:val="uk-UA"/>
              </w:rPr>
            </w:pPr>
            <w:r>
              <w:rPr>
                <w:sz w:val="28"/>
                <w:lang w:val="uk-UA"/>
              </w:rPr>
              <w:t>0,061</w:t>
            </w:r>
          </w:p>
        </w:tc>
        <w:tc>
          <w:tcPr>
            <w:tcW w:w="961" w:type="dxa"/>
          </w:tcPr>
          <w:p w:rsidR="003F2351" w:rsidRDefault="003F2351" w:rsidP="00E525CF">
            <w:pPr>
              <w:jc w:val="center"/>
              <w:rPr>
                <w:sz w:val="28"/>
                <w:lang w:val="uk-UA"/>
              </w:rPr>
            </w:pPr>
            <w:r>
              <w:rPr>
                <w:sz w:val="28"/>
                <w:lang w:val="uk-UA"/>
              </w:rPr>
              <w:t>0,054</w:t>
            </w:r>
          </w:p>
        </w:tc>
        <w:tc>
          <w:tcPr>
            <w:tcW w:w="961" w:type="dxa"/>
          </w:tcPr>
          <w:p w:rsidR="003F2351" w:rsidRDefault="003F2351" w:rsidP="00E525CF">
            <w:pPr>
              <w:jc w:val="center"/>
              <w:rPr>
                <w:sz w:val="28"/>
                <w:lang w:val="uk-UA"/>
              </w:rPr>
            </w:pPr>
            <w:r>
              <w:rPr>
                <w:sz w:val="28"/>
                <w:lang w:val="uk-UA"/>
              </w:rPr>
              <w:t>0,052</w:t>
            </w:r>
          </w:p>
        </w:tc>
      </w:tr>
      <w:tr w:rsidR="003F2351" w:rsidTr="00E525CF">
        <w:tblPrEx>
          <w:tblCellMar>
            <w:top w:w="0" w:type="dxa"/>
            <w:bottom w:w="0" w:type="dxa"/>
          </w:tblCellMar>
        </w:tblPrEx>
        <w:trPr>
          <w:cantSplit/>
        </w:trPr>
        <w:tc>
          <w:tcPr>
            <w:tcW w:w="1868" w:type="dxa"/>
            <w:vMerge/>
            <w:vAlign w:val="center"/>
          </w:tcPr>
          <w:p w:rsidR="003F2351" w:rsidRDefault="003F2351" w:rsidP="00E525CF">
            <w:pPr>
              <w:jc w:val="center"/>
              <w:rPr>
                <w:sz w:val="28"/>
                <w:lang w:val="uk-UA"/>
              </w:rPr>
            </w:pPr>
          </w:p>
        </w:tc>
        <w:tc>
          <w:tcPr>
            <w:tcW w:w="1754" w:type="dxa"/>
          </w:tcPr>
          <w:p w:rsidR="003F2351" w:rsidRDefault="003F2351" w:rsidP="00E525CF">
            <w:pPr>
              <w:jc w:val="both"/>
              <w:rPr>
                <w:spacing w:val="-4"/>
                <w:sz w:val="28"/>
                <w:lang w:val="uk-UA"/>
              </w:rPr>
            </w:pPr>
            <w:r>
              <w:rPr>
                <w:spacing w:val="-4"/>
                <w:sz w:val="28"/>
                <w:lang w:val="uk-UA"/>
              </w:rPr>
              <w:t>Комплексно</w:t>
            </w:r>
          </w:p>
        </w:tc>
        <w:tc>
          <w:tcPr>
            <w:tcW w:w="961" w:type="dxa"/>
          </w:tcPr>
          <w:p w:rsidR="003F2351" w:rsidRDefault="003F2351" w:rsidP="00E525CF">
            <w:pPr>
              <w:jc w:val="center"/>
              <w:rPr>
                <w:sz w:val="28"/>
                <w:lang w:val="uk-UA"/>
              </w:rPr>
            </w:pPr>
            <w:r>
              <w:rPr>
                <w:sz w:val="28"/>
                <w:lang w:val="uk-UA"/>
              </w:rPr>
              <w:t>0,077</w:t>
            </w:r>
          </w:p>
        </w:tc>
        <w:tc>
          <w:tcPr>
            <w:tcW w:w="961" w:type="dxa"/>
          </w:tcPr>
          <w:p w:rsidR="003F2351" w:rsidRDefault="003F2351" w:rsidP="00E525CF">
            <w:pPr>
              <w:jc w:val="center"/>
              <w:rPr>
                <w:sz w:val="28"/>
                <w:lang w:val="uk-UA"/>
              </w:rPr>
            </w:pPr>
            <w:r>
              <w:rPr>
                <w:sz w:val="28"/>
                <w:lang w:val="uk-UA"/>
              </w:rPr>
              <w:t>0,076</w:t>
            </w:r>
          </w:p>
        </w:tc>
        <w:tc>
          <w:tcPr>
            <w:tcW w:w="961" w:type="dxa"/>
          </w:tcPr>
          <w:p w:rsidR="003F2351" w:rsidRDefault="003F2351" w:rsidP="00E525CF">
            <w:pPr>
              <w:jc w:val="center"/>
              <w:rPr>
                <w:sz w:val="28"/>
                <w:lang w:val="uk-UA"/>
              </w:rPr>
            </w:pPr>
            <w:r>
              <w:rPr>
                <w:sz w:val="28"/>
                <w:lang w:val="uk-UA"/>
              </w:rPr>
              <w:t>0,077</w:t>
            </w:r>
          </w:p>
        </w:tc>
        <w:tc>
          <w:tcPr>
            <w:tcW w:w="961" w:type="dxa"/>
          </w:tcPr>
          <w:p w:rsidR="003F2351" w:rsidRDefault="003F2351" w:rsidP="00E525CF">
            <w:pPr>
              <w:jc w:val="center"/>
              <w:rPr>
                <w:sz w:val="28"/>
                <w:lang w:val="uk-UA"/>
              </w:rPr>
            </w:pPr>
            <w:r>
              <w:rPr>
                <w:sz w:val="28"/>
                <w:lang w:val="uk-UA"/>
              </w:rPr>
              <w:t>0,071</w:t>
            </w:r>
          </w:p>
        </w:tc>
        <w:tc>
          <w:tcPr>
            <w:tcW w:w="961" w:type="dxa"/>
          </w:tcPr>
          <w:p w:rsidR="003F2351" w:rsidRDefault="003F2351" w:rsidP="00E525CF">
            <w:pPr>
              <w:jc w:val="center"/>
              <w:rPr>
                <w:sz w:val="28"/>
                <w:lang w:val="uk-UA"/>
              </w:rPr>
            </w:pPr>
            <w:r>
              <w:rPr>
                <w:sz w:val="28"/>
                <w:lang w:val="uk-UA"/>
              </w:rPr>
              <w:t>0,070</w:t>
            </w:r>
          </w:p>
        </w:tc>
        <w:tc>
          <w:tcPr>
            <w:tcW w:w="961" w:type="dxa"/>
          </w:tcPr>
          <w:p w:rsidR="003F2351" w:rsidRDefault="003F2351" w:rsidP="00E525CF">
            <w:pPr>
              <w:jc w:val="center"/>
              <w:rPr>
                <w:sz w:val="28"/>
                <w:lang w:val="uk-UA"/>
              </w:rPr>
            </w:pPr>
            <w:r>
              <w:rPr>
                <w:sz w:val="28"/>
                <w:lang w:val="uk-UA"/>
              </w:rPr>
              <w:t>0,062</w:t>
            </w:r>
          </w:p>
        </w:tc>
      </w:tr>
      <w:tr w:rsidR="003F2351" w:rsidTr="00E525CF">
        <w:tblPrEx>
          <w:tblCellMar>
            <w:top w:w="0" w:type="dxa"/>
            <w:bottom w:w="0" w:type="dxa"/>
          </w:tblCellMar>
        </w:tblPrEx>
        <w:trPr>
          <w:cantSplit/>
        </w:trPr>
        <w:tc>
          <w:tcPr>
            <w:tcW w:w="1868" w:type="dxa"/>
            <w:vMerge w:val="restart"/>
            <w:vAlign w:val="center"/>
          </w:tcPr>
          <w:p w:rsidR="003F2351" w:rsidRDefault="003F2351" w:rsidP="00E525CF">
            <w:pPr>
              <w:jc w:val="center"/>
              <w:rPr>
                <w:sz w:val="28"/>
                <w:lang w:val="uk-UA"/>
              </w:rPr>
            </w:pPr>
            <w:r>
              <w:rPr>
                <w:sz w:val="28"/>
                <w:lang w:val="uk-UA"/>
              </w:rPr>
              <w:t>Агравований ризик шкідливої дії</w:t>
            </w:r>
          </w:p>
        </w:tc>
        <w:tc>
          <w:tcPr>
            <w:tcW w:w="1754" w:type="dxa"/>
          </w:tcPr>
          <w:p w:rsidR="003F2351" w:rsidRDefault="003F2351" w:rsidP="00E525CF">
            <w:pPr>
              <w:jc w:val="both"/>
              <w:rPr>
                <w:spacing w:val="-4"/>
                <w:sz w:val="28"/>
                <w:lang w:val="uk-UA"/>
              </w:rPr>
            </w:pPr>
            <w:r>
              <w:rPr>
                <w:spacing w:val="-4"/>
                <w:sz w:val="28"/>
                <w:lang w:val="uk-UA"/>
              </w:rPr>
              <w:t>Інгаляційно</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0,014</w:t>
            </w:r>
          </w:p>
        </w:tc>
        <w:tc>
          <w:tcPr>
            <w:tcW w:w="961" w:type="dxa"/>
          </w:tcPr>
          <w:p w:rsidR="003F2351" w:rsidRDefault="003F2351" w:rsidP="00E525CF">
            <w:pPr>
              <w:jc w:val="center"/>
              <w:rPr>
                <w:sz w:val="28"/>
                <w:lang w:val="uk-UA"/>
              </w:rPr>
            </w:pPr>
            <w:r>
              <w:rPr>
                <w:sz w:val="28"/>
                <w:lang w:val="uk-UA"/>
              </w:rPr>
              <w:t>0,010</w:t>
            </w:r>
          </w:p>
        </w:tc>
        <w:tc>
          <w:tcPr>
            <w:tcW w:w="961" w:type="dxa"/>
          </w:tcPr>
          <w:p w:rsidR="003F2351" w:rsidRDefault="003F2351" w:rsidP="00E525CF">
            <w:pPr>
              <w:jc w:val="center"/>
              <w:rPr>
                <w:sz w:val="28"/>
                <w:lang w:val="uk-UA"/>
              </w:rPr>
            </w:pPr>
            <w:r>
              <w:rPr>
                <w:sz w:val="28"/>
                <w:lang w:val="uk-UA"/>
              </w:rPr>
              <w:t>0,016</w:t>
            </w:r>
          </w:p>
        </w:tc>
        <w:tc>
          <w:tcPr>
            <w:tcW w:w="961" w:type="dxa"/>
          </w:tcPr>
          <w:p w:rsidR="003F2351" w:rsidRDefault="003F2351" w:rsidP="00E525CF">
            <w:pPr>
              <w:jc w:val="center"/>
              <w:rPr>
                <w:sz w:val="28"/>
                <w:lang w:val="uk-UA"/>
              </w:rPr>
            </w:pPr>
            <w:r>
              <w:rPr>
                <w:sz w:val="28"/>
                <w:lang w:val="uk-UA"/>
              </w:rPr>
              <w:t>0,010</w:t>
            </w:r>
          </w:p>
        </w:tc>
      </w:tr>
      <w:tr w:rsidR="003F2351" w:rsidTr="00E525CF">
        <w:tblPrEx>
          <w:tblCellMar>
            <w:top w:w="0" w:type="dxa"/>
            <w:bottom w:w="0" w:type="dxa"/>
          </w:tblCellMar>
        </w:tblPrEx>
        <w:trPr>
          <w:cantSplit/>
        </w:trPr>
        <w:tc>
          <w:tcPr>
            <w:tcW w:w="1868" w:type="dxa"/>
            <w:vMerge/>
          </w:tcPr>
          <w:p w:rsidR="003F2351" w:rsidRDefault="003F2351" w:rsidP="00E525CF">
            <w:pPr>
              <w:jc w:val="both"/>
              <w:rPr>
                <w:sz w:val="28"/>
                <w:lang w:val="uk-UA"/>
              </w:rPr>
            </w:pPr>
          </w:p>
        </w:tc>
        <w:tc>
          <w:tcPr>
            <w:tcW w:w="1754" w:type="dxa"/>
          </w:tcPr>
          <w:p w:rsidR="003F2351" w:rsidRDefault="003F2351" w:rsidP="00E525CF">
            <w:pPr>
              <w:jc w:val="both"/>
              <w:rPr>
                <w:spacing w:val="-4"/>
                <w:sz w:val="28"/>
                <w:lang w:val="uk-UA"/>
              </w:rPr>
            </w:pPr>
            <w:r>
              <w:rPr>
                <w:spacing w:val="-4"/>
                <w:sz w:val="28"/>
                <w:lang w:val="uk-UA"/>
              </w:rPr>
              <w:t>Перкутанно</w:t>
            </w:r>
          </w:p>
        </w:tc>
        <w:tc>
          <w:tcPr>
            <w:tcW w:w="961" w:type="dxa"/>
          </w:tcPr>
          <w:p w:rsidR="003F2351" w:rsidRDefault="003F2351" w:rsidP="00E525CF">
            <w:pPr>
              <w:jc w:val="center"/>
              <w:rPr>
                <w:sz w:val="28"/>
                <w:lang w:val="uk-UA"/>
              </w:rPr>
            </w:pPr>
            <w:r>
              <w:rPr>
                <w:sz w:val="28"/>
                <w:lang w:val="uk-UA"/>
              </w:rPr>
              <w:t>0,440</w:t>
            </w:r>
          </w:p>
        </w:tc>
        <w:tc>
          <w:tcPr>
            <w:tcW w:w="961" w:type="dxa"/>
          </w:tcPr>
          <w:p w:rsidR="003F2351" w:rsidRDefault="003F2351" w:rsidP="00E525CF">
            <w:pPr>
              <w:jc w:val="center"/>
              <w:rPr>
                <w:sz w:val="28"/>
                <w:lang w:val="uk-UA"/>
              </w:rPr>
            </w:pPr>
            <w:r>
              <w:rPr>
                <w:sz w:val="28"/>
                <w:lang w:val="uk-UA"/>
              </w:rPr>
              <w:t>0,390</w:t>
            </w:r>
          </w:p>
        </w:tc>
        <w:tc>
          <w:tcPr>
            <w:tcW w:w="961" w:type="dxa"/>
          </w:tcPr>
          <w:p w:rsidR="003F2351" w:rsidRDefault="003F2351" w:rsidP="00E525CF">
            <w:pPr>
              <w:jc w:val="center"/>
              <w:rPr>
                <w:sz w:val="28"/>
                <w:lang w:val="uk-UA"/>
              </w:rPr>
            </w:pPr>
            <w:r>
              <w:rPr>
                <w:sz w:val="28"/>
                <w:lang w:val="uk-UA"/>
              </w:rPr>
              <w:t>0,410</w:t>
            </w:r>
          </w:p>
        </w:tc>
        <w:tc>
          <w:tcPr>
            <w:tcW w:w="961" w:type="dxa"/>
          </w:tcPr>
          <w:p w:rsidR="003F2351" w:rsidRDefault="003F2351" w:rsidP="00E525CF">
            <w:pPr>
              <w:jc w:val="center"/>
              <w:rPr>
                <w:sz w:val="28"/>
                <w:lang w:val="uk-UA"/>
              </w:rPr>
            </w:pPr>
            <w:r>
              <w:rPr>
                <w:sz w:val="28"/>
                <w:lang w:val="uk-UA"/>
              </w:rPr>
              <w:t>0,370</w:t>
            </w:r>
          </w:p>
        </w:tc>
        <w:tc>
          <w:tcPr>
            <w:tcW w:w="961" w:type="dxa"/>
          </w:tcPr>
          <w:p w:rsidR="003F2351" w:rsidRDefault="003F2351" w:rsidP="00E525CF">
            <w:pPr>
              <w:jc w:val="center"/>
              <w:rPr>
                <w:sz w:val="28"/>
                <w:lang w:val="uk-UA"/>
              </w:rPr>
            </w:pPr>
            <w:r>
              <w:rPr>
                <w:sz w:val="28"/>
                <w:lang w:val="uk-UA"/>
              </w:rPr>
              <w:t>0,350</w:t>
            </w:r>
          </w:p>
        </w:tc>
        <w:tc>
          <w:tcPr>
            <w:tcW w:w="961" w:type="dxa"/>
          </w:tcPr>
          <w:p w:rsidR="003F2351" w:rsidRDefault="003F2351" w:rsidP="00E525CF">
            <w:pPr>
              <w:jc w:val="center"/>
              <w:rPr>
                <w:sz w:val="28"/>
                <w:lang w:val="uk-UA"/>
              </w:rPr>
            </w:pPr>
            <w:r>
              <w:rPr>
                <w:sz w:val="28"/>
                <w:lang w:val="uk-UA"/>
              </w:rPr>
              <w:t>0,310</w:t>
            </w:r>
          </w:p>
        </w:tc>
      </w:tr>
      <w:tr w:rsidR="003F2351" w:rsidTr="00E525CF">
        <w:tblPrEx>
          <w:tblCellMar>
            <w:top w:w="0" w:type="dxa"/>
            <w:bottom w:w="0" w:type="dxa"/>
          </w:tblCellMar>
        </w:tblPrEx>
        <w:trPr>
          <w:cantSplit/>
        </w:trPr>
        <w:tc>
          <w:tcPr>
            <w:tcW w:w="1868" w:type="dxa"/>
            <w:vMerge/>
          </w:tcPr>
          <w:p w:rsidR="003F2351" w:rsidRDefault="003F2351" w:rsidP="00E525CF">
            <w:pPr>
              <w:jc w:val="both"/>
              <w:rPr>
                <w:sz w:val="28"/>
                <w:lang w:val="uk-UA"/>
              </w:rPr>
            </w:pPr>
          </w:p>
        </w:tc>
        <w:tc>
          <w:tcPr>
            <w:tcW w:w="1754" w:type="dxa"/>
          </w:tcPr>
          <w:p w:rsidR="003F2351" w:rsidRDefault="003F2351" w:rsidP="00E525CF">
            <w:pPr>
              <w:jc w:val="both"/>
              <w:rPr>
                <w:spacing w:val="-4"/>
                <w:sz w:val="28"/>
                <w:lang w:val="uk-UA"/>
              </w:rPr>
            </w:pPr>
            <w:r>
              <w:rPr>
                <w:spacing w:val="-4"/>
                <w:sz w:val="28"/>
                <w:lang w:val="uk-UA"/>
              </w:rPr>
              <w:t>Комплексно</w:t>
            </w:r>
          </w:p>
        </w:tc>
        <w:tc>
          <w:tcPr>
            <w:tcW w:w="961" w:type="dxa"/>
          </w:tcPr>
          <w:p w:rsidR="003F2351" w:rsidRDefault="003F2351" w:rsidP="00E525CF">
            <w:pPr>
              <w:jc w:val="center"/>
              <w:rPr>
                <w:sz w:val="28"/>
                <w:lang w:val="uk-UA"/>
              </w:rPr>
            </w:pPr>
            <w:r>
              <w:rPr>
                <w:sz w:val="28"/>
                <w:lang w:val="uk-UA"/>
              </w:rPr>
              <w:t>0,450</w:t>
            </w:r>
          </w:p>
        </w:tc>
        <w:tc>
          <w:tcPr>
            <w:tcW w:w="961" w:type="dxa"/>
          </w:tcPr>
          <w:p w:rsidR="003F2351" w:rsidRDefault="003F2351" w:rsidP="00E525CF">
            <w:pPr>
              <w:jc w:val="center"/>
              <w:rPr>
                <w:sz w:val="28"/>
                <w:lang w:val="uk-UA"/>
              </w:rPr>
            </w:pPr>
            <w:r>
              <w:rPr>
                <w:sz w:val="28"/>
                <w:lang w:val="uk-UA"/>
              </w:rPr>
              <w:t>0,400</w:t>
            </w:r>
          </w:p>
        </w:tc>
        <w:tc>
          <w:tcPr>
            <w:tcW w:w="961" w:type="dxa"/>
          </w:tcPr>
          <w:p w:rsidR="003F2351" w:rsidRDefault="003F2351" w:rsidP="00E525CF">
            <w:pPr>
              <w:jc w:val="center"/>
              <w:rPr>
                <w:sz w:val="28"/>
                <w:lang w:val="uk-UA"/>
              </w:rPr>
            </w:pPr>
            <w:r>
              <w:rPr>
                <w:sz w:val="28"/>
                <w:lang w:val="uk-UA"/>
              </w:rPr>
              <w:t>0,424</w:t>
            </w:r>
          </w:p>
        </w:tc>
        <w:tc>
          <w:tcPr>
            <w:tcW w:w="961" w:type="dxa"/>
          </w:tcPr>
          <w:p w:rsidR="003F2351" w:rsidRDefault="003F2351" w:rsidP="00E525CF">
            <w:pPr>
              <w:jc w:val="center"/>
              <w:rPr>
                <w:sz w:val="28"/>
                <w:lang w:val="uk-UA"/>
              </w:rPr>
            </w:pPr>
            <w:r>
              <w:rPr>
                <w:sz w:val="28"/>
                <w:lang w:val="uk-UA"/>
              </w:rPr>
              <w:t>0,380</w:t>
            </w:r>
          </w:p>
        </w:tc>
        <w:tc>
          <w:tcPr>
            <w:tcW w:w="961" w:type="dxa"/>
          </w:tcPr>
          <w:p w:rsidR="003F2351" w:rsidRDefault="003F2351" w:rsidP="00E525CF">
            <w:pPr>
              <w:jc w:val="center"/>
              <w:rPr>
                <w:sz w:val="28"/>
                <w:lang w:val="uk-UA"/>
              </w:rPr>
            </w:pPr>
            <w:r>
              <w:rPr>
                <w:sz w:val="28"/>
                <w:lang w:val="uk-UA"/>
              </w:rPr>
              <w:t>0,366</w:t>
            </w:r>
          </w:p>
        </w:tc>
        <w:tc>
          <w:tcPr>
            <w:tcW w:w="961" w:type="dxa"/>
          </w:tcPr>
          <w:p w:rsidR="003F2351" w:rsidRDefault="003F2351" w:rsidP="00E525CF">
            <w:pPr>
              <w:jc w:val="center"/>
              <w:rPr>
                <w:sz w:val="28"/>
                <w:lang w:val="uk-UA"/>
              </w:rPr>
            </w:pPr>
            <w:r>
              <w:rPr>
                <w:sz w:val="28"/>
                <w:lang w:val="uk-UA"/>
              </w:rPr>
              <w:t>0,320</w:t>
            </w:r>
          </w:p>
        </w:tc>
      </w:tr>
    </w:tbl>
    <w:p w:rsidR="003F2351" w:rsidRDefault="003F2351" w:rsidP="003F2351">
      <w:pPr>
        <w:rPr>
          <w:lang w:val="uk-UA"/>
        </w:rPr>
      </w:pPr>
    </w:p>
    <w:p w:rsidR="003F2351" w:rsidRDefault="003F2351" w:rsidP="003F2351">
      <w:pPr>
        <w:ind w:firstLine="709"/>
        <w:jc w:val="both"/>
        <w:rPr>
          <w:lang w:val="uk-UA"/>
        </w:rPr>
      </w:pPr>
      <w:r>
        <w:rPr>
          <w:rFonts w:ascii="Times New Roman CYR" w:hAnsi="Times New Roman CYR"/>
          <w:sz w:val="28"/>
          <w:lang w:val="uk-UA"/>
        </w:rPr>
        <w:t>Ризик шкідливої дії імазетапіру при крізьшкірному надходженні, розрахований як співвідношення фактичної дермальної експозиції до орієнтовного допустимого рівня забруднення шкіряних покр</w:t>
      </w:r>
      <w:r>
        <w:rPr>
          <w:rFonts w:ascii="Times New Roman CYR" w:hAnsi="Times New Roman CYR"/>
          <w:sz w:val="28"/>
          <w:lang w:val="uk-UA"/>
        </w:rPr>
        <w:t>и</w:t>
      </w:r>
      <w:r>
        <w:rPr>
          <w:rFonts w:ascii="Times New Roman CYR" w:hAnsi="Times New Roman CYR"/>
          <w:sz w:val="28"/>
          <w:lang w:val="uk-UA"/>
        </w:rPr>
        <w:t xml:space="preserve">вів </w:t>
      </w:r>
      <w:r>
        <w:rPr>
          <w:sz w:val="28"/>
          <w:lang w:val="uk-UA"/>
        </w:rPr>
        <w:t>виявився приблизно однаковим при використанні різних препаратів та колив</w:t>
      </w:r>
      <w:r>
        <w:rPr>
          <w:sz w:val="28"/>
          <w:lang w:val="uk-UA"/>
        </w:rPr>
        <w:t>а</w:t>
      </w:r>
      <w:r>
        <w:rPr>
          <w:sz w:val="28"/>
          <w:lang w:val="uk-UA"/>
        </w:rPr>
        <w:t>вся в межах від 0,052 до 0,067.</w:t>
      </w:r>
    </w:p>
    <w:p w:rsidR="003F2351" w:rsidRDefault="003F2351" w:rsidP="003F2351">
      <w:pPr>
        <w:pStyle w:val="affffffff1"/>
        <w:spacing w:after="0"/>
        <w:ind w:left="0" w:firstLine="709"/>
        <w:jc w:val="both"/>
        <w:rPr>
          <w:lang w:val="uk-UA"/>
        </w:rPr>
      </w:pPr>
      <w:r>
        <w:rPr>
          <w:lang w:val="uk-UA"/>
        </w:rPr>
        <w:t>При використанні усіх 3 досліджуваних гербіцидів сумарний р</w:t>
      </w:r>
      <w:r>
        <w:rPr>
          <w:lang w:val="uk-UA"/>
        </w:rPr>
        <w:t>и</w:t>
      </w:r>
      <w:r>
        <w:rPr>
          <w:lang w:val="uk-UA"/>
        </w:rPr>
        <w:t>зик шкідливого впливу імазетапіру при комплексному надходженні через д</w:t>
      </w:r>
      <w:r>
        <w:rPr>
          <w:lang w:val="uk-UA"/>
        </w:rPr>
        <w:t>и</w:t>
      </w:r>
      <w:r>
        <w:rPr>
          <w:lang w:val="uk-UA"/>
        </w:rPr>
        <w:t xml:space="preserve">хальні шляхи та шкіру, в тому числі й </w:t>
      </w:r>
      <w:r w:rsidRPr="0025478E">
        <w:rPr>
          <w:lang w:val="en-US"/>
        </w:rPr>
        <w:t>агравований,</w:t>
      </w:r>
      <w:r w:rsidRPr="0025478E">
        <w:rPr>
          <w:lang w:val="uk-UA"/>
        </w:rPr>
        <w:t xml:space="preserve"> </w:t>
      </w:r>
      <w:r>
        <w:rPr>
          <w:lang w:val="uk-UA"/>
        </w:rPr>
        <w:t>є допустимим. В усіх випадках р</w:t>
      </w:r>
      <w:r>
        <w:rPr>
          <w:lang w:val="uk-UA"/>
        </w:rPr>
        <w:t>и</w:t>
      </w:r>
      <w:r>
        <w:rPr>
          <w:lang w:val="uk-UA"/>
        </w:rPr>
        <w:t>зик крізьшкіряного надходження виявився значно більшим (в 3,4––6,7 разів), ніж інгаляційний ризик. Використання при роботі з герб</w:t>
      </w:r>
      <w:r>
        <w:rPr>
          <w:lang w:val="uk-UA"/>
        </w:rPr>
        <w:t>і</w:t>
      </w:r>
      <w:r>
        <w:rPr>
          <w:lang w:val="uk-UA"/>
        </w:rPr>
        <w:t>цидами на основі імазетапіру спецодягу та гумових рукавичок зменшувало потенційний ризик в 5,2––5,8 р</w:t>
      </w:r>
      <w:r>
        <w:rPr>
          <w:lang w:val="uk-UA"/>
        </w:rPr>
        <w:t>а</w:t>
      </w:r>
      <w:r>
        <w:rPr>
          <w:lang w:val="uk-UA"/>
        </w:rPr>
        <w:t>зів.</w:t>
      </w:r>
    </w:p>
    <w:p w:rsidR="003F2351" w:rsidRDefault="003F2351" w:rsidP="003F2351">
      <w:pPr>
        <w:pStyle w:val="2ffff9"/>
        <w:spacing w:after="0" w:line="240" w:lineRule="auto"/>
        <w:ind w:firstLine="709"/>
        <w:jc w:val="both"/>
        <w:rPr>
          <w:sz w:val="28"/>
          <w:lang w:val="uk-UA"/>
        </w:rPr>
      </w:pPr>
      <w:r>
        <w:rPr>
          <w:sz w:val="28"/>
          <w:lang w:val="uk-UA"/>
        </w:rPr>
        <w:t xml:space="preserve">На підставі отриманих результатів обґрунтований строк безпечного виходу </w:t>
      </w:r>
      <w:r>
        <w:rPr>
          <w:rFonts w:ascii="Times New Roman CYR" w:hAnsi="Times New Roman CYR"/>
          <w:sz w:val="28"/>
          <w:lang w:val="uk-UA"/>
        </w:rPr>
        <w:t xml:space="preserve">працюючих на оброблені гербіцидами ділянки для проведення </w:t>
      </w:r>
      <w:r>
        <w:rPr>
          <w:rFonts w:ascii="Times New Roman CYR" w:hAnsi="Times New Roman CYR"/>
          <w:sz w:val="28"/>
          <w:lang w:val="uk-UA"/>
        </w:rPr>
        <w:lastRenderedPageBreak/>
        <w:t>механ</w:t>
      </w:r>
      <w:r>
        <w:rPr>
          <w:rFonts w:ascii="Times New Roman CYR" w:hAnsi="Times New Roman CYR"/>
          <w:sz w:val="28"/>
          <w:lang w:val="uk-UA"/>
        </w:rPr>
        <w:t>і</w:t>
      </w:r>
      <w:r>
        <w:rPr>
          <w:rFonts w:ascii="Times New Roman CYR" w:hAnsi="Times New Roman CYR"/>
          <w:sz w:val="28"/>
          <w:lang w:val="uk-UA"/>
        </w:rPr>
        <w:t>зованих робіт (3 доби) та</w:t>
      </w:r>
      <w:r>
        <w:rPr>
          <w:sz w:val="28"/>
          <w:lang w:val="uk-UA"/>
        </w:rPr>
        <w:t xml:space="preserve"> розроблені інструкції з безпечного застосування гербіцидів Півот, Па</w:t>
      </w:r>
      <w:r>
        <w:rPr>
          <w:sz w:val="28"/>
          <w:lang w:val="uk-UA"/>
        </w:rPr>
        <w:t>т</w:t>
      </w:r>
      <w:r>
        <w:rPr>
          <w:sz w:val="28"/>
          <w:lang w:val="uk-UA"/>
        </w:rPr>
        <w:t>ріот та ДТ-03.</w:t>
      </w:r>
    </w:p>
    <w:p w:rsidR="003F2351" w:rsidRDefault="003F2351" w:rsidP="003F2351">
      <w:pPr>
        <w:pStyle w:val="2ffff9"/>
        <w:spacing w:after="0" w:line="240" w:lineRule="auto"/>
        <w:ind w:firstLine="709"/>
        <w:jc w:val="both"/>
        <w:rPr>
          <w:sz w:val="28"/>
          <w:lang w:val="uk-UA"/>
        </w:rPr>
      </w:pPr>
    </w:p>
    <w:p w:rsidR="003F2351" w:rsidRDefault="003F2351" w:rsidP="003F2351">
      <w:pPr>
        <w:pStyle w:val="affffffff"/>
        <w:rPr>
          <w:b w:val="0"/>
          <w:sz w:val="28"/>
        </w:rPr>
      </w:pPr>
      <w:r>
        <w:rPr>
          <w:b w:val="0"/>
          <w:sz w:val="28"/>
        </w:rPr>
        <w:t>ВИСНОВКИ</w:t>
      </w:r>
    </w:p>
    <w:p w:rsidR="003F2351" w:rsidRDefault="003F2351" w:rsidP="003F2351">
      <w:pPr>
        <w:pStyle w:val="affffffff"/>
        <w:rPr>
          <w:b w:val="0"/>
          <w:sz w:val="28"/>
        </w:rPr>
      </w:pPr>
    </w:p>
    <w:p w:rsidR="003F2351" w:rsidRDefault="003F2351" w:rsidP="003F2351">
      <w:pPr>
        <w:ind w:firstLine="709"/>
        <w:jc w:val="both"/>
        <w:rPr>
          <w:spacing w:val="-4"/>
          <w:sz w:val="28"/>
          <w:lang w:val="uk-UA"/>
        </w:rPr>
      </w:pPr>
      <w:r>
        <w:rPr>
          <w:rFonts w:ascii="Times New Roman CYR" w:hAnsi="Times New Roman CYR"/>
          <w:sz w:val="28"/>
          <w:lang w:val="uk-UA"/>
        </w:rPr>
        <w:t xml:space="preserve">У дисертації, на основі результатів комплексних </w:t>
      </w:r>
      <w:r>
        <w:rPr>
          <w:sz w:val="28"/>
          <w:lang w:val="uk-UA"/>
        </w:rPr>
        <w:t>натурних і експер</w:t>
      </w:r>
      <w:r>
        <w:rPr>
          <w:sz w:val="28"/>
          <w:lang w:val="uk-UA"/>
        </w:rPr>
        <w:t>и</w:t>
      </w:r>
      <w:r>
        <w:rPr>
          <w:sz w:val="28"/>
          <w:lang w:val="uk-UA"/>
        </w:rPr>
        <w:t xml:space="preserve">ментальних </w:t>
      </w:r>
      <w:r>
        <w:rPr>
          <w:rFonts w:ascii="Times New Roman CYR" w:hAnsi="Times New Roman CYR"/>
          <w:sz w:val="28"/>
          <w:lang w:val="uk-UA"/>
        </w:rPr>
        <w:t xml:space="preserve">досліджень, вирішено актуальне наукове завдання – проведено </w:t>
      </w:r>
      <w:r>
        <w:rPr>
          <w:sz w:val="28"/>
          <w:lang w:val="uk-UA"/>
        </w:rPr>
        <w:t>гігієнічну оцінку нових імідазолінонових гербіц</w:t>
      </w:r>
      <w:r>
        <w:rPr>
          <w:sz w:val="28"/>
          <w:lang w:val="uk-UA"/>
        </w:rPr>
        <w:t>и</w:t>
      </w:r>
      <w:r>
        <w:rPr>
          <w:sz w:val="28"/>
          <w:lang w:val="uk-UA"/>
        </w:rPr>
        <w:t>дів Півот, Патріот, ДТ-03 та їх діючої реч</w:t>
      </w:r>
      <w:r>
        <w:rPr>
          <w:sz w:val="28"/>
          <w:lang w:val="uk-UA"/>
        </w:rPr>
        <w:t>о</w:t>
      </w:r>
      <w:r>
        <w:rPr>
          <w:sz w:val="28"/>
          <w:lang w:val="uk-UA"/>
        </w:rPr>
        <w:t>вини – імазетапіру, встановлено закономірності поведінки в об’єктах навк</w:t>
      </w:r>
      <w:r>
        <w:rPr>
          <w:sz w:val="28"/>
          <w:lang w:val="uk-UA"/>
        </w:rPr>
        <w:t>о</w:t>
      </w:r>
      <w:r>
        <w:rPr>
          <w:sz w:val="28"/>
          <w:lang w:val="uk-UA"/>
        </w:rPr>
        <w:t>лишнього середовища, оцінено екотоксикологічний ризик та ризик шкідл</w:t>
      </w:r>
      <w:r>
        <w:rPr>
          <w:sz w:val="28"/>
          <w:lang w:val="uk-UA"/>
        </w:rPr>
        <w:t>и</w:t>
      </w:r>
      <w:r>
        <w:rPr>
          <w:sz w:val="28"/>
          <w:lang w:val="uk-UA"/>
        </w:rPr>
        <w:t>вого впливу на здоров’я працюючих, науково обґрунтовано гранично допу</w:t>
      </w:r>
      <w:r>
        <w:rPr>
          <w:sz w:val="28"/>
          <w:lang w:val="uk-UA"/>
        </w:rPr>
        <w:t>с</w:t>
      </w:r>
      <w:r>
        <w:rPr>
          <w:sz w:val="28"/>
          <w:lang w:val="uk-UA"/>
        </w:rPr>
        <w:t>тиму концентрацію імазетапіру у ґрунті та гігієнічні регламенти безп</w:t>
      </w:r>
      <w:r>
        <w:rPr>
          <w:sz w:val="28"/>
          <w:lang w:val="uk-UA"/>
        </w:rPr>
        <w:t>е</w:t>
      </w:r>
      <w:r>
        <w:rPr>
          <w:sz w:val="28"/>
          <w:lang w:val="uk-UA"/>
        </w:rPr>
        <w:t>чного застосування досліджуваних гербіцидів, що</w:t>
      </w:r>
      <w:r>
        <w:rPr>
          <w:spacing w:val="-4"/>
          <w:sz w:val="28"/>
          <w:lang w:val="uk-UA"/>
        </w:rPr>
        <w:t xml:space="preserve"> сприятиме зменшенню х</w:t>
      </w:r>
      <w:r>
        <w:rPr>
          <w:spacing w:val="-4"/>
          <w:sz w:val="28"/>
          <w:lang w:val="uk-UA"/>
        </w:rPr>
        <w:t>і</w:t>
      </w:r>
      <w:r>
        <w:rPr>
          <w:spacing w:val="-4"/>
          <w:sz w:val="28"/>
          <w:lang w:val="uk-UA"/>
        </w:rPr>
        <w:t>мічного навантаження на навколишнє природне середовище та збереженню здоров’я працюючих та нас</w:t>
      </w:r>
      <w:r>
        <w:rPr>
          <w:spacing w:val="-4"/>
          <w:sz w:val="28"/>
          <w:lang w:val="uk-UA"/>
        </w:rPr>
        <w:t>е</w:t>
      </w:r>
      <w:r>
        <w:rPr>
          <w:spacing w:val="-4"/>
          <w:sz w:val="28"/>
          <w:lang w:val="uk-UA"/>
        </w:rPr>
        <w:t>лення.</w:t>
      </w:r>
    </w:p>
    <w:p w:rsidR="003F2351" w:rsidRDefault="003F2351" w:rsidP="003F2351">
      <w:pPr>
        <w:ind w:firstLine="720"/>
        <w:jc w:val="both"/>
        <w:rPr>
          <w:sz w:val="28"/>
          <w:lang w:val="uk-UA"/>
        </w:rPr>
      </w:pPr>
      <w:r>
        <w:rPr>
          <w:color w:val="000000"/>
          <w:sz w:val="28"/>
          <w:lang w:val="uk-UA"/>
        </w:rPr>
        <w:t xml:space="preserve">1. Встановлено, що гербіциди </w:t>
      </w:r>
      <w:r>
        <w:rPr>
          <w:rFonts w:ascii="Times New Roman CYR" w:hAnsi="Times New Roman CYR"/>
          <w:sz w:val="28"/>
          <w:lang w:val="uk-UA"/>
        </w:rPr>
        <w:t xml:space="preserve">Півот, </w:t>
      </w:r>
      <w:r>
        <w:rPr>
          <w:sz w:val="28"/>
          <w:lang w:val="uk-UA"/>
        </w:rPr>
        <w:t xml:space="preserve">Патріот, ДТ-03 на основі імазетапіру можуть використовуватися  в сільському господарстві як високоефективні препарати захисту рослин. </w:t>
      </w:r>
      <w:r>
        <w:rPr>
          <w:color w:val="000000"/>
          <w:sz w:val="28"/>
          <w:lang w:val="uk-UA"/>
        </w:rPr>
        <w:t xml:space="preserve">Комплексна токсиколого-гігієнічна оцінка нових </w:t>
      </w:r>
      <w:r>
        <w:rPr>
          <w:sz w:val="28"/>
          <w:lang w:val="uk-UA"/>
        </w:rPr>
        <w:t>високоефективних</w:t>
      </w:r>
      <w:r>
        <w:rPr>
          <w:color w:val="000000"/>
          <w:sz w:val="28"/>
          <w:lang w:val="uk-UA"/>
        </w:rPr>
        <w:t xml:space="preserve"> гербіцидів на осн</w:t>
      </w:r>
      <w:r>
        <w:rPr>
          <w:color w:val="000000"/>
          <w:sz w:val="28"/>
          <w:lang w:val="uk-UA"/>
        </w:rPr>
        <w:t>о</w:t>
      </w:r>
      <w:r>
        <w:rPr>
          <w:color w:val="000000"/>
          <w:sz w:val="28"/>
          <w:lang w:val="uk-UA"/>
        </w:rPr>
        <w:t>ві імазетапіру засвідчила, що в</w:t>
      </w:r>
      <w:r>
        <w:rPr>
          <w:sz w:val="28"/>
          <w:lang w:val="uk-UA"/>
        </w:rPr>
        <w:t xml:space="preserve"> реальних умовах агропромислових комплексів при використанні традиційних технічних засобів, дотриманні встановлених агротехнічних і гігієнічних нормативів та регламентів, саніта</w:t>
      </w:r>
      <w:r>
        <w:rPr>
          <w:sz w:val="28"/>
          <w:lang w:val="uk-UA"/>
        </w:rPr>
        <w:t>р</w:t>
      </w:r>
      <w:r>
        <w:rPr>
          <w:sz w:val="28"/>
          <w:lang w:val="uk-UA"/>
        </w:rPr>
        <w:t xml:space="preserve">ному контролі з боку установ санітарно-епідеміологічної служби використання гербіцидів </w:t>
      </w:r>
      <w:r>
        <w:rPr>
          <w:rFonts w:ascii="Times New Roman CYR" w:hAnsi="Times New Roman CYR"/>
          <w:sz w:val="28"/>
          <w:lang w:val="uk-UA"/>
        </w:rPr>
        <w:t xml:space="preserve">Півот, Патріот і ДТ-03 </w:t>
      </w:r>
      <w:r>
        <w:rPr>
          <w:sz w:val="28"/>
          <w:lang w:val="uk-UA"/>
        </w:rPr>
        <w:t>для з</w:t>
      </w:r>
      <w:r>
        <w:rPr>
          <w:sz w:val="28"/>
          <w:lang w:val="uk-UA"/>
        </w:rPr>
        <w:t>а</w:t>
      </w:r>
      <w:r>
        <w:rPr>
          <w:sz w:val="28"/>
          <w:lang w:val="uk-UA"/>
        </w:rPr>
        <w:t>хисту посівів бобових культур є безпечним для працюючих і населення з п</w:t>
      </w:r>
      <w:r>
        <w:rPr>
          <w:sz w:val="28"/>
          <w:lang w:val="uk-UA"/>
        </w:rPr>
        <w:t>о</w:t>
      </w:r>
      <w:r>
        <w:rPr>
          <w:sz w:val="28"/>
          <w:lang w:val="uk-UA"/>
        </w:rPr>
        <w:t>зицій гігієни праці та гігієни харчування, та мало небезпечним для наземних екосистем і біоцен</w:t>
      </w:r>
      <w:r>
        <w:rPr>
          <w:sz w:val="28"/>
          <w:lang w:val="uk-UA"/>
        </w:rPr>
        <w:t>о</w:t>
      </w:r>
      <w:r>
        <w:rPr>
          <w:sz w:val="28"/>
          <w:lang w:val="uk-UA"/>
        </w:rPr>
        <w:t>зів.</w:t>
      </w:r>
    </w:p>
    <w:p w:rsidR="003F2351" w:rsidRDefault="003F2351" w:rsidP="003F2351">
      <w:pPr>
        <w:ind w:firstLine="709"/>
        <w:jc w:val="both"/>
        <w:rPr>
          <w:sz w:val="28"/>
          <w:lang w:val="uk-UA"/>
        </w:rPr>
      </w:pPr>
      <w:r>
        <w:rPr>
          <w:sz w:val="28"/>
          <w:lang w:val="uk-UA"/>
        </w:rPr>
        <w:t>2. Доведено, що імазетапір та препарати на його основі за лімітуючим критерієм – гострою інгаляційною то</w:t>
      </w:r>
      <w:r>
        <w:rPr>
          <w:sz w:val="28"/>
          <w:lang w:val="uk-UA"/>
        </w:rPr>
        <w:t>к</w:t>
      </w:r>
      <w:r>
        <w:rPr>
          <w:sz w:val="28"/>
          <w:lang w:val="uk-UA"/>
        </w:rPr>
        <w:t>сичністю можуть бути віднесені до ІІ інтегрального  класу небезпечності  (помірно небезпечні). Препарат ДТ-03 за гострою токсичністю при пероральному надходженні в організм білих безпородних щурів та мишей обох статей є м</w:t>
      </w:r>
      <w:r>
        <w:rPr>
          <w:sz w:val="28"/>
          <w:lang w:val="uk-UA"/>
        </w:rPr>
        <w:t>а</w:t>
      </w:r>
      <w:r>
        <w:rPr>
          <w:sz w:val="28"/>
          <w:lang w:val="uk-UA"/>
        </w:rPr>
        <w:t>ло небезпечним (середньо смертельна доза для щурів &gt;5000 мг/кг, для мишей – &gt;2000 мг/кг), за перкутанною токсичністю – помірно небезпечним, не п</w:t>
      </w:r>
      <w:r>
        <w:rPr>
          <w:sz w:val="28"/>
          <w:lang w:val="uk-UA"/>
        </w:rPr>
        <w:t>о</w:t>
      </w:r>
      <w:r>
        <w:rPr>
          <w:sz w:val="28"/>
          <w:lang w:val="uk-UA"/>
        </w:rPr>
        <w:t>дразнює шкіру та слизові оболонки, не чинить сенсибілізуючої дії та хара</w:t>
      </w:r>
      <w:r>
        <w:rPr>
          <w:sz w:val="28"/>
          <w:lang w:val="uk-UA"/>
        </w:rPr>
        <w:t>к</w:t>
      </w:r>
      <w:r>
        <w:rPr>
          <w:sz w:val="28"/>
          <w:lang w:val="uk-UA"/>
        </w:rPr>
        <w:t>теризується слабкими кумулятивними властивостями. Порівняльна токсик</w:t>
      </w:r>
      <w:r>
        <w:rPr>
          <w:sz w:val="28"/>
          <w:lang w:val="uk-UA"/>
        </w:rPr>
        <w:t>о</w:t>
      </w:r>
      <w:r>
        <w:rPr>
          <w:sz w:val="28"/>
          <w:lang w:val="uk-UA"/>
        </w:rPr>
        <w:t>логічна оцінка імазетапіру та пр</w:t>
      </w:r>
      <w:r>
        <w:rPr>
          <w:sz w:val="28"/>
          <w:lang w:val="uk-UA"/>
        </w:rPr>
        <w:t>е</w:t>
      </w:r>
      <w:r>
        <w:rPr>
          <w:sz w:val="28"/>
          <w:lang w:val="uk-UA"/>
        </w:rPr>
        <w:t>паратів на його основі Півот, Патріот та ДТ-03 свідчить, що за показниками гострої токсичності, подразнюючої та се</w:t>
      </w:r>
      <w:r>
        <w:rPr>
          <w:sz w:val="28"/>
          <w:lang w:val="uk-UA"/>
        </w:rPr>
        <w:t>н</w:t>
      </w:r>
      <w:r>
        <w:rPr>
          <w:sz w:val="28"/>
          <w:lang w:val="uk-UA"/>
        </w:rPr>
        <w:t xml:space="preserve">сибілізуючої дії принципових розбіжностей між досліджуваними речовинами немає. </w:t>
      </w:r>
    </w:p>
    <w:p w:rsidR="003F2351" w:rsidRDefault="003F2351" w:rsidP="003F2351">
      <w:pPr>
        <w:pStyle w:val="afffffffa"/>
        <w:ind w:firstLine="720"/>
        <w:jc w:val="both"/>
      </w:pPr>
      <w:r>
        <w:t>3. Визначено, що порогова концентрація імазетапіру у ґрунті за водно-міграційним показником шкідливості становить 0,03 мг/кг, що гарантує дотримання затвердженого гігієнічн</w:t>
      </w:r>
      <w:r>
        <w:t>о</w:t>
      </w:r>
      <w:r>
        <w:t>го нормативу імазетапіру у ґрунтовій воді на рівні 0,006 мг/дм</w:t>
      </w:r>
      <w:r>
        <w:rPr>
          <w:vertAlign w:val="superscript"/>
        </w:rPr>
        <w:t>3</w:t>
      </w:r>
      <w:r>
        <w:t>. Порогова концентрація імазетапіру у ґрунті за повітряно-міграційним показником шкідливості перевищує 0,6 мг/кг. Імазетапір є надзвичайно рухомим в системі “грунт – ґрунтові в</w:t>
      </w:r>
      <w:r>
        <w:t>о</w:t>
      </w:r>
      <w:r>
        <w:t>ди” та мало рухомим в системі “грунт–атмосфера”. Рівні вертикальної міграції імазетапіру залежать від типу поверхневого орного шару та вихідних конце</w:t>
      </w:r>
      <w:r>
        <w:t>н</w:t>
      </w:r>
      <w:r>
        <w:t xml:space="preserve">трацій речовини. За </w:t>
      </w:r>
      <w:r>
        <w:lastRenderedPageBreak/>
        <w:t>однакових інших умов з піщаного ґрунту (модельного ґрунтового еталону) імазетапір мігрує більшою мірою, ніж з чорнозему вил</w:t>
      </w:r>
      <w:r>
        <w:t>у</w:t>
      </w:r>
      <w:r>
        <w:t xml:space="preserve">гуваного. </w:t>
      </w:r>
    </w:p>
    <w:p w:rsidR="003F2351" w:rsidRDefault="003F2351" w:rsidP="003F2351">
      <w:pPr>
        <w:pStyle w:val="BodyText20"/>
        <w:ind w:firstLine="720"/>
      </w:pPr>
      <w:r>
        <w:t xml:space="preserve">4. Встановлено, що </w:t>
      </w:r>
      <w:r>
        <w:rPr>
          <w:rFonts w:ascii="Times New Roman CYR" w:hAnsi="Times New Roman CYR"/>
        </w:rPr>
        <w:t>порогова концентрація імазетап</w:t>
      </w:r>
      <w:r>
        <w:rPr>
          <w:rFonts w:ascii="Times New Roman CYR" w:hAnsi="Times New Roman CYR"/>
        </w:rPr>
        <w:t>і</w:t>
      </w:r>
      <w:r>
        <w:rPr>
          <w:rFonts w:ascii="Times New Roman CYR" w:hAnsi="Times New Roman CYR"/>
        </w:rPr>
        <w:t>ру у ґрунті за транслокаційним показником шкідливості пер</w:t>
      </w:r>
      <w:r>
        <w:rPr>
          <w:rFonts w:ascii="Times New Roman CYR" w:hAnsi="Times New Roman CYR"/>
        </w:rPr>
        <w:t>е</w:t>
      </w:r>
      <w:r>
        <w:rPr>
          <w:rFonts w:ascii="Times New Roman CYR" w:hAnsi="Times New Roman CYR"/>
        </w:rPr>
        <w:t xml:space="preserve">вищує 0,15 мг/кг. </w:t>
      </w:r>
      <w:r>
        <w:t xml:space="preserve"> П</w:t>
      </w:r>
      <w:r>
        <w:rPr>
          <w:rFonts w:ascii="Times New Roman CYR" w:hAnsi="Times New Roman CYR"/>
        </w:rPr>
        <w:t>ри передпосівній обробці ґрунту препаратом Півот в 1 і 5 максимальних нормах витрат не залежно від його типу (модельний ґрунт</w:t>
      </w:r>
      <w:r>
        <w:rPr>
          <w:rFonts w:ascii="Times New Roman CYR" w:hAnsi="Times New Roman CYR"/>
        </w:rPr>
        <w:t>о</w:t>
      </w:r>
      <w:r>
        <w:rPr>
          <w:rFonts w:ascii="Times New Roman CYR" w:hAnsi="Times New Roman CYR"/>
        </w:rPr>
        <w:t>вий еталон або чорнозем вилугуваний) транслокації гігієнічно значимих кілько</w:t>
      </w:r>
      <w:r>
        <w:rPr>
          <w:rFonts w:ascii="Times New Roman CYR" w:hAnsi="Times New Roman CYR"/>
        </w:rPr>
        <w:t>с</w:t>
      </w:r>
      <w:r>
        <w:rPr>
          <w:rFonts w:ascii="Times New Roman CYR" w:hAnsi="Times New Roman CYR"/>
        </w:rPr>
        <w:t xml:space="preserve">тей імазетапіру в зелену масу рослин гороху (цільова культура), жита та салату (культури сівозміни) не виявлено. </w:t>
      </w:r>
    </w:p>
    <w:p w:rsidR="003F2351" w:rsidRDefault="003F2351" w:rsidP="003F2351">
      <w:pPr>
        <w:ind w:firstLine="709"/>
        <w:jc w:val="both"/>
        <w:rPr>
          <w:sz w:val="28"/>
          <w:lang w:val="uk-UA"/>
        </w:rPr>
      </w:pPr>
      <w:r>
        <w:rPr>
          <w:sz w:val="28"/>
          <w:lang w:val="uk-UA"/>
        </w:rPr>
        <w:t>5. Встановлено, що граничною за загально-санітарним показником шкідливості є концентрація імазет</w:t>
      </w:r>
      <w:r>
        <w:rPr>
          <w:sz w:val="28"/>
          <w:lang w:val="uk-UA"/>
        </w:rPr>
        <w:t>а</w:t>
      </w:r>
      <w:r>
        <w:rPr>
          <w:sz w:val="28"/>
          <w:lang w:val="uk-UA"/>
        </w:rPr>
        <w:t>піру у ґрунті на рівні 0,15 мг/кг. Імазетапір у концентраціях 0,3 та 1,5 мг/кг, які відповідають 10 і 50 максимальним нормам витрат, пригнічує нітрифікуючу активність, призв</w:t>
      </w:r>
      <w:r>
        <w:rPr>
          <w:sz w:val="28"/>
          <w:lang w:val="uk-UA"/>
        </w:rPr>
        <w:t>о</w:t>
      </w:r>
      <w:r>
        <w:rPr>
          <w:sz w:val="28"/>
          <w:lang w:val="uk-UA"/>
        </w:rPr>
        <w:t>дить до достовірних різноспрямованих змін фосфатазної активності, пригн</w:t>
      </w:r>
      <w:r>
        <w:rPr>
          <w:sz w:val="28"/>
          <w:lang w:val="uk-UA"/>
        </w:rPr>
        <w:t>і</w:t>
      </w:r>
      <w:r>
        <w:rPr>
          <w:sz w:val="28"/>
          <w:lang w:val="uk-UA"/>
        </w:rPr>
        <w:t>чує сапрофітну мікрофлору та мікробне число ґрунту, різноспрямовано впливає на процеси самоочищення чорнозему вилугуваного від саніта</w:t>
      </w:r>
      <w:r>
        <w:rPr>
          <w:sz w:val="28"/>
          <w:lang w:val="uk-UA"/>
        </w:rPr>
        <w:t>р</w:t>
      </w:r>
      <w:r>
        <w:rPr>
          <w:sz w:val="28"/>
          <w:lang w:val="uk-UA"/>
        </w:rPr>
        <w:t>но-показових кишкових паличок штаму М 17: в концентрації 0,3 мг/кг – приск</w:t>
      </w:r>
      <w:r>
        <w:rPr>
          <w:sz w:val="28"/>
          <w:lang w:val="uk-UA"/>
        </w:rPr>
        <w:t>о</w:t>
      </w:r>
      <w:r>
        <w:rPr>
          <w:sz w:val="28"/>
          <w:lang w:val="uk-UA"/>
        </w:rPr>
        <w:t>рює відмирання, а в концентрації 1,5 мг/кг – уповільнює. У вивченому діап</w:t>
      </w:r>
      <w:r>
        <w:rPr>
          <w:sz w:val="28"/>
          <w:lang w:val="uk-UA"/>
        </w:rPr>
        <w:t>а</w:t>
      </w:r>
      <w:r>
        <w:rPr>
          <w:sz w:val="28"/>
          <w:lang w:val="uk-UA"/>
        </w:rPr>
        <w:t>зоні концентрацій від 0,03 до 1,5 мг/кг імазетапір не впливає на протеоліти</w:t>
      </w:r>
      <w:r>
        <w:rPr>
          <w:sz w:val="28"/>
          <w:lang w:val="uk-UA"/>
        </w:rPr>
        <w:t>ч</w:t>
      </w:r>
      <w:r>
        <w:rPr>
          <w:sz w:val="28"/>
          <w:lang w:val="uk-UA"/>
        </w:rPr>
        <w:t>ну активність ґрунту.</w:t>
      </w:r>
    </w:p>
    <w:p w:rsidR="003F2351" w:rsidRDefault="003F2351" w:rsidP="003F2351">
      <w:pPr>
        <w:ind w:firstLine="709"/>
        <w:jc w:val="both"/>
        <w:rPr>
          <w:sz w:val="28"/>
          <w:lang w:val="uk-UA"/>
        </w:rPr>
      </w:pPr>
      <w:r>
        <w:rPr>
          <w:sz w:val="28"/>
          <w:lang w:val="uk-UA"/>
        </w:rPr>
        <w:t xml:space="preserve"> 6. Доведено, що  лімітуючою ланкою при вивченні поведінки імазетапіру у ґрунті є вертикальна міграція за профілем ґрунту у ґрунтовий потік. Мінімальна порогова концентрація, яка встановлена в екстремальних гру</w:t>
      </w:r>
      <w:r>
        <w:rPr>
          <w:sz w:val="28"/>
          <w:lang w:val="uk-UA"/>
        </w:rPr>
        <w:t>н</w:t>
      </w:r>
      <w:r>
        <w:rPr>
          <w:sz w:val="28"/>
          <w:lang w:val="uk-UA"/>
        </w:rPr>
        <w:t>тово-кліматичних умовах за водно-міграційним показником шкідливості, дозволила науково обґрунтувати величину ГДК імазетапіру у ґрунті на рівні 0,03 мг/кг.</w:t>
      </w:r>
    </w:p>
    <w:p w:rsidR="003F2351" w:rsidRDefault="003F2351" w:rsidP="003F2351">
      <w:pPr>
        <w:ind w:firstLine="720"/>
        <w:jc w:val="both"/>
        <w:rPr>
          <w:sz w:val="28"/>
          <w:lang w:val="uk-UA"/>
        </w:rPr>
      </w:pPr>
      <w:r>
        <w:rPr>
          <w:sz w:val="28"/>
          <w:lang w:val="uk-UA"/>
        </w:rPr>
        <w:t>7. З’ясовано, що динаміка залишкових кількостей імазетапіру у ґрунті та зеленій масі рослин при застос</w:t>
      </w:r>
      <w:r>
        <w:rPr>
          <w:sz w:val="28"/>
          <w:lang w:val="uk-UA"/>
        </w:rPr>
        <w:t>у</w:t>
      </w:r>
      <w:r>
        <w:rPr>
          <w:sz w:val="28"/>
          <w:lang w:val="uk-UA"/>
        </w:rPr>
        <w:t xml:space="preserve">ванні препаратів </w:t>
      </w:r>
      <w:r>
        <w:rPr>
          <w:rFonts w:ascii="Times New Roman CYR" w:hAnsi="Times New Roman CYR"/>
          <w:sz w:val="28"/>
          <w:lang w:val="uk-UA"/>
        </w:rPr>
        <w:t xml:space="preserve">Півот, Патріот і ДТ-03 </w:t>
      </w:r>
      <w:r>
        <w:rPr>
          <w:sz w:val="28"/>
          <w:lang w:val="uk-UA"/>
        </w:rPr>
        <w:t>в максимально рекомендованих нормах витрат (на сої – 0,1 кг/га, на горосі – 0,075 кг/га за діючою речовиною) в грунтово-кліматичних умовах Поліської зони України підкоряється експонентній залежності. Пер</w:t>
      </w:r>
      <w:r>
        <w:rPr>
          <w:sz w:val="28"/>
          <w:lang w:val="uk-UA"/>
        </w:rPr>
        <w:t>і</w:t>
      </w:r>
      <w:r>
        <w:rPr>
          <w:sz w:val="28"/>
          <w:lang w:val="uk-UA"/>
        </w:rPr>
        <w:t>од напівзникнення імазетапіру у ґрунті складає 9,48±0,35 доби, період майже повного зникнення – 63,15±2,36 доби. Руйнація імазетапіру у цільових ро</w:t>
      </w:r>
      <w:r>
        <w:rPr>
          <w:sz w:val="28"/>
          <w:lang w:val="uk-UA"/>
        </w:rPr>
        <w:t>с</w:t>
      </w:r>
      <w:r>
        <w:rPr>
          <w:sz w:val="28"/>
          <w:lang w:val="uk-UA"/>
        </w:rPr>
        <w:t>линах відбувається швидше, ніж у ґрунті: період напівзникнення з зеленої маси рослин гороху та сої приблизно однаковий і стан</w:t>
      </w:r>
      <w:r>
        <w:rPr>
          <w:sz w:val="28"/>
          <w:lang w:val="uk-UA"/>
        </w:rPr>
        <w:t>о</w:t>
      </w:r>
      <w:r>
        <w:rPr>
          <w:sz w:val="28"/>
          <w:lang w:val="uk-UA"/>
        </w:rPr>
        <w:t xml:space="preserve">вить в середньому 5,93±0,25 діб. Імазетапір за стабільністю у ґрунті та </w:t>
      </w:r>
      <w:r>
        <w:rPr>
          <w:color w:val="000000"/>
          <w:sz w:val="28"/>
          <w:lang w:val="uk-UA"/>
        </w:rPr>
        <w:t>вегетуючих сільського</w:t>
      </w:r>
      <w:r>
        <w:rPr>
          <w:color w:val="000000"/>
          <w:sz w:val="28"/>
          <w:lang w:val="uk-UA"/>
        </w:rPr>
        <w:t>с</w:t>
      </w:r>
      <w:r>
        <w:rPr>
          <w:color w:val="000000"/>
          <w:sz w:val="28"/>
          <w:lang w:val="uk-UA"/>
        </w:rPr>
        <w:t>подарських культурах можна віднести до 3 класу небезпечності</w:t>
      </w:r>
      <w:r>
        <w:rPr>
          <w:color w:val="000000"/>
          <w:spacing w:val="-4"/>
          <w:sz w:val="28"/>
          <w:lang w:val="uk-UA"/>
        </w:rPr>
        <w:t xml:space="preserve"> згідно з гігі</w:t>
      </w:r>
      <w:r>
        <w:rPr>
          <w:color w:val="000000"/>
          <w:spacing w:val="-4"/>
          <w:sz w:val="28"/>
          <w:lang w:val="uk-UA"/>
        </w:rPr>
        <w:t>є</w:t>
      </w:r>
      <w:r>
        <w:rPr>
          <w:color w:val="000000"/>
          <w:spacing w:val="-4"/>
          <w:sz w:val="28"/>
          <w:lang w:val="uk-UA"/>
        </w:rPr>
        <w:t xml:space="preserve">нічною класифікацією пестицидів. </w:t>
      </w:r>
      <w:r>
        <w:rPr>
          <w:color w:val="000000"/>
          <w:sz w:val="28"/>
          <w:lang w:val="uk-UA"/>
        </w:rPr>
        <w:t xml:space="preserve">Екотоксикологічний ризик використання гербіцидів на основі імазетапіру </w:t>
      </w:r>
      <w:r>
        <w:rPr>
          <w:sz w:val="28"/>
          <w:lang w:val="uk-UA"/>
        </w:rPr>
        <w:t>становить 2,07</w:t>
      </w:r>
      <w:r>
        <w:rPr>
          <w:color w:val="808080"/>
          <w:sz w:val="28"/>
        </w:rPr>
        <w:sym w:font="Symbol" w:char="F0B4"/>
      </w:r>
      <w:r>
        <w:rPr>
          <w:sz w:val="28"/>
          <w:lang w:val="uk-UA"/>
        </w:rPr>
        <w:t>10</w:t>
      </w:r>
      <w:r>
        <w:rPr>
          <w:sz w:val="28"/>
          <w:vertAlign w:val="superscript"/>
          <w:lang w:val="uk-UA"/>
        </w:rPr>
        <w:t>-4</w:t>
      </w:r>
      <w:r>
        <w:rPr>
          <w:sz w:val="28"/>
          <w:lang w:val="uk-UA"/>
        </w:rPr>
        <w:t xml:space="preserve"> та є на 4 порядки ни</w:t>
      </w:r>
      <w:r>
        <w:rPr>
          <w:sz w:val="28"/>
          <w:lang w:val="uk-UA"/>
        </w:rPr>
        <w:t>ж</w:t>
      </w:r>
      <w:r>
        <w:rPr>
          <w:sz w:val="28"/>
          <w:lang w:val="uk-UA"/>
        </w:rPr>
        <w:t>чим, ніж у ДДТ, на 1–3 порядки нижчим, ніж у хлор- і фосфорорганічних сполук, сим-триазинів, шестичленних гетероциклів та синтетичних піретро</w:t>
      </w:r>
      <w:r>
        <w:rPr>
          <w:sz w:val="28"/>
          <w:lang w:val="uk-UA"/>
        </w:rPr>
        <w:t>ї</w:t>
      </w:r>
      <w:r>
        <w:rPr>
          <w:sz w:val="28"/>
          <w:lang w:val="uk-UA"/>
        </w:rPr>
        <w:t>дів.</w:t>
      </w:r>
    </w:p>
    <w:p w:rsidR="003F2351" w:rsidRDefault="003F2351" w:rsidP="003F2351">
      <w:pPr>
        <w:pStyle w:val="38"/>
        <w:spacing w:after="0"/>
        <w:ind w:left="0" w:firstLine="709"/>
        <w:rPr>
          <w:sz w:val="28"/>
          <w:lang w:val="uk-UA"/>
        </w:rPr>
      </w:pPr>
      <w:r>
        <w:rPr>
          <w:sz w:val="28"/>
          <w:lang w:val="uk-UA"/>
        </w:rPr>
        <w:t>8. Доведено, що враховуючи ранні стр</w:t>
      </w:r>
      <w:r>
        <w:rPr>
          <w:sz w:val="28"/>
          <w:lang w:val="uk-UA"/>
        </w:rPr>
        <w:t>о</w:t>
      </w:r>
      <w:r>
        <w:rPr>
          <w:sz w:val="28"/>
          <w:lang w:val="uk-UA"/>
        </w:rPr>
        <w:t>ки застосування досліджуваних гербіцидів (до посіву, до сходів або по сх</w:t>
      </w:r>
      <w:r>
        <w:rPr>
          <w:sz w:val="28"/>
          <w:lang w:val="uk-UA"/>
        </w:rPr>
        <w:t>о</w:t>
      </w:r>
      <w:r>
        <w:rPr>
          <w:sz w:val="28"/>
          <w:lang w:val="uk-UA"/>
        </w:rPr>
        <w:t>дах), тривалий термін вегетації до збору врожаю та високу швидкість руйн</w:t>
      </w:r>
      <w:r>
        <w:rPr>
          <w:sz w:val="28"/>
          <w:lang w:val="uk-UA"/>
        </w:rPr>
        <w:t>а</w:t>
      </w:r>
      <w:r>
        <w:rPr>
          <w:sz w:val="28"/>
          <w:lang w:val="uk-UA"/>
        </w:rPr>
        <w:t xml:space="preserve">ції у рослинах сої та гороху строки очікування до збору врожаю зазначених цільових культур встановлювати </w:t>
      </w:r>
      <w:r>
        <w:rPr>
          <w:sz w:val="28"/>
          <w:lang w:val="uk-UA"/>
        </w:rPr>
        <w:lastRenderedPageBreak/>
        <w:t>нед</w:t>
      </w:r>
      <w:r>
        <w:rPr>
          <w:sz w:val="28"/>
          <w:lang w:val="uk-UA"/>
        </w:rPr>
        <w:t>о</w:t>
      </w:r>
      <w:r>
        <w:rPr>
          <w:sz w:val="28"/>
          <w:lang w:val="uk-UA"/>
        </w:rPr>
        <w:t xml:space="preserve">цільно.  При застосуванні препаратів </w:t>
      </w:r>
      <w:r>
        <w:rPr>
          <w:rFonts w:ascii="Times New Roman CYR" w:hAnsi="Times New Roman CYR"/>
          <w:sz w:val="28"/>
          <w:lang w:val="uk-UA"/>
        </w:rPr>
        <w:t>Півот, Патріот і ДТ-03 по вегетуючим рослинам н</w:t>
      </w:r>
      <w:r>
        <w:rPr>
          <w:sz w:val="28"/>
          <w:lang w:val="uk-UA"/>
        </w:rPr>
        <w:t>а час збору врожаю залишкові кіл</w:t>
      </w:r>
      <w:r>
        <w:rPr>
          <w:sz w:val="28"/>
          <w:lang w:val="uk-UA"/>
        </w:rPr>
        <w:t>ь</w:t>
      </w:r>
      <w:r>
        <w:rPr>
          <w:sz w:val="28"/>
          <w:lang w:val="uk-UA"/>
        </w:rPr>
        <w:t>кості імазетапіру були відсутні в бобах сої, соєвій олії та зерні гороху при межі кількісного визначення методом високоефективної рідинної хромато</w:t>
      </w:r>
      <w:r>
        <w:rPr>
          <w:sz w:val="28"/>
          <w:lang w:val="uk-UA"/>
        </w:rPr>
        <w:t>г</w:t>
      </w:r>
      <w:r>
        <w:rPr>
          <w:sz w:val="28"/>
          <w:lang w:val="uk-UA"/>
        </w:rPr>
        <w:t>рафії 0,25 мг/кг, 1,0 мг/кг та 0,1 мг/кг відповідно, що дозволило рекомендув</w:t>
      </w:r>
      <w:r>
        <w:rPr>
          <w:sz w:val="28"/>
          <w:lang w:val="uk-UA"/>
        </w:rPr>
        <w:t>а</w:t>
      </w:r>
      <w:r>
        <w:rPr>
          <w:sz w:val="28"/>
          <w:lang w:val="uk-UA"/>
        </w:rPr>
        <w:t>ти</w:t>
      </w:r>
      <w:r>
        <w:rPr>
          <w:color w:val="FF0000"/>
          <w:sz w:val="28"/>
          <w:lang w:val="uk-UA"/>
        </w:rPr>
        <w:t xml:space="preserve"> </w:t>
      </w:r>
      <w:r>
        <w:rPr>
          <w:sz w:val="28"/>
          <w:lang w:val="uk-UA"/>
        </w:rPr>
        <w:t>контроль за вмістом імазетапіру у бобах сої та зерні гороху проводити за раніше затвердженими величинами МДР для сої (боби) – 0,5 мг/кг та боб</w:t>
      </w:r>
      <w:r>
        <w:rPr>
          <w:sz w:val="28"/>
          <w:lang w:val="uk-UA"/>
        </w:rPr>
        <w:t>о</w:t>
      </w:r>
      <w:r>
        <w:rPr>
          <w:sz w:val="28"/>
          <w:lang w:val="uk-UA"/>
        </w:rPr>
        <w:t>вих – 0,1 мг/кг. На підставі визначення фактичного вмісту імазетапіру у со</w:t>
      </w:r>
      <w:r>
        <w:rPr>
          <w:sz w:val="28"/>
          <w:lang w:val="uk-UA"/>
        </w:rPr>
        <w:t>є</w:t>
      </w:r>
      <w:r>
        <w:rPr>
          <w:sz w:val="28"/>
          <w:lang w:val="uk-UA"/>
        </w:rPr>
        <w:t>вій олії та враховуючи фізико-хімічні властивості речовини доведено, що вст</w:t>
      </w:r>
      <w:r>
        <w:rPr>
          <w:sz w:val="28"/>
          <w:lang w:val="uk-UA"/>
        </w:rPr>
        <w:t>а</w:t>
      </w:r>
      <w:r>
        <w:rPr>
          <w:sz w:val="28"/>
          <w:lang w:val="uk-UA"/>
        </w:rPr>
        <w:t xml:space="preserve">новлення МДР імазетапіру у соєвій олії не потрібне. </w:t>
      </w:r>
    </w:p>
    <w:p w:rsidR="003F2351" w:rsidRDefault="003F2351" w:rsidP="003F2351">
      <w:pPr>
        <w:pStyle w:val="2ffff9"/>
        <w:spacing w:after="0" w:line="240" w:lineRule="auto"/>
        <w:ind w:firstLine="709"/>
        <w:jc w:val="both"/>
        <w:rPr>
          <w:sz w:val="28"/>
          <w:lang w:val="uk-UA"/>
        </w:rPr>
      </w:pPr>
      <w:r>
        <w:rPr>
          <w:sz w:val="28"/>
          <w:lang w:val="uk-UA"/>
        </w:rPr>
        <w:t>9. При в</w:t>
      </w:r>
      <w:r>
        <w:rPr>
          <w:sz w:val="28"/>
          <w:lang w:val="uk-UA"/>
        </w:rPr>
        <w:t>и</w:t>
      </w:r>
      <w:r>
        <w:rPr>
          <w:sz w:val="28"/>
          <w:lang w:val="uk-UA"/>
        </w:rPr>
        <w:t xml:space="preserve">користанні препаратів Півот, Патріот та ДТ-03 </w:t>
      </w:r>
      <w:r>
        <w:rPr>
          <w:rFonts w:ascii="Times New Roman CYR" w:hAnsi="Times New Roman CYR"/>
          <w:sz w:val="28"/>
          <w:lang w:val="uk-UA"/>
        </w:rPr>
        <w:t>в максимальних нормах витрат</w:t>
      </w:r>
      <w:r>
        <w:rPr>
          <w:sz w:val="28"/>
          <w:lang w:val="uk-UA"/>
        </w:rPr>
        <w:t xml:space="preserve"> (1,0 л/га) потенційний ризик шкідлив</w:t>
      </w:r>
      <w:r>
        <w:rPr>
          <w:sz w:val="28"/>
          <w:lang w:val="uk-UA"/>
        </w:rPr>
        <w:t>о</w:t>
      </w:r>
      <w:r>
        <w:rPr>
          <w:sz w:val="28"/>
          <w:lang w:val="uk-UA"/>
        </w:rPr>
        <w:t>го впливу імазетапіру при комплексному надходженні в організм працюючих через дихальні шляхи та шкіру є допустимим. Статистично д</w:t>
      </w:r>
      <w:r>
        <w:rPr>
          <w:sz w:val="28"/>
          <w:lang w:val="uk-UA"/>
        </w:rPr>
        <w:t>о</w:t>
      </w:r>
      <w:r>
        <w:rPr>
          <w:sz w:val="28"/>
          <w:lang w:val="uk-UA"/>
        </w:rPr>
        <w:t>стовірних розбіжностей між ризиком для оператора розчинного вузла та тр</w:t>
      </w:r>
      <w:r>
        <w:rPr>
          <w:sz w:val="28"/>
          <w:lang w:val="uk-UA"/>
        </w:rPr>
        <w:t>а</w:t>
      </w:r>
      <w:r>
        <w:rPr>
          <w:sz w:val="28"/>
          <w:lang w:val="uk-UA"/>
        </w:rPr>
        <w:t>кториста не виявлено. Ризик перкутанного надходження є значно більшим (в 3,4–6,7 разів), ніж ризик при інгаляційному надходженні. Використання при роботі з гербіцидами на основі імазетапіру спецодягу та гумових рукавичок зменшує потенційний ризик в 5,2–5,8 р</w:t>
      </w:r>
      <w:r>
        <w:rPr>
          <w:sz w:val="28"/>
          <w:lang w:val="uk-UA"/>
        </w:rPr>
        <w:t>а</w:t>
      </w:r>
      <w:r>
        <w:rPr>
          <w:sz w:val="28"/>
          <w:lang w:val="uk-UA"/>
        </w:rPr>
        <w:t>зів.</w:t>
      </w:r>
    </w:p>
    <w:p w:rsidR="003F2351" w:rsidRDefault="003F2351" w:rsidP="003F2351">
      <w:pPr>
        <w:pStyle w:val="affffffff"/>
        <w:ind w:firstLine="709"/>
        <w:jc w:val="both"/>
        <w:rPr>
          <w:sz w:val="28"/>
          <w:szCs w:val="28"/>
        </w:rPr>
      </w:pPr>
      <w:r w:rsidRPr="001B09F3">
        <w:rPr>
          <w:sz w:val="28"/>
          <w:szCs w:val="28"/>
        </w:rPr>
        <w:t>10. Розроблені кількісні методи аналітичного  визначення імазетапіру в  ґрунті, воді, повітрі робочої зони, атмосферному повітрі, в зерні сої та гороху методом високоефективної р</w:t>
      </w:r>
      <w:r w:rsidRPr="001B09F3">
        <w:rPr>
          <w:sz w:val="28"/>
          <w:szCs w:val="28"/>
        </w:rPr>
        <w:t>і</w:t>
      </w:r>
      <w:r w:rsidRPr="001B09F3">
        <w:rPr>
          <w:sz w:val="28"/>
          <w:szCs w:val="28"/>
        </w:rPr>
        <w:t>динної хроматографії. Кількісне визначення імазетапіру в об’єктах навколишнього середовища ґрунтується на екстракції речовини з проби полярними розчинниками, очищенні екстрактів проб ґрунту, зерна гороху та бобів сої перерозпод</w:t>
      </w:r>
      <w:r w:rsidRPr="001B09F3">
        <w:rPr>
          <w:sz w:val="28"/>
          <w:szCs w:val="28"/>
        </w:rPr>
        <w:t>і</w:t>
      </w:r>
      <w:r w:rsidRPr="001B09F3">
        <w:rPr>
          <w:sz w:val="28"/>
          <w:szCs w:val="28"/>
        </w:rPr>
        <w:t>лом в системі розчинників, що не змішуються, при різних рН з под</w:t>
      </w:r>
      <w:r w:rsidRPr="001B09F3">
        <w:rPr>
          <w:sz w:val="28"/>
          <w:szCs w:val="28"/>
        </w:rPr>
        <w:t>а</w:t>
      </w:r>
      <w:r w:rsidRPr="001B09F3">
        <w:rPr>
          <w:sz w:val="28"/>
          <w:szCs w:val="28"/>
        </w:rPr>
        <w:t>льшим визначенням імазетапіру методом обернено-фазової високоефективної р</w:t>
      </w:r>
      <w:r w:rsidRPr="001B09F3">
        <w:rPr>
          <w:sz w:val="28"/>
          <w:szCs w:val="28"/>
        </w:rPr>
        <w:t>і</w:t>
      </w:r>
      <w:r w:rsidRPr="001B09F3">
        <w:rPr>
          <w:sz w:val="28"/>
          <w:szCs w:val="28"/>
        </w:rPr>
        <w:t>динної хроматографії з використанням ультрафіолетового детектора при д</w:t>
      </w:r>
      <w:r w:rsidRPr="001B09F3">
        <w:rPr>
          <w:sz w:val="28"/>
          <w:szCs w:val="28"/>
        </w:rPr>
        <w:t>о</w:t>
      </w:r>
      <w:r w:rsidRPr="001B09F3">
        <w:rPr>
          <w:sz w:val="28"/>
          <w:szCs w:val="28"/>
        </w:rPr>
        <w:t>вжині хвилі 254 нм. Запропоновані методи кількісного визначення імазетап</w:t>
      </w:r>
      <w:r w:rsidRPr="001B09F3">
        <w:rPr>
          <w:sz w:val="28"/>
          <w:szCs w:val="28"/>
        </w:rPr>
        <w:t>і</w:t>
      </w:r>
      <w:r w:rsidRPr="001B09F3">
        <w:rPr>
          <w:sz w:val="28"/>
          <w:szCs w:val="28"/>
        </w:rPr>
        <w:t>ру є високочутливими і селективними, з межами визначення в повітрі роб</w:t>
      </w:r>
      <w:r w:rsidRPr="001B09F3">
        <w:rPr>
          <w:sz w:val="28"/>
          <w:szCs w:val="28"/>
        </w:rPr>
        <w:t>о</w:t>
      </w:r>
      <w:r w:rsidRPr="001B09F3">
        <w:rPr>
          <w:sz w:val="28"/>
          <w:szCs w:val="28"/>
        </w:rPr>
        <w:t>чої зони – 0,25 мг/м</w:t>
      </w:r>
      <w:r w:rsidRPr="001B09F3">
        <w:rPr>
          <w:sz w:val="28"/>
          <w:szCs w:val="28"/>
          <w:vertAlign w:val="superscript"/>
        </w:rPr>
        <w:t>3</w:t>
      </w:r>
      <w:r w:rsidRPr="001B09F3">
        <w:rPr>
          <w:sz w:val="28"/>
          <w:szCs w:val="28"/>
        </w:rPr>
        <w:t>, атмосферному повітрі – 0,03 мг/м</w:t>
      </w:r>
      <w:r w:rsidRPr="001B09F3">
        <w:rPr>
          <w:sz w:val="28"/>
          <w:szCs w:val="28"/>
          <w:vertAlign w:val="superscript"/>
        </w:rPr>
        <w:t>3</w:t>
      </w:r>
      <w:r w:rsidRPr="001B09F3">
        <w:rPr>
          <w:sz w:val="28"/>
          <w:szCs w:val="28"/>
        </w:rPr>
        <w:t>, воді – 0,005 мг/дм</w:t>
      </w:r>
      <w:r w:rsidRPr="001B09F3">
        <w:rPr>
          <w:sz w:val="28"/>
          <w:szCs w:val="28"/>
          <w:vertAlign w:val="superscript"/>
        </w:rPr>
        <w:t>3</w:t>
      </w:r>
      <w:r w:rsidRPr="001B09F3">
        <w:rPr>
          <w:sz w:val="28"/>
          <w:szCs w:val="28"/>
        </w:rPr>
        <w:t>, ґрунті – 0,03 мг/кг, зерні гороху – 0,1 мг/кг та бобах сої – 0,25 мг/кг, які д</w:t>
      </w:r>
      <w:r w:rsidRPr="001B09F3">
        <w:rPr>
          <w:sz w:val="28"/>
          <w:szCs w:val="28"/>
        </w:rPr>
        <w:t>о</w:t>
      </w:r>
      <w:r w:rsidRPr="001B09F3">
        <w:rPr>
          <w:sz w:val="28"/>
          <w:szCs w:val="28"/>
        </w:rPr>
        <w:t>зволяють контролювати дотримання гігієнічних нормативів імазетапіру в об’єктах д</w:t>
      </w:r>
      <w:r w:rsidRPr="001B09F3">
        <w:rPr>
          <w:sz w:val="28"/>
          <w:szCs w:val="28"/>
        </w:rPr>
        <w:t>о</w:t>
      </w:r>
      <w:r w:rsidRPr="001B09F3">
        <w:rPr>
          <w:sz w:val="28"/>
          <w:szCs w:val="28"/>
        </w:rPr>
        <w:t>вкілля.</w:t>
      </w:r>
    </w:p>
    <w:p w:rsidR="003F2351" w:rsidRDefault="003F2351" w:rsidP="003F2351">
      <w:pPr>
        <w:pStyle w:val="affffffff"/>
        <w:ind w:firstLine="709"/>
        <w:jc w:val="both"/>
        <w:rPr>
          <w:sz w:val="28"/>
          <w:szCs w:val="28"/>
        </w:rPr>
      </w:pPr>
    </w:p>
    <w:p w:rsidR="003F2351" w:rsidRDefault="003F2351" w:rsidP="003F2351">
      <w:pPr>
        <w:pStyle w:val="affffffff"/>
        <w:ind w:firstLine="709"/>
        <w:jc w:val="both"/>
        <w:rPr>
          <w:b w:val="0"/>
          <w:sz w:val="28"/>
        </w:rPr>
      </w:pPr>
      <w:r>
        <w:rPr>
          <w:b w:val="0"/>
          <w:sz w:val="28"/>
        </w:rPr>
        <w:t>ПИСОК ОПУБЛІКОВАНИХ ПРАЦЬ ЗА ТЕМОЮ ДИСЕРТАЦІЇ</w:t>
      </w:r>
    </w:p>
    <w:p w:rsidR="003F2351" w:rsidRDefault="003F2351" w:rsidP="003F2351">
      <w:pPr>
        <w:jc w:val="center"/>
        <w:rPr>
          <w:b/>
          <w:sz w:val="28"/>
          <w:lang w:val="uk-UA"/>
        </w:rPr>
      </w:pPr>
    </w:p>
    <w:p w:rsidR="003F2351" w:rsidRDefault="003F2351" w:rsidP="003F2351">
      <w:pPr>
        <w:ind w:firstLine="709"/>
        <w:jc w:val="both"/>
        <w:rPr>
          <w:b/>
          <w:spacing w:val="-6"/>
          <w:sz w:val="28"/>
          <w:lang w:val="uk-UA"/>
        </w:rPr>
      </w:pPr>
      <w:r>
        <w:rPr>
          <w:b/>
          <w:spacing w:val="-6"/>
          <w:sz w:val="28"/>
          <w:lang w:val="uk-UA"/>
        </w:rPr>
        <w:t>Періодичні фахові видання, затверджені ВАК України (</w:t>
      </w:r>
      <w:r>
        <w:rPr>
          <w:b/>
          <w:spacing w:val="-6"/>
          <w:sz w:val="28"/>
          <w:vertAlign w:val="superscript"/>
          <w:lang w:val="uk-UA"/>
        </w:rPr>
        <w:t>*</w:t>
      </w:r>
      <w:r>
        <w:rPr>
          <w:b/>
          <w:spacing w:val="-6"/>
          <w:sz w:val="28"/>
          <w:lang w:val="uk-UA"/>
        </w:rPr>
        <w:t xml:space="preserve"> - </w:t>
      </w:r>
      <w:r>
        <w:rPr>
          <w:b/>
          <w:spacing w:val="-6"/>
          <w:sz w:val="28"/>
          <w:vertAlign w:val="superscript"/>
          <w:lang w:val="uk-UA"/>
        </w:rPr>
        <w:t xml:space="preserve"> </w:t>
      </w:r>
      <w:r>
        <w:rPr>
          <w:b/>
          <w:spacing w:val="-6"/>
          <w:sz w:val="28"/>
          <w:lang w:val="uk-UA"/>
        </w:rPr>
        <w:t>особистий внесок здобувача):</w:t>
      </w:r>
    </w:p>
    <w:p w:rsidR="003F2351" w:rsidRDefault="003F2351" w:rsidP="003F2351">
      <w:pPr>
        <w:pStyle w:val="affffffff1"/>
        <w:spacing w:after="0"/>
        <w:ind w:left="0" w:firstLine="709"/>
        <w:jc w:val="both"/>
        <w:rPr>
          <w:lang w:val="uk-UA"/>
        </w:rPr>
      </w:pPr>
      <w:r>
        <w:t xml:space="preserve">1. </w:t>
      </w:r>
      <w:r>
        <w:rPr>
          <w:lang w:val="uk-UA"/>
        </w:rPr>
        <w:t>Дема О.В. Експериментальне вивчення закономірностей міграції імазетапіру в системі «грунт – ґрунтові води» // Український науково медичний молодіжний журнал. – 2002. – № 4. – С. 56–59.</w:t>
      </w:r>
    </w:p>
    <w:p w:rsidR="003F2351" w:rsidRDefault="003F2351" w:rsidP="003F2351">
      <w:pPr>
        <w:pStyle w:val="affffffff1"/>
        <w:spacing w:after="0"/>
        <w:ind w:left="0" w:firstLine="709"/>
        <w:jc w:val="both"/>
        <w:rPr>
          <w:lang w:val="uk-UA"/>
        </w:rPr>
      </w:pPr>
      <w:r>
        <w:rPr>
          <w:lang w:val="uk-UA"/>
        </w:rPr>
        <w:t>2. Коршун М.М., Омельчук С.Т., Дема О.В., Салата О.В., Ткаченко І.І., Коршун О.М., Горбачевський Р.В Гігієнічна оцінка особливостей поведінки гербіциду імазетапір в системі «грунт – суміжні середовища» // Гігієна населених місць. – 2003. – № 41. – С. 140–141.</w:t>
      </w:r>
    </w:p>
    <w:p w:rsidR="003F2351" w:rsidRDefault="003F2351" w:rsidP="003F2351">
      <w:pPr>
        <w:ind w:firstLine="709"/>
        <w:jc w:val="both"/>
        <w:rPr>
          <w:sz w:val="28"/>
          <w:lang w:val="uk-UA"/>
        </w:rPr>
      </w:pPr>
      <w:r>
        <w:rPr>
          <w:b/>
          <w:spacing w:val="-6"/>
          <w:sz w:val="28"/>
          <w:lang w:val="uk-UA"/>
        </w:rPr>
        <w:lastRenderedPageBreak/>
        <w:t>(</w:t>
      </w:r>
      <w:r>
        <w:rPr>
          <w:b/>
          <w:spacing w:val="-6"/>
          <w:sz w:val="28"/>
          <w:vertAlign w:val="superscript"/>
          <w:lang w:val="uk-UA"/>
        </w:rPr>
        <w:t>*</w:t>
      </w:r>
      <w:r>
        <w:rPr>
          <w:sz w:val="28"/>
          <w:lang w:val="uk-UA"/>
        </w:rPr>
        <w:t xml:space="preserve"> проведено вивчення закономірностей міграції імазетапіру з ґрунту в суміжні середовища, здійснено статистичну обробку одержаних результатів та їх узагальнення).</w:t>
      </w:r>
    </w:p>
    <w:p w:rsidR="003F2351" w:rsidRDefault="003F2351" w:rsidP="003F2351">
      <w:pPr>
        <w:ind w:firstLine="709"/>
        <w:jc w:val="both"/>
        <w:rPr>
          <w:sz w:val="28"/>
          <w:lang w:val="uk-UA"/>
        </w:rPr>
      </w:pPr>
      <w:r>
        <w:rPr>
          <w:sz w:val="28"/>
          <w:lang w:val="uk-UA"/>
        </w:rPr>
        <w:t>3. Дема О.В. Особливості міграції імазетапіру в системі «грунт – атмосферне повітря» // Український науково медичний молодіжний журнал. - 2003. – № 1. – С. 28–30.</w:t>
      </w:r>
    </w:p>
    <w:p w:rsidR="003F2351" w:rsidRDefault="003F2351" w:rsidP="003F2351">
      <w:pPr>
        <w:pStyle w:val="2ffff9"/>
        <w:spacing w:after="0" w:line="240" w:lineRule="auto"/>
        <w:ind w:firstLine="709"/>
        <w:jc w:val="both"/>
        <w:rPr>
          <w:sz w:val="28"/>
          <w:lang w:val="uk-UA"/>
        </w:rPr>
      </w:pPr>
      <w:r>
        <w:rPr>
          <w:sz w:val="28"/>
          <w:lang w:val="uk-UA"/>
        </w:rPr>
        <w:t>4. Дема О.В., Горбачевський Р.В. Гігієнічна оцінка впливу імазетапіру на ферментативну активність чорнозему вилугуваного // Український науково медичний молодіжний журнал. – 2003. –№ 2. – С. 75–79.</w:t>
      </w:r>
    </w:p>
    <w:p w:rsidR="003F2351" w:rsidRDefault="003F2351" w:rsidP="003F2351">
      <w:pPr>
        <w:pStyle w:val="2ffff9"/>
        <w:spacing w:after="0" w:line="240" w:lineRule="auto"/>
        <w:ind w:firstLine="709"/>
        <w:jc w:val="both"/>
        <w:rPr>
          <w:sz w:val="28"/>
          <w:lang w:val="uk-UA"/>
        </w:rPr>
      </w:pPr>
      <w:r>
        <w:rPr>
          <w:sz w:val="28"/>
          <w:lang w:val="uk-UA"/>
        </w:rPr>
        <w:t>(</w:t>
      </w:r>
      <w:r>
        <w:rPr>
          <w:b/>
          <w:spacing w:val="-6"/>
          <w:sz w:val="28"/>
          <w:vertAlign w:val="superscript"/>
          <w:lang w:val="uk-UA"/>
        </w:rPr>
        <w:t xml:space="preserve">* </w:t>
      </w:r>
      <w:r>
        <w:rPr>
          <w:sz w:val="28"/>
          <w:lang w:val="uk-UA"/>
        </w:rPr>
        <w:t>проведено вивчення впливу імазетапіру на активність ґрунтових ферментів, здійснено статистичну обробку одержаних результатів та їх узагальнення).</w:t>
      </w:r>
    </w:p>
    <w:p w:rsidR="003F2351" w:rsidRDefault="003F2351" w:rsidP="003F2351">
      <w:pPr>
        <w:pStyle w:val="2ffff9"/>
        <w:spacing w:after="0" w:line="240" w:lineRule="auto"/>
        <w:ind w:firstLine="709"/>
        <w:jc w:val="both"/>
        <w:rPr>
          <w:sz w:val="28"/>
          <w:lang w:val="uk-UA"/>
        </w:rPr>
      </w:pPr>
      <w:r>
        <w:rPr>
          <w:sz w:val="28"/>
          <w:lang w:val="uk-UA"/>
        </w:rPr>
        <w:t>5. Дема О.В., Горбачевський Р.В. Гігієнічна оцінка впливу імазетапіру на мікробіоценоз та процеси самоочищення ґрунту від санітарно-показових мікроорганізмів // Український науково медичний молодіжний журнал. –2003. –№ 3 – С. 22–25.</w:t>
      </w:r>
    </w:p>
    <w:p w:rsidR="003F2351" w:rsidRDefault="003F2351" w:rsidP="003F2351">
      <w:pPr>
        <w:ind w:firstLine="709"/>
        <w:jc w:val="both"/>
        <w:rPr>
          <w:sz w:val="28"/>
          <w:lang w:val="uk-UA"/>
        </w:rPr>
      </w:pPr>
      <w:r>
        <w:rPr>
          <w:b/>
          <w:spacing w:val="-6"/>
          <w:sz w:val="28"/>
          <w:lang w:val="uk-UA"/>
        </w:rPr>
        <w:t>(</w:t>
      </w:r>
      <w:r>
        <w:rPr>
          <w:b/>
          <w:spacing w:val="-6"/>
          <w:sz w:val="28"/>
          <w:vertAlign w:val="superscript"/>
          <w:lang w:val="uk-UA"/>
        </w:rPr>
        <w:t xml:space="preserve">* </w:t>
      </w:r>
      <w:r>
        <w:rPr>
          <w:sz w:val="28"/>
          <w:lang w:val="uk-UA"/>
        </w:rPr>
        <w:t>поставлений експеримент з вивчення впливу імазетапіру на мікробіоценоз та процеси самоочищення ґрунту, здійснено 80 % санітарно-бактеріологічних досліджень, статистичну обробку одержаних результатів та їх узагальнення).</w:t>
      </w:r>
    </w:p>
    <w:p w:rsidR="003F2351" w:rsidRDefault="003F2351" w:rsidP="003F2351">
      <w:pPr>
        <w:ind w:firstLine="709"/>
        <w:jc w:val="both"/>
        <w:rPr>
          <w:sz w:val="28"/>
          <w:lang w:val="uk-UA"/>
        </w:rPr>
      </w:pPr>
      <w:r>
        <w:rPr>
          <w:sz w:val="28"/>
          <w:lang w:val="uk-UA"/>
        </w:rPr>
        <w:t>6. Гаркавий С.І., Коршун М.М., Дема О.В. Наукове обґрунтування гігієгічних регламентів застосування в сільському господарстві гербіцидів на основі імазетапіру // Гігієна населених місць. – 2005. –№ 46. – С. 498–505.</w:t>
      </w:r>
    </w:p>
    <w:p w:rsidR="003F2351" w:rsidRDefault="003F2351" w:rsidP="003F2351">
      <w:pPr>
        <w:ind w:firstLine="709"/>
        <w:jc w:val="both"/>
        <w:rPr>
          <w:sz w:val="28"/>
          <w:lang w:val="uk-UA"/>
        </w:rPr>
      </w:pPr>
      <w:r>
        <w:rPr>
          <w:sz w:val="28"/>
          <w:lang w:val="uk-UA"/>
        </w:rPr>
        <w:t>(</w:t>
      </w:r>
      <w:r>
        <w:rPr>
          <w:b/>
          <w:spacing w:val="-6"/>
          <w:sz w:val="28"/>
          <w:vertAlign w:val="superscript"/>
          <w:lang w:val="uk-UA"/>
        </w:rPr>
        <w:t xml:space="preserve">* </w:t>
      </w:r>
      <w:r>
        <w:rPr>
          <w:sz w:val="28"/>
          <w:lang w:val="uk-UA"/>
        </w:rPr>
        <w:t>проведено експериментальні дослідження, здійснено статистичну обробку одержаних результатів та їх узагальнення).</w:t>
      </w:r>
    </w:p>
    <w:p w:rsidR="003F2351" w:rsidRDefault="003F2351" w:rsidP="003F2351">
      <w:pPr>
        <w:ind w:firstLine="709"/>
        <w:jc w:val="both"/>
        <w:rPr>
          <w:sz w:val="28"/>
          <w:lang w:val="uk-UA"/>
        </w:rPr>
      </w:pPr>
      <w:r>
        <w:rPr>
          <w:sz w:val="28"/>
          <w:lang w:val="uk-UA"/>
        </w:rPr>
        <w:t xml:space="preserve">7. </w:t>
      </w:r>
      <w:r>
        <w:rPr>
          <w:sz w:val="28"/>
        </w:rPr>
        <w:t xml:space="preserve">Бардов В.Г., </w:t>
      </w:r>
      <w:r>
        <w:rPr>
          <w:sz w:val="28"/>
          <w:lang w:val="uk-UA"/>
        </w:rPr>
        <w:t>Омельчук С.Т.,Сасинович Л.М., Коршун М.М., Омельчук С.А., Дема Е.В.</w:t>
      </w:r>
      <w:r>
        <w:rPr>
          <w:sz w:val="28"/>
        </w:rPr>
        <w:t xml:space="preserve"> Токсикологическая характеристика и гигиенические аспекты применения в Украине гербицидов на основе имаз</w:t>
      </w:r>
      <w:r>
        <w:rPr>
          <w:sz w:val="28"/>
        </w:rPr>
        <w:t>е</w:t>
      </w:r>
      <w:r>
        <w:rPr>
          <w:sz w:val="28"/>
        </w:rPr>
        <w:t xml:space="preserve">тапира // Современные проблемы токсикологии. </w:t>
      </w:r>
      <w:r>
        <w:rPr>
          <w:sz w:val="28"/>
          <w:lang w:val="uk-UA"/>
        </w:rPr>
        <w:t>–</w:t>
      </w:r>
      <w:r>
        <w:rPr>
          <w:sz w:val="28"/>
        </w:rPr>
        <w:t xml:space="preserve"> 2005. – № 2. – С. 54</w:t>
      </w:r>
      <w:r>
        <w:rPr>
          <w:sz w:val="28"/>
          <w:lang w:val="uk-UA"/>
        </w:rPr>
        <w:t>–</w:t>
      </w:r>
      <w:r>
        <w:rPr>
          <w:sz w:val="28"/>
        </w:rPr>
        <w:t>59.</w:t>
      </w:r>
    </w:p>
    <w:p w:rsidR="003F2351" w:rsidRDefault="003F2351" w:rsidP="003F2351">
      <w:pPr>
        <w:pStyle w:val="2ffff9"/>
        <w:spacing w:after="0" w:line="240" w:lineRule="auto"/>
        <w:ind w:firstLine="709"/>
        <w:jc w:val="both"/>
        <w:rPr>
          <w:sz w:val="28"/>
          <w:lang w:val="uk-UA"/>
        </w:rPr>
      </w:pPr>
      <w:r>
        <w:rPr>
          <w:sz w:val="28"/>
          <w:lang w:val="uk-UA"/>
        </w:rPr>
        <w:t>(</w:t>
      </w:r>
      <w:r>
        <w:rPr>
          <w:b/>
          <w:spacing w:val="-6"/>
          <w:sz w:val="28"/>
          <w:vertAlign w:val="superscript"/>
          <w:lang w:val="uk-UA"/>
        </w:rPr>
        <w:t xml:space="preserve">* </w:t>
      </w:r>
      <w:r>
        <w:rPr>
          <w:sz w:val="28"/>
          <w:lang w:val="uk-UA"/>
        </w:rPr>
        <w:t xml:space="preserve">проведено </w:t>
      </w:r>
      <w:r>
        <w:rPr>
          <w:color w:val="000000"/>
          <w:spacing w:val="5"/>
          <w:sz w:val="28"/>
          <w:lang w:val="uk-UA"/>
        </w:rPr>
        <w:t>гігієнічну класифікацію препаратів на основі імазетапіру,</w:t>
      </w:r>
      <w:r>
        <w:rPr>
          <w:sz w:val="28"/>
          <w:lang w:val="uk-UA"/>
        </w:rPr>
        <w:t xml:space="preserve"> хроматографічне визначення імазетапіру в об’єктах при вивченні умов праці, розрахунок професійного ризику та узагальнення результатів).</w:t>
      </w:r>
    </w:p>
    <w:p w:rsidR="003F2351" w:rsidRDefault="003F2351" w:rsidP="003F2351">
      <w:pPr>
        <w:pStyle w:val="24"/>
      </w:pPr>
      <w:r>
        <w:t>8. Коршун М.М., Омельчук С.Т., Гаркавий С.І., Дема О.В., Коршун О.М., Горбачевський Р.В., Андрієнко О.Ю. Порівняльна токсикол</w:t>
      </w:r>
      <w:r>
        <w:t>о</w:t>
      </w:r>
      <w:r>
        <w:t>го-гігієнічна оцінка гербіцидів – похідних імідазолінону (огляд літ</w:t>
      </w:r>
      <w:r>
        <w:t>е</w:t>
      </w:r>
      <w:r>
        <w:t>ратури та результати власних досл</w:t>
      </w:r>
      <w:r>
        <w:t>і</w:t>
      </w:r>
      <w:r>
        <w:t>джень) // Гігієна населених місць. – 2006. – № 47. – С. 159–171.</w:t>
      </w:r>
    </w:p>
    <w:p w:rsidR="003F2351" w:rsidRDefault="003F2351" w:rsidP="003F2351">
      <w:pPr>
        <w:pStyle w:val="24"/>
      </w:pPr>
      <w:r>
        <w:lastRenderedPageBreak/>
        <w:t>(</w:t>
      </w:r>
      <w:r>
        <w:rPr>
          <w:b/>
          <w:spacing w:val="-6"/>
          <w:vertAlign w:val="superscript"/>
        </w:rPr>
        <w:t xml:space="preserve">* </w:t>
      </w:r>
      <w:r>
        <w:t>проведено вивчення закономірностей поведінки імазетапіру у грунті в лабораторних та натурних умовах, здійснено статистичну обробку одержаних результатів та їх узагальнення).</w:t>
      </w:r>
    </w:p>
    <w:p w:rsidR="003F2351" w:rsidRDefault="003F2351" w:rsidP="003F2351">
      <w:pPr>
        <w:ind w:firstLine="709"/>
        <w:jc w:val="both"/>
        <w:rPr>
          <w:sz w:val="28"/>
          <w:lang w:val="uk-UA"/>
        </w:rPr>
      </w:pPr>
    </w:p>
    <w:p w:rsidR="003F2351" w:rsidRDefault="003F2351" w:rsidP="003F2351">
      <w:pPr>
        <w:ind w:firstLine="709"/>
        <w:jc w:val="both"/>
        <w:rPr>
          <w:b/>
          <w:sz w:val="28"/>
          <w:lang w:val="uk-UA"/>
        </w:rPr>
      </w:pPr>
      <w:r>
        <w:rPr>
          <w:b/>
          <w:sz w:val="28"/>
          <w:lang w:val="uk-UA"/>
        </w:rPr>
        <w:t>Інші наукові видання:</w:t>
      </w:r>
    </w:p>
    <w:p w:rsidR="003F2351" w:rsidRDefault="003F2351" w:rsidP="003F2351">
      <w:pPr>
        <w:ind w:firstLine="709"/>
        <w:jc w:val="both"/>
        <w:rPr>
          <w:sz w:val="28"/>
          <w:lang w:val="uk-UA"/>
        </w:rPr>
      </w:pPr>
    </w:p>
    <w:p w:rsidR="003F2351" w:rsidRDefault="003F2351" w:rsidP="003F2351">
      <w:pPr>
        <w:ind w:firstLine="709"/>
        <w:jc w:val="both"/>
        <w:rPr>
          <w:sz w:val="28"/>
          <w:lang w:val="uk-UA"/>
        </w:rPr>
      </w:pPr>
      <w:r>
        <w:rPr>
          <w:sz w:val="28"/>
          <w:lang w:val="uk-UA"/>
        </w:rPr>
        <w:t xml:space="preserve">9. Дема О.В., Горбачевський Р.В., Бєльська К.Й. Експериментальне обгрунтування ГДК у грунті імазетапіру – діючої речовини гербіциду Півот // </w:t>
      </w:r>
      <w:r>
        <w:rPr>
          <w:sz w:val="28"/>
          <w:lang w:val="en-US"/>
        </w:rPr>
        <w:t>V</w:t>
      </w:r>
      <w:r>
        <w:rPr>
          <w:sz w:val="28"/>
          <w:lang w:val="uk-UA"/>
        </w:rPr>
        <w:t xml:space="preserve"> Всеукраїнська наукова конференція молодих вчених гігієністів,токсикологів, хіміків-аналітиків «Сучасні проблеми гігієни, токсикології та аналітичної хімії». – Київ: ЕКОГІНТОКС, 2003. – С. 53–55.</w:t>
      </w:r>
    </w:p>
    <w:p w:rsidR="003F2351" w:rsidRDefault="003F2351" w:rsidP="003F2351">
      <w:pPr>
        <w:ind w:firstLine="709"/>
        <w:jc w:val="both"/>
        <w:rPr>
          <w:sz w:val="28"/>
          <w:lang w:val="uk-UA"/>
        </w:rPr>
      </w:pPr>
      <w:r>
        <w:rPr>
          <w:sz w:val="28"/>
          <w:lang w:val="uk-UA"/>
        </w:rPr>
        <w:t>(</w:t>
      </w:r>
      <w:r>
        <w:rPr>
          <w:b/>
          <w:spacing w:val="-6"/>
          <w:sz w:val="28"/>
          <w:vertAlign w:val="superscript"/>
          <w:lang w:val="uk-UA"/>
        </w:rPr>
        <w:t xml:space="preserve">* </w:t>
      </w:r>
      <w:r>
        <w:rPr>
          <w:sz w:val="28"/>
          <w:lang w:val="uk-UA"/>
        </w:rPr>
        <w:t>проведено експериментальні дослідження, здійснено статистичну обробку одержаних результатів та їх узагальнення).</w:t>
      </w:r>
    </w:p>
    <w:p w:rsidR="003F2351" w:rsidRDefault="003F2351" w:rsidP="003F2351">
      <w:pPr>
        <w:pStyle w:val="affffffff1"/>
        <w:spacing w:after="0"/>
        <w:ind w:left="0" w:firstLine="709"/>
        <w:jc w:val="both"/>
        <w:rPr>
          <w:lang w:val="uk-UA"/>
        </w:rPr>
      </w:pPr>
      <w:r>
        <w:rPr>
          <w:lang w:val="uk-UA"/>
        </w:rPr>
        <w:t>10. Дема О.В., Горбачевський Р.В. Миграция имазетапира в системе «почва – вода» // Матеріали всеукраїнської науково-практичної конференції студентів та молодих вчених «Актуальні проблеми клінічної, кспериментальної, профілактичної медицини та стоматології». – Донецьк: ДонГМУ, 2003. – С. 171.</w:t>
      </w:r>
    </w:p>
    <w:p w:rsidR="003F2351" w:rsidRDefault="003F2351" w:rsidP="003F2351">
      <w:pPr>
        <w:pStyle w:val="affffffff1"/>
        <w:spacing w:after="0"/>
        <w:ind w:left="0" w:firstLine="709"/>
        <w:jc w:val="both"/>
        <w:rPr>
          <w:lang w:val="uk-UA"/>
        </w:rPr>
      </w:pPr>
      <w:r>
        <w:rPr>
          <w:lang w:val="uk-UA"/>
        </w:rPr>
        <w:t>11. Коршун М.М., Дема О.В., Ткаченко І.І., Горбачевський Р.В., Бєльська К.Й. Наукове обгрунтування гігієнічного нормативу  у грунті перспективного гербіциду імазетапіру // VII з’їзд Всеукраїнського лікарського товариства «Українські медичні вісті». – Тернопіль, 2003, Т. 5, №1 (63). С.229.</w:t>
      </w:r>
    </w:p>
    <w:p w:rsidR="003F2351" w:rsidRDefault="003F2351" w:rsidP="003F2351">
      <w:pPr>
        <w:pStyle w:val="affffffff1"/>
        <w:spacing w:after="0"/>
        <w:ind w:left="0" w:firstLine="709"/>
        <w:jc w:val="both"/>
        <w:rPr>
          <w:lang w:val="uk-UA"/>
        </w:rPr>
      </w:pPr>
      <w:r>
        <w:rPr>
          <w:lang w:val="uk-UA"/>
        </w:rPr>
        <w:t>(</w:t>
      </w:r>
      <w:r>
        <w:rPr>
          <w:b/>
          <w:spacing w:val="-6"/>
          <w:vertAlign w:val="superscript"/>
          <w:lang w:val="uk-UA"/>
        </w:rPr>
        <w:t xml:space="preserve">* </w:t>
      </w:r>
      <w:r>
        <w:rPr>
          <w:lang w:val="uk-UA"/>
        </w:rPr>
        <w:t>проведено експериментальні дослідження, здійснено статистичну обробку одержаних результатів та їх узагальнення).</w:t>
      </w:r>
    </w:p>
    <w:p w:rsidR="003F2351" w:rsidRDefault="003F2351" w:rsidP="003F2351">
      <w:pPr>
        <w:pStyle w:val="affffffff1"/>
        <w:spacing w:after="0"/>
        <w:ind w:left="0" w:firstLine="709"/>
        <w:jc w:val="both"/>
        <w:rPr>
          <w:lang w:val="uk-UA"/>
        </w:rPr>
      </w:pPr>
      <w:r>
        <w:rPr>
          <w:lang w:val="uk-UA"/>
        </w:rPr>
        <w:t>12. Дема О.В. Закономірності поведінки гербіциду імазетапір у грунті і суміжних середовищах // Тези 58-ї науково-практичній конференції студентів та молодих вчених Національного медичного університетуім. О.О. Богомольця “Актуальні проблеми сучасної медицини”. – Київ, 2003. – С. 63.</w:t>
      </w:r>
    </w:p>
    <w:p w:rsidR="003F2351" w:rsidRDefault="003F2351" w:rsidP="003F2351">
      <w:pPr>
        <w:pStyle w:val="affffffff1"/>
        <w:spacing w:after="0"/>
        <w:ind w:left="0" w:firstLine="709"/>
        <w:jc w:val="both"/>
        <w:rPr>
          <w:lang w:val="uk-UA"/>
        </w:rPr>
      </w:pPr>
      <w:r>
        <w:rPr>
          <w:lang w:val="uk-UA"/>
        </w:rPr>
        <w:t>13. Дема О.В., Коршун М.М., Горбачевський Р.В. Закономірності вертикальної міграції у грунті гербіциду імазетапір // Матеріали науково-практичної конференції «Актульні проблеми токсикології, гігієни та аналітичної хімії пестицидів і агрохімікатів». – Київ: ЕКОГІНТОКС, 2003. – С. 512–513.</w:t>
      </w:r>
    </w:p>
    <w:p w:rsidR="003F2351" w:rsidRDefault="003F2351" w:rsidP="003F2351">
      <w:pPr>
        <w:pStyle w:val="affffffff1"/>
        <w:spacing w:after="0"/>
        <w:ind w:left="0" w:firstLine="709"/>
        <w:jc w:val="both"/>
        <w:rPr>
          <w:lang w:val="uk-UA"/>
        </w:rPr>
      </w:pPr>
      <w:r>
        <w:rPr>
          <w:lang w:val="uk-UA"/>
        </w:rPr>
        <w:t>14. Салата О.В., Дема О.В.,Горбачевський Р.В. Вплив імазетапіру на мікробіоценоз і ферментативну активність грунту // Матеріали науково-практичної конференції «Актульні проблеми токсикології, гігієни та аналітичної хімії пестицидів і агрохімікатів». – Київ: ЕКОГІНТОКС, 2003. – С. 512–513.</w:t>
      </w:r>
    </w:p>
    <w:p w:rsidR="003F2351" w:rsidRDefault="003F2351" w:rsidP="003F2351">
      <w:pPr>
        <w:ind w:firstLine="708"/>
        <w:jc w:val="both"/>
        <w:rPr>
          <w:sz w:val="28"/>
          <w:lang w:val="uk-UA"/>
        </w:rPr>
      </w:pPr>
      <w:r>
        <w:rPr>
          <w:sz w:val="28"/>
          <w:lang w:val="uk-UA"/>
        </w:rPr>
        <w:t>(</w:t>
      </w:r>
      <w:r>
        <w:rPr>
          <w:b/>
          <w:spacing w:val="-6"/>
          <w:sz w:val="28"/>
          <w:vertAlign w:val="superscript"/>
          <w:lang w:val="uk-UA"/>
        </w:rPr>
        <w:t xml:space="preserve">* </w:t>
      </w:r>
      <w:r>
        <w:rPr>
          <w:sz w:val="28"/>
          <w:lang w:val="uk-UA"/>
        </w:rPr>
        <w:t xml:space="preserve">брав участь у проведенні досліджень, узагальнив результати та оформив роботу). </w:t>
      </w:r>
    </w:p>
    <w:p w:rsidR="003F2351" w:rsidRDefault="003F2351" w:rsidP="003F2351">
      <w:pPr>
        <w:pStyle w:val="24"/>
      </w:pPr>
      <w:r>
        <w:t xml:space="preserve">15. Гончарук Є.Г., Салата О.В., Коршун М.М., Ткаченко І.І., Дема О.В. Сучасний стан і перспективи розвитку гігієнічного нормування екзогенних хімічних речовин у грунті // Матеріали ХIV з’їзду гігієністів України </w:t>
      </w:r>
      <w:r>
        <w:lastRenderedPageBreak/>
        <w:t>“Гігієнічна наука та практика на рубежі століть”. – Дніпропетровськ: АРТ-ПРЕСС, 2004. – С. 160–164.</w:t>
      </w:r>
    </w:p>
    <w:p w:rsidR="003F2351" w:rsidRDefault="003F2351" w:rsidP="003F2351">
      <w:pPr>
        <w:pStyle w:val="affffffff1"/>
        <w:spacing w:after="0"/>
        <w:ind w:left="0" w:firstLine="709"/>
        <w:jc w:val="both"/>
        <w:rPr>
          <w:lang w:val="uk-UA"/>
        </w:rPr>
      </w:pPr>
      <w:r>
        <w:rPr>
          <w:lang w:val="uk-UA"/>
        </w:rPr>
        <w:t>16. Дема О.В., Коршун М.М. Визначення залишкових кількостей імазетапіру в об’єктах довкілля методом високоефективної рідинної хроматографії // Тези доповідей другої міжнародної конференції «Чистота довкілля в нашому місті». – Трускавець, 2004. – С. 41–42.</w:t>
      </w:r>
    </w:p>
    <w:p w:rsidR="003F2351" w:rsidRDefault="003F2351" w:rsidP="003F2351">
      <w:pPr>
        <w:pStyle w:val="affffffff1"/>
        <w:spacing w:after="0"/>
        <w:ind w:left="0" w:firstLine="709"/>
        <w:jc w:val="both"/>
        <w:rPr>
          <w:lang w:val="uk-UA"/>
        </w:rPr>
      </w:pPr>
      <w:r>
        <w:rPr>
          <w:lang w:val="uk-UA"/>
        </w:rPr>
        <w:t>(</w:t>
      </w:r>
      <w:r>
        <w:rPr>
          <w:b/>
          <w:spacing w:val="-6"/>
          <w:vertAlign w:val="superscript"/>
          <w:lang w:val="uk-UA"/>
        </w:rPr>
        <w:t xml:space="preserve">* </w:t>
      </w:r>
      <w:r>
        <w:rPr>
          <w:lang w:val="uk-UA"/>
        </w:rPr>
        <w:t xml:space="preserve">брав участь в розробці методів визначення імазетапіру в об’єктах довкілля та у підготовці роботи до друку). </w:t>
      </w:r>
    </w:p>
    <w:p w:rsidR="003F2351" w:rsidRDefault="003F2351" w:rsidP="003F2351">
      <w:pPr>
        <w:ind w:firstLine="708"/>
        <w:jc w:val="both"/>
        <w:rPr>
          <w:sz w:val="28"/>
          <w:lang w:val="uk-UA"/>
        </w:rPr>
      </w:pPr>
      <w:r>
        <w:rPr>
          <w:sz w:val="28"/>
          <w:lang w:val="uk-UA"/>
        </w:rPr>
        <w:t>17. Дема О.В., Коршун О.М., Горбачевський Р.В., Гиренко Т.В. Гігієнічна оцінка умов праці та ризику використання гербіцидів на основі імазетапіру для захисту бобових культур // Тези доповідей II з’їзду Токсикологів України. – Київ, 2004. – С. 85.</w:t>
      </w:r>
    </w:p>
    <w:p w:rsidR="003F2351" w:rsidRDefault="003F2351" w:rsidP="003F2351">
      <w:pPr>
        <w:ind w:firstLine="708"/>
        <w:jc w:val="both"/>
        <w:rPr>
          <w:sz w:val="28"/>
          <w:lang w:val="uk-UA"/>
        </w:rPr>
      </w:pPr>
      <w:r>
        <w:rPr>
          <w:sz w:val="28"/>
          <w:lang w:val="uk-UA"/>
        </w:rPr>
        <w:t>18. Коршун М.М., Дема О.В., Ткаченко І.І., Горбачевський Р.В. Оцінка потенційної небезпеки використання гербіцидів на основі імазетапіру шляхом вивчення їх поведінки в ґрунті // Тези матеріалів міжнародної науково-практичної конференції « Інтегрований захист рослин на початку ХХI століття». – Київ, 2004. – С. 630–639.</w:t>
      </w:r>
    </w:p>
    <w:p w:rsidR="003F2351" w:rsidRDefault="003F2351" w:rsidP="003F2351">
      <w:pPr>
        <w:ind w:firstLine="708"/>
        <w:jc w:val="both"/>
        <w:rPr>
          <w:sz w:val="28"/>
          <w:lang w:val="uk-UA"/>
        </w:rPr>
      </w:pPr>
      <w:r>
        <w:rPr>
          <w:sz w:val="28"/>
          <w:lang w:val="uk-UA"/>
        </w:rPr>
        <w:t>19. Дема О.В. Гігієнічна оцінка ризику використання гербіцидів на основі імазетапіру // Тези доповідей на 59 науково-практичній конференції студентів та молодих вчених НМУ “Актуальні проблеми сучасної медицини”. – Київ, 2005. – С. 67.</w:t>
      </w:r>
    </w:p>
    <w:p w:rsidR="003F2351" w:rsidRDefault="003F2351" w:rsidP="003F2351">
      <w:pPr>
        <w:ind w:firstLine="708"/>
        <w:jc w:val="both"/>
        <w:rPr>
          <w:sz w:val="28"/>
          <w:lang w:val="uk-UA"/>
        </w:rPr>
      </w:pPr>
      <w:r>
        <w:rPr>
          <w:sz w:val="28"/>
          <w:lang w:val="uk-UA"/>
        </w:rPr>
        <w:t>(</w:t>
      </w:r>
      <w:r>
        <w:rPr>
          <w:b/>
          <w:spacing w:val="-6"/>
          <w:sz w:val="28"/>
          <w:vertAlign w:val="superscript"/>
          <w:lang w:val="uk-UA"/>
        </w:rPr>
        <w:t xml:space="preserve">* </w:t>
      </w:r>
      <w:r>
        <w:rPr>
          <w:sz w:val="28"/>
          <w:lang w:val="uk-UA"/>
        </w:rPr>
        <w:t>брав участь в оцінці умов праці, провів розрахунок ризику несприятливого впливу імазетапіру на працюючих, узагальнив результати, оформив роботу).</w:t>
      </w:r>
    </w:p>
    <w:p w:rsidR="003F2351" w:rsidRDefault="003F2351" w:rsidP="003F2351">
      <w:pPr>
        <w:ind w:firstLine="708"/>
        <w:jc w:val="both"/>
        <w:rPr>
          <w:sz w:val="28"/>
          <w:lang w:val="uk-UA"/>
        </w:rPr>
      </w:pPr>
      <w:r>
        <w:rPr>
          <w:sz w:val="28"/>
          <w:lang w:val="uk-UA"/>
        </w:rPr>
        <w:t>20. Гаркавий С.І., Дема О.В. Вплив пестицидів на основі імазетапіру на мікробіоценоз і ферментативну активність ґрунту // Тези доповідей ХІ ко</w:t>
      </w:r>
      <w:r>
        <w:rPr>
          <w:sz w:val="28"/>
          <w:lang w:val="uk-UA"/>
        </w:rPr>
        <w:t>н</w:t>
      </w:r>
      <w:r>
        <w:rPr>
          <w:sz w:val="28"/>
          <w:lang w:val="uk-UA"/>
        </w:rPr>
        <w:t>гресу Світової федерації українських лікарських товариств, м. Полтава, 28–30 серпня 2006. – По</w:t>
      </w:r>
      <w:r>
        <w:rPr>
          <w:sz w:val="28"/>
          <w:lang w:val="uk-UA"/>
        </w:rPr>
        <w:t>л</w:t>
      </w:r>
      <w:r>
        <w:rPr>
          <w:sz w:val="28"/>
          <w:lang w:val="uk-UA"/>
        </w:rPr>
        <w:t>тава–Київ–Чикаго, 2006. – С. 625–626.</w:t>
      </w:r>
    </w:p>
    <w:p w:rsidR="003F2351" w:rsidRDefault="003F2351" w:rsidP="003F2351">
      <w:pPr>
        <w:ind w:firstLine="708"/>
        <w:jc w:val="both"/>
        <w:rPr>
          <w:sz w:val="28"/>
          <w:lang w:val="uk-UA"/>
        </w:rPr>
      </w:pPr>
      <w:r>
        <w:rPr>
          <w:sz w:val="28"/>
          <w:lang w:val="uk-UA"/>
        </w:rPr>
        <w:t>(</w:t>
      </w:r>
      <w:r>
        <w:rPr>
          <w:b/>
          <w:spacing w:val="-6"/>
          <w:sz w:val="28"/>
          <w:vertAlign w:val="superscript"/>
          <w:lang w:val="uk-UA"/>
        </w:rPr>
        <w:t xml:space="preserve">* </w:t>
      </w:r>
      <w:r>
        <w:rPr>
          <w:sz w:val="28"/>
          <w:lang w:val="uk-UA"/>
        </w:rPr>
        <w:t xml:space="preserve">брав участь у проведенні досліджень, узагальнив результати та оформив роботу). </w:t>
      </w:r>
    </w:p>
    <w:p w:rsidR="003F2351" w:rsidRDefault="003F2351" w:rsidP="003F2351">
      <w:pPr>
        <w:pStyle w:val="31"/>
      </w:pPr>
    </w:p>
    <w:p w:rsidR="003F2351" w:rsidRDefault="003F2351" w:rsidP="003F2351">
      <w:pPr>
        <w:pStyle w:val="31"/>
      </w:pPr>
      <w:r>
        <w:t>АНОТАЦІЯ</w:t>
      </w:r>
    </w:p>
    <w:p w:rsidR="003F2351" w:rsidRPr="005B6EB4" w:rsidRDefault="003F2351" w:rsidP="003F2351">
      <w:pPr>
        <w:ind w:firstLine="708"/>
        <w:jc w:val="both"/>
        <w:rPr>
          <w:i/>
          <w:sz w:val="28"/>
          <w:lang w:val="uk-UA"/>
        </w:rPr>
      </w:pPr>
      <w:r w:rsidRPr="005B6EB4">
        <w:rPr>
          <w:b/>
          <w:i/>
          <w:sz w:val="28"/>
          <w:lang w:val="uk-UA"/>
        </w:rPr>
        <w:t xml:space="preserve">Дема О.В. </w:t>
      </w:r>
      <w:r w:rsidRPr="005B6EB4">
        <w:rPr>
          <w:i/>
          <w:sz w:val="28"/>
          <w:lang w:val="uk-UA"/>
        </w:rPr>
        <w:t>Гігієнічне обґрунтування регламентів використання в сільському господарстві гербіцидів на основі імазетапіру. – Рукопис.</w:t>
      </w:r>
    </w:p>
    <w:p w:rsidR="003F2351" w:rsidRDefault="003F2351" w:rsidP="003F2351">
      <w:pPr>
        <w:ind w:firstLine="708"/>
        <w:jc w:val="both"/>
        <w:rPr>
          <w:sz w:val="28"/>
          <w:lang w:val="uk-UA"/>
        </w:rPr>
      </w:pPr>
      <w:r>
        <w:rPr>
          <w:sz w:val="28"/>
          <w:lang w:val="uk-UA"/>
        </w:rPr>
        <w:t>Дисертація на здобуття наукового ступеня кандидата медичних наук за спеціальністю 14.02.01 – гігієна. – Національний медичний університет імені О.О. Богомольця МОЗ України, Київ, 2007.</w:t>
      </w:r>
    </w:p>
    <w:p w:rsidR="003F2351" w:rsidRDefault="003F2351" w:rsidP="003F2351">
      <w:pPr>
        <w:ind w:firstLine="708"/>
        <w:jc w:val="both"/>
        <w:rPr>
          <w:sz w:val="28"/>
          <w:lang w:val="uk-UA"/>
        </w:rPr>
      </w:pPr>
      <w:r>
        <w:rPr>
          <w:sz w:val="28"/>
          <w:lang w:val="uk-UA"/>
        </w:rPr>
        <w:t>Дисертація присвячена гігієнічній оцінці нових імідазолінонових гербіцидів Півот, 10 % в.р.к., Патріот, 10% в.р.к. та ДТ-03, в.р.к. та їх діючої речовини – імазетапіру для захисту посівів бобових культур від бур’янів.</w:t>
      </w:r>
    </w:p>
    <w:p w:rsidR="003F2351" w:rsidRDefault="003F2351" w:rsidP="003F2351">
      <w:pPr>
        <w:ind w:firstLine="708"/>
        <w:jc w:val="both"/>
        <w:rPr>
          <w:sz w:val="28"/>
          <w:lang w:val="uk-UA"/>
        </w:rPr>
      </w:pPr>
      <w:r>
        <w:rPr>
          <w:sz w:val="28"/>
          <w:lang w:val="uk-UA"/>
        </w:rPr>
        <w:t xml:space="preserve">Встановлено закономірності поведінки імазетапіру в об’єктах навколишнього середовища, оцінено екотоксикологічний ризик, умови праці та ризик шкідливого впливу на здоров’я працюючих. Науково обґрунтовано </w:t>
      </w:r>
      <w:r>
        <w:rPr>
          <w:sz w:val="28"/>
          <w:lang w:val="uk-UA"/>
        </w:rPr>
        <w:lastRenderedPageBreak/>
        <w:t>гранично допустиму концентрацію імазетапіру у ґрунті та гігієнічні регламенти безпечного застосування досліджуваних гербіцидів. Розроблені аналітичні методи визначення імазетапіру в об’єктах навколишнього середовища, в продуктах харчування та сільськогосподарській сировині.</w:t>
      </w:r>
    </w:p>
    <w:p w:rsidR="003F2351" w:rsidRDefault="003F2351" w:rsidP="003F2351">
      <w:pPr>
        <w:ind w:firstLine="708"/>
        <w:jc w:val="both"/>
        <w:rPr>
          <w:sz w:val="28"/>
          <w:lang w:val="uk-UA"/>
        </w:rPr>
      </w:pPr>
      <w:r>
        <w:rPr>
          <w:b/>
          <w:sz w:val="28"/>
          <w:lang w:val="uk-UA"/>
        </w:rPr>
        <w:t xml:space="preserve">Ключові слова: </w:t>
      </w:r>
      <w:r>
        <w:rPr>
          <w:sz w:val="28"/>
          <w:lang w:val="uk-UA"/>
        </w:rPr>
        <w:t>гербіциди, об’єкти навколишнього середовища, екотоксикологічний ризик, умови праці, гранично допустима концентрація.</w:t>
      </w:r>
    </w:p>
    <w:p w:rsidR="003F2351" w:rsidRDefault="003F2351" w:rsidP="003F2351">
      <w:pPr>
        <w:ind w:firstLine="708"/>
        <w:jc w:val="both"/>
        <w:rPr>
          <w:sz w:val="28"/>
          <w:lang w:val="uk-UA"/>
        </w:rPr>
      </w:pPr>
    </w:p>
    <w:p w:rsidR="003F2351" w:rsidRDefault="003F2351" w:rsidP="003F2351">
      <w:pPr>
        <w:ind w:firstLine="708"/>
        <w:jc w:val="center"/>
        <w:rPr>
          <w:b/>
          <w:sz w:val="28"/>
        </w:rPr>
      </w:pPr>
      <w:r>
        <w:rPr>
          <w:b/>
          <w:sz w:val="28"/>
        </w:rPr>
        <w:t>АННОТАЦИЯ</w:t>
      </w:r>
    </w:p>
    <w:p w:rsidR="003F2351" w:rsidRPr="005B6EB4" w:rsidRDefault="003F2351" w:rsidP="003F2351">
      <w:pPr>
        <w:ind w:firstLine="708"/>
        <w:jc w:val="both"/>
        <w:rPr>
          <w:i/>
          <w:sz w:val="28"/>
        </w:rPr>
      </w:pPr>
      <w:r w:rsidRPr="005B6EB4">
        <w:rPr>
          <w:b/>
          <w:i/>
          <w:sz w:val="28"/>
        </w:rPr>
        <w:t xml:space="preserve">Дема Е.В. </w:t>
      </w:r>
      <w:r w:rsidRPr="005B6EB4">
        <w:rPr>
          <w:i/>
          <w:sz w:val="28"/>
        </w:rPr>
        <w:t>Гигиеническое обоснование регламентов использования в сельском хозяйстве гербицидов на основе имазетапира.</w:t>
      </w:r>
    </w:p>
    <w:p w:rsidR="003F2351" w:rsidRDefault="003F2351" w:rsidP="003F2351">
      <w:pPr>
        <w:ind w:firstLine="708"/>
        <w:jc w:val="both"/>
        <w:rPr>
          <w:sz w:val="28"/>
        </w:rPr>
      </w:pPr>
      <w:r>
        <w:rPr>
          <w:sz w:val="28"/>
        </w:rPr>
        <w:t>Диссертация на соискание ученой степени кандидата медицинских наук по специальности 14.02.01 – гигиена. – Национальный медицинский университет имени А.А. Богомольця МЗ Украины, Киев, 2007.</w:t>
      </w:r>
    </w:p>
    <w:p w:rsidR="003F2351" w:rsidRDefault="003F2351" w:rsidP="003F2351">
      <w:pPr>
        <w:ind w:firstLine="709"/>
        <w:jc w:val="both"/>
        <w:rPr>
          <w:spacing w:val="-4"/>
          <w:sz w:val="28"/>
          <w:lang w:eastAsia="ru-RU"/>
        </w:rPr>
      </w:pPr>
      <w:r>
        <w:rPr>
          <w:rFonts w:ascii="Times New Roman CYR" w:hAnsi="Times New Roman CYR"/>
          <w:sz w:val="28"/>
          <w:lang w:eastAsia="ru-RU"/>
        </w:rPr>
        <w:t xml:space="preserve">В диссертации обобщены результаты комплексных </w:t>
      </w:r>
      <w:r>
        <w:rPr>
          <w:sz w:val="28"/>
          <w:lang w:eastAsia="ru-RU"/>
        </w:rPr>
        <w:t>натурных и экспериментальных</w:t>
      </w:r>
      <w:r>
        <w:rPr>
          <w:sz w:val="28"/>
        </w:rPr>
        <w:t xml:space="preserve"> </w:t>
      </w:r>
      <w:r>
        <w:rPr>
          <w:rFonts w:ascii="Times New Roman CYR" w:hAnsi="Times New Roman CYR"/>
          <w:sz w:val="28"/>
          <w:lang w:eastAsia="ru-RU"/>
        </w:rPr>
        <w:t xml:space="preserve">исследований </w:t>
      </w:r>
      <w:r>
        <w:rPr>
          <w:rFonts w:ascii="Times New Roman CYR" w:hAnsi="Times New Roman CYR"/>
          <w:sz w:val="28"/>
        </w:rPr>
        <w:t>по</w:t>
      </w:r>
      <w:r>
        <w:rPr>
          <w:rFonts w:ascii="Times New Roman CYR" w:hAnsi="Times New Roman CYR"/>
          <w:sz w:val="28"/>
          <w:lang w:eastAsia="ru-RU"/>
        </w:rPr>
        <w:t xml:space="preserve"> </w:t>
      </w:r>
      <w:r>
        <w:rPr>
          <w:sz w:val="28"/>
          <w:lang w:eastAsia="ru-RU"/>
        </w:rPr>
        <w:t>гигиенической оценк</w:t>
      </w:r>
      <w:r>
        <w:rPr>
          <w:sz w:val="28"/>
        </w:rPr>
        <w:t>е</w:t>
      </w:r>
      <w:r>
        <w:rPr>
          <w:sz w:val="28"/>
          <w:lang w:eastAsia="ru-RU"/>
        </w:rPr>
        <w:t xml:space="preserve"> новых </w:t>
      </w:r>
      <w:r>
        <w:rPr>
          <w:sz w:val="28"/>
        </w:rPr>
        <w:t>имидазолиноновы</w:t>
      </w:r>
      <w:r>
        <w:rPr>
          <w:sz w:val="28"/>
          <w:lang w:eastAsia="ru-RU"/>
        </w:rPr>
        <w:t>х гербицидов</w:t>
      </w:r>
      <w:r>
        <w:rPr>
          <w:sz w:val="28"/>
        </w:rPr>
        <w:t xml:space="preserve"> </w:t>
      </w:r>
      <w:r>
        <w:rPr>
          <w:sz w:val="28"/>
          <w:lang w:eastAsia="ru-RU"/>
        </w:rPr>
        <w:t xml:space="preserve">Пивот, 10 % в.р.к., Патриот, 10% в.р.к., ДТ-03, в.р.к. </w:t>
      </w:r>
      <w:r>
        <w:rPr>
          <w:sz w:val="28"/>
        </w:rPr>
        <w:t>и</w:t>
      </w:r>
      <w:r>
        <w:rPr>
          <w:sz w:val="28"/>
          <w:lang w:eastAsia="ru-RU"/>
        </w:rPr>
        <w:t xml:space="preserve"> их действующего вещества</w:t>
      </w:r>
      <w:r>
        <w:rPr>
          <w:sz w:val="28"/>
        </w:rPr>
        <w:t xml:space="preserve"> </w:t>
      </w:r>
      <w:r>
        <w:rPr>
          <w:sz w:val="28"/>
          <w:lang w:eastAsia="ru-RU"/>
        </w:rPr>
        <w:t>– имазетапир</w:t>
      </w:r>
      <w:r>
        <w:rPr>
          <w:sz w:val="28"/>
        </w:rPr>
        <w:t>а</w:t>
      </w:r>
      <w:r>
        <w:rPr>
          <w:sz w:val="28"/>
          <w:lang w:eastAsia="ru-RU"/>
        </w:rPr>
        <w:t>; установлены закономерности его поведения в объектах окружающей</w:t>
      </w:r>
      <w:r>
        <w:rPr>
          <w:sz w:val="28"/>
        </w:rPr>
        <w:t xml:space="preserve"> среды, оценен</w:t>
      </w:r>
      <w:r>
        <w:rPr>
          <w:sz w:val="28"/>
          <w:lang w:eastAsia="ru-RU"/>
        </w:rPr>
        <w:t xml:space="preserve"> </w:t>
      </w:r>
      <w:r>
        <w:rPr>
          <w:sz w:val="28"/>
        </w:rPr>
        <w:t>э</w:t>
      </w:r>
      <w:r>
        <w:rPr>
          <w:sz w:val="28"/>
          <w:lang w:eastAsia="ru-RU"/>
        </w:rPr>
        <w:t>котоксикологич</w:t>
      </w:r>
      <w:r>
        <w:rPr>
          <w:sz w:val="28"/>
        </w:rPr>
        <w:t>еский</w:t>
      </w:r>
      <w:r>
        <w:rPr>
          <w:sz w:val="28"/>
          <w:lang w:eastAsia="ru-RU"/>
        </w:rPr>
        <w:t xml:space="preserve"> риск и риск вредного</w:t>
      </w:r>
      <w:r>
        <w:rPr>
          <w:sz w:val="28"/>
        </w:rPr>
        <w:t xml:space="preserve"> </w:t>
      </w:r>
      <w:r>
        <w:rPr>
          <w:sz w:val="28"/>
          <w:lang w:eastAsia="ru-RU"/>
        </w:rPr>
        <w:t>влияния на здоровье работающих, научно об</w:t>
      </w:r>
      <w:r>
        <w:rPr>
          <w:sz w:val="28"/>
        </w:rPr>
        <w:t>основана</w:t>
      </w:r>
      <w:r>
        <w:rPr>
          <w:sz w:val="28"/>
          <w:lang w:eastAsia="ru-RU"/>
        </w:rPr>
        <w:t xml:space="preserve"> предельно допустим</w:t>
      </w:r>
      <w:r>
        <w:rPr>
          <w:sz w:val="28"/>
        </w:rPr>
        <w:t>ая концентрация</w:t>
      </w:r>
      <w:r>
        <w:rPr>
          <w:sz w:val="28"/>
          <w:lang w:eastAsia="ru-RU"/>
        </w:rPr>
        <w:t xml:space="preserve"> имазетапир</w:t>
      </w:r>
      <w:r>
        <w:rPr>
          <w:sz w:val="28"/>
        </w:rPr>
        <w:t>а</w:t>
      </w:r>
      <w:r>
        <w:rPr>
          <w:sz w:val="28"/>
          <w:lang w:eastAsia="ru-RU"/>
        </w:rPr>
        <w:t xml:space="preserve"> в </w:t>
      </w:r>
      <w:r>
        <w:rPr>
          <w:sz w:val="28"/>
        </w:rPr>
        <w:t>почве</w:t>
      </w:r>
      <w:r>
        <w:rPr>
          <w:sz w:val="28"/>
          <w:lang w:eastAsia="ru-RU"/>
        </w:rPr>
        <w:t xml:space="preserve"> и гигиенические регламенты безопасного</w:t>
      </w:r>
      <w:r>
        <w:rPr>
          <w:sz w:val="28"/>
        </w:rPr>
        <w:t xml:space="preserve"> применения изученных</w:t>
      </w:r>
      <w:r>
        <w:rPr>
          <w:sz w:val="28"/>
          <w:lang w:eastAsia="ru-RU"/>
        </w:rPr>
        <w:t xml:space="preserve"> гербицидов, что </w:t>
      </w:r>
      <w:r>
        <w:rPr>
          <w:spacing w:val="-4"/>
          <w:sz w:val="28"/>
          <w:lang w:eastAsia="ru-RU"/>
        </w:rPr>
        <w:t>будет способствовать уменьшению химической</w:t>
      </w:r>
      <w:r>
        <w:rPr>
          <w:sz w:val="28"/>
        </w:rPr>
        <w:t xml:space="preserve"> </w:t>
      </w:r>
      <w:r>
        <w:rPr>
          <w:spacing w:val="-4"/>
          <w:sz w:val="28"/>
          <w:lang w:eastAsia="ru-RU"/>
        </w:rPr>
        <w:t xml:space="preserve">нагрузки на окружающую </w:t>
      </w:r>
      <w:r>
        <w:rPr>
          <w:spacing w:val="-4"/>
          <w:sz w:val="28"/>
        </w:rPr>
        <w:t>природную</w:t>
      </w:r>
      <w:r>
        <w:rPr>
          <w:spacing w:val="-4"/>
          <w:sz w:val="28"/>
          <w:lang w:eastAsia="ru-RU"/>
        </w:rPr>
        <w:t xml:space="preserve"> среду, предотвращению </w:t>
      </w:r>
      <w:r>
        <w:rPr>
          <w:spacing w:val="-4"/>
          <w:sz w:val="28"/>
        </w:rPr>
        <w:t>э</w:t>
      </w:r>
      <w:r>
        <w:rPr>
          <w:spacing w:val="-4"/>
          <w:sz w:val="28"/>
          <w:lang w:eastAsia="ru-RU"/>
        </w:rPr>
        <w:t>кзохимич</w:t>
      </w:r>
      <w:r>
        <w:rPr>
          <w:spacing w:val="-4"/>
          <w:sz w:val="28"/>
        </w:rPr>
        <w:t>еской</w:t>
      </w:r>
      <w:r>
        <w:rPr>
          <w:sz w:val="28"/>
        </w:rPr>
        <w:t xml:space="preserve"> </w:t>
      </w:r>
      <w:r>
        <w:rPr>
          <w:spacing w:val="-4"/>
          <w:sz w:val="28"/>
          <w:lang w:eastAsia="ru-RU"/>
        </w:rPr>
        <w:t>патологии и укреплени</w:t>
      </w:r>
      <w:r>
        <w:rPr>
          <w:spacing w:val="-4"/>
          <w:sz w:val="28"/>
        </w:rPr>
        <w:t>ю</w:t>
      </w:r>
      <w:r>
        <w:rPr>
          <w:spacing w:val="-4"/>
          <w:sz w:val="28"/>
          <w:lang w:eastAsia="ru-RU"/>
        </w:rPr>
        <w:t xml:space="preserve"> здоровья работающих и населения.</w:t>
      </w:r>
    </w:p>
    <w:p w:rsidR="003F2351" w:rsidRDefault="003F2351" w:rsidP="003F2351">
      <w:pPr>
        <w:ind w:firstLine="709"/>
        <w:jc w:val="both"/>
        <w:rPr>
          <w:sz w:val="28"/>
        </w:rPr>
      </w:pPr>
      <w:r>
        <w:rPr>
          <w:sz w:val="28"/>
        </w:rPr>
        <w:t>Установлено, что п</w:t>
      </w:r>
      <w:r>
        <w:rPr>
          <w:sz w:val="28"/>
          <w:lang w:eastAsia="ru-RU"/>
        </w:rPr>
        <w:t xml:space="preserve">репарат ДТ-03, в.р.к. </w:t>
      </w:r>
      <w:r>
        <w:rPr>
          <w:sz w:val="28"/>
        </w:rPr>
        <w:t>по</w:t>
      </w:r>
      <w:r>
        <w:rPr>
          <w:sz w:val="28"/>
          <w:lang w:eastAsia="ru-RU"/>
        </w:rPr>
        <w:t xml:space="preserve"> острой токсичност</w:t>
      </w:r>
      <w:r>
        <w:rPr>
          <w:sz w:val="28"/>
        </w:rPr>
        <w:t>и</w:t>
      </w:r>
      <w:r>
        <w:rPr>
          <w:sz w:val="28"/>
          <w:lang w:eastAsia="ru-RU"/>
        </w:rPr>
        <w:t xml:space="preserve"> при пероральном </w:t>
      </w:r>
      <w:r>
        <w:rPr>
          <w:sz w:val="28"/>
        </w:rPr>
        <w:t xml:space="preserve">и перкутанном </w:t>
      </w:r>
      <w:r>
        <w:rPr>
          <w:sz w:val="28"/>
          <w:lang w:eastAsia="ru-RU"/>
        </w:rPr>
        <w:t xml:space="preserve">поступлении в организм </w:t>
      </w:r>
      <w:r>
        <w:rPr>
          <w:sz w:val="28"/>
        </w:rPr>
        <w:t xml:space="preserve">лабораторных животных </w:t>
      </w:r>
      <w:r>
        <w:rPr>
          <w:sz w:val="28"/>
          <w:lang w:eastAsia="ru-RU"/>
        </w:rPr>
        <w:t>является мало опасным</w:t>
      </w:r>
      <w:r>
        <w:rPr>
          <w:sz w:val="28"/>
        </w:rPr>
        <w:t xml:space="preserve">, </w:t>
      </w:r>
      <w:r>
        <w:rPr>
          <w:sz w:val="28"/>
          <w:lang w:eastAsia="ru-RU"/>
        </w:rPr>
        <w:t>не раздражает кожу и слиз</w:t>
      </w:r>
      <w:r>
        <w:rPr>
          <w:sz w:val="28"/>
        </w:rPr>
        <w:t>истые</w:t>
      </w:r>
      <w:r>
        <w:rPr>
          <w:sz w:val="28"/>
          <w:lang w:eastAsia="ru-RU"/>
        </w:rPr>
        <w:t xml:space="preserve"> оболочки, не </w:t>
      </w:r>
      <w:r>
        <w:rPr>
          <w:sz w:val="28"/>
        </w:rPr>
        <w:t>оказывает</w:t>
      </w:r>
      <w:r>
        <w:rPr>
          <w:sz w:val="28"/>
          <w:lang w:eastAsia="ru-RU"/>
        </w:rPr>
        <w:t xml:space="preserve"> сенсибилизирую</w:t>
      </w:r>
      <w:r>
        <w:rPr>
          <w:sz w:val="28"/>
        </w:rPr>
        <w:t xml:space="preserve">щего </w:t>
      </w:r>
      <w:r>
        <w:rPr>
          <w:sz w:val="28"/>
          <w:lang w:eastAsia="ru-RU"/>
        </w:rPr>
        <w:t>действия и характеризуется слабыми кумулятивными свойствами. Сравнительная токсикологическая оценка имазетапир</w:t>
      </w:r>
      <w:r>
        <w:rPr>
          <w:sz w:val="28"/>
        </w:rPr>
        <w:t>а</w:t>
      </w:r>
      <w:r>
        <w:rPr>
          <w:sz w:val="28"/>
          <w:lang w:eastAsia="ru-RU"/>
        </w:rPr>
        <w:t xml:space="preserve"> и препаратов на его основе Пивот, 10 % в.р.к., Патриот, 10% в.р.к. </w:t>
      </w:r>
      <w:r>
        <w:rPr>
          <w:sz w:val="28"/>
        </w:rPr>
        <w:t>и</w:t>
      </w:r>
      <w:r>
        <w:rPr>
          <w:sz w:val="28"/>
          <w:lang w:eastAsia="ru-RU"/>
        </w:rPr>
        <w:t xml:space="preserve"> ДТ-03, в.р.к. свидетельствует, что принципиальных раз</w:t>
      </w:r>
      <w:r>
        <w:rPr>
          <w:sz w:val="28"/>
        </w:rPr>
        <w:t xml:space="preserve">личий </w:t>
      </w:r>
      <w:r>
        <w:rPr>
          <w:sz w:val="28"/>
          <w:lang w:eastAsia="ru-RU"/>
        </w:rPr>
        <w:t xml:space="preserve">между исследуемыми веществами нет. Интегральный класс </w:t>
      </w:r>
      <w:r>
        <w:rPr>
          <w:sz w:val="28"/>
        </w:rPr>
        <w:t>опасности</w:t>
      </w:r>
      <w:r>
        <w:rPr>
          <w:sz w:val="28"/>
          <w:lang w:eastAsia="ru-RU"/>
        </w:rPr>
        <w:t xml:space="preserve"> имазетапир</w:t>
      </w:r>
      <w:r>
        <w:rPr>
          <w:sz w:val="28"/>
        </w:rPr>
        <w:t>а</w:t>
      </w:r>
      <w:r>
        <w:rPr>
          <w:sz w:val="28"/>
          <w:lang w:eastAsia="ru-RU"/>
        </w:rPr>
        <w:t xml:space="preserve"> и препаратов на его основе – ІІ (умеренно опасные), установлен </w:t>
      </w:r>
      <w:r>
        <w:rPr>
          <w:sz w:val="28"/>
        </w:rPr>
        <w:t xml:space="preserve">по </w:t>
      </w:r>
      <w:r>
        <w:rPr>
          <w:sz w:val="28"/>
          <w:lang w:eastAsia="ru-RU"/>
        </w:rPr>
        <w:t>лимитирующ</w:t>
      </w:r>
      <w:r>
        <w:rPr>
          <w:sz w:val="28"/>
        </w:rPr>
        <w:t xml:space="preserve">ему </w:t>
      </w:r>
      <w:r>
        <w:rPr>
          <w:sz w:val="28"/>
          <w:lang w:eastAsia="ru-RU"/>
        </w:rPr>
        <w:t>критери</w:t>
      </w:r>
      <w:r>
        <w:rPr>
          <w:sz w:val="28"/>
        </w:rPr>
        <w:t>ю</w:t>
      </w:r>
      <w:r>
        <w:rPr>
          <w:sz w:val="28"/>
          <w:lang w:eastAsia="ru-RU"/>
        </w:rPr>
        <w:t xml:space="preserve"> – острой ингаляционной токсичност</w:t>
      </w:r>
      <w:r>
        <w:rPr>
          <w:sz w:val="28"/>
        </w:rPr>
        <w:t>и</w:t>
      </w:r>
      <w:r>
        <w:rPr>
          <w:sz w:val="28"/>
          <w:lang w:eastAsia="ru-RU"/>
        </w:rPr>
        <w:t>.</w:t>
      </w:r>
    </w:p>
    <w:p w:rsidR="003F2351" w:rsidRDefault="003F2351" w:rsidP="003F2351">
      <w:pPr>
        <w:pStyle w:val="afffffffa"/>
        <w:ind w:firstLine="709"/>
        <w:jc w:val="both"/>
      </w:pPr>
      <w:r>
        <w:t>Имазетапир чрезвычайно подвижен в системе “почва – грунтовые воды” и мало подвижен в системе “почва – атмосфера”. Уровни вертикальной миграции имазетапира зависят от типа пахотного слоя почвы: из песчаной почвы вещество мигрирует в большей степени, чем из чернозема выщелоченного. Пороговая концентрация имазетапира в почве по водно-миграционному показателю вредности установлена на уровне 0,03 мг/кг, по воздушно-миграционному – превышает 0,6 мг/кг.</w:t>
      </w:r>
    </w:p>
    <w:p w:rsidR="003F2351" w:rsidRDefault="003F2351" w:rsidP="003F2351">
      <w:pPr>
        <w:pStyle w:val="affffffff1"/>
        <w:spacing w:after="0"/>
        <w:ind w:left="0" w:firstLine="709"/>
        <w:jc w:val="both"/>
      </w:pPr>
      <w:r>
        <w:t xml:space="preserve">При </w:t>
      </w:r>
      <w:r>
        <w:rPr>
          <w:rFonts w:ascii="Times New Roman CYR" w:hAnsi="Times New Roman CYR"/>
        </w:rPr>
        <w:t>предпосевной обработке препаратом Пивот, 10% в.р.к. в 1 и 5 максимальных нормах расхода не зависимо от типа почвы транслокации гигиенически значимых количеств</w:t>
      </w:r>
      <w:r>
        <w:t xml:space="preserve"> </w:t>
      </w:r>
      <w:r>
        <w:rPr>
          <w:rFonts w:ascii="Times New Roman CYR" w:hAnsi="Times New Roman CYR"/>
        </w:rPr>
        <w:t xml:space="preserve">имазетапира в зеленую массу растений гороха (целевая культура), ржи и салата (культуры севооборота) не выявлено; </w:t>
      </w:r>
      <w:r>
        <w:rPr>
          <w:rFonts w:ascii="Times New Roman CYR" w:hAnsi="Times New Roman CYR"/>
        </w:rPr>
        <w:lastRenderedPageBreak/>
        <w:t>пороговая концентрация по транслокационному показателю вредности превышает</w:t>
      </w:r>
      <w:r>
        <w:t xml:space="preserve"> </w:t>
      </w:r>
      <w:r>
        <w:rPr>
          <w:rFonts w:ascii="Times New Roman CYR" w:hAnsi="Times New Roman CYR"/>
        </w:rPr>
        <w:t>0,15 мг/кг.</w:t>
      </w:r>
    </w:p>
    <w:p w:rsidR="003F2351" w:rsidRDefault="003F2351" w:rsidP="003F2351">
      <w:pPr>
        <w:ind w:firstLine="709"/>
        <w:jc w:val="both"/>
        <w:rPr>
          <w:sz w:val="28"/>
          <w:lang w:eastAsia="ru-RU"/>
        </w:rPr>
      </w:pPr>
      <w:r>
        <w:rPr>
          <w:sz w:val="28"/>
          <w:lang w:eastAsia="ru-RU"/>
        </w:rPr>
        <w:t xml:space="preserve">Имазетапир в концентрациях 0,3 и 1,5 мг/кг, </w:t>
      </w:r>
      <w:r>
        <w:rPr>
          <w:sz w:val="28"/>
        </w:rPr>
        <w:t>соответствующих</w:t>
      </w:r>
      <w:r>
        <w:rPr>
          <w:sz w:val="28"/>
          <w:lang w:eastAsia="ru-RU"/>
        </w:rPr>
        <w:t xml:space="preserve"> 10 и</w:t>
      </w:r>
      <w:r>
        <w:rPr>
          <w:sz w:val="28"/>
        </w:rPr>
        <w:t xml:space="preserve"> 50 максимальным нормам расхода</w:t>
      </w:r>
      <w:r>
        <w:rPr>
          <w:sz w:val="28"/>
          <w:lang w:eastAsia="ru-RU"/>
        </w:rPr>
        <w:t>, подавляет нитрифи</w:t>
      </w:r>
      <w:r>
        <w:rPr>
          <w:sz w:val="28"/>
        </w:rPr>
        <w:t>цирующую</w:t>
      </w:r>
      <w:r>
        <w:rPr>
          <w:sz w:val="28"/>
          <w:lang w:eastAsia="ru-RU"/>
        </w:rPr>
        <w:t xml:space="preserve"> активность, приводит</w:t>
      </w:r>
      <w:r>
        <w:rPr>
          <w:sz w:val="28"/>
        </w:rPr>
        <w:t xml:space="preserve"> </w:t>
      </w:r>
      <w:r>
        <w:rPr>
          <w:sz w:val="28"/>
          <w:lang w:eastAsia="ru-RU"/>
        </w:rPr>
        <w:t>к достоверным разнонаправленным изменениям фосфатазной активности, подавляет</w:t>
      </w:r>
      <w:r>
        <w:rPr>
          <w:sz w:val="28"/>
        </w:rPr>
        <w:t xml:space="preserve"> сапрофитную </w:t>
      </w:r>
      <w:r>
        <w:rPr>
          <w:sz w:val="28"/>
          <w:lang w:eastAsia="ru-RU"/>
        </w:rPr>
        <w:t xml:space="preserve">микрофлору и микробное число </w:t>
      </w:r>
      <w:r>
        <w:rPr>
          <w:sz w:val="28"/>
        </w:rPr>
        <w:t>почвы</w:t>
      </w:r>
      <w:r>
        <w:rPr>
          <w:sz w:val="28"/>
          <w:lang w:eastAsia="ru-RU"/>
        </w:rPr>
        <w:t xml:space="preserve">, </w:t>
      </w:r>
      <w:r>
        <w:rPr>
          <w:sz w:val="28"/>
        </w:rPr>
        <w:t>разнонаправлено</w:t>
      </w:r>
      <w:r>
        <w:rPr>
          <w:sz w:val="28"/>
          <w:lang w:eastAsia="ru-RU"/>
        </w:rPr>
        <w:t xml:space="preserve"> влияет</w:t>
      </w:r>
      <w:r>
        <w:rPr>
          <w:sz w:val="28"/>
        </w:rPr>
        <w:t xml:space="preserve"> </w:t>
      </w:r>
      <w:r>
        <w:rPr>
          <w:sz w:val="28"/>
          <w:lang w:eastAsia="ru-RU"/>
        </w:rPr>
        <w:t>на процессы самоочи</w:t>
      </w:r>
      <w:r>
        <w:rPr>
          <w:sz w:val="28"/>
        </w:rPr>
        <w:t>щения</w:t>
      </w:r>
      <w:r>
        <w:rPr>
          <w:sz w:val="28"/>
          <w:lang w:eastAsia="ru-RU"/>
        </w:rPr>
        <w:t xml:space="preserve"> чернозема </w:t>
      </w:r>
      <w:r>
        <w:rPr>
          <w:sz w:val="28"/>
        </w:rPr>
        <w:t>выщелоченного</w:t>
      </w:r>
      <w:r>
        <w:rPr>
          <w:sz w:val="28"/>
          <w:lang w:eastAsia="ru-RU"/>
        </w:rPr>
        <w:t xml:space="preserve"> от санитарно-показательных</w:t>
      </w:r>
      <w:r>
        <w:rPr>
          <w:sz w:val="28"/>
        </w:rPr>
        <w:t xml:space="preserve"> </w:t>
      </w:r>
      <w:r>
        <w:rPr>
          <w:sz w:val="28"/>
          <w:lang w:eastAsia="ru-RU"/>
        </w:rPr>
        <w:t>кишечных палочек штамма М</w:t>
      </w:r>
      <w:r>
        <w:rPr>
          <w:sz w:val="28"/>
        </w:rPr>
        <w:t> </w:t>
      </w:r>
      <w:r>
        <w:rPr>
          <w:sz w:val="28"/>
          <w:lang w:eastAsia="ru-RU"/>
        </w:rPr>
        <w:t>17.</w:t>
      </w:r>
      <w:r>
        <w:rPr>
          <w:sz w:val="28"/>
        </w:rPr>
        <w:t xml:space="preserve"> Пороговая</w:t>
      </w:r>
      <w:r>
        <w:rPr>
          <w:sz w:val="28"/>
          <w:lang w:eastAsia="ru-RU"/>
        </w:rPr>
        <w:t xml:space="preserve"> концентрация имазетапир</w:t>
      </w:r>
      <w:r>
        <w:rPr>
          <w:sz w:val="28"/>
        </w:rPr>
        <w:t xml:space="preserve">а </w:t>
      </w:r>
      <w:r>
        <w:rPr>
          <w:sz w:val="28"/>
          <w:lang w:eastAsia="ru-RU"/>
        </w:rPr>
        <w:t xml:space="preserve">в </w:t>
      </w:r>
      <w:r>
        <w:rPr>
          <w:sz w:val="28"/>
        </w:rPr>
        <w:t>почве</w:t>
      </w:r>
      <w:r>
        <w:rPr>
          <w:sz w:val="28"/>
          <w:lang w:eastAsia="ru-RU"/>
        </w:rPr>
        <w:t xml:space="preserve"> </w:t>
      </w:r>
      <w:r>
        <w:rPr>
          <w:sz w:val="28"/>
        </w:rPr>
        <w:t>по</w:t>
      </w:r>
      <w:r>
        <w:rPr>
          <w:sz w:val="28"/>
          <w:lang w:eastAsia="ru-RU"/>
        </w:rPr>
        <w:t xml:space="preserve"> </w:t>
      </w:r>
      <w:r>
        <w:rPr>
          <w:sz w:val="28"/>
        </w:rPr>
        <w:t>общесанитарно</w:t>
      </w:r>
      <w:r>
        <w:rPr>
          <w:sz w:val="28"/>
          <w:lang w:eastAsia="ru-RU"/>
        </w:rPr>
        <w:t>м</w:t>
      </w:r>
      <w:r>
        <w:rPr>
          <w:sz w:val="28"/>
        </w:rPr>
        <w:t>у показателю</w:t>
      </w:r>
      <w:r>
        <w:rPr>
          <w:sz w:val="28"/>
          <w:lang w:eastAsia="ru-RU"/>
        </w:rPr>
        <w:t xml:space="preserve"> вредности</w:t>
      </w:r>
      <w:r>
        <w:rPr>
          <w:sz w:val="28"/>
        </w:rPr>
        <w:t xml:space="preserve"> установлена </w:t>
      </w:r>
      <w:r>
        <w:rPr>
          <w:sz w:val="28"/>
          <w:lang w:eastAsia="ru-RU"/>
        </w:rPr>
        <w:t>на уровне 0,15 мг/кг.</w:t>
      </w:r>
    </w:p>
    <w:p w:rsidR="003F2351" w:rsidRDefault="003F2351" w:rsidP="003F2351">
      <w:pPr>
        <w:autoSpaceDE w:val="0"/>
        <w:autoSpaceDN w:val="0"/>
        <w:ind w:firstLine="709"/>
        <w:jc w:val="both"/>
        <w:rPr>
          <w:sz w:val="28"/>
        </w:rPr>
      </w:pPr>
      <w:r>
        <w:rPr>
          <w:sz w:val="28"/>
          <w:lang w:eastAsia="ru-RU"/>
        </w:rPr>
        <w:t>Минимальная пороговая концентрация, установлен</w:t>
      </w:r>
      <w:r>
        <w:rPr>
          <w:sz w:val="28"/>
        </w:rPr>
        <w:t>н</w:t>
      </w:r>
      <w:r>
        <w:rPr>
          <w:sz w:val="28"/>
          <w:lang w:eastAsia="ru-RU"/>
        </w:rPr>
        <w:t>а</w:t>
      </w:r>
      <w:r>
        <w:rPr>
          <w:sz w:val="28"/>
        </w:rPr>
        <w:t>я</w:t>
      </w:r>
      <w:r>
        <w:rPr>
          <w:sz w:val="28"/>
          <w:lang w:eastAsia="ru-RU"/>
        </w:rPr>
        <w:t xml:space="preserve"> </w:t>
      </w:r>
      <w:r>
        <w:rPr>
          <w:sz w:val="28"/>
        </w:rPr>
        <w:t>по</w:t>
      </w:r>
      <w:r>
        <w:rPr>
          <w:sz w:val="28"/>
          <w:lang w:eastAsia="ru-RU"/>
        </w:rPr>
        <w:t xml:space="preserve"> водно-миграционн</w:t>
      </w:r>
      <w:r>
        <w:rPr>
          <w:sz w:val="28"/>
        </w:rPr>
        <w:t>ому</w:t>
      </w:r>
      <w:r>
        <w:rPr>
          <w:sz w:val="28"/>
          <w:lang w:eastAsia="ru-RU"/>
        </w:rPr>
        <w:t xml:space="preserve"> показател</w:t>
      </w:r>
      <w:r>
        <w:rPr>
          <w:sz w:val="28"/>
        </w:rPr>
        <w:t>ю</w:t>
      </w:r>
      <w:r>
        <w:rPr>
          <w:sz w:val="28"/>
          <w:lang w:eastAsia="ru-RU"/>
        </w:rPr>
        <w:t xml:space="preserve"> вредности, позволила научно </w:t>
      </w:r>
      <w:r>
        <w:rPr>
          <w:sz w:val="28"/>
        </w:rPr>
        <w:t>обосновать величину П</w:t>
      </w:r>
      <w:r>
        <w:rPr>
          <w:sz w:val="28"/>
          <w:lang w:eastAsia="ru-RU"/>
        </w:rPr>
        <w:t>ДК имазетапир</w:t>
      </w:r>
      <w:r>
        <w:rPr>
          <w:sz w:val="28"/>
        </w:rPr>
        <w:t>а</w:t>
      </w:r>
      <w:r>
        <w:rPr>
          <w:sz w:val="28"/>
          <w:lang w:eastAsia="ru-RU"/>
        </w:rPr>
        <w:t xml:space="preserve"> в </w:t>
      </w:r>
      <w:r>
        <w:rPr>
          <w:sz w:val="28"/>
        </w:rPr>
        <w:t>почве</w:t>
      </w:r>
      <w:r>
        <w:rPr>
          <w:sz w:val="28"/>
          <w:lang w:eastAsia="ru-RU"/>
        </w:rPr>
        <w:t xml:space="preserve"> на уровне 0,03 мг/кг.</w:t>
      </w:r>
    </w:p>
    <w:p w:rsidR="003F2351" w:rsidRDefault="003F2351" w:rsidP="003F2351">
      <w:pPr>
        <w:ind w:firstLine="709"/>
        <w:jc w:val="both"/>
        <w:rPr>
          <w:sz w:val="28"/>
          <w:lang w:eastAsia="ru-RU"/>
        </w:rPr>
      </w:pPr>
      <w:r>
        <w:rPr>
          <w:sz w:val="28"/>
          <w:lang w:eastAsia="ru-RU"/>
        </w:rPr>
        <w:t>Динамика остаточных количеств имазетапир</w:t>
      </w:r>
      <w:r>
        <w:rPr>
          <w:sz w:val="28"/>
        </w:rPr>
        <w:t>а</w:t>
      </w:r>
      <w:r>
        <w:rPr>
          <w:sz w:val="28"/>
          <w:lang w:eastAsia="ru-RU"/>
        </w:rPr>
        <w:t xml:space="preserve"> в </w:t>
      </w:r>
      <w:r>
        <w:rPr>
          <w:sz w:val="28"/>
        </w:rPr>
        <w:t>почве</w:t>
      </w:r>
      <w:r>
        <w:rPr>
          <w:sz w:val="28"/>
          <w:lang w:eastAsia="ru-RU"/>
        </w:rPr>
        <w:t xml:space="preserve"> и зеленой массе растений при применении препаратов </w:t>
      </w:r>
      <w:r>
        <w:rPr>
          <w:rFonts w:ascii="Times New Roman CYR" w:hAnsi="Times New Roman CYR"/>
          <w:sz w:val="28"/>
        </w:rPr>
        <w:t xml:space="preserve">Пивот, 10% в.р.к., Патриот, 10% в.р.к. и ДТ-03, в.р.к. </w:t>
      </w:r>
      <w:r>
        <w:rPr>
          <w:sz w:val="28"/>
          <w:lang w:eastAsia="ru-RU"/>
        </w:rPr>
        <w:t xml:space="preserve">в </w:t>
      </w:r>
      <w:r>
        <w:rPr>
          <w:sz w:val="28"/>
        </w:rPr>
        <w:t>почвенно</w:t>
      </w:r>
      <w:r>
        <w:rPr>
          <w:sz w:val="28"/>
          <w:lang w:eastAsia="ru-RU"/>
        </w:rPr>
        <w:t>-климатических условиях Полесской зоны Украины подчин</w:t>
      </w:r>
      <w:r>
        <w:rPr>
          <w:sz w:val="28"/>
        </w:rPr>
        <w:t>яется экспоненциальной</w:t>
      </w:r>
      <w:r>
        <w:rPr>
          <w:sz w:val="28"/>
          <w:lang w:eastAsia="ru-RU"/>
        </w:rPr>
        <w:t xml:space="preserve"> зависимости. Период полуисчезновения имазетапир</w:t>
      </w:r>
      <w:r>
        <w:rPr>
          <w:sz w:val="28"/>
        </w:rPr>
        <w:t>а</w:t>
      </w:r>
      <w:r>
        <w:rPr>
          <w:sz w:val="28"/>
          <w:lang w:eastAsia="ru-RU"/>
        </w:rPr>
        <w:t xml:space="preserve"> </w:t>
      </w:r>
      <w:r>
        <w:rPr>
          <w:sz w:val="28"/>
        </w:rPr>
        <w:t xml:space="preserve">из почвы </w:t>
      </w:r>
      <w:r>
        <w:rPr>
          <w:sz w:val="28"/>
          <w:lang w:eastAsia="ru-RU"/>
        </w:rPr>
        <w:t>составляет</w:t>
      </w:r>
      <w:r>
        <w:rPr>
          <w:sz w:val="28"/>
        </w:rPr>
        <w:t xml:space="preserve"> 9,48±0,35 суток</w:t>
      </w:r>
      <w:r>
        <w:rPr>
          <w:sz w:val="28"/>
          <w:lang w:eastAsia="ru-RU"/>
        </w:rPr>
        <w:t>, период почти полного исчезновения – 63,15±2,36 суток. Разрушение имазетапир</w:t>
      </w:r>
      <w:r>
        <w:rPr>
          <w:sz w:val="28"/>
        </w:rPr>
        <w:t>а</w:t>
      </w:r>
      <w:r>
        <w:rPr>
          <w:sz w:val="28"/>
          <w:lang w:eastAsia="ru-RU"/>
        </w:rPr>
        <w:t xml:space="preserve"> в целевых растениях происходит быстрее, чем в </w:t>
      </w:r>
      <w:r>
        <w:rPr>
          <w:sz w:val="28"/>
        </w:rPr>
        <w:t>почве</w:t>
      </w:r>
      <w:r>
        <w:rPr>
          <w:sz w:val="28"/>
          <w:lang w:eastAsia="ru-RU"/>
        </w:rPr>
        <w:t>: период полуисчезновения из зеленой массы растений гороха и сои приблизительно одинаков и составляет в среднем 5,93±0,25 суток.</w:t>
      </w:r>
      <w:r>
        <w:rPr>
          <w:sz w:val="28"/>
        </w:rPr>
        <w:t xml:space="preserve"> Екотоксикологический риск использования гербицидов на основе имазетапира </w:t>
      </w:r>
      <w:r>
        <w:rPr>
          <w:sz w:val="28"/>
          <w:lang w:eastAsia="ru-RU"/>
        </w:rPr>
        <w:t>на 4 порядка ниже, чем у ДДТ</w:t>
      </w:r>
      <w:r>
        <w:rPr>
          <w:sz w:val="28"/>
        </w:rPr>
        <w:t xml:space="preserve">, и </w:t>
      </w:r>
      <w:r>
        <w:rPr>
          <w:sz w:val="28"/>
          <w:lang w:eastAsia="ru-RU"/>
        </w:rPr>
        <w:t>составляет 2,07</w:t>
      </w:r>
      <w:r>
        <w:rPr>
          <w:sz w:val="28"/>
          <w:lang w:eastAsia="ru-RU"/>
        </w:rPr>
        <w:sym w:font="Symbol" w:char="F0B4"/>
      </w:r>
      <w:r>
        <w:rPr>
          <w:sz w:val="28"/>
          <w:lang w:eastAsia="ru-RU"/>
        </w:rPr>
        <w:t>10</w:t>
      </w:r>
      <w:r>
        <w:rPr>
          <w:sz w:val="28"/>
          <w:vertAlign w:val="superscript"/>
          <w:lang w:eastAsia="ru-RU"/>
        </w:rPr>
        <w:t>-4</w:t>
      </w:r>
      <w:r>
        <w:rPr>
          <w:sz w:val="28"/>
        </w:rPr>
        <w:t>.</w:t>
      </w:r>
    </w:p>
    <w:p w:rsidR="003F2351" w:rsidRDefault="003F2351" w:rsidP="003F2351">
      <w:pPr>
        <w:pStyle w:val="38"/>
        <w:spacing w:after="0"/>
        <w:ind w:left="0" w:firstLine="709"/>
        <w:rPr>
          <w:sz w:val="28"/>
        </w:rPr>
      </w:pPr>
      <w:r>
        <w:rPr>
          <w:sz w:val="28"/>
        </w:rPr>
        <w:t xml:space="preserve">При применении изучаемых гербицидов </w:t>
      </w:r>
      <w:r>
        <w:rPr>
          <w:rFonts w:ascii="Times New Roman CYR" w:hAnsi="Times New Roman CYR"/>
          <w:sz w:val="28"/>
        </w:rPr>
        <w:t xml:space="preserve">по вегетирующим растениям в </w:t>
      </w:r>
      <w:r>
        <w:rPr>
          <w:sz w:val="28"/>
        </w:rPr>
        <w:t>урожае (бобы сои, зерно гороха) остаточные количества имазетапира отсутствовали при пределе количественного определения методом высокоэффективной жидкостной хроматографии 0,25 мг/кг, 1,0 мг/кг и 0,1 мг/кг соответственно. Учитывая ранние сроки применения исследуемых гербицидов, длительность вегетации и высокую скорость разрушения в растениях сои и гороха сроки ожидания до сбора урожая устанавливать нецелесообразно.</w:t>
      </w:r>
    </w:p>
    <w:p w:rsidR="003F2351" w:rsidRDefault="003F2351" w:rsidP="003F2351">
      <w:pPr>
        <w:pStyle w:val="affffffff1"/>
        <w:spacing w:after="0"/>
        <w:ind w:left="0" w:firstLine="709"/>
        <w:jc w:val="both"/>
      </w:pPr>
      <w:r>
        <w:t xml:space="preserve">При использовании препаратов Пивот, 10 % в.р.к, Патриот, 10%  в.р.к. и ДТ-03, в.р.к. </w:t>
      </w:r>
      <w:r>
        <w:rPr>
          <w:rFonts w:ascii="Times New Roman CYR" w:hAnsi="Times New Roman CYR"/>
        </w:rPr>
        <w:t>в максимальных нормах расхода</w:t>
      </w:r>
      <w:r>
        <w:t xml:space="preserve"> потенциальный риск вредного влияния имазетапира при комплексном поступлении в организм работающих через дыхательные пути и кожу не превышает 1. Риск при перкутанном поступлении в 3,4–6,7 раза выше, чем при ингаляционном. Использование при работе с гербицидами спецодежды и резиновых перчаток уменьшает потенциальный риск в 5,2–5,8 раз.</w:t>
      </w:r>
    </w:p>
    <w:p w:rsidR="003F2351" w:rsidRDefault="003F2351" w:rsidP="003F2351">
      <w:pPr>
        <w:pStyle w:val="affffffff"/>
        <w:ind w:firstLine="709"/>
        <w:jc w:val="both"/>
        <w:rPr>
          <w:sz w:val="28"/>
        </w:rPr>
      </w:pPr>
      <w:r>
        <w:rPr>
          <w:sz w:val="28"/>
        </w:rPr>
        <w:t xml:space="preserve">Разработаны методические указания по количественному определению имазетапира в объектах окружающей среды методом высокоэффективной жидкостной хроматографии с использованием ультрафиолетового детектора при длине волны 254 нм. Высокая чувствительность и селективность метода позволяет контролировать соблюдение гигиенических </w:t>
      </w:r>
      <w:r>
        <w:rPr>
          <w:sz w:val="28"/>
        </w:rPr>
        <w:lastRenderedPageBreak/>
        <w:t>нормативов имазетапира.</w:t>
      </w:r>
    </w:p>
    <w:p w:rsidR="003F2351" w:rsidRDefault="003F2351" w:rsidP="003F2351">
      <w:pPr>
        <w:ind w:firstLine="709"/>
        <w:jc w:val="both"/>
        <w:rPr>
          <w:sz w:val="28"/>
          <w:lang w:eastAsia="ru-RU"/>
        </w:rPr>
      </w:pPr>
      <w:r>
        <w:rPr>
          <w:sz w:val="28"/>
          <w:lang w:eastAsia="ru-RU"/>
        </w:rPr>
        <w:t>Таким образом, комплексная токсиколого-г</w:t>
      </w:r>
      <w:r>
        <w:rPr>
          <w:sz w:val="28"/>
        </w:rPr>
        <w:t>игиеническая</w:t>
      </w:r>
      <w:r>
        <w:rPr>
          <w:sz w:val="28"/>
          <w:lang w:eastAsia="ru-RU"/>
        </w:rPr>
        <w:t xml:space="preserve"> оценка новых гербицидов на основе имазетапир</w:t>
      </w:r>
      <w:r>
        <w:rPr>
          <w:sz w:val="28"/>
        </w:rPr>
        <w:t>а свидетельствует</w:t>
      </w:r>
      <w:r>
        <w:rPr>
          <w:sz w:val="28"/>
          <w:lang w:eastAsia="ru-RU"/>
        </w:rPr>
        <w:t xml:space="preserve">, что в реальных условиях агропромышленного производства при использовании традиционных технических средств, соблюдении установленных агротехнических и гигиенических нормативов и регламентов, соответствующем санитарном контроле со стороны учреждений санитарно-эпидемиологической службы использование гербицидов Пивот, 10% в.р.к., Патриот, 10% в.р.к. и ДТ-03, в.р.к. для защиты посевов бобовых культур является безопасным для работающих и населения </w:t>
      </w:r>
      <w:r>
        <w:rPr>
          <w:sz w:val="28"/>
        </w:rPr>
        <w:t>с</w:t>
      </w:r>
      <w:r>
        <w:rPr>
          <w:sz w:val="28"/>
          <w:lang w:eastAsia="ru-RU"/>
        </w:rPr>
        <w:t xml:space="preserve"> позиций гигиены труда и гигиены питания, и малоопасным для наземных экосистем и биоценоз</w:t>
      </w:r>
      <w:r>
        <w:rPr>
          <w:sz w:val="28"/>
        </w:rPr>
        <w:t>о</w:t>
      </w:r>
      <w:r>
        <w:rPr>
          <w:sz w:val="28"/>
          <w:lang w:eastAsia="ru-RU"/>
        </w:rPr>
        <w:t>в.</w:t>
      </w:r>
    </w:p>
    <w:p w:rsidR="003F2351" w:rsidRDefault="003F2351" w:rsidP="003F2351">
      <w:pPr>
        <w:ind w:firstLine="709"/>
        <w:jc w:val="both"/>
        <w:rPr>
          <w:sz w:val="28"/>
        </w:rPr>
      </w:pPr>
      <w:r>
        <w:rPr>
          <w:b/>
          <w:sz w:val="28"/>
          <w:lang w:eastAsia="ru-RU"/>
        </w:rPr>
        <w:t xml:space="preserve">Ключевые слова: </w:t>
      </w:r>
      <w:r>
        <w:rPr>
          <w:sz w:val="28"/>
          <w:lang w:eastAsia="ru-RU"/>
        </w:rPr>
        <w:t>гербициды, объекты окружающей среды, экотоксикологический риск, условия труда, предельно допустимая концентрация.</w:t>
      </w:r>
    </w:p>
    <w:p w:rsidR="003F2351" w:rsidRDefault="003F2351" w:rsidP="003F2351">
      <w:pPr>
        <w:ind w:firstLine="708"/>
        <w:jc w:val="both"/>
        <w:rPr>
          <w:sz w:val="28"/>
          <w:lang w:val="uk-UA"/>
        </w:rPr>
      </w:pPr>
    </w:p>
    <w:p w:rsidR="003F2351" w:rsidRDefault="003F2351" w:rsidP="003F2351">
      <w:pPr>
        <w:pStyle w:val="20"/>
        <w:rPr>
          <w:lang w:val="en-GB"/>
        </w:rPr>
      </w:pPr>
      <w:r>
        <w:rPr>
          <w:lang w:val="en-GB"/>
        </w:rPr>
        <w:t>SUMMARY</w:t>
      </w:r>
    </w:p>
    <w:p w:rsidR="003F2351" w:rsidRDefault="003F2351" w:rsidP="003F2351">
      <w:pPr>
        <w:autoSpaceDE w:val="0"/>
        <w:autoSpaceDN w:val="0"/>
        <w:adjustRightInd w:val="0"/>
        <w:ind w:firstLine="709"/>
        <w:jc w:val="both"/>
        <w:rPr>
          <w:sz w:val="28"/>
          <w:lang w:val="en-US"/>
        </w:rPr>
      </w:pPr>
      <w:r>
        <w:rPr>
          <w:b/>
          <w:sz w:val="28"/>
          <w:lang w:val="en-US"/>
        </w:rPr>
        <w:t>Dema O.V.</w:t>
      </w:r>
      <w:r>
        <w:rPr>
          <w:sz w:val="28"/>
          <w:lang w:val="en-US"/>
        </w:rPr>
        <w:t xml:space="preserve"> Hygienic substantiation of regulations for application of imazethapyr-based herbicides in agriculture. – Manuscript.</w:t>
      </w:r>
    </w:p>
    <w:p w:rsidR="003F2351" w:rsidRDefault="003F2351" w:rsidP="003F2351">
      <w:pPr>
        <w:autoSpaceDE w:val="0"/>
        <w:autoSpaceDN w:val="0"/>
        <w:adjustRightInd w:val="0"/>
        <w:ind w:firstLine="709"/>
        <w:jc w:val="both"/>
        <w:rPr>
          <w:sz w:val="28"/>
          <w:lang w:val="en-US"/>
        </w:rPr>
      </w:pPr>
      <w:r>
        <w:rPr>
          <w:sz w:val="28"/>
          <w:lang w:val="en-US"/>
        </w:rPr>
        <w:t>Dissertation for the candidate of medical sciences degree in speciality 14.02.01 – hygiene. – Bohomolets National Medical University of the Ministry of Ukraine, Kyiv, 2007.</w:t>
      </w:r>
    </w:p>
    <w:p w:rsidR="003F2351" w:rsidRDefault="003F2351" w:rsidP="003F2351">
      <w:pPr>
        <w:pStyle w:val="affffffff1"/>
        <w:spacing w:after="0"/>
        <w:ind w:left="0" w:firstLine="709"/>
        <w:jc w:val="both"/>
        <w:rPr>
          <w:lang w:val="en-GB"/>
        </w:rPr>
      </w:pPr>
      <w:r>
        <w:rPr>
          <w:lang w:val="en-GB"/>
        </w:rPr>
        <w:t xml:space="preserve">The dissertation is concerned with hygienic evaluation of new imidazolinone </w:t>
      </w:r>
      <w:r>
        <w:rPr>
          <w:lang w:val="en-US"/>
        </w:rPr>
        <w:t>herbicides Pivot 100 SL, Patriot 100 SL and DT-03 SL, and their active ingredient – imazethapyr for protection of legumes crops against weeds.</w:t>
      </w:r>
    </w:p>
    <w:p w:rsidR="003F2351" w:rsidRDefault="003F2351" w:rsidP="003F2351">
      <w:pPr>
        <w:ind w:firstLine="709"/>
        <w:jc w:val="both"/>
        <w:rPr>
          <w:sz w:val="28"/>
          <w:lang w:val="en-US"/>
        </w:rPr>
      </w:pPr>
      <w:r>
        <w:rPr>
          <w:sz w:val="28"/>
          <w:lang w:val="en-US"/>
        </w:rPr>
        <w:t>Regularities of imazethapyr behavior in environmental objects have been established, ecotoxicological risk, working conditions and risk of adverse effect on health of workers have been estimated. Maximum allowable concentration of imazethapyr in soil and hygienic regulations for safe application of studied herbicides have been scientifically substantiated. Analytical methods for imazethapyr determination in environmental objects, foodstuff and agricultural stuff have been developed.</w:t>
      </w:r>
    </w:p>
    <w:p w:rsidR="003F2351" w:rsidRDefault="003F2351" w:rsidP="003F2351">
      <w:pPr>
        <w:autoSpaceDE w:val="0"/>
        <w:autoSpaceDN w:val="0"/>
        <w:adjustRightInd w:val="0"/>
        <w:ind w:firstLine="709"/>
        <w:jc w:val="both"/>
        <w:rPr>
          <w:sz w:val="28"/>
          <w:lang w:val="en-US"/>
        </w:rPr>
      </w:pPr>
      <w:r>
        <w:rPr>
          <w:b/>
          <w:sz w:val="28"/>
          <w:lang w:val="en-US"/>
        </w:rPr>
        <w:t>Keywords</w:t>
      </w:r>
      <w:r>
        <w:rPr>
          <w:sz w:val="28"/>
          <w:lang w:val="en-US"/>
        </w:rPr>
        <w:t>: herbicides, environmental objects, ecotoxicological risk, working conditions, maximum allowable concentration.</w:t>
      </w:r>
    </w:p>
    <w:p w:rsidR="003F2351" w:rsidRDefault="003F2351" w:rsidP="003F2351">
      <w:pPr>
        <w:ind w:firstLine="708"/>
        <w:jc w:val="both"/>
        <w:rPr>
          <w:sz w:val="28"/>
          <w:lang w:val="uk-UA"/>
        </w:rPr>
      </w:pPr>
    </w:p>
    <w:p w:rsidR="004B236B" w:rsidRPr="000D4B32" w:rsidRDefault="004B236B" w:rsidP="004B236B">
      <w:pPr>
        <w:pStyle w:val="2ffff9"/>
        <w:spacing w:after="0" w:line="360" w:lineRule="auto"/>
        <w:jc w:val="both"/>
        <w:rPr>
          <w:sz w:val="28"/>
          <w:lang w:val="uk-UA"/>
        </w:rPr>
      </w:pPr>
      <w:bookmarkStart w:id="1" w:name="_GoBack"/>
      <w:bookmarkEnd w:id="1"/>
    </w:p>
    <w:p w:rsidR="001172A8" w:rsidRDefault="001172A8" w:rsidP="00F5508A">
      <w:pPr>
        <w:jc w:val="both"/>
        <w:rPr>
          <w:szCs w:val="28"/>
          <w:lang w:val="uk-UA"/>
        </w:rPr>
      </w:pPr>
      <w:r>
        <w:rPr>
          <w:szCs w:val="28"/>
          <w:lang w:val="uk-UA"/>
        </w:rPr>
        <w:t xml:space="preserve"> </w:t>
      </w:r>
    </w:p>
    <w:p w:rsidR="00E53E36" w:rsidRPr="00CC63AA" w:rsidRDefault="00E53E36" w:rsidP="00E53E36">
      <w:pPr>
        <w:rPr>
          <w:sz w:val="16"/>
          <w:szCs w:val="16"/>
          <w:lang w:val="uk-UA"/>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4" w:history="1">
        <w:r>
          <w:rPr>
            <w:rStyle w:val="af6"/>
            <w:color w:val="0070C0"/>
          </w:rPr>
          <w:t>http://www.mydisser.com/search.html</w:t>
        </w:r>
      </w:hyperlink>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EC" w:rsidRDefault="00DB7EEC">
      <w:r>
        <w:separator/>
      </w:r>
    </w:p>
  </w:endnote>
  <w:endnote w:type="continuationSeparator" w:id="0">
    <w:p w:rsidR="00DB7EEC" w:rsidRDefault="00DB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EC" w:rsidRDefault="00DB7EEC">
      <w:r>
        <w:separator/>
      </w:r>
    </w:p>
  </w:footnote>
  <w:footnote w:type="continuationSeparator" w:id="0">
    <w:p w:rsidR="00DB7EEC" w:rsidRDefault="00DB7EEC">
      <w:r>
        <w:continuationSeparator/>
      </w:r>
    </w:p>
  </w:footnote>
  <w:footnote w:id="1">
    <w:p w:rsidR="003F2351" w:rsidRDefault="003F2351" w:rsidP="003F2351">
      <w:pPr>
        <w:pStyle w:val="afffffffc"/>
      </w:pPr>
      <w:r>
        <w:rPr>
          <w:rStyle w:val="affffffffffffffffffff9"/>
        </w:rPr>
        <w:footnoteRef/>
      </w:r>
      <w:r>
        <w:t xml:space="preserve"> </w:t>
      </w:r>
      <w:r>
        <w:rPr>
          <w:lang w:val="uk-UA"/>
        </w:rPr>
        <w:t>Автор висловлює щиру подяку д.м.н., проф. Омельчуку С.Т. за ко</w:t>
      </w:r>
      <w:r>
        <w:rPr>
          <w:lang w:val="uk-UA"/>
        </w:rPr>
        <w:t>н</w:t>
      </w:r>
      <w:r>
        <w:rPr>
          <w:lang w:val="uk-UA"/>
        </w:rPr>
        <w:t>сультативну допомогу, надану при проведенні дисертаційних досліджень</w:t>
      </w:r>
    </w:p>
  </w:footnote>
  <w:footnote w:id="2">
    <w:p w:rsidR="003F2351" w:rsidRDefault="003F2351" w:rsidP="003F2351">
      <w:pPr>
        <w:pStyle w:val="afffffffc"/>
        <w:rPr>
          <w:lang w:val="uk-UA"/>
        </w:rPr>
      </w:pPr>
      <w:r>
        <w:rPr>
          <w:rStyle w:val="affffffffffffffffffff9"/>
        </w:rPr>
        <w:footnoteRef/>
      </w:r>
      <w:r>
        <w:t xml:space="preserve"> </w:t>
      </w:r>
      <w:r>
        <w:rPr>
          <w:lang w:val="uk-UA"/>
        </w:rPr>
        <w:t>Автор висловлює щиру подяку співробітникам Інституту гігієни та екології НМУ імені О.О. Богомольця за ко</w:t>
      </w:r>
      <w:r>
        <w:rPr>
          <w:lang w:val="uk-UA"/>
        </w:rPr>
        <w:t>н</w:t>
      </w:r>
      <w:r>
        <w:rPr>
          <w:lang w:val="uk-UA"/>
        </w:rPr>
        <w:t>сультативну та практичну допомогу, надану при виконанні окремих фрагментів роботи.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3"/>
  </w:num>
  <w:num w:numId="51">
    <w:abstractNumId w:val="51"/>
  </w:num>
  <w:num w:numId="52">
    <w:abstractNumId w:val="4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962"/>
    <w:rsid w:val="00187A91"/>
    <w:rsid w:val="00196964"/>
    <w:rsid w:val="00196EE0"/>
    <w:rsid w:val="001A197B"/>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2F9F"/>
    <w:rsid w:val="00254394"/>
    <w:rsid w:val="00254C99"/>
    <w:rsid w:val="0025574B"/>
    <w:rsid w:val="0026414C"/>
    <w:rsid w:val="00265681"/>
    <w:rsid w:val="00267173"/>
    <w:rsid w:val="00267C02"/>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B7EEC"/>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Emphasis">
    <w:name w:val="Emphasis"/>
    <w:basedOn w:val="af0"/>
    <w:rsid w:val="00252F9F"/>
    <w:rPr>
      <w:i/>
      <w:sz w:val="20"/>
    </w:rPr>
  </w:style>
  <w:style w:type="paragraph" w:customStyle="1" w:styleId="Date">
    <w:name w:val="Date"/>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Emphasis">
    <w:name w:val="Emphasis"/>
    <w:basedOn w:val="af0"/>
    <w:rsid w:val="00252F9F"/>
    <w:rPr>
      <w:i/>
      <w:sz w:val="20"/>
    </w:rPr>
  </w:style>
  <w:style w:type="paragraph" w:customStyle="1" w:styleId="Date">
    <w:name w:val="Date"/>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90476190476197E-2"/>
          <c:y val="6.1093247588424437E-2"/>
          <c:w val="0.9015873015873016"/>
          <c:h val="0.71704180064308687"/>
        </c:manualLayout>
      </c:layout>
      <c:scatterChart>
        <c:scatterStyle val="smoothMarker"/>
        <c:varyColors val="0"/>
        <c:ser>
          <c:idx val="0"/>
          <c:order val="0"/>
          <c:tx>
            <c:strRef>
              <c:f>Лист3!$B$2</c:f>
              <c:strCache>
                <c:ptCount val="1"/>
                <c:pt idx="0">
                  <c:v>Контроль</c:v>
                </c:pt>
              </c:strCache>
            </c:strRef>
          </c:tx>
          <c:spPr>
            <a:ln w="12677">
              <a:solidFill>
                <a:srgbClr val="000000"/>
              </a:solidFill>
              <a:prstDash val="sysDash"/>
            </a:ln>
          </c:spPr>
          <c:marker>
            <c:symbol val="circle"/>
            <c:size val="6"/>
            <c:spPr>
              <a:solidFill>
                <a:srgbClr val="FFFFFF"/>
              </a:solidFill>
              <a:ln>
                <a:solidFill>
                  <a:srgbClr val="000000"/>
                </a:solidFill>
                <a:prstDash val="solid"/>
              </a:ln>
            </c:spPr>
          </c:marker>
          <c:errBars>
            <c:errDir val="y"/>
            <c:errBarType val="both"/>
            <c:errValType val="percentage"/>
            <c:noEndCap val="0"/>
            <c:val val="8"/>
            <c:spPr>
              <a:ln w="12677">
                <a:solidFill>
                  <a:srgbClr val="000000"/>
                </a:solidFill>
                <a:prstDash val="solid"/>
              </a:ln>
            </c:spPr>
          </c:errBars>
          <c:xVal>
            <c:numRef>
              <c:f>Лист3!$A$3:$A$10</c:f>
              <c:numCache>
                <c:formatCode>General</c:formatCode>
                <c:ptCount val="8"/>
                <c:pt idx="0">
                  <c:v>1</c:v>
                </c:pt>
                <c:pt idx="1">
                  <c:v>3</c:v>
                </c:pt>
                <c:pt idx="2">
                  <c:v>5</c:v>
                </c:pt>
                <c:pt idx="3">
                  <c:v>7</c:v>
                </c:pt>
                <c:pt idx="4">
                  <c:v>10</c:v>
                </c:pt>
                <c:pt idx="5">
                  <c:v>15</c:v>
                </c:pt>
                <c:pt idx="6">
                  <c:v>20</c:v>
                </c:pt>
                <c:pt idx="7">
                  <c:v>30</c:v>
                </c:pt>
              </c:numCache>
            </c:numRef>
          </c:xVal>
          <c:yVal>
            <c:numRef>
              <c:f>Лист3!$B$3:$B$10</c:f>
              <c:numCache>
                <c:formatCode>General</c:formatCode>
                <c:ptCount val="8"/>
                <c:pt idx="0">
                  <c:v>25.75</c:v>
                </c:pt>
                <c:pt idx="1">
                  <c:v>20.87</c:v>
                </c:pt>
                <c:pt idx="2">
                  <c:v>18.350000000000001</c:v>
                </c:pt>
                <c:pt idx="3">
                  <c:v>18.11</c:v>
                </c:pt>
                <c:pt idx="4">
                  <c:v>16.37</c:v>
                </c:pt>
                <c:pt idx="5">
                  <c:v>12.89</c:v>
                </c:pt>
                <c:pt idx="6">
                  <c:v>9.39</c:v>
                </c:pt>
                <c:pt idx="7">
                  <c:v>6.14</c:v>
                </c:pt>
              </c:numCache>
            </c:numRef>
          </c:yVal>
          <c:smooth val="1"/>
        </c:ser>
        <c:ser>
          <c:idx val="1"/>
          <c:order val="1"/>
          <c:tx>
            <c:strRef>
              <c:f>Лист3!$D$2</c:f>
              <c:strCache>
                <c:ptCount val="1"/>
                <c:pt idx="0">
                  <c:v>0,03 мг/кг</c:v>
                </c:pt>
              </c:strCache>
            </c:strRef>
          </c:tx>
          <c:spPr>
            <a:ln w="12677">
              <a:solidFill>
                <a:srgbClr val="000000"/>
              </a:solidFill>
              <a:prstDash val="solid"/>
            </a:ln>
          </c:spPr>
          <c:marker>
            <c:symbol val="circle"/>
            <c:size val="6"/>
            <c:spPr>
              <a:solidFill>
                <a:srgbClr val="000000"/>
              </a:solidFill>
              <a:ln>
                <a:solidFill>
                  <a:srgbClr val="000000"/>
                </a:solidFill>
                <a:prstDash val="solid"/>
              </a:ln>
            </c:spPr>
          </c:marker>
          <c:errBars>
            <c:errDir val="y"/>
            <c:errBarType val="both"/>
            <c:errValType val="percentage"/>
            <c:noEndCap val="0"/>
            <c:val val="8"/>
            <c:spPr>
              <a:ln w="12677">
                <a:solidFill>
                  <a:srgbClr val="000000"/>
                </a:solidFill>
                <a:prstDash val="solid"/>
              </a:ln>
            </c:spPr>
          </c:errBars>
          <c:xVal>
            <c:numRef>
              <c:f>Лист3!$C$3:$C$10</c:f>
              <c:numCache>
                <c:formatCode>General</c:formatCode>
                <c:ptCount val="8"/>
                <c:pt idx="0">
                  <c:v>1.1000000000000001</c:v>
                </c:pt>
                <c:pt idx="1">
                  <c:v>3.1</c:v>
                </c:pt>
                <c:pt idx="2">
                  <c:v>5.0999999999999996</c:v>
                </c:pt>
                <c:pt idx="3">
                  <c:v>7.1</c:v>
                </c:pt>
                <c:pt idx="4">
                  <c:v>10.1</c:v>
                </c:pt>
                <c:pt idx="5">
                  <c:v>15.1</c:v>
                </c:pt>
                <c:pt idx="6">
                  <c:v>20.100000000000001</c:v>
                </c:pt>
                <c:pt idx="7">
                  <c:v>30.1</c:v>
                </c:pt>
              </c:numCache>
            </c:numRef>
          </c:xVal>
          <c:yVal>
            <c:numRef>
              <c:f>Лист3!$D$3:$D$10</c:f>
              <c:numCache>
                <c:formatCode>General</c:formatCode>
                <c:ptCount val="8"/>
                <c:pt idx="0">
                  <c:v>29.45</c:v>
                </c:pt>
                <c:pt idx="1">
                  <c:v>23</c:v>
                </c:pt>
                <c:pt idx="2">
                  <c:v>22.12</c:v>
                </c:pt>
                <c:pt idx="3">
                  <c:v>19.77</c:v>
                </c:pt>
                <c:pt idx="4">
                  <c:v>19.239999999999998</c:v>
                </c:pt>
                <c:pt idx="5">
                  <c:v>13.13</c:v>
                </c:pt>
                <c:pt idx="6">
                  <c:v>8.94</c:v>
                </c:pt>
                <c:pt idx="7">
                  <c:v>6.68</c:v>
                </c:pt>
              </c:numCache>
            </c:numRef>
          </c:yVal>
          <c:smooth val="1"/>
        </c:ser>
        <c:ser>
          <c:idx val="2"/>
          <c:order val="2"/>
          <c:tx>
            <c:strRef>
              <c:f>Лист3!$F$2</c:f>
              <c:strCache>
                <c:ptCount val="1"/>
                <c:pt idx="0">
                  <c:v>0,15 мг/кг</c:v>
                </c:pt>
              </c:strCache>
            </c:strRef>
          </c:tx>
          <c:spPr>
            <a:ln w="12677">
              <a:solidFill>
                <a:srgbClr val="808080"/>
              </a:solidFill>
              <a:prstDash val="solid"/>
            </a:ln>
          </c:spPr>
          <c:marker>
            <c:symbol val="circle"/>
            <c:size val="6"/>
            <c:spPr>
              <a:solidFill>
                <a:srgbClr val="C0C0C0"/>
              </a:solidFill>
              <a:ln>
                <a:solidFill>
                  <a:srgbClr val="333333"/>
                </a:solidFill>
                <a:prstDash val="solid"/>
              </a:ln>
            </c:spPr>
          </c:marker>
          <c:errBars>
            <c:errDir val="y"/>
            <c:errBarType val="both"/>
            <c:errValType val="percentage"/>
            <c:noEndCap val="0"/>
            <c:val val="5"/>
            <c:spPr>
              <a:ln w="12677">
                <a:solidFill>
                  <a:srgbClr val="000000"/>
                </a:solidFill>
                <a:prstDash val="solid"/>
              </a:ln>
            </c:spPr>
          </c:errBars>
          <c:xVal>
            <c:numRef>
              <c:f>Лист3!$E$3:$E$10</c:f>
              <c:numCache>
                <c:formatCode>General</c:formatCode>
                <c:ptCount val="8"/>
                <c:pt idx="0">
                  <c:v>1.2</c:v>
                </c:pt>
                <c:pt idx="1">
                  <c:v>3.2</c:v>
                </c:pt>
                <c:pt idx="2">
                  <c:v>5.2</c:v>
                </c:pt>
                <c:pt idx="3">
                  <c:v>7.2</c:v>
                </c:pt>
                <c:pt idx="4">
                  <c:v>10.199999999999999</c:v>
                </c:pt>
                <c:pt idx="5">
                  <c:v>15.2</c:v>
                </c:pt>
                <c:pt idx="6">
                  <c:v>20.2</c:v>
                </c:pt>
                <c:pt idx="7">
                  <c:v>30.3</c:v>
                </c:pt>
              </c:numCache>
            </c:numRef>
          </c:xVal>
          <c:yVal>
            <c:numRef>
              <c:f>Лист3!$F$3:$F$10</c:f>
              <c:numCache>
                <c:formatCode>General</c:formatCode>
                <c:ptCount val="8"/>
                <c:pt idx="0">
                  <c:v>23.8</c:v>
                </c:pt>
                <c:pt idx="1">
                  <c:v>20.56</c:v>
                </c:pt>
                <c:pt idx="2">
                  <c:v>21.05</c:v>
                </c:pt>
                <c:pt idx="3">
                  <c:v>20.45</c:v>
                </c:pt>
                <c:pt idx="4">
                  <c:v>18.21</c:v>
                </c:pt>
                <c:pt idx="5">
                  <c:v>12.73</c:v>
                </c:pt>
                <c:pt idx="6">
                  <c:v>9.09</c:v>
                </c:pt>
                <c:pt idx="7">
                  <c:v>7.36</c:v>
                </c:pt>
              </c:numCache>
            </c:numRef>
          </c:yVal>
          <c:smooth val="1"/>
        </c:ser>
        <c:ser>
          <c:idx val="4"/>
          <c:order val="3"/>
          <c:tx>
            <c:strRef>
              <c:f>Лист3!$J$2</c:f>
              <c:strCache>
                <c:ptCount val="1"/>
                <c:pt idx="0">
                  <c:v>1,5 мг/кг</c:v>
                </c:pt>
              </c:strCache>
            </c:strRef>
          </c:tx>
          <c:spPr>
            <a:ln w="25354">
              <a:solidFill>
                <a:srgbClr val="969696"/>
              </a:solidFill>
              <a:prstDash val="solid"/>
            </a:ln>
          </c:spPr>
          <c:marker>
            <c:symbol val="circle"/>
            <c:size val="6"/>
            <c:spPr>
              <a:solidFill>
                <a:srgbClr val="FFFFFF"/>
              </a:solidFill>
              <a:ln>
                <a:solidFill>
                  <a:srgbClr val="333300"/>
                </a:solidFill>
                <a:prstDash val="solid"/>
              </a:ln>
            </c:spPr>
          </c:marker>
          <c:errBars>
            <c:errDir val="y"/>
            <c:errBarType val="both"/>
            <c:errValType val="percentage"/>
            <c:noEndCap val="0"/>
            <c:val val="8"/>
            <c:spPr>
              <a:ln w="12677">
                <a:solidFill>
                  <a:srgbClr val="000000"/>
                </a:solidFill>
                <a:prstDash val="solid"/>
              </a:ln>
            </c:spPr>
          </c:errBars>
          <c:xVal>
            <c:numRef>
              <c:f>Лист3!$I$3:$I$10</c:f>
              <c:numCache>
                <c:formatCode>General</c:formatCode>
                <c:ptCount val="8"/>
                <c:pt idx="0">
                  <c:v>0.8</c:v>
                </c:pt>
                <c:pt idx="1">
                  <c:v>2.8</c:v>
                </c:pt>
                <c:pt idx="2">
                  <c:v>4.8</c:v>
                </c:pt>
                <c:pt idx="3">
                  <c:v>6.8</c:v>
                </c:pt>
                <c:pt idx="4">
                  <c:v>9.8000000000000007</c:v>
                </c:pt>
                <c:pt idx="5">
                  <c:v>14.8</c:v>
                </c:pt>
                <c:pt idx="6">
                  <c:v>19.8</c:v>
                </c:pt>
                <c:pt idx="7">
                  <c:v>29.8</c:v>
                </c:pt>
              </c:numCache>
            </c:numRef>
          </c:xVal>
          <c:yVal>
            <c:numRef>
              <c:f>Лист3!$J$3:$J$10</c:f>
              <c:numCache>
                <c:formatCode>General</c:formatCode>
                <c:ptCount val="8"/>
                <c:pt idx="0">
                  <c:v>20.57</c:v>
                </c:pt>
                <c:pt idx="1">
                  <c:v>17.27</c:v>
                </c:pt>
                <c:pt idx="2">
                  <c:v>18.57</c:v>
                </c:pt>
                <c:pt idx="3">
                  <c:v>19.63</c:v>
                </c:pt>
                <c:pt idx="4">
                  <c:v>20.6</c:v>
                </c:pt>
                <c:pt idx="5">
                  <c:v>15.55</c:v>
                </c:pt>
                <c:pt idx="6">
                  <c:v>12.87</c:v>
                </c:pt>
                <c:pt idx="7">
                  <c:v>11.44</c:v>
                </c:pt>
              </c:numCache>
            </c:numRef>
          </c:yVal>
          <c:smooth val="1"/>
        </c:ser>
        <c:dLbls>
          <c:showLegendKey val="0"/>
          <c:showVal val="0"/>
          <c:showCatName val="0"/>
          <c:showSerName val="0"/>
          <c:showPercent val="0"/>
          <c:showBubbleSize val="0"/>
        </c:dLbls>
        <c:axId val="335045760"/>
        <c:axId val="335047680"/>
      </c:scatterChart>
      <c:valAx>
        <c:axId val="335045760"/>
        <c:scaling>
          <c:orientation val="minMax"/>
          <c:max val="31"/>
          <c:min val="0"/>
        </c:scaling>
        <c:delete val="0"/>
        <c:axPos val="b"/>
        <c:title>
          <c:tx>
            <c:rich>
              <a:bodyPr/>
              <a:lstStyle/>
              <a:p>
                <a:pPr>
                  <a:defRPr sz="799" b="0" i="0" u="none" strike="noStrike" baseline="0">
                    <a:solidFill>
                      <a:srgbClr val="000000"/>
                    </a:solidFill>
                    <a:latin typeface="Arial Cyr"/>
                    <a:ea typeface="Arial Cyr"/>
                    <a:cs typeface="Arial Cyr"/>
                  </a:defRPr>
                </a:pPr>
                <a:r>
                  <a:t>Термін, доба</a:t>
                </a:r>
              </a:p>
            </c:rich>
          </c:tx>
          <c:layout>
            <c:manualLayout>
              <c:xMode val="edge"/>
              <c:yMode val="edge"/>
              <c:x val="0.78412698412698412"/>
              <c:y val="0.83601286173633438"/>
            </c:manualLayout>
          </c:layout>
          <c:overlay val="0"/>
          <c:spPr>
            <a:noFill/>
            <a:ln w="25354">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335047680"/>
        <c:crosses val="autoZero"/>
        <c:crossBetween val="midCat"/>
      </c:valAx>
      <c:valAx>
        <c:axId val="335047680"/>
        <c:scaling>
          <c:orientation val="minMax"/>
          <c:max val="32"/>
          <c:min val="5"/>
        </c:scaling>
        <c:delete val="0"/>
        <c:axPos val="l"/>
        <c:title>
          <c:tx>
            <c:rich>
              <a:bodyPr rot="0" vert="horz"/>
              <a:lstStyle/>
              <a:p>
                <a:pPr algn="ctr">
                  <a:defRPr sz="799" b="0" i="0" u="none" strike="noStrike" baseline="0">
                    <a:solidFill>
                      <a:srgbClr val="000000"/>
                    </a:solidFill>
                    <a:latin typeface="Arial Cyr"/>
                    <a:ea typeface="Arial Cyr"/>
                    <a:cs typeface="Arial Cyr"/>
                  </a:defRPr>
                </a:pPr>
                <a:r>
                  <a:t>мг/кг</a:t>
                </a:r>
              </a:p>
            </c:rich>
          </c:tx>
          <c:layout>
            <c:manualLayout>
              <c:xMode val="edge"/>
              <c:yMode val="edge"/>
              <c:x val="0"/>
              <c:y val="0"/>
            </c:manualLayout>
          </c:layout>
          <c:overlay val="0"/>
          <c:spPr>
            <a:noFill/>
            <a:ln w="25354">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335045760"/>
        <c:crosses val="autoZero"/>
        <c:crossBetween val="midCat"/>
      </c:valAx>
      <c:spPr>
        <a:noFill/>
        <a:ln w="25354">
          <a:noFill/>
        </a:ln>
      </c:spPr>
    </c:plotArea>
    <c:legend>
      <c:legendPos val="b"/>
      <c:legendEntry>
        <c:idx val="3"/>
        <c:delete val="1"/>
      </c:legendEntry>
      <c:layout>
        <c:manualLayout>
          <c:xMode val="edge"/>
          <c:yMode val="edge"/>
          <c:x val="7.301587301587302E-2"/>
          <c:y val="0.91639871382636651"/>
          <c:w val="0.92698412698412702"/>
          <c:h val="6.4308681672025719E-2"/>
        </c:manualLayout>
      </c:layout>
      <c:overlay val="0"/>
      <c:spPr>
        <a:solidFill>
          <a:srgbClr val="FFFFFF"/>
        </a:solidFill>
        <a:ln w="25354">
          <a:noFill/>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11455108359129E-2"/>
          <c:y val="7.4193548387096769E-2"/>
          <c:w val="0.88544891640866874"/>
          <c:h val="0.73870967741935489"/>
        </c:manualLayout>
      </c:layout>
      <c:scatterChart>
        <c:scatterStyle val="smoothMarker"/>
        <c:varyColors val="0"/>
        <c:ser>
          <c:idx val="0"/>
          <c:order val="0"/>
          <c:tx>
            <c:strRef>
              <c:f>Лист4!$B$2</c:f>
              <c:strCache>
                <c:ptCount val="1"/>
                <c:pt idx="0">
                  <c:v>Контроль</c:v>
                </c:pt>
              </c:strCache>
            </c:strRef>
          </c:tx>
          <c:spPr>
            <a:ln w="12688">
              <a:solidFill>
                <a:srgbClr val="000000"/>
              </a:solidFill>
              <a:prstDash val="sysDash"/>
            </a:ln>
          </c:spPr>
          <c:marker>
            <c:symbol val="circle"/>
            <c:size val="6"/>
            <c:spPr>
              <a:solidFill>
                <a:srgbClr val="FFFFFF"/>
              </a:solidFill>
              <a:ln>
                <a:solidFill>
                  <a:srgbClr val="000000"/>
                </a:solidFill>
                <a:prstDash val="solid"/>
              </a:ln>
            </c:spPr>
          </c:marker>
          <c:errBars>
            <c:errDir val="y"/>
            <c:errBarType val="both"/>
            <c:errValType val="percentage"/>
            <c:noEndCap val="0"/>
            <c:val val="10"/>
            <c:spPr>
              <a:ln w="12688">
                <a:solidFill>
                  <a:srgbClr val="000000"/>
                </a:solidFill>
                <a:prstDash val="solid"/>
              </a:ln>
            </c:spPr>
          </c:errBars>
          <c:xVal>
            <c:numRef>
              <c:f>Лист4!$A$3:$A$10</c:f>
              <c:numCache>
                <c:formatCode>General</c:formatCode>
                <c:ptCount val="8"/>
                <c:pt idx="0">
                  <c:v>1</c:v>
                </c:pt>
                <c:pt idx="1">
                  <c:v>3</c:v>
                </c:pt>
                <c:pt idx="2">
                  <c:v>5</c:v>
                </c:pt>
                <c:pt idx="3">
                  <c:v>7</c:v>
                </c:pt>
                <c:pt idx="4">
                  <c:v>10</c:v>
                </c:pt>
                <c:pt idx="5">
                  <c:v>15</c:v>
                </c:pt>
                <c:pt idx="6">
                  <c:v>20</c:v>
                </c:pt>
                <c:pt idx="7">
                  <c:v>30</c:v>
                </c:pt>
              </c:numCache>
            </c:numRef>
          </c:xVal>
          <c:yVal>
            <c:numRef>
              <c:f>Лист4!$B$3:$B$10</c:f>
              <c:numCache>
                <c:formatCode>General</c:formatCode>
                <c:ptCount val="8"/>
                <c:pt idx="0">
                  <c:v>0.1</c:v>
                </c:pt>
                <c:pt idx="1">
                  <c:v>0.87</c:v>
                </c:pt>
                <c:pt idx="2">
                  <c:v>1.64</c:v>
                </c:pt>
                <c:pt idx="3">
                  <c:v>2.23</c:v>
                </c:pt>
                <c:pt idx="4">
                  <c:v>1.83</c:v>
                </c:pt>
                <c:pt idx="5">
                  <c:v>2.98</c:v>
                </c:pt>
                <c:pt idx="6">
                  <c:v>4.53</c:v>
                </c:pt>
                <c:pt idx="7">
                  <c:v>5.68</c:v>
                </c:pt>
              </c:numCache>
            </c:numRef>
          </c:yVal>
          <c:smooth val="1"/>
        </c:ser>
        <c:ser>
          <c:idx val="1"/>
          <c:order val="1"/>
          <c:tx>
            <c:strRef>
              <c:f>Лист4!$D$2</c:f>
              <c:strCache>
                <c:ptCount val="1"/>
                <c:pt idx="0">
                  <c:v>0,03 мг/кг</c:v>
                </c:pt>
              </c:strCache>
            </c:strRef>
          </c:tx>
          <c:spPr>
            <a:ln w="12688">
              <a:solidFill>
                <a:srgbClr val="000000"/>
              </a:solidFill>
              <a:prstDash val="solid"/>
            </a:ln>
          </c:spPr>
          <c:marker>
            <c:symbol val="circle"/>
            <c:size val="6"/>
            <c:spPr>
              <a:solidFill>
                <a:srgbClr val="333333"/>
              </a:solidFill>
              <a:ln>
                <a:solidFill>
                  <a:srgbClr val="000000"/>
                </a:solidFill>
                <a:prstDash val="solid"/>
              </a:ln>
            </c:spPr>
          </c:marker>
          <c:errBars>
            <c:errDir val="y"/>
            <c:errBarType val="both"/>
            <c:errValType val="percentage"/>
            <c:noEndCap val="0"/>
            <c:val val="10"/>
            <c:spPr>
              <a:ln w="12688">
                <a:solidFill>
                  <a:srgbClr val="000000"/>
                </a:solidFill>
                <a:prstDash val="solid"/>
              </a:ln>
            </c:spPr>
          </c:errBars>
          <c:xVal>
            <c:numRef>
              <c:f>Лист4!$C$3:$C$10</c:f>
              <c:numCache>
                <c:formatCode>General</c:formatCode>
                <c:ptCount val="8"/>
                <c:pt idx="0">
                  <c:v>1.1000000000000001</c:v>
                </c:pt>
                <c:pt idx="1">
                  <c:v>3.1</c:v>
                </c:pt>
                <c:pt idx="2">
                  <c:v>5.0999999999999996</c:v>
                </c:pt>
                <c:pt idx="3">
                  <c:v>7.1</c:v>
                </c:pt>
                <c:pt idx="4">
                  <c:v>10.1</c:v>
                </c:pt>
                <c:pt idx="5">
                  <c:v>15.1</c:v>
                </c:pt>
                <c:pt idx="6">
                  <c:v>20.100000000000001</c:v>
                </c:pt>
                <c:pt idx="7">
                  <c:v>30.1</c:v>
                </c:pt>
              </c:numCache>
            </c:numRef>
          </c:xVal>
          <c:yVal>
            <c:numRef>
              <c:f>Лист4!$D$3:$D$10</c:f>
              <c:numCache>
                <c:formatCode>General</c:formatCode>
                <c:ptCount val="8"/>
                <c:pt idx="0">
                  <c:v>0.1</c:v>
                </c:pt>
                <c:pt idx="1">
                  <c:v>1.02</c:v>
                </c:pt>
                <c:pt idx="2">
                  <c:v>1.58</c:v>
                </c:pt>
                <c:pt idx="3">
                  <c:v>2.25</c:v>
                </c:pt>
                <c:pt idx="4">
                  <c:v>1.59</c:v>
                </c:pt>
                <c:pt idx="5">
                  <c:v>3.2</c:v>
                </c:pt>
                <c:pt idx="6">
                  <c:v>4.32</c:v>
                </c:pt>
                <c:pt idx="7">
                  <c:v>4.95</c:v>
                </c:pt>
              </c:numCache>
            </c:numRef>
          </c:yVal>
          <c:smooth val="1"/>
        </c:ser>
        <c:ser>
          <c:idx val="2"/>
          <c:order val="2"/>
          <c:tx>
            <c:strRef>
              <c:f>Лист4!$F$2</c:f>
              <c:strCache>
                <c:ptCount val="1"/>
                <c:pt idx="0">
                  <c:v>0,15 мг/кг</c:v>
                </c:pt>
              </c:strCache>
            </c:strRef>
          </c:tx>
          <c:spPr>
            <a:ln w="12688">
              <a:solidFill>
                <a:srgbClr val="808080"/>
              </a:solidFill>
              <a:prstDash val="solid"/>
            </a:ln>
          </c:spPr>
          <c:marker>
            <c:symbol val="circle"/>
            <c:size val="6"/>
            <c:spPr>
              <a:solidFill>
                <a:srgbClr val="C0C0C0"/>
              </a:solidFill>
              <a:ln>
                <a:solidFill>
                  <a:srgbClr val="000000"/>
                </a:solidFill>
                <a:prstDash val="solid"/>
              </a:ln>
            </c:spPr>
          </c:marker>
          <c:errBars>
            <c:errDir val="y"/>
            <c:errBarType val="both"/>
            <c:errValType val="percentage"/>
            <c:noEndCap val="0"/>
            <c:val val="10"/>
            <c:spPr>
              <a:ln w="12688">
                <a:solidFill>
                  <a:srgbClr val="000000"/>
                </a:solidFill>
                <a:prstDash val="solid"/>
              </a:ln>
            </c:spPr>
          </c:errBars>
          <c:xVal>
            <c:numRef>
              <c:f>Лист4!$E$3:$E$10</c:f>
              <c:numCache>
                <c:formatCode>General</c:formatCode>
                <c:ptCount val="8"/>
                <c:pt idx="0">
                  <c:v>1.2</c:v>
                </c:pt>
                <c:pt idx="1">
                  <c:v>3.2</c:v>
                </c:pt>
                <c:pt idx="2">
                  <c:v>5.2</c:v>
                </c:pt>
                <c:pt idx="3">
                  <c:v>7.2</c:v>
                </c:pt>
                <c:pt idx="4">
                  <c:v>10.199999999999999</c:v>
                </c:pt>
                <c:pt idx="5">
                  <c:v>15.2</c:v>
                </c:pt>
                <c:pt idx="6">
                  <c:v>20.2</c:v>
                </c:pt>
                <c:pt idx="7">
                  <c:v>30.3</c:v>
                </c:pt>
              </c:numCache>
            </c:numRef>
          </c:xVal>
          <c:yVal>
            <c:numRef>
              <c:f>Лист4!$F$3:$F$10</c:f>
              <c:numCache>
                <c:formatCode>General</c:formatCode>
                <c:ptCount val="8"/>
                <c:pt idx="0">
                  <c:v>0.13</c:v>
                </c:pt>
                <c:pt idx="1">
                  <c:v>1.02</c:v>
                </c:pt>
                <c:pt idx="2">
                  <c:v>1.52</c:v>
                </c:pt>
                <c:pt idx="3">
                  <c:v>2.37</c:v>
                </c:pt>
                <c:pt idx="4">
                  <c:v>1.63</c:v>
                </c:pt>
                <c:pt idx="5">
                  <c:v>2.62</c:v>
                </c:pt>
                <c:pt idx="6">
                  <c:v>3.82</c:v>
                </c:pt>
                <c:pt idx="7">
                  <c:v>4.67</c:v>
                </c:pt>
              </c:numCache>
            </c:numRef>
          </c:yVal>
          <c:smooth val="1"/>
        </c:ser>
        <c:ser>
          <c:idx val="3"/>
          <c:order val="3"/>
          <c:tx>
            <c:strRef>
              <c:f>Лист4!$H$2</c:f>
              <c:strCache>
                <c:ptCount val="1"/>
                <c:pt idx="0">
                  <c:v>0,3 мг/кг</c:v>
                </c:pt>
              </c:strCache>
            </c:strRef>
          </c:tx>
          <c:spPr>
            <a:ln w="25375">
              <a:solidFill>
                <a:srgbClr val="333300"/>
              </a:solidFill>
              <a:prstDash val="solid"/>
            </a:ln>
          </c:spPr>
          <c:marker>
            <c:symbol val="circle"/>
            <c:size val="6"/>
            <c:spPr>
              <a:solidFill>
                <a:srgbClr val="808080"/>
              </a:solidFill>
              <a:ln>
                <a:solidFill>
                  <a:srgbClr val="000000"/>
                </a:solidFill>
                <a:prstDash val="solid"/>
              </a:ln>
            </c:spPr>
          </c:marker>
          <c:errBars>
            <c:errDir val="y"/>
            <c:errBarType val="both"/>
            <c:errValType val="percentage"/>
            <c:noEndCap val="0"/>
            <c:val val="10"/>
            <c:spPr>
              <a:ln w="12688">
                <a:solidFill>
                  <a:srgbClr val="000000"/>
                </a:solidFill>
                <a:prstDash val="solid"/>
              </a:ln>
            </c:spPr>
          </c:errBars>
          <c:xVal>
            <c:numRef>
              <c:f>Лист4!$G$3:$G$10</c:f>
              <c:numCache>
                <c:formatCode>General</c:formatCode>
                <c:ptCount val="8"/>
                <c:pt idx="0">
                  <c:v>0.9</c:v>
                </c:pt>
                <c:pt idx="1">
                  <c:v>2.9</c:v>
                </c:pt>
                <c:pt idx="2">
                  <c:v>4.9000000000000004</c:v>
                </c:pt>
                <c:pt idx="3">
                  <c:v>6.9</c:v>
                </c:pt>
                <c:pt idx="4">
                  <c:v>9.9</c:v>
                </c:pt>
                <c:pt idx="5">
                  <c:v>14.9</c:v>
                </c:pt>
                <c:pt idx="6">
                  <c:v>19.899999999999999</c:v>
                </c:pt>
                <c:pt idx="7">
                  <c:v>29.9</c:v>
                </c:pt>
              </c:numCache>
            </c:numRef>
          </c:xVal>
          <c:yVal>
            <c:numRef>
              <c:f>Лист4!$H$3:$H$10</c:f>
              <c:numCache>
                <c:formatCode>General</c:formatCode>
                <c:ptCount val="8"/>
                <c:pt idx="0">
                  <c:v>0.35</c:v>
                </c:pt>
                <c:pt idx="1">
                  <c:v>0.93</c:v>
                </c:pt>
                <c:pt idx="2">
                  <c:v>1.44</c:v>
                </c:pt>
                <c:pt idx="3">
                  <c:v>2.0699999999999998</c:v>
                </c:pt>
                <c:pt idx="4">
                  <c:v>1.38</c:v>
                </c:pt>
                <c:pt idx="5">
                  <c:v>2.29</c:v>
                </c:pt>
                <c:pt idx="6">
                  <c:v>2.79</c:v>
                </c:pt>
                <c:pt idx="7">
                  <c:v>3.45</c:v>
                </c:pt>
              </c:numCache>
            </c:numRef>
          </c:yVal>
          <c:smooth val="1"/>
        </c:ser>
        <c:ser>
          <c:idx val="4"/>
          <c:order val="4"/>
          <c:tx>
            <c:strRef>
              <c:f>Лист4!$J$2</c:f>
              <c:strCache>
                <c:ptCount val="1"/>
                <c:pt idx="0">
                  <c:v>1,5 мг/кг</c:v>
                </c:pt>
              </c:strCache>
            </c:strRef>
          </c:tx>
          <c:spPr>
            <a:ln w="25375">
              <a:solidFill>
                <a:srgbClr val="C0C0C0"/>
              </a:solidFill>
              <a:prstDash val="solid"/>
            </a:ln>
          </c:spPr>
          <c:marker>
            <c:symbol val="circle"/>
            <c:size val="6"/>
            <c:spPr>
              <a:solidFill>
                <a:srgbClr val="FFFFFF"/>
              </a:solidFill>
              <a:ln>
                <a:solidFill>
                  <a:srgbClr val="000000"/>
                </a:solidFill>
                <a:prstDash val="solid"/>
              </a:ln>
            </c:spPr>
          </c:marker>
          <c:errBars>
            <c:errDir val="y"/>
            <c:errBarType val="both"/>
            <c:errValType val="percentage"/>
            <c:noEndCap val="0"/>
            <c:val val="14"/>
            <c:spPr>
              <a:ln w="12688">
                <a:solidFill>
                  <a:srgbClr val="000000"/>
                </a:solidFill>
                <a:prstDash val="solid"/>
              </a:ln>
            </c:spPr>
          </c:errBars>
          <c:xVal>
            <c:numRef>
              <c:f>Лист4!$I$3:$I$10</c:f>
              <c:numCache>
                <c:formatCode>General</c:formatCode>
                <c:ptCount val="8"/>
                <c:pt idx="0">
                  <c:v>0.8</c:v>
                </c:pt>
                <c:pt idx="1">
                  <c:v>2.8</c:v>
                </c:pt>
                <c:pt idx="2">
                  <c:v>4.8</c:v>
                </c:pt>
                <c:pt idx="3">
                  <c:v>6.8</c:v>
                </c:pt>
                <c:pt idx="4">
                  <c:v>9.8000000000000007</c:v>
                </c:pt>
                <c:pt idx="5">
                  <c:v>14.8</c:v>
                </c:pt>
                <c:pt idx="6">
                  <c:v>19.8</c:v>
                </c:pt>
                <c:pt idx="7">
                  <c:v>29.8</c:v>
                </c:pt>
              </c:numCache>
            </c:numRef>
          </c:xVal>
          <c:yVal>
            <c:numRef>
              <c:f>Лист4!$J$3:$J$10</c:f>
              <c:numCache>
                <c:formatCode>General</c:formatCode>
                <c:ptCount val="8"/>
                <c:pt idx="0">
                  <c:v>0.21</c:v>
                </c:pt>
                <c:pt idx="1">
                  <c:v>0.98</c:v>
                </c:pt>
                <c:pt idx="2">
                  <c:v>1.61</c:v>
                </c:pt>
                <c:pt idx="3">
                  <c:v>1.87</c:v>
                </c:pt>
                <c:pt idx="4">
                  <c:v>1.1499999999999999</c:v>
                </c:pt>
                <c:pt idx="5">
                  <c:v>2.1</c:v>
                </c:pt>
                <c:pt idx="6">
                  <c:v>2.2200000000000002</c:v>
                </c:pt>
                <c:pt idx="7">
                  <c:v>3.17</c:v>
                </c:pt>
              </c:numCache>
            </c:numRef>
          </c:yVal>
          <c:smooth val="1"/>
        </c:ser>
        <c:dLbls>
          <c:showLegendKey val="0"/>
          <c:showVal val="0"/>
          <c:showCatName val="0"/>
          <c:showSerName val="0"/>
          <c:showPercent val="0"/>
          <c:showBubbleSize val="0"/>
        </c:dLbls>
        <c:axId val="402178816"/>
        <c:axId val="402180736"/>
      </c:scatterChart>
      <c:valAx>
        <c:axId val="402178816"/>
        <c:scaling>
          <c:orientation val="minMax"/>
          <c:max val="31"/>
          <c:min val="0"/>
        </c:scaling>
        <c:delete val="0"/>
        <c:axPos val="b"/>
        <c:title>
          <c:tx>
            <c:rich>
              <a:bodyPr/>
              <a:lstStyle/>
              <a:p>
                <a:pPr>
                  <a:defRPr sz="574" b="0" i="0" u="none" strike="noStrike" baseline="0">
                    <a:solidFill>
                      <a:srgbClr val="000000"/>
                    </a:solidFill>
                    <a:latin typeface="Arial Cyr"/>
                    <a:ea typeface="Arial Cyr"/>
                    <a:cs typeface="Arial Cyr"/>
                  </a:defRPr>
                </a:pPr>
                <a:r>
                  <a:t>Термін, доба</a:t>
                </a:r>
              </a:p>
            </c:rich>
          </c:tx>
          <c:layout>
            <c:manualLayout>
              <c:xMode val="edge"/>
              <c:yMode val="edge"/>
              <c:x val="0.81114551083591335"/>
              <c:y val="0.87096774193548387"/>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649" b="0" i="0" u="none" strike="noStrike" baseline="0">
                <a:solidFill>
                  <a:srgbClr val="000000"/>
                </a:solidFill>
                <a:latin typeface="Arial Cyr"/>
                <a:ea typeface="Arial Cyr"/>
                <a:cs typeface="Arial Cyr"/>
              </a:defRPr>
            </a:pPr>
            <a:endParaRPr lang="ru-RU"/>
          </a:p>
        </c:txPr>
        <c:crossAx val="402180736"/>
        <c:crosses val="autoZero"/>
        <c:crossBetween val="midCat"/>
      </c:valAx>
      <c:valAx>
        <c:axId val="402180736"/>
        <c:scaling>
          <c:orientation val="minMax"/>
        </c:scaling>
        <c:delete val="0"/>
        <c:axPos val="l"/>
        <c:title>
          <c:tx>
            <c:rich>
              <a:bodyPr rot="0" vert="horz"/>
              <a:lstStyle/>
              <a:p>
                <a:pPr algn="ctr">
                  <a:defRPr sz="574" b="0" i="0" u="none" strike="noStrike" baseline="0">
                    <a:solidFill>
                      <a:srgbClr val="000000"/>
                    </a:solidFill>
                    <a:latin typeface="Arial Cyr"/>
                    <a:ea typeface="Arial Cyr"/>
                    <a:cs typeface="Arial Cyr"/>
                  </a:defRPr>
                </a:pPr>
                <a:r>
                  <a:t>мг/кг</a:t>
                </a:r>
              </a:p>
            </c:rich>
          </c:tx>
          <c:layout>
            <c:manualLayout>
              <c:xMode val="edge"/>
              <c:yMode val="edge"/>
              <c:x val="0"/>
              <c:y val="0"/>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649" b="0" i="0" u="none" strike="noStrike" baseline="0">
                <a:solidFill>
                  <a:srgbClr val="000000"/>
                </a:solidFill>
                <a:latin typeface="Arial Cyr"/>
                <a:ea typeface="Arial Cyr"/>
                <a:cs typeface="Arial Cyr"/>
              </a:defRPr>
            </a:pPr>
            <a:endParaRPr lang="ru-RU"/>
          </a:p>
        </c:txPr>
        <c:crossAx val="402178816"/>
        <c:crosses val="autoZero"/>
        <c:crossBetween val="midCat"/>
      </c:valAx>
      <c:spPr>
        <a:noFill/>
        <a:ln w="25375">
          <a:noFill/>
        </a:ln>
      </c:spPr>
    </c:plotArea>
    <c:legend>
      <c:legendPos val="r"/>
      <c:legendEntry>
        <c:idx val="0"/>
        <c:delete val="1"/>
      </c:legendEntry>
      <c:legendEntry>
        <c:idx val="1"/>
        <c:delete val="1"/>
      </c:legendEntry>
      <c:legendEntry>
        <c:idx val="2"/>
        <c:delete val="1"/>
      </c:legendEntry>
      <c:layout>
        <c:manualLayout>
          <c:xMode val="edge"/>
          <c:yMode val="edge"/>
          <c:x val="6.1919504643962852E-3"/>
          <c:y val="0.88387096774193552"/>
          <c:w val="0.56656346749226005"/>
          <c:h val="9.6774193548387094E-2"/>
        </c:manualLayout>
      </c:layout>
      <c:overlay val="0"/>
      <c:spPr>
        <a:solidFill>
          <a:srgbClr val="FFFFFF"/>
        </a:solidFill>
        <a:ln w="25375">
          <a:noFill/>
        </a:ln>
      </c:spPr>
      <c:txPr>
        <a:bodyPr/>
        <a:lstStyle/>
        <a:p>
          <a:pPr>
            <a:defRPr sz="82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7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68862275449102"/>
          <c:y val="3.4267912772585667E-2"/>
          <c:w val="0.81137724550898205"/>
          <c:h val="0.71651090342679125"/>
        </c:manualLayout>
      </c:layout>
      <c:scatterChart>
        <c:scatterStyle val="smoothMarker"/>
        <c:varyColors val="0"/>
        <c:ser>
          <c:idx val="0"/>
          <c:order val="0"/>
          <c:tx>
            <c:strRef>
              <c:f>Лист6!$H$1</c:f>
              <c:strCache>
                <c:ptCount val="1"/>
                <c:pt idx="0">
                  <c:v>ДТ-03, в.р.к. (соя)</c:v>
                </c:pt>
              </c:strCache>
            </c:strRef>
          </c:tx>
          <c:spPr>
            <a:ln w="25405">
              <a:solidFill>
                <a:srgbClr val="000000"/>
              </a:solidFill>
              <a:prstDash val="lgDash"/>
            </a:ln>
          </c:spPr>
          <c:marker>
            <c:symbol val="diamond"/>
            <c:size val="7"/>
            <c:spPr>
              <a:solidFill>
                <a:srgbClr val="C0C0C0"/>
              </a:solidFill>
              <a:ln>
                <a:solidFill>
                  <a:srgbClr val="000000"/>
                </a:solidFill>
                <a:prstDash val="solid"/>
              </a:ln>
            </c:spPr>
          </c:marker>
          <c:dPt>
            <c:idx val="5"/>
            <c:marker>
              <c:symbol val="none"/>
            </c:marker>
            <c:bubble3D val="0"/>
          </c:dPt>
          <c:errBars>
            <c:errDir val="y"/>
            <c:errBarType val="both"/>
            <c:errValType val="percentage"/>
            <c:noEndCap val="0"/>
            <c:val val="45"/>
            <c:spPr>
              <a:ln w="12702">
                <a:solidFill>
                  <a:srgbClr val="000000"/>
                </a:solidFill>
                <a:prstDash val="solid"/>
              </a:ln>
            </c:spPr>
          </c:errBars>
          <c:xVal>
            <c:numRef>
              <c:f>Лист6!$G$2:$G$7</c:f>
              <c:numCache>
                <c:formatCode>General</c:formatCode>
                <c:ptCount val="6"/>
                <c:pt idx="0">
                  <c:v>1</c:v>
                </c:pt>
                <c:pt idx="1">
                  <c:v>7</c:v>
                </c:pt>
                <c:pt idx="2">
                  <c:v>14</c:v>
                </c:pt>
                <c:pt idx="3">
                  <c:v>21</c:v>
                </c:pt>
                <c:pt idx="4">
                  <c:v>28</c:v>
                </c:pt>
                <c:pt idx="5">
                  <c:v>54</c:v>
                </c:pt>
              </c:numCache>
            </c:numRef>
          </c:xVal>
          <c:yVal>
            <c:numRef>
              <c:f>Лист6!$H$2:$H$7</c:f>
              <c:numCache>
                <c:formatCode>General</c:formatCode>
                <c:ptCount val="6"/>
                <c:pt idx="0">
                  <c:v>0.17</c:v>
                </c:pt>
                <c:pt idx="1">
                  <c:v>0.14000000000000001</c:v>
                </c:pt>
                <c:pt idx="2">
                  <c:v>0.1</c:v>
                </c:pt>
                <c:pt idx="3">
                  <c:v>0.06</c:v>
                </c:pt>
                <c:pt idx="4">
                  <c:v>0.03</c:v>
                </c:pt>
                <c:pt idx="5">
                  <c:v>0.01</c:v>
                </c:pt>
              </c:numCache>
            </c:numRef>
          </c:yVal>
          <c:smooth val="1"/>
        </c:ser>
        <c:ser>
          <c:idx val="1"/>
          <c:order val="1"/>
          <c:tx>
            <c:strRef>
              <c:f>Лист6!$I$1</c:f>
              <c:strCache>
                <c:ptCount val="1"/>
                <c:pt idx="0">
                  <c:v>Патріот, 10% в.р.к. (соя)</c:v>
                </c:pt>
              </c:strCache>
            </c:strRef>
          </c:tx>
          <c:spPr>
            <a:ln w="12702">
              <a:solidFill>
                <a:srgbClr val="000000"/>
              </a:solidFill>
              <a:prstDash val="lgDash"/>
            </a:ln>
          </c:spPr>
          <c:marker>
            <c:symbol val="square"/>
            <c:size val="7"/>
            <c:spPr>
              <a:solidFill>
                <a:srgbClr val="C0C0C0"/>
              </a:solidFill>
              <a:ln>
                <a:solidFill>
                  <a:srgbClr val="000000"/>
                </a:solidFill>
                <a:prstDash val="solid"/>
              </a:ln>
            </c:spPr>
          </c:marker>
          <c:dPt>
            <c:idx val="5"/>
            <c:marker>
              <c:symbol val="none"/>
            </c:marker>
            <c:bubble3D val="0"/>
          </c:dPt>
          <c:errBars>
            <c:errDir val="y"/>
            <c:errBarType val="both"/>
            <c:errValType val="percentage"/>
            <c:noEndCap val="0"/>
            <c:val val="27"/>
            <c:spPr>
              <a:ln w="12702">
                <a:solidFill>
                  <a:srgbClr val="000000"/>
                </a:solidFill>
                <a:prstDash val="solid"/>
              </a:ln>
            </c:spPr>
          </c:errBars>
          <c:xVal>
            <c:numRef>
              <c:f>Лист6!$G$2:$G$7</c:f>
              <c:numCache>
                <c:formatCode>General</c:formatCode>
                <c:ptCount val="6"/>
                <c:pt idx="0">
                  <c:v>1</c:v>
                </c:pt>
                <c:pt idx="1">
                  <c:v>7</c:v>
                </c:pt>
                <c:pt idx="2">
                  <c:v>14</c:v>
                </c:pt>
                <c:pt idx="3">
                  <c:v>21</c:v>
                </c:pt>
                <c:pt idx="4">
                  <c:v>28</c:v>
                </c:pt>
                <c:pt idx="5">
                  <c:v>54</c:v>
                </c:pt>
              </c:numCache>
            </c:numRef>
          </c:xVal>
          <c:yVal>
            <c:numRef>
              <c:f>Лист6!$I$2:$I$7</c:f>
              <c:numCache>
                <c:formatCode>General</c:formatCode>
                <c:ptCount val="6"/>
                <c:pt idx="0">
                  <c:v>0.54</c:v>
                </c:pt>
                <c:pt idx="1">
                  <c:v>0.47</c:v>
                </c:pt>
                <c:pt idx="2">
                  <c:v>0.32</c:v>
                </c:pt>
                <c:pt idx="3">
                  <c:v>0.2</c:v>
                </c:pt>
                <c:pt idx="4">
                  <c:v>0.12</c:v>
                </c:pt>
                <c:pt idx="5">
                  <c:v>0.02</c:v>
                </c:pt>
              </c:numCache>
            </c:numRef>
          </c:yVal>
          <c:smooth val="1"/>
        </c:ser>
        <c:ser>
          <c:idx val="2"/>
          <c:order val="2"/>
          <c:tx>
            <c:strRef>
              <c:f>Лист6!$K$1</c:f>
              <c:strCache>
                <c:ptCount val="1"/>
                <c:pt idx="0">
                  <c:v>Півот, 10% в.р.к. (горох)</c:v>
                </c:pt>
              </c:strCache>
            </c:strRef>
          </c:tx>
          <c:spPr>
            <a:ln w="25405">
              <a:solidFill>
                <a:srgbClr val="000000"/>
              </a:solidFill>
              <a:prstDash val="solid"/>
            </a:ln>
          </c:spPr>
          <c:marker>
            <c:symbol val="triangle"/>
            <c:size val="7"/>
            <c:spPr>
              <a:solidFill>
                <a:srgbClr val="C0C0C0"/>
              </a:solidFill>
              <a:ln>
                <a:solidFill>
                  <a:srgbClr val="000000"/>
                </a:solidFill>
                <a:prstDash val="solid"/>
              </a:ln>
            </c:spPr>
          </c:marker>
          <c:dPt>
            <c:idx val="6"/>
            <c:marker>
              <c:symbol val="none"/>
            </c:marker>
            <c:bubble3D val="0"/>
          </c:dPt>
          <c:errBars>
            <c:errDir val="y"/>
            <c:errBarType val="both"/>
            <c:errValType val="percentage"/>
            <c:noEndCap val="0"/>
            <c:val val="18"/>
            <c:spPr>
              <a:ln w="12702">
                <a:solidFill>
                  <a:srgbClr val="000000"/>
                </a:solidFill>
                <a:prstDash val="solid"/>
              </a:ln>
            </c:spPr>
          </c:errBars>
          <c:xVal>
            <c:numRef>
              <c:f>Лист6!$J$2:$J$8</c:f>
              <c:numCache>
                <c:formatCode>General</c:formatCode>
                <c:ptCount val="7"/>
                <c:pt idx="0">
                  <c:v>1</c:v>
                </c:pt>
                <c:pt idx="1">
                  <c:v>7</c:v>
                </c:pt>
                <c:pt idx="2">
                  <c:v>14</c:v>
                </c:pt>
                <c:pt idx="3">
                  <c:v>21</c:v>
                </c:pt>
                <c:pt idx="4">
                  <c:v>28</c:v>
                </c:pt>
                <c:pt idx="5">
                  <c:v>35</c:v>
                </c:pt>
                <c:pt idx="6">
                  <c:v>84</c:v>
                </c:pt>
              </c:numCache>
            </c:numRef>
          </c:xVal>
          <c:yVal>
            <c:numRef>
              <c:f>Лист6!$K$2:$K$8</c:f>
              <c:numCache>
                <c:formatCode>General</c:formatCode>
                <c:ptCount val="7"/>
                <c:pt idx="0">
                  <c:v>1</c:v>
                </c:pt>
                <c:pt idx="1">
                  <c:v>0.8</c:v>
                </c:pt>
                <c:pt idx="2">
                  <c:v>0.5</c:v>
                </c:pt>
                <c:pt idx="3">
                  <c:v>0.25</c:v>
                </c:pt>
                <c:pt idx="4">
                  <c:v>0.14000000000000001</c:v>
                </c:pt>
                <c:pt idx="5">
                  <c:v>0.1</c:v>
                </c:pt>
                <c:pt idx="6">
                  <c:v>1.4999999999999999E-2</c:v>
                </c:pt>
              </c:numCache>
            </c:numRef>
          </c:yVal>
          <c:smooth val="1"/>
        </c:ser>
        <c:ser>
          <c:idx val="3"/>
          <c:order val="3"/>
          <c:tx>
            <c:strRef>
              <c:f>Лист6!$L$1</c:f>
              <c:strCache>
                <c:ptCount val="1"/>
                <c:pt idx="0">
                  <c:v>Півот, 10% в.р.к. (соя)</c:v>
                </c:pt>
              </c:strCache>
            </c:strRef>
          </c:tx>
          <c:spPr>
            <a:ln w="12702">
              <a:solidFill>
                <a:srgbClr val="000000"/>
              </a:solidFill>
              <a:prstDash val="solid"/>
            </a:ln>
          </c:spPr>
          <c:marker>
            <c:symbol val="circle"/>
            <c:size val="7"/>
            <c:spPr>
              <a:solidFill>
                <a:srgbClr val="C0C0C0"/>
              </a:solidFill>
              <a:ln>
                <a:solidFill>
                  <a:srgbClr val="000000"/>
                </a:solidFill>
                <a:prstDash val="solid"/>
              </a:ln>
            </c:spPr>
          </c:marker>
          <c:dPt>
            <c:idx val="6"/>
            <c:marker>
              <c:symbol val="none"/>
            </c:marker>
            <c:bubble3D val="0"/>
          </c:dPt>
          <c:errBars>
            <c:errDir val="y"/>
            <c:errBarType val="both"/>
            <c:errValType val="percentage"/>
            <c:noEndCap val="0"/>
            <c:val val="11"/>
            <c:spPr>
              <a:ln w="12702">
                <a:solidFill>
                  <a:srgbClr val="000000"/>
                </a:solidFill>
                <a:prstDash val="solid"/>
              </a:ln>
            </c:spPr>
          </c:errBars>
          <c:xVal>
            <c:numRef>
              <c:f>Лист6!$J$2:$J$8</c:f>
              <c:numCache>
                <c:formatCode>General</c:formatCode>
                <c:ptCount val="7"/>
                <c:pt idx="0">
                  <c:v>1</c:v>
                </c:pt>
                <c:pt idx="1">
                  <c:v>7</c:v>
                </c:pt>
                <c:pt idx="2">
                  <c:v>14</c:v>
                </c:pt>
                <c:pt idx="3">
                  <c:v>21</c:v>
                </c:pt>
                <c:pt idx="4">
                  <c:v>28</c:v>
                </c:pt>
                <c:pt idx="5">
                  <c:v>35</c:v>
                </c:pt>
                <c:pt idx="6">
                  <c:v>84</c:v>
                </c:pt>
              </c:numCache>
            </c:numRef>
          </c:xVal>
          <c:yVal>
            <c:numRef>
              <c:f>Лист6!$L$2:$L$8</c:f>
              <c:numCache>
                <c:formatCode>General</c:formatCode>
                <c:ptCount val="7"/>
                <c:pt idx="0">
                  <c:v>1.3</c:v>
                </c:pt>
                <c:pt idx="1">
                  <c:v>1</c:v>
                </c:pt>
                <c:pt idx="2">
                  <c:v>0.5</c:v>
                </c:pt>
                <c:pt idx="3">
                  <c:v>0.2</c:v>
                </c:pt>
                <c:pt idx="4">
                  <c:v>0.15</c:v>
                </c:pt>
                <c:pt idx="5">
                  <c:v>0.06</c:v>
                </c:pt>
                <c:pt idx="6">
                  <c:v>0.01</c:v>
                </c:pt>
              </c:numCache>
            </c:numRef>
          </c:yVal>
          <c:smooth val="1"/>
        </c:ser>
        <c:dLbls>
          <c:showLegendKey val="0"/>
          <c:showVal val="0"/>
          <c:showCatName val="0"/>
          <c:showSerName val="0"/>
          <c:showPercent val="0"/>
          <c:showBubbleSize val="0"/>
        </c:dLbls>
        <c:axId val="471519232"/>
        <c:axId val="471521152"/>
      </c:scatterChart>
      <c:valAx>
        <c:axId val="471519232"/>
        <c:scaling>
          <c:orientation val="minMax"/>
          <c:max val="90"/>
          <c:min val="0"/>
        </c:scaling>
        <c:delete val="0"/>
        <c:axPos val="b"/>
        <c:title>
          <c:tx>
            <c:rich>
              <a:bodyPr/>
              <a:lstStyle/>
              <a:p>
                <a:pPr>
                  <a:defRPr sz="800" b="0" i="0" u="none" strike="noStrike" baseline="0">
                    <a:solidFill>
                      <a:srgbClr val="000000"/>
                    </a:solidFill>
                    <a:latin typeface="Arial Cyr"/>
                    <a:ea typeface="Arial Cyr"/>
                    <a:cs typeface="Arial Cyr"/>
                  </a:defRPr>
                </a:pPr>
                <a:r>
                  <a:t>Термін, доба</a:t>
                </a:r>
              </a:p>
            </c:rich>
          </c:tx>
          <c:layout>
            <c:manualLayout>
              <c:xMode val="edge"/>
              <c:yMode val="edge"/>
              <c:x val="0.77544910179640714"/>
              <c:y val="0.76012461059190028"/>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71521152"/>
        <c:crosses val="autoZero"/>
        <c:crossBetween val="midCat"/>
      </c:valAx>
      <c:valAx>
        <c:axId val="471521152"/>
        <c:scaling>
          <c:orientation val="minMax"/>
          <c:max val="1.5"/>
        </c:scaling>
        <c:delete val="0"/>
        <c:axPos val="l"/>
        <c:title>
          <c:tx>
            <c:rich>
              <a:bodyPr/>
              <a:lstStyle/>
              <a:p>
                <a:pPr>
                  <a:defRPr sz="800" b="0" i="0" u="none" strike="noStrike" baseline="0">
                    <a:solidFill>
                      <a:srgbClr val="000000"/>
                    </a:solidFill>
                    <a:latin typeface="Arial Cyr"/>
                    <a:ea typeface="Arial Cyr"/>
                    <a:cs typeface="Arial Cyr"/>
                  </a:defRPr>
                </a:pPr>
                <a:r>
                  <a:t>Вміст імазетапіру, мг/кг</a:t>
                </a:r>
              </a:p>
            </c:rich>
          </c:tx>
          <c:layout>
            <c:manualLayout>
              <c:xMode val="edge"/>
              <c:yMode val="edge"/>
              <c:x val="0"/>
              <c:y val="0.19314641744548286"/>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71519232"/>
        <c:crosses val="autoZero"/>
        <c:crossBetween val="midCat"/>
      </c:valAx>
      <c:spPr>
        <a:solidFill>
          <a:srgbClr val="FFFFFF"/>
        </a:solidFill>
        <a:ln w="25405">
          <a:noFill/>
        </a:ln>
      </c:spPr>
    </c:plotArea>
    <c:legend>
      <c:legendPos val="b"/>
      <c:legendEntry>
        <c:idx val="2"/>
        <c:delete val="1"/>
      </c:legendEntry>
      <c:legendEntry>
        <c:idx val="3"/>
        <c:delete val="1"/>
      </c:legendEntry>
      <c:layout>
        <c:manualLayout>
          <c:xMode val="edge"/>
          <c:yMode val="edge"/>
          <c:x val="0.45808383233532934"/>
          <c:y val="0.83489096573208721"/>
          <c:w val="0.54191616766467066"/>
          <c:h val="0.16822429906542055"/>
        </c:manualLayout>
      </c:layout>
      <c:overlay val="0"/>
      <c:spPr>
        <a:solidFill>
          <a:srgbClr val="FFFFFF"/>
        </a:solidFill>
        <a:ln w="25405">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661921708185"/>
          <c:y val="7.8864353312302835E-2"/>
          <c:w val="0.82562277580071175"/>
          <c:h val="0.65299684542586756"/>
        </c:manualLayout>
      </c:layout>
      <c:scatterChart>
        <c:scatterStyle val="smoothMarker"/>
        <c:varyColors val="0"/>
        <c:ser>
          <c:idx val="0"/>
          <c:order val="0"/>
          <c:tx>
            <c:strRef>
              <c:f>Лист7!$H$1</c:f>
              <c:strCache>
                <c:ptCount val="1"/>
                <c:pt idx="0">
                  <c:v>ДТ-03, в.р.к. (соя)</c:v>
                </c:pt>
              </c:strCache>
            </c:strRef>
          </c:tx>
          <c:spPr>
            <a:ln w="25428">
              <a:solidFill>
                <a:srgbClr val="000000"/>
              </a:solidFill>
              <a:prstDash val="lgDash"/>
            </a:ln>
          </c:spPr>
          <c:marker>
            <c:symbol val="diamond"/>
            <c:size val="7"/>
            <c:spPr>
              <a:solidFill>
                <a:srgbClr val="C0C0C0"/>
              </a:solidFill>
              <a:ln>
                <a:solidFill>
                  <a:srgbClr val="000000"/>
                </a:solidFill>
                <a:prstDash val="solid"/>
              </a:ln>
            </c:spPr>
          </c:marker>
          <c:dPt>
            <c:idx val="4"/>
            <c:marker>
              <c:symbol val="none"/>
            </c:marker>
            <c:bubble3D val="0"/>
          </c:dPt>
          <c:errBars>
            <c:errDir val="y"/>
            <c:errBarType val="both"/>
            <c:errValType val="percentage"/>
            <c:noEndCap val="0"/>
            <c:val val="30"/>
            <c:spPr>
              <a:ln w="12714">
                <a:solidFill>
                  <a:srgbClr val="000000"/>
                </a:solidFill>
                <a:prstDash val="solid"/>
              </a:ln>
            </c:spPr>
          </c:errBars>
          <c:xVal>
            <c:numRef>
              <c:f>Лист7!$G$2:$G$6</c:f>
              <c:numCache>
                <c:formatCode>General</c:formatCode>
                <c:ptCount val="5"/>
                <c:pt idx="0">
                  <c:v>1</c:v>
                </c:pt>
                <c:pt idx="1">
                  <c:v>7</c:v>
                </c:pt>
                <c:pt idx="2">
                  <c:v>14</c:v>
                </c:pt>
                <c:pt idx="3">
                  <c:v>21</c:v>
                </c:pt>
                <c:pt idx="4">
                  <c:v>28</c:v>
                </c:pt>
              </c:numCache>
            </c:numRef>
          </c:xVal>
          <c:yVal>
            <c:numRef>
              <c:f>Лист7!$H$2:$H$6</c:f>
              <c:numCache>
                <c:formatCode>General</c:formatCode>
                <c:ptCount val="5"/>
                <c:pt idx="0">
                  <c:v>0.13</c:v>
                </c:pt>
                <c:pt idx="1">
                  <c:v>0.11</c:v>
                </c:pt>
                <c:pt idx="2">
                  <c:v>0.1</c:v>
                </c:pt>
                <c:pt idx="3">
                  <c:v>0.08</c:v>
                </c:pt>
                <c:pt idx="4">
                  <c:v>0.02</c:v>
                </c:pt>
              </c:numCache>
            </c:numRef>
          </c:yVal>
          <c:smooth val="1"/>
        </c:ser>
        <c:ser>
          <c:idx val="1"/>
          <c:order val="1"/>
          <c:tx>
            <c:strRef>
              <c:f>Лист7!$I$1</c:f>
              <c:strCache>
                <c:ptCount val="1"/>
                <c:pt idx="0">
                  <c:v>Патріот, 10% в.р.к. (соя)</c:v>
                </c:pt>
              </c:strCache>
            </c:strRef>
          </c:tx>
          <c:spPr>
            <a:ln w="12714">
              <a:solidFill>
                <a:srgbClr val="000000"/>
              </a:solidFill>
              <a:prstDash val="lgDash"/>
            </a:ln>
          </c:spPr>
          <c:marker>
            <c:symbol val="square"/>
            <c:size val="7"/>
            <c:spPr>
              <a:solidFill>
                <a:srgbClr val="C0C0C0"/>
              </a:solidFill>
              <a:ln>
                <a:solidFill>
                  <a:srgbClr val="000000"/>
                </a:solidFill>
                <a:prstDash val="solid"/>
              </a:ln>
            </c:spPr>
          </c:marker>
          <c:dPt>
            <c:idx val="4"/>
            <c:marker>
              <c:symbol val="none"/>
            </c:marker>
            <c:bubble3D val="0"/>
          </c:dPt>
          <c:errBars>
            <c:errDir val="y"/>
            <c:errBarType val="both"/>
            <c:errValType val="percentage"/>
            <c:noEndCap val="0"/>
            <c:val val="13"/>
            <c:spPr>
              <a:ln w="12714">
                <a:solidFill>
                  <a:srgbClr val="000000"/>
                </a:solidFill>
                <a:prstDash val="solid"/>
              </a:ln>
            </c:spPr>
          </c:errBars>
          <c:xVal>
            <c:numRef>
              <c:f>Лист7!$G$2:$G$6</c:f>
              <c:numCache>
                <c:formatCode>General</c:formatCode>
                <c:ptCount val="5"/>
                <c:pt idx="0">
                  <c:v>1</c:v>
                </c:pt>
                <c:pt idx="1">
                  <c:v>7</c:v>
                </c:pt>
                <c:pt idx="2">
                  <c:v>14</c:v>
                </c:pt>
                <c:pt idx="3">
                  <c:v>21</c:v>
                </c:pt>
                <c:pt idx="4">
                  <c:v>28</c:v>
                </c:pt>
              </c:numCache>
            </c:numRef>
          </c:xVal>
          <c:yVal>
            <c:numRef>
              <c:f>Лист7!$I$2:$I$6</c:f>
              <c:numCache>
                <c:formatCode>General</c:formatCode>
                <c:ptCount val="5"/>
                <c:pt idx="0">
                  <c:v>0.5</c:v>
                </c:pt>
                <c:pt idx="1">
                  <c:v>0.35</c:v>
                </c:pt>
                <c:pt idx="2">
                  <c:v>0.15</c:v>
                </c:pt>
                <c:pt idx="3">
                  <c:v>0.1</c:v>
                </c:pt>
                <c:pt idx="4">
                  <c:v>2.5000000000000001E-2</c:v>
                </c:pt>
              </c:numCache>
            </c:numRef>
          </c:yVal>
          <c:smooth val="1"/>
        </c:ser>
        <c:ser>
          <c:idx val="2"/>
          <c:order val="2"/>
          <c:tx>
            <c:strRef>
              <c:f>Лист7!$J$1</c:f>
              <c:strCache>
                <c:ptCount val="1"/>
                <c:pt idx="0">
                  <c:v>Півот, 10% в.р.к. (горох)</c:v>
                </c:pt>
              </c:strCache>
            </c:strRef>
          </c:tx>
          <c:spPr>
            <a:ln w="25428">
              <a:solidFill>
                <a:srgbClr val="000000"/>
              </a:solidFill>
              <a:prstDash val="solid"/>
            </a:ln>
          </c:spPr>
          <c:marker>
            <c:symbol val="triangle"/>
            <c:size val="7"/>
            <c:spPr>
              <a:solidFill>
                <a:srgbClr val="C0C0C0"/>
              </a:solidFill>
              <a:ln>
                <a:solidFill>
                  <a:srgbClr val="000000"/>
                </a:solidFill>
                <a:prstDash val="solid"/>
              </a:ln>
            </c:spPr>
          </c:marker>
          <c:dPt>
            <c:idx val="4"/>
            <c:marker>
              <c:symbol val="none"/>
            </c:marker>
            <c:bubble3D val="0"/>
          </c:dPt>
          <c:errBars>
            <c:errDir val="y"/>
            <c:errBarType val="both"/>
            <c:errValType val="percentage"/>
            <c:noEndCap val="0"/>
            <c:val val="15"/>
            <c:spPr>
              <a:ln w="12714">
                <a:solidFill>
                  <a:srgbClr val="000000"/>
                </a:solidFill>
                <a:prstDash val="solid"/>
              </a:ln>
            </c:spPr>
          </c:errBars>
          <c:xVal>
            <c:numRef>
              <c:f>Лист7!$G$2:$G$6</c:f>
              <c:numCache>
                <c:formatCode>General</c:formatCode>
                <c:ptCount val="5"/>
                <c:pt idx="0">
                  <c:v>1</c:v>
                </c:pt>
                <c:pt idx="1">
                  <c:v>7</c:v>
                </c:pt>
                <c:pt idx="2">
                  <c:v>14</c:v>
                </c:pt>
                <c:pt idx="3">
                  <c:v>21</c:v>
                </c:pt>
                <c:pt idx="4">
                  <c:v>28</c:v>
                </c:pt>
              </c:numCache>
            </c:numRef>
          </c:xVal>
          <c:yVal>
            <c:numRef>
              <c:f>Лист7!$J$2:$J$6</c:f>
              <c:numCache>
                <c:formatCode>General</c:formatCode>
                <c:ptCount val="5"/>
                <c:pt idx="0">
                  <c:v>0.55000000000000004</c:v>
                </c:pt>
                <c:pt idx="1">
                  <c:v>0.45</c:v>
                </c:pt>
                <c:pt idx="2">
                  <c:v>0.2</c:v>
                </c:pt>
                <c:pt idx="3">
                  <c:v>0.1</c:v>
                </c:pt>
                <c:pt idx="4">
                  <c:v>0.05</c:v>
                </c:pt>
              </c:numCache>
            </c:numRef>
          </c:yVal>
          <c:smooth val="1"/>
        </c:ser>
        <c:ser>
          <c:idx val="3"/>
          <c:order val="3"/>
          <c:tx>
            <c:strRef>
              <c:f>Лист7!$K$1</c:f>
              <c:strCache>
                <c:ptCount val="1"/>
                <c:pt idx="0">
                  <c:v>Півот, 10% в.р.к. (соя)</c:v>
                </c:pt>
              </c:strCache>
            </c:strRef>
          </c:tx>
          <c:spPr>
            <a:ln w="12714">
              <a:solidFill>
                <a:srgbClr val="000000"/>
              </a:solidFill>
              <a:prstDash val="solid"/>
            </a:ln>
          </c:spPr>
          <c:marker>
            <c:symbol val="circle"/>
            <c:size val="7"/>
            <c:spPr>
              <a:solidFill>
                <a:srgbClr val="C0C0C0"/>
              </a:solidFill>
              <a:ln>
                <a:solidFill>
                  <a:srgbClr val="000000"/>
                </a:solidFill>
                <a:prstDash val="solid"/>
              </a:ln>
            </c:spPr>
          </c:marker>
          <c:dPt>
            <c:idx val="4"/>
            <c:marker>
              <c:symbol val="none"/>
            </c:marker>
            <c:bubble3D val="0"/>
          </c:dPt>
          <c:errBars>
            <c:errDir val="y"/>
            <c:errBarType val="both"/>
            <c:errValType val="percentage"/>
            <c:noEndCap val="0"/>
            <c:val val="10"/>
            <c:spPr>
              <a:ln w="12714">
                <a:solidFill>
                  <a:srgbClr val="000000"/>
                </a:solidFill>
                <a:prstDash val="solid"/>
              </a:ln>
            </c:spPr>
          </c:errBars>
          <c:xVal>
            <c:numRef>
              <c:f>Лист7!$G$2:$G$6</c:f>
              <c:numCache>
                <c:formatCode>General</c:formatCode>
                <c:ptCount val="5"/>
                <c:pt idx="0">
                  <c:v>1</c:v>
                </c:pt>
                <c:pt idx="1">
                  <c:v>7</c:v>
                </c:pt>
                <c:pt idx="2">
                  <c:v>14</c:v>
                </c:pt>
                <c:pt idx="3">
                  <c:v>21</c:v>
                </c:pt>
                <c:pt idx="4">
                  <c:v>28</c:v>
                </c:pt>
              </c:numCache>
            </c:numRef>
          </c:xVal>
          <c:yVal>
            <c:numRef>
              <c:f>Лист7!$K$2:$K$6</c:f>
              <c:numCache>
                <c:formatCode>General</c:formatCode>
                <c:ptCount val="5"/>
                <c:pt idx="0">
                  <c:v>0.6</c:v>
                </c:pt>
                <c:pt idx="1">
                  <c:v>0.5</c:v>
                </c:pt>
                <c:pt idx="2">
                  <c:v>0.35</c:v>
                </c:pt>
                <c:pt idx="3">
                  <c:v>0.1</c:v>
                </c:pt>
                <c:pt idx="4">
                  <c:v>2.5000000000000001E-2</c:v>
                </c:pt>
              </c:numCache>
            </c:numRef>
          </c:yVal>
          <c:smooth val="1"/>
        </c:ser>
        <c:dLbls>
          <c:showLegendKey val="0"/>
          <c:showVal val="0"/>
          <c:showCatName val="0"/>
          <c:showSerName val="0"/>
          <c:showPercent val="0"/>
          <c:showBubbleSize val="0"/>
        </c:dLbls>
        <c:axId val="487152256"/>
        <c:axId val="487170816"/>
      </c:scatterChart>
      <c:valAx>
        <c:axId val="487152256"/>
        <c:scaling>
          <c:orientation val="minMax"/>
        </c:scaling>
        <c:delete val="0"/>
        <c:axPos val="b"/>
        <c:title>
          <c:tx>
            <c:rich>
              <a:bodyPr/>
              <a:lstStyle/>
              <a:p>
                <a:pPr>
                  <a:defRPr sz="801" b="0" i="0" u="none" strike="noStrike" baseline="0">
                    <a:solidFill>
                      <a:srgbClr val="000000"/>
                    </a:solidFill>
                    <a:latin typeface="Arial Cyr"/>
                    <a:ea typeface="Arial Cyr"/>
                    <a:cs typeface="Arial Cyr"/>
                  </a:defRPr>
                </a:pPr>
                <a:r>
                  <a:t>Термін, доба</a:t>
                </a:r>
              </a:p>
            </c:rich>
          </c:tx>
          <c:layout>
            <c:manualLayout>
              <c:xMode val="edge"/>
              <c:yMode val="edge"/>
              <c:x val="0.75800711743772242"/>
              <c:y val="0.79810725552050477"/>
            </c:manualLayout>
          </c:layout>
          <c:overlay val="0"/>
          <c:spPr>
            <a:noFill/>
            <a:ln w="25428">
              <a:noFill/>
            </a:ln>
          </c:spPr>
        </c:title>
        <c:numFmt formatCode="General" sourceLinked="1"/>
        <c:majorTickMark val="out"/>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487170816"/>
        <c:crosses val="autoZero"/>
        <c:crossBetween val="midCat"/>
      </c:valAx>
      <c:valAx>
        <c:axId val="487170816"/>
        <c:scaling>
          <c:orientation val="minMax"/>
        </c:scaling>
        <c:delete val="0"/>
        <c:axPos val="l"/>
        <c:title>
          <c:tx>
            <c:rich>
              <a:bodyPr/>
              <a:lstStyle/>
              <a:p>
                <a:pPr>
                  <a:defRPr sz="801" b="0" i="0" u="none" strike="noStrike" baseline="0">
                    <a:solidFill>
                      <a:srgbClr val="000000"/>
                    </a:solidFill>
                    <a:latin typeface="Arial Cyr"/>
                    <a:ea typeface="Arial Cyr"/>
                    <a:cs typeface="Arial Cyr"/>
                  </a:defRPr>
                </a:pPr>
                <a:r>
                  <a:t>Вміст імазетапіру, мг/кг</a:t>
                </a:r>
              </a:p>
            </c:rich>
          </c:tx>
          <c:layout>
            <c:manualLayout>
              <c:xMode val="edge"/>
              <c:yMode val="edge"/>
              <c:x val="0"/>
              <c:y val="0.20504731861198738"/>
            </c:manualLayout>
          </c:layout>
          <c:overlay val="0"/>
          <c:spPr>
            <a:noFill/>
            <a:ln w="25428">
              <a:noFill/>
            </a:ln>
          </c:spPr>
        </c:title>
        <c:numFmt formatCode="General" sourceLinked="1"/>
        <c:majorTickMark val="out"/>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487152256"/>
        <c:crosses val="autoZero"/>
        <c:crossBetween val="midCat"/>
      </c:valAx>
      <c:spPr>
        <a:noFill/>
        <a:ln w="25428">
          <a:noFill/>
        </a:ln>
      </c:spPr>
    </c:plotArea>
    <c:legend>
      <c:legendPos val="r"/>
      <c:legendEntry>
        <c:idx val="0"/>
        <c:delete val="1"/>
      </c:legendEntry>
      <c:legendEntry>
        <c:idx val="1"/>
        <c:delete val="1"/>
      </c:legendEntry>
      <c:layout>
        <c:manualLayout>
          <c:xMode val="edge"/>
          <c:yMode val="edge"/>
          <c:x val="0"/>
          <c:y val="0.83596214511041012"/>
          <c:w val="0.62277580071174377"/>
          <c:h val="0.16403785488958991"/>
        </c:manualLayout>
      </c:layout>
      <c:overlay val="0"/>
      <c:spPr>
        <a:solidFill>
          <a:srgbClr val="FFFFFF"/>
        </a:solidFill>
        <a:ln w="25428">
          <a:noFill/>
        </a:ln>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8232-A4C8-4AEA-B746-8EA6E862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25</Pages>
  <Words>8221</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624</cp:revision>
  <cp:lastPrinted>2009-02-06T08:36:00Z</cp:lastPrinted>
  <dcterms:created xsi:type="dcterms:W3CDTF">2015-03-22T11:10:00Z</dcterms:created>
  <dcterms:modified xsi:type="dcterms:W3CDTF">2015-08-24T10:24:00Z</dcterms:modified>
</cp:coreProperties>
</file>