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910EF7" w:rsidRDefault="00910EF7" w:rsidP="00910EF7">
      <w:pPr>
        <w:spacing w:line="360" w:lineRule="auto"/>
        <w:jc w:val="center"/>
        <w:rPr>
          <w:b/>
          <w:sz w:val="28"/>
          <w:szCs w:val="28"/>
          <w:lang w:val="uk-UA"/>
        </w:rPr>
      </w:pPr>
    </w:p>
    <w:p w:rsidR="004B5E3F" w:rsidRDefault="004B5E3F" w:rsidP="004B5E3F">
      <w:pPr>
        <w:spacing w:line="360" w:lineRule="auto"/>
        <w:jc w:val="center"/>
        <w:rPr>
          <w:b/>
          <w:sz w:val="28"/>
          <w:szCs w:val="28"/>
          <w:lang w:val="uk-UA"/>
        </w:rPr>
      </w:pPr>
    </w:p>
    <w:p w:rsidR="004B5E3F" w:rsidRPr="00705AB4" w:rsidRDefault="004B5E3F" w:rsidP="004B5E3F">
      <w:pPr>
        <w:spacing w:line="360" w:lineRule="auto"/>
        <w:jc w:val="center"/>
        <w:rPr>
          <w:b/>
          <w:sz w:val="28"/>
          <w:szCs w:val="28"/>
          <w:lang w:val="uk-UA"/>
        </w:rPr>
      </w:pPr>
      <w:r w:rsidRPr="00705AB4">
        <w:rPr>
          <w:b/>
          <w:sz w:val="28"/>
          <w:szCs w:val="28"/>
          <w:lang w:val="uk-UA"/>
        </w:rPr>
        <w:t>АКАДЕМІЯ МЕДИЧНИХ НАУК УКРАЇНИ</w:t>
      </w:r>
    </w:p>
    <w:p w:rsidR="004B5E3F" w:rsidRPr="00705AB4" w:rsidRDefault="004B5E3F" w:rsidP="004B5E3F">
      <w:pPr>
        <w:spacing w:line="360" w:lineRule="auto"/>
        <w:jc w:val="center"/>
        <w:rPr>
          <w:b/>
          <w:sz w:val="28"/>
          <w:szCs w:val="28"/>
          <w:lang w:val="uk-UA"/>
        </w:rPr>
      </w:pPr>
      <w:r w:rsidRPr="00705AB4">
        <w:rPr>
          <w:b/>
          <w:sz w:val="28"/>
          <w:szCs w:val="28"/>
          <w:lang w:val="uk-UA"/>
        </w:rPr>
        <w:t xml:space="preserve">НАЦІОНАЛЬНИЙ НАУКОВИЙ ЦЕНТР </w:t>
      </w:r>
      <w:r w:rsidRPr="00705AB4">
        <w:rPr>
          <w:b/>
          <w:sz w:val="28"/>
          <w:szCs w:val="28"/>
        </w:rPr>
        <w:t>“</w:t>
      </w:r>
      <w:r w:rsidRPr="00705AB4">
        <w:rPr>
          <w:b/>
          <w:sz w:val="28"/>
          <w:szCs w:val="28"/>
          <w:lang w:val="uk-UA"/>
        </w:rPr>
        <w:t>ІНСТИТУТ КАРДІОЛОГІЇ</w:t>
      </w:r>
    </w:p>
    <w:p w:rsidR="004B5E3F" w:rsidRPr="00705AB4" w:rsidRDefault="004B5E3F" w:rsidP="004B5E3F">
      <w:pPr>
        <w:spacing w:line="360" w:lineRule="auto"/>
        <w:jc w:val="center"/>
        <w:rPr>
          <w:b/>
          <w:sz w:val="28"/>
          <w:szCs w:val="28"/>
          <w:lang w:val="uk-UA"/>
        </w:rPr>
      </w:pPr>
      <w:r>
        <w:rPr>
          <w:b/>
          <w:sz w:val="28"/>
          <w:szCs w:val="28"/>
          <w:lang w:val="uk-UA"/>
        </w:rPr>
        <w:t>ІМЕНІ</w:t>
      </w:r>
      <w:r w:rsidRPr="00705AB4">
        <w:rPr>
          <w:b/>
          <w:sz w:val="28"/>
          <w:szCs w:val="28"/>
          <w:lang w:val="uk-UA"/>
        </w:rPr>
        <w:t xml:space="preserve"> АКАДЕМІКА М.Д. СТРАЖЕСКА</w:t>
      </w:r>
      <w:r w:rsidRPr="00705AB4">
        <w:rPr>
          <w:b/>
          <w:sz w:val="28"/>
          <w:szCs w:val="28"/>
        </w:rPr>
        <w:t>”</w:t>
      </w:r>
    </w:p>
    <w:p w:rsidR="004B5E3F" w:rsidRPr="0073693E" w:rsidRDefault="004B5E3F" w:rsidP="004B5E3F">
      <w:pPr>
        <w:spacing w:line="360" w:lineRule="auto"/>
        <w:jc w:val="right"/>
        <w:rPr>
          <w:i/>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r w:rsidRPr="00705AB4">
        <w:rPr>
          <w:b/>
          <w:sz w:val="28"/>
          <w:szCs w:val="28"/>
          <w:lang w:val="uk-UA"/>
        </w:rPr>
        <w:t>КАСПРУК ГАЛИНА БОГДАНІВНА</w:t>
      </w:r>
    </w:p>
    <w:p w:rsidR="004B5E3F" w:rsidRDefault="004B5E3F" w:rsidP="004B5E3F">
      <w:pPr>
        <w:spacing w:line="360" w:lineRule="auto"/>
        <w:jc w:val="center"/>
        <w:rPr>
          <w:sz w:val="28"/>
          <w:szCs w:val="28"/>
          <w:lang w:val="uk-UA"/>
        </w:rPr>
      </w:pPr>
    </w:p>
    <w:p w:rsidR="004B5E3F" w:rsidRPr="00470784" w:rsidRDefault="004B5E3F" w:rsidP="004B5E3F">
      <w:pPr>
        <w:spacing w:line="360" w:lineRule="auto"/>
        <w:jc w:val="right"/>
        <w:rPr>
          <w:b/>
          <w:sz w:val="28"/>
          <w:szCs w:val="28"/>
          <w:lang w:val="uk-UA"/>
        </w:rPr>
      </w:pPr>
      <w:r w:rsidRPr="00470784">
        <w:rPr>
          <w:b/>
          <w:sz w:val="28"/>
          <w:szCs w:val="28"/>
          <w:lang w:val="uk-UA"/>
        </w:rPr>
        <w:t>УДК: 616-008-055-05652: 6161242</w:t>
      </w:r>
    </w:p>
    <w:p w:rsidR="004B5E3F" w:rsidRDefault="004B5E3F" w:rsidP="004B5E3F">
      <w:pPr>
        <w:spacing w:line="360" w:lineRule="auto"/>
        <w:jc w:val="center"/>
        <w:rPr>
          <w:sz w:val="28"/>
          <w:szCs w:val="28"/>
          <w:lang w:val="uk-UA"/>
        </w:rPr>
      </w:pPr>
    </w:p>
    <w:p w:rsidR="004B5E3F" w:rsidRPr="00470784" w:rsidRDefault="004B5E3F" w:rsidP="004B5E3F">
      <w:pPr>
        <w:spacing w:line="360" w:lineRule="auto"/>
        <w:jc w:val="center"/>
        <w:rPr>
          <w:b/>
          <w:sz w:val="28"/>
          <w:szCs w:val="28"/>
          <w:lang w:val="uk-UA"/>
        </w:rPr>
      </w:pPr>
      <w:r w:rsidRPr="00470784">
        <w:rPr>
          <w:b/>
          <w:sz w:val="28"/>
          <w:szCs w:val="28"/>
          <w:lang w:val="uk-UA"/>
        </w:rPr>
        <w:t>ОСОБЛИВОСТІ ГІПЕРТРОФІЇ ЛІВОГО ШЛУНОЧКА У ХВОРИХ АРТЕРІАЛЬНОЮ ГІПЕРТЕНЗІЄЮ З МЕТАБОЛІЧНИМ СИНДРОМОМ В ЗАЛЕЖНОСТІ ВІД СТАТІ, СТУПЕНЯ ОЖИРІННЯ</w:t>
      </w:r>
    </w:p>
    <w:p w:rsidR="004B5E3F" w:rsidRPr="00470784" w:rsidRDefault="004B5E3F" w:rsidP="004B5E3F">
      <w:pPr>
        <w:spacing w:line="360" w:lineRule="auto"/>
        <w:jc w:val="center"/>
        <w:rPr>
          <w:b/>
          <w:sz w:val="28"/>
          <w:szCs w:val="28"/>
          <w:lang w:val="uk-UA"/>
        </w:rPr>
      </w:pPr>
      <w:r w:rsidRPr="00470784">
        <w:rPr>
          <w:b/>
          <w:sz w:val="28"/>
          <w:szCs w:val="28"/>
          <w:lang w:val="uk-UA"/>
        </w:rPr>
        <w:t>ТА ПОРУШЕННЯ ВУГЛЕВОДНОГО ОБМІНУ</w:t>
      </w:r>
    </w:p>
    <w:p w:rsidR="004B5E3F" w:rsidRDefault="004B5E3F" w:rsidP="004B5E3F">
      <w:pPr>
        <w:spacing w:line="360" w:lineRule="auto"/>
        <w:jc w:val="center"/>
        <w:rPr>
          <w:sz w:val="28"/>
          <w:szCs w:val="28"/>
          <w:lang w:val="uk-UA"/>
        </w:rPr>
      </w:pPr>
    </w:p>
    <w:p w:rsidR="004B5E3F" w:rsidRPr="00470784" w:rsidRDefault="004B5E3F" w:rsidP="004B5E3F">
      <w:pPr>
        <w:spacing w:line="360" w:lineRule="auto"/>
        <w:jc w:val="center"/>
        <w:rPr>
          <w:sz w:val="28"/>
          <w:szCs w:val="28"/>
          <w:lang w:val="uk-UA"/>
        </w:rPr>
      </w:pPr>
      <w:r w:rsidRPr="00470784">
        <w:rPr>
          <w:sz w:val="28"/>
          <w:szCs w:val="28"/>
          <w:lang w:val="uk-UA"/>
        </w:rPr>
        <w:t>14.01.11 –</w:t>
      </w:r>
      <w:r>
        <w:rPr>
          <w:sz w:val="28"/>
          <w:szCs w:val="28"/>
          <w:lang w:val="uk-UA"/>
        </w:rPr>
        <w:t xml:space="preserve"> к</w:t>
      </w:r>
      <w:r w:rsidRPr="00470784">
        <w:rPr>
          <w:sz w:val="28"/>
          <w:szCs w:val="28"/>
          <w:lang w:val="uk-UA"/>
        </w:rPr>
        <w:t>ардіологія</w:t>
      </w:r>
    </w:p>
    <w:p w:rsidR="004B5E3F" w:rsidRDefault="004B5E3F" w:rsidP="004B5E3F">
      <w:pPr>
        <w:spacing w:line="360" w:lineRule="auto"/>
        <w:jc w:val="center"/>
        <w:rPr>
          <w:i/>
          <w:sz w:val="28"/>
          <w:szCs w:val="28"/>
          <w:lang w:val="uk-UA"/>
        </w:rPr>
      </w:pPr>
    </w:p>
    <w:p w:rsidR="004B5E3F" w:rsidRDefault="004B5E3F" w:rsidP="004B5E3F">
      <w:pPr>
        <w:spacing w:line="360" w:lineRule="auto"/>
        <w:jc w:val="center"/>
        <w:rPr>
          <w:i/>
          <w:sz w:val="28"/>
          <w:szCs w:val="28"/>
          <w:lang w:val="uk-UA"/>
        </w:rPr>
      </w:pPr>
    </w:p>
    <w:p w:rsidR="004B5E3F" w:rsidRDefault="004B5E3F" w:rsidP="004B5E3F">
      <w:pPr>
        <w:spacing w:line="360" w:lineRule="auto"/>
        <w:jc w:val="center"/>
        <w:rPr>
          <w:i/>
          <w:sz w:val="28"/>
          <w:szCs w:val="28"/>
          <w:lang w:val="uk-UA"/>
        </w:rPr>
      </w:pPr>
    </w:p>
    <w:p w:rsidR="004B5E3F" w:rsidRDefault="004B5E3F" w:rsidP="004B5E3F">
      <w:pPr>
        <w:spacing w:line="360" w:lineRule="auto"/>
        <w:jc w:val="center"/>
        <w:rPr>
          <w:i/>
          <w:sz w:val="28"/>
          <w:szCs w:val="28"/>
          <w:lang w:val="uk-UA"/>
        </w:rPr>
      </w:pPr>
    </w:p>
    <w:p w:rsidR="004B5E3F" w:rsidRDefault="004B5E3F" w:rsidP="004B5E3F">
      <w:pPr>
        <w:spacing w:line="360" w:lineRule="auto"/>
        <w:jc w:val="center"/>
        <w:rPr>
          <w:sz w:val="28"/>
          <w:szCs w:val="28"/>
          <w:lang w:val="uk-UA"/>
        </w:rPr>
      </w:pPr>
      <w:r>
        <w:rPr>
          <w:sz w:val="28"/>
          <w:szCs w:val="28"/>
          <w:lang w:val="uk-UA"/>
        </w:rPr>
        <w:t>Автореферат дисертації</w:t>
      </w:r>
      <w:r w:rsidRPr="00CD4E60">
        <w:rPr>
          <w:sz w:val="28"/>
          <w:szCs w:val="28"/>
          <w:lang w:val="uk-UA"/>
        </w:rPr>
        <w:t xml:space="preserve"> </w:t>
      </w:r>
      <w:r>
        <w:rPr>
          <w:sz w:val="28"/>
          <w:szCs w:val="28"/>
          <w:lang w:val="uk-UA"/>
        </w:rPr>
        <w:t>на здобуття наукового ступеня</w:t>
      </w:r>
      <w:r w:rsidRPr="00CD4E60">
        <w:rPr>
          <w:sz w:val="28"/>
          <w:szCs w:val="28"/>
          <w:lang w:val="uk-UA"/>
        </w:rPr>
        <w:t xml:space="preserve"> </w:t>
      </w:r>
    </w:p>
    <w:p w:rsidR="004B5E3F" w:rsidRDefault="004B5E3F" w:rsidP="004B5E3F">
      <w:pPr>
        <w:spacing w:line="360" w:lineRule="auto"/>
        <w:jc w:val="center"/>
        <w:rPr>
          <w:sz w:val="28"/>
          <w:szCs w:val="28"/>
          <w:lang w:val="uk-UA"/>
        </w:rPr>
      </w:pPr>
      <w:r w:rsidRPr="00CD4E60">
        <w:rPr>
          <w:sz w:val="28"/>
          <w:szCs w:val="28"/>
          <w:lang w:val="uk-UA"/>
        </w:rPr>
        <w:t>кандидата медичних наук</w:t>
      </w: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p>
    <w:p w:rsidR="004B5E3F" w:rsidRDefault="004B5E3F" w:rsidP="004B5E3F">
      <w:pPr>
        <w:spacing w:line="360" w:lineRule="auto"/>
        <w:jc w:val="center"/>
        <w:rPr>
          <w:sz w:val="28"/>
          <w:szCs w:val="28"/>
          <w:lang w:val="uk-UA"/>
        </w:rPr>
      </w:pPr>
      <w:r>
        <w:rPr>
          <w:sz w:val="28"/>
          <w:szCs w:val="28"/>
          <w:lang w:val="uk-UA"/>
        </w:rPr>
        <w:t>Київ - 2008</w:t>
      </w:r>
    </w:p>
    <w:p w:rsidR="004B5E3F" w:rsidRDefault="004B5E3F" w:rsidP="004B5E3F">
      <w:pPr>
        <w:rPr>
          <w:sz w:val="28"/>
          <w:szCs w:val="28"/>
          <w:lang w:val="uk-UA"/>
        </w:rPr>
      </w:pPr>
      <w:r>
        <w:rPr>
          <w:sz w:val="28"/>
          <w:szCs w:val="28"/>
          <w:lang w:val="uk-UA"/>
        </w:rPr>
        <w:t>Дисертацією є рукопис</w:t>
      </w:r>
    </w:p>
    <w:p w:rsidR="004B5E3F" w:rsidRDefault="004B5E3F" w:rsidP="004B5E3F">
      <w:pPr>
        <w:rPr>
          <w:sz w:val="28"/>
          <w:szCs w:val="28"/>
          <w:lang w:val="uk-UA"/>
        </w:rPr>
      </w:pPr>
    </w:p>
    <w:p w:rsidR="004B5E3F" w:rsidRDefault="004B5E3F" w:rsidP="004B5E3F">
      <w:pPr>
        <w:rPr>
          <w:sz w:val="28"/>
          <w:szCs w:val="28"/>
          <w:lang w:val="uk-UA"/>
        </w:rPr>
      </w:pPr>
      <w:r>
        <w:rPr>
          <w:sz w:val="28"/>
          <w:szCs w:val="28"/>
          <w:lang w:val="uk-UA"/>
        </w:rPr>
        <w:t xml:space="preserve">Робота виконана в </w:t>
      </w:r>
      <w:r w:rsidRPr="00AA26C0">
        <w:rPr>
          <w:sz w:val="28"/>
          <w:szCs w:val="28"/>
          <w:lang w:val="uk-UA"/>
        </w:rPr>
        <w:t>Н</w:t>
      </w:r>
      <w:r>
        <w:rPr>
          <w:sz w:val="28"/>
          <w:szCs w:val="28"/>
          <w:lang w:val="uk-UA"/>
        </w:rPr>
        <w:t>аціональному науковому центрі “Інститут кардіології імені</w:t>
      </w:r>
      <w:r w:rsidRPr="00AA26C0">
        <w:rPr>
          <w:sz w:val="28"/>
          <w:szCs w:val="28"/>
          <w:lang w:val="uk-UA"/>
        </w:rPr>
        <w:t xml:space="preserve"> академіка М.Д. Стражеска” АМН України</w:t>
      </w:r>
    </w:p>
    <w:p w:rsidR="004B5E3F" w:rsidRDefault="004B5E3F" w:rsidP="004B5E3F">
      <w:pPr>
        <w:jc w:val="right"/>
        <w:rPr>
          <w:sz w:val="28"/>
          <w:szCs w:val="28"/>
          <w:lang w:val="uk-UA"/>
        </w:rPr>
      </w:pPr>
    </w:p>
    <w:p w:rsidR="004B5E3F" w:rsidRDefault="004B5E3F" w:rsidP="004B5E3F">
      <w:pPr>
        <w:rPr>
          <w:sz w:val="28"/>
          <w:szCs w:val="28"/>
          <w:lang w:val="uk-UA"/>
        </w:rPr>
      </w:pPr>
      <w:r w:rsidRPr="00470784">
        <w:rPr>
          <w:b/>
          <w:sz w:val="28"/>
          <w:szCs w:val="28"/>
          <w:lang w:val="uk-UA"/>
        </w:rPr>
        <w:t>Науковий керівник</w:t>
      </w:r>
      <w:r w:rsidRPr="00470784">
        <w:rPr>
          <w:b/>
          <w:sz w:val="28"/>
          <w:szCs w:val="28"/>
        </w:rPr>
        <w:t>:</w:t>
      </w:r>
      <w:r w:rsidRPr="00470784">
        <w:rPr>
          <w:sz w:val="28"/>
          <w:szCs w:val="28"/>
          <w:lang w:val="uk-UA"/>
        </w:rPr>
        <w:t xml:space="preserve"> </w:t>
      </w:r>
      <w:r>
        <w:rPr>
          <w:sz w:val="28"/>
          <w:szCs w:val="28"/>
          <w:lang w:val="uk-UA"/>
        </w:rPr>
        <w:t>доктор медичних наук, професор</w:t>
      </w:r>
    </w:p>
    <w:p w:rsidR="004B5E3F" w:rsidRDefault="004B5E3F" w:rsidP="004B5E3F">
      <w:pPr>
        <w:rPr>
          <w:b/>
          <w:sz w:val="28"/>
          <w:szCs w:val="28"/>
          <w:lang w:val="uk-UA"/>
        </w:rPr>
      </w:pPr>
      <w:r>
        <w:rPr>
          <w:b/>
          <w:sz w:val="28"/>
          <w:szCs w:val="28"/>
          <w:lang w:val="uk-UA"/>
        </w:rPr>
        <w:t xml:space="preserve"> Мітченко</w:t>
      </w:r>
      <w:r w:rsidRPr="00581FAC">
        <w:rPr>
          <w:b/>
          <w:sz w:val="28"/>
          <w:szCs w:val="28"/>
          <w:lang w:val="uk-UA"/>
        </w:rPr>
        <w:t xml:space="preserve"> Олена Іванівна</w:t>
      </w:r>
      <w:r>
        <w:rPr>
          <w:b/>
          <w:sz w:val="28"/>
          <w:szCs w:val="28"/>
          <w:lang w:val="uk-UA"/>
        </w:rPr>
        <w:t>,</w:t>
      </w:r>
    </w:p>
    <w:p w:rsidR="004B5E3F" w:rsidRDefault="004B5E3F" w:rsidP="004B5E3F">
      <w:pPr>
        <w:rPr>
          <w:sz w:val="28"/>
          <w:szCs w:val="28"/>
          <w:lang w:val="uk-UA"/>
        </w:rPr>
      </w:pPr>
      <w:r w:rsidRPr="00470784">
        <w:rPr>
          <w:sz w:val="28"/>
          <w:szCs w:val="28"/>
          <w:lang w:val="uk-UA"/>
        </w:rPr>
        <w:t xml:space="preserve"> </w:t>
      </w:r>
      <w:r w:rsidRPr="00AA26C0">
        <w:rPr>
          <w:sz w:val="28"/>
          <w:szCs w:val="28"/>
          <w:lang w:val="uk-UA"/>
        </w:rPr>
        <w:t>Н</w:t>
      </w:r>
      <w:r>
        <w:rPr>
          <w:sz w:val="28"/>
          <w:szCs w:val="28"/>
          <w:lang w:val="uk-UA"/>
        </w:rPr>
        <w:t>аціональний науковий центр “Інститут кардіології імені</w:t>
      </w:r>
      <w:r w:rsidRPr="00AA26C0">
        <w:rPr>
          <w:sz w:val="28"/>
          <w:szCs w:val="28"/>
          <w:lang w:val="uk-UA"/>
        </w:rPr>
        <w:t xml:space="preserve"> академіка </w:t>
      </w:r>
    </w:p>
    <w:p w:rsidR="004B5E3F" w:rsidRDefault="004B5E3F" w:rsidP="004B5E3F">
      <w:pPr>
        <w:rPr>
          <w:sz w:val="28"/>
          <w:szCs w:val="28"/>
          <w:lang w:val="uk-UA"/>
        </w:rPr>
      </w:pPr>
      <w:r w:rsidRPr="00AA26C0">
        <w:rPr>
          <w:sz w:val="28"/>
          <w:szCs w:val="28"/>
          <w:lang w:val="uk-UA"/>
        </w:rPr>
        <w:t>М.Д. Стражеска” АМН України</w:t>
      </w:r>
      <w:r>
        <w:rPr>
          <w:sz w:val="28"/>
          <w:szCs w:val="28"/>
          <w:lang w:val="uk-UA"/>
        </w:rPr>
        <w:t>, завідуюча відділом дисліпідемій</w:t>
      </w:r>
    </w:p>
    <w:p w:rsidR="004B5E3F" w:rsidRDefault="004B5E3F" w:rsidP="004B5E3F">
      <w:pPr>
        <w:rPr>
          <w:sz w:val="28"/>
          <w:szCs w:val="28"/>
          <w:lang w:val="uk-UA"/>
        </w:rPr>
      </w:pPr>
    </w:p>
    <w:p w:rsidR="004B5E3F" w:rsidRDefault="004B5E3F" w:rsidP="004B5E3F">
      <w:pPr>
        <w:rPr>
          <w:b/>
          <w:sz w:val="28"/>
          <w:szCs w:val="28"/>
          <w:lang w:val="uk-UA"/>
        </w:rPr>
      </w:pPr>
      <w:r>
        <w:rPr>
          <w:b/>
          <w:sz w:val="28"/>
          <w:szCs w:val="28"/>
          <w:lang w:val="uk-UA"/>
        </w:rPr>
        <w:t>Офіційні опоненти:</w:t>
      </w:r>
    </w:p>
    <w:p w:rsidR="004B5E3F" w:rsidRDefault="004B5E3F" w:rsidP="004B5E3F">
      <w:pPr>
        <w:rPr>
          <w:sz w:val="28"/>
          <w:szCs w:val="28"/>
          <w:lang w:val="uk-UA"/>
        </w:rPr>
      </w:pPr>
      <w:r>
        <w:rPr>
          <w:sz w:val="28"/>
          <w:szCs w:val="28"/>
          <w:lang w:val="uk-UA"/>
        </w:rPr>
        <w:t xml:space="preserve">доктор медичних наук, професор </w:t>
      </w:r>
      <w:r w:rsidRPr="00470784">
        <w:rPr>
          <w:b/>
          <w:sz w:val="28"/>
          <w:szCs w:val="28"/>
          <w:lang w:val="uk-UA"/>
        </w:rPr>
        <w:t>Сіренко Юрій Миколайович</w:t>
      </w:r>
      <w:r>
        <w:rPr>
          <w:sz w:val="28"/>
          <w:szCs w:val="28"/>
          <w:lang w:val="uk-UA"/>
        </w:rPr>
        <w:t>,</w:t>
      </w:r>
    </w:p>
    <w:p w:rsidR="004B5E3F" w:rsidRDefault="004B5E3F" w:rsidP="004B5E3F">
      <w:pPr>
        <w:rPr>
          <w:sz w:val="28"/>
          <w:szCs w:val="28"/>
          <w:lang w:val="uk-UA"/>
        </w:rPr>
      </w:pPr>
      <w:r w:rsidRPr="00470784">
        <w:rPr>
          <w:sz w:val="28"/>
          <w:szCs w:val="28"/>
          <w:lang w:val="uk-UA"/>
        </w:rPr>
        <w:t xml:space="preserve"> </w:t>
      </w:r>
      <w:r w:rsidRPr="00AA26C0">
        <w:rPr>
          <w:sz w:val="28"/>
          <w:szCs w:val="28"/>
          <w:lang w:val="uk-UA"/>
        </w:rPr>
        <w:t>Н</w:t>
      </w:r>
      <w:r>
        <w:rPr>
          <w:sz w:val="28"/>
          <w:szCs w:val="28"/>
          <w:lang w:val="uk-UA"/>
        </w:rPr>
        <w:t>аціональний науковий центр “Інститут кардіології імені</w:t>
      </w:r>
      <w:r w:rsidRPr="00AA26C0">
        <w:rPr>
          <w:sz w:val="28"/>
          <w:szCs w:val="28"/>
          <w:lang w:val="uk-UA"/>
        </w:rPr>
        <w:t xml:space="preserve"> академіка </w:t>
      </w:r>
    </w:p>
    <w:p w:rsidR="004B5E3F" w:rsidRDefault="004B5E3F" w:rsidP="004B5E3F">
      <w:pPr>
        <w:rPr>
          <w:sz w:val="28"/>
          <w:szCs w:val="28"/>
          <w:lang w:val="uk-UA"/>
        </w:rPr>
      </w:pPr>
      <w:r w:rsidRPr="00AA26C0">
        <w:rPr>
          <w:sz w:val="28"/>
          <w:szCs w:val="28"/>
          <w:lang w:val="uk-UA"/>
        </w:rPr>
        <w:t>М.Д. Стражеска” АМН України</w:t>
      </w:r>
      <w:r>
        <w:rPr>
          <w:sz w:val="28"/>
          <w:szCs w:val="28"/>
          <w:lang w:val="uk-UA"/>
        </w:rPr>
        <w:t>,</w:t>
      </w:r>
      <w:r w:rsidRPr="00470784">
        <w:rPr>
          <w:sz w:val="28"/>
          <w:szCs w:val="28"/>
          <w:lang w:val="uk-UA"/>
        </w:rPr>
        <w:t xml:space="preserve"> </w:t>
      </w:r>
      <w:r>
        <w:rPr>
          <w:sz w:val="28"/>
          <w:szCs w:val="28"/>
          <w:lang w:val="uk-UA"/>
        </w:rPr>
        <w:t xml:space="preserve">завідуючий відділом симптоматичних гіпертензій </w:t>
      </w:r>
    </w:p>
    <w:p w:rsidR="004B5E3F" w:rsidRDefault="004B5E3F" w:rsidP="004B5E3F">
      <w:pPr>
        <w:rPr>
          <w:b/>
          <w:sz w:val="28"/>
          <w:szCs w:val="28"/>
          <w:lang w:val="uk-UA"/>
        </w:rPr>
      </w:pPr>
      <w:r>
        <w:rPr>
          <w:sz w:val="28"/>
          <w:szCs w:val="28"/>
          <w:lang w:val="uk-UA"/>
        </w:rPr>
        <w:t>доктор медичних наук, професор</w:t>
      </w:r>
      <w:r w:rsidRPr="00FC700F">
        <w:rPr>
          <w:b/>
          <w:sz w:val="28"/>
          <w:szCs w:val="28"/>
          <w:lang w:val="uk-UA"/>
        </w:rPr>
        <w:t xml:space="preserve"> </w:t>
      </w:r>
      <w:r w:rsidRPr="00865109">
        <w:rPr>
          <w:b/>
          <w:sz w:val="28"/>
          <w:szCs w:val="28"/>
          <w:lang w:val="uk-UA"/>
        </w:rPr>
        <w:t>Ковальова Ольга Миколаївна</w:t>
      </w:r>
      <w:r>
        <w:rPr>
          <w:b/>
          <w:sz w:val="28"/>
          <w:szCs w:val="28"/>
          <w:lang w:val="uk-UA"/>
        </w:rPr>
        <w:t>,</w:t>
      </w:r>
    </w:p>
    <w:p w:rsidR="004B5E3F" w:rsidRDefault="004B5E3F" w:rsidP="004B5E3F">
      <w:pPr>
        <w:ind w:right="-720"/>
        <w:rPr>
          <w:sz w:val="28"/>
          <w:szCs w:val="28"/>
          <w:lang w:val="uk-UA"/>
        </w:rPr>
      </w:pPr>
      <w:r>
        <w:rPr>
          <w:sz w:val="28"/>
          <w:szCs w:val="28"/>
          <w:lang w:val="uk-UA"/>
        </w:rPr>
        <w:t>Харківський</w:t>
      </w:r>
      <w:r w:rsidRPr="00FC700F">
        <w:rPr>
          <w:sz w:val="28"/>
          <w:szCs w:val="28"/>
          <w:lang w:val="uk-UA"/>
        </w:rPr>
        <w:t xml:space="preserve"> </w:t>
      </w:r>
      <w:r w:rsidRPr="00BA2495">
        <w:rPr>
          <w:sz w:val="28"/>
          <w:szCs w:val="28"/>
          <w:lang w:val="uk-UA"/>
        </w:rPr>
        <w:t>національн</w:t>
      </w:r>
      <w:r>
        <w:rPr>
          <w:sz w:val="28"/>
          <w:szCs w:val="28"/>
          <w:lang w:val="uk-UA"/>
        </w:rPr>
        <w:t>ий</w:t>
      </w:r>
      <w:r w:rsidRPr="00BA2495">
        <w:rPr>
          <w:sz w:val="28"/>
          <w:szCs w:val="28"/>
          <w:lang w:val="uk-UA"/>
        </w:rPr>
        <w:t xml:space="preserve"> медичн</w:t>
      </w:r>
      <w:r>
        <w:rPr>
          <w:sz w:val="28"/>
          <w:szCs w:val="28"/>
          <w:lang w:val="uk-UA"/>
        </w:rPr>
        <w:t>ий</w:t>
      </w:r>
      <w:r w:rsidRPr="00FC700F">
        <w:rPr>
          <w:sz w:val="28"/>
          <w:szCs w:val="28"/>
          <w:lang w:val="uk-UA"/>
        </w:rPr>
        <w:t xml:space="preserve"> </w:t>
      </w:r>
      <w:r w:rsidRPr="00BA2495">
        <w:rPr>
          <w:sz w:val="28"/>
          <w:szCs w:val="28"/>
          <w:lang w:val="uk-UA"/>
        </w:rPr>
        <w:t>університет</w:t>
      </w:r>
      <w:r>
        <w:rPr>
          <w:sz w:val="28"/>
          <w:szCs w:val="28"/>
          <w:lang w:val="uk-UA"/>
        </w:rPr>
        <w:t>, завідуюча кафедрою</w:t>
      </w:r>
      <w:r w:rsidRPr="00FC700F">
        <w:rPr>
          <w:sz w:val="28"/>
          <w:szCs w:val="28"/>
          <w:lang w:val="uk-UA"/>
        </w:rPr>
        <w:t xml:space="preserve"> </w:t>
      </w:r>
      <w:r w:rsidRPr="00BA2495">
        <w:rPr>
          <w:sz w:val="28"/>
          <w:szCs w:val="28"/>
          <w:lang w:val="uk-UA"/>
        </w:rPr>
        <w:t xml:space="preserve">пропедевтики </w:t>
      </w:r>
      <w:r>
        <w:rPr>
          <w:sz w:val="28"/>
          <w:szCs w:val="28"/>
          <w:lang w:val="uk-UA"/>
        </w:rPr>
        <w:t>внутр</w:t>
      </w:r>
      <w:r>
        <w:rPr>
          <w:sz w:val="28"/>
          <w:szCs w:val="28"/>
        </w:rPr>
        <w:t>i</w:t>
      </w:r>
      <w:r w:rsidRPr="00BA2495">
        <w:rPr>
          <w:sz w:val="28"/>
          <w:szCs w:val="28"/>
          <w:lang w:val="uk-UA"/>
        </w:rPr>
        <w:t>шньої</w:t>
      </w:r>
      <w:r w:rsidRPr="00FC700F">
        <w:rPr>
          <w:sz w:val="28"/>
          <w:szCs w:val="28"/>
          <w:lang w:val="uk-UA"/>
        </w:rPr>
        <w:t xml:space="preserve"> </w:t>
      </w:r>
      <w:r w:rsidRPr="00BA2495">
        <w:rPr>
          <w:sz w:val="28"/>
          <w:szCs w:val="28"/>
          <w:lang w:val="uk-UA"/>
        </w:rPr>
        <w:t xml:space="preserve">медицини № 1 </w:t>
      </w:r>
    </w:p>
    <w:p w:rsidR="004B5E3F" w:rsidRPr="00BA2495" w:rsidRDefault="004B5E3F" w:rsidP="004B5E3F">
      <w:pPr>
        <w:ind w:right="-720"/>
        <w:rPr>
          <w:sz w:val="28"/>
          <w:szCs w:val="28"/>
          <w:lang w:val="uk-UA"/>
        </w:rPr>
      </w:pPr>
    </w:p>
    <w:p w:rsidR="004B5E3F" w:rsidRDefault="004B5E3F" w:rsidP="004B5E3F">
      <w:pPr>
        <w:rPr>
          <w:sz w:val="28"/>
          <w:szCs w:val="28"/>
          <w:lang w:val="uk-UA"/>
        </w:rPr>
      </w:pPr>
    </w:p>
    <w:p w:rsidR="004B5E3F" w:rsidRDefault="004B5E3F" w:rsidP="004B5E3F">
      <w:pPr>
        <w:jc w:val="both"/>
        <w:rPr>
          <w:sz w:val="28"/>
          <w:szCs w:val="28"/>
          <w:lang w:val="uk-UA"/>
        </w:rPr>
      </w:pPr>
      <w:r>
        <w:rPr>
          <w:sz w:val="28"/>
          <w:szCs w:val="28"/>
          <w:lang w:val="uk-UA"/>
        </w:rPr>
        <w:t xml:space="preserve">Захист відбудеться </w:t>
      </w:r>
      <w:r w:rsidRPr="003E4C05">
        <w:rPr>
          <w:bCs/>
          <w:sz w:val="28"/>
          <w:szCs w:val="28"/>
          <w:lang w:val="uk-UA"/>
        </w:rPr>
        <w:t>«</w:t>
      </w:r>
      <w:r w:rsidRPr="00865109">
        <w:rPr>
          <w:sz w:val="28"/>
          <w:szCs w:val="28"/>
          <w:u w:val="single"/>
          <w:lang w:val="uk-UA"/>
        </w:rPr>
        <w:t xml:space="preserve"> 30 </w:t>
      </w:r>
      <w:r w:rsidRPr="003E4C05">
        <w:rPr>
          <w:bCs/>
          <w:sz w:val="28"/>
          <w:szCs w:val="28"/>
          <w:u w:val="single"/>
          <w:lang w:val="uk-UA"/>
        </w:rPr>
        <w:t>»</w:t>
      </w:r>
      <w:r w:rsidRPr="00865109">
        <w:rPr>
          <w:bCs/>
          <w:sz w:val="28"/>
          <w:szCs w:val="28"/>
          <w:u w:val="single"/>
          <w:lang w:val="uk-UA"/>
        </w:rPr>
        <w:t xml:space="preserve"> вересня</w:t>
      </w:r>
      <w:r w:rsidRPr="00865109">
        <w:rPr>
          <w:bCs/>
          <w:sz w:val="28"/>
          <w:szCs w:val="28"/>
          <w:lang w:val="uk-UA"/>
        </w:rPr>
        <w:t xml:space="preserve"> </w:t>
      </w:r>
      <w:r w:rsidRPr="00865109">
        <w:rPr>
          <w:sz w:val="28"/>
          <w:szCs w:val="28"/>
          <w:lang w:val="uk-UA"/>
        </w:rPr>
        <w:t xml:space="preserve">2008 р. о </w:t>
      </w:r>
      <w:r>
        <w:rPr>
          <w:sz w:val="28"/>
          <w:szCs w:val="28"/>
          <w:lang w:val="uk-UA"/>
        </w:rPr>
        <w:t>10</w:t>
      </w:r>
      <w:r w:rsidRPr="00865109">
        <w:rPr>
          <w:sz w:val="28"/>
          <w:szCs w:val="28"/>
          <w:vertAlign w:val="superscript"/>
          <w:lang w:val="uk-UA"/>
        </w:rPr>
        <w:t>00</w:t>
      </w:r>
      <w:r w:rsidRPr="00865109">
        <w:rPr>
          <w:sz w:val="28"/>
          <w:szCs w:val="28"/>
          <w:lang w:val="uk-UA"/>
        </w:rPr>
        <w:t xml:space="preserve"> годині на засіданні спеціалізованої вченої ради Д.26.616.01 при Національн</w:t>
      </w:r>
      <w:r>
        <w:rPr>
          <w:sz w:val="28"/>
          <w:szCs w:val="28"/>
          <w:lang w:val="uk-UA"/>
        </w:rPr>
        <w:t>ому науковому центрі “Інститут кардіології імені</w:t>
      </w:r>
      <w:r w:rsidRPr="00AA26C0">
        <w:rPr>
          <w:sz w:val="28"/>
          <w:szCs w:val="28"/>
          <w:lang w:val="uk-UA"/>
        </w:rPr>
        <w:t xml:space="preserve"> академіка</w:t>
      </w:r>
      <w:r>
        <w:rPr>
          <w:sz w:val="28"/>
          <w:szCs w:val="28"/>
          <w:lang w:val="uk-UA"/>
        </w:rPr>
        <w:t xml:space="preserve"> </w:t>
      </w:r>
      <w:r w:rsidRPr="00AA26C0">
        <w:rPr>
          <w:sz w:val="28"/>
          <w:szCs w:val="28"/>
          <w:lang w:val="uk-UA"/>
        </w:rPr>
        <w:t>М.Д. Стражеска” АМН України</w:t>
      </w:r>
      <w:r>
        <w:rPr>
          <w:sz w:val="28"/>
          <w:szCs w:val="28"/>
          <w:lang w:val="uk-UA"/>
        </w:rPr>
        <w:t xml:space="preserve"> (03680 МСП, м. Київ, вул.. Народного Ополчення, 5)</w:t>
      </w:r>
    </w:p>
    <w:p w:rsidR="004B5E3F" w:rsidRDefault="004B5E3F" w:rsidP="004B5E3F">
      <w:pPr>
        <w:jc w:val="both"/>
        <w:rPr>
          <w:sz w:val="28"/>
          <w:szCs w:val="28"/>
          <w:lang w:val="uk-UA"/>
        </w:rPr>
      </w:pPr>
    </w:p>
    <w:p w:rsidR="004B5E3F" w:rsidRDefault="004B5E3F" w:rsidP="004B5E3F">
      <w:pPr>
        <w:jc w:val="both"/>
        <w:rPr>
          <w:sz w:val="28"/>
          <w:szCs w:val="28"/>
          <w:lang w:val="uk-UA"/>
        </w:rPr>
      </w:pPr>
    </w:p>
    <w:p w:rsidR="004B5E3F" w:rsidRDefault="004B5E3F" w:rsidP="004B5E3F">
      <w:pPr>
        <w:jc w:val="both"/>
        <w:rPr>
          <w:sz w:val="28"/>
          <w:szCs w:val="28"/>
          <w:lang w:val="uk-UA"/>
        </w:rPr>
      </w:pPr>
      <w:r>
        <w:rPr>
          <w:sz w:val="28"/>
          <w:szCs w:val="28"/>
          <w:lang w:val="uk-UA"/>
        </w:rPr>
        <w:t xml:space="preserve">З дисертацією можна ознайомитися у бібліотеці </w:t>
      </w:r>
      <w:r w:rsidRPr="00865109">
        <w:rPr>
          <w:sz w:val="28"/>
          <w:szCs w:val="28"/>
          <w:lang w:val="uk-UA"/>
        </w:rPr>
        <w:t>Національн</w:t>
      </w:r>
      <w:r>
        <w:rPr>
          <w:sz w:val="28"/>
          <w:szCs w:val="28"/>
          <w:lang w:val="uk-UA"/>
        </w:rPr>
        <w:t>ого наукового центру “Інститут кардіології імені</w:t>
      </w:r>
      <w:r w:rsidRPr="00AA26C0">
        <w:rPr>
          <w:sz w:val="28"/>
          <w:szCs w:val="28"/>
          <w:lang w:val="uk-UA"/>
        </w:rPr>
        <w:t xml:space="preserve"> академіка</w:t>
      </w:r>
      <w:r>
        <w:rPr>
          <w:sz w:val="28"/>
          <w:szCs w:val="28"/>
          <w:lang w:val="uk-UA"/>
        </w:rPr>
        <w:t xml:space="preserve"> </w:t>
      </w:r>
      <w:r w:rsidRPr="00AA26C0">
        <w:rPr>
          <w:sz w:val="28"/>
          <w:szCs w:val="28"/>
          <w:lang w:val="uk-UA"/>
        </w:rPr>
        <w:t>М.Д. Стражеска” АМН України</w:t>
      </w:r>
      <w:r>
        <w:rPr>
          <w:sz w:val="28"/>
          <w:szCs w:val="28"/>
          <w:lang w:val="uk-UA"/>
        </w:rPr>
        <w:t xml:space="preserve"> (03680 МСП, м. Київ, вул.. Народного Ополчення, 5)</w:t>
      </w:r>
    </w:p>
    <w:p w:rsidR="004B5E3F" w:rsidRDefault="004B5E3F" w:rsidP="004B5E3F">
      <w:pPr>
        <w:jc w:val="both"/>
        <w:rPr>
          <w:sz w:val="28"/>
          <w:szCs w:val="28"/>
          <w:lang w:val="uk-UA"/>
        </w:rPr>
      </w:pPr>
    </w:p>
    <w:p w:rsidR="004B5E3F" w:rsidRDefault="004B5E3F" w:rsidP="004B5E3F">
      <w:pPr>
        <w:jc w:val="both"/>
        <w:rPr>
          <w:sz w:val="28"/>
          <w:szCs w:val="28"/>
          <w:lang w:val="uk-UA"/>
        </w:rPr>
      </w:pPr>
    </w:p>
    <w:p w:rsidR="004B5E3F" w:rsidRDefault="004B5E3F" w:rsidP="004B5E3F">
      <w:pPr>
        <w:jc w:val="both"/>
        <w:rPr>
          <w:sz w:val="28"/>
          <w:szCs w:val="28"/>
          <w:lang w:val="uk-UA"/>
        </w:rPr>
      </w:pPr>
      <w:r w:rsidRPr="00865109">
        <w:rPr>
          <w:sz w:val="28"/>
          <w:szCs w:val="28"/>
          <w:lang w:val="uk-UA"/>
        </w:rPr>
        <w:t>Автореферат розісланий</w:t>
      </w:r>
      <w:r>
        <w:rPr>
          <w:sz w:val="28"/>
          <w:szCs w:val="28"/>
          <w:lang w:val="uk-UA"/>
        </w:rPr>
        <w:t xml:space="preserve"> </w:t>
      </w:r>
      <w:r w:rsidRPr="00865109">
        <w:rPr>
          <w:bCs/>
          <w:sz w:val="28"/>
          <w:szCs w:val="28"/>
          <w:u w:val="single"/>
        </w:rPr>
        <w:t>«</w:t>
      </w:r>
      <w:r w:rsidRPr="00865109">
        <w:rPr>
          <w:sz w:val="28"/>
          <w:szCs w:val="28"/>
          <w:u w:val="single"/>
          <w:lang w:val="uk-UA"/>
        </w:rPr>
        <w:t xml:space="preserve"> 28 </w:t>
      </w:r>
      <w:r w:rsidRPr="00865109">
        <w:rPr>
          <w:bCs/>
          <w:sz w:val="28"/>
          <w:szCs w:val="28"/>
          <w:u w:val="single"/>
        </w:rPr>
        <w:t>»</w:t>
      </w:r>
      <w:r w:rsidRPr="00865109">
        <w:rPr>
          <w:bCs/>
          <w:sz w:val="28"/>
          <w:szCs w:val="28"/>
          <w:u w:val="single"/>
          <w:lang w:val="uk-UA"/>
        </w:rPr>
        <w:t xml:space="preserve"> серпня</w:t>
      </w:r>
      <w:r w:rsidRPr="00865109">
        <w:rPr>
          <w:bCs/>
          <w:sz w:val="28"/>
          <w:szCs w:val="28"/>
          <w:lang w:val="uk-UA"/>
        </w:rPr>
        <w:t xml:space="preserve"> </w:t>
      </w:r>
      <w:r w:rsidRPr="00865109">
        <w:rPr>
          <w:sz w:val="28"/>
          <w:szCs w:val="28"/>
          <w:lang w:val="uk-UA"/>
        </w:rPr>
        <w:t>2008 р.</w:t>
      </w:r>
    </w:p>
    <w:p w:rsidR="004B5E3F" w:rsidRDefault="004B5E3F" w:rsidP="004B5E3F">
      <w:pPr>
        <w:rPr>
          <w:sz w:val="28"/>
          <w:szCs w:val="28"/>
          <w:lang w:val="uk-UA"/>
        </w:rPr>
      </w:pPr>
    </w:p>
    <w:p w:rsidR="004B5E3F" w:rsidRDefault="004B5E3F" w:rsidP="004B5E3F">
      <w:pPr>
        <w:rPr>
          <w:sz w:val="28"/>
          <w:szCs w:val="28"/>
          <w:lang w:val="uk-UA"/>
        </w:rPr>
      </w:pPr>
    </w:p>
    <w:p w:rsidR="004B5E3F" w:rsidRDefault="004B5E3F" w:rsidP="004B5E3F">
      <w:pPr>
        <w:rPr>
          <w:sz w:val="28"/>
          <w:szCs w:val="28"/>
          <w:lang w:val="uk-UA"/>
        </w:rPr>
      </w:pPr>
    </w:p>
    <w:p w:rsidR="004B5E3F" w:rsidRDefault="004B5E3F" w:rsidP="004B5E3F">
      <w:pPr>
        <w:rPr>
          <w:sz w:val="28"/>
          <w:szCs w:val="28"/>
          <w:lang w:val="uk-UA"/>
        </w:rPr>
      </w:pPr>
    </w:p>
    <w:p w:rsidR="004B5E3F" w:rsidRDefault="004B5E3F" w:rsidP="004B5E3F">
      <w:pPr>
        <w:rPr>
          <w:sz w:val="28"/>
          <w:szCs w:val="28"/>
          <w:lang w:val="uk-UA"/>
        </w:rPr>
      </w:pPr>
    </w:p>
    <w:p w:rsidR="004B5E3F" w:rsidRDefault="004B5E3F" w:rsidP="004B5E3F">
      <w:pPr>
        <w:rPr>
          <w:sz w:val="28"/>
          <w:szCs w:val="28"/>
          <w:lang w:val="uk-UA"/>
        </w:rPr>
      </w:pPr>
    </w:p>
    <w:p w:rsidR="004B5E3F" w:rsidRDefault="004B5E3F" w:rsidP="004B5E3F">
      <w:pPr>
        <w:rPr>
          <w:sz w:val="28"/>
          <w:szCs w:val="28"/>
          <w:u w:val="single"/>
          <w:lang w:val="uk-UA"/>
        </w:rPr>
      </w:pPr>
      <w:r w:rsidRPr="00865109">
        <w:rPr>
          <w:sz w:val="28"/>
          <w:szCs w:val="28"/>
          <w:lang w:val="uk-UA"/>
        </w:rPr>
        <w:t>Вчений секретар</w:t>
      </w:r>
      <w:r>
        <w:rPr>
          <w:sz w:val="28"/>
          <w:szCs w:val="28"/>
          <w:u w:val="single"/>
          <w:lang w:val="uk-UA"/>
        </w:rPr>
        <w:t xml:space="preserve"> </w:t>
      </w:r>
    </w:p>
    <w:p w:rsidR="004B5E3F" w:rsidRDefault="004B5E3F" w:rsidP="004B5E3F">
      <w:pPr>
        <w:rPr>
          <w:sz w:val="28"/>
          <w:szCs w:val="28"/>
          <w:u w:val="single"/>
          <w:lang w:val="uk-UA"/>
        </w:rPr>
      </w:pPr>
      <w:r w:rsidRPr="00865109">
        <w:rPr>
          <w:sz w:val="28"/>
          <w:szCs w:val="28"/>
          <w:lang w:val="uk-UA"/>
        </w:rPr>
        <w:t>спеціалізованої вченої ради</w:t>
      </w:r>
      <w:r>
        <w:rPr>
          <w:sz w:val="28"/>
          <w:szCs w:val="28"/>
          <w:lang w:val="uk-UA"/>
        </w:rPr>
        <w:t xml:space="preserve">                                                               С.І. Деяк</w:t>
      </w:r>
    </w:p>
    <w:p w:rsidR="004B5E3F" w:rsidRDefault="004B5E3F" w:rsidP="004B5E3F">
      <w:pPr>
        <w:spacing w:line="360" w:lineRule="auto"/>
        <w:rPr>
          <w:sz w:val="28"/>
          <w:szCs w:val="28"/>
          <w:u w:val="single"/>
          <w:lang w:val="uk-UA"/>
        </w:rPr>
      </w:pPr>
    </w:p>
    <w:p w:rsidR="004B5E3F" w:rsidRDefault="004B5E3F" w:rsidP="004B5E3F">
      <w:pPr>
        <w:spacing w:line="360" w:lineRule="auto"/>
        <w:rPr>
          <w:sz w:val="28"/>
          <w:szCs w:val="28"/>
          <w:u w:val="single"/>
          <w:lang w:val="uk-UA"/>
        </w:rPr>
      </w:pPr>
    </w:p>
    <w:p w:rsidR="004B5E3F" w:rsidRPr="00470784" w:rsidRDefault="004B5E3F" w:rsidP="004B5E3F">
      <w:pPr>
        <w:spacing w:line="360" w:lineRule="auto"/>
        <w:rPr>
          <w:sz w:val="28"/>
          <w:szCs w:val="28"/>
          <w:u w:val="single"/>
          <w:lang w:val="uk-UA"/>
        </w:rPr>
      </w:pPr>
    </w:p>
    <w:p w:rsidR="004B5E3F" w:rsidRPr="00AA26C0" w:rsidRDefault="004B5E3F" w:rsidP="004B5E3F">
      <w:pPr>
        <w:jc w:val="center"/>
        <w:rPr>
          <w:b/>
          <w:sz w:val="28"/>
          <w:szCs w:val="28"/>
          <w:lang w:val="uk-UA"/>
        </w:rPr>
      </w:pPr>
      <w:r w:rsidRPr="00FB3B65">
        <w:rPr>
          <w:b/>
          <w:sz w:val="28"/>
          <w:szCs w:val="28"/>
          <w:lang w:val="uk-UA"/>
        </w:rPr>
        <w:object w:dxaOrig="9354" w:dyaOrig="14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724.7pt">
            <v:imagedata r:id="rId10" o:title=""/>
          </v:shape>
        </w:object>
      </w:r>
      <w:r w:rsidRPr="00AA26C0">
        <w:rPr>
          <w:b/>
          <w:sz w:val="28"/>
          <w:szCs w:val="28"/>
          <w:lang w:val="uk-UA"/>
        </w:rPr>
        <w:t>ЗАГАЛЬНА ХАРАКТЕРИСТИКА РОБОТИ</w:t>
      </w:r>
      <w:r>
        <w:rPr>
          <w:b/>
          <w:sz w:val="28"/>
          <w:szCs w:val="28"/>
          <w:lang w:val="uk-UA"/>
        </w:rPr>
        <w:t xml:space="preserve"> </w:t>
      </w:r>
    </w:p>
    <w:p w:rsidR="004B5E3F" w:rsidRPr="00656652" w:rsidRDefault="004B5E3F" w:rsidP="004B5E3F">
      <w:pPr>
        <w:pStyle w:val="afffffffff2"/>
        <w:spacing w:line="340" w:lineRule="exact"/>
        <w:ind w:left="-181" w:firstLine="721"/>
        <w:jc w:val="both"/>
        <w:rPr>
          <w:sz w:val="28"/>
          <w:szCs w:val="28"/>
          <w:lang w:val="uk-UA"/>
        </w:rPr>
      </w:pPr>
      <w:r w:rsidRPr="00165D55">
        <w:rPr>
          <w:b/>
          <w:sz w:val="28"/>
          <w:szCs w:val="28"/>
          <w:lang w:val="uk-UA"/>
        </w:rPr>
        <w:t>Актуальність теми.</w:t>
      </w:r>
      <w:r w:rsidRPr="00165D55">
        <w:rPr>
          <w:sz w:val="28"/>
          <w:szCs w:val="28"/>
          <w:lang w:val="uk-UA"/>
        </w:rPr>
        <w:t xml:space="preserve"> П</w:t>
      </w:r>
      <w:r w:rsidRPr="00165D55">
        <w:rPr>
          <w:sz w:val="28"/>
          <w:szCs w:val="28"/>
        </w:rPr>
        <w:t>роблема сер</w:t>
      </w:r>
      <w:r w:rsidRPr="00165D55">
        <w:rPr>
          <w:sz w:val="28"/>
          <w:szCs w:val="28"/>
          <w:lang w:val="uk-UA"/>
        </w:rPr>
        <w:t>ц</w:t>
      </w:r>
      <w:r w:rsidRPr="00165D55">
        <w:rPr>
          <w:sz w:val="28"/>
          <w:szCs w:val="28"/>
        </w:rPr>
        <w:t>е</w:t>
      </w:r>
      <w:r w:rsidRPr="00165D55">
        <w:rPr>
          <w:sz w:val="28"/>
          <w:szCs w:val="28"/>
          <w:lang w:val="uk-UA"/>
        </w:rPr>
        <w:t>в</w:t>
      </w:r>
      <w:r w:rsidRPr="00165D55">
        <w:rPr>
          <w:sz w:val="28"/>
          <w:szCs w:val="28"/>
        </w:rPr>
        <w:t>о-суди</w:t>
      </w:r>
      <w:r w:rsidRPr="00165D55">
        <w:rPr>
          <w:sz w:val="28"/>
          <w:szCs w:val="28"/>
          <w:lang w:val="uk-UA"/>
        </w:rPr>
        <w:t>нни</w:t>
      </w:r>
      <w:r w:rsidRPr="00165D55">
        <w:rPr>
          <w:sz w:val="28"/>
          <w:szCs w:val="28"/>
        </w:rPr>
        <w:t>х</w:t>
      </w:r>
      <w:r w:rsidRPr="00165D55">
        <w:rPr>
          <w:sz w:val="28"/>
          <w:szCs w:val="28"/>
          <w:lang w:val="uk-UA"/>
        </w:rPr>
        <w:t xml:space="preserve"> захворювань (ССЗ)</w:t>
      </w:r>
      <w:r w:rsidRPr="008A73DD">
        <w:rPr>
          <w:sz w:val="28"/>
          <w:szCs w:val="28"/>
        </w:rPr>
        <w:t xml:space="preserve"> </w:t>
      </w:r>
      <w:r w:rsidRPr="00165D55">
        <w:rPr>
          <w:sz w:val="28"/>
          <w:szCs w:val="28"/>
          <w:lang w:val="uk-UA"/>
        </w:rPr>
        <w:t>серед причин смертності</w:t>
      </w:r>
      <w:r w:rsidRPr="008A73DD">
        <w:rPr>
          <w:sz w:val="28"/>
          <w:szCs w:val="28"/>
        </w:rPr>
        <w:t xml:space="preserve"> </w:t>
      </w:r>
      <w:r w:rsidRPr="00165D55">
        <w:rPr>
          <w:sz w:val="28"/>
          <w:szCs w:val="28"/>
          <w:lang w:val="uk-UA"/>
        </w:rPr>
        <w:t xml:space="preserve"> </w:t>
      </w:r>
      <w:r>
        <w:rPr>
          <w:sz w:val="28"/>
          <w:szCs w:val="28"/>
          <w:lang w:val="uk-UA"/>
        </w:rPr>
        <w:t xml:space="preserve">в Україні </w:t>
      </w:r>
      <w:r w:rsidRPr="00165D55">
        <w:rPr>
          <w:sz w:val="28"/>
          <w:szCs w:val="28"/>
          <w:lang w:val="uk-UA"/>
        </w:rPr>
        <w:t xml:space="preserve"> знаходяться на першому місці</w:t>
      </w:r>
      <w:r>
        <w:rPr>
          <w:sz w:val="28"/>
          <w:szCs w:val="28"/>
          <w:lang w:val="uk-UA"/>
        </w:rPr>
        <w:t xml:space="preserve"> (Коваленко В.М., 2007, Сіренко Ю.М., 2008</w:t>
      </w:r>
      <w:r w:rsidRPr="00165D55">
        <w:rPr>
          <w:sz w:val="28"/>
          <w:szCs w:val="28"/>
          <w:lang w:val="uk-UA"/>
        </w:rPr>
        <w:t xml:space="preserve">). Негативну роль у цьому відіграють “надбання прогресу”: гіподинамія, збільшення калорійності харчових продуктів, хронічний стрес. Ці фактори викликають неухильний ріст </w:t>
      </w:r>
      <w:r>
        <w:rPr>
          <w:sz w:val="28"/>
          <w:szCs w:val="28"/>
          <w:lang w:val="uk-UA"/>
        </w:rPr>
        <w:t>артеріальної</w:t>
      </w:r>
      <w:r w:rsidRPr="00165D55">
        <w:rPr>
          <w:sz w:val="28"/>
          <w:szCs w:val="28"/>
          <w:lang w:val="uk-UA"/>
        </w:rPr>
        <w:t xml:space="preserve"> гіпертенз</w:t>
      </w:r>
      <w:r>
        <w:rPr>
          <w:sz w:val="28"/>
          <w:szCs w:val="28"/>
          <w:lang w:val="uk-UA"/>
        </w:rPr>
        <w:t>ії (АГ), ожиріння, дисліпідемії</w:t>
      </w:r>
      <w:r w:rsidRPr="00165D55">
        <w:rPr>
          <w:sz w:val="28"/>
          <w:szCs w:val="28"/>
          <w:lang w:val="uk-UA"/>
        </w:rPr>
        <w:t xml:space="preserve"> та</w:t>
      </w:r>
      <w:r>
        <w:rPr>
          <w:sz w:val="28"/>
          <w:szCs w:val="28"/>
          <w:lang w:val="uk-UA"/>
        </w:rPr>
        <w:t xml:space="preserve"> цукрового</w:t>
      </w:r>
      <w:r w:rsidRPr="00165D55">
        <w:rPr>
          <w:sz w:val="28"/>
          <w:szCs w:val="28"/>
          <w:lang w:val="uk-UA"/>
        </w:rPr>
        <w:t xml:space="preserve"> діабет</w:t>
      </w:r>
      <w:r>
        <w:rPr>
          <w:sz w:val="28"/>
          <w:szCs w:val="28"/>
          <w:lang w:val="uk-UA"/>
        </w:rPr>
        <w:t>у</w:t>
      </w:r>
      <w:r w:rsidRPr="00165D55">
        <w:rPr>
          <w:sz w:val="28"/>
          <w:szCs w:val="28"/>
          <w:lang w:val="uk-UA"/>
        </w:rPr>
        <w:t xml:space="preserve"> (ЦД) (</w:t>
      </w:r>
      <w:r w:rsidRPr="00165D55">
        <w:rPr>
          <w:sz w:val="28"/>
          <w:szCs w:val="28"/>
          <w:lang w:val="en-US"/>
        </w:rPr>
        <w:t>Zimmet</w:t>
      </w:r>
      <w:r w:rsidRPr="00165D55">
        <w:rPr>
          <w:sz w:val="28"/>
          <w:szCs w:val="28"/>
          <w:lang w:val="uk-UA"/>
        </w:rPr>
        <w:t xml:space="preserve"> </w:t>
      </w:r>
      <w:r w:rsidRPr="00165D55">
        <w:rPr>
          <w:sz w:val="28"/>
          <w:szCs w:val="28"/>
          <w:lang w:val="en-US"/>
        </w:rPr>
        <w:t>P</w:t>
      </w:r>
      <w:r w:rsidRPr="00165D55">
        <w:rPr>
          <w:sz w:val="28"/>
          <w:szCs w:val="28"/>
          <w:lang w:val="uk-UA"/>
        </w:rPr>
        <w:t xml:space="preserve">., 2006; Мітченко О.І., 2005). Із 1988 року за пропозицією </w:t>
      </w:r>
      <w:r w:rsidRPr="00165D55">
        <w:rPr>
          <w:sz w:val="28"/>
          <w:szCs w:val="28"/>
        </w:rPr>
        <w:t>G. Reaven</w:t>
      </w:r>
      <w:r w:rsidRPr="00165D55">
        <w:rPr>
          <w:sz w:val="28"/>
          <w:szCs w:val="28"/>
          <w:lang w:val="uk-UA"/>
        </w:rPr>
        <w:t xml:space="preserve"> д</w:t>
      </w:r>
      <w:r>
        <w:rPr>
          <w:sz w:val="28"/>
          <w:szCs w:val="28"/>
          <w:lang w:val="uk-UA"/>
        </w:rPr>
        <w:t>аний</w:t>
      </w:r>
      <w:r w:rsidRPr="00165D55">
        <w:rPr>
          <w:sz w:val="28"/>
          <w:szCs w:val="28"/>
          <w:lang w:val="uk-UA"/>
        </w:rPr>
        <w:t xml:space="preserve"> кластер патологічних станів прийнято називати</w:t>
      </w:r>
      <w:r w:rsidRPr="008E2FC7">
        <w:rPr>
          <w:sz w:val="28"/>
          <w:szCs w:val="28"/>
        </w:rPr>
        <w:t xml:space="preserve"> ”</w:t>
      </w:r>
      <w:r>
        <w:rPr>
          <w:sz w:val="28"/>
          <w:szCs w:val="28"/>
          <w:lang w:val="uk-UA"/>
        </w:rPr>
        <w:t>синдром Х</w:t>
      </w:r>
      <w:r w:rsidRPr="008E2FC7">
        <w:rPr>
          <w:sz w:val="28"/>
          <w:szCs w:val="28"/>
        </w:rPr>
        <w:t>”</w:t>
      </w:r>
      <w:r>
        <w:rPr>
          <w:sz w:val="28"/>
          <w:szCs w:val="28"/>
          <w:lang w:val="uk-UA"/>
        </w:rPr>
        <w:t>,</w:t>
      </w:r>
      <w:r w:rsidRPr="00165D55">
        <w:rPr>
          <w:sz w:val="28"/>
          <w:szCs w:val="28"/>
          <w:lang w:val="uk-UA"/>
        </w:rPr>
        <w:t xml:space="preserve"> або </w:t>
      </w:r>
      <w:r w:rsidRPr="008E2FC7">
        <w:rPr>
          <w:sz w:val="28"/>
          <w:szCs w:val="28"/>
        </w:rPr>
        <w:t>”</w:t>
      </w:r>
      <w:r>
        <w:rPr>
          <w:sz w:val="28"/>
          <w:szCs w:val="28"/>
          <w:lang w:val="uk-UA"/>
        </w:rPr>
        <w:t>синдром</w:t>
      </w:r>
      <w:r w:rsidRPr="00165D55">
        <w:rPr>
          <w:sz w:val="28"/>
          <w:szCs w:val="28"/>
          <w:lang w:val="uk-UA"/>
        </w:rPr>
        <w:t xml:space="preserve"> інсулінорезистентності</w:t>
      </w:r>
      <w:r w:rsidRPr="008E2FC7">
        <w:rPr>
          <w:sz w:val="28"/>
          <w:szCs w:val="28"/>
        </w:rPr>
        <w:t>”</w:t>
      </w:r>
      <w:r w:rsidRPr="00165D55">
        <w:rPr>
          <w:sz w:val="28"/>
          <w:szCs w:val="28"/>
          <w:lang w:val="uk-UA"/>
        </w:rPr>
        <w:t xml:space="preserve"> (ІР), </w:t>
      </w:r>
      <w:r>
        <w:rPr>
          <w:sz w:val="28"/>
          <w:szCs w:val="28"/>
          <w:lang w:val="uk-UA"/>
        </w:rPr>
        <w:t xml:space="preserve">чи </w:t>
      </w:r>
      <w:r w:rsidRPr="00165D55">
        <w:rPr>
          <w:sz w:val="28"/>
          <w:szCs w:val="28"/>
          <w:lang w:val="uk-UA"/>
        </w:rPr>
        <w:t>метаболічним синдромом (МС)</w:t>
      </w:r>
      <w:r w:rsidRPr="00165D55">
        <w:rPr>
          <w:sz w:val="28"/>
          <w:szCs w:val="28"/>
        </w:rPr>
        <w:t>.</w:t>
      </w:r>
      <w:r w:rsidRPr="00165D55">
        <w:rPr>
          <w:sz w:val="28"/>
          <w:szCs w:val="28"/>
          <w:lang w:val="uk-UA"/>
        </w:rPr>
        <w:t xml:space="preserve"> Основна ідея створення концепції МС полягає у визначенні популяції пацієнтів із високим </w:t>
      </w:r>
      <w:r w:rsidRPr="008A73DD">
        <w:rPr>
          <w:sz w:val="28"/>
          <w:szCs w:val="28"/>
          <w:lang w:val="uk-UA"/>
        </w:rPr>
        <w:t>сер</w:t>
      </w:r>
      <w:r w:rsidRPr="00165D55">
        <w:rPr>
          <w:sz w:val="28"/>
          <w:szCs w:val="28"/>
          <w:lang w:val="uk-UA"/>
        </w:rPr>
        <w:t>ц</w:t>
      </w:r>
      <w:r w:rsidRPr="008A73DD">
        <w:rPr>
          <w:sz w:val="28"/>
          <w:szCs w:val="28"/>
          <w:lang w:val="uk-UA"/>
        </w:rPr>
        <w:t>е</w:t>
      </w:r>
      <w:r w:rsidRPr="00165D55">
        <w:rPr>
          <w:sz w:val="28"/>
          <w:szCs w:val="28"/>
          <w:lang w:val="uk-UA"/>
        </w:rPr>
        <w:t>в</w:t>
      </w:r>
      <w:r w:rsidRPr="008A73DD">
        <w:rPr>
          <w:sz w:val="28"/>
          <w:szCs w:val="28"/>
          <w:lang w:val="uk-UA"/>
        </w:rPr>
        <w:t>о-суди</w:t>
      </w:r>
      <w:r w:rsidRPr="00165D55">
        <w:rPr>
          <w:sz w:val="28"/>
          <w:szCs w:val="28"/>
          <w:lang w:val="uk-UA"/>
        </w:rPr>
        <w:t>нним ризиком, у яких проведення профілактичних заходів щодо модифікації способу життя та використання адекватних лікарських засобів можуть значно покращити показники здоров’я та попередити виникнення і прогресування ЦД 2 типу та атеросклеротичного у</w:t>
      </w:r>
      <w:r>
        <w:rPr>
          <w:sz w:val="28"/>
          <w:szCs w:val="28"/>
          <w:lang w:val="uk-UA"/>
        </w:rPr>
        <w:t>раження</w:t>
      </w:r>
      <w:r w:rsidRPr="00165D55">
        <w:rPr>
          <w:sz w:val="28"/>
          <w:szCs w:val="28"/>
          <w:lang w:val="uk-UA"/>
        </w:rPr>
        <w:t xml:space="preserve"> судин, що</w:t>
      </w:r>
      <w:r>
        <w:rPr>
          <w:sz w:val="28"/>
          <w:szCs w:val="28"/>
          <w:lang w:val="uk-UA"/>
        </w:rPr>
        <w:t xml:space="preserve"> нерозривно пов’язано</w:t>
      </w:r>
      <w:r w:rsidRPr="00165D55">
        <w:rPr>
          <w:sz w:val="28"/>
          <w:szCs w:val="28"/>
          <w:lang w:val="uk-UA"/>
        </w:rPr>
        <w:t xml:space="preserve"> із підвищенням смертності в популяції (</w:t>
      </w:r>
      <w:r w:rsidRPr="00165D55">
        <w:rPr>
          <w:sz w:val="28"/>
          <w:szCs w:val="28"/>
          <w:lang w:val="en-US"/>
        </w:rPr>
        <w:t>Mancia</w:t>
      </w:r>
      <w:r w:rsidRPr="00165D55">
        <w:rPr>
          <w:sz w:val="28"/>
          <w:szCs w:val="28"/>
          <w:lang w:val="uk-UA"/>
        </w:rPr>
        <w:t xml:space="preserve"> </w:t>
      </w:r>
      <w:r w:rsidRPr="00165D55">
        <w:rPr>
          <w:sz w:val="28"/>
          <w:szCs w:val="28"/>
          <w:lang w:val="en-US"/>
        </w:rPr>
        <w:t>G</w:t>
      </w:r>
      <w:r w:rsidRPr="00165D55">
        <w:rPr>
          <w:sz w:val="28"/>
          <w:szCs w:val="28"/>
          <w:lang w:val="uk-UA"/>
        </w:rPr>
        <w:t xml:space="preserve">., 2007). Основою формування МС є ІР, яка запускає каскад метаболічних порушень і призводить до появи тяжких </w:t>
      </w:r>
      <w:r w:rsidRPr="008A73DD">
        <w:rPr>
          <w:sz w:val="28"/>
          <w:szCs w:val="28"/>
          <w:lang w:val="uk-UA"/>
        </w:rPr>
        <w:t>сер</w:t>
      </w:r>
      <w:r w:rsidRPr="00165D55">
        <w:rPr>
          <w:sz w:val="28"/>
          <w:szCs w:val="28"/>
          <w:lang w:val="uk-UA"/>
        </w:rPr>
        <w:t>ц</w:t>
      </w:r>
      <w:r w:rsidRPr="008A73DD">
        <w:rPr>
          <w:sz w:val="28"/>
          <w:szCs w:val="28"/>
          <w:lang w:val="uk-UA"/>
        </w:rPr>
        <w:t>е</w:t>
      </w:r>
      <w:r w:rsidRPr="00165D55">
        <w:rPr>
          <w:sz w:val="28"/>
          <w:szCs w:val="28"/>
          <w:lang w:val="uk-UA"/>
        </w:rPr>
        <w:t>в</w:t>
      </w:r>
      <w:r w:rsidRPr="008A73DD">
        <w:rPr>
          <w:sz w:val="28"/>
          <w:szCs w:val="28"/>
          <w:lang w:val="uk-UA"/>
        </w:rPr>
        <w:t>о-суди</w:t>
      </w:r>
      <w:r w:rsidRPr="00165D55">
        <w:rPr>
          <w:sz w:val="28"/>
          <w:szCs w:val="28"/>
          <w:lang w:val="uk-UA"/>
        </w:rPr>
        <w:t>нних ускладнень: інфаркту міокарда, мозкового інсульту та серцевої недостатності (</w:t>
      </w:r>
      <w:r w:rsidRPr="00165D55">
        <w:rPr>
          <w:sz w:val="28"/>
          <w:szCs w:val="28"/>
        </w:rPr>
        <w:t>Reaven</w:t>
      </w:r>
      <w:r w:rsidRPr="00165D55">
        <w:rPr>
          <w:sz w:val="28"/>
          <w:szCs w:val="28"/>
          <w:lang w:val="uk-UA"/>
        </w:rPr>
        <w:t xml:space="preserve"> </w:t>
      </w:r>
      <w:r w:rsidRPr="00165D55">
        <w:rPr>
          <w:sz w:val="28"/>
          <w:szCs w:val="28"/>
        </w:rPr>
        <w:t>G</w:t>
      </w:r>
      <w:r w:rsidRPr="00165D55">
        <w:rPr>
          <w:sz w:val="28"/>
          <w:szCs w:val="28"/>
          <w:lang w:val="uk-UA"/>
        </w:rPr>
        <w:t xml:space="preserve">., 2004; </w:t>
      </w:r>
      <w:r w:rsidRPr="00165D55">
        <w:rPr>
          <w:sz w:val="28"/>
          <w:szCs w:val="28"/>
          <w:lang w:val="en-US"/>
        </w:rPr>
        <w:t>Eckel</w:t>
      </w:r>
      <w:r w:rsidRPr="00165D55">
        <w:rPr>
          <w:sz w:val="28"/>
          <w:szCs w:val="28"/>
          <w:lang w:val="uk-UA"/>
        </w:rPr>
        <w:t xml:space="preserve"> </w:t>
      </w:r>
      <w:r w:rsidRPr="00165D55">
        <w:rPr>
          <w:sz w:val="28"/>
          <w:szCs w:val="28"/>
          <w:lang w:val="en-US"/>
        </w:rPr>
        <w:t>R</w:t>
      </w:r>
      <w:r w:rsidRPr="00165D55">
        <w:rPr>
          <w:sz w:val="28"/>
          <w:szCs w:val="28"/>
          <w:lang w:val="uk-UA"/>
        </w:rPr>
        <w:t>.</w:t>
      </w:r>
      <w:r w:rsidRPr="00165D55">
        <w:rPr>
          <w:sz w:val="28"/>
          <w:szCs w:val="28"/>
          <w:lang w:val="en-US"/>
        </w:rPr>
        <w:t>H</w:t>
      </w:r>
      <w:r w:rsidRPr="00165D55">
        <w:rPr>
          <w:sz w:val="28"/>
          <w:szCs w:val="28"/>
          <w:lang w:val="uk-UA"/>
        </w:rPr>
        <w:t xml:space="preserve">., 2005). </w:t>
      </w:r>
      <w:r>
        <w:rPr>
          <w:sz w:val="28"/>
          <w:szCs w:val="28"/>
          <w:lang w:val="uk-UA"/>
        </w:rPr>
        <w:t>У</w:t>
      </w:r>
      <w:r w:rsidRPr="00165D55">
        <w:rPr>
          <w:sz w:val="28"/>
          <w:szCs w:val="28"/>
          <w:lang w:val="uk-UA"/>
        </w:rPr>
        <w:t xml:space="preserve"> багатьох випадках ініціюючим моментом виникнення ІР слугує надлишкова маса тіла.</w:t>
      </w:r>
      <w:r w:rsidRPr="00165D55">
        <w:rPr>
          <w:sz w:val="28"/>
          <w:szCs w:val="28"/>
        </w:rPr>
        <w:t xml:space="preserve"> </w:t>
      </w:r>
      <w:r w:rsidRPr="00165D55">
        <w:rPr>
          <w:sz w:val="28"/>
          <w:szCs w:val="28"/>
          <w:lang w:val="uk-UA"/>
        </w:rPr>
        <w:t xml:space="preserve">За </w:t>
      </w:r>
      <w:r w:rsidRPr="00165D55">
        <w:rPr>
          <w:sz w:val="28"/>
          <w:szCs w:val="28"/>
        </w:rPr>
        <w:t>данн</w:t>
      </w:r>
      <w:r w:rsidRPr="00165D55">
        <w:rPr>
          <w:sz w:val="28"/>
          <w:szCs w:val="28"/>
          <w:lang w:val="uk-UA"/>
        </w:rPr>
        <w:t>и</w:t>
      </w:r>
      <w:r w:rsidRPr="00165D55">
        <w:rPr>
          <w:sz w:val="28"/>
          <w:szCs w:val="28"/>
        </w:rPr>
        <w:t>м</w:t>
      </w:r>
      <w:r w:rsidRPr="00165D55">
        <w:rPr>
          <w:sz w:val="28"/>
          <w:szCs w:val="28"/>
          <w:lang w:val="uk-UA"/>
        </w:rPr>
        <w:t>и</w:t>
      </w:r>
      <w:r w:rsidRPr="00165D55">
        <w:rPr>
          <w:sz w:val="28"/>
          <w:szCs w:val="28"/>
        </w:rPr>
        <w:t xml:space="preserve"> Фрем</w:t>
      </w:r>
      <w:r w:rsidRPr="00165D55">
        <w:rPr>
          <w:sz w:val="28"/>
          <w:szCs w:val="28"/>
          <w:lang w:val="uk-UA"/>
        </w:rPr>
        <w:t>і</w:t>
      </w:r>
      <w:r w:rsidRPr="00165D55">
        <w:rPr>
          <w:sz w:val="28"/>
          <w:szCs w:val="28"/>
        </w:rPr>
        <w:t>нгемс</w:t>
      </w:r>
      <w:r w:rsidRPr="00165D55">
        <w:rPr>
          <w:sz w:val="28"/>
          <w:szCs w:val="28"/>
          <w:lang w:val="uk-UA"/>
        </w:rPr>
        <w:t>ь</w:t>
      </w:r>
      <w:r w:rsidRPr="00165D55">
        <w:rPr>
          <w:sz w:val="28"/>
          <w:szCs w:val="28"/>
        </w:rPr>
        <w:t xml:space="preserve">кого </w:t>
      </w:r>
      <w:r w:rsidRPr="00165D55">
        <w:rPr>
          <w:sz w:val="28"/>
          <w:szCs w:val="28"/>
          <w:lang w:val="uk-UA"/>
        </w:rPr>
        <w:t>до</w:t>
      </w:r>
      <w:r w:rsidRPr="00165D55">
        <w:rPr>
          <w:sz w:val="28"/>
          <w:szCs w:val="28"/>
        </w:rPr>
        <w:t>сл</w:t>
      </w:r>
      <w:r w:rsidRPr="00165D55">
        <w:rPr>
          <w:sz w:val="28"/>
          <w:szCs w:val="28"/>
          <w:lang w:val="uk-UA"/>
        </w:rPr>
        <w:t>і</w:t>
      </w:r>
      <w:r w:rsidRPr="00165D55">
        <w:rPr>
          <w:sz w:val="28"/>
          <w:szCs w:val="28"/>
        </w:rPr>
        <w:t>д</w:t>
      </w:r>
      <w:r w:rsidRPr="00165D55">
        <w:rPr>
          <w:sz w:val="28"/>
          <w:szCs w:val="28"/>
          <w:lang w:val="uk-UA"/>
        </w:rPr>
        <w:t>же</w:t>
      </w:r>
      <w:r w:rsidRPr="00165D55">
        <w:rPr>
          <w:sz w:val="28"/>
          <w:szCs w:val="28"/>
        </w:rPr>
        <w:t>н</w:t>
      </w:r>
      <w:r w:rsidRPr="00165D55">
        <w:rPr>
          <w:sz w:val="28"/>
          <w:szCs w:val="28"/>
          <w:lang w:val="uk-UA"/>
        </w:rPr>
        <w:t>н</w:t>
      </w:r>
      <w:r w:rsidRPr="00165D55">
        <w:rPr>
          <w:sz w:val="28"/>
          <w:szCs w:val="28"/>
        </w:rPr>
        <w:t>я</w:t>
      </w:r>
      <w:r w:rsidRPr="00165D55">
        <w:rPr>
          <w:sz w:val="28"/>
          <w:szCs w:val="28"/>
          <w:lang w:val="uk-UA"/>
        </w:rPr>
        <w:t xml:space="preserve"> вірогідність розвитку </w:t>
      </w:r>
      <w:r w:rsidRPr="00165D55">
        <w:rPr>
          <w:sz w:val="28"/>
          <w:szCs w:val="28"/>
        </w:rPr>
        <w:t>сер</w:t>
      </w:r>
      <w:r w:rsidRPr="00165D55">
        <w:rPr>
          <w:sz w:val="28"/>
          <w:szCs w:val="28"/>
          <w:lang w:val="uk-UA"/>
        </w:rPr>
        <w:t>ц</w:t>
      </w:r>
      <w:r w:rsidRPr="00165D55">
        <w:rPr>
          <w:sz w:val="28"/>
          <w:szCs w:val="28"/>
        </w:rPr>
        <w:t>е</w:t>
      </w:r>
      <w:r w:rsidRPr="00165D55">
        <w:rPr>
          <w:sz w:val="28"/>
          <w:szCs w:val="28"/>
          <w:lang w:val="uk-UA"/>
        </w:rPr>
        <w:t>в</w:t>
      </w:r>
      <w:r w:rsidRPr="00165D55">
        <w:rPr>
          <w:sz w:val="28"/>
          <w:szCs w:val="28"/>
        </w:rPr>
        <w:t>о-суди</w:t>
      </w:r>
      <w:r w:rsidRPr="00165D55">
        <w:rPr>
          <w:sz w:val="28"/>
          <w:szCs w:val="28"/>
          <w:lang w:val="uk-UA"/>
        </w:rPr>
        <w:t>нної патології у осіб із ожирінням на 50 % більша, ніж у осіб з нормальною масою тіла</w:t>
      </w:r>
      <w:r w:rsidRPr="00165D55">
        <w:rPr>
          <w:b/>
          <w:sz w:val="28"/>
          <w:szCs w:val="28"/>
        </w:rPr>
        <w:t xml:space="preserve"> </w:t>
      </w:r>
      <w:r w:rsidRPr="00165D55">
        <w:rPr>
          <w:sz w:val="28"/>
          <w:szCs w:val="28"/>
          <w:lang w:val="uk-UA"/>
        </w:rPr>
        <w:t>(</w:t>
      </w:r>
      <w:r w:rsidRPr="00165D55">
        <w:rPr>
          <w:sz w:val="28"/>
          <w:szCs w:val="28"/>
          <w:lang w:val="en-US"/>
        </w:rPr>
        <w:t>Rutter</w:t>
      </w:r>
      <w:r w:rsidRPr="00165D55">
        <w:rPr>
          <w:sz w:val="28"/>
          <w:szCs w:val="28"/>
          <w:lang w:val="uk-UA"/>
        </w:rPr>
        <w:t xml:space="preserve"> </w:t>
      </w:r>
      <w:r w:rsidRPr="00165D55">
        <w:rPr>
          <w:sz w:val="28"/>
          <w:szCs w:val="28"/>
          <w:lang w:val="en-US"/>
        </w:rPr>
        <w:t>M</w:t>
      </w:r>
      <w:r w:rsidRPr="00165D55">
        <w:rPr>
          <w:sz w:val="28"/>
          <w:szCs w:val="28"/>
        </w:rPr>
        <w:t>.</w:t>
      </w:r>
      <w:r w:rsidRPr="00165D55">
        <w:rPr>
          <w:sz w:val="28"/>
          <w:szCs w:val="28"/>
          <w:lang w:val="en-US"/>
        </w:rPr>
        <w:t>K</w:t>
      </w:r>
      <w:r w:rsidRPr="00165D55">
        <w:rPr>
          <w:sz w:val="28"/>
          <w:szCs w:val="28"/>
        </w:rPr>
        <w:t>., 2004</w:t>
      </w:r>
      <w:r w:rsidRPr="00165D55">
        <w:rPr>
          <w:sz w:val="28"/>
          <w:szCs w:val="28"/>
          <w:lang w:val="uk-UA"/>
        </w:rPr>
        <w:t>). В</w:t>
      </w:r>
      <w:r w:rsidRPr="00165D55">
        <w:rPr>
          <w:sz w:val="28"/>
          <w:szCs w:val="28"/>
        </w:rPr>
        <w:t xml:space="preserve">становлено, </w:t>
      </w:r>
      <w:r w:rsidRPr="00165D55">
        <w:rPr>
          <w:sz w:val="28"/>
          <w:szCs w:val="28"/>
          <w:lang w:val="uk-UA"/>
        </w:rPr>
        <w:t>щ</w:t>
      </w:r>
      <w:r w:rsidRPr="00165D55">
        <w:rPr>
          <w:sz w:val="28"/>
          <w:szCs w:val="28"/>
        </w:rPr>
        <w:t xml:space="preserve">о у </w:t>
      </w:r>
      <w:r w:rsidRPr="00165D55">
        <w:rPr>
          <w:sz w:val="28"/>
          <w:szCs w:val="28"/>
          <w:lang w:val="uk-UA"/>
        </w:rPr>
        <w:t>пацієнтів із АГ та о</w:t>
      </w:r>
      <w:r w:rsidRPr="00165D55">
        <w:rPr>
          <w:sz w:val="28"/>
          <w:szCs w:val="28"/>
        </w:rPr>
        <w:t>жир</w:t>
      </w:r>
      <w:r w:rsidRPr="00165D55">
        <w:rPr>
          <w:sz w:val="28"/>
          <w:szCs w:val="28"/>
          <w:lang w:val="uk-UA"/>
        </w:rPr>
        <w:t>і</w:t>
      </w:r>
      <w:r w:rsidRPr="00165D55">
        <w:rPr>
          <w:sz w:val="28"/>
          <w:szCs w:val="28"/>
        </w:rPr>
        <w:t>н</w:t>
      </w:r>
      <w:r w:rsidRPr="00165D55">
        <w:rPr>
          <w:sz w:val="28"/>
          <w:szCs w:val="28"/>
          <w:lang w:val="uk-UA"/>
        </w:rPr>
        <w:t>ня</w:t>
      </w:r>
      <w:r w:rsidRPr="00165D55">
        <w:rPr>
          <w:sz w:val="28"/>
          <w:szCs w:val="28"/>
        </w:rPr>
        <w:t>м ри</w:t>
      </w:r>
      <w:r w:rsidRPr="00165D55">
        <w:rPr>
          <w:sz w:val="28"/>
          <w:szCs w:val="28"/>
          <w:lang w:val="uk-UA"/>
        </w:rPr>
        <w:t>зи</w:t>
      </w:r>
      <w:r w:rsidRPr="00165D55">
        <w:rPr>
          <w:sz w:val="28"/>
          <w:szCs w:val="28"/>
        </w:rPr>
        <w:t>к р</w:t>
      </w:r>
      <w:r w:rsidRPr="00165D55">
        <w:rPr>
          <w:sz w:val="28"/>
          <w:szCs w:val="28"/>
          <w:lang w:val="uk-UA"/>
        </w:rPr>
        <w:t>о</w:t>
      </w:r>
      <w:r w:rsidRPr="00165D55">
        <w:rPr>
          <w:sz w:val="28"/>
          <w:szCs w:val="28"/>
        </w:rPr>
        <w:t>звит</w:t>
      </w:r>
      <w:r w:rsidRPr="00165D55">
        <w:rPr>
          <w:sz w:val="28"/>
          <w:szCs w:val="28"/>
          <w:lang w:val="uk-UA"/>
        </w:rPr>
        <w:t>ку</w:t>
      </w:r>
      <w:r w:rsidRPr="00165D55">
        <w:rPr>
          <w:sz w:val="28"/>
          <w:szCs w:val="28"/>
        </w:rPr>
        <w:t xml:space="preserve"> </w:t>
      </w:r>
      <w:r w:rsidRPr="00165D55">
        <w:rPr>
          <w:sz w:val="28"/>
          <w:szCs w:val="28"/>
          <w:lang w:val="uk-UA"/>
        </w:rPr>
        <w:t>ІХ</w:t>
      </w:r>
      <w:r w:rsidRPr="00165D55">
        <w:rPr>
          <w:sz w:val="28"/>
          <w:szCs w:val="28"/>
        </w:rPr>
        <w:t>С підвищений</w:t>
      </w:r>
      <w:r w:rsidRPr="00165D55">
        <w:rPr>
          <w:sz w:val="28"/>
          <w:szCs w:val="28"/>
          <w:lang w:val="uk-UA"/>
        </w:rPr>
        <w:t xml:space="preserve"> </w:t>
      </w:r>
      <w:r w:rsidRPr="00165D55">
        <w:rPr>
          <w:sz w:val="28"/>
          <w:szCs w:val="28"/>
        </w:rPr>
        <w:t>в 2-3 раз</w:t>
      </w:r>
      <w:r w:rsidRPr="00165D55">
        <w:rPr>
          <w:sz w:val="28"/>
          <w:szCs w:val="28"/>
          <w:lang w:val="uk-UA"/>
        </w:rPr>
        <w:t>и</w:t>
      </w:r>
      <w:r w:rsidRPr="00165D55">
        <w:rPr>
          <w:sz w:val="28"/>
          <w:szCs w:val="28"/>
        </w:rPr>
        <w:t>, а ри</w:t>
      </w:r>
      <w:r w:rsidRPr="00165D55">
        <w:rPr>
          <w:sz w:val="28"/>
          <w:szCs w:val="28"/>
          <w:lang w:val="uk-UA"/>
        </w:rPr>
        <w:t>зи</w:t>
      </w:r>
      <w:r w:rsidRPr="00165D55">
        <w:rPr>
          <w:sz w:val="28"/>
          <w:szCs w:val="28"/>
        </w:rPr>
        <w:t xml:space="preserve">к </w:t>
      </w:r>
      <w:r w:rsidRPr="00165D55">
        <w:rPr>
          <w:sz w:val="28"/>
          <w:szCs w:val="28"/>
          <w:lang w:val="uk-UA"/>
        </w:rPr>
        <w:t>і</w:t>
      </w:r>
      <w:r w:rsidRPr="00165D55">
        <w:rPr>
          <w:sz w:val="28"/>
          <w:szCs w:val="28"/>
        </w:rPr>
        <w:t>нсульт</w:t>
      </w:r>
      <w:r w:rsidRPr="00165D55">
        <w:rPr>
          <w:sz w:val="28"/>
          <w:szCs w:val="28"/>
          <w:lang w:val="uk-UA"/>
        </w:rPr>
        <w:t xml:space="preserve">у </w:t>
      </w:r>
      <w:r w:rsidRPr="00165D55">
        <w:rPr>
          <w:sz w:val="28"/>
          <w:szCs w:val="28"/>
        </w:rPr>
        <w:t>– в 7 раз</w:t>
      </w:r>
      <w:r w:rsidRPr="00165D55">
        <w:rPr>
          <w:sz w:val="28"/>
          <w:szCs w:val="28"/>
          <w:lang w:val="uk-UA"/>
        </w:rPr>
        <w:t>ів</w:t>
      </w:r>
      <w:r w:rsidRPr="00165D55">
        <w:rPr>
          <w:sz w:val="28"/>
          <w:szCs w:val="28"/>
        </w:rPr>
        <w:t>. У пац</w:t>
      </w:r>
      <w:r w:rsidRPr="00165D55">
        <w:rPr>
          <w:sz w:val="28"/>
          <w:szCs w:val="28"/>
          <w:lang w:val="uk-UA"/>
        </w:rPr>
        <w:t>іє</w:t>
      </w:r>
      <w:r w:rsidRPr="00165D55">
        <w:rPr>
          <w:sz w:val="28"/>
          <w:szCs w:val="28"/>
        </w:rPr>
        <w:t>нт</w:t>
      </w:r>
      <w:r w:rsidRPr="00165D55">
        <w:rPr>
          <w:sz w:val="28"/>
          <w:szCs w:val="28"/>
          <w:lang w:val="uk-UA"/>
        </w:rPr>
        <w:t>і</w:t>
      </w:r>
      <w:r w:rsidRPr="00165D55">
        <w:rPr>
          <w:sz w:val="28"/>
          <w:szCs w:val="28"/>
        </w:rPr>
        <w:t xml:space="preserve">в </w:t>
      </w:r>
      <w:r w:rsidRPr="00165D55">
        <w:rPr>
          <w:sz w:val="28"/>
          <w:szCs w:val="28"/>
          <w:lang w:val="uk-UA"/>
        </w:rPr>
        <w:t>з</w:t>
      </w:r>
      <w:r w:rsidRPr="00165D55">
        <w:rPr>
          <w:sz w:val="28"/>
          <w:szCs w:val="28"/>
        </w:rPr>
        <w:t xml:space="preserve"> ожир</w:t>
      </w:r>
      <w:r w:rsidRPr="00165D55">
        <w:rPr>
          <w:sz w:val="28"/>
          <w:szCs w:val="28"/>
          <w:lang w:val="uk-UA"/>
        </w:rPr>
        <w:t>і</w:t>
      </w:r>
      <w:r w:rsidRPr="00165D55">
        <w:rPr>
          <w:sz w:val="28"/>
          <w:szCs w:val="28"/>
        </w:rPr>
        <w:t>н</w:t>
      </w:r>
      <w:r w:rsidRPr="00165D55">
        <w:rPr>
          <w:sz w:val="28"/>
          <w:szCs w:val="28"/>
          <w:lang w:val="uk-UA"/>
        </w:rPr>
        <w:t>ня</w:t>
      </w:r>
      <w:r w:rsidRPr="00165D55">
        <w:rPr>
          <w:sz w:val="28"/>
          <w:szCs w:val="28"/>
        </w:rPr>
        <w:t>м</w:t>
      </w:r>
      <w:r w:rsidRPr="00165D55">
        <w:rPr>
          <w:sz w:val="28"/>
          <w:szCs w:val="28"/>
          <w:lang w:val="uk-UA"/>
        </w:rPr>
        <w:t xml:space="preserve"> збільшується </w:t>
      </w:r>
      <w:r w:rsidRPr="00165D55">
        <w:rPr>
          <w:sz w:val="28"/>
          <w:szCs w:val="28"/>
        </w:rPr>
        <w:t>сер</w:t>
      </w:r>
      <w:r w:rsidRPr="00165D55">
        <w:rPr>
          <w:sz w:val="28"/>
          <w:szCs w:val="28"/>
          <w:lang w:val="uk-UA"/>
        </w:rPr>
        <w:t>ц</w:t>
      </w:r>
      <w:r w:rsidRPr="00165D55">
        <w:rPr>
          <w:sz w:val="28"/>
          <w:szCs w:val="28"/>
        </w:rPr>
        <w:t>е</w:t>
      </w:r>
      <w:r w:rsidRPr="00165D55">
        <w:rPr>
          <w:sz w:val="28"/>
          <w:szCs w:val="28"/>
          <w:lang w:val="uk-UA"/>
        </w:rPr>
        <w:t>вий</w:t>
      </w:r>
      <w:r w:rsidRPr="00165D55">
        <w:rPr>
          <w:sz w:val="28"/>
          <w:szCs w:val="28"/>
        </w:rPr>
        <w:t xml:space="preserve"> в</w:t>
      </w:r>
      <w:r w:rsidRPr="00165D55">
        <w:rPr>
          <w:sz w:val="28"/>
          <w:szCs w:val="28"/>
          <w:lang w:val="uk-UA"/>
        </w:rPr>
        <w:t xml:space="preserve">икид за рахунок росту </w:t>
      </w:r>
      <w:r w:rsidRPr="00165D55">
        <w:rPr>
          <w:sz w:val="28"/>
          <w:szCs w:val="28"/>
        </w:rPr>
        <w:t>ударного об’</w:t>
      </w:r>
      <w:r w:rsidRPr="00165D55">
        <w:rPr>
          <w:sz w:val="28"/>
          <w:szCs w:val="28"/>
          <w:lang w:val="uk-UA"/>
        </w:rPr>
        <w:t>є</w:t>
      </w:r>
      <w:r w:rsidRPr="00165D55">
        <w:rPr>
          <w:sz w:val="28"/>
          <w:szCs w:val="28"/>
        </w:rPr>
        <w:t>м</w:t>
      </w:r>
      <w:r w:rsidRPr="00165D55">
        <w:rPr>
          <w:sz w:val="28"/>
          <w:szCs w:val="28"/>
          <w:lang w:val="uk-UA"/>
        </w:rPr>
        <w:t>у, що приз</w:t>
      </w:r>
      <w:r w:rsidRPr="00165D55">
        <w:rPr>
          <w:sz w:val="28"/>
          <w:szCs w:val="28"/>
        </w:rPr>
        <w:t>в</w:t>
      </w:r>
      <w:r w:rsidRPr="00165D55">
        <w:rPr>
          <w:sz w:val="28"/>
          <w:szCs w:val="28"/>
          <w:lang w:val="uk-UA"/>
        </w:rPr>
        <w:t>о</w:t>
      </w:r>
      <w:r w:rsidRPr="00165D55">
        <w:rPr>
          <w:sz w:val="28"/>
          <w:szCs w:val="28"/>
        </w:rPr>
        <w:t>д</w:t>
      </w:r>
      <w:r w:rsidRPr="00165D55">
        <w:rPr>
          <w:sz w:val="28"/>
          <w:szCs w:val="28"/>
          <w:lang w:val="uk-UA"/>
        </w:rPr>
        <w:t>и</w:t>
      </w:r>
      <w:r w:rsidRPr="00165D55">
        <w:rPr>
          <w:sz w:val="28"/>
          <w:szCs w:val="28"/>
        </w:rPr>
        <w:t>т</w:t>
      </w:r>
      <w:r w:rsidRPr="00165D55">
        <w:rPr>
          <w:sz w:val="28"/>
          <w:szCs w:val="28"/>
          <w:lang w:val="uk-UA"/>
        </w:rPr>
        <w:t>ь</w:t>
      </w:r>
      <w:r w:rsidRPr="00165D55">
        <w:rPr>
          <w:sz w:val="28"/>
          <w:szCs w:val="28"/>
        </w:rPr>
        <w:t xml:space="preserve"> </w:t>
      </w:r>
      <w:r w:rsidRPr="00165D55">
        <w:rPr>
          <w:sz w:val="28"/>
          <w:szCs w:val="28"/>
          <w:lang w:val="uk-UA"/>
        </w:rPr>
        <w:t>до</w:t>
      </w:r>
      <w:r w:rsidRPr="00165D55">
        <w:rPr>
          <w:sz w:val="28"/>
          <w:szCs w:val="28"/>
        </w:rPr>
        <w:t xml:space="preserve"> р</w:t>
      </w:r>
      <w:r w:rsidRPr="00165D55">
        <w:rPr>
          <w:sz w:val="28"/>
          <w:szCs w:val="28"/>
          <w:lang w:val="uk-UA"/>
        </w:rPr>
        <w:t>о</w:t>
      </w:r>
      <w:r w:rsidRPr="00165D55">
        <w:rPr>
          <w:sz w:val="28"/>
          <w:szCs w:val="28"/>
        </w:rPr>
        <w:t>звит</w:t>
      </w:r>
      <w:r w:rsidRPr="00165D55">
        <w:rPr>
          <w:sz w:val="28"/>
          <w:szCs w:val="28"/>
          <w:lang w:val="uk-UA"/>
        </w:rPr>
        <w:t>ку</w:t>
      </w:r>
      <w:r w:rsidRPr="00165D55">
        <w:rPr>
          <w:sz w:val="28"/>
          <w:szCs w:val="28"/>
        </w:rPr>
        <w:t xml:space="preserve"> г</w:t>
      </w:r>
      <w:r w:rsidRPr="00165D55">
        <w:rPr>
          <w:sz w:val="28"/>
          <w:szCs w:val="28"/>
          <w:lang w:val="uk-UA"/>
        </w:rPr>
        <w:t>і</w:t>
      </w:r>
      <w:r w:rsidRPr="00165D55">
        <w:rPr>
          <w:sz w:val="28"/>
          <w:szCs w:val="28"/>
        </w:rPr>
        <w:t>пертроф</w:t>
      </w:r>
      <w:r w:rsidRPr="00165D55">
        <w:rPr>
          <w:sz w:val="28"/>
          <w:szCs w:val="28"/>
          <w:lang w:val="uk-UA"/>
        </w:rPr>
        <w:t>ії</w:t>
      </w:r>
      <w:r w:rsidRPr="00165D55">
        <w:rPr>
          <w:sz w:val="28"/>
          <w:szCs w:val="28"/>
        </w:rPr>
        <w:t xml:space="preserve"> л</w:t>
      </w:r>
      <w:r w:rsidRPr="00165D55">
        <w:rPr>
          <w:sz w:val="28"/>
          <w:szCs w:val="28"/>
          <w:lang w:val="uk-UA"/>
        </w:rPr>
        <w:t>і</w:t>
      </w:r>
      <w:r w:rsidRPr="00165D55">
        <w:rPr>
          <w:sz w:val="28"/>
          <w:szCs w:val="28"/>
        </w:rPr>
        <w:t xml:space="preserve">вого </w:t>
      </w:r>
      <w:r w:rsidRPr="00165D55">
        <w:rPr>
          <w:sz w:val="28"/>
          <w:szCs w:val="28"/>
          <w:lang w:val="uk-UA"/>
        </w:rPr>
        <w:t>ш</w:t>
      </w:r>
      <w:r w:rsidRPr="00165D55">
        <w:rPr>
          <w:sz w:val="28"/>
          <w:szCs w:val="28"/>
        </w:rPr>
        <w:t>лу</w:t>
      </w:r>
      <w:r w:rsidRPr="00165D55">
        <w:rPr>
          <w:sz w:val="28"/>
          <w:szCs w:val="28"/>
          <w:lang w:val="uk-UA"/>
        </w:rPr>
        <w:t>н</w:t>
      </w:r>
      <w:r w:rsidRPr="00165D55">
        <w:rPr>
          <w:sz w:val="28"/>
          <w:szCs w:val="28"/>
        </w:rPr>
        <w:t>очк</w:t>
      </w:r>
      <w:r w:rsidRPr="00165D55">
        <w:rPr>
          <w:sz w:val="28"/>
          <w:szCs w:val="28"/>
          <w:lang w:val="uk-UA"/>
        </w:rPr>
        <w:t>у (ГЛШ)</w:t>
      </w:r>
      <w:r w:rsidRPr="00165D55">
        <w:rPr>
          <w:sz w:val="28"/>
          <w:szCs w:val="28"/>
        </w:rPr>
        <w:t xml:space="preserve"> </w:t>
      </w:r>
      <w:r w:rsidRPr="00165D55">
        <w:rPr>
          <w:sz w:val="28"/>
          <w:szCs w:val="28"/>
          <w:lang w:val="uk-UA"/>
        </w:rPr>
        <w:t>та</w:t>
      </w:r>
      <w:r w:rsidRPr="00165D55">
        <w:rPr>
          <w:sz w:val="28"/>
          <w:szCs w:val="28"/>
        </w:rPr>
        <w:t xml:space="preserve"> д</w:t>
      </w:r>
      <w:r w:rsidRPr="00165D55">
        <w:rPr>
          <w:sz w:val="28"/>
          <w:szCs w:val="28"/>
          <w:lang w:val="uk-UA"/>
        </w:rPr>
        <w:t>і</w:t>
      </w:r>
      <w:r w:rsidRPr="00165D55">
        <w:rPr>
          <w:sz w:val="28"/>
          <w:szCs w:val="28"/>
        </w:rPr>
        <w:t>астол</w:t>
      </w:r>
      <w:r w:rsidRPr="00165D55">
        <w:rPr>
          <w:sz w:val="28"/>
          <w:szCs w:val="28"/>
          <w:lang w:val="uk-UA"/>
        </w:rPr>
        <w:t>і</w:t>
      </w:r>
      <w:r w:rsidRPr="00165D55">
        <w:rPr>
          <w:sz w:val="28"/>
          <w:szCs w:val="28"/>
        </w:rPr>
        <w:t>ч</w:t>
      </w:r>
      <w:r w:rsidRPr="00165D55">
        <w:rPr>
          <w:sz w:val="28"/>
          <w:szCs w:val="28"/>
          <w:lang w:val="uk-UA"/>
        </w:rPr>
        <w:t xml:space="preserve">ної, а у подальшому – </w:t>
      </w:r>
      <w:r w:rsidRPr="00165D55">
        <w:rPr>
          <w:sz w:val="28"/>
          <w:szCs w:val="28"/>
        </w:rPr>
        <w:t>систол</w:t>
      </w:r>
      <w:r w:rsidRPr="00165D55">
        <w:rPr>
          <w:sz w:val="28"/>
          <w:szCs w:val="28"/>
          <w:lang w:val="uk-UA"/>
        </w:rPr>
        <w:t>і</w:t>
      </w:r>
      <w:r w:rsidRPr="00165D55">
        <w:rPr>
          <w:sz w:val="28"/>
          <w:szCs w:val="28"/>
        </w:rPr>
        <w:t>ч</w:t>
      </w:r>
      <w:r w:rsidRPr="00165D55">
        <w:rPr>
          <w:sz w:val="28"/>
          <w:szCs w:val="28"/>
          <w:lang w:val="uk-UA"/>
        </w:rPr>
        <w:t>н</w:t>
      </w:r>
      <w:r w:rsidRPr="00165D55">
        <w:rPr>
          <w:sz w:val="28"/>
          <w:szCs w:val="28"/>
        </w:rPr>
        <w:t>о</w:t>
      </w:r>
      <w:r w:rsidRPr="00165D55">
        <w:rPr>
          <w:sz w:val="28"/>
          <w:szCs w:val="28"/>
          <w:lang w:val="uk-UA"/>
        </w:rPr>
        <w:t>ї</w:t>
      </w:r>
      <w:r w:rsidRPr="00165D55">
        <w:rPr>
          <w:sz w:val="28"/>
          <w:szCs w:val="28"/>
        </w:rPr>
        <w:t xml:space="preserve"> дисфункц</w:t>
      </w:r>
      <w:r w:rsidRPr="00165D55">
        <w:rPr>
          <w:sz w:val="28"/>
          <w:szCs w:val="28"/>
          <w:lang w:val="uk-UA"/>
        </w:rPr>
        <w:t>ії ЛШ і розвитку серцевої недостатності</w:t>
      </w:r>
      <w:r w:rsidRPr="00165D55">
        <w:rPr>
          <w:sz w:val="28"/>
          <w:szCs w:val="28"/>
        </w:rPr>
        <w:t xml:space="preserve"> на фон</w:t>
      </w:r>
      <w:r w:rsidRPr="00165D55">
        <w:rPr>
          <w:sz w:val="28"/>
          <w:szCs w:val="28"/>
          <w:lang w:val="uk-UA"/>
        </w:rPr>
        <w:t>і</w:t>
      </w:r>
      <w:r w:rsidRPr="00165D55">
        <w:rPr>
          <w:sz w:val="28"/>
          <w:szCs w:val="28"/>
        </w:rPr>
        <w:t xml:space="preserve"> </w:t>
      </w:r>
      <w:r w:rsidRPr="00165D55">
        <w:rPr>
          <w:sz w:val="28"/>
          <w:szCs w:val="28"/>
          <w:lang w:val="uk-UA"/>
        </w:rPr>
        <w:t>збільше</w:t>
      </w:r>
      <w:r w:rsidRPr="00165D55">
        <w:rPr>
          <w:sz w:val="28"/>
          <w:szCs w:val="28"/>
        </w:rPr>
        <w:t>н</w:t>
      </w:r>
      <w:r>
        <w:rPr>
          <w:sz w:val="28"/>
          <w:szCs w:val="28"/>
          <w:lang w:val="uk-UA"/>
        </w:rPr>
        <w:t>ого</w:t>
      </w:r>
      <w:r w:rsidRPr="00165D55">
        <w:rPr>
          <w:sz w:val="28"/>
          <w:szCs w:val="28"/>
        </w:rPr>
        <w:t xml:space="preserve"> </w:t>
      </w:r>
      <w:r w:rsidRPr="00165D55">
        <w:rPr>
          <w:sz w:val="28"/>
          <w:szCs w:val="28"/>
          <w:lang w:val="uk-UA"/>
        </w:rPr>
        <w:t>об’єму циркулюючої крові</w:t>
      </w:r>
      <w:r w:rsidRPr="00165D55">
        <w:rPr>
          <w:sz w:val="28"/>
          <w:szCs w:val="28"/>
        </w:rPr>
        <w:t xml:space="preserve"> (</w:t>
      </w:r>
      <w:r w:rsidRPr="00165D55">
        <w:rPr>
          <w:sz w:val="28"/>
          <w:szCs w:val="28"/>
          <w:lang w:val="en-US"/>
        </w:rPr>
        <w:t>Vasan</w:t>
      </w:r>
      <w:r w:rsidRPr="00165D55">
        <w:rPr>
          <w:sz w:val="28"/>
          <w:szCs w:val="28"/>
        </w:rPr>
        <w:t xml:space="preserve"> </w:t>
      </w:r>
      <w:r w:rsidRPr="00165D55">
        <w:rPr>
          <w:sz w:val="28"/>
          <w:szCs w:val="28"/>
          <w:lang w:val="en-US"/>
        </w:rPr>
        <w:t>R</w:t>
      </w:r>
      <w:r w:rsidRPr="00165D55">
        <w:rPr>
          <w:sz w:val="28"/>
          <w:szCs w:val="28"/>
        </w:rPr>
        <w:t>.</w:t>
      </w:r>
      <w:r w:rsidRPr="00165D55">
        <w:rPr>
          <w:sz w:val="28"/>
          <w:szCs w:val="28"/>
          <w:lang w:val="en-US"/>
        </w:rPr>
        <w:t>S</w:t>
      </w:r>
      <w:r w:rsidRPr="00165D55">
        <w:rPr>
          <w:sz w:val="28"/>
          <w:szCs w:val="28"/>
        </w:rPr>
        <w:t>., 2003).</w:t>
      </w:r>
      <w:r>
        <w:rPr>
          <w:sz w:val="28"/>
          <w:szCs w:val="28"/>
          <w:lang w:val="uk-UA"/>
        </w:rPr>
        <w:t xml:space="preserve"> Доведено, що ГЛШ має більш суттєве</w:t>
      </w:r>
      <w:r w:rsidRPr="00165D55">
        <w:rPr>
          <w:sz w:val="28"/>
          <w:szCs w:val="28"/>
          <w:lang w:val="uk-UA"/>
        </w:rPr>
        <w:t xml:space="preserve"> значення як фактор ризику, ніж рівень артеріального тиску (АТ), отриманий як при добовому моніторуванні АТ, так і при офісному його вимірюванні (</w:t>
      </w:r>
      <w:r w:rsidRPr="00165D55">
        <w:rPr>
          <w:sz w:val="28"/>
          <w:szCs w:val="28"/>
          <w:lang w:val="en-US"/>
        </w:rPr>
        <w:t>Benjamin</w:t>
      </w:r>
      <w:r w:rsidRPr="00165D55">
        <w:rPr>
          <w:sz w:val="28"/>
          <w:szCs w:val="28"/>
          <w:lang w:val="uk-UA"/>
        </w:rPr>
        <w:t xml:space="preserve"> </w:t>
      </w:r>
      <w:r w:rsidRPr="00165D55">
        <w:rPr>
          <w:sz w:val="28"/>
          <w:szCs w:val="28"/>
          <w:lang w:val="en-US"/>
        </w:rPr>
        <w:t>E</w:t>
      </w:r>
      <w:r w:rsidRPr="00165D55">
        <w:rPr>
          <w:sz w:val="28"/>
          <w:szCs w:val="28"/>
          <w:lang w:val="uk-UA"/>
        </w:rPr>
        <w:t>.</w:t>
      </w:r>
      <w:r w:rsidRPr="00165D55">
        <w:rPr>
          <w:sz w:val="28"/>
          <w:szCs w:val="28"/>
          <w:lang w:val="en-US"/>
        </w:rPr>
        <w:t>J</w:t>
      </w:r>
      <w:r w:rsidRPr="00165D55">
        <w:rPr>
          <w:sz w:val="28"/>
          <w:szCs w:val="28"/>
          <w:lang w:val="uk-UA"/>
        </w:rPr>
        <w:t>., 1999).</w:t>
      </w:r>
      <w:r w:rsidRPr="008A73DD">
        <w:rPr>
          <w:sz w:val="28"/>
          <w:szCs w:val="28"/>
          <w:lang w:val="uk-UA"/>
        </w:rPr>
        <w:t xml:space="preserve"> </w:t>
      </w:r>
      <w:r w:rsidRPr="00165D55">
        <w:rPr>
          <w:sz w:val="28"/>
          <w:szCs w:val="28"/>
          <w:lang w:val="uk-UA"/>
        </w:rPr>
        <w:t>У хворих із однаковим рівнем АТ смертність зростає у 4 рази при наявності ГЛШ</w:t>
      </w:r>
      <w:r w:rsidRPr="00165D55">
        <w:rPr>
          <w:b/>
          <w:sz w:val="28"/>
          <w:szCs w:val="28"/>
        </w:rPr>
        <w:t xml:space="preserve"> </w:t>
      </w:r>
      <w:r w:rsidRPr="00165D55">
        <w:rPr>
          <w:sz w:val="28"/>
          <w:szCs w:val="28"/>
          <w:lang w:val="uk-UA"/>
        </w:rPr>
        <w:t>(</w:t>
      </w:r>
      <w:r w:rsidRPr="00165D55">
        <w:rPr>
          <w:sz w:val="28"/>
          <w:szCs w:val="28"/>
          <w:lang w:val="en-US"/>
        </w:rPr>
        <w:t>Wilson</w:t>
      </w:r>
      <w:r w:rsidRPr="00165D55">
        <w:rPr>
          <w:sz w:val="28"/>
          <w:szCs w:val="28"/>
        </w:rPr>
        <w:t xml:space="preserve"> </w:t>
      </w:r>
      <w:r w:rsidRPr="00165D55">
        <w:rPr>
          <w:sz w:val="28"/>
          <w:szCs w:val="28"/>
          <w:lang w:val="en-US"/>
        </w:rPr>
        <w:t>P</w:t>
      </w:r>
      <w:r w:rsidRPr="00165D55">
        <w:rPr>
          <w:sz w:val="28"/>
          <w:szCs w:val="28"/>
        </w:rPr>
        <w:t>.</w:t>
      </w:r>
      <w:r w:rsidRPr="00165D55">
        <w:rPr>
          <w:sz w:val="28"/>
          <w:szCs w:val="28"/>
          <w:lang w:val="en-US"/>
        </w:rPr>
        <w:t>W</w:t>
      </w:r>
      <w:r w:rsidRPr="00165D55">
        <w:rPr>
          <w:sz w:val="28"/>
          <w:szCs w:val="28"/>
        </w:rPr>
        <w:t>.,</w:t>
      </w:r>
      <w:r w:rsidRPr="00165D55">
        <w:rPr>
          <w:sz w:val="28"/>
          <w:szCs w:val="28"/>
          <w:lang w:val="uk-UA"/>
        </w:rPr>
        <w:t xml:space="preserve"> 2002). Вираженість ГЛШ визначається віком, статтю, расою, масою тіла, типом та ступенем</w:t>
      </w:r>
      <w:r>
        <w:rPr>
          <w:sz w:val="28"/>
          <w:szCs w:val="28"/>
          <w:lang w:val="uk-UA"/>
        </w:rPr>
        <w:t xml:space="preserve"> ожиріння, рів</w:t>
      </w:r>
      <w:r w:rsidRPr="00165D55">
        <w:rPr>
          <w:sz w:val="28"/>
          <w:szCs w:val="28"/>
          <w:lang w:val="uk-UA"/>
        </w:rPr>
        <w:t xml:space="preserve">нем інсулінемії, іншими метаболічними та гуморальними порушеннями, рівнем АТ, тривалістю захворювання </w:t>
      </w:r>
      <w:r>
        <w:rPr>
          <w:sz w:val="28"/>
          <w:szCs w:val="28"/>
          <w:lang w:val="uk-UA"/>
        </w:rPr>
        <w:t xml:space="preserve">на АГ </w:t>
      </w:r>
      <w:r w:rsidRPr="00165D55">
        <w:rPr>
          <w:sz w:val="28"/>
          <w:szCs w:val="28"/>
          <w:lang w:val="uk-UA"/>
        </w:rPr>
        <w:t>та генетичними факторами (</w:t>
      </w:r>
      <w:r w:rsidRPr="00165D55">
        <w:rPr>
          <w:sz w:val="28"/>
          <w:szCs w:val="28"/>
          <w:lang w:val="en-US"/>
        </w:rPr>
        <w:t>Cuspidi</w:t>
      </w:r>
      <w:r w:rsidRPr="00165D55">
        <w:rPr>
          <w:sz w:val="28"/>
          <w:szCs w:val="28"/>
          <w:lang w:val="uk-UA"/>
        </w:rPr>
        <w:t xml:space="preserve"> </w:t>
      </w:r>
      <w:r w:rsidRPr="00165D55">
        <w:rPr>
          <w:sz w:val="28"/>
          <w:szCs w:val="28"/>
          <w:lang w:val="en-US"/>
        </w:rPr>
        <w:t>C</w:t>
      </w:r>
      <w:r w:rsidRPr="00165D55">
        <w:rPr>
          <w:sz w:val="28"/>
          <w:szCs w:val="28"/>
          <w:lang w:val="uk-UA"/>
        </w:rPr>
        <w:t xml:space="preserve">., 2007; </w:t>
      </w:r>
      <w:r w:rsidRPr="00165D55">
        <w:rPr>
          <w:sz w:val="28"/>
          <w:szCs w:val="28"/>
          <w:lang w:val="en-US"/>
        </w:rPr>
        <w:t>Grandi</w:t>
      </w:r>
      <w:r w:rsidRPr="00165D55">
        <w:rPr>
          <w:sz w:val="28"/>
          <w:szCs w:val="28"/>
          <w:lang w:val="uk-UA"/>
        </w:rPr>
        <w:t xml:space="preserve"> </w:t>
      </w:r>
      <w:r w:rsidRPr="00165D55">
        <w:rPr>
          <w:sz w:val="28"/>
          <w:szCs w:val="28"/>
          <w:lang w:val="en-US"/>
        </w:rPr>
        <w:t>A</w:t>
      </w:r>
      <w:r w:rsidRPr="00165D55">
        <w:rPr>
          <w:sz w:val="28"/>
          <w:szCs w:val="28"/>
          <w:lang w:val="uk-UA"/>
        </w:rPr>
        <w:t>.</w:t>
      </w:r>
      <w:r w:rsidRPr="00165D55">
        <w:rPr>
          <w:sz w:val="28"/>
          <w:szCs w:val="28"/>
          <w:lang w:val="en-US"/>
        </w:rPr>
        <w:t>M</w:t>
      </w:r>
      <w:r w:rsidRPr="00165D55">
        <w:rPr>
          <w:sz w:val="28"/>
          <w:szCs w:val="28"/>
          <w:lang w:val="uk-UA"/>
        </w:rPr>
        <w:t>., 2006; Шляхто Е.В.,</w:t>
      </w:r>
      <w:r>
        <w:rPr>
          <w:sz w:val="28"/>
          <w:szCs w:val="28"/>
          <w:lang w:val="uk-UA"/>
        </w:rPr>
        <w:t xml:space="preserve"> </w:t>
      </w:r>
      <w:r w:rsidRPr="00165D55">
        <w:rPr>
          <w:sz w:val="28"/>
          <w:szCs w:val="28"/>
          <w:lang w:val="uk-UA"/>
        </w:rPr>
        <w:t>2002). При МС гіпертензивне серце характеризується значно вираженою гіпертрофією та раннім формуванням діастолічної дисфункції ЛШ (</w:t>
      </w:r>
      <w:r w:rsidRPr="00165D55">
        <w:rPr>
          <w:sz w:val="28"/>
          <w:szCs w:val="28"/>
          <w:lang w:val="en-US"/>
        </w:rPr>
        <w:t>Leoncini</w:t>
      </w:r>
      <w:r w:rsidRPr="00165D55">
        <w:rPr>
          <w:sz w:val="28"/>
          <w:szCs w:val="28"/>
          <w:lang w:val="uk-UA"/>
        </w:rPr>
        <w:t xml:space="preserve"> </w:t>
      </w:r>
      <w:r w:rsidRPr="00165D55">
        <w:rPr>
          <w:sz w:val="28"/>
          <w:szCs w:val="28"/>
          <w:lang w:val="en-US"/>
        </w:rPr>
        <w:t>G</w:t>
      </w:r>
      <w:r w:rsidRPr="00165D55">
        <w:rPr>
          <w:sz w:val="28"/>
          <w:szCs w:val="28"/>
          <w:lang w:val="uk-UA"/>
        </w:rPr>
        <w:t>., 2005). Метааналіз 11 досліджень продемонстрував, що розповсюдженість ГЛШ в популяції гіпертензивних пацієнтів може коливатися від 14% до 44% (</w:t>
      </w:r>
      <w:r w:rsidRPr="00165D55">
        <w:rPr>
          <w:sz w:val="28"/>
          <w:szCs w:val="28"/>
          <w:lang w:val="en-US"/>
        </w:rPr>
        <w:t>Foppa</w:t>
      </w:r>
      <w:r w:rsidRPr="00165D55">
        <w:rPr>
          <w:sz w:val="28"/>
          <w:szCs w:val="28"/>
          <w:lang w:val="uk-UA"/>
        </w:rPr>
        <w:t xml:space="preserve"> </w:t>
      </w:r>
      <w:r w:rsidRPr="00165D55">
        <w:rPr>
          <w:sz w:val="28"/>
          <w:szCs w:val="28"/>
          <w:lang w:val="en-US"/>
        </w:rPr>
        <w:t>M</w:t>
      </w:r>
      <w:r w:rsidRPr="00165D55">
        <w:rPr>
          <w:sz w:val="28"/>
          <w:szCs w:val="28"/>
          <w:lang w:val="uk-UA"/>
        </w:rPr>
        <w:t xml:space="preserve">., 2006). Такі великі </w:t>
      </w:r>
      <w:r>
        <w:rPr>
          <w:sz w:val="28"/>
          <w:szCs w:val="28"/>
          <w:lang w:val="uk-UA"/>
        </w:rPr>
        <w:t>розбіжно</w:t>
      </w:r>
      <w:r w:rsidRPr="00165D55">
        <w:rPr>
          <w:sz w:val="28"/>
          <w:szCs w:val="28"/>
          <w:lang w:val="uk-UA"/>
        </w:rPr>
        <w:t>сті даних про розповсюдженість ГЛШ багато у чому можуть бути пов’язані із використанням різної індексації маси лівого шлуночка</w:t>
      </w:r>
      <w:r>
        <w:rPr>
          <w:sz w:val="28"/>
          <w:szCs w:val="28"/>
          <w:lang w:val="uk-UA"/>
        </w:rPr>
        <w:t xml:space="preserve"> (МЛШ)</w:t>
      </w:r>
      <w:r w:rsidRPr="00165D55">
        <w:rPr>
          <w:sz w:val="28"/>
          <w:szCs w:val="28"/>
          <w:lang w:val="uk-UA"/>
        </w:rPr>
        <w:t>. За</w:t>
      </w:r>
      <w:r w:rsidRPr="00165D55">
        <w:rPr>
          <w:sz w:val="28"/>
          <w:szCs w:val="28"/>
        </w:rPr>
        <w:t xml:space="preserve"> дан</w:t>
      </w:r>
      <w:r w:rsidRPr="00165D55">
        <w:rPr>
          <w:sz w:val="28"/>
          <w:szCs w:val="28"/>
          <w:lang w:val="uk-UA"/>
        </w:rPr>
        <w:t>ими</w:t>
      </w:r>
      <w:r w:rsidRPr="00165D55">
        <w:rPr>
          <w:sz w:val="28"/>
          <w:szCs w:val="28"/>
        </w:rPr>
        <w:t xml:space="preserve"> кл</w:t>
      </w:r>
      <w:r w:rsidRPr="00165D55">
        <w:rPr>
          <w:sz w:val="28"/>
          <w:szCs w:val="28"/>
          <w:lang w:val="uk-UA"/>
        </w:rPr>
        <w:t>і</w:t>
      </w:r>
      <w:r w:rsidRPr="00165D55">
        <w:rPr>
          <w:sz w:val="28"/>
          <w:szCs w:val="28"/>
        </w:rPr>
        <w:t>н</w:t>
      </w:r>
      <w:r w:rsidRPr="00165D55">
        <w:rPr>
          <w:sz w:val="28"/>
          <w:szCs w:val="28"/>
          <w:lang w:val="uk-UA"/>
        </w:rPr>
        <w:t>і</w:t>
      </w:r>
      <w:r w:rsidRPr="00165D55">
        <w:rPr>
          <w:sz w:val="28"/>
          <w:szCs w:val="28"/>
        </w:rPr>
        <w:t>ч</w:t>
      </w:r>
      <w:r w:rsidRPr="00165D55">
        <w:rPr>
          <w:sz w:val="28"/>
          <w:szCs w:val="28"/>
          <w:lang w:val="uk-UA"/>
        </w:rPr>
        <w:t>н</w:t>
      </w:r>
      <w:r w:rsidRPr="00165D55">
        <w:rPr>
          <w:sz w:val="28"/>
          <w:szCs w:val="28"/>
        </w:rPr>
        <w:t xml:space="preserve">их </w:t>
      </w:r>
      <w:r w:rsidRPr="00165D55">
        <w:rPr>
          <w:sz w:val="28"/>
          <w:szCs w:val="28"/>
          <w:lang w:val="uk-UA"/>
        </w:rPr>
        <w:t>до</w:t>
      </w:r>
      <w:r w:rsidRPr="00165D55">
        <w:rPr>
          <w:sz w:val="28"/>
          <w:szCs w:val="28"/>
        </w:rPr>
        <w:t>сл</w:t>
      </w:r>
      <w:r w:rsidRPr="00165D55">
        <w:rPr>
          <w:sz w:val="28"/>
          <w:szCs w:val="28"/>
          <w:lang w:val="uk-UA"/>
        </w:rPr>
        <w:t>і</w:t>
      </w:r>
      <w:r w:rsidRPr="00165D55">
        <w:rPr>
          <w:sz w:val="28"/>
          <w:szCs w:val="28"/>
        </w:rPr>
        <w:t>д</w:t>
      </w:r>
      <w:r w:rsidRPr="00165D55">
        <w:rPr>
          <w:sz w:val="28"/>
          <w:szCs w:val="28"/>
          <w:lang w:val="uk-UA"/>
        </w:rPr>
        <w:t>же</w:t>
      </w:r>
      <w:r w:rsidRPr="00165D55">
        <w:rPr>
          <w:sz w:val="28"/>
          <w:szCs w:val="28"/>
        </w:rPr>
        <w:t>н</w:t>
      </w:r>
      <w:r w:rsidRPr="00165D55">
        <w:rPr>
          <w:sz w:val="28"/>
          <w:szCs w:val="28"/>
          <w:lang w:val="uk-UA"/>
        </w:rPr>
        <w:t>ь</w:t>
      </w:r>
      <w:r w:rsidRPr="00165D55">
        <w:rPr>
          <w:sz w:val="28"/>
          <w:szCs w:val="28"/>
        </w:rPr>
        <w:t xml:space="preserve"> </w:t>
      </w:r>
      <w:r w:rsidRPr="00165D55">
        <w:rPr>
          <w:sz w:val="28"/>
          <w:szCs w:val="28"/>
          <w:lang w:val="uk-UA"/>
        </w:rPr>
        <w:t>було за</w:t>
      </w:r>
      <w:r w:rsidRPr="00165D55">
        <w:rPr>
          <w:sz w:val="28"/>
          <w:szCs w:val="28"/>
        </w:rPr>
        <w:t>пр</w:t>
      </w:r>
      <w:r w:rsidRPr="00165D55">
        <w:rPr>
          <w:sz w:val="28"/>
          <w:szCs w:val="28"/>
          <w:lang w:val="uk-UA"/>
        </w:rPr>
        <w:t>оп</w:t>
      </w:r>
      <w:r w:rsidRPr="00165D55">
        <w:rPr>
          <w:sz w:val="28"/>
          <w:szCs w:val="28"/>
        </w:rPr>
        <w:t>о</w:t>
      </w:r>
      <w:r w:rsidRPr="00165D55">
        <w:rPr>
          <w:sz w:val="28"/>
          <w:szCs w:val="28"/>
          <w:lang w:val="uk-UA"/>
        </w:rPr>
        <w:t>нова</w:t>
      </w:r>
      <w:r w:rsidRPr="00165D55">
        <w:rPr>
          <w:sz w:val="28"/>
          <w:szCs w:val="28"/>
        </w:rPr>
        <w:t xml:space="preserve">но </w:t>
      </w:r>
      <w:r w:rsidRPr="00165D55">
        <w:rPr>
          <w:sz w:val="28"/>
          <w:szCs w:val="28"/>
          <w:lang w:val="uk-UA"/>
        </w:rPr>
        <w:t>багато різних підходів до обчислення</w:t>
      </w:r>
      <w:r w:rsidRPr="00165D55">
        <w:rPr>
          <w:sz w:val="28"/>
          <w:szCs w:val="28"/>
        </w:rPr>
        <w:t xml:space="preserve"> величин </w:t>
      </w:r>
      <w:r w:rsidRPr="00165D55">
        <w:rPr>
          <w:sz w:val="28"/>
          <w:szCs w:val="28"/>
          <w:lang w:val="uk-UA"/>
        </w:rPr>
        <w:t>і</w:t>
      </w:r>
      <w:r w:rsidRPr="00165D55">
        <w:rPr>
          <w:sz w:val="28"/>
          <w:szCs w:val="28"/>
        </w:rPr>
        <w:t>ндекс</w:t>
      </w:r>
      <w:r w:rsidRPr="00165D55">
        <w:rPr>
          <w:sz w:val="28"/>
          <w:szCs w:val="28"/>
          <w:lang w:val="uk-UA"/>
        </w:rPr>
        <w:t>у</w:t>
      </w:r>
      <w:r>
        <w:rPr>
          <w:sz w:val="28"/>
          <w:szCs w:val="28"/>
        </w:rPr>
        <w:t xml:space="preserve"> </w:t>
      </w:r>
      <w:r>
        <w:rPr>
          <w:sz w:val="28"/>
          <w:szCs w:val="28"/>
          <w:lang w:val="uk-UA"/>
        </w:rPr>
        <w:t>М</w:t>
      </w:r>
      <w:r w:rsidRPr="00165D55">
        <w:rPr>
          <w:sz w:val="28"/>
          <w:szCs w:val="28"/>
        </w:rPr>
        <w:t>Л</w:t>
      </w:r>
      <w:r w:rsidRPr="00165D55">
        <w:rPr>
          <w:sz w:val="28"/>
          <w:szCs w:val="28"/>
          <w:lang w:val="uk-UA"/>
        </w:rPr>
        <w:t>Ш</w:t>
      </w:r>
      <w:r w:rsidRPr="00165D55">
        <w:rPr>
          <w:sz w:val="28"/>
          <w:szCs w:val="28"/>
        </w:rPr>
        <w:t xml:space="preserve"> </w:t>
      </w:r>
      <w:r w:rsidRPr="00165D55">
        <w:rPr>
          <w:sz w:val="28"/>
          <w:szCs w:val="28"/>
        </w:rPr>
        <w:lastRenderedPageBreak/>
        <w:t>(</w:t>
      </w:r>
      <w:r w:rsidRPr="00165D55">
        <w:rPr>
          <w:sz w:val="28"/>
          <w:szCs w:val="28"/>
          <w:lang w:val="uk-UA"/>
        </w:rPr>
        <w:t>І</w:t>
      </w:r>
      <w:r w:rsidRPr="00165D55">
        <w:rPr>
          <w:sz w:val="28"/>
          <w:szCs w:val="28"/>
        </w:rPr>
        <w:t>МЛ</w:t>
      </w:r>
      <w:r w:rsidRPr="00165D55">
        <w:rPr>
          <w:sz w:val="28"/>
          <w:szCs w:val="28"/>
          <w:lang w:val="uk-UA"/>
        </w:rPr>
        <w:t>Ш</w:t>
      </w:r>
      <w:r w:rsidRPr="00165D55">
        <w:rPr>
          <w:sz w:val="28"/>
          <w:szCs w:val="28"/>
        </w:rPr>
        <w:t xml:space="preserve">) </w:t>
      </w:r>
      <w:r w:rsidRPr="00165D55">
        <w:rPr>
          <w:sz w:val="28"/>
          <w:szCs w:val="28"/>
          <w:lang w:val="uk-UA"/>
        </w:rPr>
        <w:t>я</w:t>
      </w:r>
      <w:r w:rsidRPr="00165D55">
        <w:rPr>
          <w:sz w:val="28"/>
          <w:szCs w:val="28"/>
        </w:rPr>
        <w:t xml:space="preserve">к </w:t>
      </w:r>
      <w:r w:rsidRPr="00165D55">
        <w:rPr>
          <w:sz w:val="28"/>
          <w:szCs w:val="28"/>
          <w:lang w:val="uk-UA"/>
        </w:rPr>
        <w:t>з</w:t>
      </w:r>
      <w:r w:rsidRPr="00165D55">
        <w:rPr>
          <w:sz w:val="28"/>
          <w:szCs w:val="28"/>
        </w:rPr>
        <w:t xml:space="preserve"> у</w:t>
      </w:r>
      <w:r w:rsidRPr="00165D55">
        <w:rPr>
          <w:sz w:val="28"/>
          <w:szCs w:val="28"/>
          <w:lang w:val="uk-UA"/>
        </w:rPr>
        <w:t>рахуванням статі</w:t>
      </w:r>
      <w:r w:rsidRPr="00165D55">
        <w:rPr>
          <w:sz w:val="28"/>
          <w:szCs w:val="28"/>
        </w:rPr>
        <w:t xml:space="preserve"> пац</w:t>
      </w:r>
      <w:r w:rsidRPr="00165D55">
        <w:rPr>
          <w:sz w:val="28"/>
          <w:szCs w:val="28"/>
          <w:lang w:val="uk-UA"/>
        </w:rPr>
        <w:t>іє</w:t>
      </w:r>
      <w:r w:rsidRPr="00165D55">
        <w:rPr>
          <w:sz w:val="28"/>
          <w:szCs w:val="28"/>
        </w:rPr>
        <w:t xml:space="preserve">нта, так </w:t>
      </w:r>
      <w:r w:rsidRPr="00165D55">
        <w:rPr>
          <w:sz w:val="28"/>
          <w:szCs w:val="28"/>
          <w:lang w:val="uk-UA"/>
        </w:rPr>
        <w:t>і</w:t>
      </w:r>
      <w:r w:rsidRPr="00165D55">
        <w:rPr>
          <w:sz w:val="28"/>
          <w:szCs w:val="28"/>
        </w:rPr>
        <w:t xml:space="preserve"> без. </w:t>
      </w:r>
      <w:r>
        <w:rPr>
          <w:sz w:val="28"/>
          <w:szCs w:val="28"/>
        </w:rPr>
        <w:t>Як насл</w:t>
      </w:r>
      <w:r>
        <w:rPr>
          <w:sz w:val="28"/>
          <w:szCs w:val="28"/>
          <w:lang w:val="uk-UA"/>
        </w:rPr>
        <w:t>і</w:t>
      </w:r>
      <w:r>
        <w:rPr>
          <w:sz w:val="28"/>
          <w:szCs w:val="28"/>
        </w:rPr>
        <w:t>док</w:t>
      </w:r>
      <w:r>
        <w:rPr>
          <w:sz w:val="28"/>
          <w:szCs w:val="28"/>
          <w:lang w:val="uk-UA"/>
        </w:rPr>
        <w:t>,</w:t>
      </w:r>
      <w:r>
        <w:rPr>
          <w:sz w:val="28"/>
          <w:szCs w:val="28"/>
        </w:rPr>
        <w:t xml:space="preserve"> </w:t>
      </w:r>
      <w:r>
        <w:rPr>
          <w:sz w:val="28"/>
          <w:szCs w:val="28"/>
          <w:lang w:val="uk-UA"/>
        </w:rPr>
        <w:t>і</w:t>
      </w:r>
      <w:r>
        <w:rPr>
          <w:sz w:val="28"/>
          <w:szCs w:val="28"/>
        </w:rPr>
        <w:t>сну</w:t>
      </w:r>
      <w:r>
        <w:rPr>
          <w:sz w:val="28"/>
          <w:szCs w:val="28"/>
          <w:lang w:val="uk-UA"/>
        </w:rPr>
        <w:t>є</w:t>
      </w:r>
      <w:r>
        <w:rPr>
          <w:sz w:val="28"/>
          <w:szCs w:val="28"/>
        </w:rPr>
        <w:t xml:space="preserve"> можлив</w:t>
      </w:r>
      <w:r>
        <w:rPr>
          <w:sz w:val="28"/>
          <w:szCs w:val="28"/>
          <w:lang w:val="uk-UA"/>
        </w:rPr>
        <w:t>і</w:t>
      </w:r>
      <w:r>
        <w:rPr>
          <w:sz w:val="28"/>
          <w:szCs w:val="28"/>
        </w:rPr>
        <w:t>сть отримати</w:t>
      </w:r>
      <w:r>
        <w:rPr>
          <w:sz w:val="28"/>
          <w:szCs w:val="28"/>
          <w:lang w:val="uk-UA"/>
        </w:rPr>
        <w:t xml:space="preserve"> відмінні висновки про наявність ГЛШ у одного й того ж хворого (Ковальова О.М., 2005). </w:t>
      </w:r>
      <w:r w:rsidRPr="00165D55">
        <w:rPr>
          <w:sz w:val="28"/>
          <w:szCs w:val="28"/>
        </w:rPr>
        <w:t xml:space="preserve">В </w:t>
      </w:r>
      <w:r w:rsidRPr="00165D55">
        <w:rPr>
          <w:sz w:val="28"/>
          <w:szCs w:val="28"/>
          <w:lang w:val="uk-UA"/>
        </w:rPr>
        <w:t xml:space="preserve">теперішній час </w:t>
      </w:r>
      <w:r w:rsidRPr="00165D55">
        <w:rPr>
          <w:sz w:val="28"/>
          <w:szCs w:val="28"/>
        </w:rPr>
        <w:t xml:space="preserve">широко </w:t>
      </w:r>
      <w:r w:rsidRPr="00165D55">
        <w:rPr>
          <w:sz w:val="28"/>
          <w:szCs w:val="28"/>
          <w:lang w:val="uk-UA"/>
        </w:rPr>
        <w:t>в</w:t>
      </w:r>
      <w:r w:rsidRPr="00165D55">
        <w:rPr>
          <w:sz w:val="28"/>
          <w:szCs w:val="28"/>
        </w:rPr>
        <w:t>и</w:t>
      </w:r>
      <w:r w:rsidRPr="00165D55">
        <w:rPr>
          <w:sz w:val="28"/>
          <w:szCs w:val="28"/>
          <w:lang w:val="uk-UA"/>
        </w:rPr>
        <w:t>к</w:t>
      </w:r>
      <w:r w:rsidRPr="00165D55">
        <w:rPr>
          <w:sz w:val="28"/>
          <w:szCs w:val="28"/>
        </w:rPr>
        <w:t>о</w:t>
      </w:r>
      <w:r w:rsidRPr="00165D55">
        <w:rPr>
          <w:sz w:val="28"/>
          <w:szCs w:val="28"/>
          <w:lang w:val="uk-UA"/>
        </w:rPr>
        <w:t>ристов</w:t>
      </w:r>
      <w:r w:rsidRPr="00165D55">
        <w:rPr>
          <w:sz w:val="28"/>
          <w:szCs w:val="28"/>
        </w:rPr>
        <w:t>у</w:t>
      </w:r>
      <w:r w:rsidRPr="00165D55">
        <w:rPr>
          <w:sz w:val="28"/>
          <w:szCs w:val="28"/>
          <w:lang w:val="uk-UA"/>
        </w:rPr>
        <w:t>є</w:t>
      </w:r>
      <w:r w:rsidRPr="00165D55">
        <w:rPr>
          <w:sz w:val="28"/>
          <w:szCs w:val="28"/>
        </w:rPr>
        <w:t>т</w:t>
      </w:r>
      <w:r w:rsidRPr="00165D55">
        <w:rPr>
          <w:sz w:val="28"/>
          <w:szCs w:val="28"/>
          <w:lang w:val="uk-UA"/>
        </w:rPr>
        <w:t>ь</w:t>
      </w:r>
      <w:r w:rsidRPr="00165D55">
        <w:rPr>
          <w:sz w:val="28"/>
          <w:szCs w:val="28"/>
        </w:rPr>
        <w:t xml:space="preserve">ся </w:t>
      </w:r>
      <w:r w:rsidRPr="00165D55">
        <w:rPr>
          <w:sz w:val="28"/>
          <w:szCs w:val="28"/>
          <w:lang w:val="uk-UA"/>
        </w:rPr>
        <w:t>І</w:t>
      </w:r>
      <w:r w:rsidRPr="00165D55">
        <w:rPr>
          <w:sz w:val="28"/>
          <w:szCs w:val="28"/>
        </w:rPr>
        <w:t>МЛ</w:t>
      </w:r>
      <w:r w:rsidRPr="00165D55">
        <w:rPr>
          <w:sz w:val="28"/>
          <w:szCs w:val="28"/>
          <w:lang w:val="uk-UA"/>
        </w:rPr>
        <w:t xml:space="preserve">Ш </w:t>
      </w:r>
      <w:r>
        <w:rPr>
          <w:sz w:val="28"/>
          <w:szCs w:val="28"/>
          <w:lang w:val="uk-UA"/>
        </w:rPr>
        <w:t xml:space="preserve">як </w:t>
      </w:r>
      <w:r w:rsidRPr="00165D55">
        <w:rPr>
          <w:sz w:val="28"/>
          <w:szCs w:val="28"/>
          <w:lang w:val="uk-UA"/>
        </w:rPr>
        <w:t>відношення</w:t>
      </w:r>
      <w:r w:rsidRPr="00165D55">
        <w:rPr>
          <w:sz w:val="28"/>
          <w:szCs w:val="28"/>
        </w:rPr>
        <w:t xml:space="preserve"> </w:t>
      </w:r>
      <w:r w:rsidRPr="00165D55">
        <w:rPr>
          <w:sz w:val="28"/>
          <w:szCs w:val="28"/>
          <w:lang w:val="uk-UA"/>
        </w:rPr>
        <w:t>МЛШ</w:t>
      </w:r>
      <w:r w:rsidRPr="00165D55">
        <w:rPr>
          <w:sz w:val="28"/>
          <w:szCs w:val="28"/>
        </w:rPr>
        <w:t xml:space="preserve"> </w:t>
      </w:r>
      <w:r w:rsidRPr="00165D55">
        <w:rPr>
          <w:sz w:val="28"/>
          <w:szCs w:val="28"/>
          <w:lang w:val="uk-UA"/>
        </w:rPr>
        <w:t xml:space="preserve">до </w:t>
      </w:r>
      <w:r w:rsidRPr="00165D55">
        <w:rPr>
          <w:sz w:val="28"/>
          <w:szCs w:val="28"/>
        </w:rPr>
        <w:t>площ</w:t>
      </w:r>
      <w:r w:rsidRPr="00165D55">
        <w:rPr>
          <w:sz w:val="28"/>
          <w:szCs w:val="28"/>
          <w:lang w:val="uk-UA"/>
        </w:rPr>
        <w:t>і</w:t>
      </w:r>
      <w:r w:rsidRPr="00165D55">
        <w:rPr>
          <w:sz w:val="28"/>
          <w:szCs w:val="28"/>
        </w:rPr>
        <w:t xml:space="preserve"> поверхн</w:t>
      </w:r>
      <w:r w:rsidRPr="00165D55">
        <w:rPr>
          <w:sz w:val="28"/>
          <w:szCs w:val="28"/>
          <w:lang w:val="uk-UA"/>
        </w:rPr>
        <w:t xml:space="preserve">і </w:t>
      </w:r>
      <w:r w:rsidRPr="00165D55">
        <w:rPr>
          <w:sz w:val="28"/>
          <w:szCs w:val="28"/>
        </w:rPr>
        <w:t>т</w:t>
      </w:r>
      <w:r w:rsidRPr="00165D55">
        <w:rPr>
          <w:sz w:val="28"/>
          <w:szCs w:val="28"/>
          <w:lang w:val="uk-UA"/>
        </w:rPr>
        <w:t>і</w:t>
      </w:r>
      <w:r w:rsidRPr="00165D55">
        <w:rPr>
          <w:sz w:val="28"/>
          <w:szCs w:val="28"/>
        </w:rPr>
        <w:t>ла</w:t>
      </w:r>
      <w:r w:rsidRPr="00165D55">
        <w:rPr>
          <w:sz w:val="28"/>
          <w:szCs w:val="28"/>
          <w:lang w:val="uk-UA"/>
        </w:rPr>
        <w:t xml:space="preserve"> </w:t>
      </w:r>
      <w:r w:rsidRPr="00165D55">
        <w:rPr>
          <w:sz w:val="28"/>
          <w:szCs w:val="28"/>
        </w:rPr>
        <w:t>(ППТ)</w:t>
      </w:r>
      <w:r w:rsidRPr="00165D55">
        <w:rPr>
          <w:sz w:val="28"/>
          <w:szCs w:val="28"/>
          <w:lang w:val="uk-UA"/>
        </w:rPr>
        <w:t xml:space="preserve">. У 1992 </w:t>
      </w:r>
      <w:r w:rsidRPr="00165D55">
        <w:rPr>
          <w:sz w:val="28"/>
          <w:szCs w:val="28"/>
          <w:lang w:val="en-US"/>
        </w:rPr>
        <w:t>de</w:t>
      </w:r>
      <w:r w:rsidRPr="00165D55">
        <w:rPr>
          <w:sz w:val="28"/>
          <w:szCs w:val="28"/>
          <w:lang w:val="uk-UA"/>
        </w:rPr>
        <w:t xml:space="preserve"> </w:t>
      </w:r>
      <w:r w:rsidRPr="00165D55">
        <w:rPr>
          <w:sz w:val="28"/>
          <w:szCs w:val="28"/>
          <w:lang w:val="en-US"/>
        </w:rPr>
        <w:t>Simone</w:t>
      </w:r>
      <w:r w:rsidRPr="00165D55">
        <w:rPr>
          <w:sz w:val="28"/>
          <w:szCs w:val="28"/>
          <w:lang w:val="uk-UA"/>
        </w:rPr>
        <w:t xml:space="preserve"> запропоновано індексацію МЛШ до росту у степені алометричного відношення (ріст</w:t>
      </w:r>
      <w:r w:rsidRPr="00165D55">
        <w:rPr>
          <w:b/>
          <w:sz w:val="28"/>
          <w:szCs w:val="28"/>
          <w:vertAlign w:val="superscript"/>
          <w:lang w:val="uk-UA"/>
        </w:rPr>
        <w:t>2,7</w:t>
      </w:r>
      <w:r w:rsidRPr="00165D55">
        <w:rPr>
          <w:sz w:val="28"/>
          <w:szCs w:val="28"/>
          <w:lang w:val="uk-UA"/>
        </w:rPr>
        <w:t xml:space="preserve">) для </w:t>
      </w:r>
      <w:r>
        <w:rPr>
          <w:sz w:val="28"/>
          <w:szCs w:val="28"/>
          <w:lang w:val="uk-UA"/>
        </w:rPr>
        <w:t>оцінки МЛШ</w:t>
      </w:r>
      <w:r w:rsidRPr="00165D55">
        <w:rPr>
          <w:sz w:val="28"/>
          <w:szCs w:val="28"/>
          <w:lang w:val="uk-UA"/>
        </w:rPr>
        <w:t xml:space="preserve"> у пацієнтів із відхиленнями у будові </w:t>
      </w:r>
      <w:r>
        <w:rPr>
          <w:sz w:val="28"/>
          <w:szCs w:val="28"/>
          <w:lang w:val="uk-UA"/>
        </w:rPr>
        <w:t xml:space="preserve">або масі </w:t>
      </w:r>
      <w:r w:rsidRPr="00165D55">
        <w:rPr>
          <w:sz w:val="28"/>
          <w:szCs w:val="28"/>
          <w:lang w:val="uk-UA"/>
        </w:rPr>
        <w:t>тіла (алометрією)</w:t>
      </w:r>
      <w:r>
        <w:rPr>
          <w:sz w:val="28"/>
          <w:szCs w:val="28"/>
          <w:lang w:val="uk-UA"/>
        </w:rPr>
        <w:t>, її</w:t>
      </w:r>
      <w:r w:rsidRPr="00165D55">
        <w:rPr>
          <w:sz w:val="28"/>
          <w:szCs w:val="28"/>
          <w:lang w:val="uk-UA"/>
        </w:rPr>
        <w:t xml:space="preserve"> </w:t>
      </w:r>
      <w:r>
        <w:rPr>
          <w:sz w:val="28"/>
          <w:szCs w:val="28"/>
          <w:lang w:val="uk-UA"/>
        </w:rPr>
        <w:t xml:space="preserve">ж </w:t>
      </w:r>
      <w:r w:rsidRPr="00165D55">
        <w:rPr>
          <w:sz w:val="28"/>
          <w:szCs w:val="28"/>
          <w:lang w:val="uk-UA"/>
        </w:rPr>
        <w:t xml:space="preserve">рекомендовано Американським ехокардіографічним товариством у 2005 році для використання у </w:t>
      </w:r>
      <w:r>
        <w:rPr>
          <w:sz w:val="28"/>
          <w:szCs w:val="28"/>
          <w:lang w:val="uk-UA"/>
        </w:rPr>
        <w:t>пацієнтів із ожирінням, а</w:t>
      </w:r>
      <w:r w:rsidRPr="00165D55">
        <w:rPr>
          <w:sz w:val="28"/>
          <w:szCs w:val="28"/>
          <w:lang w:val="uk-UA"/>
        </w:rPr>
        <w:t xml:space="preserve">ле </w:t>
      </w:r>
      <w:r>
        <w:rPr>
          <w:sz w:val="28"/>
          <w:szCs w:val="28"/>
          <w:lang w:val="uk-UA"/>
        </w:rPr>
        <w:t xml:space="preserve">остаточно не вирішене питання про </w:t>
      </w:r>
      <w:r w:rsidRPr="00165D55">
        <w:rPr>
          <w:bCs/>
          <w:sz w:val="28"/>
          <w:szCs w:val="28"/>
          <w:lang w:val="uk-UA"/>
        </w:rPr>
        <w:t>мож</w:t>
      </w:r>
      <w:r>
        <w:rPr>
          <w:bCs/>
          <w:sz w:val="28"/>
          <w:szCs w:val="28"/>
          <w:lang w:val="uk-UA"/>
        </w:rPr>
        <w:t>ливість</w:t>
      </w:r>
      <w:r w:rsidRPr="00165D55">
        <w:rPr>
          <w:bCs/>
          <w:sz w:val="28"/>
          <w:szCs w:val="28"/>
          <w:lang w:val="uk-UA"/>
        </w:rPr>
        <w:t xml:space="preserve"> оптимізувати виявлення контингенту високого </w:t>
      </w:r>
      <w:r w:rsidRPr="008E2FC7">
        <w:rPr>
          <w:sz w:val="28"/>
          <w:szCs w:val="28"/>
          <w:lang w:val="uk-UA"/>
        </w:rPr>
        <w:t>сер</w:t>
      </w:r>
      <w:r w:rsidRPr="00165D55">
        <w:rPr>
          <w:sz w:val="28"/>
          <w:szCs w:val="28"/>
          <w:lang w:val="uk-UA"/>
        </w:rPr>
        <w:t>ц</w:t>
      </w:r>
      <w:r w:rsidRPr="008E2FC7">
        <w:rPr>
          <w:sz w:val="28"/>
          <w:szCs w:val="28"/>
          <w:lang w:val="uk-UA"/>
        </w:rPr>
        <w:t>е</w:t>
      </w:r>
      <w:r w:rsidRPr="00165D55">
        <w:rPr>
          <w:sz w:val="28"/>
          <w:szCs w:val="28"/>
          <w:lang w:val="uk-UA"/>
        </w:rPr>
        <w:t>в</w:t>
      </w:r>
      <w:r w:rsidRPr="008E2FC7">
        <w:rPr>
          <w:sz w:val="28"/>
          <w:szCs w:val="28"/>
          <w:lang w:val="uk-UA"/>
        </w:rPr>
        <w:t>о-суди</w:t>
      </w:r>
      <w:r>
        <w:rPr>
          <w:sz w:val="28"/>
          <w:szCs w:val="28"/>
          <w:lang w:val="uk-UA"/>
        </w:rPr>
        <w:t xml:space="preserve">нного </w:t>
      </w:r>
      <w:r w:rsidRPr="00165D55">
        <w:rPr>
          <w:bCs/>
          <w:sz w:val="28"/>
          <w:szCs w:val="28"/>
          <w:lang w:val="uk-UA"/>
        </w:rPr>
        <w:t>ризику</w:t>
      </w:r>
      <w:r>
        <w:rPr>
          <w:bCs/>
          <w:sz w:val="28"/>
          <w:szCs w:val="28"/>
          <w:lang w:val="uk-UA"/>
        </w:rPr>
        <w:t xml:space="preserve"> за допомогою даної індексації МЛШ.</w:t>
      </w:r>
    </w:p>
    <w:p w:rsidR="004B5E3F" w:rsidRPr="00AA26C0" w:rsidRDefault="004B5E3F" w:rsidP="004B5E3F">
      <w:pPr>
        <w:spacing w:line="340" w:lineRule="exact"/>
        <w:ind w:firstLine="720"/>
        <w:jc w:val="both"/>
        <w:rPr>
          <w:sz w:val="28"/>
          <w:szCs w:val="28"/>
          <w:lang w:val="uk-UA"/>
        </w:rPr>
      </w:pPr>
      <w:r w:rsidRPr="00AA26C0">
        <w:rPr>
          <w:b/>
          <w:sz w:val="28"/>
          <w:szCs w:val="28"/>
          <w:lang w:val="uk-UA"/>
        </w:rPr>
        <w:t xml:space="preserve">Зв'язок роботи з науковими програмами, планами, темами. </w:t>
      </w:r>
      <w:r w:rsidRPr="00AA26C0">
        <w:rPr>
          <w:sz w:val="28"/>
          <w:szCs w:val="28"/>
          <w:lang w:val="uk-UA"/>
        </w:rPr>
        <w:t>Дисертаційна робота виконана в ННЦ “Інститут кардіології ім. академіка М.Д. Стражеска” АМН України згідно плану науково-дослідної роботи відділу дисліпідемій і є частиною загальної теми відділу ”Вивчити особливості формування та лікування хворих дисліпідеміями при різних клінічних варіантах метаболічного синдрому” (</w:t>
      </w:r>
      <w:r w:rsidRPr="00AA26C0">
        <w:rPr>
          <w:color w:val="000000"/>
          <w:sz w:val="28"/>
          <w:szCs w:val="28"/>
          <w:lang w:val="uk-UA"/>
        </w:rPr>
        <w:t xml:space="preserve">№ </w:t>
      </w:r>
      <w:r w:rsidRPr="00AA26C0">
        <w:rPr>
          <w:sz w:val="28"/>
          <w:szCs w:val="28"/>
          <w:lang w:val="uk-UA"/>
        </w:rPr>
        <w:t>держреєстрації 0105</w:t>
      </w:r>
      <w:r w:rsidRPr="00AA26C0">
        <w:rPr>
          <w:sz w:val="28"/>
          <w:szCs w:val="28"/>
          <w:lang w:val="en-US"/>
        </w:rPr>
        <w:t>U</w:t>
      </w:r>
      <w:r w:rsidRPr="00AA26C0">
        <w:rPr>
          <w:sz w:val="28"/>
          <w:szCs w:val="28"/>
          <w:lang w:val="uk-UA"/>
        </w:rPr>
        <w:t>000784). Здобувач є співвиконавцем теми.</w:t>
      </w:r>
    </w:p>
    <w:p w:rsidR="004B5E3F" w:rsidRPr="00AA26C0" w:rsidRDefault="004B5E3F" w:rsidP="004B5E3F">
      <w:pPr>
        <w:spacing w:line="340" w:lineRule="exact"/>
        <w:ind w:firstLine="720"/>
        <w:jc w:val="both"/>
        <w:rPr>
          <w:sz w:val="28"/>
          <w:szCs w:val="28"/>
          <w:lang w:val="uk-UA"/>
        </w:rPr>
      </w:pPr>
      <w:r w:rsidRPr="00AA26C0">
        <w:rPr>
          <w:b/>
          <w:sz w:val="28"/>
          <w:szCs w:val="28"/>
          <w:lang w:val="uk-UA"/>
        </w:rPr>
        <w:t xml:space="preserve">Мета і завдання дослідження. </w:t>
      </w:r>
      <w:r w:rsidRPr="00AA26C0">
        <w:rPr>
          <w:sz w:val="28"/>
          <w:szCs w:val="28"/>
          <w:lang w:val="uk-UA"/>
        </w:rPr>
        <w:t>На підставі комплексного обстеження хворих із артеріальною гіпертензією вивчити особливості гіпертрофії лівого шлуночку на тлі метаболічного синдрому в залежності від статі, ступеня ожиріння та порушення вуглеводного обміну, а також оцінити нові підходи до її виявлення та можливостей корекції.</w:t>
      </w:r>
    </w:p>
    <w:p w:rsidR="004B5E3F" w:rsidRPr="00AA26C0" w:rsidRDefault="004B5E3F" w:rsidP="004B5E3F">
      <w:pPr>
        <w:spacing w:line="340" w:lineRule="exact"/>
        <w:jc w:val="both"/>
        <w:rPr>
          <w:b/>
          <w:sz w:val="28"/>
          <w:szCs w:val="28"/>
          <w:lang w:val="uk-UA"/>
        </w:rPr>
      </w:pPr>
      <w:r w:rsidRPr="00AA26C0">
        <w:rPr>
          <w:sz w:val="28"/>
          <w:szCs w:val="28"/>
          <w:lang w:val="uk-UA"/>
        </w:rPr>
        <w:t>Для досягнення поставленої мети вирішувались наступні завдання:</w:t>
      </w:r>
      <w:r w:rsidRPr="00AA26C0">
        <w:rPr>
          <w:b/>
          <w:sz w:val="28"/>
          <w:szCs w:val="28"/>
          <w:lang w:val="uk-UA"/>
        </w:rPr>
        <w:t xml:space="preserve">          </w:t>
      </w:r>
    </w:p>
    <w:p w:rsidR="004B5E3F" w:rsidRPr="00AA26C0" w:rsidRDefault="004B5E3F" w:rsidP="002E1FE1">
      <w:pPr>
        <w:numPr>
          <w:ilvl w:val="0"/>
          <w:numId w:val="67"/>
        </w:numPr>
        <w:suppressAutoHyphens w:val="0"/>
        <w:spacing w:line="340" w:lineRule="exact"/>
        <w:ind w:left="714" w:hanging="357"/>
        <w:jc w:val="both"/>
        <w:rPr>
          <w:sz w:val="28"/>
          <w:szCs w:val="28"/>
          <w:lang w:val="uk-UA"/>
        </w:rPr>
      </w:pPr>
      <w:r w:rsidRPr="00AA26C0">
        <w:rPr>
          <w:sz w:val="28"/>
          <w:szCs w:val="28"/>
          <w:lang w:val="uk-UA"/>
        </w:rPr>
        <w:t>Виявити наявність гендерних особливостей та впливу ступеня ожиріння на формування гіпертрофії лівого шлуночку у хворих із артеріальною гіпертензією та метаболічним синдромом.</w:t>
      </w:r>
    </w:p>
    <w:p w:rsidR="004B5E3F" w:rsidRPr="00AA26C0" w:rsidRDefault="004B5E3F" w:rsidP="002E1FE1">
      <w:pPr>
        <w:numPr>
          <w:ilvl w:val="0"/>
          <w:numId w:val="67"/>
        </w:numPr>
        <w:suppressAutoHyphens w:val="0"/>
        <w:spacing w:line="340" w:lineRule="exact"/>
        <w:jc w:val="both"/>
        <w:rPr>
          <w:sz w:val="28"/>
          <w:szCs w:val="28"/>
          <w:lang w:val="uk-UA"/>
        </w:rPr>
      </w:pPr>
      <w:r w:rsidRPr="00AA26C0">
        <w:rPr>
          <w:sz w:val="28"/>
          <w:szCs w:val="28"/>
          <w:lang w:val="uk-UA"/>
        </w:rPr>
        <w:t xml:space="preserve">Дослідити особливості гіпертрофії лівого шлуночку в </w:t>
      </w:r>
      <w:r>
        <w:rPr>
          <w:sz w:val="28"/>
          <w:szCs w:val="28"/>
          <w:lang w:val="uk-UA"/>
        </w:rPr>
        <w:t>залежності від ступеня порушень</w:t>
      </w:r>
      <w:r w:rsidRPr="00AA26C0">
        <w:rPr>
          <w:sz w:val="28"/>
          <w:szCs w:val="28"/>
          <w:lang w:val="uk-UA"/>
        </w:rPr>
        <w:t xml:space="preserve"> вуглеводного </w:t>
      </w:r>
      <w:r>
        <w:rPr>
          <w:sz w:val="28"/>
          <w:szCs w:val="28"/>
          <w:lang w:val="uk-UA"/>
        </w:rPr>
        <w:t xml:space="preserve">та ліпідного </w:t>
      </w:r>
      <w:r w:rsidRPr="00AA26C0">
        <w:rPr>
          <w:sz w:val="28"/>
          <w:szCs w:val="28"/>
          <w:lang w:val="uk-UA"/>
        </w:rPr>
        <w:t>обмін</w:t>
      </w:r>
      <w:r>
        <w:rPr>
          <w:sz w:val="28"/>
          <w:szCs w:val="28"/>
          <w:lang w:val="uk-UA"/>
        </w:rPr>
        <w:t>ів</w:t>
      </w:r>
      <w:r w:rsidRPr="00AA26C0">
        <w:rPr>
          <w:sz w:val="28"/>
          <w:szCs w:val="28"/>
          <w:lang w:val="uk-UA"/>
        </w:rPr>
        <w:t xml:space="preserve"> у хворих із артеріальною гіпертензією та метаболічним синдромом.</w:t>
      </w:r>
    </w:p>
    <w:p w:rsidR="004B5E3F" w:rsidRPr="00AA26C0" w:rsidRDefault="004B5E3F" w:rsidP="002E1FE1">
      <w:pPr>
        <w:numPr>
          <w:ilvl w:val="0"/>
          <w:numId w:val="67"/>
        </w:numPr>
        <w:suppressAutoHyphens w:val="0"/>
        <w:spacing w:line="340" w:lineRule="exact"/>
        <w:jc w:val="both"/>
        <w:rPr>
          <w:sz w:val="28"/>
          <w:szCs w:val="28"/>
          <w:lang w:val="uk-UA"/>
        </w:rPr>
      </w:pPr>
      <w:r w:rsidRPr="00AA26C0">
        <w:rPr>
          <w:sz w:val="28"/>
          <w:szCs w:val="28"/>
          <w:lang w:val="uk-UA"/>
        </w:rPr>
        <w:t>Дослідити можливість використання індексації МЛШ до росту у степені 2,7 для виявлення гіпертрофії лівого шлуночку у пацієнтів із артеріальною гіпертензією та метаболічним синдромом .</w:t>
      </w:r>
    </w:p>
    <w:p w:rsidR="004B5E3F" w:rsidRDefault="004B5E3F" w:rsidP="002E1FE1">
      <w:pPr>
        <w:numPr>
          <w:ilvl w:val="0"/>
          <w:numId w:val="67"/>
        </w:numPr>
        <w:suppressAutoHyphens w:val="0"/>
        <w:spacing w:line="340" w:lineRule="exact"/>
        <w:jc w:val="both"/>
        <w:rPr>
          <w:sz w:val="28"/>
          <w:szCs w:val="28"/>
          <w:lang w:val="uk-UA"/>
        </w:rPr>
      </w:pPr>
      <w:r w:rsidRPr="00AA26C0">
        <w:rPr>
          <w:sz w:val="28"/>
          <w:szCs w:val="28"/>
          <w:lang w:val="uk-UA"/>
        </w:rPr>
        <w:t>Проаналізувати можливість регресу гіпертрофії лівого шлуночку у хворих із артеріальною гіпертензією та метаболічним синдромом на тлі ефективного антигіпертензивного лікування.</w:t>
      </w:r>
    </w:p>
    <w:p w:rsidR="004B5E3F" w:rsidRDefault="004B5E3F" w:rsidP="004B5E3F">
      <w:pPr>
        <w:spacing w:line="340" w:lineRule="exact"/>
        <w:jc w:val="both"/>
        <w:rPr>
          <w:sz w:val="28"/>
          <w:szCs w:val="28"/>
          <w:lang w:val="uk-UA"/>
        </w:rPr>
      </w:pPr>
    </w:p>
    <w:p w:rsidR="004B5E3F" w:rsidRPr="00AA26C0" w:rsidRDefault="004B5E3F" w:rsidP="004B5E3F">
      <w:pPr>
        <w:spacing w:line="340" w:lineRule="exact"/>
        <w:jc w:val="both"/>
        <w:rPr>
          <w:sz w:val="28"/>
          <w:szCs w:val="28"/>
          <w:lang w:val="uk-UA"/>
        </w:rPr>
      </w:pPr>
    </w:p>
    <w:p w:rsidR="004B5E3F" w:rsidRPr="00AA26C0" w:rsidRDefault="004B5E3F" w:rsidP="004B5E3F">
      <w:pPr>
        <w:spacing w:line="340" w:lineRule="exact"/>
        <w:jc w:val="both"/>
        <w:rPr>
          <w:sz w:val="28"/>
          <w:szCs w:val="28"/>
          <w:lang w:val="uk-UA"/>
        </w:rPr>
      </w:pPr>
      <w:r w:rsidRPr="00AA26C0">
        <w:rPr>
          <w:i/>
          <w:sz w:val="28"/>
          <w:szCs w:val="28"/>
          <w:lang w:val="uk-UA"/>
        </w:rPr>
        <w:t>Об’єкт дослідження</w:t>
      </w:r>
      <w:r w:rsidRPr="00AA26C0">
        <w:rPr>
          <w:sz w:val="28"/>
          <w:szCs w:val="28"/>
          <w:lang w:val="uk-UA"/>
        </w:rPr>
        <w:t>:</w:t>
      </w:r>
      <w:r w:rsidRPr="00AA26C0">
        <w:rPr>
          <w:b/>
          <w:sz w:val="28"/>
          <w:szCs w:val="28"/>
          <w:lang w:val="uk-UA"/>
        </w:rPr>
        <w:t xml:space="preserve">  </w:t>
      </w:r>
      <w:r w:rsidRPr="00AA26C0">
        <w:rPr>
          <w:sz w:val="28"/>
          <w:szCs w:val="28"/>
          <w:lang w:val="uk-UA"/>
        </w:rPr>
        <w:t xml:space="preserve">гіпертонічна хвороба ІІ </w:t>
      </w:r>
      <w:r>
        <w:rPr>
          <w:sz w:val="28"/>
          <w:szCs w:val="28"/>
          <w:lang w:val="uk-UA"/>
        </w:rPr>
        <w:t>стадії</w:t>
      </w:r>
      <w:r w:rsidRPr="00AA26C0">
        <w:rPr>
          <w:sz w:val="28"/>
          <w:szCs w:val="28"/>
          <w:lang w:val="uk-UA"/>
        </w:rPr>
        <w:t xml:space="preserve">, м’яка та помірна артеріальна гіпертензія </w:t>
      </w:r>
      <w:r>
        <w:rPr>
          <w:sz w:val="28"/>
          <w:szCs w:val="28"/>
          <w:lang w:val="uk-UA"/>
        </w:rPr>
        <w:t>на тлі</w:t>
      </w:r>
      <w:r w:rsidRPr="00AA26C0">
        <w:rPr>
          <w:sz w:val="28"/>
          <w:szCs w:val="28"/>
          <w:lang w:val="uk-UA"/>
        </w:rPr>
        <w:t xml:space="preserve"> метаболі</w:t>
      </w:r>
      <w:r>
        <w:rPr>
          <w:sz w:val="28"/>
          <w:szCs w:val="28"/>
          <w:lang w:val="uk-UA"/>
        </w:rPr>
        <w:t>чного</w:t>
      </w:r>
      <w:r w:rsidRPr="00AA26C0">
        <w:rPr>
          <w:sz w:val="28"/>
          <w:szCs w:val="28"/>
          <w:lang w:val="uk-UA"/>
        </w:rPr>
        <w:t xml:space="preserve"> синдром</w:t>
      </w:r>
      <w:r>
        <w:rPr>
          <w:sz w:val="28"/>
          <w:szCs w:val="28"/>
          <w:lang w:val="uk-UA"/>
        </w:rPr>
        <w:t>у</w:t>
      </w:r>
      <w:r w:rsidRPr="00AA26C0">
        <w:rPr>
          <w:color w:val="000000"/>
          <w:sz w:val="28"/>
          <w:szCs w:val="28"/>
          <w:lang w:val="uk-UA"/>
        </w:rPr>
        <w:t xml:space="preserve"> згідно критеріїв </w:t>
      </w:r>
      <w:r w:rsidRPr="00AA26C0">
        <w:rPr>
          <w:color w:val="000000"/>
          <w:sz w:val="28"/>
          <w:szCs w:val="28"/>
          <w:lang w:val="en-US"/>
        </w:rPr>
        <w:t>ATP</w:t>
      </w:r>
      <w:r w:rsidRPr="00AA26C0">
        <w:rPr>
          <w:color w:val="000000"/>
          <w:sz w:val="28"/>
          <w:szCs w:val="28"/>
          <w:lang w:val="uk-UA"/>
        </w:rPr>
        <w:t xml:space="preserve"> </w:t>
      </w:r>
      <w:r>
        <w:rPr>
          <w:color w:val="000000"/>
          <w:sz w:val="28"/>
          <w:szCs w:val="28"/>
          <w:lang w:val="uk-UA"/>
        </w:rPr>
        <w:t>-</w:t>
      </w:r>
      <w:r w:rsidRPr="00AA26C0">
        <w:rPr>
          <w:color w:val="000000"/>
          <w:sz w:val="28"/>
          <w:szCs w:val="28"/>
          <w:lang w:val="en-US"/>
        </w:rPr>
        <w:t>III</w:t>
      </w:r>
      <w:r>
        <w:rPr>
          <w:color w:val="000000"/>
          <w:sz w:val="28"/>
          <w:szCs w:val="28"/>
          <w:lang w:val="uk-UA"/>
        </w:rPr>
        <w:t>,</w:t>
      </w:r>
      <w:r w:rsidRPr="00AA26C0">
        <w:rPr>
          <w:color w:val="000000"/>
          <w:sz w:val="28"/>
          <w:szCs w:val="28"/>
          <w:lang w:val="uk-UA"/>
        </w:rPr>
        <w:t xml:space="preserve"> 2001 </w:t>
      </w:r>
      <w:r w:rsidRPr="00AA26C0">
        <w:rPr>
          <w:color w:val="000000"/>
          <w:sz w:val="28"/>
          <w:szCs w:val="28"/>
          <w:lang w:val="en-US"/>
        </w:rPr>
        <w:t>p</w:t>
      </w:r>
      <w:r w:rsidRPr="00AA26C0">
        <w:rPr>
          <w:color w:val="000000"/>
          <w:sz w:val="28"/>
          <w:szCs w:val="28"/>
          <w:lang w:val="uk-UA"/>
        </w:rPr>
        <w:t xml:space="preserve">. та </w:t>
      </w:r>
      <w:r w:rsidRPr="00AA26C0">
        <w:rPr>
          <w:color w:val="000000"/>
          <w:sz w:val="28"/>
          <w:szCs w:val="28"/>
          <w:lang w:val="en-US"/>
        </w:rPr>
        <w:t>IDF</w:t>
      </w:r>
      <w:r>
        <w:rPr>
          <w:color w:val="000000"/>
          <w:sz w:val="28"/>
          <w:szCs w:val="28"/>
          <w:lang w:val="uk-UA"/>
        </w:rPr>
        <w:t>,</w:t>
      </w:r>
      <w:r w:rsidRPr="00AA26C0">
        <w:rPr>
          <w:color w:val="000000"/>
          <w:sz w:val="28"/>
          <w:szCs w:val="28"/>
          <w:lang w:val="uk-UA"/>
        </w:rPr>
        <w:t xml:space="preserve"> 2005 р.</w:t>
      </w:r>
    </w:p>
    <w:p w:rsidR="004B5E3F" w:rsidRPr="00AA26C0" w:rsidRDefault="004B5E3F" w:rsidP="004B5E3F">
      <w:pPr>
        <w:spacing w:line="340" w:lineRule="exact"/>
        <w:jc w:val="both"/>
        <w:rPr>
          <w:sz w:val="28"/>
          <w:szCs w:val="28"/>
          <w:lang w:val="uk-UA"/>
        </w:rPr>
      </w:pPr>
      <w:r w:rsidRPr="00AA26C0">
        <w:rPr>
          <w:i/>
          <w:sz w:val="28"/>
          <w:szCs w:val="28"/>
          <w:lang w:val="uk-UA"/>
        </w:rPr>
        <w:lastRenderedPageBreak/>
        <w:t>Предмет дослідження</w:t>
      </w:r>
      <w:r w:rsidRPr="00AA26C0">
        <w:rPr>
          <w:sz w:val="28"/>
          <w:szCs w:val="28"/>
          <w:lang w:val="uk-UA"/>
        </w:rPr>
        <w:t>:  Антропометричні виміри, біохімічні показники вуглеводного та ліпідного обмінів, дані ехокардіографічного дослідження лівого шлуночку та добового моніторування АТ.</w:t>
      </w:r>
    </w:p>
    <w:p w:rsidR="004B5E3F" w:rsidRPr="00AA26C0" w:rsidRDefault="004B5E3F" w:rsidP="004B5E3F">
      <w:pPr>
        <w:spacing w:line="340" w:lineRule="exact"/>
        <w:jc w:val="both"/>
        <w:rPr>
          <w:sz w:val="28"/>
          <w:szCs w:val="28"/>
          <w:lang w:val="uk-UA"/>
        </w:rPr>
      </w:pPr>
      <w:r w:rsidRPr="00AA26C0">
        <w:rPr>
          <w:i/>
          <w:sz w:val="28"/>
          <w:szCs w:val="28"/>
          <w:lang w:val="uk-UA"/>
        </w:rPr>
        <w:t>Методи дослідження</w:t>
      </w:r>
      <w:r w:rsidRPr="00AA26C0">
        <w:rPr>
          <w:sz w:val="28"/>
          <w:szCs w:val="28"/>
          <w:lang w:val="uk-UA"/>
        </w:rPr>
        <w:t>: Для оцінки величини маси лівого шлуночку та її індексів у хворих із гіпертонічною хворобою ІІ ст. в залежності від антропометричних та біохімічних вимірів використовували загальноклінічні методи дослідження, ехокардіографію, офісне вимірювання АТ та добове моніторування АТ. Визначали в крові у хворих імунореактивний інсулін натще, досліджували глікемічний профіль та проводили навантажувальний глюкозотолерантний тест.</w:t>
      </w:r>
    </w:p>
    <w:p w:rsidR="004B5E3F" w:rsidRPr="00AA26C0" w:rsidRDefault="004B5E3F" w:rsidP="004B5E3F">
      <w:pPr>
        <w:spacing w:line="340" w:lineRule="exact"/>
        <w:ind w:firstLine="720"/>
        <w:jc w:val="both"/>
        <w:rPr>
          <w:sz w:val="28"/>
          <w:szCs w:val="28"/>
        </w:rPr>
      </w:pPr>
      <w:r w:rsidRPr="00AA26C0">
        <w:rPr>
          <w:b/>
          <w:sz w:val="28"/>
          <w:szCs w:val="28"/>
          <w:lang w:val="uk-UA"/>
        </w:rPr>
        <w:t xml:space="preserve">Наукова новизна отриманих результатів.  </w:t>
      </w:r>
      <w:r w:rsidRPr="00AA26C0">
        <w:rPr>
          <w:sz w:val="28"/>
          <w:szCs w:val="28"/>
          <w:lang w:val="uk-UA"/>
        </w:rPr>
        <w:t xml:space="preserve">Вперше проведено порівняння виявлення гіпертрофії лівого шлуночку при використанні </w:t>
      </w:r>
      <w:r>
        <w:rPr>
          <w:sz w:val="28"/>
          <w:szCs w:val="28"/>
          <w:lang w:val="uk-UA"/>
        </w:rPr>
        <w:t>двох</w:t>
      </w:r>
      <w:r w:rsidRPr="00AA26C0">
        <w:rPr>
          <w:sz w:val="28"/>
          <w:szCs w:val="28"/>
          <w:lang w:val="uk-UA"/>
        </w:rPr>
        <w:t xml:space="preserve"> методів індексації маси лівого шлуночку у пацієнтів із АГ та МС</w:t>
      </w:r>
      <w:r>
        <w:rPr>
          <w:sz w:val="28"/>
          <w:szCs w:val="28"/>
          <w:lang w:val="uk-UA"/>
        </w:rPr>
        <w:t>: як відношення до площі поверхні тіла та до росту у степені 2,7.</w:t>
      </w:r>
      <w:r w:rsidRPr="00AA26C0">
        <w:rPr>
          <w:sz w:val="28"/>
          <w:szCs w:val="28"/>
          <w:lang w:val="uk-UA"/>
        </w:rPr>
        <w:t xml:space="preserve"> Доведено, що при використанні гендерних норм та індексації МЛШ до росту у степені 2,7 оптимізується виявлення контингенту хворих із високим кардіоваскулярним ризиком.</w:t>
      </w:r>
    </w:p>
    <w:p w:rsidR="004B5E3F" w:rsidRPr="00AA26C0" w:rsidRDefault="004B5E3F" w:rsidP="004B5E3F">
      <w:pPr>
        <w:spacing w:line="340" w:lineRule="exact"/>
        <w:ind w:firstLine="720"/>
        <w:jc w:val="both"/>
        <w:rPr>
          <w:sz w:val="28"/>
          <w:szCs w:val="28"/>
          <w:lang w:val="uk-UA"/>
        </w:rPr>
      </w:pPr>
      <w:r w:rsidRPr="00AA26C0">
        <w:rPr>
          <w:sz w:val="28"/>
          <w:szCs w:val="28"/>
          <w:lang w:val="uk-UA"/>
        </w:rPr>
        <w:t>Виявлені гендерні особливості</w:t>
      </w:r>
      <w:r w:rsidRPr="00D667B7">
        <w:rPr>
          <w:sz w:val="28"/>
          <w:szCs w:val="28"/>
          <w:lang w:val="uk-UA"/>
        </w:rPr>
        <w:t xml:space="preserve"> </w:t>
      </w:r>
      <w:r w:rsidRPr="00AA26C0">
        <w:rPr>
          <w:sz w:val="28"/>
          <w:szCs w:val="28"/>
          <w:lang w:val="uk-UA"/>
        </w:rPr>
        <w:t>ГЛШ</w:t>
      </w:r>
      <w:r>
        <w:rPr>
          <w:sz w:val="28"/>
          <w:szCs w:val="28"/>
          <w:lang w:val="uk-UA"/>
        </w:rPr>
        <w:t>:</w:t>
      </w:r>
      <w:r w:rsidRPr="00D667B7">
        <w:rPr>
          <w:sz w:val="28"/>
          <w:szCs w:val="28"/>
          <w:lang w:val="uk-UA"/>
        </w:rPr>
        <w:t xml:space="preserve"> </w:t>
      </w:r>
      <w:r w:rsidRPr="00AA26C0">
        <w:rPr>
          <w:sz w:val="28"/>
          <w:szCs w:val="28"/>
          <w:lang w:val="uk-UA"/>
        </w:rPr>
        <w:t>у чоловіків</w:t>
      </w:r>
      <w:r>
        <w:rPr>
          <w:sz w:val="28"/>
          <w:szCs w:val="28"/>
          <w:lang w:val="uk-UA"/>
        </w:rPr>
        <w:t xml:space="preserve"> зазначено</w:t>
      </w:r>
      <w:r w:rsidRPr="00AA26C0">
        <w:rPr>
          <w:sz w:val="28"/>
          <w:szCs w:val="28"/>
          <w:lang w:val="uk-UA"/>
        </w:rPr>
        <w:t xml:space="preserve"> більш ранній початок формування ГЛШ </w:t>
      </w:r>
      <w:r>
        <w:rPr>
          <w:sz w:val="28"/>
          <w:szCs w:val="28"/>
          <w:lang w:val="uk-UA"/>
        </w:rPr>
        <w:t>(до 50 років) та переважання</w:t>
      </w:r>
      <w:r w:rsidRPr="00AA26C0">
        <w:rPr>
          <w:sz w:val="28"/>
          <w:szCs w:val="28"/>
          <w:lang w:val="uk-UA"/>
        </w:rPr>
        <w:t xml:space="preserve"> ексцентричної ГЛШ, у жінок фор</w:t>
      </w:r>
      <w:r>
        <w:rPr>
          <w:sz w:val="28"/>
          <w:szCs w:val="28"/>
          <w:lang w:val="uk-UA"/>
        </w:rPr>
        <w:t>мується</w:t>
      </w:r>
      <w:r w:rsidRPr="00AA26C0">
        <w:rPr>
          <w:sz w:val="28"/>
          <w:szCs w:val="28"/>
          <w:lang w:val="uk-UA"/>
        </w:rPr>
        <w:t xml:space="preserve"> ГЛШ переважно у віц</w:t>
      </w:r>
      <w:r>
        <w:rPr>
          <w:sz w:val="28"/>
          <w:szCs w:val="28"/>
          <w:lang w:val="uk-UA"/>
        </w:rPr>
        <w:t>і старше 50 років та переважає більш несприятливий</w:t>
      </w:r>
      <w:r w:rsidRPr="00AA26C0">
        <w:rPr>
          <w:sz w:val="28"/>
          <w:szCs w:val="28"/>
          <w:lang w:val="uk-UA"/>
        </w:rPr>
        <w:t xml:space="preserve"> тип, а саме конц</w:t>
      </w:r>
      <w:r>
        <w:rPr>
          <w:sz w:val="28"/>
          <w:szCs w:val="28"/>
          <w:lang w:val="uk-UA"/>
        </w:rPr>
        <w:t>ентрична</w:t>
      </w:r>
      <w:r w:rsidRPr="00AA26C0">
        <w:rPr>
          <w:sz w:val="28"/>
          <w:szCs w:val="28"/>
          <w:lang w:val="uk-UA"/>
        </w:rPr>
        <w:t xml:space="preserve"> ГЛШ.</w:t>
      </w:r>
    </w:p>
    <w:p w:rsidR="004B5E3F" w:rsidRPr="00AA26C0" w:rsidRDefault="004B5E3F" w:rsidP="004B5E3F">
      <w:pPr>
        <w:spacing w:line="340" w:lineRule="exact"/>
        <w:ind w:firstLine="720"/>
        <w:jc w:val="both"/>
        <w:rPr>
          <w:sz w:val="28"/>
          <w:szCs w:val="28"/>
          <w:lang w:val="uk-UA"/>
        </w:rPr>
      </w:pPr>
      <w:r>
        <w:rPr>
          <w:sz w:val="28"/>
          <w:szCs w:val="28"/>
          <w:lang w:val="uk-UA"/>
        </w:rPr>
        <w:t>Досліджено</w:t>
      </w:r>
      <w:r w:rsidRPr="00AA26C0">
        <w:rPr>
          <w:sz w:val="28"/>
          <w:szCs w:val="28"/>
          <w:lang w:val="uk-UA"/>
        </w:rPr>
        <w:t xml:space="preserve"> зв'язок порушень вуглеводного обміну із величиною маси лівого шлуночку та виявлено достовірно більші показники МЛШ та її індексів у </w:t>
      </w:r>
      <w:r>
        <w:rPr>
          <w:sz w:val="28"/>
          <w:szCs w:val="28"/>
          <w:lang w:val="uk-UA"/>
        </w:rPr>
        <w:t xml:space="preserve">даних </w:t>
      </w:r>
      <w:r w:rsidRPr="00AA26C0">
        <w:rPr>
          <w:sz w:val="28"/>
          <w:szCs w:val="28"/>
          <w:lang w:val="uk-UA"/>
        </w:rPr>
        <w:t>пацієнтів у порівнянні із пацієнтами із артеріальною гіпертензією без порушень вуглеводного обміну.</w:t>
      </w:r>
    </w:p>
    <w:p w:rsidR="004B5E3F" w:rsidRPr="00AA26C0" w:rsidRDefault="004B5E3F" w:rsidP="004B5E3F">
      <w:pPr>
        <w:spacing w:line="340" w:lineRule="exact"/>
        <w:ind w:firstLine="720"/>
        <w:jc w:val="both"/>
        <w:rPr>
          <w:sz w:val="28"/>
          <w:szCs w:val="28"/>
          <w:lang w:val="uk-UA"/>
        </w:rPr>
      </w:pPr>
      <w:r w:rsidRPr="00AA26C0">
        <w:rPr>
          <w:sz w:val="28"/>
          <w:szCs w:val="28"/>
          <w:lang w:val="uk-UA"/>
        </w:rPr>
        <w:t xml:space="preserve">Вперше вивчена можливість регресу ГЛШ під впливом лікування комбінацією препаратів квінаприлу та гідрохлортіазиду у пацієнтів із м’якою та помірною артеріальною гіпертензією та </w:t>
      </w:r>
      <w:r>
        <w:rPr>
          <w:sz w:val="28"/>
          <w:szCs w:val="28"/>
          <w:lang w:val="uk-UA"/>
        </w:rPr>
        <w:t>МС</w:t>
      </w:r>
      <w:r w:rsidRPr="00AA26C0">
        <w:rPr>
          <w:sz w:val="28"/>
          <w:szCs w:val="28"/>
          <w:lang w:val="uk-UA"/>
        </w:rPr>
        <w:t>. Продемонстрована метаболічна нейтральність даної комбінації, що є важливим у пацієнтів із метаболічним</w:t>
      </w:r>
      <w:r>
        <w:rPr>
          <w:sz w:val="28"/>
          <w:szCs w:val="28"/>
          <w:lang w:val="uk-UA"/>
        </w:rPr>
        <w:t>и порушеннями</w:t>
      </w:r>
      <w:r w:rsidRPr="00AA26C0">
        <w:rPr>
          <w:sz w:val="28"/>
          <w:szCs w:val="28"/>
          <w:lang w:val="uk-UA"/>
        </w:rPr>
        <w:t>.</w:t>
      </w:r>
    </w:p>
    <w:p w:rsidR="004B5E3F" w:rsidRPr="00AA26C0" w:rsidRDefault="004B5E3F" w:rsidP="004B5E3F">
      <w:pPr>
        <w:spacing w:line="340" w:lineRule="exact"/>
        <w:ind w:firstLine="720"/>
        <w:jc w:val="both"/>
        <w:rPr>
          <w:sz w:val="28"/>
          <w:szCs w:val="28"/>
          <w:lang w:val="uk-UA"/>
        </w:rPr>
      </w:pPr>
      <w:r w:rsidRPr="00AA26C0">
        <w:rPr>
          <w:b/>
          <w:sz w:val="28"/>
          <w:szCs w:val="28"/>
          <w:lang w:val="uk-UA"/>
        </w:rPr>
        <w:t xml:space="preserve">Практичне значення отриманих результатів. </w:t>
      </w:r>
      <w:r w:rsidRPr="00AA26C0">
        <w:rPr>
          <w:sz w:val="28"/>
          <w:szCs w:val="28"/>
          <w:lang w:val="uk-UA"/>
        </w:rPr>
        <w:t xml:space="preserve"> Проведено порівняльне дослідження використання індексації маси лівого шлуночку до площі поверхні тіла та росту у степені 2,7 у пацієнтів із АГ та ожирінням. Продемонстровано доцільність використання індексації маси лівого шлуночку до росту у степені 2,7 з метою більш коректного виявлення гіпертрофії лівого шлуночку</w:t>
      </w:r>
      <w:r>
        <w:rPr>
          <w:sz w:val="28"/>
          <w:szCs w:val="28"/>
          <w:lang w:val="uk-UA"/>
        </w:rPr>
        <w:t xml:space="preserve"> у хворих з множинними факторами, тобто у хворих високого</w:t>
      </w:r>
      <w:r w:rsidRPr="00EA651F">
        <w:rPr>
          <w:sz w:val="28"/>
          <w:szCs w:val="28"/>
          <w:lang w:val="uk-UA"/>
        </w:rPr>
        <w:t xml:space="preserve"> </w:t>
      </w:r>
      <w:r>
        <w:rPr>
          <w:sz w:val="28"/>
          <w:szCs w:val="28"/>
          <w:lang w:val="uk-UA"/>
        </w:rPr>
        <w:t>серцево-судинного</w:t>
      </w:r>
      <w:r w:rsidRPr="00AA26C0">
        <w:rPr>
          <w:sz w:val="28"/>
          <w:szCs w:val="28"/>
          <w:lang w:val="uk-UA"/>
        </w:rPr>
        <w:t xml:space="preserve">  ризику. Виявлено, що під впливом лікування комбінацією препаратів квінаприлу та гідрохлортіазиду покращуються показники добового моніторування АТ та відбувається регрес ГЛШ. Показано, що дана комбінація препаратів є метаболічно нейтральною. </w:t>
      </w:r>
    </w:p>
    <w:p w:rsidR="004B5E3F" w:rsidRPr="00AA26C0" w:rsidRDefault="004B5E3F" w:rsidP="004B5E3F">
      <w:pPr>
        <w:spacing w:line="340" w:lineRule="exact"/>
        <w:ind w:firstLine="720"/>
        <w:jc w:val="both"/>
        <w:rPr>
          <w:sz w:val="28"/>
          <w:szCs w:val="28"/>
          <w:lang w:val="uk-UA"/>
        </w:rPr>
      </w:pPr>
      <w:r w:rsidRPr="00AA26C0">
        <w:rPr>
          <w:b/>
          <w:sz w:val="28"/>
          <w:szCs w:val="28"/>
          <w:lang w:val="uk-UA"/>
        </w:rPr>
        <w:t xml:space="preserve">Впровадження результатів дослідження в практику. </w:t>
      </w:r>
      <w:r w:rsidRPr="00AA26C0">
        <w:rPr>
          <w:sz w:val="28"/>
          <w:szCs w:val="28"/>
          <w:lang w:val="uk-UA"/>
        </w:rPr>
        <w:t>Результати дослідження впроваджені в практику роботи відділення дисліпідемій, артеріальної гіпертензії, поліклінічного відділення ННЦ “Інститут кардіології ім. академіка М.Д. Стражеска” АМН України.</w:t>
      </w:r>
    </w:p>
    <w:p w:rsidR="004B5E3F" w:rsidRPr="00AA26C0" w:rsidRDefault="004B5E3F" w:rsidP="004B5E3F">
      <w:pPr>
        <w:spacing w:line="340" w:lineRule="exact"/>
        <w:ind w:firstLine="900"/>
        <w:jc w:val="both"/>
        <w:rPr>
          <w:sz w:val="28"/>
          <w:szCs w:val="28"/>
          <w:lang w:val="uk-UA"/>
        </w:rPr>
      </w:pPr>
      <w:r w:rsidRPr="00AA26C0">
        <w:rPr>
          <w:b/>
          <w:sz w:val="28"/>
          <w:szCs w:val="28"/>
          <w:lang w:val="uk-UA"/>
        </w:rPr>
        <w:lastRenderedPageBreak/>
        <w:t xml:space="preserve">Особистий внесок здобувача. </w:t>
      </w:r>
      <w:r w:rsidRPr="00AA26C0">
        <w:rPr>
          <w:sz w:val="28"/>
          <w:szCs w:val="28"/>
          <w:lang w:val="uk-UA"/>
        </w:rPr>
        <w:t xml:space="preserve"> Дисертаційна робота виконана особисто автором на базі ННЦ “Інститут кардіології ім. академіка М.Д. Стражеска” АМН України. Самостійно виконувався патентно-інформаційний пошук, опрацювання методики дослідження, підбір тематичних хворих, їх клінічне обстеження, проведення ехокардіографічного обстеження, добового моніторування артеріального тиску з обробкою та аналізом запису. Дисертантом здійснювалось спостереження хворих, а саме обстеження та контроль призначеної терапії. Самостійно створена база даних на персональному комп’ютері, проведена статистична обробка та узагальнення. Мета, завдання дослідження, висновки та практичні рекомендації сформульовані дисертантом разом з науковим керівником. Особисто написані всі розділи дисертаційної роботи, оформлені таблиці, написані і підготовлені статті до друку. Здобувач приймав активну участь у представленні результатів роботи в матеріалах конференцій та доповідях. Дисертаційна робота є самостійним науковим дослідженням автора.</w:t>
      </w:r>
    </w:p>
    <w:p w:rsidR="004B5E3F" w:rsidRPr="00AA26C0" w:rsidRDefault="004B5E3F" w:rsidP="004B5E3F">
      <w:pPr>
        <w:spacing w:line="340" w:lineRule="exact"/>
        <w:ind w:firstLine="720"/>
        <w:jc w:val="both"/>
        <w:rPr>
          <w:sz w:val="28"/>
          <w:szCs w:val="28"/>
          <w:lang w:val="uk-UA"/>
        </w:rPr>
      </w:pPr>
      <w:r w:rsidRPr="00AA26C0">
        <w:rPr>
          <w:b/>
          <w:sz w:val="28"/>
          <w:szCs w:val="28"/>
          <w:lang w:val="uk-UA"/>
        </w:rPr>
        <w:t xml:space="preserve">Апробація результатів дисертації. </w:t>
      </w:r>
      <w:r w:rsidRPr="00AA26C0">
        <w:rPr>
          <w:sz w:val="28"/>
          <w:szCs w:val="28"/>
          <w:lang w:val="uk-UA"/>
        </w:rPr>
        <w:t xml:space="preserve"> Основні положення роботи заслухані на розширеному засіданні апробаційної ради базі ННЦ “Інститут кардіології ім. академіка М.Д. Стражеска” АМН України 27 грудня 2007 р. Матеріали дисертаційної роботи представлені у вигляді доповідей та друкованих робіт на Українській науково-практичній конференції “Первинна та вторинна профілактика церебро-васкулярних ускладнень артеріальної г</w:t>
      </w:r>
      <w:r>
        <w:rPr>
          <w:sz w:val="28"/>
          <w:szCs w:val="28"/>
          <w:lang w:val="uk-UA"/>
        </w:rPr>
        <w:t>іпертензії“ (Київ,</w:t>
      </w:r>
      <w:r w:rsidRPr="00AA26C0">
        <w:rPr>
          <w:sz w:val="28"/>
          <w:szCs w:val="28"/>
          <w:lang w:val="uk-UA"/>
        </w:rPr>
        <w:t xml:space="preserve"> 2006 р.), </w:t>
      </w:r>
      <w:r>
        <w:rPr>
          <w:sz w:val="28"/>
          <w:szCs w:val="28"/>
          <w:lang w:val="uk-UA"/>
        </w:rPr>
        <w:t>н</w:t>
      </w:r>
      <w:r w:rsidRPr="00AA26C0">
        <w:rPr>
          <w:sz w:val="28"/>
          <w:szCs w:val="28"/>
          <w:lang w:val="uk-UA"/>
        </w:rPr>
        <w:t>а Міжнародному форумі “Кардіологія вч</w:t>
      </w:r>
      <w:r>
        <w:rPr>
          <w:sz w:val="28"/>
          <w:szCs w:val="28"/>
          <w:lang w:val="uk-UA"/>
        </w:rPr>
        <w:t>ора, сьогодні, завтра“ (Київ,</w:t>
      </w:r>
      <w:r w:rsidRPr="00AA26C0">
        <w:rPr>
          <w:sz w:val="28"/>
          <w:szCs w:val="28"/>
          <w:lang w:val="uk-UA"/>
        </w:rPr>
        <w:t xml:space="preserve"> 2006 р.), на 16-му Європейському конгресі </w:t>
      </w:r>
      <w:r>
        <w:rPr>
          <w:sz w:val="28"/>
          <w:szCs w:val="28"/>
          <w:lang w:val="uk-UA"/>
        </w:rPr>
        <w:t>з</w:t>
      </w:r>
      <w:r w:rsidRPr="00AA26C0">
        <w:rPr>
          <w:sz w:val="28"/>
          <w:szCs w:val="28"/>
          <w:lang w:val="uk-UA"/>
        </w:rPr>
        <w:t xml:space="preserve"> артеріальної гіперте</w:t>
      </w:r>
      <w:r>
        <w:rPr>
          <w:sz w:val="28"/>
          <w:szCs w:val="28"/>
          <w:lang w:val="uk-UA"/>
        </w:rPr>
        <w:t>н</w:t>
      </w:r>
      <w:r w:rsidRPr="00AA26C0">
        <w:rPr>
          <w:sz w:val="28"/>
          <w:szCs w:val="28"/>
          <w:lang w:val="uk-UA"/>
        </w:rPr>
        <w:t>зії (Мадр</w:t>
      </w:r>
      <w:r>
        <w:rPr>
          <w:sz w:val="28"/>
          <w:szCs w:val="28"/>
          <w:lang w:val="uk-UA"/>
        </w:rPr>
        <w:t>ид,</w:t>
      </w:r>
      <w:r w:rsidRPr="00AA26C0">
        <w:rPr>
          <w:sz w:val="28"/>
          <w:szCs w:val="28"/>
          <w:lang w:val="uk-UA"/>
        </w:rPr>
        <w:t xml:space="preserve"> 2006 р.),</w:t>
      </w:r>
      <w:r>
        <w:rPr>
          <w:sz w:val="28"/>
          <w:szCs w:val="28"/>
          <w:lang w:val="uk-UA"/>
        </w:rPr>
        <w:t xml:space="preserve"> </w:t>
      </w:r>
      <w:r w:rsidRPr="00AA26C0">
        <w:rPr>
          <w:sz w:val="28"/>
          <w:szCs w:val="28"/>
          <w:lang w:val="uk-UA"/>
        </w:rPr>
        <w:t>на пленумі “Первинна та вторинна профілактика серцево-судинних та мозкових</w:t>
      </w:r>
      <w:r>
        <w:rPr>
          <w:sz w:val="28"/>
          <w:szCs w:val="28"/>
          <w:lang w:val="uk-UA"/>
        </w:rPr>
        <w:t xml:space="preserve"> порушень“ (Київ, </w:t>
      </w:r>
      <w:r w:rsidRPr="00AA26C0">
        <w:rPr>
          <w:sz w:val="28"/>
          <w:szCs w:val="28"/>
          <w:lang w:val="uk-UA"/>
        </w:rPr>
        <w:t>2006 р.), на науково-практичній конференції з міжнародною участю “Метаболічний синдром в практи</w:t>
      </w:r>
      <w:r>
        <w:rPr>
          <w:sz w:val="28"/>
          <w:szCs w:val="28"/>
          <w:lang w:val="uk-UA"/>
        </w:rPr>
        <w:t>ці кардіолога“ (Харків,</w:t>
      </w:r>
      <w:r w:rsidRPr="00AA26C0">
        <w:rPr>
          <w:sz w:val="28"/>
          <w:szCs w:val="28"/>
          <w:lang w:val="uk-UA"/>
        </w:rPr>
        <w:t xml:space="preserve"> 2006 р.), на 17-му Європейському конгресі з артеріальної гіпертензії (Мілан, 2007 р.), на 76-му Європейському конгресі з атеросклерозу (Хельсінкі</w:t>
      </w:r>
      <w:r>
        <w:rPr>
          <w:sz w:val="28"/>
          <w:szCs w:val="28"/>
          <w:lang w:val="uk-UA"/>
        </w:rPr>
        <w:t>,</w:t>
      </w:r>
      <w:r w:rsidRPr="00AA26C0">
        <w:rPr>
          <w:sz w:val="28"/>
          <w:szCs w:val="28"/>
          <w:lang w:val="uk-UA"/>
        </w:rPr>
        <w:t xml:space="preserve"> 2007 р.), на Національному конгресі кардіоло</w:t>
      </w:r>
      <w:r>
        <w:rPr>
          <w:sz w:val="28"/>
          <w:szCs w:val="28"/>
          <w:lang w:val="uk-UA"/>
        </w:rPr>
        <w:t>гів України (Київ,</w:t>
      </w:r>
      <w:r w:rsidRPr="00AA26C0">
        <w:rPr>
          <w:sz w:val="28"/>
          <w:szCs w:val="28"/>
          <w:lang w:val="uk-UA"/>
        </w:rPr>
        <w:t xml:space="preserve"> 2007 р.), на науково-практичній конференції “Метаболічний синдром в практиці </w:t>
      </w:r>
      <w:r>
        <w:rPr>
          <w:sz w:val="28"/>
          <w:szCs w:val="28"/>
          <w:lang w:val="uk-UA"/>
        </w:rPr>
        <w:t>терапевта“ (Харків,</w:t>
      </w:r>
      <w:r w:rsidRPr="00AA26C0">
        <w:rPr>
          <w:sz w:val="28"/>
          <w:szCs w:val="28"/>
          <w:lang w:val="uk-UA"/>
        </w:rPr>
        <w:t xml:space="preserve"> 2008 р.),  </w:t>
      </w:r>
    </w:p>
    <w:p w:rsidR="004B5E3F" w:rsidRPr="008E2FC7" w:rsidRDefault="004B5E3F" w:rsidP="004B5E3F">
      <w:pPr>
        <w:spacing w:line="340" w:lineRule="exact"/>
        <w:ind w:firstLine="900"/>
        <w:jc w:val="both"/>
        <w:rPr>
          <w:sz w:val="28"/>
          <w:szCs w:val="28"/>
          <w:lang w:val="uk-UA"/>
        </w:rPr>
      </w:pPr>
      <w:r w:rsidRPr="00AA26C0">
        <w:rPr>
          <w:b/>
          <w:sz w:val="28"/>
          <w:szCs w:val="28"/>
          <w:lang w:val="uk-UA"/>
        </w:rPr>
        <w:t xml:space="preserve">Публікації. </w:t>
      </w:r>
      <w:r w:rsidRPr="00AA26C0">
        <w:rPr>
          <w:sz w:val="28"/>
          <w:szCs w:val="28"/>
          <w:lang w:val="uk-UA"/>
        </w:rPr>
        <w:t>За матеріалами дисертації опубліковані наукові праці, серед них 3 статті у журналах, що рекомендовані ВАК України та 8 тезисів доповідей у матеріалах наукових конгресів, з’їздів та науково-практичних конференцій, із них 3 у міжнародних збірниках.</w:t>
      </w:r>
    </w:p>
    <w:p w:rsidR="004B5E3F" w:rsidRPr="008E2FC7" w:rsidRDefault="004B5E3F" w:rsidP="004B5E3F">
      <w:pPr>
        <w:spacing w:line="340" w:lineRule="exact"/>
        <w:ind w:firstLine="900"/>
        <w:jc w:val="both"/>
        <w:rPr>
          <w:sz w:val="28"/>
          <w:szCs w:val="28"/>
          <w:lang w:val="uk-UA"/>
        </w:rPr>
      </w:pPr>
    </w:p>
    <w:p w:rsidR="004B5E3F" w:rsidRPr="00390E5F" w:rsidRDefault="004B5E3F" w:rsidP="004B5E3F">
      <w:pPr>
        <w:spacing w:line="340" w:lineRule="exact"/>
        <w:ind w:firstLine="900"/>
        <w:jc w:val="both"/>
        <w:rPr>
          <w:sz w:val="28"/>
          <w:szCs w:val="28"/>
          <w:lang w:val="uk-UA"/>
        </w:rPr>
      </w:pPr>
    </w:p>
    <w:p w:rsidR="004B5E3F" w:rsidRPr="00390E5F" w:rsidRDefault="004B5E3F" w:rsidP="004B5E3F">
      <w:pPr>
        <w:spacing w:line="340" w:lineRule="exact"/>
        <w:ind w:firstLine="900"/>
        <w:jc w:val="both"/>
        <w:rPr>
          <w:sz w:val="28"/>
          <w:szCs w:val="28"/>
          <w:lang w:val="uk-UA"/>
        </w:rPr>
      </w:pPr>
    </w:p>
    <w:p w:rsidR="004B5E3F" w:rsidRPr="00390E5F" w:rsidRDefault="004B5E3F" w:rsidP="004B5E3F">
      <w:pPr>
        <w:spacing w:line="340" w:lineRule="exact"/>
        <w:ind w:firstLine="900"/>
        <w:jc w:val="both"/>
        <w:rPr>
          <w:sz w:val="28"/>
          <w:szCs w:val="28"/>
          <w:lang w:val="uk-UA"/>
        </w:rPr>
      </w:pPr>
    </w:p>
    <w:p w:rsidR="004B5E3F" w:rsidRDefault="004B5E3F" w:rsidP="004B5E3F">
      <w:pPr>
        <w:spacing w:line="340" w:lineRule="exact"/>
        <w:ind w:firstLine="720"/>
        <w:jc w:val="both"/>
        <w:rPr>
          <w:sz w:val="28"/>
          <w:szCs w:val="28"/>
          <w:lang w:val="uk-UA"/>
        </w:rPr>
      </w:pPr>
      <w:r w:rsidRPr="00AA26C0">
        <w:rPr>
          <w:b/>
          <w:sz w:val="28"/>
          <w:szCs w:val="28"/>
          <w:lang w:val="uk-UA"/>
        </w:rPr>
        <w:t xml:space="preserve">Структура та обсяг дисертації.  </w:t>
      </w:r>
      <w:r w:rsidRPr="00AA26C0">
        <w:rPr>
          <w:sz w:val="28"/>
          <w:szCs w:val="28"/>
          <w:lang w:val="uk-UA"/>
        </w:rPr>
        <w:t xml:space="preserve">Матеріали дисертації викладені на 247 сторінках друкованого тексту. Дисертація ілюстрована таблицями та рисунками в тексті, складається зі вступу, огляду літератури, опису клінічної характеристики хворих та методик дослідження, трьох розділів результатів власних досліджень, аналізу і узагальнення результатів дослідження, висновків, практичних </w:t>
      </w:r>
      <w:r w:rsidRPr="00AA26C0">
        <w:rPr>
          <w:sz w:val="28"/>
          <w:szCs w:val="28"/>
          <w:lang w:val="uk-UA"/>
        </w:rPr>
        <w:lastRenderedPageBreak/>
        <w:t>рекомендацій і списку використаних джерел, що містять</w:t>
      </w:r>
      <w:r w:rsidRPr="00CF12A5">
        <w:rPr>
          <w:sz w:val="28"/>
          <w:szCs w:val="28"/>
          <w:lang w:val="uk-UA"/>
        </w:rPr>
        <w:t xml:space="preserve"> </w:t>
      </w:r>
      <w:r>
        <w:rPr>
          <w:sz w:val="28"/>
          <w:szCs w:val="28"/>
          <w:lang w:val="uk-UA"/>
        </w:rPr>
        <w:t>411</w:t>
      </w:r>
      <w:r w:rsidRPr="00AA26C0">
        <w:rPr>
          <w:sz w:val="28"/>
          <w:szCs w:val="28"/>
          <w:lang w:val="uk-UA"/>
        </w:rPr>
        <w:t xml:space="preserve"> літературних найменувань, з яких 27 – кирилицею, 384 - латиницею. </w:t>
      </w:r>
    </w:p>
    <w:p w:rsidR="004B5E3F" w:rsidRDefault="004B5E3F" w:rsidP="004B5E3F">
      <w:pPr>
        <w:spacing w:line="340" w:lineRule="exact"/>
        <w:jc w:val="center"/>
        <w:rPr>
          <w:b/>
          <w:sz w:val="28"/>
          <w:szCs w:val="28"/>
          <w:lang w:val="uk-UA"/>
        </w:rPr>
      </w:pPr>
      <w:r w:rsidRPr="00AA26C0">
        <w:rPr>
          <w:b/>
          <w:sz w:val="28"/>
          <w:szCs w:val="28"/>
          <w:lang w:val="uk-UA"/>
        </w:rPr>
        <w:t>ОСНОВНИЙ ЗМІСТ РОБОТИ</w:t>
      </w:r>
    </w:p>
    <w:p w:rsidR="004B5E3F" w:rsidRPr="00AA26C0" w:rsidRDefault="004B5E3F" w:rsidP="004B5E3F">
      <w:pPr>
        <w:spacing w:line="340" w:lineRule="exact"/>
        <w:jc w:val="center"/>
        <w:rPr>
          <w:b/>
          <w:sz w:val="28"/>
          <w:szCs w:val="28"/>
          <w:lang w:val="uk-UA"/>
        </w:rPr>
      </w:pPr>
    </w:p>
    <w:p w:rsidR="004B5E3F" w:rsidRPr="00AA26C0" w:rsidRDefault="004B5E3F" w:rsidP="004B5E3F">
      <w:pPr>
        <w:spacing w:line="340" w:lineRule="exact"/>
        <w:ind w:firstLine="720"/>
        <w:jc w:val="both"/>
        <w:rPr>
          <w:sz w:val="28"/>
          <w:szCs w:val="28"/>
          <w:lang w:val="uk-UA"/>
        </w:rPr>
      </w:pPr>
      <w:r w:rsidRPr="00AA26C0">
        <w:rPr>
          <w:b/>
          <w:sz w:val="28"/>
          <w:szCs w:val="28"/>
          <w:lang w:val="uk-UA"/>
        </w:rPr>
        <w:t>Клінічна характеристика хворих та методи дослідження.</w:t>
      </w:r>
      <w:r w:rsidRPr="00AA26C0">
        <w:rPr>
          <w:sz w:val="28"/>
          <w:szCs w:val="28"/>
          <w:lang w:val="uk-UA"/>
        </w:rPr>
        <w:t xml:space="preserve"> Дослідження базується на обстеженні 190 пацієнтів з ГХ </w:t>
      </w:r>
      <w:r w:rsidRPr="00AA26C0">
        <w:rPr>
          <w:sz w:val="28"/>
          <w:szCs w:val="28"/>
          <w:lang w:val="en-US"/>
        </w:rPr>
        <w:t>II</w:t>
      </w:r>
      <w:r w:rsidRPr="00AA26C0">
        <w:rPr>
          <w:sz w:val="28"/>
          <w:szCs w:val="28"/>
          <w:lang w:val="uk-UA"/>
        </w:rPr>
        <w:t xml:space="preserve"> стадії, що перебували на лікуванні у відділенні дисліпідемій Національного Наукового центру “Інститут кардіології імені академіка М. Д. Стражеска“ АМН України. Вік пацієнтів був від 2</w:t>
      </w:r>
      <w:r w:rsidRPr="00AA26C0">
        <w:rPr>
          <w:sz w:val="28"/>
          <w:szCs w:val="28"/>
        </w:rPr>
        <w:t>5</w:t>
      </w:r>
      <w:r w:rsidRPr="00AA26C0">
        <w:rPr>
          <w:sz w:val="28"/>
          <w:szCs w:val="28"/>
          <w:lang w:val="uk-UA"/>
        </w:rPr>
        <w:t xml:space="preserve"> до 70 років, у середньому (54,1 </w:t>
      </w:r>
      <w:r w:rsidRPr="00AA26C0">
        <w:rPr>
          <w:sz w:val="28"/>
          <w:szCs w:val="28"/>
        </w:rPr>
        <w:sym w:font="Symbol" w:char="F0B1"/>
      </w:r>
      <w:r w:rsidRPr="00AA26C0">
        <w:rPr>
          <w:sz w:val="28"/>
          <w:szCs w:val="28"/>
          <w:lang w:val="uk-UA"/>
        </w:rPr>
        <w:t xml:space="preserve"> 0,7) року. Серед дос</w:t>
      </w:r>
      <w:r>
        <w:rPr>
          <w:sz w:val="28"/>
          <w:szCs w:val="28"/>
          <w:lang w:val="uk-UA"/>
        </w:rPr>
        <w:t>ліджуваних жінки складали 60%,</w:t>
      </w:r>
      <w:r w:rsidRPr="00AA26C0">
        <w:rPr>
          <w:sz w:val="28"/>
          <w:szCs w:val="28"/>
          <w:lang w:val="uk-UA"/>
        </w:rPr>
        <w:t xml:space="preserve"> чоловіки – 40%. 30 пацієнтів спостерігались у динаміці при лікуванні комбінованим препаратом “Аккузид“ на протязі 24 тижнів.</w:t>
      </w:r>
    </w:p>
    <w:p w:rsidR="004B5E3F" w:rsidRPr="00AA26C0" w:rsidRDefault="004B5E3F" w:rsidP="004B5E3F">
      <w:pPr>
        <w:spacing w:line="340" w:lineRule="exact"/>
        <w:ind w:firstLine="720"/>
        <w:jc w:val="both"/>
        <w:rPr>
          <w:sz w:val="28"/>
          <w:szCs w:val="28"/>
          <w:lang w:val="uk-UA"/>
        </w:rPr>
      </w:pPr>
      <w:r>
        <w:rPr>
          <w:color w:val="000000"/>
          <w:sz w:val="28"/>
          <w:szCs w:val="28"/>
          <w:lang w:val="uk-UA"/>
        </w:rPr>
        <w:t>Класифікація</w:t>
      </w:r>
      <w:r w:rsidRPr="00AA26C0">
        <w:rPr>
          <w:color w:val="000000"/>
          <w:sz w:val="28"/>
          <w:szCs w:val="28"/>
          <w:lang w:val="uk-UA"/>
        </w:rPr>
        <w:t xml:space="preserve"> ГХ встановлювалась відповідно до рекомендацій Україн</w:t>
      </w:r>
      <w:r>
        <w:rPr>
          <w:color w:val="000000"/>
          <w:sz w:val="28"/>
          <w:szCs w:val="28"/>
          <w:lang w:val="uk-UA"/>
        </w:rPr>
        <w:t>ської асоціації кардіологів 2008</w:t>
      </w:r>
      <w:r w:rsidRPr="00AA26C0">
        <w:rPr>
          <w:color w:val="000000"/>
          <w:sz w:val="28"/>
          <w:szCs w:val="28"/>
          <w:lang w:val="uk-UA"/>
        </w:rPr>
        <w:t xml:space="preserve"> року. </w:t>
      </w:r>
      <w:r w:rsidRPr="00AA26C0">
        <w:rPr>
          <w:sz w:val="28"/>
          <w:szCs w:val="28"/>
          <w:lang w:val="uk-UA"/>
        </w:rPr>
        <w:t>Гіпертензі</w:t>
      </w:r>
      <w:r>
        <w:rPr>
          <w:sz w:val="28"/>
          <w:szCs w:val="28"/>
          <w:lang w:val="uk-UA"/>
        </w:rPr>
        <w:t>я у групі пацієнтів із ГХ</w:t>
      </w:r>
      <w:r w:rsidRPr="00AA26C0">
        <w:rPr>
          <w:sz w:val="28"/>
          <w:szCs w:val="28"/>
          <w:lang w:val="uk-UA"/>
        </w:rPr>
        <w:t xml:space="preserve"> </w:t>
      </w:r>
      <w:r>
        <w:rPr>
          <w:sz w:val="28"/>
          <w:szCs w:val="28"/>
          <w:lang w:val="uk-UA"/>
        </w:rPr>
        <w:t>була 1 та 2 ступеня</w:t>
      </w:r>
      <w:r w:rsidRPr="00DF44EA">
        <w:rPr>
          <w:sz w:val="28"/>
          <w:szCs w:val="28"/>
          <w:lang w:val="uk-UA"/>
        </w:rPr>
        <w:t xml:space="preserve"> </w:t>
      </w:r>
      <w:r>
        <w:rPr>
          <w:sz w:val="28"/>
          <w:szCs w:val="28"/>
          <w:lang w:val="uk-UA"/>
        </w:rPr>
        <w:t>(</w:t>
      </w:r>
      <w:r w:rsidRPr="00AA26C0">
        <w:rPr>
          <w:sz w:val="28"/>
          <w:szCs w:val="28"/>
          <w:lang w:val="uk-UA"/>
        </w:rPr>
        <w:t>м’яка та помірна</w:t>
      </w:r>
      <w:r>
        <w:rPr>
          <w:sz w:val="28"/>
          <w:szCs w:val="28"/>
          <w:lang w:val="uk-UA"/>
        </w:rPr>
        <w:t xml:space="preserve"> АГ)</w:t>
      </w:r>
      <w:r w:rsidRPr="00AA26C0">
        <w:rPr>
          <w:sz w:val="28"/>
          <w:szCs w:val="28"/>
          <w:lang w:val="uk-UA"/>
        </w:rPr>
        <w:t>,</w:t>
      </w:r>
      <w:r>
        <w:rPr>
          <w:sz w:val="28"/>
          <w:szCs w:val="28"/>
          <w:lang w:val="uk-UA"/>
        </w:rPr>
        <w:t xml:space="preserve"> пацієнти мали помірний та високий ризик. Д</w:t>
      </w:r>
      <w:r w:rsidRPr="00AA26C0">
        <w:rPr>
          <w:sz w:val="28"/>
          <w:szCs w:val="28"/>
          <w:lang w:val="uk-UA"/>
        </w:rPr>
        <w:t xml:space="preserve">авність захворювання </w:t>
      </w:r>
      <w:r>
        <w:rPr>
          <w:sz w:val="28"/>
          <w:szCs w:val="28"/>
          <w:lang w:val="uk-UA"/>
        </w:rPr>
        <w:t xml:space="preserve">на </w:t>
      </w:r>
      <w:r w:rsidRPr="00AA26C0">
        <w:rPr>
          <w:sz w:val="28"/>
          <w:szCs w:val="28"/>
          <w:lang w:val="uk-UA"/>
        </w:rPr>
        <w:t xml:space="preserve">ГХ склала від 4,5 до 10 років, у середньому (6,3 </w:t>
      </w:r>
      <w:r w:rsidRPr="00AA26C0">
        <w:rPr>
          <w:sz w:val="28"/>
          <w:szCs w:val="28"/>
        </w:rPr>
        <w:sym w:font="Symbol" w:char="F0B1"/>
      </w:r>
      <w:r w:rsidRPr="00AA26C0">
        <w:rPr>
          <w:sz w:val="28"/>
          <w:szCs w:val="28"/>
          <w:lang w:val="uk-UA"/>
        </w:rPr>
        <w:t xml:space="preserve"> 0,3) року. Серед усіх жінок ожиріння було діагностовано у 83 (73 %), серед чоловіків – у 52 (68 %) пацієнтів.</w:t>
      </w:r>
      <w:r w:rsidRPr="00AA26C0">
        <w:rPr>
          <w:color w:val="000000"/>
          <w:sz w:val="28"/>
          <w:szCs w:val="28"/>
          <w:lang w:val="uk-UA"/>
        </w:rPr>
        <w:t xml:space="preserve"> Цукровий діабет</w:t>
      </w:r>
      <w:r>
        <w:rPr>
          <w:color w:val="000000"/>
          <w:sz w:val="28"/>
          <w:szCs w:val="28"/>
          <w:lang w:val="uk-UA"/>
        </w:rPr>
        <w:t xml:space="preserve"> </w:t>
      </w:r>
      <w:r w:rsidRPr="008A73DD">
        <w:rPr>
          <w:color w:val="000000"/>
          <w:sz w:val="28"/>
          <w:szCs w:val="28"/>
          <w:lang w:val="uk-UA"/>
        </w:rPr>
        <w:t>(</w:t>
      </w:r>
      <w:r>
        <w:rPr>
          <w:color w:val="000000"/>
          <w:sz w:val="28"/>
          <w:szCs w:val="28"/>
          <w:lang w:val="uk-UA"/>
        </w:rPr>
        <w:t>ЦД</w:t>
      </w:r>
      <w:r w:rsidRPr="008A73DD">
        <w:rPr>
          <w:color w:val="000000"/>
          <w:sz w:val="28"/>
          <w:szCs w:val="28"/>
          <w:lang w:val="uk-UA"/>
        </w:rPr>
        <w:t>)</w:t>
      </w:r>
      <w:r w:rsidRPr="00AA26C0">
        <w:rPr>
          <w:color w:val="000000"/>
          <w:sz w:val="28"/>
          <w:szCs w:val="28"/>
          <w:lang w:val="uk-UA"/>
        </w:rPr>
        <w:t xml:space="preserve"> 2 типу в стадії компенсації мали 27 пацієнтів (14%). </w:t>
      </w:r>
    </w:p>
    <w:p w:rsidR="004B5E3F" w:rsidRPr="00AA26C0" w:rsidRDefault="004B5E3F" w:rsidP="004B5E3F">
      <w:pPr>
        <w:tabs>
          <w:tab w:val="left" w:pos="9355"/>
        </w:tabs>
        <w:spacing w:line="340" w:lineRule="exact"/>
        <w:ind w:right="-5" w:firstLine="720"/>
        <w:jc w:val="both"/>
        <w:rPr>
          <w:color w:val="000000"/>
          <w:sz w:val="28"/>
          <w:szCs w:val="28"/>
          <w:lang w:val="uk-UA"/>
        </w:rPr>
      </w:pPr>
      <w:r w:rsidRPr="00AA26C0">
        <w:rPr>
          <w:color w:val="000000"/>
          <w:sz w:val="28"/>
          <w:szCs w:val="28"/>
          <w:lang w:val="uk-UA"/>
        </w:rPr>
        <w:t>У дослідження не включалис</w:t>
      </w:r>
      <w:r>
        <w:rPr>
          <w:color w:val="000000"/>
          <w:sz w:val="28"/>
          <w:szCs w:val="28"/>
          <w:lang w:val="uk-UA"/>
        </w:rPr>
        <w:t>ь хворі із вторинними АГ, іншою</w:t>
      </w:r>
      <w:r w:rsidRPr="00AA26C0">
        <w:rPr>
          <w:color w:val="000000"/>
          <w:sz w:val="28"/>
          <w:szCs w:val="28"/>
          <w:lang w:val="uk-UA"/>
        </w:rPr>
        <w:t xml:space="preserve"> патологі</w:t>
      </w:r>
      <w:r>
        <w:rPr>
          <w:color w:val="000000"/>
          <w:sz w:val="28"/>
          <w:szCs w:val="28"/>
          <w:lang w:val="uk-UA"/>
        </w:rPr>
        <w:t>єю серцево-судинної системи, яка</w:t>
      </w:r>
      <w:r w:rsidRPr="00AA26C0">
        <w:rPr>
          <w:color w:val="000000"/>
          <w:sz w:val="28"/>
          <w:szCs w:val="28"/>
          <w:lang w:val="uk-UA"/>
        </w:rPr>
        <w:t xml:space="preserve"> мож</w:t>
      </w:r>
      <w:r>
        <w:rPr>
          <w:color w:val="000000"/>
          <w:sz w:val="28"/>
          <w:szCs w:val="28"/>
          <w:lang w:val="uk-UA"/>
        </w:rPr>
        <w:t>е</w:t>
      </w:r>
      <w:r w:rsidRPr="00AA26C0">
        <w:rPr>
          <w:color w:val="000000"/>
          <w:sz w:val="28"/>
          <w:szCs w:val="28"/>
          <w:lang w:val="uk-UA"/>
        </w:rPr>
        <w:t xml:space="preserve"> супроводжуватися ГЛШ, або </w:t>
      </w:r>
      <w:r>
        <w:rPr>
          <w:color w:val="000000"/>
          <w:sz w:val="28"/>
          <w:szCs w:val="28"/>
          <w:lang w:val="uk-UA"/>
        </w:rPr>
        <w:t>змінами</w:t>
      </w:r>
      <w:r w:rsidRPr="00AA26C0">
        <w:rPr>
          <w:color w:val="000000"/>
          <w:sz w:val="28"/>
          <w:szCs w:val="28"/>
          <w:lang w:val="uk-UA"/>
        </w:rPr>
        <w:t xml:space="preserve"> геометрії ЛШ (ІХС, СН, клапанні ураження, кардіоміопатії) а також</w:t>
      </w:r>
      <w:r w:rsidRPr="00255DD0">
        <w:rPr>
          <w:sz w:val="28"/>
          <w:szCs w:val="28"/>
          <w:lang w:val="uk-UA"/>
        </w:rPr>
        <w:t xml:space="preserve"> </w:t>
      </w:r>
      <w:r>
        <w:rPr>
          <w:sz w:val="28"/>
          <w:szCs w:val="28"/>
          <w:lang w:val="uk-UA"/>
        </w:rPr>
        <w:t>пацієнти</w:t>
      </w:r>
      <w:r w:rsidRPr="00AA26C0">
        <w:rPr>
          <w:color w:val="000000"/>
          <w:sz w:val="28"/>
          <w:szCs w:val="28"/>
          <w:lang w:val="uk-UA"/>
        </w:rPr>
        <w:t>, що професійно займалися спортом у минулому. З метою виключення діагнозу ІХС у 75% хворих проведено ВЕМ.</w:t>
      </w:r>
    </w:p>
    <w:p w:rsidR="004B5E3F" w:rsidRPr="008A73DD" w:rsidRDefault="004B5E3F" w:rsidP="004B5E3F">
      <w:pPr>
        <w:tabs>
          <w:tab w:val="left" w:pos="9355"/>
        </w:tabs>
        <w:spacing w:line="340" w:lineRule="exact"/>
        <w:ind w:right="-5" w:firstLine="720"/>
        <w:jc w:val="both"/>
        <w:rPr>
          <w:color w:val="000000"/>
          <w:sz w:val="28"/>
          <w:szCs w:val="28"/>
          <w:lang w:val="uk-UA"/>
        </w:rPr>
      </w:pPr>
      <w:r w:rsidRPr="00AA26C0">
        <w:rPr>
          <w:color w:val="000000"/>
          <w:sz w:val="28"/>
          <w:szCs w:val="28"/>
          <w:lang w:val="uk-UA"/>
        </w:rPr>
        <w:t xml:space="preserve">Для вирішення поставлених завдань використовували комплекс клінічних та інструментальних </w:t>
      </w:r>
      <w:r w:rsidRPr="00AA26C0">
        <w:rPr>
          <w:sz w:val="28"/>
          <w:szCs w:val="28"/>
          <w:lang w:val="uk-UA"/>
        </w:rPr>
        <w:t xml:space="preserve">досліджень. Проводились загальноклінічне дослідження, вимірювання маси тіла, росту та </w:t>
      </w:r>
      <w:r>
        <w:rPr>
          <w:sz w:val="28"/>
          <w:szCs w:val="28"/>
          <w:lang w:val="uk-UA"/>
        </w:rPr>
        <w:t>роз</w:t>
      </w:r>
      <w:r w:rsidRPr="00AA26C0">
        <w:rPr>
          <w:sz w:val="28"/>
          <w:szCs w:val="28"/>
          <w:lang w:val="uk-UA"/>
        </w:rPr>
        <w:t>рахунок індексу маси тіла (ІМТ)</w:t>
      </w:r>
      <w:r w:rsidRPr="00AA26C0">
        <w:rPr>
          <w:color w:val="000000"/>
          <w:sz w:val="28"/>
          <w:szCs w:val="28"/>
          <w:lang w:val="uk-UA"/>
        </w:rPr>
        <w:t xml:space="preserve"> відповідно до рекомендацій ВООЗ (1997) за формулою Кетле: </w:t>
      </w:r>
    </w:p>
    <w:p w:rsidR="004B5E3F" w:rsidRDefault="004B5E3F" w:rsidP="004B5E3F">
      <w:pPr>
        <w:tabs>
          <w:tab w:val="left" w:pos="9355"/>
        </w:tabs>
        <w:spacing w:line="340" w:lineRule="exact"/>
        <w:ind w:right="-5" w:firstLine="720"/>
        <w:jc w:val="center"/>
        <w:rPr>
          <w:color w:val="000000"/>
          <w:sz w:val="28"/>
          <w:szCs w:val="28"/>
          <w:lang w:val="uk-UA"/>
        </w:rPr>
      </w:pPr>
      <w:r w:rsidRPr="00AA26C0">
        <w:rPr>
          <w:color w:val="000000"/>
          <w:sz w:val="28"/>
          <w:szCs w:val="28"/>
          <w:lang w:val="uk-UA"/>
        </w:rPr>
        <w:t>ІМТ = маса тіла</w:t>
      </w:r>
      <w:r w:rsidRPr="00AA26C0">
        <w:rPr>
          <w:b/>
          <w:color w:val="000000"/>
          <w:sz w:val="28"/>
          <w:szCs w:val="28"/>
          <w:lang w:val="uk-UA"/>
        </w:rPr>
        <w:t xml:space="preserve"> / </w:t>
      </w:r>
      <w:r w:rsidRPr="00AA26C0">
        <w:rPr>
          <w:color w:val="000000"/>
          <w:sz w:val="28"/>
          <w:szCs w:val="28"/>
          <w:lang w:val="uk-UA"/>
        </w:rPr>
        <w:t>ріст</w:t>
      </w:r>
      <w:r w:rsidRPr="00AA26C0">
        <w:rPr>
          <w:color w:val="000000"/>
          <w:sz w:val="28"/>
          <w:szCs w:val="28"/>
          <w:vertAlign w:val="superscript"/>
          <w:lang w:val="uk-UA"/>
        </w:rPr>
        <w:t>2</w:t>
      </w:r>
      <w:r w:rsidRPr="00AA26C0">
        <w:rPr>
          <w:color w:val="000000"/>
          <w:sz w:val="28"/>
          <w:szCs w:val="28"/>
          <w:lang w:val="uk-UA"/>
        </w:rPr>
        <w:t xml:space="preserve"> (кг/м</w:t>
      </w:r>
      <w:r w:rsidRPr="00AA26C0">
        <w:rPr>
          <w:color w:val="000000"/>
          <w:sz w:val="28"/>
          <w:szCs w:val="28"/>
          <w:vertAlign w:val="superscript"/>
          <w:lang w:val="uk-UA"/>
        </w:rPr>
        <w:t>2</w:t>
      </w:r>
      <w:r w:rsidRPr="00AA26C0">
        <w:rPr>
          <w:color w:val="000000"/>
          <w:sz w:val="28"/>
          <w:szCs w:val="28"/>
          <w:lang w:val="uk-UA"/>
        </w:rPr>
        <w:t>)</w:t>
      </w:r>
    </w:p>
    <w:p w:rsidR="004B5E3F" w:rsidRPr="00AA26C0" w:rsidRDefault="004B5E3F" w:rsidP="004B5E3F">
      <w:pPr>
        <w:spacing w:line="340" w:lineRule="exact"/>
        <w:ind w:firstLine="720"/>
        <w:jc w:val="both"/>
        <w:rPr>
          <w:sz w:val="28"/>
          <w:szCs w:val="28"/>
        </w:rPr>
      </w:pPr>
      <w:r w:rsidRPr="00AA26C0">
        <w:rPr>
          <w:color w:val="000000"/>
          <w:sz w:val="28"/>
          <w:szCs w:val="28"/>
          <w:lang w:val="uk-UA"/>
        </w:rPr>
        <w:t xml:space="preserve">МС визначався за рекомендаціями </w:t>
      </w:r>
      <w:r w:rsidRPr="00AA26C0">
        <w:rPr>
          <w:color w:val="000000"/>
          <w:sz w:val="28"/>
          <w:szCs w:val="28"/>
          <w:lang w:val="en-US"/>
        </w:rPr>
        <w:t>ATP</w:t>
      </w:r>
      <w:r w:rsidRPr="00AA26C0">
        <w:rPr>
          <w:color w:val="000000"/>
          <w:sz w:val="28"/>
          <w:szCs w:val="28"/>
          <w:lang w:val="uk-UA"/>
        </w:rPr>
        <w:t xml:space="preserve"> </w:t>
      </w:r>
      <w:r>
        <w:rPr>
          <w:color w:val="000000"/>
          <w:sz w:val="28"/>
          <w:szCs w:val="28"/>
          <w:lang w:val="uk-UA"/>
        </w:rPr>
        <w:t xml:space="preserve">– </w:t>
      </w:r>
      <w:r w:rsidRPr="00AA26C0">
        <w:rPr>
          <w:color w:val="000000"/>
          <w:sz w:val="28"/>
          <w:szCs w:val="28"/>
          <w:lang w:val="en-US"/>
        </w:rPr>
        <w:t>III</w:t>
      </w:r>
      <w:r w:rsidRPr="00AA26C0">
        <w:rPr>
          <w:color w:val="000000"/>
          <w:sz w:val="28"/>
          <w:szCs w:val="28"/>
          <w:lang w:val="uk-UA"/>
        </w:rPr>
        <w:t xml:space="preserve"> </w:t>
      </w:r>
      <w:r>
        <w:rPr>
          <w:color w:val="000000"/>
          <w:sz w:val="28"/>
          <w:szCs w:val="28"/>
          <w:lang w:val="uk-UA"/>
        </w:rPr>
        <w:t>(</w:t>
      </w:r>
      <w:r w:rsidRPr="00AA26C0">
        <w:rPr>
          <w:color w:val="000000"/>
          <w:sz w:val="28"/>
          <w:szCs w:val="28"/>
          <w:lang w:val="uk-UA"/>
        </w:rPr>
        <w:t xml:space="preserve">2001 </w:t>
      </w:r>
      <w:r w:rsidRPr="00AA26C0">
        <w:rPr>
          <w:color w:val="000000"/>
          <w:sz w:val="28"/>
          <w:szCs w:val="28"/>
          <w:lang w:val="en-US"/>
        </w:rPr>
        <w:t>p</w:t>
      </w:r>
      <w:r w:rsidRPr="00AA26C0">
        <w:rPr>
          <w:color w:val="000000"/>
          <w:sz w:val="28"/>
          <w:szCs w:val="28"/>
          <w:lang w:val="uk-UA"/>
        </w:rPr>
        <w:t>.</w:t>
      </w:r>
      <w:r>
        <w:rPr>
          <w:color w:val="000000"/>
          <w:sz w:val="28"/>
          <w:szCs w:val="28"/>
          <w:lang w:val="uk-UA"/>
        </w:rPr>
        <w:t>)</w:t>
      </w:r>
      <w:r w:rsidRPr="00AA26C0">
        <w:rPr>
          <w:color w:val="000000"/>
          <w:sz w:val="28"/>
          <w:szCs w:val="28"/>
          <w:lang w:val="uk-UA"/>
        </w:rPr>
        <w:t xml:space="preserve"> та </w:t>
      </w:r>
      <w:r w:rsidRPr="00AA26C0">
        <w:rPr>
          <w:color w:val="000000"/>
          <w:sz w:val="28"/>
          <w:szCs w:val="28"/>
          <w:lang w:val="en-US"/>
        </w:rPr>
        <w:t>IDF</w:t>
      </w:r>
      <w:r w:rsidRPr="00AA26C0">
        <w:rPr>
          <w:color w:val="000000"/>
          <w:sz w:val="28"/>
          <w:szCs w:val="28"/>
          <w:lang w:val="uk-UA"/>
        </w:rPr>
        <w:t xml:space="preserve"> </w:t>
      </w:r>
      <w:r>
        <w:rPr>
          <w:color w:val="000000"/>
          <w:sz w:val="28"/>
          <w:szCs w:val="28"/>
          <w:lang w:val="uk-UA"/>
        </w:rPr>
        <w:t>(</w:t>
      </w:r>
      <w:r w:rsidRPr="00AA26C0">
        <w:rPr>
          <w:color w:val="000000"/>
          <w:sz w:val="28"/>
          <w:szCs w:val="28"/>
          <w:lang w:val="uk-UA"/>
        </w:rPr>
        <w:t>2005 р</w:t>
      </w:r>
      <w:r w:rsidRPr="00AA26C0">
        <w:rPr>
          <w:sz w:val="28"/>
          <w:szCs w:val="28"/>
          <w:lang w:val="uk-UA"/>
        </w:rPr>
        <w:t>.</w:t>
      </w:r>
      <w:r>
        <w:rPr>
          <w:sz w:val="28"/>
          <w:szCs w:val="28"/>
          <w:lang w:val="uk-UA"/>
        </w:rPr>
        <w:t>).</w:t>
      </w:r>
      <w:r w:rsidRPr="00AA26C0">
        <w:rPr>
          <w:sz w:val="28"/>
          <w:szCs w:val="28"/>
          <w:lang w:val="uk-UA"/>
        </w:rPr>
        <w:t xml:space="preserve"> </w:t>
      </w:r>
      <w:r w:rsidRPr="00AA26C0">
        <w:rPr>
          <w:color w:val="000000"/>
          <w:sz w:val="28"/>
          <w:szCs w:val="28"/>
          <w:lang w:val="uk-UA"/>
        </w:rPr>
        <w:t>Аналіз даних проводився з урахуванням нормативних величин окружності талії (ОТ), рівня глюкози натще і/або при проведенні навантажувального глюкозотолерантного тесту (ГТТ), рівня тригліцеридів (ТГ) та холе</w:t>
      </w:r>
      <w:r>
        <w:rPr>
          <w:color w:val="000000"/>
          <w:sz w:val="28"/>
          <w:szCs w:val="28"/>
          <w:lang w:val="uk-UA"/>
        </w:rPr>
        <w:t>с</w:t>
      </w:r>
      <w:r w:rsidRPr="00AA26C0">
        <w:rPr>
          <w:color w:val="000000"/>
          <w:sz w:val="28"/>
          <w:szCs w:val="28"/>
          <w:lang w:val="uk-UA"/>
        </w:rPr>
        <w:t>терину ліпопротеїнів високої густини (ЛПВГ). Підвищені рівні загального холестерину (ЗХ) та х</w:t>
      </w:r>
      <w:r>
        <w:rPr>
          <w:color w:val="000000"/>
          <w:sz w:val="28"/>
          <w:szCs w:val="28"/>
          <w:lang w:val="uk-UA"/>
        </w:rPr>
        <w:t>о</w:t>
      </w:r>
      <w:r w:rsidRPr="00AA26C0">
        <w:rPr>
          <w:color w:val="000000"/>
          <w:sz w:val="28"/>
          <w:szCs w:val="28"/>
          <w:lang w:val="uk-UA"/>
        </w:rPr>
        <w:t>лестери</w:t>
      </w:r>
      <w:r>
        <w:rPr>
          <w:color w:val="000000"/>
          <w:sz w:val="28"/>
          <w:szCs w:val="28"/>
          <w:lang w:val="uk-UA"/>
        </w:rPr>
        <w:t>н</w:t>
      </w:r>
      <w:r w:rsidRPr="00AA26C0">
        <w:rPr>
          <w:color w:val="000000"/>
          <w:sz w:val="28"/>
          <w:szCs w:val="28"/>
          <w:lang w:val="uk-UA"/>
        </w:rPr>
        <w:t>у ліпопротеїнів низької густини (ЛПНГ) визначалися згідно рекомендацій Європейського товариств</w:t>
      </w:r>
      <w:r w:rsidRPr="00AA26C0">
        <w:rPr>
          <w:color w:val="000000"/>
          <w:sz w:val="28"/>
          <w:szCs w:val="28"/>
          <w:lang w:val="en-US"/>
        </w:rPr>
        <w:t>a</w:t>
      </w:r>
      <w:r w:rsidRPr="00AA26C0">
        <w:rPr>
          <w:color w:val="000000"/>
          <w:sz w:val="28"/>
          <w:szCs w:val="28"/>
          <w:lang w:val="uk-UA"/>
        </w:rPr>
        <w:t xml:space="preserve"> кардіологів </w:t>
      </w:r>
      <w:r w:rsidRPr="00AA26C0">
        <w:rPr>
          <w:color w:val="000000"/>
          <w:sz w:val="28"/>
          <w:szCs w:val="28"/>
          <w:lang w:val="en-US"/>
        </w:rPr>
        <w:t>ESC</w:t>
      </w:r>
      <w:r>
        <w:rPr>
          <w:color w:val="000000"/>
          <w:sz w:val="28"/>
          <w:szCs w:val="28"/>
          <w:lang w:val="uk-UA"/>
        </w:rPr>
        <w:t>,</w:t>
      </w:r>
      <w:r w:rsidRPr="00AA26C0">
        <w:rPr>
          <w:color w:val="000000"/>
          <w:sz w:val="28"/>
          <w:szCs w:val="28"/>
          <w:lang w:val="uk-UA"/>
        </w:rPr>
        <w:t xml:space="preserve"> 2007.</w:t>
      </w:r>
      <w:r>
        <w:rPr>
          <w:color w:val="000000"/>
          <w:sz w:val="28"/>
          <w:szCs w:val="28"/>
          <w:lang w:val="uk-UA"/>
        </w:rPr>
        <w:t xml:space="preserve"> При підвищенні рівнів глюкози натще </w:t>
      </w:r>
      <w:r w:rsidRPr="00AA26C0">
        <w:rPr>
          <w:color w:val="000000"/>
          <w:sz w:val="28"/>
          <w:szCs w:val="28"/>
          <w:lang w:val="uk-UA"/>
        </w:rPr>
        <w:t xml:space="preserve">(ПГН) </w:t>
      </w:r>
      <w:r>
        <w:rPr>
          <w:color w:val="000000"/>
          <w:sz w:val="28"/>
          <w:szCs w:val="28"/>
          <w:lang w:val="uk-UA"/>
        </w:rPr>
        <w:t>вище 5,6 ммоль/л діагностувалась гіпер</w:t>
      </w:r>
      <w:r w:rsidRPr="00AA26C0">
        <w:rPr>
          <w:color w:val="000000"/>
          <w:sz w:val="28"/>
          <w:szCs w:val="28"/>
          <w:lang w:val="uk-UA"/>
        </w:rPr>
        <w:t>гл</w:t>
      </w:r>
      <w:r>
        <w:rPr>
          <w:color w:val="000000"/>
          <w:sz w:val="28"/>
          <w:szCs w:val="28"/>
          <w:lang w:val="uk-UA"/>
        </w:rPr>
        <w:t>і</w:t>
      </w:r>
      <w:r w:rsidRPr="00AA26C0">
        <w:rPr>
          <w:color w:val="000000"/>
          <w:sz w:val="28"/>
          <w:szCs w:val="28"/>
          <w:lang w:val="uk-UA"/>
        </w:rPr>
        <w:t>к</w:t>
      </w:r>
      <w:r>
        <w:rPr>
          <w:color w:val="000000"/>
          <w:sz w:val="28"/>
          <w:szCs w:val="28"/>
          <w:lang w:val="uk-UA"/>
        </w:rPr>
        <w:t xml:space="preserve">емія </w:t>
      </w:r>
      <w:r w:rsidRPr="00AA26C0">
        <w:rPr>
          <w:color w:val="000000"/>
          <w:sz w:val="28"/>
          <w:szCs w:val="28"/>
          <w:lang w:val="uk-UA"/>
        </w:rPr>
        <w:t>(</w:t>
      </w:r>
      <w:r w:rsidRPr="00AA26C0">
        <w:rPr>
          <w:color w:val="000000"/>
          <w:sz w:val="28"/>
          <w:szCs w:val="28"/>
          <w:lang w:val="en-US"/>
        </w:rPr>
        <w:t>IDF</w:t>
      </w:r>
      <w:r w:rsidRPr="00AA26C0">
        <w:rPr>
          <w:color w:val="000000"/>
          <w:sz w:val="28"/>
          <w:szCs w:val="28"/>
          <w:lang w:val="uk-UA"/>
        </w:rPr>
        <w:t>). ГТТ</w:t>
      </w:r>
      <w:r w:rsidRPr="00AA26C0">
        <w:rPr>
          <w:sz w:val="28"/>
          <w:szCs w:val="28"/>
          <w:lang w:val="uk-UA"/>
        </w:rPr>
        <w:t xml:space="preserve"> </w:t>
      </w:r>
      <w:r w:rsidRPr="00AA26C0">
        <w:rPr>
          <w:color w:val="000000"/>
          <w:sz w:val="28"/>
          <w:szCs w:val="28"/>
          <w:lang w:val="uk-UA"/>
        </w:rPr>
        <w:t xml:space="preserve">проводили за методикою, запропонованою ВОЗ та </w:t>
      </w:r>
      <w:r w:rsidRPr="00AA26C0">
        <w:rPr>
          <w:color w:val="000000"/>
          <w:sz w:val="28"/>
          <w:szCs w:val="28"/>
          <w:lang w:val="en-US"/>
        </w:rPr>
        <w:t>National</w:t>
      </w:r>
      <w:r w:rsidRPr="00AA26C0">
        <w:rPr>
          <w:color w:val="000000"/>
          <w:sz w:val="28"/>
          <w:szCs w:val="28"/>
          <w:lang w:val="uk-UA"/>
        </w:rPr>
        <w:t xml:space="preserve"> </w:t>
      </w:r>
      <w:r w:rsidRPr="00AA26C0">
        <w:rPr>
          <w:color w:val="000000"/>
          <w:sz w:val="28"/>
          <w:szCs w:val="28"/>
          <w:lang w:val="en-US"/>
        </w:rPr>
        <w:t>Diabetic</w:t>
      </w:r>
      <w:r w:rsidRPr="00AA26C0">
        <w:rPr>
          <w:color w:val="000000"/>
          <w:sz w:val="28"/>
          <w:szCs w:val="28"/>
          <w:lang w:val="uk-UA"/>
        </w:rPr>
        <w:t xml:space="preserve"> </w:t>
      </w:r>
      <w:r w:rsidRPr="00AA26C0">
        <w:rPr>
          <w:color w:val="000000"/>
          <w:sz w:val="28"/>
          <w:szCs w:val="28"/>
          <w:lang w:val="en-US"/>
        </w:rPr>
        <w:t>Group</w:t>
      </w:r>
      <w:r w:rsidRPr="00AA26C0">
        <w:rPr>
          <w:color w:val="000000"/>
          <w:sz w:val="28"/>
          <w:szCs w:val="28"/>
          <w:lang w:val="uk-UA"/>
        </w:rPr>
        <w:t>, 2005 р., при рівні глюкози на 120 хвилині тесту 7,8 – 11,1 ммоль/л діагностувалось порушення толерантності до глюкози (ПТГ). Визначення вмісту інсуліну у крові натще проводилось імуноферментним методом (набір “</w:t>
      </w:r>
      <w:r w:rsidRPr="00AA26C0">
        <w:rPr>
          <w:color w:val="000000"/>
          <w:sz w:val="28"/>
          <w:szCs w:val="28"/>
          <w:lang w:val="en-US"/>
        </w:rPr>
        <w:t>DRG</w:t>
      </w:r>
      <w:r w:rsidRPr="00AA26C0">
        <w:rPr>
          <w:color w:val="000000"/>
          <w:sz w:val="28"/>
          <w:szCs w:val="28"/>
          <w:lang w:val="uk-UA"/>
        </w:rPr>
        <w:t xml:space="preserve"> </w:t>
      </w:r>
      <w:r w:rsidRPr="00AA26C0">
        <w:rPr>
          <w:color w:val="000000"/>
          <w:sz w:val="28"/>
          <w:szCs w:val="28"/>
          <w:lang w:val="en-US"/>
        </w:rPr>
        <w:t>Diagnostic</w:t>
      </w:r>
      <w:r w:rsidRPr="00AA26C0">
        <w:rPr>
          <w:color w:val="000000"/>
          <w:sz w:val="28"/>
          <w:szCs w:val="28"/>
          <w:lang w:val="uk-UA"/>
        </w:rPr>
        <w:t xml:space="preserve">”, Німеччина). Визначення інсулінорезистентності (ІР) проводилось за допомогою індексу НОМА. </w:t>
      </w:r>
      <w:r w:rsidRPr="00AA26C0">
        <w:rPr>
          <w:sz w:val="28"/>
          <w:szCs w:val="28"/>
          <w:lang w:val="uk-UA"/>
        </w:rPr>
        <w:t>Даний показник розраховувався за формулою:</w:t>
      </w:r>
    </w:p>
    <w:p w:rsidR="004B5E3F" w:rsidRDefault="004B5E3F" w:rsidP="004B5E3F">
      <w:pPr>
        <w:spacing w:line="340" w:lineRule="exact"/>
        <w:ind w:firstLine="720"/>
        <w:jc w:val="both"/>
        <w:rPr>
          <w:sz w:val="28"/>
          <w:szCs w:val="28"/>
          <w:lang w:val="uk-UA"/>
        </w:rPr>
      </w:pPr>
      <w:r w:rsidRPr="00AA26C0">
        <w:rPr>
          <w:color w:val="000000"/>
          <w:sz w:val="28"/>
          <w:szCs w:val="28"/>
          <w:lang w:val="uk-UA"/>
        </w:rPr>
        <w:lastRenderedPageBreak/>
        <w:t>НОМА</w:t>
      </w:r>
      <w:r w:rsidRPr="00AA26C0">
        <w:rPr>
          <w:color w:val="000000"/>
          <w:sz w:val="28"/>
          <w:szCs w:val="28"/>
        </w:rPr>
        <w:t>=</w:t>
      </w:r>
      <w:r w:rsidRPr="00AA26C0">
        <w:rPr>
          <w:sz w:val="28"/>
          <w:szCs w:val="28"/>
          <w:lang w:val="uk-UA"/>
        </w:rPr>
        <w:t>інсулін</w:t>
      </w:r>
      <w:r w:rsidRPr="00AA26C0">
        <w:rPr>
          <w:sz w:val="28"/>
          <w:szCs w:val="28"/>
        </w:rPr>
        <w:t xml:space="preserve"> </w:t>
      </w:r>
      <w:r w:rsidRPr="00AA26C0">
        <w:rPr>
          <w:sz w:val="28"/>
          <w:szCs w:val="28"/>
          <w:lang w:val="uk-UA"/>
        </w:rPr>
        <w:t xml:space="preserve">(МОд/мл) </w:t>
      </w:r>
      <w:r w:rsidRPr="00AA26C0">
        <w:rPr>
          <w:sz w:val="28"/>
          <w:szCs w:val="28"/>
          <w:lang w:val="uk-UA"/>
        </w:rPr>
        <w:sym w:font="Symbol" w:char="00B4"/>
      </w:r>
      <w:r w:rsidRPr="00AA26C0">
        <w:rPr>
          <w:sz w:val="28"/>
          <w:szCs w:val="28"/>
          <w:lang w:val="uk-UA"/>
        </w:rPr>
        <w:t xml:space="preserve"> глюкоза (ммоль/л)</w:t>
      </w:r>
      <w:r w:rsidRPr="00AA26C0">
        <w:rPr>
          <w:sz w:val="28"/>
          <w:szCs w:val="28"/>
        </w:rPr>
        <w:t xml:space="preserve"> </w:t>
      </w:r>
      <w:r w:rsidRPr="00AA26C0">
        <w:rPr>
          <w:sz w:val="28"/>
          <w:szCs w:val="28"/>
          <w:lang w:val="uk-UA"/>
        </w:rPr>
        <w:t>/</w:t>
      </w:r>
      <w:r w:rsidRPr="00AA26C0">
        <w:rPr>
          <w:sz w:val="28"/>
          <w:szCs w:val="28"/>
        </w:rPr>
        <w:t xml:space="preserve"> </w:t>
      </w:r>
      <w:r w:rsidRPr="00AA26C0">
        <w:rPr>
          <w:sz w:val="28"/>
          <w:szCs w:val="28"/>
          <w:lang w:val="uk-UA"/>
        </w:rPr>
        <w:t>22,5</w:t>
      </w:r>
      <w:r w:rsidRPr="00AA26C0">
        <w:rPr>
          <w:sz w:val="28"/>
          <w:szCs w:val="28"/>
        </w:rPr>
        <w:t xml:space="preserve"> (</w:t>
      </w:r>
      <w:r w:rsidRPr="00AA26C0">
        <w:rPr>
          <w:sz w:val="28"/>
          <w:szCs w:val="28"/>
          <w:lang w:val="uk-UA"/>
        </w:rPr>
        <w:t>у.о.).</w:t>
      </w:r>
    </w:p>
    <w:p w:rsidR="004B5E3F" w:rsidRPr="00AA26C0" w:rsidRDefault="004B5E3F" w:rsidP="004B5E3F">
      <w:pPr>
        <w:spacing w:line="340" w:lineRule="exact"/>
        <w:ind w:firstLine="720"/>
        <w:jc w:val="both"/>
        <w:rPr>
          <w:sz w:val="28"/>
          <w:szCs w:val="28"/>
          <w:lang w:val="uk-UA"/>
        </w:rPr>
      </w:pPr>
    </w:p>
    <w:p w:rsidR="004B5E3F" w:rsidRPr="00AA26C0" w:rsidRDefault="004B5E3F" w:rsidP="004B5E3F">
      <w:pPr>
        <w:spacing w:line="340" w:lineRule="exact"/>
        <w:ind w:firstLine="720"/>
        <w:jc w:val="both"/>
        <w:rPr>
          <w:sz w:val="28"/>
          <w:szCs w:val="28"/>
          <w:lang w:val="uk-UA"/>
        </w:rPr>
      </w:pPr>
      <w:r w:rsidRPr="00AA26C0">
        <w:rPr>
          <w:color w:val="000000"/>
          <w:sz w:val="28"/>
          <w:szCs w:val="28"/>
          <w:lang w:val="uk-UA"/>
        </w:rPr>
        <w:t xml:space="preserve">При </w:t>
      </w:r>
      <w:r>
        <w:rPr>
          <w:color w:val="000000"/>
          <w:sz w:val="28"/>
          <w:szCs w:val="28"/>
          <w:lang w:val="uk-UA"/>
        </w:rPr>
        <w:t>підвищенні</w:t>
      </w:r>
      <w:r w:rsidRPr="00AA26C0">
        <w:rPr>
          <w:color w:val="000000"/>
          <w:sz w:val="28"/>
          <w:szCs w:val="28"/>
          <w:lang w:val="uk-UA"/>
        </w:rPr>
        <w:t xml:space="preserve"> цього показника </w:t>
      </w:r>
      <w:r w:rsidRPr="008E2FC7">
        <w:rPr>
          <w:sz w:val="28"/>
          <w:szCs w:val="28"/>
        </w:rPr>
        <w:t>&gt;</w:t>
      </w:r>
      <w:r w:rsidRPr="00AA26C0">
        <w:rPr>
          <w:sz w:val="28"/>
          <w:szCs w:val="28"/>
          <w:lang w:val="uk-UA"/>
        </w:rPr>
        <w:t xml:space="preserve"> </w:t>
      </w:r>
      <w:r w:rsidRPr="00AA26C0">
        <w:rPr>
          <w:color w:val="000000"/>
          <w:sz w:val="28"/>
          <w:szCs w:val="28"/>
          <w:lang w:val="uk-UA"/>
        </w:rPr>
        <w:t>2,77 діагностувалась ІР.</w:t>
      </w:r>
    </w:p>
    <w:p w:rsidR="004B5E3F" w:rsidRPr="00AA26C0" w:rsidRDefault="004B5E3F" w:rsidP="004B5E3F">
      <w:pPr>
        <w:spacing w:line="340" w:lineRule="exact"/>
        <w:ind w:firstLine="720"/>
        <w:jc w:val="both"/>
        <w:rPr>
          <w:color w:val="000000"/>
          <w:sz w:val="28"/>
          <w:szCs w:val="28"/>
          <w:lang w:val="uk-UA"/>
        </w:rPr>
      </w:pPr>
      <w:r w:rsidRPr="00AA26C0">
        <w:rPr>
          <w:sz w:val="28"/>
          <w:szCs w:val="28"/>
          <w:lang w:val="uk-UA"/>
        </w:rPr>
        <w:t xml:space="preserve">Ультразвукове дослідження серця виконували на УЗ апараті ” </w:t>
      </w:r>
      <w:r w:rsidRPr="00AA26C0">
        <w:rPr>
          <w:sz w:val="28"/>
          <w:szCs w:val="28"/>
          <w:lang w:val="en-US"/>
        </w:rPr>
        <w:t>Sim</w:t>
      </w:r>
      <w:r w:rsidRPr="00AA26C0">
        <w:rPr>
          <w:sz w:val="28"/>
          <w:szCs w:val="28"/>
          <w:lang w:val="uk-UA"/>
        </w:rPr>
        <w:t xml:space="preserve"> 5000 </w:t>
      </w:r>
      <w:r w:rsidRPr="00AA26C0">
        <w:rPr>
          <w:sz w:val="28"/>
          <w:szCs w:val="28"/>
          <w:lang w:val="en-US"/>
        </w:rPr>
        <w:t>Plus</w:t>
      </w:r>
      <w:r>
        <w:rPr>
          <w:sz w:val="28"/>
          <w:szCs w:val="28"/>
          <w:lang w:val="uk-UA"/>
        </w:rPr>
        <w:t xml:space="preserve"> ” випуску 1994 р.</w:t>
      </w:r>
      <w:r w:rsidRPr="00AA26C0">
        <w:rPr>
          <w:sz w:val="28"/>
          <w:szCs w:val="28"/>
          <w:lang w:val="uk-UA"/>
        </w:rPr>
        <w:t xml:space="preserve"> (”Біомедика”, Італія), датчиком з частотою 2,5 МГц у М-модальному і двомірному режимах в стандартних позиціях у відповідності до рекомендацій Американського</w:t>
      </w:r>
      <w:r w:rsidRPr="00AA26C0">
        <w:rPr>
          <w:b/>
          <w:sz w:val="28"/>
          <w:szCs w:val="28"/>
          <w:lang w:val="uk-UA"/>
        </w:rPr>
        <w:t xml:space="preserve"> </w:t>
      </w:r>
      <w:r w:rsidRPr="00AA26C0">
        <w:rPr>
          <w:sz w:val="28"/>
          <w:szCs w:val="28"/>
          <w:lang w:val="uk-UA"/>
        </w:rPr>
        <w:t xml:space="preserve">ехокардіографічного товариства. Визначали розмір висхідної аорти на рівні її клапанів, передньо-задній розмір лівого передсердя (ЛП), товщину міжшлуночкової перетинки (ТМШП) та задньої стінки (ТЗС) ЛШ у кінці діастоли, кінцево-систолічний (КСР) та кінцево-діастолічний (КДР) розміри ЛШ і визначали фракцію викиду ЛШ (ФВ). Масу міокарду лівого шлуночка (МЛШ) обраховували за формулою </w:t>
      </w:r>
      <w:r w:rsidRPr="00AA26C0">
        <w:rPr>
          <w:color w:val="000000"/>
          <w:sz w:val="28"/>
          <w:szCs w:val="28"/>
          <w:lang w:val="en-US"/>
        </w:rPr>
        <w:t>Penn</w:t>
      </w:r>
      <w:r w:rsidRPr="00AA26C0">
        <w:rPr>
          <w:color w:val="000000"/>
          <w:sz w:val="28"/>
          <w:szCs w:val="28"/>
          <w:lang w:val="uk-UA"/>
        </w:rPr>
        <w:t xml:space="preserve"> </w:t>
      </w:r>
      <w:r w:rsidRPr="00AA26C0">
        <w:rPr>
          <w:color w:val="000000"/>
          <w:sz w:val="28"/>
          <w:szCs w:val="28"/>
          <w:lang w:val="en-US"/>
        </w:rPr>
        <w:t>Convention</w:t>
      </w:r>
      <w:r w:rsidRPr="00AA26C0">
        <w:rPr>
          <w:color w:val="000000"/>
          <w:sz w:val="28"/>
          <w:szCs w:val="28"/>
          <w:lang w:val="uk-UA"/>
        </w:rPr>
        <w:t xml:space="preserve">: </w:t>
      </w:r>
    </w:p>
    <w:p w:rsidR="004B5E3F" w:rsidRDefault="004B5E3F" w:rsidP="004B5E3F">
      <w:pPr>
        <w:spacing w:line="340" w:lineRule="exact"/>
        <w:ind w:firstLine="708"/>
        <w:jc w:val="center"/>
        <w:rPr>
          <w:color w:val="000000"/>
          <w:sz w:val="28"/>
          <w:szCs w:val="28"/>
          <w:lang w:val="uk-UA"/>
        </w:rPr>
      </w:pPr>
      <w:r w:rsidRPr="00AA26C0">
        <w:rPr>
          <w:color w:val="000000"/>
          <w:sz w:val="28"/>
          <w:szCs w:val="28"/>
          <w:lang w:val="uk-UA"/>
        </w:rPr>
        <w:t>МЛШ=1,04</w:t>
      </w:r>
      <w:r w:rsidRPr="00AA26C0">
        <w:rPr>
          <w:color w:val="000000"/>
          <w:sz w:val="28"/>
          <w:szCs w:val="28"/>
          <w:lang w:val="uk-UA"/>
        </w:rPr>
        <w:sym w:font="Symbol" w:char="F0B4"/>
      </w:r>
      <w:r w:rsidRPr="00AA26C0">
        <w:rPr>
          <w:color w:val="000000"/>
          <w:sz w:val="28"/>
          <w:szCs w:val="28"/>
          <w:lang w:val="uk-UA"/>
        </w:rPr>
        <w:t>((КДР+ТЗС+ТМШП)</w:t>
      </w:r>
      <w:r w:rsidRPr="00AA26C0">
        <w:rPr>
          <w:color w:val="000000"/>
          <w:sz w:val="28"/>
          <w:szCs w:val="28"/>
          <w:vertAlign w:val="superscript"/>
          <w:lang w:val="uk-UA"/>
        </w:rPr>
        <w:t>3</w:t>
      </w:r>
      <w:r w:rsidRPr="00AA26C0">
        <w:rPr>
          <w:color w:val="000000"/>
          <w:sz w:val="28"/>
          <w:szCs w:val="28"/>
          <w:lang w:val="uk-UA"/>
        </w:rPr>
        <w:t>-КДР</w:t>
      </w:r>
      <w:r w:rsidRPr="00AA26C0">
        <w:rPr>
          <w:color w:val="000000"/>
          <w:sz w:val="28"/>
          <w:szCs w:val="28"/>
          <w:vertAlign w:val="superscript"/>
          <w:lang w:val="uk-UA"/>
        </w:rPr>
        <w:t xml:space="preserve">3 </w:t>
      </w:r>
      <w:r w:rsidRPr="00AA26C0">
        <w:rPr>
          <w:color w:val="000000"/>
          <w:sz w:val="28"/>
          <w:szCs w:val="28"/>
          <w:lang w:val="uk-UA"/>
        </w:rPr>
        <w:t>)-13,6.</w:t>
      </w:r>
    </w:p>
    <w:p w:rsidR="004B5E3F" w:rsidRPr="00AA26C0" w:rsidRDefault="004B5E3F" w:rsidP="004B5E3F">
      <w:pPr>
        <w:spacing w:line="340" w:lineRule="exact"/>
        <w:ind w:firstLine="708"/>
        <w:jc w:val="center"/>
        <w:rPr>
          <w:color w:val="000000"/>
          <w:sz w:val="28"/>
          <w:szCs w:val="28"/>
          <w:lang w:val="uk-UA"/>
        </w:rPr>
      </w:pPr>
    </w:p>
    <w:p w:rsidR="004B5E3F" w:rsidRPr="00AA26C0" w:rsidRDefault="004B5E3F" w:rsidP="004B5E3F">
      <w:pPr>
        <w:tabs>
          <w:tab w:val="left" w:pos="9355"/>
        </w:tabs>
        <w:spacing w:line="340" w:lineRule="exact"/>
        <w:ind w:right="-5" w:firstLine="720"/>
        <w:jc w:val="both"/>
        <w:rPr>
          <w:sz w:val="28"/>
          <w:szCs w:val="28"/>
          <w:lang w:val="uk-UA"/>
        </w:rPr>
      </w:pPr>
      <w:r w:rsidRPr="00AA26C0">
        <w:rPr>
          <w:sz w:val="28"/>
          <w:szCs w:val="28"/>
          <w:lang w:val="uk-UA"/>
        </w:rPr>
        <w:t>Індекси маси міокарду ЛШ (ІМЛШ) розраховували як відношення МЛШ до площі поверхні тіла (ППТ) та до росту в степені 2,7:</w:t>
      </w:r>
    </w:p>
    <w:p w:rsidR="004B5E3F" w:rsidRPr="00AA26C0" w:rsidRDefault="004B5E3F" w:rsidP="004B5E3F">
      <w:pPr>
        <w:tabs>
          <w:tab w:val="left" w:pos="9355"/>
        </w:tabs>
        <w:spacing w:line="340" w:lineRule="exact"/>
        <w:ind w:right="-5" w:firstLine="1260"/>
        <w:jc w:val="center"/>
        <w:rPr>
          <w:sz w:val="28"/>
          <w:szCs w:val="28"/>
          <w:lang w:val="uk-UA"/>
        </w:rPr>
      </w:pPr>
      <w:r w:rsidRPr="00AA26C0">
        <w:rPr>
          <w:sz w:val="28"/>
          <w:szCs w:val="28"/>
          <w:lang w:val="uk-UA"/>
        </w:rPr>
        <w:t>ІМЛШ</w:t>
      </w:r>
      <w:r w:rsidRPr="00AA26C0">
        <w:rPr>
          <w:b/>
          <w:sz w:val="28"/>
          <w:szCs w:val="28"/>
          <w:vertAlign w:val="subscript"/>
          <w:lang w:val="uk-UA"/>
        </w:rPr>
        <w:t>1</w:t>
      </w:r>
      <w:r w:rsidRPr="00AA26C0">
        <w:rPr>
          <w:sz w:val="28"/>
          <w:szCs w:val="28"/>
          <w:lang w:val="uk-UA"/>
        </w:rPr>
        <w:t xml:space="preserve"> = МЛШ(г)/ППТ (м</w:t>
      </w:r>
      <w:r w:rsidRPr="00AA26C0">
        <w:rPr>
          <w:color w:val="000000"/>
          <w:sz w:val="28"/>
          <w:szCs w:val="28"/>
          <w:vertAlign w:val="superscript"/>
          <w:lang w:val="uk-UA"/>
        </w:rPr>
        <w:t>2</w:t>
      </w:r>
      <w:r w:rsidRPr="00AA26C0">
        <w:rPr>
          <w:sz w:val="28"/>
          <w:szCs w:val="28"/>
          <w:lang w:val="uk-UA"/>
        </w:rPr>
        <w:t>)</w:t>
      </w:r>
    </w:p>
    <w:p w:rsidR="004B5E3F" w:rsidRDefault="004B5E3F" w:rsidP="004B5E3F">
      <w:pPr>
        <w:tabs>
          <w:tab w:val="left" w:pos="9355"/>
        </w:tabs>
        <w:spacing w:line="340" w:lineRule="exact"/>
        <w:ind w:right="-5" w:firstLine="1260"/>
        <w:jc w:val="center"/>
        <w:rPr>
          <w:sz w:val="28"/>
          <w:szCs w:val="28"/>
          <w:lang w:val="uk-UA"/>
        </w:rPr>
      </w:pPr>
      <w:r w:rsidRPr="00AA26C0">
        <w:rPr>
          <w:sz w:val="28"/>
          <w:szCs w:val="28"/>
          <w:lang w:val="uk-UA"/>
        </w:rPr>
        <w:t>ІМЛШ</w:t>
      </w:r>
      <w:r w:rsidRPr="00AA26C0">
        <w:rPr>
          <w:b/>
          <w:sz w:val="28"/>
          <w:szCs w:val="28"/>
          <w:vertAlign w:val="subscript"/>
          <w:lang w:val="uk-UA"/>
        </w:rPr>
        <w:t>2</w:t>
      </w:r>
      <w:r>
        <w:rPr>
          <w:sz w:val="28"/>
          <w:szCs w:val="28"/>
          <w:lang w:val="uk-UA"/>
        </w:rPr>
        <w:t xml:space="preserve"> = </w:t>
      </w:r>
      <w:r w:rsidRPr="00AA26C0">
        <w:rPr>
          <w:sz w:val="28"/>
          <w:szCs w:val="28"/>
          <w:lang w:val="uk-UA"/>
        </w:rPr>
        <w:t>МЛШ(г)/ріст (м</w:t>
      </w:r>
      <w:r w:rsidRPr="007D512C">
        <w:rPr>
          <w:b/>
          <w:color w:val="000000"/>
          <w:sz w:val="28"/>
          <w:szCs w:val="28"/>
          <w:vertAlign w:val="superscript"/>
          <w:lang w:val="uk-UA"/>
        </w:rPr>
        <w:t>2,7</w:t>
      </w:r>
      <w:r w:rsidRPr="00AA26C0">
        <w:rPr>
          <w:sz w:val="28"/>
          <w:szCs w:val="28"/>
          <w:lang w:val="uk-UA"/>
        </w:rPr>
        <w:t>)</w:t>
      </w:r>
    </w:p>
    <w:p w:rsidR="004B5E3F" w:rsidRDefault="004B5E3F" w:rsidP="004B5E3F">
      <w:pPr>
        <w:tabs>
          <w:tab w:val="left" w:pos="9355"/>
        </w:tabs>
        <w:spacing w:line="340" w:lineRule="exact"/>
        <w:ind w:right="-5" w:firstLine="1260"/>
        <w:jc w:val="center"/>
        <w:rPr>
          <w:sz w:val="28"/>
          <w:szCs w:val="28"/>
          <w:lang w:val="uk-UA"/>
        </w:rPr>
      </w:pPr>
    </w:p>
    <w:p w:rsidR="004B5E3F" w:rsidRPr="00AA26C0" w:rsidRDefault="004B5E3F" w:rsidP="004B5E3F">
      <w:pPr>
        <w:pStyle w:val="abstract"/>
        <w:spacing w:before="0" w:beforeAutospacing="0" w:after="0" w:afterAutospacing="0" w:line="340" w:lineRule="exact"/>
        <w:ind w:firstLine="720"/>
        <w:jc w:val="both"/>
        <w:rPr>
          <w:sz w:val="28"/>
          <w:szCs w:val="28"/>
          <w:lang w:val="uk-UA"/>
        </w:rPr>
      </w:pPr>
      <w:r w:rsidRPr="00AA26C0">
        <w:rPr>
          <w:sz w:val="28"/>
          <w:szCs w:val="28"/>
          <w:lang w:val="uk-UA"/>
        </w:rPr>
        <w:t xml:space="preserve">ППТ вираховували за формулою </w:t>
      </w:r>
      <w:r w:rsidRPr="00AA26C0">
        <w:rPr>
          <w:sz w:val="28"/>
          <w:szCs w:val="28"/>
          <w:lang w:val="en-US"/>
        </w:rPr>
        <w:t>Du</w:t>
      </w:r>
      <w:r w:rsidRPr="00AA26C0">
        <w:rPr>
          <w:sz w:val="28"/>
          <w:szCs w:val="28"/>
          <w:lang w:val="uk-UA"/>
        </w:rPr>
        <w:t xml:space="preserve"> </w:t>
      </w:r>
      <w:r w:rsidRPr="00AA26C0">
        <w:rPr>
          <w:sz w:val="28"/>
          <w:szCs w:val="28"/>
          <w:lang w:val="en-US"/>
        </w:rPr>
        <w:t>Bois</w:t>
      </w:r>
      <w:r w:rsidRPr="00AA26C0">
        <w:rPr>
          <w:sz w:val="28"/>
          <w:szCs w:val="28"/>
          <w:lang w:val="uk-UA"/>
        </w:rPr>
        <w:t xml:space="preserve">. МЛШ аналізували окремо у жінок та чоловіків, використовуючи гендерні норми для діагностики ГЛШ: </w:t>
      </w:r>
      <w:r>
        <w:rPr>
          <w:sz w:val="28"/>
          <w:szCs w:val="28"/>
          <w:lang w:val="uk-UA"/>
        </w:rPr>
        <w:t xml:space="preserve">  </w:t>
      </w:r>
      <w:r w:rsidRPr="00AA26C0">
        <w:rPr>
          <w:sz w:val="28"/>
          <w:szCs w:val="28"/>
          <w:lang w:val="uk-UA"/>
        </w:rPr>
        <w:t>≥ 125 г/м</w:t>
      </w:r>
      <w:r w:rsidRPr="00AA26C0">
        <w:rPr>
          <w:sz w:val="28"/>
          <w:szCs w:val="28"/>
          <w:vertAlign w:val="superscript"/>
          <w:lang w:val="uk-UA"/>
        </w:rPr>
        <w:t>2</w:t>
      </w:r>
      <w:r w:rsidRPr="00AA26C0">
        <w:rPr>
          <w:sz w:val="28"/>
          <w:szCs w:val="28"/>
          <w:lang w:val="uk-UA"/>
        </w:rPr>
        <w:t xml:space="preserve"> для чоловіків та ≥ 110 г/м</w:t>
      </w:r>
      <w:r w:rsidRPr="00AA26C0">
        <w:rPr>
          <w:sz w:val="28"/>
          <w:szCs w:val="28"/>
          <w:vertAlign w:val="superscript"/>
          <w:lang w:val="uk-UA"/>
        </w:rPr>
        <w:t>2</w:t>
      </w:r>
      <w:r>
        <w:rPr>
          <w:sz w:val="28"/>
          <w:szCs w:val="28"/>
          <w:vertAlign w:val="superscript"/>
          <w:lang w:val="uk-UA"/>
        </w:rPr>
        <w:t xml:space="preserve"> </w:t>
      </w:r>
      <w:r w:rsidRPr="00AA26C0">
        <w:rPr>
          <w:sz w:val="28"/>
          <w:szCs w:val="28"/>
          <w:lang w:val="uk-UA"/>
        </w:rPr>
        <w:t>для жінок при використанні ІМЛШ</w:t>
      </w:r>
      <w:r w:rsidRPr="00AA26C0">
        <w:rPr>
          <w:sz w:val="28"/>
          <w:szCs w:val="28"/>
          <w:vertAlign w:val="subscript"/>
          <w:lang w:val="uk-UA"/>
        </w:rPr>
        <w:t>1</w:t>
      </w:r>
      <w:r w:rsidRPr="00AA26C0">
        <w:rPr>
          <w:sz w:val="28"/>
          <w:szCs w:val="28"/>
          <w:lang w:val="uk-UA"/>
        </w:rPr>
        <w:t xml:space="preserve"> за рекомендаціями </w:t>
      </w:r>
      <w:r w:rsidRPr="00AA26C0">
        <w:rPr>
          <w:sz w:val="28"/>
          <w:szCs w:val="28"/>
          <w:lang w:val="en-US"/>
        </w:rPr>
        <w:t>ESH</w:t>
      </w:r>
      <w:r w:rsidRPr="00AA26C0">
        <w:rPr>
          <w:sz w:val="28"/>
          <w:szCs w:val="28"/>
          <w:lang w:val="uk-UA"/>
        </w:rPr>
        <w:t>/</w:t>
      </w:r>
      <w:r w:rsidRPr="00AA26C0">
        <w:rPr>
          <w:sz w:val="28"/>
          <w:szCs w:val="28"/>
          <w:lang w:val="en-US"/>
        </w:rPr>
        <w:t>ESC</w:t>
      </w:r>
      <w:r w:rsidRPr="00AA26C0">
        <w:rPr>
          <w:sz w:val="28"/>
          <w:szCs w:val="28"/>
          <w:lang w:val="uk-UA"/>
        </w:rPr>
        <w:t xml:space="preserve"> 2007 р. з діагностики, лікування і профілактики АГ, а також ≥ 51 г/м</w:t>
      </w:r>
      <w:r w:rsidRPr="00AA26C0">
        <w:rPr>
          <w:sz w:val="28"/>
          <w:szCs w:val="28"/>
          <w:vertAlign w:val="superscript"/>
          <w:lang w:val="uk-UA"/>
        </w:rPr>
        <w:t>2,7</w:t>
      </w:r>
      <w:r w:rsidRPr="00AA26C0">
        <w:rPr>
          <w:sz w:val="28"/>
          <w:szCs w:val="28"/>
          <w:lang w:val="uk-UA"/>
        </w:rPr>
        <w:t xml:space="preserve"> для чоловіків та ≥ 47 г/м</w:t>
      </w:r>
      <w:r w:rsidRPr="00AA26C0">
        <w:rPr>
          <w:sz w:val="28"/>
          <w:szCs w:val="28"/>
          <w:vertAlign w:val="superscript"/>
          <w:lang w:val="uk-UA"/>
        </w:rPr>
        <w:t xml:space="preserve">2,7 </w:t>
      </w:r>
      <w:r w:rsidRPr="00AA26C0">
        <w:rPr>
          <w:sz w:val="28"/>
          <w:szCs w:val="28"/>
          <w:lang w:val="uk-UA"/>
        </w:rPr>
        <w:t>для жінок при використанні ІМЛШ</w:t>
      </w:r>
      <w:r w:rsidRPr="00AA26C0">
        <w:rPr>
          <w:sz w:val="28"/>
          <w:szCs w:val="28"/>
          <w:vertAlign w:val="subscript"/>
          <w:lang w:val="uk-UA"/>
        </w:rPr>
        <w:t>2</w:t>
      </w:r>
      <w:r w:rsidRPr="00AA26C0">
        <w:rPr>
          <w:sz w:val="28"/>
          <w:szCs w:val="28"/>
          <w:lang w:val="uk-UA"/>
        </w:rPr>
        <w:t xml:space="preserve"> за рекомендаціями Американського ехокардіографічного товариства 2005 р. ГЛШ діагностовано в 68 % випадків та у 85 % в залежності від індексації, що використовувалась.</w:t>
      </w:r>
    </w:p>
    <w:p w:rsidR="004B5E3F" w:rsidRPr="00AA26C0" w:rsidRDefault="004B5E3F" w:rsidP="004B5E3F">
      <w:pPr>
        <w:pStyle w:val="2ffffa"/>
        <w:tabs>
          <w:tab w:val="left" w:pos="9355"/>
        </w:tabs>
        <w:spacing w:line="340" w:lineRule="exact"/>
        <w:ind w:right="-5" w:firstLine="720"/>
        <w:rPr>
          <w:color w:val="000000"/>
          <w:sz w:val="28"/>
          <w:szCs w:val="28"/>
          <w:lang w:val="uk-UA"/>
        </w:rPr>
      </w:pPr>
      <w:r w:rsidRPr="00AA26C0">
        <w:rPr>
          <w:sz w:val="28"/>
          <w:szCs w:val="28"/>
          <w:lang w:val="uk-UA"/>
        </w:rPr>
        <w:t xml:space="preserve">Для визначення типу ремоделювання </w:t>
      </w:r>
      <w:r>
        <w:rPr>
          <w:sz w:val="28"/>
          <w:szCs w:val="28"/>
          <w:lang w:val="uk-UA"/>
        </w:rPr>
        <w:t xml:space="preserve">ЛШ </w:t>
      </w:r>
      <w:r w:rsidRPr="00AA26C0">
        <w:rPr>
          <w:sz w:val="28"/>
          <w:szCs w:val="28"/>
          <w:lang w:val="uk-UA"/>
        </w:rPr>
        <w:t xml:space="preserve">використовувалась класифікація </w:t>
      </w:r>
      <w:r w:rsidRPr="00AA26C0">
        <w:rPr>
          <w:sz w:val="28"/>
          <w:szCs w:val="28"/>
          <w:lang w:val="en-US"/>
        </w:rPr>
        <w:t>A</w:t>
      </w:r>
      <w:r w:rsidRPr="00AA26C0">
        <w:rPr>
          <w:sz w:val="28"/>
          <w:szCs w:val="28"/>
          <w:lang w:val="uk-UA"/>
        </w:rPr>
        <w:t xml:space="preserve">. </w:t>
      </w:r>
      <w:r w:rsidRPr="00AA26C0">
        <w:rPr>
          <w:sz w:val="28"/>
          <w:szCs w:val="28"/>
          <w:lang w:val="en-US"/>
        </w:rPr>
        <w:t>Ganau</w:t>
      </w:r>
      <w:r>
        <w:rPr>
          <w:sz w:val="28"/>
          <w:szCs w:val="28"/>
          <w:lang w:val="uk-UA"/>
        </w:rPr>
        <w:t xml:space="preserve"> та </w:t>
      </w:r>
      <w:r w:rsidRPr="00AA26C0">
        <w:rPr>
          <w:sz w:val="28"/>
          <w:szCs w:val="28"/>
          <w:lang w:val="uk-UA"/>
        </w:rPr>
        <w:t xml:space="preserve">авторів, що була запропонована Комітетом з розробки рекомендацій </w:t>
      </w:r>
      <w:r w:rsidRPr="00AA26C0">
        <w:rPr>
          <w:sz w:val="28"/>
          <w:szCs w:val="28"/>
          <w:lang w:val="en-US"/>
        </w:rPr>
        <w:t>ESH</w:t>
      </w:r>
      <w:r w:rsidRPr="00AA26C0">
        <w:rPr>
          <w:sz w:val="28"/>
          <w:szCs w:val="28"/>
          <w:lang w:val="uk-UA"/>
        </w:rPr>
        <w:t>/</w:t>
      </w:r>
      <w:r w:rsidRPr="00AA26C0">
        <w:rPr>
          <w:sz w:val="28"/>
          <w:szCs w:val="28"/>
          <w:lang w:val="en-US"/>
        </w:rPr>
        <w:t>ESC</w:t>
      </w:r>
      <w:r w:rsidRPr="00AA26C0">
        <w:rPr>
          <w:sz w:val="28"/>
          <w:szCs w:val="28"/>
          <w:lang w:val="uk-UA"/>
        </w:rPr>
        <w:t xml:space="preserve"> 2003</w:t>
      </w:r>
      <w:r>
        <w:rPr>
          <w:sz w:val="28"/>
          <w:szCs w:val="28"/>
          <w:lang w:val="uk-UA"/>
        </w:rPr>
        <w:t xml:space="preserve"> р.</w:t>
      </w:r>
      <w:r w:rsidRPr="00AA26C0">
        <w:rPr>
          <w:sz w:val="28"/>
          <w:szCs w:val="28"/>
          <w:lang w:val="uk-UA"/>
        </w:rPr>
        <w:t xml:space="preserve"> з діагностики, лікування і профілактики АГ.</w:t>
      </w:r>
      <w:r w:rsidRPr="00AA26C0">
        <w:rPr>
          <w:color w:val="000000"/>
          <w:sz w:val="28"/>
          <w:szCs w:val="28"/>
          <w:lang w:val="uk-UA"/>
        </w:rPr>
        <w:t xml:space="preserve"> Відносну товщину стінок (ВТС) ЛШ розраховували за формулою:</w:t>
      </w:r>
    </w:p>
    <w:p w:rsidR="004B5E3F" w:rsidRDefault="004B5E3F" w:rsidP="004B5E3F">
      <w:pPr>
        <w:pStyle w:val="2ffffa"/>
        <w:tabs>
          <w:tab w:val="left" w:pos="9355"/>
        </w:tabs>
        <w:spacing w:line="340" w:lineRule="exact"/>
        <w:ind w:right="-5" w:firstLine="720"/>
        <w:jc w:val="center"/>
        <w:rPr>
          <w:color w:val="000000"/>
          <w:sz w:val="28"/>
          <w:szCs w:val="28"/>
          <w:lang w:val="uk-UA"/>
        </w:rPr>
      </w:pPr>
      <w:r w:rsidRPr="00AA26C0">
        <w:rPr>
          <w:color w:val="000000"/>
          <w:sz w:val="28"/>
          <w:szCs w:val="28"/>
          <w:lang w:val="uk-UA"/>
        </w:rPr>
        <w:t>ВТС</w:t>
      </w:r>
      <w:r>
        <w:rPr>
          <w:color w:val="000000"/>
          <w:sz w:val="28"/>
          <w:szCs w:val="28"/>
          <w:lang w:val="uk-UA"/>
        </w:rPr>
        <w:t xml:space="preserve"> </w:t>
      </w:r>
      <w:r w:rsidRPr="00AA26C0">
        <w:rPr>
          <w:color w:val="000000"/>
          <w:sz w:val="28"/>
          <w:szCs w:val="28"/>
          <w:lang w:val="uk-UA"/>
        </w:rPr>
        <w:t>=</w:t>
      </w:r>
      <w:r>
        <w:rPr>
          <w:color w:val="000000"/>
          <w:sz w:val="28"/>
          <w:szCs w:val="28"/>
          <w:lang w:val="uk-UA"/>
        </w:rPr>
        <w:t xml:space="preserve"> </w:t>
      </w:r>
      <w:r w:rsidRPr="00AA26C0">
        <w:rPr>
          <w:color w:val="000000"/>
          <w:sz w:val="28"/>
          <w:szCs w:val="28"/>
          <w:lang w:val="uk-UA"/>
        </w:rPr>
        <w:t>(Т МШП</w:t>
      </w:r>
      <w:r>
        <w:rPr>
          <w:color w:val="000000"/>
          <w:sz w:val="28"/>
          <w:szCs w:val="28"/>
          <w:lang w:val="uk-UA"/>
        </w:rPr>
        <w:t xml:space="preserve"> </w:t>
      </w:r>
      <w:r w:rsidRPr="00AA26C0">
        <w:rPr>
          <w:color w:val="000000"/>
          <w:sz w:val="28"/>
          <w:szCs w:val="28"/>
          <w:lang w:val="uk-UA"/>
        </w:rPr>
        <w:t>+</w:t>
      </w:r>
      <w:r>
        <w:rPr>
          <w:color w:val="000000"/>
          <w:sz w:val="28"/>
          <w:szCs w:val="28"/>
          <w:lang w:val="uk-UA"/>
        </w:rPr>
        <w:t xml:space="preserve"> </w:t>
      </w:r>
      <w:r w:rsidRPr="00AA26C0">
        <w:rPr>
          <w:color w:val="000000"/>
          <w:sz w:val="28"/>
          <w:szCs w:val="28"/>
          <w:lang w:val="uk-UA"/>
        </w:rPr>
        <w:t>Т ЗС + КДР)/КДР</w:t>
      </w:r>
    </w:p>
    <w:p w:rsidR="004B5E3F" w:rsidRPr="00AA26C0" w:rsidRDefault="004B5E3F" w:rsidP="004B5E3F">
      <w:pPr>
        <w:spacing w:line="340" w:lineRule="exact"/>
        <w:ind w:firstLine="720"/>
        <w:jc w:val="both"/>
        <w:rPr>
          <w:sz w:val="28"/>
          <w:szCs w:val="28"/>
          <w:lang w:val="uk-UA"/>
        </w:rPr>
      </w:pPr>
      <w:r w:rsidRPr="00AA26C0">
        <w:rPr>
          <w:sz w:val="28"/>
          <w:szCs w:val="28"/>
          <w:lang w:val="uk-UA"/>
        </w:rPr>
        <w:t>Добове 24-годинне амбулаторне моніторування АТ проводилося з допомогою апарату АВРМ - 02М (“Медитек”, Угорщина). Розраховувались середньодобові, середньоденні та нічні рівні систолічного АТ (САТ) та діастолічного АТ (ДАТ), а також максимальні САТ і ДАТ. В якості нормативних величин використовували значення АТ, що рекомендовані Комітетом експертів ВОЗ (1999 р.) та Керівним комітетом США по профілактиці, виявленні та лікуванні гіпертензії (</w:t>
      </w:r>
      <w:r w:rsidRPr="00AA26C0">
        <w:rPr>
          <w:sz w:val="28"/>
          <w:szCs w:val="28"/>
          <w:lang w:val="en-US"/>
        </w:rPr>
        <w:t>VI</w:t>
      </w:r>
      <w:r w:rsidRPr="00AA26C0">
        <w:rPr>
          <w:sz w:val="28"/>
          <w:szCs w:val="28"/>
          <w:lang w:val="uk-UA"/>
        </w:rPr>
        <w:t xml:space="preserve"> перегляд</w:t>
      </w:r>
      <w:r w:rsidRPr="00AA26C0">
        <w:rPr>
          <w:sz w:val="28"/>
          <w:szCs w:val="28"/>
        </w:rPr>
        <w:t>)</w:t>
      </w:r>
      <w:r w:rsidRPr="00AA26C0">
        <w:rPr>
          <w:sz w:val="28"/>
          <w:szCs w:val="28"/>
          <w:lang w:val="uk-UA"/>
        </w:rPr>
        <w:t xml:space="preserve">. </w:t>
      </w:r>
    </w:p>
    <w:p w:rsidR="004B5E3F" w:rsidRDefault="004B5E3F" w:rsidP="004B5E3F">
      <w:pPr>
        <w:pStyle w:val="2ffffa"/>
        <w:tabs>
          <w:tab w:val="left" w:pos="9355"/>
        </w:tabs>
        <w:spacing w:line="340" w:lineRule="exact"/>
        <w:ind w:right="-5" w:firstLine="720"/>
        <w:rPr>
          <w:sz w:val="28"/>
          <w:szCs w:val="28"/>
          <w:lang w:val="uk-UA"/>
        </w:rPr>
      </w:pPr>
      <w:r w:rsidRPr="00AA26C0">
        <w:rPr>
          <w:sz w:val="28"/>
          <w:szCs w:val="28"/>
          <w:lang w:val="uk-UA"/>
        </w:rPr>
        <w:t>Опрацювання даних дослідження проводили за допомогою електронних таблиць “</w:t>
      </w:r>
      <w:r w:rsidRPr="00AA26C0">
        <w:rPr>
          <w:sz w:val="28"/>
          <w:szCs w:val="28"/>
          <w:lang w:val="en-US"/>
        </w:rPr>
        <w:t>Excel</w:t>
      </w:r>
      <w:r w:rsidRPr="00AA26C0">
        <w:rPr>
          <w:sz w:val="28"/>
          <w:szCs w:val="28"/>
          <w:lang w:val="uk-UA"/>
        </w:rPr>
        <w:t xml:space="preserve"> 2003“ та “</w:t>
      </w:r>
      <w:r w:rsidRPr="00AA26C0">
        <w:rPr>
          <w:sz w:val="28"/>
          <w:szCs w:val="28"/>
          <w:lang w:val="en-US"/>
        </w:rPr>
        <w:t>Statistica</w:t>
      </w:r>
      <w:r w:rsidRPr="00AA26C0">
        <w:rPr>
          <w:sz w:val="28"/>
          <w:szCs w:val="28"/>
          <w:lang w:val="uk-UA"/>
        </w:rPr>
        <w:t xml:space="preserve"> </w:t>
      </w:r>
      <w:r w:rsidRPr="00AA26C0">
        <w:rPr>
          <w:sz w:val="28"/>
          <w:szCs w:val="28"/>
          <w:lang w:val="en-US"/>
        </w:rPr>
        <w:t>for</w:t>
      </w:r>
      <w:r w:rsidRPr="00AA26C0">
        <w:rPr>
          <w:sz w:val="28"/>
          <w:szCs w:val="28"/>
          <w:lang w:val="uk-UA"/>
        </w:rPr>
        <w:t xml:space="preserve"> </w:t>
      </w:r>
      <w:r w:rsidRPr="00AA26C0">
        <w:rPr>
          <w:sz w:val="28"/>
          <w:szCs w:val="28"/>
          <w:lang w:val="en-US"/>
        </w:rPr>
        <w:t>Windows</w:t>
      </w:r>
      <w:r w:rsidRPr="00AA26C0">
        <w:rPr>
          <w:sz w:val="28"/>
          <w:szCs w:val="28"/>
          <w:lang w:val="uk-UA"/>
        </w:rPr>
        <w:t xml:space="preserve">” </w:t>
      </w:r>
      <w:r w:rsidRPr="00AA26C0">
        <w:rPr>
          <w:sz w:val="28"/>
          <w:szCs w:val="28"/>
          <w:lang w:val="en-US"/>
        </w:rPr>
        <w:t>v</w:t>
      </w:r>
      <w:r w:rsidRPr="00AA26C0">
        <w:rPr>
          <w:sz w:val="28"/>
          <w:szCs w:val="28"/>
          <w:lang w:val="uk-UA"/>
        </w:rPr>
        <w:t xml:space="preserve">.10.0, </w:t>
      </w:r>
      <w:r w:rsidRPr="00AA26C0">
        <w:rPr>
          <w:sz w:val="28"/>
          <w:szCs w:val="28"/>
          <w:lang w:val="en-US"/>
        </w:rPr>
        <w:t>Starsoft</w:t>
      </w:r>
      <w:r w:rsidRPr="00AA26C0">
        <w:rPr>
          <w:sz w:val="28"/>
          <w:szCs w:val="28"/>
          <w:lang w:val="uk-UA"/>
        </w:rPr>
        <w:t xml:space="preserve">, </w:t>
      </w:r>
      <w:r>
        <w:rPr>
          <w:sz w:val="28"/>
          <w:szCs w:val="28"/>
          <w:lang w:val="uk-UA"/>
        </w:rPr>
        <w:t>США</w:t>
      </w:r>
      <w:r w:rsidRPr="00AA26C0">
        <w:rPr>
          <w:sz w:val="28"/>
          <w:szCs w:val="28"/>
          <w:lang w:val="uk-UA"/>
        </w:rPr>
        <w:t xml:space="preserve">. Для описання вибіркового нормального розподілення кількісних ознак </w:t>
      </w:r>
      <w:r w:rsidRPr="00AA26C0">
        <w:rPr>
          <w:sz w:val="28"/>
          <w:szCs w:val="28"/>
          <w:lang w:val="uk-UA"/>
        </w:rPr>
        <w:lastRenderedPageBreak/>
        <w:t>використовували середнє значення ознаки (</w:t>
      </w:r>
      <w:r w:rsidRPr="00AA26C0">
        <w:rPr>
          <w:sz w:val="28"/>
          <w:szCs w:val="28"/>
          <w:lang w:val="en-US"/>
        </w:rPr>
        <w:t>M</w:t>
      </w:r>
      <w:r w:rsidRPr="00AA26C0">
        <w:rPr>
          <w:sz w:val="28"/>
          <w:szCs w:val="28"/>
          <w:lang w:val="uk-UA"/>
        </w:rPr>
        <w:t>) та помилку середнього (</w:t>
      </w:r>
      <w:r w:rsidRPr="00AA26C0">
        <w:rPr>
          <w:sz w:val="28"/>
          <w:szCs w:val="28"/>
          <w:lang w:val="en-US"/>
        </w:rPr>
        <w:t>m</w:t>
      </w:r>
      <w:r w:rsidRPr="00AA26C0">
        <w:rPr>
          <w:sz w:val="28"/>
          <w:szCs w:val="28"/>
          <w:lang w:val="uk-UA"/>
        </w:rPr>
        <w:t xml:space="preserve">). Перевірка гіпотез про розходження в групах кількісних показників з нормальним розподіленням значень проводилося за допомогою </w:t>
      </w:r>
      <w:r w:rsidRPr="00AA26C0">
        <w:rPr>
          <w:sz w:val="28"/>
          <w:szCs w:val="28"/>
          <w:lang w:val="en-US"/>
        </w:rPr>
        <w:t>t</w:t>
      </w:r>
      <w:r w:rsidRPr="00AA26C0">
        <w:rPr>
          <w:sz w:val="28"/>
          <w:szCs w:val="28"/>
        </w:rPr>
        <w:t>-</w:t>
      </w:r>
      <w:r w:rsidRPr="00AA26C0">
        <w:rPr>
          <w:sz w:val="28"/>
          <w:szCs w:val="28"/>
          <w:lang w:val="uk-UA"/>
        </w:rPr>
        <w:t>критерію Стьюдента</w:t>
      </w:r>
      <w:r w:rsidRPr="00AA26C0">
        <w:rPr>
          <w:sz w:val="28"/>
          <w:szCs w:val="28"/>
        </w:rPr>
        <w:t xml:space="preserve">, </w:t>
      </w:r>
      <w:r w:rsidRPr="00AA26C0">
        <w:rPr>
          <w:sz w:val="28"/>
          <w:szCs w:val="28"/>
          <w:lang w:val="uk-UA"/>
        </w:rPr>
        <w:t xml:space="preserve">з ненормальним розподіленням значень між двома групами – за допомогою непараметричного критерію Манна-Уітні. Розбіжності у групах визначалися достовірними при </w:t>
      </w:r>
      <w:r w:rsidRPr="00AA26C0">
        <w:rPr>
          <w:sz w:val="28"/>
          <w:szCs w:val="28"/>
          <w:lang w:val="en-US"/>
        </w:rPr>
        <w:t>p</w:t>
      </w:r>
      <w:r w:rsidRPr="00AA26C0">
        <w:rPr>
          <w:sz w:val="28"/>
          <w:szCs w:val="28"/>
          <w:lang w:val="uk-UA"/>
        </w:rPr>
        <w:t xml:space="preserve">&lt;0,05. Для оцінки кореляційних зв’язків показників використовувався метод рангової кореляції Спірмена. Кореляція вважалась достовірною при </w:t>
      </w:r>
      <w:r w:rsidRPr="00AA26C0">
        <w:rPr>
          <w:sz w:val="28"/>
          <w:szCs w:val="28"/>
          <w:lang w:val="en-US"/>
        </w:rPr>
        <w:t>p</w:t>
      </w:r>
      <w:r w:rsidRPr="00AA26C0">
        <w:rPr>
          <w:sz w:val="28"/>
          <w:szCs w:val="28"/>
          <w:lang w:val="uk-UA"/>
        </w:rPr>
        <w:t>&lt;0,05. Проведено покроковий регресійний аналіз впливу різноманітних чинників на МЛШ (Реброва О.Ю., 2002 р.).</w:t>
      </w:r>
    </w:p>
    <w:p w:rsidR="004B5E3F" w:rsidRDefault="004B5E3F" w:rsidP="004B5E3F">
      <w:pPr>
        <w:spacing w:line="340" w:lineRule="exact"/>
        <w:ind w:left="360"/>
        <w:jc w:val="both"/>
        <w:rPr>
          <w:b/>
          <w:sz w:val="28"/>
          <w:szCs w:val="28"/>
          <w:lang w:val="uk-UA"/>
        </w:rPr>
      </w:pPr>
    </w:p>
    <w:p w:rsidR="004B5E3F" w:rsidRDefault="004B5E3F" w:rsidP="004B5E3F">
      <w:pPr>
        <w:spacing w:line="340" w:lineRule="exact"/>
        <w:ind w:left="360"/>
        <w:jc w:val="both"/>
        <w:rPr>
          <w:b/>
          <w:sz w:val="28"/>
          <w:szCs w:val="28"/>
          <w:lang w:val="uk-UA"/>
        </w:rPr>
      </w:pPr>
      <w:r w:rsidRPr="00AA26C0">
        <w:rPr>
          <w:b/>
          <w:sz w:val="28"/>
          <w:szCs w:val="28"/>
          <w:lang w:val="uk-UA"/>
        </w:rPr>
        <w:t>Результати дослідження та їх обговорення.</w:t>
      </w:r>
    </w:p>
    <w:p w:rsidR="004B5E3F" w:rsidRPr="00AA26C0" w:rsidRDefault="004B5E3F" w:rsidP="004B5E3F">
      <w:pPr>
        <w:spacing w:line="340" w:lineRule="exact"/>
        <w:ind w:left="360"/>
        <w:jc w:val="both"/>
        <w:rPr>
          <w:b/>
          <w:sz w:val="28"/>
          <w:szCs w:val="28"/>
          <w:lang w:val="uk-UA"/>
        </w:rPr>
      </w:pPr>
    </w:p>
    <w:p w:rsidR="004B5E3F" w:rsidRPr="00AA26C0" w:rsidRDefault="004B5E3F" w:rsidP="004B5E3F">
      <w:pPr>
        <w:tabs>
          <w:tab w:val="left" w:pos="9355"/>
        </w:tabs>
        <w:spacing w:line="340" w:lineRule="exact"/>
        <w:ind w:right="-5" w:firstLine="720"/>
        <w:jc w:val="both"/>
        <w:rPr>
          <w:color w:val="000000"/>
          <w:sz w:val="28"/>
          <w:szCs w:val="28"/>
          <w:lang w:val="uk-UA"/>
        </w:rPr>
      </w:pPr>
      <w:r w:rsidRPr="00AA26C0">
        <w:rPr>
          <w:color w:val="000000"/>
          <w:sz w:val="28"/>
          <w:szCs w:val="28"/>
          <w:lang w:val="uk-UA"/>
        </w:rPr>
        <w:t xml:space="preserve">Перший фрагмент нашого дослідження був присвячений виявленню гендерних особливостей </w:t>
      </w:r>
      <w:r>
        <w:rPr>
          <w:color w:val="000000"/>
          <w:sz w:val="28"/>
          <w:szCs w:val="28"/>
          <w:lang w:val="uk-UA"/>
        </w:rPr>
        <w:t>формування ГЛШ</w:t>
      </w:r>
      <w:r w:rsidRPr="00AA26C0">
        <w:rPr>
          <w:color w:val="000000"/>
          <w:sz w:val="28"/>
          <w:szCs w:val="28"/>
          <w:lang w:val="uk-UA"/>
        </w:rPr>
        <w:t xml:space="preserve"> у віковому аспекті, а також впливу маси тіла на масу лівого шлуночку (МЛШ). Досліджувались діагностичні можливості різних методів індексації МЛШ з метою виявлення ГЛШ. Жіночий та чоловічий контингент аналізувались окремо. Усі пацієнти були розділені на групи в залежності від індексу маси тіла (ІМТ)</w:t>
      </w:r>
      <w:r w:rsidRPr="00AA26C0">
        <w:rPr>
          <w:sz w:val="28"/>
          <w:szCs w:val="28"/>
          <w:lang w:val="uk-UA"/>
        </w:rPr>
        <w:t>: у 1 групу увійшли хворі із нормальною масою тіла (ІМТ &lt;</w:t>
      </w:r>
      <w:r>
        <w:rPr>
          <w:sz w:val="28"/>
          <w:szCs w:val="28"/>
          <w:lang w:val="uk-UA"/>
        </w:rPr>
        <w:t xml:space="preserve"> </w:t>
      </w:r>
      <w:r w:rsidRPr="00AA26C0">
        <w:rPr>
          <w:sz w:val="28"/>
          <w:szCs w:val="28"/>
          <w:lang w:val="uk-UA"/>
        </w:rPr>
        <w:t>25 кг/м</w:t>
      </w:r>
      <w:r w:rsidRPr="00AA26C0">
        <w:rPr>
          <w:sz w:val="28"/>
          <w:szCs w:val="28"/>
          <w:vertAlign w:val="superscript"/>
          <w:lang w:val="uk-UA"/>
        </w:rPr>
        <w:t>2</w:t>
      </w:r>
      <w:r w:rsidRPr="00AA26C0">
        <w:rPr>
          <w:sz w:val="28"/>
          <w:szCs w:val="28"/>
          <w:lang w:val="uk-UA"/>
        </w:rPr>
        <w:t xml:space="preserve">), у 2 – із надмірною масою тіла (НМТ) (ІМТ </w:t>
      </w:r>
      <w:r>
        <w:rPr>
          <w:sz w:val="28"/>
          <w:szCs w:val="28"/>
          <w:lang w:val="uk-UA"/>
        </w:rPr>
        <w:t xml:space="preserve">- </w:t>
      </w:r>
      <w:r w:rsidRPr="00AA26C0">
        <w:rPr>
          <w:sz w:val="28"/>
          <w:szCs w:val="28"/>
          <w:lang w:val="uk-UA"/>
        </w:rPr>
        <w:t>25-30 кг/м</w:t>
      </w:r>
      <w:r w:rsidRPr="00AA26C0">
        <w:rPr>
          <w:sz w:val="28"/>
          <w:szCs w:val="28"/>
          <w:vertAlign w:val="superscript"/>
          <w:lang w:val="uk-UA"/>
        </w:rPr>
        <w:t>2</w:t>
      </w:r>
      <w:r>
        <w:rPr>
          <w:sz w:val="28"/>
          <w:szCs w:val="28"/>
          <w:lang w:val="uk-UA"/>
        </w:rPr>
        <w:t>), у 3 – із ожирінням І ступеня</w:t>
      </w:r>
      <w:r w:rsidRPr="00AA26C0">
        <w:rPr>
          <w:sz w:val="28"/>
          <w:szCs w:val="28"/>
          <w:lang w:val="uk-UA"/>
        </w:rPr>
        <w:t xml:space="preserve"> (ІМТ </w:t>
      </w:r>
      <w:r>
        <w:rPr>
          <w:sz w:val="28"/>
          <w:szCs w:val="28"/>
          <w:lang w:val="uk-UA"/>
        </w:rPr>
        <w:t xml:space="preserve">- </w:t>
      </w:r>
      <w:r w:rsidRPr="00AA26C0">
        <w:rPr>
          <w:sz w:val="28"/>
          <w:szCs w:val="28"/>
          <w:lang w:val="uk-UA"/>
        </w:rPr>
        <w:t>30-35 кг/м</w:t>
      </w:r>
      <w:r w:rsidRPr="00AA26C0">
        <w:rPr>
          <w:sz w:val="28"/>
          <w:szCs w:val="28"/>
          <w:vertAlign w:val="superscript"/>
          <w:lang w:val="uk-UA"/>
        </w:rPr>
        <w:t>2</w:t>
      </w:r>
      <w:r>
        <w:rPr>
          <w:sz w:val="28"/>
          <w:szCs w:val="28"/>
          <w:lang w:val="uk-UA"/>
        </w:rPr>
        <w:t>), у 4 – із ожирінням ІІ ступеня</w:t>
      </w:r>
      <w:r w:rsidRPr="00AA26C0">
        <w:rPr>
          <w:sz w:val="28"/>
          <w:szCs w:val="28"/>
          <w:lang w:val="uk-UA"/>
        </w:rPr>
        <w:t xml:space="preserve"> (ІМТ 35-40 кг/м</w:t>
      </w:r>
      <w:r w:rsidRPr="00AA26C0">
        <w:rPr>
          <w:sz w:val="28"/>
          <w:szCs w:val="28"/>
          <w:vertAlign w:val="superscript"/>
          <w:lang w:val="uk-UA"/>
        </w:rPr>
        <w:t>2</w:t>
      </w:r>
      <w:r w:rsidRPr="00AA26C0">
        <w:rPr>
          <w:sz w:val="28"/>
          <w:szCs w:val="28"/>
          <w:lang w:val="uk-UA"/>
        </w:rPr>
        <w:t>)</w:t>
      </w:r>
      <w:r>
        <w:rPr>
          <w:sz w:val="28"/>
          <w:szCs w:val="28"/>
          <w:lang w:val="uk-UA"/>
        </w:rPr>
        <w:t>, у 5 – із ожирінням ІІІ ступеня</w:t>
      </w:r>
      <w:r w:rsidRPr="00AA26C0">
        <w:rPr>
          <w:sz w:val="28"/>
          <w:szCs w:val="28"/>
          <w:lang w:val="uk-UA"/>
        </w:rPr>
        <w:t xml:space="preserve"> (ІМТ &gt;</w:t>
      </w:r>
      <w:r>
        <w:rPr>
          <w:sz w:val="28"/>
          <w:szCs w:val="28"/>
          <w:lang w:val="uk-UA"/>
        </w:rPr>
        <w:t xml:space="preserve"> </w:t>
      </w:r>
      <w:r w:rsidRPr="00AA26C0">
        <w:rPr>
          <w:sz w:val="28"/>
          <w:szCs w:val="28"/>
          <w:lang w:val="uk-UA"/>
        </w:rPr>
        <w:t>40 кг/м</w:t>
      </w:r>
      <w:r w:rsidRPr="00AA26C0">
        <w:rPr>
          <w:sz w:val="28"/>
          <w:szCs w:val="28"/>
          <w:vertAlign w:val="superscript"/>
          <w:lang w:val="uk-UA"/>
        </w:rPr>
        <w:t>2</w:t>
      </w:r>
      <w:r w:rsidRPr="00AA26C0">
        <w:rPr>
          <w:sz w:val="28"/>
          <w:szCs w:val="28"/>
          <w:lang w:val="uk-UA"/>
        </w:rPr>
        <w:t>).</w:t>
      </w:r>
    </w:p>
    <w:p w:rsidR="004B5E3F" w:rsidRDefault="004B5E3F" w:rsidP="004B5E3F">
      <w:pPr>
        <w:spacing w:line="340" w:lineRule="exact"/>
        <w:ind w:firstLine="720"/>
        <w:jc w:val="both"/>
        <w:rPr>
          <w:sz w:val="28"/>
          <w:szCs w:val="28"/>
          <w:lang w:val="uk-UA"/>
        </w:rPr>
      </w:pPr>
      <w:r w:rsidRPr="00AA26C0">
        <w:rPr>
          <w:sz w:val="28"/>
          <w:szCs w:val="28"/>
          <w:lang w:val="uk-UA"/>
        </w:rPr>
        <w:t>Зміни показників ЕхоКГ у хворих із ГХ та надмірною масою тіла оцінювалися у порівнянні із показниками у пацієнтів із ГХ та нормальною масою тіла. У пацієнтів груп із більшими ІМТ були більшими усі лінійні показники ЛШ (КДР, ТМШП, ТЗС). У жінок розміри ЛШ та КДР у всіх групах були меншими у порівнянні із чоловіками. У жінок із збільшенням ІМТ у групах у більшій мірі збільшувалась товщина стінок ЛШ, і середній показник ВТС (0,42</w:t>
      </w:r>
      <w:r w:rsidRPr="00AA26C0">
        <w:rPr>
          <w:sz w:val="28"/>
          <w:szCs w:val="28"/>
        </w:rPr>
        <w:sym w:font="Symbol" w:char="F0B1"/>
      </w:r>
      <w:r w:rsidRPr="00AA26C0">
        <w:rPr>
          <w:sz w:val="28"/>
          <w:szCs w:val="28"/>
          <w:lang w:val="uk-UA"/>
        </w:rPr>
        <w:t>0,01) виявився більшим, ніж у чоловіків (0,40</w:t>
      </w:r>
      <w:r w:rsidRPr="00AA26C0">
        <w:rPr>
          <w:sz w:val="28"/>
          <w:szCs w:val="28"/>
        </w:rPr>
        <w:sym w:font="Symbol" w:char="F0B1"/>
      </w:r>
      <w:r w:rsidRPr="00AA26C0">
        <w:rPr>
          <w:sz w:val="28"/>
          <w:szCs w:val="28"/>
          <w:lang w:val="uk-UA"/>
        </w:rPr>
        <w:t>0,01). У чоловіків із ожирінням ІІ та ІІІ ступенів показник КДР перевищує норму (5,6 см), а від його збільшення у більшій мірі залежить поява ексцентричної ГЛШ. Після отримання лінійних ЕхоКГ показників були обраховані МЛШ та її індекси у групах. У пацієнтів із ожирінням МЛШ та її індекси були достовірно більшими, ніж у пацієнтів без ожиріння у співставних вікових групах (табл.1).</w:t>
      </w:r>
    </w:p>
    <w:p w:rsidR="004B5E3F" w:rsidRPr="008A73DD" w:rsidRDefault="004B5E3F" w:rsidP="004B5E3F">
      <w:pPr>
        <w:ind w:firstLine="900"/>
        <w:jc w:val="right"/>
        <w:rPr>
          <w:sz w:val="28"/>
          <w:szCs w:val="28"/>
        </w:rPr>
      </w:pPr>
      <w:r w:rsidRPr="00AA26C0">
        <w:rPr>
          <w:sz w:val="28"/>
          <w:szCs w:val="28"/>
          <w:lang w:val="uk-UA"/>
        </w:rPr>
        <w:t>Таблиця 1</w:t>
      </w:r>
    </w:p>
    <w:p w:rsidR="004B5E3F" w:rsidRPr="00AA26C0" w:rsidRDefault="004B5E3F" w:rsidP="004B5E3F">
      <w:pPr>
        <w:jc w:val="center"/>
        <w:rPr>
          <w:sz w:val="28"/>
          <w:szCs w:val="28"/>
          <w:lang w:val="uk-UA"/>
        </w:rPr>
      </w:pPr>
      <w:r w:rsidRPr="00AA26C0">
        <w:rPr>
          <w:sz w:val="28"/>
          <w:szCs w:val="28"/>
          <w:lang w:val="uk-UA"/>
        </w:rPr>
        <w:t>Середні показники віку та характеристик МЛШ у пацієнтів без ожиріння</w:t>
      </w:r>
    </w:p>
    <w:p w:rsidR="004B5E3F" w:rsidRPr="00AA26C0" w:rsidRDefault="004B5E3F" w:rsidP="004B5E3F">
      <w:pPr>
        <w:jc w:val="center"/>
        <w:rPr>
          <w:sz w:val="28"/>
          <w:szCs w:val="28"/>
        </w:rPr>
      </w:pPr>
      <w:r w:rsidRPr="00AA26C0">
        <w:rPr>
          <w:sz w:val="28"/>
          <w:szCs w:val="28"/>
          <w:lang w:val="uk-UA"/>
        </w:rPr>
        <w:t xml:space="preserve"> та з </w:t>
      </w:r>
      <w:r w:rsidRPr="00AA26C0">
        <w:rPr>
          <w:sz w:val="28"/>
          <w:szCs w:val="28"/>
          <w:lang w:val="en-US"/>
        </w:rPr>
        <w:t>o</w:t>
      </w:r>
      <w:r w:rsidRPr="00AA26C0">
        <w:rPr>
          <w:sz w:val="28"/>
          <w:szCs w:val="28"/>
          <w:lang w:val="uk-UA"/>
        </w:rPr>
        <w:t xml:space="preserve">жирінням </w:t>
      </w:r>
      <w:r w:rsidRPr="00AA26C0">
        <w:rPr>
          <w:sz w:val="28"/>
          <w:szCs w:val="28"/>
        </w:rPr>
        <w:t>(</w:t>
      </w:r>
      <w:r w:rsidRPr="00AA26C0">
        <w:rPr>
          <w:sz w:val="28"/>
          <w:szCs w:val="28"/>
          <w:lang w:val="en-US"/>
        </w:rPr>
        <w:t>M</w:t>
      </w:r>
      <w:r w:rsidRPr="00AA26C0">
        <w:rPr>
          <w:sz w:val="28"/>
          <w:szCs w:val="28"/>
        </w:rPr>
        <w:sym w:font="Symbol" w:char="F0B1"/>
      </w:r>
      <w:r w:rsidRPr="00AA26C0">
        <w:rPr>
          <w:sz w:val="28"/>
          <w:szCs w:val="28"/>
          <w:lang w:val="en-US"/>
        </w:rPr>
        <w:t>m</w:t>
      </w:r>
      <w:r w:rsidRPr="00AA26C0">
        <w:rPr>
          <w:sz w:val="28"/>
          <w:szCs w:val="28"/>
        </w:rPr>
        <w:t>)</w:t>
      </w:r>
    </w:p>
    <w:tbl>
      <w:tblPr>
        <w:tblW w:w="632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1440"/>
        <w:gridCol w:w="1440"/>
        <w:gridCol w:w="1440"/>
        <w:gridCol w:w="1440"/>
      </w:tblGrid>
      <w:tr w:rsidR="004B5E3F" w:rsidRPr="00AA26C0" w:rsidTr="000B14BF">
        <w:trPr>
          <w:trHeight w:val="255"/>
        </w:trPr>
        <w:tc>
          <w:tcPr>
            <w:tcW w:w="565" w:type="dxa"/>
            <w:vAlign w:val="center"/>
          </w:tcPr>
          <w:p w:rsidR="004B5E3F" w:rsidRPr="00AA26C0" w:rsidRDefault="004B5E3F" w:rsidP="000B14BF">
            <w:pPr>
              <w:jc w:val="center"/>
              <w:rPr>
                <w:sz w:val="28"/>
                <w:szCs w:val="28"/>
                <w:lang w:val="uk-UA"/>
              </w:rPr>
            </w:pPr>
            <w:r w:rsidRPr="00AA26C0">
              <w:rPr>
                <w:sz w:val="28"/>
                <w:szCs w:val="28"/>
                <w:lang w:val="uk-UA"/>
              </w:rPr>
              <w:t>Показ-</w:t>
            </w:r>
          </w:p>
          <w:p w:rsidR="004B5E3F" w:rsidRPr="00AA26C0" w:rsidRDefault="004B5E3F" w:rsidP="000B14BF">
            <w:pPr>
              <w:jc w:val="center"/>
              <w:rPr>
                <w:sz w:val="28"/>
                <w:szCs w:val="28"/>
                <w:lang w:val="uk-UA"/>
              </w:rPr>
            </w:pPr>
            <w:r w:rsidRPr="00AA26C0">
              <w:rPr>
                <w:sz w:val="28"/>
                <w:szCs w:val="28"/>
                <w:lang w:val="uk-UA"/>
              </w:rPr>
              <w:t>ники</w:t>
            </w:r>
          </w:p>
        </w:tc>
        <w:tc>
          <w:tcPr>
            <w:tcW w:w="144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В</w:t>
            </w:r>
            <w:r w:rsidRPr="00AA26C0">
              <w:rPr>
                <w:sz w:val="28"/>
                <w:szCs w:val="28"/>
                <w:lang w:val="uk-UA"/>
              </w:rPr>
              <w:t>і</w:t>
            </w:r>
            <w:r w:rsidRPr="00AA26C0">
              <w:rPr>
                <w:sz w:val="28"/>
                <w:szCs w:val="28"/>
              </w:rPr>
              <w:t>к</w:t>
            </w:r>
            <w:r w:rsidRPr="00AA26C0">
              <w:rPr>
                <w:sz w:val="28"/>
                <w:szCs w:val="28"/>
                <w:lang w:val="uk-UA"/>
              </w:rPr>
              <w:t>,</w:t>
            </w:r>
          </w:p>
          <w:p w:rsidR="004B5E3F" w:rsidRPr="00AA26C0" w:rsidRDefault="004B5E3F" w:rsidP="000B14BF">
            <w:pPr>
              <w:jc w:val="center"/>
              <w:rPr>
                <w:sz w:val="28"/>
                <w:szCs w:val="28"/>
                <w:lang w:val="uk-UA"/>
              </w:rPr>
            </w:pPr>
            <w:r w:rsidRPr="00AA26C0">
              <w:rPr>
                <w:sz w:val="28"/>
                <w:szCs w:val="28"/>
                <w:lang w:val="uk-UA"/>
              </w:rPr>
              <w:t>роки</w:t>
            </w:r>
          </w:p>
        </w:tc>
        <w:tc>
          <w:tcPr>
            <w:tcW w:w="1440" w:type="dxa"/>
            <w:shd w:val="clear" w:color="auto" w:fill="auto"/>
            <w:noWrap/>
            <w:vAlign w:val="center"/>
          </w:tcPr>
          <w:p w:rsidR="004B5E3F" w:rsidRPr="00AA26C0" w:rsidRDefault="004B5E3F" w:rsidP="000B14BF">
            <w:pPr>
              <w:jc w:val="center"/>
              <w:rPr>
                <w:sz w:val="28"/>
                <w:szCs w:val="28"/>
                <w:lang w:val="uk-UA"/>
              </w:rPr>
            </w:pPr>
            <w:r w:rsidRPr="00AA26C0">
              <w:rPr>
                <w:sz w:val="28"/>
                <w:szCs w:val="28"/>
                <w:lang w:val="uk-UA"/>
              </w:rPr>
              <w:t>МЛШ,</w:t>
            </w:r>
          </w:p>
          <w:p w:rsidR="004B5E3F" w:rsidRPr="00AA26C0" w:rsidRDefault="004B5E3F" w:rsidP="000B14BF">
            <w:pPr>
              <w:jc w:val="center"/>
              <w:rPr>
                <w:sz w:val="28"/>
                <w:szCs w:val="28"/>
                <w:lang w:val="uk-UA"/>
              </w:rPr>
            </w:pPr>
            <w:r w:rsidRPr="00AA26C0">
              <w:rPr>
                <w:sz w:val="28"/>
                <w:szCs w:val="28"/>
                <w:lang w:val="uk-UA"/>
              </w:rPr>
              <w:t>г</w:t>
            </w:r>
          </w:p>
        </w:tc>
        <w:tc>
          <w:tcPr>
            <w:tcW w:w="1440" w:type="dxa"/>
            <w:shd w:val="clear" w:color="auto" w:fill="auto"/>
            <w:noWrap/>
            <w:vAlign w:val="center"/>
          </w:tcPr>
          <w:p w:rsidR="004B5E3F" w:rsidRPr="00AA26C0" w:rsidRDefault="004B5E3F" w:rsidP="000B14BF">
            <w:pPr>
              <w:jc w:val="center"/>
              <w:rPr>
                <w:sz w:val="28"/>
                <w:szCs w:val="28"/>
                <w:lang w:val="uk-UA"/>
              </w:rPr>
            </w:pPr>
            <w:r w:rsidRPr="00AA26C0">
              <w:rPr>
                <w:sz w:val="28"/>
                <w:szCs w:val="28"/>
                <w:lang w:val="uk-UA"/>
              </w:rPr>
              <w:t>ІМЛШ</w:t>
            </w:r>
            <w:r w:rsidRPr="00AA26C0">
              <w:rPr>
                <w:sz w:val="28"/>
                <w:szCs w:val="28"/>
                <w:vertAlign w:val="subscript"/>
                <w:lang w:val="uk-UA"/>
              </w:rPr>
              <w:t>1</w:t>
            </w:r>
            <w:r w:rsidRPr="00AA26C0">
              <w:rPr>
                <w:sz w:val="28"/>
                <w:szCs w:val="28"/>
                <w:lang w:val="uk-UA"/>
              </w:rPr>
              <w:t>,</w:t>
            </w:r>
          </w:p>
          <w:p w:rsidR="004B5E3F" w:rsidRPr="00AA26C0" w:rsidRDefault="004B5E3F" w:rsidP="000B14BF">
            <w:pPr>
              <w:jc w:val="center"/>
              <w:rPr>
                <w:sz w:val="28"/>
                <w:szCs w:val="28"/>
              </w:rPr>
            </w:pPr>
            <w:r w:rsidRPr="00AA26C0">
              <w:rPr>
                <w:sz w:val="28"/>
                <w:szCs w:val="28"/>
                <w:lang w:val="uk-UA"/>
              </w:rPr>
              <w:t>г/м</w:t>
            </w:r>
            <w:r w:rsidRPr="00AA26C0">
              <w:rPr>
                <w:sz w:val="28"/>
                <w:szCs w:val="28"/>
                <w:vertAlign w:val="superscript"/>
                <w:lang w:val="uk-UA"/>
              </w:rPr>
              <w:t>2</w:t>
            </w:r>
          </w:p>
        </w:tc>
        <w:tc>
          <w:tcPr>
            <w:tcW w:w="1440" w:type="dxa"/>
            <w:shd w:val="clear" w:color="auto" w:fill="auto"/>
            <w:noWrap/>
            <w:vAlign w:val="center"/>
          </w:tcPr>
          <w:p w:rsidR="004B5E3F" w:rsidRPr="00AA26C0" w:rsidRDefault="004B5E3F" w:rsidP="000B14BF">
            <w:pPr>
              <w:jc w:val="center"/>
              <w:rPr>
                <w:sz w:val="28"/>
                <w:szCs w:val="28"/>
                <w:lang w:val="uk-UA"/>
              </w:rPr>
            </w:pPr>
            <w:r w:rsidRPr="00AA26C0">
              <w:rPr>
                <w:sz w:val="28"/>
                <w:szCs w:val="28"/>
                <w:lang w:val="uk-UA"/>
              </w:rPr>
              <w:t>ІМЛШ</w:t>
            </w:r>
            <w:r w:rsidRPr="00AA26C0">
              <w:rPr>
                <w:sz w:val="28"/>
                <w:szCs w:val="28"/>
                <w:vertAlign w:val="subscript"/>
                <w:lang w:val="uk-UA"/>
              </w:rPr>
              <w:t>2</w:t>
            </w:r>
            <w:r w:rsidRPr="00AA26C0">
              <w:rPr>
                <w:sz w:val="28"/>
                <w:szCs w:val="28"/>
                <w:lang w:val="uk-UA"/>
              </w:rPr>
              <w:t>,</w:t>
            </w:r>
          </w:p>
          <w:p w:rsidR="004B5E3F" w:rsidRPr="00AA26C0" w:rsidRDefault="004B5E3F" w:rsidP="000B14BF">
            <w:pPr>
              <w:jc w:val="center"/>
              <w:rPr>
                <w:sz w:val="28"/>
                <w:szCs w:val="28"/>
              </w:rPr>
            </w:pPr>
            <w:r w:rsidRPr="00AA26C0">
              <w:rPr>
                <w:sz w:val="28"/>
                <w:szCs w:val="28"/>
                <w:lang w:val="uk-UA"/>
              </w:rPr>
              <w:t xml:space="preserve">г/м </w:t>
            </w:r>
            <w:r w:rsidRPr="00AA26C0">
              <w:rPr>
                <w:sz w:val="28"/>
                <w:szCs w:val="28"/>
                <w:vertAlign w:val="superscript"/>
                <w:lang w:val="uk-UA"/>
              </w:rPr>
              <w:t>2,7</w:t>
            </w:r>
          </w:p>
        </w:tc>
      </w:tr>
      <w:tr w:rsidR="004B5E3F" w:rsidRPr="00AA26C0" w:rsidTr="000B14BF">
        <w:trPr>
          <w:trHeight w:val="630"/>
        </w:trPr>
        <w:tc>
          <w:tcPr>
            <w:tcW w:w="565" w:type="dxa"/>
            <w:vAlign w:val="center"/>
          </w:tcPr>
          <w:p w:rsidR="004B5E3F" w:rsidRPr="00AA26C0" w:rsidRDefault="004B5E3F" w:rsidP="000B14BF">
            <w:pPr>
              <w:jc w:val="center"/>
              <w:rPr>
                <w:sz w:val="28"/>
                <w:szCs w:val="28"/>
                <w:lang w:val="uk-UA"/>
              </w:rPr>
            </w:pPr>
            <w:r w:rsidRPr="00AA26C0">
              <w:rPr>
                <w:sz w:val="28"/>
                <w:szCs w:val="28"/>
                <w:lang w:val="uk-UA"/>
              </w:rPr>
              <w:t>Ожиріння</w:t>
            </w:r>
          </w:p>
          <w:p w:rsidR="004B5E3F" w:rsidRPr="00AA26C0" w:rsidRDefault="004B5E3F" w:rsidP="000B14BF">
            <w:pPr>
              <w:jc w:val="center"/>
              <w:rPr>
                <w:sz w:val="28"/>
                <w:szCs w:val="28"/>
                <w:lang w:val="en-US"/>
              </w:rPr>
            </w:pPr>
            <w:r w:rsidRPr="00AA26C0">
              <w:rPr>
                <w:sz w:val="28"/>
                <w:szCs w:val="28"/>
                <w:lang w:val="uk-UA"/>
              </w:rPr>
              <w:t>(</w:t>
            </w:r>
            <w:r w:rsidRPr="00AA26C0">
              <w:rPr>
                <w:sz w:val="28"/>
                <w:szCs w:val="28"/>
              </w:rPr>
              <w:t>-)</w:t>
            </w:r>
            <w:r w:rsidRPr="00AA26C0">
              <w:rPr>
                <w:sz w:val="28"/>
                <w:szCs w:val="28"/>
                <w:lang w:val="uk-UA"/>
              </w:rPr>
              <w:t>(</w:t>
            </w:r>
            <w:r w:rsidRPr="00AA26C0">
              <w:rPr>
                <w:sz w:val="28"/>
                <w:szCs w:val="28"/>
                <w:lang w:val="en-US"/>
              </w:rPr>
              <w:t>n=48)</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53,9</w:t>
            </w:r>
            <w:r w:rsidRPr="00AA26C0">
              <w:rPr>
                <w:sz w:val="28"/>
                <w:szCs w:val="28"/>
              </w:rPr>
              <w:sym w:font="Symbol" w:char="F0B1"/>
            </w:r>
            <w:r w:rsidRPr="00AA26C0">
              <w:rPr>
                <w:sz w:val="28"/>
                <w:szCs w:val="28"/>
              </w:rPr>
              <w:t>1,7</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221,0</w:t>
            </w:r>
            <w:r w:rsidRPr="00AA26C0">
              <w:rPr>
                <w:sz w:val="28"/>
                <w:szCs w:val="28"/>
              </w:rPr>
              <w:sym w:font="Symbol" w:char="F0B1"/>
            </w:r>
            <w:r w:rsidRPr="00AA26C0">
              <w:rPr>
                <w:sz w:val="28"/>
                <w:szCs w:val="28"/>
              </w:rPr>
              <w:t>6,9</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120,2</w:t>
            </w:r>
            <w:r w:rsidRPr="00AA26C0">
              <w:rPr>
                <w:sz w:val="28"/>
                <w:szCs w:val="28"/>
              </w:rPr>
              <w:sym w:font="Symbol" w:char="F0B1"/>
            </w:r>
            <w:r w:rsidRPr="00AA26C0">
              <w:rPr>
                <w:sz w:val="28"/>
                <w:szCs w:val="28"/>
              </w:rPr>
              <w:t>3,6</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54,2</w:t>
            </w:r>
            <w:r w:rsidRPr="00AA26C0">
              <w:rPr>
                <w:sz w:val="28"/>
                <w:szCs w:val="28"/>
              </w:rPr>
              <w:sym w:font="Symbol" w:char="F0B1"/>
            </w:r>
            <w:r w:rsidRPr="00AA26C0">
              <w:rPr>
                <w:sz w:val="28"/>
                <w:szCs w:val="28"/>
              </w:rPr>
              <w:t>1,8</w:t>
            </w:r>
          </w:p>
        </w:tc>
      </w:tr>
      <w:tr w:rsidR="004B5E3F" w:rsidRPr="00AA26C0" w:rsidTr="000B14BF">
        <w:trPr>
          <w:trHeight w:val="630"/>
        </w:trPr>
        <w:tc>
          <w:tcPr>
            <w:tcW w:w="565" w:type="dxa"/>
            <w:vAlign w:val="center"/>
          </w:tcPr>
          <w:p w:rsidR="004B5E3F" w:rsidRPr="00AA26C0" w:rsidRDefault="004B5E3F" w:rsidP="000B14BF">
            <w:pPr>
              <w:jc w:val="center"/>
              <w:rPr>
                <w:sz w:val="28"/>
                <w:szCs w:val="28"/>
                <w:lang w:val="uk-UA"/>
              </w:rPr>
            </w:pPr>
            <w:r w:rsidRPr="00AA26C0">
              <w:rPr>
                <w:sz w:val="28"/>
                <w:szCs w:val="28"/>
                <w:lang w:val="uk-UA"/>
              </w:rPr>
              <w:t>Ожиріння</w:t>
            </w:r>
          </w:p>
          <w:p w:rsidR="004B5E3F" w:rsidRPr="00AA26C0" w:rsidRDefault="004B5E3F" w:rsidP="000B14BF">
            <w:pPr>
              <w:jc w:val="center"/>
              <w:rPr>
                <w:sz w:val="28"/>
                <w:szCs w:val="28"/>
                <w:lang w:val="en-US"/>
              </w:rPr>
            </w:pPr>
            <w:r w:rsidRPr="00AA26C0">
              <w:rPr>
                <w:sz w:val="28"/>
                <w:szCs w:val="28"/>
                <w:lang w:val="uk-UA"/>
              </w:rPr>
              <w:t>(</w:t>
            </w:r>
            <w:r w:rsidRPr="00AA26C0">
              <w:rPr>
                <w:sz w:val="28"/>
                <w:szCs w:val="28"/>
              </w:rPr>
              <w:t>+)</w:t>
            </w:r>
            <w:r w:rsidRPr="00AA26C0">
              <w:rPr>
                <w:sz w:val="28"/>
                <w:szCs w:val="28"/>
                <w:lang w:val="en-US"/>
              </w:rPr>
              <w:t>(n=142)</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52,3</w:t>
            </w:r>
            <w:r w:rsidRPr="00AA26C0">
              <w:rPr>
                <w:sz w:val="28"/>
                <w:szCs w:val="28"/>
              </w:rPr>
              <w:sym w:font="Symbol" w:char="F0B1"/>
            </w:r>
            <w:r w:rsidRPr="00AA26C0">
              <w:rPr>
                <w:sz w:val="28"/>
                <w:szCs w:val="28"/>
              </w:rPr>
              <w:t>1,4</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301,4</w:t>
            </w:r>
            <w:r w:rsidRPr="00AA26C0">
              <w:rPr>
                <w:sz w:val="28"/>
                <w:szCs w:val="28"/>
              </w:rPr>
              <w:sym w:font="Symbol" w:char="F0B1"/>
            </w:r>
            <w:r w:rsidRPr="00AA26C0">
              <w:rPr>
                <w:sz w:val="28"/>
                <w:szCs w:val="28"/>
              </w:rPr>
              <w:t>8,4</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135,4</w:t>
            </w:r>
            <w:r w:rsidRPr="00AA26C0">
              <w:rPr>
                <w:sz w:val="28"/>
                <w:szCs w:val="28"/>
              </w:rPr>
              <w:sym w:font="Symbol" w:char="F0B1"/>
            </w:r>
            <w:r w:rsidRPr="00AA26C0">
              <w:rPr>
                <w:sz w:val="28"/>
                <w:szCs w:val="28"/>
              </w:rPr>
              <w:t>3,7</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rPr>
              <w:t>66,9</w:t>
            </w:r>
            <w:r w:rsidRPr="00AA26C0">
              <w:rPr>
                <w:sz w:val="28"/>
                <w:szCs w:val="28"/>
              </w:rPr>
              <w:sym w:font="Symbol" w:char="F0B1"/>
            </w:r>
            <w:r w:rsidRPr="00AA26C0">
              <w:rPr>
                <w:sz w:val="28"/>
                <w:szCs w:val="28"/>
              </w:rPr>
              <w:t>2,0</w:t>
            </w:r>
          </w:p>
        </w:tc>
      </w:tr>
      <w:tr w:rsidR="004B5E3F" w:rsidRPr="00AA26C0" w:rsidTr="000B14BF">
        <w:trPr>
          <w:trHeight w:val="630"/>
        </w:trPr>
        <w:tc>
          <w:tcPr>
            <w:tcW w:w="565" w:type="dxa"/>
            <w:vAlign w:val="center"/>
          </w:tcPr>
          <w:p w:rsidR="004B5E3F" w:rsidRPr="00AA26C0" w:rsidRDefault="004B5E3F" w:rsidP="000B14BF">
            <w:pPr>
              <w:jc w:val="center"/>
              <w:rPr>
                <w:sz w:val="28"/>
                <w:szCs w:val="28"/>
                <w:lang w:val="en-US"/>
              </w:rPr>
            </w:pPr>
            <w:r w:rsidRPr="00AA26C0">
              <w:rPr>
                <w:sz w:val="28"/>
                <w:szCs w:val="28"/>
                <w:lang w:val="en-US"/>
              </w:rPr>
              <w:lastRenderedPageBreak/>
              <w:t>p</w:t>
            </w:r>
          </w:p>
        </w:tc>
        <w:tc>
          <w:tcPr>
            <w:tcW w:w="1440" w:type="dxa"/>
            <w:shd w:val="clear" w:color="auto" w:fill="auto"/>
            <w:noWrap/>
            <w:vAlign w:val="center"/>
          </w:tcPr>
          <w:p w:rsidR="004B5E3F" w:rsidRPr="00AA26C0" w:rsidRDefault="004B5E3F" w:rsidP="000B14BF">
            <w:pPr>
              <w:jc w:val="center"/>
              <w:rPr>
                <w:sz w:val="28"/>
                <w:szCs w:val="28"/>
                <w:lang w:val="en-US"/>
              </w:rPr>
            </w:pPr>
            <w:r w:rsidRPr="00AA26C0">
              <w:rPr>
                <w:sz w:val="28"/>
                <w:szCs w:val="28"/>
                <w:lang w:val="en-US"/>
              </w:rPr>
              <w:t>&gt;0,05</w:t>
            </w:r>
          </w:p>
        </w:tc>
        <w:tc>
          <w:tcPr>
            <w:tcW w:w="1440" w:type="dxa"/>
            <w:shd w:val="clear" w:color="auto" w:fill="auto"/>
            <w:noWrap/>
            <w:vAlign w:val="center"/>
          </w:tcPr>
          <w:p w:rsidR="004B5E3F" w:rsidRPr="00AA26C0" w:rsidRDefault="004B5E3F" w:rsidP="000B14BF">
            <w:pPr>
              <w:jc w:val="center"/>
              <w:rPr>
                <w:sz w:val="28"/>
                <w:szCs w:val="28"/>
                <w:lang w:val="en-US"/>
              </w:rPr>
            </w:pPr>
            <w:r w:rsidRPr="00AA26C0">
              <w:rPr>
                <w:sz w:val="28"/>
                <w:szCs w:val="28"/>
                <w:lang w:val="en-US"/>
              </w:rPr>
              <w:t>&lt;0,001</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lang w:val="en-US"/>
              </w:rPr>
              <w:t>&lt;0,01</w:t>
            </w:r>
          </w:p>
        </w:tc>
        <w:tc>
          <w:tcPr>
            <w:tcW w:w="1440" w:type="dxa"/>
            <w:shd w:val="clear" w:color="auto" w:fill="auto"/>
            <w:noWrap/>
            <w:vAlign w:val="center"/>
          </w:tcPr>
          <w:p w:rsidR="004B5E3F" w:rsidRPr="00AA26C0" w:rsidRDefault="004B5E3F" w:rsidP="000B14BF">
            <w:pPr>
              <w:jc w:val="center"/>
              <w:rPr>
                <w:sz w:val="28"/>
                <w:szCs w:val="28"/>
              </w:rPr>
            </w:pPr>
            <w:r w:rsidRPr="00AA26C0">
              <w:rPr>
                <w:sz w:val="28"/>
                <w:szCs w:val="28"/>
                <w:lang w:val="en-US"/>
              </w:rPr>
              <w:t>&lt;0,001</w:t>
            </w:r>
          </w:p>
        </w:tc>
      </w:tr>
    </w:tbl>
    <w:p w:rsidR="004B5E3F" w:rsidRDefault="004B5E3F" w:rsidP="004B5E3F">
      <w:pPr>
        <w:ind w:firstLine="900"/>
        <w:jc w:val="both"/>
        <w:rPr>
          <w:sz w:val="28"/>
          <w:szCs w:val="28"/>
          <w:lang w:val="uk-UA"/>
        </w:rPr>
      </w:pPr>
      <w:r w:rsidRPr="00AA26C0">
        <w:rPr>
          <w:sz w:val="28"/>
          <w:szCs w:val="28"/>
          <w:lang w:val="uk-UA"/>
        </w:rPr>
        <w:t>р - достовірність різниці між групами</w:t>
      </w:r>
    </w:p>
    <w:p w:rsidR="004B5E3F" w:rsidRDefault="004B5E3F" w:rsidP="004B5E3F">
      <w:pPr>
        <w:tabs>
          <w:tab w:val="left" w:pos="540"/>
        </w:tabs>
        <w:spacing w:line="340" w:lineRule="exact"/>
        <w:ind w:right="-5" w:firstLine="720"/>
        <w:jc w:val="both"/>
        <w:rPr>
          <w:sz w:val="28"/>
          <w:szCs w:val="28"/>
          <w:lang w:val="uk-UA"/>
        </w:rPr>
      </w:pPr>
    </w:p>
    <w:p w:rsidR="004B5E3F" w:rsidRPr="00AA26C0" w:rsidRDefault="004B5E3F" w:rsidP="004B5E3F">
      <w:pPr>
        <w:tabs>
          <w:tab w:val="left" w:pos="540"/>
        </w:tabs>
        <w:spacing w:line="340" w:lineRule="exact"/>
        <w:ind w:right="-5" w:firstLine="720"/>
        <w:jc w:val="both"/>
        <w:rPr>
          <w:sz w:val="28"/>
          <w:szCs w:val="28"/>
          <w:lang w:val="uk-UA"/>
        </w:rPr>
      </w:pPr>
      <w:r w:rsidRPr="00AA26C0">
        <w:rPr>
          <w:sz w:val="28"/>
          <w:szCs w:val="28"/>
          <w:lang w:val="uk-UA"/>
        </w:rPr>
        <w:t>При сукупному аналізі пацієнтів із АГ без ожиріння без поділу за статтю (</w:t>
      </w:r>
      <w:r w:rsidRPr="00AA26C0">
        <w:rPr>
          <w:sz w:val="28"/>
          <w:szCs w:val="28"/>
          <w:lang w:val="en-US"/>
        </w:rPr>
        <w:t>n</w:t>
      </w:r>
      <w:r w:rsidRPr="00AA26C0">
        <w:rPr>
          <w:sz w:val="28"/>
          <w:szCs w:val="28"/>
          <w:lang w:val="uk-UA"/>
        </w:rPr>
        <w:t xml:space="preserve"> = 48) середній показник ІМЛШ</w:t>
      </w:r>
      <w:r w:rsidRPr="00AA26C0">
        <w:rPr>
          <w:sz w:val="28"/>
          <w:szCs w:val="28"/>
          <w:vertAlign w:val="subscript"/>
          <w:lang w:val="uk-UA"/>
        </w:rPr>
        <w:t>1</w:t>
      </w:r>
      <w:r w:rsidRPr="00AA26C0">
        <w:rPr>
          <w:sz w:val="28"/>
          <w:szCs w:val="28"/>
          <w:lang w:val="uk-UA"/>
        </w:rPr>
        <w:t xml:space="preserve"> складав 120,2 </w:t>
      </w:r>
      <w:r w:rsidRPr="00AA26C0">
        <w:rPr>
          <w:sz w:val="28"/>
          <w:szCs w:val="28"/>
        </w:rPr>
        <w:sym w:font="Symbol" w:char="F0B1"/>
      </w:r>
      <w:r w:rsidRPr="00AA26C0">
        <w:rPr>
          <w:sz w:val="28"/>
          <w:szCs w:val="28"/>
          <w:lang w:val="uk-UA"/>
        </w:rPr>
        <w:t xml:space="preserve"> 3,6 г/м</w:t>
      </w:r>
      <w:r w:rsidRPr="00AA26C0">
        <w:rPr>
          <w:sz w:val="28"/>
          <w:szCs w:val="28"/>
          <w:vertAlign w:val="superscript"/>
          <w:lang w:val="uk-UA"/>
        </w:rPr>
        <w:t>2</w:t>
      </w:r>
      <w:r w:rsidRPr="00AA26C0">
        <w:rPr>
          <w:sz w:val="28"/>
          <w:szCs w:val="28"/>
          <w:lang w:val="uk-UA"/>
        </w:rPr>
        <w:t>, менше визначеної для даного контингенту норми (125 г/м</w:t>
      </w:r>
      <w:r w:rsidRPr="00AA26C0">
        <w:rPr>
          <w:sz w:val="28"/>
          <w:szCs w:val="28"/>
          <w:vertAlign w:val="superscript"/>
          <w:lang w:val="uk-UA"/>
        </w:rPr>
        <w:t>2</w:t>
      </w:r>
      <w:r w:rsidRPr="00AA26C0">
        <w:rPr>
          <w:sz w:val="28"/>
          <w:szCs w:val="28"/>
          <w:lang w:val="uk-UA"/>
        </w:rPr>
        <w:t xml:space="preserve">) при виявленні ГЛШ без урахуванням гендерних норм, тобто, ГЛШ у них не діагностувалась. </w:t>
      </w:r>
      <w:r>
        <w:rPr>
          <w:sz w:val="28"/>
          <w:szCs w:val="28"/>
        </w:rPr>
        <w:t>Але п</w:t>
      </w:r>
      <w:r w:rsidRPr="00AA26C0">
        <w:rPr>
          <w:sz w:val="28"/>
          <w:szCs w:val="28"/>
          <w:lang w:val="uk-UA"/>
        </w:rPr>
        <w:t>ри аналізі окремо груп жінок та чоловіків із АГ без ожиріння, з урахуванням гендерних норм, виявилось, що в середньому у жінок ІМЛШ</w:t>
      </w:r>
      <w:r w:rsidRPr="00AA26C0">
        <w:rPr>
          <w:sz w:val="28"/>
          <w:szCs w:val="28"/>
          <w:vertAlign w:val="subscript"/>
          <w:lang w:val="uk-UA"/>
        </w:rPr>
        <w:t xml:space="preserve">1 </w:t>
      </w:r>
      <w:r w:rsidRPr="00AA26C0">
        <w:rPr>
          <w:sz w:val="28"/>
          <w:szCs w:val="28"/>
          <w:lang w:val="uk-UA"/>
        </w:rPr>
        <w:t xml:space="preserve">складає 117,2 </w:t>
      </w:r>
      <w:r w:rsidRPr="00AA26C0">
        <w:rPr>
          <w:sz w:val="28"/>
          <w:szCs w:val="28"/>
        </w:rPr>
        <w:sym w:font="Symbol" w:char="F0B1"/>
      </w:r>
      <w:r w:rsidRPr="00AA26C0">
        <w:rPr>
          <w:sz w:val="28"/>
          <w:szCs w:val="28"/>
          <w:lang w:val="uk-UA"/>
        </w:rPr>
        <w:t xml:space="preserve"> 10,8 г/м</w:t>
      </w:r>
      <w:r w:rsidRPr="00AA26C0">
        <w:rPr>
          <w:sz w:val="28"/>
          <w:szCs w:val="28"/>
          <w:vertAlign w:val="superscript"/>
          <w:lang w:val="uk-UA"/>
        </w:rPr>
        <w:t>2</w:t>
      </w:r>
      <w:r w:rsidRPr="00AA26C0">
        <w:rPr>
          <w:sz w:val="28"/>
          <w:szCs w:val="28"/>
          <w:lang w:val="uk-UA"/>
        </w:rPr>
        <w:t xml:space="preserve"> (норма -110 г/м</w:t>
      </w:r>
      <w:r w:rsidRPr="00AA26C0">
        <w:rPr>
          <w:sz w:val="28"/>
          <w:szCs w:val="28"/>
          <w:vertAlign w:val="superscript"/>
          <w:lang w:val="uk-UA"/>
        </w:rPr>
        <w:t>2</w:t>
      </w:r>
      <w:r w:rsidRPr="00AA26C0">
        <w:rPr>
          <w:sz w:val="28"/>
          <w:szCs w:val="28"/>
          <w:lang w:val="uk-UA"/>
        </w:rPr>
        <w:t xml:space="preserve">), у чоловіків – 126,0 </w:t>
      </w:r>
      <w:r w:rsidRPr="00AA26C0">
        <w:rPr>
          <w:sz w:val="28"/>
          <w:szCs w:val="28"/>
        </w:rPr>
        <w:sym w:font="Symbol" w:char="F0B1"/>
      </w:r>
      <w:r w:rsidRPr="00AA26C0">
        <w:rPr>
          <w:sz w:val="28"/>
          <w:szCs w:val="28"/>
          <w:lang w:val="uk-UA"/>
        </w:rPr>
        <w:t xml:space="preserve"> 11,4 г/м</w:t>
      </w:r>
      <w:r w:rsidRPr="00AA26C0">
        <w:rPr>
          <w:sz w:val="28"/>
          <w:szCs w:val="28"/>
          <w:vertAlign w:val="superscript"/>
          <w:lang w:val="uk-UA"/>
        </w:rPr>
        <w:t>2</w:t>
      </w:r>
      <w:r w:rsidRPr="00AA26C0">
        <w:rPr>
          <w:sz w:val="28"/>
          <w:szCs w:val="28"/>
          <w:lang w:val="uk-UA"/>
        </w:rPr>
        <w:t xml:space="preserve"> (норма-125 г/м</w:t>
      </w:r>
      <w:r w:rsidRPr="00AA26C0">
        <w:rPr>
          <w:sz w:val="28"/>
          <w:szCs w:val="28"/>
          <w:vertAlign w:val="superscript"/>
          <w:lang w:val="uk-UA"/>
        </w:rPr>
        <w:t>2</w:t>
      </w:r>
      <w:r w:rsidRPr="00AA26C0">
        <w:rPr>
          <w:sz w:val="28"/>
          <w:szCs w:val="28"/>
          <w:lang w:val="uk-UA"/>
        </w:rPr>
        <w:t xml:space="preserve">). Тобто, згідно з таким методом ГЛШ була присутня в обох групах. Таким чином, при індексації МЛШ без урахування гендерних норм, ГЛШ не була б </w:t>
      </w:r>
      <w:r>
        <w:rPr>
          <w:sz w:val="28"/>
          <w:szCs w:val="28"/>
          <w:lang w:val="uk-UA"/>
        </w:rPr>
        <w:t>діагностована у 48 хворих (</w:t>
      </w:r>
      <w:r w:rsidRPr="00AA26C0">
        <w:rPr>
          <w:sz w:val="28"/>
          <w:szCs w:val="28"/>
          <w:lang w:val="uk-UA"/>
        </w:rPr>
        <w:t>25 % усіх пацієнтів, що входили у дослідження).</w:t>
      </w:r>
    </w:p>
    <w:p w:rsidR="004B5E3F" w:rsidRPr="00AA26C0" w:rsidRDefault="004B5E3F" w:rsidP="004B5E3F">
      <w:pPr>
        <w:tabs>
          <w:tab w:val="left" w:pos="540"/>
        </w:tabs>
        <w:spacing w:line="340" w:lineRule="exact"/>
        <w:ind w:right="-5" w:firstLine="720"/>
        <w:jc w:val="both"/>
        <w:rPr>
          <w:sz w:val="28"/>
          <w:szCs w:val="28"/>
          <w:lang w:val="uk-UA"/>
        </w:rPr>
      </w:pPr>
      <w:r w:rsidRPr="00AA26C0">
        <w:rPr>
          <w:sz w:val="28"/>
          <w:szCs w:val="28"/>
          <w:lang w:val="uk-UA"/>
        </w:rPr>
        <w:t>Виявлено гендерні відмінності структури ЛШ у віковому аспекті. Проведений кореляційний аналіз показав, що у жінок зв’язок МЛШ із віком недостовірний (</w:t>
      </w:r>
      <w:r w:rsidRPr="00AA26C0">
        <w:rPr>
          <w:sz w:val="28"/>
          <w:szCs w:val="28"/>
          <w:lang w:val="en-US"/>
        </w:rPr>
        <w:t>r</w:t>
      </w:r>
      <w:r w:rsidRPr="00AA26C0">
        <w:rPr>
          <w:sz w:val="28"/>
          <w:szCs w:val="28"/>
          <w:lang w:val="uk-UA"/>
        </w:rPr>
        <w:t xml:space="preserve"> = 0,17; нд), у чоловіків –достовірний (</w:t>
      </w:r>
      <w:r w:rsidRPr="00AA26C0">
        <w:rPr>
          <w:sz w:val="28"/>
          <w:szCs w:val="28"/>
          <w:lang w:val="en-US"/>
        </w:rPr>
        <w:t>r</w:t>
      </w:r>
      <w:r w:rsidRPr="00AA26C0">
        <w:rPr>
          <w:sz w:val="28"/>
          <w:szCs w:val="28"/>
          <w:lang w:val="uk-UA"/>
        </w:rPr>
        <w:t xml:space="preserve"> = 0,31; </w:t>
      </w:r>
      <w:r w:rsidRPr="00AA26C0">
        <w:rPr>
          <w:sz w:val="28"/>
          <w:szCs w:val="28"/>
          <w:lang w:val="en-US"/>
        </w:rPr>
        <w:t>p</w:t>
      </w:r>
      <w:r w:rsidRPr="00AA26C0">
        <w:rPr>
          <w:sz w:val="28"/>
          <w:szCs w:val="28"/>
          <w:lang w:val="uk-UA"/>
        </w:rPr>
        <w:t xml:space="preserve"> &lt; 0,001). ГЛШ у жінок переважно виникає у більш старших вікових групах і виявляється у 5,7 разів частіше у віці старше 50 років, ніж у більш молодих. У чоловіків ГЛШ з’являється у більш ранньому віці і розподілена серед вікових категорій більш рівномірно, а після 50 років вона виявляється тільки у 2,2 рази частіше, ніж до 50 років. Кореляційний аналіз виявив, що тільки у жінок існує прямий достовірний зв'язок між віком та відносною товщиною стінок (ВТС) ЛШ (</w:t>
      </w:r>
      <w:r w:rsidRPr="00AA26C0">
        <w:rPr>
          <w:sz w:val="28"/>
          <w:szCs w:val="28"/>
          <w:lang w:val="en-US"/>
        </w:rPr>
        <w:t>r</w:t>
      </w:r>
      <w:r w:rsidRPr="00AA26C0">
        <w:rPr>
          <w:sz w:val="28"/>
          <w:szCs w:val="28"/>
          <w:lang w:val="uk-UA"/>
        </w:rPr>
        <w:t xml:space="preserve"> = 0,36; </w:t>
      </w:r>
      <w:r w:rsidRPr="00AA26C0">
        <w:rPr>
          <w:sz w:val="28"/>
          <w:szCs w:val="28"/>
          <w:lang w:val="en-US"/>
        </w:rPr>
        <w:t>p</w:t>
      </w:r>
      <w:r w:rsidRPr="00AA26C0">
        <w:rPr>
          <w:sz w:val="28"/>
          <w:szCs w:val="28"/>
          <w:lang w:val="uk-UA"/>
        </w:rPr>
        <w:t xml:space="preserve"> &lt; 0,001). Також у жінок, на відміну від чоловіків, виявлено прямий достовірний зв'язок ВТС із МЛШ (</w:t>
      </w:r>
      <w:r w:rsidRPr="00AA26C0">
        <w:rPr>
          <w:sz w:val="28"/>
          <w:szCs w:val="28"/>
          <w:lang w:val="en-US"/>
        </w:rPr>
        <w:t>r</w:t>
      </w:r>
      <w:r w:rsidRPr="00AA26C0">
        <w:rPr>
          <w:sz w:val="28"/>
          <w:szCs w:val="28"/>
          <w:lang w:val="uk-UA"/>
        </w:rPr>
        <w:t xml:space="preserve"> = 0,23; </w:t>
      </w:r>
      <w:r w:rsidRPr="00AA26C0">
        <w:rPr>
          <w:sz w:val="28"/>
          <w:szCs w:val="28"/>
          <w:lang w:val="en-US"/>
        </w:rPr>
        <w:t>p</w:t>
      </w:r>
      <w:r w:rsidRPr="00AA26C0">
        <w:rPr>
          <w:sz w:val="28"/>
          <w:szCs w:val="28"/>
          <w:lang w:val="uk-UA"/>
        </w:rPr>
        <w:t xml:space="preserve"> &lt; 0,05), ІМЛШ</w:t>
      </w:r>
      <w:r w:rsidRPr="00AA26C0">
        <w:rPr>
          <w:sz w:val="28"/>
          <w:szCs w:val="28"/>
          <w:vertAlign w:val="subscript"/>
          <w:lang w:val="uk-UA"/>
        </w:rPr>
        <w:t xml:space="preserve">1 </w:t>
      </w:r>
      <w:r w:rsidRPr="00AA26C0">
        <w:rPr>
          <w:sz w:val="28"/>
          <w:szCs w:val="28"/>
          <w:lang w:val="uk-UA"/>
        </w:rPr>
        <w:t>(</w:t>
      </w:r>
      <w:r w:rsidRPr="00AA26C0">
        <w:rPr>
          <w:sz w:val="28"/>
          <w:szCs w:val="28"/>
          <w:lang w:val="en-US"/>
        </w:rPr>
        <w:t>r</w:t>
      </w:r>
      <w:r w:rsidRPr="00AA26C0">
        <w:rPr>
          <w:sz w:val="28"/>
          <w:szCs w:val="28"/>
          <w:lang w:val="uk-UA"/>
        </w:rPr>
        <w:t xml:space="preserve"> = 0,30; </w:t>
      </w:r>
      <w:r w:rsidRPr="00AA26C0">
        <w:rPr>
          <w:sz w:val="28"/>
          <w:szCs w:val="28"/>
          <w:lang w:val="en-US"/>
        </w:rPr>
        <w:t>p</w:t>
      </w:r>
      <w:r w:rsidRPr="00AA26C0">
        <w:rPr>
          <w:sz w:val="28"/>
          <w:szCs w:val="28"/>
          <w:lang w:val="uk-UA"/>
        </w:rPr>
        <w:t xml:space="preserve"> &lt; 0,01) та ІМЛШ</w:t>
      </w:r>
      <w:r w:rsidRPr="00AA26C0">
        <w:rPr>
          <w:sz w:val="28"/>
          <w:szCs w:val="28"/>
          <w:vertAlign w:val="subscript"/>
          <w:lang w:val="uk-UA"/>
        </w:rPr>
        <w:t>2</w:t>
      </w:r>
      <w:r w:rsidRPr="00AA26C0">
        <w:rPr>
          <w:sz w:val="28"/>
          <w:szCs w:val="28"/>
          <w:lang w:val="uk-UA"/>
        </w:rPr>
        <w:t xml:space="preserve"> (</w:t>
      </w:r>
      <w:r w:rsidRPr="00AA26C0">
        <w:rPr>
          <w:sz w:val="28"/>
          <w:szCs w:val="28"/>
          <w:lang w:val="en-US"/>
        </w:rPr>
        <w:t>r</w:t>
      </w:r>
      <w:r w:rsidRPr="00AA26C0">
        <w:rPr>
          <w:sz w:val="28"/>
          <w:szCs w:val="28"/>
          <w:lang w:val="uk-UA"/>
        </w:rPr>
        <w:t xml:space="preserve"> = 0,24; </w:t>
      </w:r>
      <w:r w:rsidRPr="00AA26C0">
        <w:rPr>
          <w:sz w:val="28"/>
          <w:szCs w:val="28"/>
          <w:lang w:val="en-US"/>
        </w:rPr>
        <w:t>p</w:t>
      </w:r>
      <w:r w:rsidRPr="00AA26C0">
        <w:rPr>
          <w:sz w:val="28"/>
          <w:szCs w:val="28"/>
          <w:lang w:val="uk-UA"/>
        </w:rPr>
        <w:t xml:space="preserve"> &lt; 0,05). </w:t>
      </w:r>
    </w:p>
    <w:p w:rsidR="004B5E3F" w:rsidRPr="00AA26C0" w:rsidRDefault="004B5E3F" w:rsidP="004B5E3F">
      <w:pPr>
        <w:spacing w:line="340" w:lineRule="exact"/>
        <w:ind w:firstLine="720"/>
        <w:jc w:val="both"/>
        <w:rPr>
          <w:sz w:val="28"/>
          <w:szCs w:val="28"/>
          <w:lang w:val="uk-UA"/>
        </w:rPr>
      </w:pPr>
      <w:r w:rsidRPr="00AA26C0">
        <w:rPr>
          <w:sz w:val="28"/>
          <w:szCs w:val="28"/>
          <w:lang w:val="uk-UA"/>
        </w:rPr>
        <w:t xml:space="preserve">При дослідженні частоти появи диференційованих типів ГЛШ у чоловіків та жінок у віковому аспекті ми виявили наступні дані. У жінок </w:t>
      </w:r>
      <w:r>
        <w:rPr>
          <w:sz w:val="28"/>
          <w:szCs w:val="28"/>
          <w:lang w:val="uk-UA"/>
        </w:rPr>
        <w:t>при появі ГЛШ</w:t>
      </w:r>
      <w:r w:rsidRPr="00AA26C0">
        <w:rPr>
          <w:sz w:val="28"/>
          <w:szCs w:val="28"/>
          <w:lang w:val="uk-UA"/>
        </w:rPr>
        <w:t xml:space="preserve"> у більш старшому віці (&gt; 50 років) </w:t>
      </w:r>
      <w:r>
        <w:rPr>
          <w:sz w:val="28"/>
          <w:szCs w:val="28"/>
          <w:lang w:val="uk-UA"/>
        </w:rPr>
        <w:t>відмічено</w:t>
      </w:r>
      <w:r w:rsidRPr="00AA26C0">
        <w:rPr>
          <w:sz w:val="28"/>
          <w:szCs w:val="28"/>
          <w:lang w:val="uk-UA"/>
        </w:rPr>
        <w:t xml:space="preserve"> прогресу</w:t>
      </w:r>
      <w:r>
        <w:rPr>
          <w:sz w:val="28"/>
          <w:szCs w:val="28"/>
          <w:lang w:val="uk-UA"/>
        </w:rPr>
        <w:t>вання переважно  більш несприятливого типу</w:t>
      </w:r>
      <w:r w:rsidRPr="00AA26C0">
        <w:rPr>
          <w:sz w:val="28"/>
          <w:szCs w:val="28"/>
          <w:lang w:val="uk-UA"/>
        </w:rPr>
        <w:t xml:space="preserve">, а саме концентричної ГЛШ (34 %), її виявлення є більшим на 26 % у жінок віком старше 50 років у порівнянні із жінками молодше 50 років. </w:t>
      </w:r>
      <w:r>
        <w:rPr>
          <w:sz w:val="28"/>
          <w:szCs w:val="28"/>
          <w:lang w:val="uk-UA"/>
        </w:rPr>
        <w:t>У чоловіків до</w:t>
      </w:r>
      <w:r w:rsidRPr="00AA26C0">
        <w:rPr>
          <w:sz w:val="28"/>
          <w:szCs w:val="28"/>
          <w:lang w:val="uk-UA"/>
        </w:rPr>
        <w:t xml:space="preserve"> 50 років нормальна геометрія ЛШ виявляється рідше </w:t>
      </w:r>
      <w:r>
        <w:rPr>
          <w:sz w:val="28"/>
          <w:szCs w:val="28"/>
          <w:lang w:val="uk-UA"/>
        </w:rPr>
        <w:t xml:space="preserve">у </w:t>
      </w:r>
      <w:r w:rsidRPr="00AA26C0">
        <w:rPr>
          <w:sz w:val="28"/>
          <w:szCs w:val="28"/>
          <w:lang w:val="uk-UA"/>
        </w:rPr>
        <w:t>чоловіків (33%), ніж у жінок (38%)</w:t>
      </w:r>
      <w:r>
        <w:rPr>
          <w:sz w:val="28"/>
          <w:szCs w:val="28"/>
          <w:lang w:val="uk-UA"/>
        </w:rPr>
        <w:t xml:space="preserve">, проте у </w:t>
      </w:r>
      <w:r w:rsidRPr="00AA26C0">
        <w:rPr>
          <w:sz w:val="28"/>
          <w:szCs w:val="28"/>
          <w:lang w:val="uk-UA"/>
        </w:rPr>
        <w:t>чоловіків старше 50 років ексцентрична ГЛШ реєструється на 28%</w:t>
      </w:r>
      <w:r w:rsidRPr="00965D2D">
        <w:rPr>
          <w:sz w:val="28"/>
          <w:szCs w:val="28"/>
          <w:lang w:val="uk-UA"/>
        </w:rPr>
        <w:t xml:space="preserve"> </w:t>
      </w:r>
      <w:r w:rsidRPr="00AA26C0">
        <w:rPr>
          <w:sz w:val="28"/>
          <w:szCs w:val="28"/>
          <w:lang w:val="uk-UA"/>
        </w:rPr>
        <w:t xml:space="preserve">частіше, ніж у більш молодих (73 %), а виявлення КГЛШ лишається майже незмінним. </w:t>
      </w:r>
    </w:p>
    <w:p w:rsidR="004B5E3F" w:rsidRDefault="004B5E3F" w:rsidP="004B5E3F">
      <w:pPr>
        <w:spacing w:line="340" w:lineRule="exact"/>
        <w:ind w:firstLine="720"/>
        <w:jc w:val="both"/>
        <w:rPr>
          <w:sz w:val="28"/>
          <w:szCs w:val="28"/>
          <w:lang w:val="uk-UA"/>
        </w:rPr>
      </w:pPr>
      <w:r w:rsidRPr="00AA26C0">
        <w:rPr>
          <w:sz w:val="28"/>
          <w:szCs w:val="28"/>
          <w:lang w:val="uk-UA"/>
        </w:rPr>
        <w:t xml:space="preserve">При стандартизації середніх показників віку пацієнтів та рівнів середньодобового АТ у групах у відповідності до збільшення ступеня ожиріння у </w:t>
      </w:r>
      <w:r>
        <w:rPr>
          <w:sz w:val="28"/>
          <w:szCs w:val="28"/>
          <w:lang w:val="uk-UA"/>
        </w:rPr>
        <w:t>жінок та чоловіків</w:t>
      </w:r>
      <w:r w:rsidRPr="00AA26C0">
        <w:rPr>
          <w:sz w:val="28"/>
          <w:szCs w:val="28"/>
          <w:lang w:val="uk-UA"/>
        </w:rPr>
        <w:t xml:space="preserve"> достовірно збільшуються МЛШ, ІМЛШ</w:t>
      </w:r>
      <w:r w:rsidRPr="00AA26C0">
        <w:rPr>
          <w:sz w:val="28"/>
          <w:szCs w:val="28"/>
          <w:vertAlign w:val="subscript"/>
          <w:lang w:val="uk-UA"/>
        </w:rPr>
        <w:t>1</w:t>
      </w:r>
      <w:r w:rsidRPr="00AA26C0">
        <w:rPr>
          <w:sz w:val="28"/>
          <w:szCs w:val="28"/>
          <w:lang w:val="uk-UA"/>
        </w:rPr>
        <w:t xml:space="preserve"> та ІМЛШ</w:t>
      </w:r>
      <w:r w:rsidRPr="00AA26C0">
        <w:rPr>
          <w:sz w:val="28"/>
          <w:szCs w:val="28"/>
          <w:vertAlign w:val="subscript"/>
          <w:lang w:val="uk-UA"/>
        </w:rPr>
        <w:t>2</w:t>
      </w:r>
      <w:r w:rsidRPr="00D37478">
        <w:rPr>
          <w:sz w:val="28"/>
          <w:szCs w:val="28"/>
          <w:lang w:val="uk-UA"/>
        </w:rPr>
        <w:t xml:space="preserve"> </w:t>
      </w:r>
      <w:r w:rsidRPr="00AA26C0">
        <w:rPr>
          <w:sz w:val="28"/>
          <w:szCs w:val="28"/>
          <w:lang w:val="uk-UA"/>
        </w:rPr>
        <w:t>(табл.2</w:t>
      </w:r>
      <w:r>
        <w:rPr>
          <w:sz w:val="28"/>
          <w:szCs w:val="28"/>
          <w:lang w:val="uk-UA"/>
        </w:rPr>
        <w:t>,3</w:t>
      </w:r>
      <w:r w:rsidRPr="00AA26C0">
        <w:rPr>
          <w:sz w:val="28"/>
          <w:szCs w:val="28"/>
          <w:lang w:val="uk-UA"/>
        </w:rPr>
        <w:t xml:space="preserve">). </w:t>
      </w:r>
    </w:p>
    <w:p w:rsidR="004B5E3F" w:rsidRPr="00AA26C0" w:rsidRDefault="004B5E3F" w:rsidP="004B5E3F">
      <w:pPr>
        <w:ind w:firstLine="900"/>
        <w:jc w:val="right"/>
        <w:rPr>
          <w:sz w:val="28"/>
          <w:szCs w:val="28"/>
          <w:lang w:val="uk-UA"/>
        </w:rPr>
      </w:pPr>
      <w:r w:rsidRPr="00AA26C0">
        <w:rPr>
          <w:sz w:val="28"/>
          <w:szCs w:val="28"/>
          <w:lang w:val="uk-UA"/>
        </w:rPr>
        <w:t>Таблиця 2</w:t>
      </w:r>
    </w:p>
    <w:p w:rsidR="004B5E3F" w:rsidRPr="00AA26C0" w:rsidRDefault="004B5E3F" w:rsidP="004B5E3F">
      <w:pPr>
        <w:ind w:left="-540" w:firstLine="540"/>
        <w:jc w:val="center"/>
        <w:rPr>
          <w:sz w:val="28"/>
          <w:szCs w:val="28"/>
          <w:lang w:val="uk-UA"/>
        </w:rPr>
      </w:pPr>
      <w:r w:rsidRPr="00AA26C0">
        <w:rPr>
          <w:sz w:val="28"/>
          <w:szCs w:val="28"/>
          <w:lang w:val="uk-UA"/>
        </w:rPr>
        <w:t xml:space="preserve">Середні показники характеристик МЛШ та ППТ в залежності від ІМТ </w:t>
      </w:r>
      <w:r>
        <w:rPr>
          <w:sz w:val="28"/>
          <w:szCs w:val="28"/>
          <w:lang w:val="uk-UA"/>
        </w:rPr>
        <w:t xml:space="preserve">у жінок </w:t>
      </w:r>
      <w:r w:rsidRPr="00AA26C0">
        <w:rPr>
          <w:sz w:val="28"/>
          <w:szCs w:val="28"/>
          <w:lang w:val="uk-UA"/>
        </w:rPr>
        <w:t>(</w:t>
      </w:r>
      <w:r w:rsidRPr="00AA26C0">
        <w:rPr>
          <w:sz w:val="28"/>
          <w:szCs w:val="28"/>
          <w:lang w:val="en-US"/>
        </w:rPr>
        <w:t>M</w:t>
      </w:r>
      <w:r w:rsidRPr="00AA26C0">
        <w:rPr>
          <w:sz w:val="28"/>
          <w:szCs w:val="28"/>
        </w:rPr>
        <w:sym w:font="Symbol" w:char="F0B1"/>
      </w:r>
      <w:r w:rsidRPr="00AA26C0">
        <w:rPr>
          <w:sz w:val="28"/>
          <w:szCs w:val="28"/>
          <w:lang w:val="en-US"/>
        </w:rPr>
        <w:t>m</w:t>
      </w:r>
      <w:r w:rsidRPr="00AA26C0">
        <w:rPr>
          <w:sz w:val="28"/>
          <w:szCs w:val="28"/>
        </w:rPr>
        <w:t>)</w:t>
      </w:r>
    </w:p>
    <w:tbl>
      <w:tblPr>
        <w:tblW w:w="0" w:type="auto"/>
        <w:tblInd w:w="108" w:type="dxa"/>
        <w:tblLook w:val="0000" w:firstRow="0" w:lastRow="0" w:firstColumn="0" w:lastColumn="0" w:noHBand="0" w:noVBand="0"/>
      </w:tblPr>
      <w:tblGrid>
        <w:gridCol w:w="1670"/>
        <w:gridCol w:w="1490"/>
        <w:gridCol w:w="1657"/>
        <w:gridCol w:w="1774"/>
        <w:gridCol w:w="1280"/>
      </w:tblGrid>
      <w:tr w:rsidR="004B5E3F" w:rsidRPr="00AA26C0" w:rsidTr="000B14BF">
        <w:trPr>
          <w:trHeight w:val="268"/>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ind w:left="180"/>
              <w:jc w:val="center"/>
              <w:rPr>
                <w:bCs/>
                <w:sz w:val="28"/>
                <w:szCs w:val="28"/>
                <w:lang w:val="uk-UA"/>
              </w:rPr>
            </w:pPr>
            <w:r>
              <w:rPr>
                <w:bCs/>
                <w:sz w:val="28"/>
                <w:szCs w:val="28"/>
                <w:lang w:val="uk-UA"/>
              </w:rPr>
              <w:t>Показ</w:t>
            </w:r>
            <w:r w:rsidRPr="00AA26C0">
              <w:rPr>
                <w:bCs/>
                <w:sz w:val="28"/>
                <w:szCs w:val="28"/>
                <w:lang w:val="uk-UA"/>
              </w:rPr>
              <w:t>ники</w:t>
            </w:r>
          </w:p>
        </w:tc>
        <w:tc>
          <w:tcPr>
            <w:tcW w:w="1490" w:type="dxa"/>
            <w:tcBorders>
              <w:top w:val="single" w:sz="4" w:space="0" w:color="auto"/>
              <w:left w:val="nil"/>
              <w:bottom w:val="single" w:sz="4" w:space="0" w:color="auto"/>
              <w:right w:val="single" w:sz="4" w:space="0" w:color="auto"/>
            </w:tcBorders>
            <w:shd w:val="clear" w:color="auto" w:fill="auto"/>
            <w:noWrap/>
            <w:vAlign w:val="center"/>
          </w:tcPr>
          <w:p w:rsidR="004B5E3F" w:rsidRPr="00AA26C0" w:rsidRDefault="004B5E3F" w:rsidP="000B14BF">
            <w:pPr>
              <w:jc w:val="center"/>
              <w:rPr>
                <w:bCs/>
                <w:sz w:val="28"/>
                <w:szCs w:val="28"/>
              </w:rPr>
            </w:pPr>
            <w:r w:rsidRPr="00AA26C0">
              <w:rPr>
                <w:bCs/>
                <w:sz w:val="28"/>
                <w:szCs w:val="28"/>
              </w:rPr>
              <w:t>M</w:t>
            </w:r>
            <w:r w:rsidRPr="00AA26C0">
              <w:rPr>
                <w:bCs/>
                <w:sz w:val="28"/>
                <w:szCs w:val="28"/>
                <w:lang w:val="uk-UA"/>
              </w:rPr>
              <w:t>ЛШ,</w:t>
            </w:r>
            <w:r>
              <w:rPr>
                <w:bCs/>
                <w:sz w:val="28"/>
                <w:szCs w:val="28"/>
                <w:lang w:val="uk-UA"/>
              </w:rPr>
              <w:t xml:space="preserve"> </w:t>
            </w:r>
            <w:r w:rsidRPr="00AA26C0">
              <w:rPr>
                <w:bCs/>
                <w:sz w:val="28"/>
                <w:szCs w:val="28"/>
                <w:lang w:val="uk-UA"/>
              </w:rPr>
              <w:t>г</w:t>
            </w:r>
          </w:p>
        </w:tc>
        <w:tc>
          <w:tcPr>
            <w:tcW w:w="0" w:type="auto"/>
            <w:tcBorders>
              <w:top w:val="single" w:sz="4" w:space="0" w:color="auto"/>
              <w:left w:val="nil"/>
              <w:bottom w:val="single" w:sz="4" w:space="0" w:color="auto"/>
              <w:right w:val="single" w:sz="4" w:space="0" w:color="auto"/>
            </w:tcBorders>
            <w:vAlign w:val="center"/>
          </w:tcPr>
          <w:p w:rsidR="004B5E3F" w:rsidRPr="00AA26C0" w:rsidRDefault="004B5E3F" w:rsidP="000B14BF">
            <w:pPr>
              <w:jc w:val="center"/>
              <w:rPr>
                <w:bCs/>
                <w:sz w:val="28"/>
                <w:szCs w:val="28"/>
                <w:lang w:val="uk-UA"/>
              </w:rPr>
            </w:pPr>
            <w:r w:rsidRPr="00AA26C0">
              <w:rPr>
                <w:bCs/>
                <w:sz w:val="28"/>
                <w:szCs w:val="28"/>
                <w:lang w:val="uk-UA"/>
              </w:rPr>
              <w:t>І</w:t>
            </w:r>
            <w:r w:rsidRPr="00AA26C0">
              <w:rPr>
                <w:bCs/>
                <w:sz w:val="28"/>
                <w:szCs w:val="28"/>
              </w:rPr>
              <w:t>M</w:t>
            </w:r>
            <w:r w:rsidRPr="00AA26C0">
              <w:rPr>
                <w:bCs/>
                <w:sz w:val="28"/>
                <w:szCs w:val="28"/>
                <w:lang w:val="uk-UA"/>
              </w:rPr>
              <w:t>ЛШ</w:t>
            </w:r>
            <w:r w:rsidRPr="00AA26C0">
              <w:rPr>
                <w:bCs/>
                <w:sz w:val="28"/>
                <w:szCs w:val="28"/>
                <w:vertAlign w:val="subscript"/>
                <w:lang w:val="uk-UA"/>
              </w:rPr>
              <w:t>1</w:t>
            </w:r>
            <w:r w:rsidRPr="00AA26C0">
              <w:rPr>
                <w:bCs/>
                <w:sz w:val="28"/>
                <w:szCs w:val="28"/>
                <w:lang w:val="uk-UA"/>
              </w:rPr>
              <w:t>,г/м</w:t>
            </w:r>
            <w:r w:rsidRPr="00AA26C0">
              <w:rPr>
                <w:bCs/>
                <w:sz w:val="28"/>
                <w:szCs w:val="28"/>
                <w:vertAlign w:val="superscript"/>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bCs/>
                <w:sz w:val="28"/>
                <w:szCs w:val="28"/>
                <w:lang w:val="uk-UA"/>
              </w:rPr>
            </w:pPr>
            <w:r w:rsidRPr="00AA26C0">
              <w:rPr>
                <w:bCs/>
                <w:sz w:val="28"/>
                <w:szCs w:val="28"/>
                <w:lang w:val="uk-UA"/>
              </w:rPr>
              <w:t>І</w:t>
            </w:r>
            <w:r w:rsidRPr="00AA26C0">
              <w:rPr>
                <w:bCs/>
                <w:sz w:val="28"/>
                <w:szCs w:val="28"/>
              </w:rPr>
              <w:t>M</w:t>
            </w:r>
            <w:r w:rsidRPr="00AA26C0">
              <w:rPr>
                <w:bCs/>
                <w:sz w:val="28"/>
                <w:szCs w:val="28"/>
                <w:lang w:val="uk-UA"/>
              </w:rPr>
              <w:t>ЛШ</w:t>
            </w:r>
            <w:r w:rsidRPr="00AA26C0">
              <w:rPr>
                <w:bCs/>
                <w:sz w:val="28"/>
                <w:szCs w:val="28"/>
                <w:vertAlign w:val="subscript"/>
                <w:lang w:val="uk-UA"/>
              </w:rPr>
              <w:t>2</w:t>
            </w:r>
            <w:r>
              <w:rPr>
                <w:bCs/>
                <w:sz w:val="28"/>
                <w:szCs w:val="28"/>
                <w:lang w:val="uk-UA"/>
              </w:rPr>
              <w:t>,г/м</w:t>
            </w:r>
            <w:r w:rsidRPr="00AA26C0">
              <w:rPr>
                <w:bCs/>
                <w:sz w:val="28"/>
                <w:szCs w:val="28"/>
                <w:vertAlign w:val="superscript"/>
                <w:lang w:val="uk-UA"/>
              </w:rPr>
              <w:t>2,7</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ind w:firstLine="252"/>
              <w:jc w:val="center"/>
              <w:rPr>
                <w:bCs/>
                <w:sz w:val="28"/>
                <w:szCs w:val="28"/>
                <w:lang w:val="uk-UA"/>
              </w:rPr>
            </w:pPr>
            <w:r w:rsidRPr="00AA26C0">
              <w:rPr>
                <w:bCs/>
                <w:sz w:val="28"/>
                <w:szCs w:val="28"/>
                <w:lang w:val="uk-UA"/>
              </w:rPr>
              <w:t>ППТ,м</w:t>
            </w:r>
            <w:r w:rsidRPr="00AA26C0">
              <w:rPr>
                <w:bCs/>
                <w:sz w:val="28"/>
                <w:szCs w:val="28"/>
                <w:vertAlign w:val="superscript"/>
                <w:lang w:val="uk-UA"/>
              </w:rPr>
              <w:t>2</w:t>
            </w:r>
          </w:p>
        </w:tc>
      </w:tr>
      <w:tr w:rsidR="004B5E3F" w:rsidRPr="00AA26C0" w:rsidTr="000B14BF">
        <w:trPr>
          <w:trHeight w:val="329"/>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rPr>
            </w:pPr>
            <w:r w:rsidRPr="00AA26C0">
              <w:rPr>
                <w:sz w:val="28"/>
                <w:szCs w:val="28"/>
                <w:lang w:val="uk-UA"/>
              </w:rPr>
              <w:t>1 гр.</w:t>
            </w:r>
            <w:r w:rsidRPr="00AA26C0">
              <w:rPr>
                <w:sz w:val="28"/>
                <w:szCs w:val="28"/>
              </w:rPr>
              <w:t>(n=1</w:t>
            </w:r>
            <w:r w:rsidRPr="00AA26C0">
              <w:rPr>
                <w:sz w:val="28"/>
                <w:szCs w:val="28"/>
                <w:lang w:val="uk-UA"/>
              </w:rPr>
              <w:t>4</w:t>
            </w:r>
            <w:r w:rsidRPr="00AA26C0">
              <w:rPr>
                <w:sz w:val="28"/>
                <w:szCs w:val="28"/>
              </w:rPr>
              <w:t>)</w:t>
            </w:r>
          </w:p>
        </w:tc>
        <w:tc>
          <w:tcPr>
            <w:tcW w:w="1490" w:type="dxa"/>
            <w:tcBorders>
              <w:top w:val="single" w:sz="4" w:space="0" w:color="auto"/>
              <w:left w:val="nil"/>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rPr>
              <w:t>173,</w:t>
            </w:r>
            <w:r w:rsidRPr="00AA26C0">
              <w:rPr>
                <w:sz w:val="28"/>
                <w:szCs w:val="28"/>
                <w:lang w:val="uk-UA"/>
              </w:rPr>
              <w:t>7</w:t>
            </w:r>
            <w:r w:rsidRPr="00AA26C0">
              <w:rPr>
                <w:sz w:val="28"/>
                <w:szCs w:val="28"/>
              </w:rPr>
              <w:sym w:font="Symbol" w:char="F0B1"/>
            </w:r>
            <w:r w:rsidRPr="00AA26C0">
              <w:rPr>
                <w:sz w:val="28"/>
                <w:szCs w:val="28"/>
              </w:rPr>
              <w:t>7,</w:t>
            </w:r>
            <w:r w:rsidRPr="00AA26C0">
              <w:rPr>
                <w:sz w:val="28"/>
                <w:szCs w:val="28"/>
                <w:lang w:val="uk-UA"/>
              </w:rPr>
              <w:t>7</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10</w:t>
            </w:r>
            <w:r w:rsidRPr="00AA26C0">
              <w:rPr>
                <w:sz w:val="28"/>
                <w:szCs w:val="28"/>
                <w:lang w:val="uk-UA"/>
              </w:rPr>
              <w:t>3</w:t>
            </w:r>
            <w:r w:rsidRPr="00AA26C0">
              <w:rPr>
                <w:sz w:val="28"/>
                <w:szCs w:val="28"/>
              </w:rPr>
              <w:t>,</w:t>
            </w:r>
            <w:r w:rsidRPr="00AA26C0">
              <w:rPr>
                <w:sz w:val="28"/>
                <w:szCs w:val="28"/>
                <w:lang w:val="uk-UA"/>
              </w:rPr>
              <w:t>4</w:t>
            </w:r>
            <w:r w:rsidRPr="00AA26C0">
              <w:rPr>
                <w:sz w:val="28"/>
                <w:szCs w:val="28"/>
              </w:rPr>
              <w:sym w:font="Symbol" w:char="F0B1"/>
            </w:r>
            <w:r w:rsidRPr="00AA26C0">
              <w:rPr>
                <w:sz w:val="28"/>
                <w:szCs w:val="28"/>
              </w:rPr>
              <w:t>4,</w:t>
            </w:r>
            <w:r w:rsidRPr="00AA26C0">
              <w:rPr>
                <w:sz w:val="28"/>
                <w:szCs w:val="28"/>
                <w:lang w:val="uk-UA"/>
              </w:rPr>
              <w:t>5</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4</w:t>
            </w:r>
            <w:r w:rsidRPr="00AA26C0">
              <w:rPr>
                <w:sz w:val="28"/>
                <w:szCs w:val="28"/>
                <w:lang w:val="uk-UA"/>
              </w:rPr>
              <w:t>4</w:t>
            </w:r>
            <w:r w:rsidRPr="00AA26C0">
              <w:rPr>
                <w:sz w:val="28"/>
                <w:szCs w:val="28"/>
              </w:rPr>
              <w:t>,</w:t>
            </w:r>
            <w:r w:rsidRPr="00AA26C0">
              <w:rPr>
                <w:sz w:val="28"/>
                <w:szCs w:val="28"/>
                <w:lang w:val="uk-UA"/>
              </w:rPr>
              <w:t>1</w:t>
            </w:r>
            <w:r w:rsidRPr="00AA26C0">
              <w:rPr>
                <w:sz w:val="28"/>
                <w:szCs w:val="28"/>
              </w:rPr>
              <w:sym w:font="Symbol" w:char="F0B1"/>
            </w:r>
            <w:r w:rsidRPr="00AA26C0">
              <w:rPr>
                <w:sz w:val="28"/>
                <w:szCs w:val="28"/>
                <w:lang w:val="uk-UA"/>
              </w:rPr>
              <w:t>2,1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1,71</w:t>
            </w:r>
            <w:r w:rsidRPr="00AA26C0">
              <w:rPr>
                <w:sz w:val="28"/>
                <w:szCs w:val="28"/>
              </w:rPr>
              <w:sym w:font="Symbol" w:char="F0B1"/>
            </w:r>
            <w:r w:rsidRPr="00AA26C0">
              <w:rPr>
                <w:sz w:val="28"/>
                <w:szCs w:val="28"/>
              </w:rPr>
              <w:t>0,03</w:t>
            </w:r>
          </w:p>
        </w:tc>
      </w:tr>
      <w:tr w:rsidR="004B5E3F" w:rsidRPr="00AA26C0" w:rsidTr="000B14BF">
        <w:trPr>
          <w:trHeight w:val="323"/>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lang w:val="en-US"/>
              </w:rPr>
              <w:lastRenderedPageBreak/>
              <w:t xml:space="preserve">2 </w:t>
            </w:r>
            <w:r w:rsidRPr="00AA26C0">
              <w:rPr>
                <w:sz w:val="28"/>
                <w:szCs w:val="28"/>
                <w:lang w:val="uk-UA"/>
              </w:rPr>
              <w:t>гр.(</w:t>
            </w:r>
            <w:r w:rsidRPr="00AA26C0">
              <w:rPr>
                <w:sz w:val="28"/>
                <w:szCs w:val="28"/>
              </w:rPr>
              <w:t>n=1</w:t>
            </w:r>
            <w:r w:rsidRPr="00AA26C0">
              <w:rPr>
                <w:sz w:val="28"/>
                <w:szCs w:val="28"/>
                <w:lang w:val="uk-UA"/>
              </w:rPr>
              <w:t>7)</w:t>
            </w:r>
          </w:p>
        </w:tc>
        <w:tc>
          <w:tcPr>
            <w:tcW w:w="1490" w:type="dxa"/>
            <w:tcBorders>
              <w:top w:val="single" w:sz="4" w:space="0" w:color="auto"/>
              <w:left w:val="nil"/>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rPr>
              <w:t>2</w:t>
            </w:r>
            <w:r w:rsidRPr="00AA26C0">
              <w:rPr>
                <w:sz w:val="28"/>
                <w:szCs w:val="28"/>
                <w:lang w:val="uk-UA"/>
              </w:rPr>
              <w:t>2</w:t>
            </w:r>
            <w:r w:rsidRPr="00AA26C0">
              <w:rPr>
                <w:sz w:val="28"/>
                <w:szCs w:val="28"/>
              </w:rPr>
              <w:t>1,</w:t>
            </w:r>
            <w:r w:rsidRPr="00AA26C0">
              <w:rPr>
                <w:sz w:val="28"/>
                <w:szCs w:val="28"/>
                <w:lang w:val="uk-UA"/>
              </w:rPr>
              <w:t>4</w:t>
            </w:r>
            <w:r w:rsidRPr="00AA26C0">
              <w:rPr>
                <w:sz w:val="28"/>
                <w:szCs w:val="28"/>
              </w:rPr>
              <w:sym w:font="Symbol" w:char="F0B1"/>
            </w:r>
            <w:r w:rsidRPr="00AA26C0">
              <w:rPr>
                <w:sz w:val="28"/>
                <w:szCs w:val="28"/>
                <w:lang w:val="uk-UA"/>
              </w:rPr>
              <w:t>9</w:t>
            </w:r>
            <w:r w:rsidRPr="00AA26C0">
              <w:rPr>
                <w:sz w:val="28"/>
                <w:szCs w:val="28"/>
              </w:rPr>
              <w:t>,</w:t>
            </w:r>
            <w:r w:rsidRPr="00AA26C0">
              <w:rPr>
                <w:sz w:val="28"/>
                <w:szCs w:val="28"/>
                <w:lang w:val="uk-UA"/>
              </w:rPr>
              <w:t>5</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b/>
                <w:sz w:val="28"/>
                <w:szCs w:val="28"/>
              </w:rPr>
              <w:t>12</w:t>
            </w:r>
            <w:r w:rsidRPr="00AA26C0">
              <w:rPr>
                <w:b/>
                <w:sz w:val="28"/>
                <w:szCs w:val="28"/>
                <w:lang w:val="uk-UA"/>
              </w:rPr>
              <w:t>4</w:t>
            </w:r>
            <w:r w:rsidRPr="00AA26C0">
              <w:rPr>
                <w:b/>
                <w:sz w:val="28"/>
                <w:szCs w:val="28"/>
              </w:rPr>
              <w:t>,</w:t>
            </w:r>
            <w:r w:rsidRPr="00AA26C0">
              <w:rPr>
                <w:b/>
                <w:sz w:val="28"/>
                <w:szCs w:val="28"/>
                <w:lang w:val="uk-UA"/>
              </w:rPr>
              <w:t>1</w:t>
            </w:r>
            <w:r w:rsidRPr="00AA26C0">
              <w:rPr>
                <w:sz w:val="28"/>
                <w:szCs w:val="28"/>
              </w:rPr>
              <w:sym w:font="Symbol" w:char="F0B1"/>
            </w:r>
            <w:r w:rsidRPr="00AA26C0">
              <w:rPr>
                <w:sz w:val="28"/>
                <w:szCs w:val="28"/>
                <w:lang w:val="uk-UA"/>
              </w:rPr>
              <w:t>6</w:t>
            </w:r>
            <w:r w:rsidRPr="00AA26C0">
              <w:rPr>
                <w:sz w:val="28"/>
                <w:szCs w:val="28"/>
              </w:rPr>
              <w:t>,</w:t>
            </w:r>
            <w:r w:rsidRPr="00AA26C0">
              <w:rPr>
                <w:sz w:val="28"/>
                <w:szCs w:val="28"/>
                <w:lang w:val="uk-UA"/>
              </w:rPr>
              <w:t>8</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lang w:val="uk-UA"/>
              </w:rPr>
              <w:t>59</w:t>
            </w:r>
            <w:r w:rsidRPr="00AA26C0">
              <w:rPr>
                <w:sz w:val="28"/>
                <w:szCs w:val="28"/>
              </w:rPr>
              <w:t>,</w:t>
            </w:r>
            <w:r w:rsidRPr="00AA26C0">
              <w:rPr>
                <w:sz w:val="28"/>
                <w:szCs w:val="28"/>
                <w:lang w:val="uk-UA"/>
              </w:rPr>
              <w:t>8</w:t>
            </w:r>
            <w:r w:rsidRPr="00AA26C0">
              <w:rPr>
                <w:sz w:val="28"/>
                <w:szCs w:val="28"/>
              </w:rPr>
              <w:sym w:font="Symbol" w:char="F0B1"/>
            </w:r>
            <w:r w:rsidRPr="00AA26C0">
              <w:rPr>
                <w:sz w:val="28"/>
                <w:szCs w:val="28"/>
                <w:lang w:val="uk-UA"/>
              </w:rPr>
              <w:t>3</w:t>
            </w:r>
            <w:r w:rsidRPr="00AA26C0">
              <w:rPr>
                <w:sz w:val="28"/>
                <w:szCs w:val="28"/>
              </w:rPr>
              <w:t>,</w:t>
            </w:r>
            <w:r w:rsidRPr="00AA26C0">
              <w:rPr>
                <w:sz w:val="28"/>
                <w:szCs w:val="28"/>
                <w:lang w:val="uk-UA"/>
              </w:rPr>
              <w:t>6</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1,79</w:t>
            </w:r>
            <w:r w:rsidRPr="00AA26C0">
              <w:rPr>
                <w:sz w:val="28"/>
                <w:szCs w:val="28"/>
              </w:rPr>
              <w:sym w:font="Symbol" w:char="F0B1"/>
            </w:r>
            <w:r w:rsidRPr="00AA26C0">
              <w:rPr>
                <w:sz w:val="28"/>
                <w:szCs w:val="28"/>
              </w:rPr>
              <w:t>0,03</w:t>
            </w:r>
          </w:p>
        </w:tc>
      </w:tr>
      <w:tr w:rsidR="004B5E3F" w:rsidRPr="00AA26C0" w:rsidTr="000B14BF">
        <w:trPr>
          <w:trHeight w:val="345"/>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lang w:val="en-US"/>
              </w:rPr>
              <w:t xml:space="preserve">3 </w:t>
            </w:r>
            <w:r w:rsidRPr="00AA26C0">
              <w:rPr>
                <w:sz w:val="28"/>
                <w:szCs w:val="28"/>
                <w:lang w:val="uk-UA"/>
              </w:rPr>
              <w:t>гр.(</w:t>
            </w:r>
            <w:r w:rsidRPr="00AA26C0">
              <w:rPr>
                <w:sz w:val="28"/>
                <w:szCs w:val="28"/>
                <w:lang w:val="en-US"/>
              </w:rPr>
              <w:t>n=</w:t>
            </w:r>
            <w:r w:rsidRPr="00AA26C0">
              <w:rPr>
                <w:sz w:val="28"/>
                <w:szCs w:val="28"/>
                <w:lang w:val="uk-UA"/>
              </w:rPr>
              <w:t>35)</w:t>
            </w:r>
          </w:p>
        </w:tc>
        <w:tc>
          <w:tcPr>
            <w:tcW w:w="1490" w:type="dxa"/>
            <w:tcBorders>
              <w:top w:val="single" w:sz="4" w:space="0" w:color="auto"/>
              <w:left w:val="nil"/>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rPr>
              <w:t>2</w:t>
            </w:r>
            <w:r w:rsidRPr="00AA26C0">
              <w:rPr>
                <w:sz w:val="28"/>
                <w:szCs w:val="28"/>
                <w:lang w:val="uk-UA"/>
              </w:rPr>
              <w:t>44</w:t>
            </w:r>
            <w:r w:rsidRPr="00AA26C0">
              <w:rPr>
                <w:sz w:val="28"/>
                <w:szCs w:val="28"/>
              </w:rPr>
              <w:t>,</w:t>
            </w:r>
            <w:r w:rsidRPr="00AA26C0">
              <w:rPr>
                <w:sz w:val="28"/>
                <w:szCs w:val="28"/>
                <w:lang w:val="uk-UA"/>
              </w:rPr>
              <w:t>6</w:t>
            </w:r>
            <w:r w:rsidRPr="00AA26C0">
              <w:rPr>
                <w:sz w:val="28"/>
                <w:szCs w:val="28"/>
              </w:rPr>
              <w:sym w:font="Symbol" w:char="F0B1"/>
            </w:r>
            <w:r w:rsidRPr="00AA26C0">
              <w:rPr>
                <w:sz w:val="28"/>
                <w:szCs w:val="28"/>
              </w:rPr>
              <w:t>7,</w:t>
            </w:r>
            <w:r w:rsidRPr="00AA26C0">
              <w:rPr>
                <w:sz w:val="28"/>
                <w:szCs w:val="28"/>
                <w:lang w:val="uk-UA"/>
              </w:rPr>
              <w:t>9</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1</w:t>
            </w:r>
            <w:r w:rsidRPr="00AA26C0">
              <w:rPr>
                <w:sz w:val="28"/>
                <w:szCs w:val="28"/>
                <w:lang w:val="uk-UA"/>
              </w:rPr>
              <w:t>30</w:t>
            </w:r>
            <w:r w:rsidRPr="00AA26C0">
              <w:rPr>
                <w:sz w:val="28"/>
                <w:szCs w:val="28"/>
              </w:rPr>
              <w:t>,</w:t>
            </w:r>
            <w:r w:rsidRPr="00AA26C0">
              <w:rPr>
                <w:sz w:val="28"/>
                <w:szCs w:val="28"/>
                <w:lang w:val="uk-UA"/>
              </w:rPr>
              <w:t>1</w:t>
            </w:r>
            <w:r w:rsidRPr="00AA26C0">
              <w:rPr>
                <w:sz w:val="28"/>
                <w:szCs w:val="28"/>
              </w:rPr>
              <w:sym w:font="Symbol" w:char="F0B1"/>
            </w:r>
            <w:r w:rsidRPr="00AA26C0">
              <w:rPr>
                <w:sz w:val="28"/>
                <w:szCs w:val="28"/>
              </w:rPr>
              <w:t>3,</w:t>
            </w:r>
            <w:r w:rsidRPr="00AA26C0">
              <w:rPr>
                <w:sz w:val="28"/>
                <w:szCs w:val="28"/>
                <w:lang w:val="uk-UA"/>
              </w:rPr>
              <w:t>9</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en-US"/>
              </w:rPr>
            </w:pPr>
            <w:r w:rsidRPr="00AA26C0">
              <w:rPr>
                <w:sz w:val="28"/>
                <w:szCs w:val="28"/>
              </w:rPr>
              <w:t>6</w:t>
            </w:r>
            <w:r w:rsidRPr="00AA26C0">
              <w:rPr>
                <w:sz w:val="28"/>
                <w:szCs w:val="28"/>
                <w:lang w:val="uk-UA"/>
              </w:rPr>
              <w:t>8</w:t>
            </w:r>
            <w:r w:rsidRPr="00AA26C0">
              <w:rPr>
                <w:sz w:val="28"/>
                <w:szCs w:val="28"/>
              </w:rPr>
              <w:t>,</w:t>
            </w:r>
            <w:r w:rsidRPr="00AA26C0">
              <w:rPr>
                <w:sz w:val="28"/>
                <w:szCs w:val="28"/>
                <w:lang w:val="uk-UA"/>
              </w:rPr>
              <w:t>1</w:t>
            </w:r>
            <w:r w:rsidRPr="00AA26C0">
              <w:rPr>
                <w:sz w:val="28"/>
                <w:szCs w:val="28"/>
              </w:rPr>
              <w:sym w:font="Symbol" w:char="F0B1"/>
            </w:r>
            <w:r w:rsidRPr="00AA26C0">
              <w:rPr>
                <w:sz w:val="28"/>
                <w:szCs w:val="28"/>
              </w:rPr>
              <w:t>2,</w:t>
            </w:r>
            <w:r w:rsidRPr="00AA26C0">
              <w:rPr>
                <w:sz w:val="28"/>
                <w:szCs w:val="28"/>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1,87</w:t>
            </w:r>
            <w:r w:rsidRPr="00AA26C0">
              <w:rPr>
                <w:sz w:val="28"/>
                <w:szCs w:val="28"/>
              </w:rPr>
              <w:sym w:font="Symbol" w:char="F0B1"/>
            </w:r>
            <w:r w:rsidRPr="00AA26C0">
              <w:rPr>
                <w:sz w:val="28"/>
                <w:szCs w:val="28"/>
              </w:rPr>
              <w:t>0,02</w:t>
            </w:r>
          </w:p>
        </w:tc>
      </w:tr>
      <w:tr w:rsidR="004B5E3F" w:rsidRPr="00AA26C0" w:rsidTr="000B14BF">
        <w:trPr>
          <w:trHeight w:val="299"/>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lang w:val="en-US"/>
              </w:rPr>
              <w:t xml:space="preserve">4 </w:t>
            </w:r>
            <w:r w:rsidRPr="00AA26C0">
              <w:rPr>
                <w:sz w:val="28"/>
                <w:szCs w:val="28"/>
                <w:lang w:val="uk-UA"/>
              </w:rPr>
              <w:t>гр.(</w:t>
            </w:r>
            <w:r w:rsidRPr="00AA26C0">
              <w:rPr>
                <w:sz w:val="28"/>
                <w:szCs w:val="28"/>
                <w:lang w:val="en-US"/>
              </w:rPr>
              <w:t>n=31</w:t>
            </w:r>
            <w:r w:rsidRPr="00AA26C0">
              <w:rPr>
                <w:sz w:val="28"/>
                <w:szCs w:val="28"/>
                <w:lang w:val="uk-UA"/>
              </w:rPr>
              <w:t>)</w:t>
            </w:r>
          </w:p>
        </w:tc>
        <w:tc>
          <w:tcPr>
            <w:tcW w:w="1490" w:type="dxa"/>
            <w:tcBorders>
              <w:top w:val="single" w:sz="4" w:space="0" w:color="auto"/>
              <w:left w:val="nil"/>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rPr>
              <w:t>2</w:t>
            </w:r>
            <w:r w:rsidRPr="00AA26C0">
              <w:rPr>
                <w:sz w:val="28"/>
                <w:szCs w:val="28"/>
                <w:lang w:val="uk-UA"/>
              </w:rPr>
              <w:t>47</w:t>
            </w:r>
            <w:r w:rsidRPr="00AA26C0">
              <w:rPr>
                <w:sz w:val="28"/>
                <w:szCs w:val="28"/>
              </w:rPr>
              <w:t>,</w:t>
            </w:r>
            <w:r w:rsidRPr="00AA26C0">
              <w:rPr>
                <w:sz w:val="28"/>
                <w:szCs w:val="28"/>
                <w:lang w:val="uk-UA"/>
              </w:rPr>
              <w:t>0</w:t>
            </w:r>
            <w:r w:rsidRPr="00AA26C0">
              <w:rPr>
                <w:sz w:val="28"/>
                <w:szCs w:val="28"/>
              </w:rPr>
              <w:sym w:font="Symbol" w:char="F0B1"/>
            </w:r>
            <w:r w:rsidRPr="00AA26C0">
              <w:rPr>
                <w:sz w:val="28"/>
                <w:szCs w:val="28"/>
              </w:rPr>
              <w:t>1</w:t>
            </w:r>
            <w:r w:rsidRPr="00AA26C0">
              <w:rPr>
                <w:sz w:val="28"/>
                <w:szCs w:val="28"/>
                <w:lang w:val="uk-UA"/>
              </w:rPr>
              <w:t>0</w:t>
            </w:r>
            <w:r w:rsidRPr="00AA26C0">
              <w:rPr>
                <w:sz w:val="28"/>
                <w:szCs w:val="28"/>
              </w:rPr>
              <w:t>,</w:t>
            </w:r>
            <w:r w:rsidRPr="00AA26C0">
              <w:rPr>
                <w:sz w:val="28"/>
                <w:szCs w:val="28"/>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b/>
                <w:sz w:val="28"/>
                <w:szCs w:val="28"/>
              </w:rPr>
              <w:t>12</w:t>
            </w:r>
            <w:r w:rsidRPr="00AA26C0">
              <w:rPr>
                <w:b/>
                <w:sz w:val="28"/>
                <w:szCs w:val="28"/>
                <w:lang w:val="uk-UA"/>
              </w:rPr>
              <w:t>4</w:t>
            </w:r>
            <w:r w:rsidRPr="00AA26C0">
              <w:rPr>
                <w:b/>
                <w:sz w:val="28"/>
                <w:szCs w:val="28"/>
              </w:rPr>
              <w:t>,</w:t>
            </w:r>
            <w:r w:rsidRPr="00AA26C0">
              <w:rPr>
                <w:b/>
                <w:sz w:val="28"/>
                <w:szCs w:val="28"/>
                <w:lang w:val="uk-UA"/>
              </w:rPr>
              <w:t>1</w:t>
            </w:r>
            <w:r w:rsidRPr="00AA26C0">
              <w:rPr>
                <w:sz w:val="28"/>
                <w:szCs w:val="28"/>
              </w:rPr>
              <w:sym w:font="Symbol" w:char="F0B1"/>
            </w:r>
            <w:r w:rsidRPr="00AA26C0">
              <w:rPr>
                <w:sz w:val="28"/>
                <w:szCs w:val="28"/>
                <w:lang w:val="uk-UA"/>
              </w:rPr>
              <w:t>4</w:t>
            </w:r>
            <w:r w:rsidRPr="00AA26C0">
              <w:rPr>
                <w:sz w:val="28"/>
                <w:szCs w:val="28"/>
              </w:rPr>
              <w:t>,</w:t>
            </w:r>
            <w:r w:rsidRPr="00AA26C0">
              <w:rPr>
                <w:sz w:val="28"/>
                <w:szCs w:val="28"/>
                <w:lang w:val="uk-UA"/>
              </w:rPr>
              <w:t>7</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68,7</w:t>
            </w:r>
            <w:r w:rsidRPr="00AA26C0">
              <w:rPr>
                <w:sz w:val="28"/>
                <w:szCs w:val="28"/>
              </w:rPr>
              <w:sym w:font="Symbol" w:char="F0B1"/>
            </w:r>
            <w:r w:rsidRPr="00AA26C0">
              <w:rPr>
                <w:sz w:val="28"/>
                <w:szCs w:val="28"/>
              </w:rPr>
              <w:t>2,</w:t>
            </w:r>
            <w:r w:rsidRPr="00AA26C0">
              <w:rPr>
                <w:sz w:val="28"/>
                <w:szCs w:val="28"/>
                <w:lang w:val="uk-UA"/>
              </w:rPr>
              <w:t>9</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1,98</w:t>
            </w:r>
            <w:r w:rsidRPr="00AA26C0">
              <w:rPr>
                <w:sz w:val="28"/>
                <w:szCs w:val="28"/>
              </w:rPr>
              <w:sym w:font="Symbol" w:char="F0B1"/>
            </w:r>
            <w:r w:rsidRPr="00AA26C0">
              <w:rPr>
                <w:sz w:val="28"/>
                <w:szCs w:val="28"/>
              </w:rPr>
              <w:t>0,02</w:t>
            </w:r>
          </w:p>
        </w:tc>
      </w:tr>
      <w:tr w:rsidR="004B5E3F" w:rsidRPr="00AA26C0" w:rsidTr="000B14BF">
        <w:trPr>
          <w:trHeight w:val="294"/>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jc w:val="center"/>
              <w:rPr>
                <w:bCs/>
                <w:sz w:val="28"/>
                <w:szCs w:val="28"/>
                <w:lang w:val="uk-UA"/>
              </w:rPr>
            </w:pPr>
            <w:r w:rsidRPr="00AA26C0">
              <w:rPr>
                <w:sz w:val="28"/>
                <w:szCs w:val="28"/>
                <w:lang w:val="uk-UA"/>
              </w:rPr>
              <w:t>5</w:t>
            </w:r>
            <w:r w:rsidRPr="00AA26C0">
              <w:rPr>
                <w:sz w:val="28"/>
                <w:szCs w:val="28"/>
                <w:lang w:val="en-US"/>
              </w:rPr>
              <w:t xml:space="preserve"> </w:t>
            </w:r>
            <w:r w:rsidRPr="00AA26C0">
              <w:rPr>
                <w:sz w:val="28"/>
                <w:szCs w:val="28"/>
                <w:lang w:val="uk-UA"/>
              </w:rPr>
              <w:t>гр.(</w:t>
            </w:r>
            <w:r w:rsidRPr="00AA26C0">
              <w:rPr>
                <w:sz w:val="28"/>
                <w:szCs w:val="28"/>
                <w:lang w:val="en-US"/>
              </w:rPr>
              <w:t>n=17</w:t>
            </w:r>
            <w:r w:rsidRPr="00AA26C0">
              <w:rPr>
                <w:sz w:val="28"/>
                <w:szCs w:val="28"/>
                <w:lang w:val="uk-UA"/>
              </w:rPr>
              <w:t>)</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AA26C0" w:rsidRDefault="004B5E3F" w:rsidP="000B14BF">
            <w:pPr>
              <w:jc w:val="center"/>
              <w:rPr>
                <w:sz w:val="28"/>
                <w:szCs w:val="28"/>
                <w:lang w:val="uk-UA"/>
              </w:rPr>
            </w:pPr>
            <w:r w:rsidRPr="00AA26C0">
              <w:rPr>
                <w:sz w:val="28"/>
                <w:szCs w:val="28"/>
                <w:lang w:val="uk-UA"/>
              </w:rPr>
              <w:t>290,3</w:t>
            </w:r>
            <w:r w:rsidRPr="00AA26C0">
              <w:rPr>
                <w:sz w:val="28"/>
                <w:szCs w:val="28"/>
              </w:rPr>
              <w:sym w:font="Symbol" w:char="F0B1"/>
            </w:r>
            <w:r w:rsidRPr="00AA26C0">
              <w:rPr>
                <w:sz w:val="28"/>
                <w:szCs w:val="28"/>
                <w:lang w:val="uk-UA"/>
              </w:rPr>
              <w:t>11</w:t>
            </w:r>
            <w:r w:rsidRPr="00AA26C0">
              <w:rPr>
                <w:sz w:val="28"/>
                <w:szCs w:val="28"/>
                <w:lang w:val="en-US"/>
              </w:rPr>
              <w:t>,</w:t>
            </w:r>
            <w:r w:rsidRPr="00AA26C0">
              <w:rPr>
                <w:sz w:val="28"/>
                <w:szCs w:val="28"/>
                <w:lang w:val="uk-UA"/>
              </w:rPr>
              <w:t>5</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en-US"/>
              </w:rPr>
            </w:pPr>
            <w:r w:rsidRPr="00AA26C0">
              <w:rPr>
                <w:sz w:val="28"/>
                <w:szCs w:val="28"/>
                <w:lang w:val="en-US"/>
              </w:rPr>
              <w:t>13</w:t>
            </w:r>
            <w:r w:rsidRPr="00AA26C0">
              <w:rPr>
                <w:sz w:val="28"/>
                <w:szCs w:val="28"/>
                <w:lang w:val="uk-UA"/>
              </w:rPr>
              <w:t>3</w:t>
            </w:r>
            <w:r w:rsidRPr="00AA26C0">
              <w:rPr>
                <w:sz w:val="28"/>
                <w:szCs w:val="28"/>
                <w:lang w:val="en-US"/>
              </w:rPr>
              <w:t>,</w:t>
            </w:r>
            <w:r w:rsidRPr="00AA26C0">
              <w:rPr>
                <w:sz w:val="28"/>
                <w:szCs w:val="28"/>
                <w:lang w:val="uk-UA"/>
              </w:rPr>
              <w:t>5</w:t>
            </w:r>
            <w:r w:rsidRPr="00AA26C0">
              <w:rPr>
                <w:sz w:val="28"/>
                <w:szCs w:val="28"/>
              </w:rPr>
              <w:sym w:font="Symbol" w:char="F0B1"/>
            </w:r>
            <w:r w:rsidRPr="00AA26C0">
              <w:rPr>
                <w:sz w:val="28"/>
                <w:szCs w:val="28"/>
                <w:lang w:val="uk-UA"/>
              </w:rPr>
              <w:t>5</w:t>
            </w:r>
            <w:r w:rsidRPr="00AA26C0">
              <w:rPr>
                <w:sz w:val="28"/>
                <w:szCs w:val="28"/>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lang w:val="uk-UA"/>
              </w:rPr>
              <w:t>77,0</w:t>
            </w:r>
            <w:r w:rsidRPr="00AA26C0">
              <w:rPr>
                <w:sz w:val="28"/>
                <w:szCs w:val="28"/>
              </w:rPr>
              <w:sym w:font="Symbol" w:char="F0B1"/>
            </w:r>
            <w:r w:rsidRPr="00AA26C0">
              <w:rPr>
                <w:sz w:val="28"/>
                <w:szCs w:val="28"/>
                <w:lang w:val="uk-UA"/>
              </w:rPr>
              <w:t>2,9</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2,15</w:t>
            </w:r>
            <w:r w:rsidRPr="00AA26C0">
              <w:rPr>
                <w:sz w:val="28"/>
                <w:szCs w:val="28"/>
              </w:rPr>
              <w:sym w:font="Symbol" w:char="F0B1"/>
            </w:r>
            <w:r w:rsidRPr="00AA26C0">
              <w:rPr>
                <w:sz w:val="28"/>
                <w:szCs w:val="28"/>
              </w:rPr>
              <w:t>0,03</w:t>
            </w:r>
          </w:p>
        </w:tc>
      </w:tr>
      <w:tr w:rsidR="004B5E3F" w:rsidRPr="00AA26C0" w:rsidTr="000B14BF">
        <w:trPr>
          <w:trHeight w:val="234"/>
        </w:trPr>
        <w:tc>
          <w:tcPr>
            <w:tcW w:w="1587" w:type="dxa"/>
            <w:tcBorders>
              <w:top w:val="single" w:sz="4" w:space="0" w:color="auto"/>
              <w:left w:val="single" w:sz="4" w:space="0" w:color="auto"/>
              <w:bottom w:val="single" w:sz="4" w:space="0" w:color="auto"/>
              <w:right w:val="single" w:sz="4" w:space="0" w:color="auto"/>
            </w:tcBorders>
            <w:shd w:val="clear" w:color="auto" w:fill="auto"/>
            <w:noWrap/>
          </w:tcPr>
          <w:p w:rsidR="004B5E3F" w:rsidRPr="00CC0639" w:rsidRDefault="004B5E3F" w:rsidP="000B14BF">
            <w:pPr>
              <w:rPr>
                <w:sz w:val="28"/>
                <w:szCs w:val="28"/>
                <w:lang w:val="uk-UA"/>
              </w:rPr>
            </w:pPr>
            <w:r w:rsidRPr="00CC0639">
              <w:rPr>
                <w:sz w:val="28"/>
                <w:szCs w:val="28"/>
                <w:lang w:val="uk-UA"/>
              </w:rPr>
              <w:t>р(</w:t>
            </w:r>
            <w:r w:rsidRPr="00CC0639">
              <w:rPr>
                <w:sz w:val="28"/>
                <w:szCs w:val="28"/>
              </w:rPr>
              <w:t>1–2</w:t>
            </w:r>
            <w:r w:rsidRPr="00CC0639">
              <w:rPr>
                <w:sz w:val="28"/>
                <w:szCs w:val="28"/>
                <w:lang w:val="uk-UA"/>
              </w:rPr>
              <w:t>)</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р</w:t>
            </w:r>
            <w:r w:rsidRPr="00CC0639">
              <w:rPr>
                <w:rFonts w:ascii="Arial CYR" w:hAnsi="Arial CYR" w:cs="Arial CYR"/>
                <w:sz w:val="28"/>
                <w:szCs w:val="28"/>
                <w:lang w:val="uk-UA"/>
              </w:rPr>
              <w:t>&lt;</w:t>
            </w:r>
            <w:r w:rsidRPr="00CC0639">
              <w:rPr>
                <w:sz w:val="28"/>
                <w:szCs w:val="28"/>
                <w:lang w:val="uk-UA"/>
              </w:rPr>
              <w:t>0,05</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нд</w:t>
            </w:r>
          </w:p>
        </w:tc>
      </w:tr>
      <w:tr w:rsidR="004B5E3F" w:rsidRPr="00AA26C0" w:rsidTr="000B14BF">
        <w:trPr>
          <w:trHeight w:val="228"/>
        </w:trPr>
        <w:tc>
          <w:tcPr>
            <w:tcW w:w="1587" w:type="dxa"/>
            <w:tcBorders>
              <w:top w:val="single" w:sz="4" w:space="0" w:color="auto"/>
              <w:left w:val="single" w:sz="4" w:space="0" w:color="auto"/>
              <w:bottom w:val="single" w:sz="4" w:space="0" w:color="auto"/>
              <w:right w:val="single" w:sz="4" w:space="0" w:color="auto"/>
            </w:tcBorders>
            <w:shd w:val="clear" w:color="auto" w:fill="auto"/>
            <w:noWrap/>
          </w:tcPr>
          <w:p w:rsidR="004B5E3F" w:rsidRPr="00CC0639" w:rsidRDefault="004B5E3F" w:rsidP="000B14BF">
            <w:pPr>
              <w:rPr>
                <w:sz w:val="28"/>
                <w:szCs w:val="28"/>
                <w:lang w:val="uk-UA"/>
              </w:rPr>
            </w:pPr>
            <w:r w:rsidRPr="00CC0639">
              <w:rPr>
                <w:sz w:val="28"/>
                <w:szCs w:val="28"/>
                <w:lang w:val="uk-UA"/>
              </w:rPr>
              <w:t>р(</w:t>
            </w:r>
            <w:r w:rsidRPr="00CC0639">
              <w:rPr>
                <w:sz w:val="28"/>
                <w:szCs w:val="28"/>
              </w:rPr>
              <w:t>1–3</w:t>
            </w:r>
            <w:r w:rsidRPr="00CC0639">
              <w:rPr>
                <w:sz w:val="28"/>
                <w:szCs w:val="28"/>
                <w:lang w:val="uk-UA"/>
              </w:rPr>
              <w:t>)</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р</w:t>
            </w:r>
            <w:r w:rsidRPr="00CC0639">
              <w:rPr>
                <w:sz w:val="28"/>
                <w:szCs w:val="28"/>
                <w:lang w:val="en-US"/>
              </w:rPr>
              <w:t>&lt;</w:t>
            </w:r>
            <w:r w:rsidRPr="00CC0639">
              <w:rPr>
                <w:sz w:val="28"/>
                <w:szCs w:val="28"/>
              </w:rPr>
              <w:t>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r>
      <w:tr w:rsidR="004B5E3F" w:rsidRPr="00AA26C0" w:rsidTr="000B14BF">
        <w:trPr>
          <w:trHeight w:val="236"/>
        </w:trPr>
        <w:tc>
          <w:tcPr>
            <w:tcW w:w="1587" w:type="dxa"/>
            <w:tcBorders>
              <w:top w:val="single" w:sz="4" w:space="0" w:color="auto"/>
              <w:left w:val="single" w:sz="4" w:space="0" w:color="auto"/>
              <w:bottom w:val="single" w:sz="4" w:space="0" w:color="auto"/>
              <w:right w:val="single" w:sz="4" w:space="0" w:color="auto"/>
            </w:tcBorders>
            <w:shd w:val="clear" w:color="auto" w:fill="auto"/>
            <w:noWrap/>
          </w:tcPr>
          <w:p w:rsidR="004B5E3F" w:rsidRPr="00CC0639" w:rsidRDefault="004B5E3F" w:rsidP="000B14BF">
            <w:pPr>
              <w:rPr>
                <w:sz w:val="28"/>
                <w:szCs w:val="28"/>
                <w:lang w:val="uk-UA"/>
              </w:rPr>
            </w:pPr>
            <w:r w:rsidRPr="00CC0639">
              <w:rPr>
                <w:sz w:val="28"/>
                <w:szCs w:val="28"/>
                <w:lang w:val="uk-UA"/>
              </w:rPr>
              <w:t>р(</w:t>
            </w:r>
            <w:r w:rsidRPr="00CC0639">
              <w:rPr>
                <w:sz w:val="28"/>
                <w:szCs w:val="28"/>
              </w:rPr>
              <w:t>1–4</w:t>
            </w:r>
            <w:r w:rsidRPr="00CC0639">
              <w:rPr>
                <w:sz w:val="28"/>
                <w:szCs w:val="28"/>
                <w:lang w:val="uk-UA"/>
              </w:rPr>
              <w:t>)</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р</w:t>
            </w:r>
            <w:r w:rsidRPr="00CC0639">
              <w:rPr>
                <w:sz w:val="28"/>
                <w:szCs w:val="28"/>
                <w:lang w:val="en-US"/>
              </w:rPr>
              <w:t>&lt;</w:t>
            </w:r>
            <w:r w:rsidRPr="00CC0639">
              <w:rPr>
                <w:sz w:val="28"/>
                <w:szCs w:val="28"/>
              </w:rPr>
              <w:t>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r>
      <w:tr w:rsidR="004B5E3F" w:rsidRPr="00AA26C0" w:rsidTr="000B14BF">
        <w:trPr>
          <w:trHeight w:val="259"/>
        </w:trPr>
        <w:tc>
          <w:tcPr>
            <w:tcW w:w="1587" w:type="dxa"/>
            <w:tcBorders>
              <w:top w:val="single" w:sz="4" w:space="0" w:color="auto"/>
              <w:left w:val="single" w:sz="4" w:space="0" w:color="auto"/>
              <w:bottom w:val="single" w:sz="4" w:space="0" w:color="auto"/>
              <w:right w:val="single" w:sz="4" w:space="0" w:color="auto"/>
            </w:tcBorders>
            <w:shd w:val="clear" w:color="auto" w:fill="auto"/>
            <w:noWrap/>
          </w:tcPr>
          <w:p w:rsidR="004B5E3F" w:rsidRPr="00CC0639" w:rsidRDefault="004B5E3F" w:rsidP="000B14BF">
            <w:pPr>
              <w:rPr>
                <w:sz w:val="28"/>
                <w:szCs w:val="28"/>
                <w:lang w:val="uk-UA"/>
              </w:rPr>
            </w:pPr>
            <w:r w:rsidRPr="00CC0639">
              <w:rPr>
                <w:sz w:val="28"/>
                <w:szCs w:val="28"/>
                <w:lang w:val="uk-UA"/>
              </w:rPr>
              <w:t>р(</w:t>
            </w:r>
            <w:r w:rsidRPr="00CC0639">
              <w:rPr>
                <w:sz w:val="28"/>
                <w:szCs w:val="28"/>
              </w:rPr>
              <w:t>1–5</w:t>
            </w:r>
            <w:r w:rsidRPr="00CC0639">
              <w:rPr>
                <w:sz w:val="28"/>
                <w:szCs w:val="28"/>
                <w:lang w:val="uk-UA"/>
              </w:rPr>
              <w:t>)</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0" w:type="auto"/>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r>
    </w:tbl>
    <w:p w:rsidR="004B5E3F" w:rsidRDefault="004B5E3F" w:rsidP="004B5E3F">
      <w:pPr>
        <w:spacing w:line="340" w:lineRule="exact"/>
        <w:ind w:firstLine="720"/>
        <w:jc w:val="both"/>
        <w:rPr>
          <w:sz w:val="28"/>
          <w:szCs w:val="28"/>
          <w:lang w:val="uk-UA"/>
        </w:rPr>
      </w:pPr>
      <w:r w:rsidRPr="00AA26C0">
        <w:rPr>
          <w:sz w:val="28"/>
          <w:szCs w:val="28"/>
          <w:lang w:val="uk-UA"/>
        </w:rPr>
        <w:t>Показники МЛШ та ІМЛШ</w:t>
      </w:r>
      <w:r w:rsidRPr="00AA26C0">
        <w:rPr>
          <w:sz w:val="28"/>
          <w:szCs w:val="28"/>
          <w:vertAlign w:val="subscript"/>
          <w:lang w:val="uk-UA"/>
        </w:rPr>
        <w:t>2</w:t>
      </w:r>
      <w:r w:rsidRPr="00AA26C0">
        <w:rPr>
          <w:sz w:val="28"/>
          <w:szCs w:val="28"/>
          <w:lang w:val="uk-UA"/>
        </w:rPr>
        <w:t xml:space="preserve"> демонструють однаково високу достовірність різниці при збільшенні ІМТ, а різниця ІМЛШ</w:t>
      </w:r>
      <w:r w:rsidRPr="00AA26C0">
        <w:rPr>
          <w:sz w:val="28"/>
          <w:szCs w:val="28"/>
          <w:vertAlign w:val="subscript"/>
          <w:lang w:val="uk-UA"/>
        </w:rPr>
        <w:t>1</w:t>
      </w:r>
      <w:r w:rsidRPr="00AA26C0">
        <w:rPr>
          <w:sz w:val="28"/>
          <w:szCs w:val="28"/>
          <w:lang w:val="uk-UA"/>
        </w:rPr>
        <w:t xml:space="preserve"> оцінюється з меншою достовірністю у жінок, </w:t>
      </w:r>
      <w:r>
        <w:rPr>
          <w:sz w:val="28"/>
          <w:szCs w:val="28"/>
          <w:lang w:val="uk-UA"/>
        </w:rPr>
        <w:t xml:space="preserve">а </w:t>
      </w:r>
      <w:r w:rsidRPr="00AA26C0">
        <w:rPr>
          <w:sz w:val="28"/>
          <w:szCs w:val="28"/>
          <w:lang w:val="uk-UA"/>
        </w:rPr>
        <w:t>у чоловіків ІМЛШ</w:t>
      </w:r>
      <w:r w:rsidRPr="00AA26C0">
        <w:rPr>
          <w:sz w:val="28"/>
          <w:szCs w:val="28"/>
          <w:vertAlign w:val="subscript"/>
          <w:lang w:val="uk-UA"/>
        </w:rPr>
        <w:t>1</w:t>
      </w:r>
      <w:r w:rsidRPr="00AA26C0">
        <w:rPr>
          <w:sz w:val="28"/>
          <w:szCs w:val="28"/>
          <w:lang w:val="uk-UA"/>
        </w:rPr>
        <w:t xml:space="preserve"> зростає при порівнянні у групах недостовірно. При достовірно більшому середньому значенні МЛШ у жінок 4</w:t>
      </w:r>
      <w:r>
        <w:rPr>
          <w:sz w:val="28"/>
          <w:szCs w:val="28"/>
          <w:lang w:val="uk-UA"/>
        </w:rPr>
        <w:t>-ї</w:t>
      </w:r>
      <w:r w:rsidRPr="00AA26C0">
        <w:rPr>
          <w:sz w:val="28"/>
          <w:szCs w:val="28"/>
          <w:lang w:val="uk-UA"/>
        </w:rPr>
        <w:t xml:space="preserve"> групи, ніж 2</w:t>
      </w:r>
      <w:r>
        <w:rPr>
          <w:sz w:val="28"/>
          <w:szCs w:val="28"/>
          <w:lang w:val="uk-UA"/>
        </w:rPr>
        <w:t>-ї</w:t>
      </w:r>
      <w:r w:rsidRPr="00AA26C0">
        <w:rPr>
          <w:sz w:val="28"/>
          <w:szCs w:val="28"/>
          <w:lang w:val="uk-UA"/>
        </w:rPr>
        <w:t xml:space="preserve"> групи, ІМЛШ</w:t>
      </w:r>
      <w:r w:rsidRPr="00AA26C0">
        <w:rPr>
          <w:sz w:val="28"/>
          <w:szCs w:val="28"/>
          <w:vertAlign w:val="subscript"/>
          <w:lang w:val="uk-UA"/>
        </w:rPr>
        <w:t>1</w:t>
      </w:r>
      <w:r w:rsidRPr="00AA26C0">
        <w:rPr>
          <w:sz w:val="28"/>
          <w:szCs w:val="28"/>
          <w:lang w:val="uk-UA"/>
        </w:rPr>
        <w:t>,</w:t>
      </w:r>
      <w:r>
        <w:rPr>
          <w:sz w:val="28"/>
          <w:szCs w:val="28"/>
          <w:lang w:val="uk-UA"/>
        </w:rPr>
        <w:t xml:space="preserve"> </w:t>
      </w:r>
      <w:r w:rsidRPr="00AA26C0">
        <w:rPr>
          <w:sz w:val="28"/>
          <w:szCs w:val="28"/>
          <w:lang w:val="uk-UA"/>
        </w:rPr>
        <w:t>у групах має однакове числове значення (124 г/м</w:t>
      </w:r>
      <w:r w:rsidRPr="00AA26C0">
        <w:rPr>
          <w:sz w:val="28"/>
          <w:szCs w:val="28"/>
          <w:vertAlign w:val="superscript"/>
          <w:lang w:val="uk-UA"/>
        </w:rPr>
        <w:t>2</w:t>
      </w:r>
      <w:r w:rsidRPr="00AA26C0">
        <w:rPr>
          <w:sz w:val="28"/>
          <w:szCs w:val="28"/>
          <w:lang w:val="uk-UA"/>
        </w:rPr>
        <w:t>). Значення ППТ, що знаходиться у знаменнику формули МЛШ / ППТ, у 4 групі достовірно більше за значення у 2 групі (</w:t>
      </w:r>
      <w:r w:rsidRPr="00AA26C0">
        <w:rPr>
          <w:sz w:val="28"/>
          <w:szCs w:val="28"/>
          <w:lang w:val="en-US"/>
        </w:rPr>
        <w:t>p</w:t>
      </w:r>
      <w:r w:rsidRPr="00AA26C0">
        <w:rPr>
          <w:sz w:val="28"/>
          <w:szCs w:val="28"/>
        </w:rPr>
        <w:t>&lt;0,001)</w:t>
      </w:r>
      <w:r>
        <w:rPr>
          <w:sz w:val="28"/>
          <w:szCs w:val="28"/>
          <w:lang w:val="uk-UA"/>
        </w:rPr>
        <w:t>. Аналогічно у 3-й та 5-й</w:t>
      </w:r>
      <w:r w:rsidRPr="00AA26C0">
        <w:rPr>
          <w:sz w:val="28"/>
          <w:szCs w:val="28"/>
          <w:lang w:val="uk-UA"/>
        </w:rPr>
        <w:t xml:space="preserve"> групах чолові</w:t>
      </w:r>
      <w:r>
        <w:rPr>
          <w:sz w:val="28"/>
          <w:szCs w:val="28"/>
          <w:lang w:val="uk-UA"/>
        </w:rPr>
        <w:t xml:space="preserve">ків </w:t>
      </w:r>
      <w:r w:rsidRPr="00AA26C0">
        <w:rPr>
          <w:sz w:val="28"/>
          <w:szCs w:val="28"/>
          <w:lang w:val="uk-UA"/>
        </w:rPr>
        <w:t>помічено однакові середні значення ІМЛШ</w:t>
      </w:r>
      <w:r w:rsidRPr="00AA26C0">
        <w:rPr>
          <w:sz w:val="28"/>
          <w:szCs w:val="28"/>
          <w:vertAlign w:val="subscript"/>
          <w:lang w:val="uk-UA"/>
        </w:rPr>
        <w:t>1</w:t>
      </w:r>
      <w:r w:rsidRPr="00AA26C0">
        <w:rPr>
          <w:sz w:val="28"/>
          <w:szCs w:val="28"/>
          <w:lang w:val="uk-UA"/>
        </w:rPr>
        <w:t xml:space="preserve"> (133 г/м</w:t>
      </w:r>
      <w:r w:rsidRPr="00AA26C0">
        <w:rPr>
          <w:sz w:val="28"/>
          <w:szCs w:val="28"/>
          <w:vertAlign w:val="superscript"/>
          <w:lang w:val="uk-UA"/>
        </w:rPr>
        <w:t>2</w:t>
      </w:r>
      <w:r w:rsidRPr="00AA26C0">
        <w:rPr>
          <w:sz w:val="28"/>
          <w:szCs w:val="28"/>
          <w:lang w:val="uk-UA"/>
        </w:rPr>
        <w:t>) та достовірно більше за значення ППТ (</w:t>
      </w:r>
      <w:r w:rsidRPr="00AA26C0">
        <w:rPr>
          <w:sz w:val="28"/>
          <w:szCs w:val="28"/>
          <w:lang w:val="en-US"/>
        </w:rPr>
        <w:t>p</w:t>
      </w:r>
      <w:r w:rsidRPr="00AA26C0">
        <w:rPr>
          <w:sz w:val="28"/>
          <w:szCs w:val="28"/>
        </w:rPr>
        <w:t>&lt;0,001)</w:t>
      </w:r>
      <w:r>
        <w:rPr>
          <w:sz w:val="28"/>
          <w:szCs w:val="28"/>
          <w:lang w:val="uk-UA"/>
        </w:rPr>
        <w:t>.</w:t>
      </w:r>
      <w:r w:rsidRPr="00AA26C0">
        <w:rPr>
          <w:sz w:val="28"/>
          <w:szCs w:val="28"/>
          <w:lang w:val="uk-UA"/>
        </w:rPr>
        <w:t xml:space="preserve"> </w:t>
      </w:r>
    </w:p>
    <w:p w:rsidR="004B5E3F" w:rsidRPr="00AA26C0" w:rsidRDefault="004B5E3F" w:rsidP="004B5E3F">
      <w:pPr>
        <w:ind w:firstLine="900"/>
        <w:jc w:val="right"/>
        <w:rPr>
          <w:sz w:val="28"/>
          <w:szCs w:val="28"/>
          <w:lang w:val="uk-UA"/>
        </w:rPr>
      </w:pPr>
      <w:r>
        <w:rPr>
          <w:sz w:val="28"/>
          <w:szCs w:val="28"/>
          <w:lang w:val="uk-UA"/>
        </w:rPr>
        <w:t>Таблиця 3</w:t>
      </w:r>
    </w:p>
    <w:p w:rsidR="004B5E3F" w:rsidRPr="00AA26C0" w:rsidRDefault="004B5E3F" w:rsidP="004B5E3F">
      <w:pPr>
        <w:ind w:left="-540" w:firstLine="900"/>
        <w:jc w:val="center"/>
        <w:rPr>
          <w:sz w:val="28"/>
          <w:szCs w:val="28"/>
          <w:lang w:val="uk-UA"/>
        </w:rPr>
      </w:pPr>
      <w:r w:rsidRPr="00AA26C0">
        <w:rPr>
          <w:sz w:val="28"/>
          <w:szCs w:val="28"/>
          <w:lang w:val="uk-UA"/>
        </w:rPr>
        <w:t xml:space="preserve">Середні показники характеристик МЛШ та ППТ в залежності від ІМТ </w:t>
      </w:r>
      <w:r>
        <w:rPr>
          <w:sz w:val="28"/>
          <w:szCs w:val="28"/>
          <w:lang w:val="uk-UA"/>
        </w:rPr>
        <w:t>у чоловіків</w:t>
      </w:r>
      <w:r w:rsidRPr="00AA26C0">
        <w:rPr>
          <w:sz w:val="28"/>
          <w:szCs w:val="28"/>
          <w:lang w:val="uk-UA"/>
        </w:rPr>
        <w:t>(</w:t>
      </w:r>
      <w:r w:rsidRPr="00AA26C0">
        <w:rPr>
          <w:sz w:val="28"/>
          <w:szCs w:val="28"/>
          <w:lang w:val="en-US"/>
        </w:rPr>
        <w:t>M</w:t>
      </w:r>
      <w:r w:rsidRPr="00AA26C0">
        <w:rPr>
          <w:sz w:val="28"/>
          <w:szCs w:val="28"/>
        </w:rPr>
        <w:sym w:font="Symbol" w:char="F0B1"/>
      </w:r>
      <w:r w:rsidRPr="00AA26C0">
        <w:rPr>
          <w:sz w:val="28"/>
          <w:szCs w:val="28"/>
          <w:lang w:val="en-US"/>
        </w:rPr>
        <w:t>m</w:t>
      </w:r>
      <w:r w:rsidRPr="00AA26C0">
        <w:rPr>
          <w:sz w:val="28"/>
          <w:szCs w:val="28"/>
        </w:rPr>
        <w:t>)</w:t>
      </w:r>
    </w:p>
    <w:tbl>
      <w:tblPr>
        <w:tblW w:w="8650" w:type="dxa"/>
        <w:tblInd w:w="108" w:type="dxa"/>
        <w:tblLayout w:type="fixed"/>
        <w:tblLook w:val="0000" w:firstRow="0" w:lastRow="0" w:firstColumn="0" w:lastColumn="0" w:noHBand="0" w:noVBand="0"/>
      </w:tblPr>
      <w:tblGrid>
        <w:gridCol w:w="1620"/>
        <w:gridCol w:w="1630"/>
        <w:gridCol w:w="1800"/>
        <w:gridCol w:w="1980"/>
        <w:gridCol w:w="1620"/>
      </w:tblGrid>
      <w:tr w:rsidR="004B5E3F" w:rsidRPr="00AA26C0" w:rsidTr="000B14BF">
        <w:trPr>
          <w:trHeight w:val="255"/>
        </w:trPr>
        <w:tc>
          <w:tcPr>
            <w:tcW w:w="162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Pr>
                <w:sz w:val="28"/>
                <w:szCs w:val="28"/>
                <w:lang w:val="uk-UA"/>
              </w:rPr>
              <w:t>Показ</w:t>
            </w:r>
            <w:r w:rsidRPr="00AA26C0">
              <w:rPr>
                <w:sz w:val="28"/>
                <w:szCs w:val="28"/>
                <w:lang w:val="uk-UA"/>
              </w:rPr>
              <w:t>ники</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bCs/>
                <w:sz w:val="28"/>
                <w:szCs w:val="28"/>
              </w:rPr>
            </w:pPr>
            <w:r w:rsidRPr="00AA26C0">
              <w:rPr>
                <w:bCs/>
                <w:sz w:val="28"/>
                <w:szCs w:val="28"/>
              </w:rPr>
              <w:t>M</w:t>
            </w:r>
            <w:r w:rsidRPr="00AA26C0">
              <w:rPr>
                <w:bCs/>
                <w:sz w:val="28"/>
                <w:szCs w:val="28"/>
                <w:lang w:val="uk-UA"/>
              </w:rPr>
              <w:t>ЛШ,</w:t>
            </w:r>
            <w:r>
              <w:rPr>
                <w:bCs/>
                <w:sz w:val="28"/>
                <w:szCs w:val="28"/>
                <w:lang w:val="uk-UA"/>
              </w:rPr>
              <w:t xml:space="preserve"> </w:t>
            </w:r>
            <w:r w:rsidRPr="00AA26C0">
              <w:rPr>
                <w:bCs/>
                <w:sz w:val="28"/>
                <w:szCs w:val="28"/>
                <w:lang w:val="uk-UA"/>
              </w:rPr>
              <w:t>г</w:t>
            </w:r>
          </w:p>
        </w:tc>
        <w:tc>
          <w:tcPr>
            <w:tcW w:w="180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bCs/>
                <w:sz w:val="28"/>
                <w:szCs w:val="28"/>
                <w:lang w:val="uk-UA"/>
              </w:rPr>
            </w:pPr>
            <w:r w:rsidRPr="00AA26C0">
              <w:rPr>
                <w:bCs/>
                <w:sz w:val="28"/>
                <w:szCs w:val="28"/>
                <w:lang w:val="uk-UA"/>
              </w:rPr>
              <w:t>І</w:t>
            </w:r>
            <w:r w:rsidRPr="00AA26C0">
              <w:rPr>
                <w:bCs/>
                <w:sz w:val="28"/>
                <w:szCs w:val="28"/>
              </w:rPr>
              <w:t>M</w:t>
            </w:r>
            <w:r w:rsidRPr="00AA26C0">
              <w:rPr>
                <w:bCs/>
                <w:sz w:val="28"/>
                <w:szCs w:val="28"/>
                <w:lang w:val="uk-UA"/>
              </w:rPr>
              <w:t>ЛШ</w:t>
            </w:r>
            <w:r w:rsidRPr="00AA26C0">
              <w:rPr>
                <w:bCs/>
                <w:sz w:val="28"/>
                <w:szCs w:val="28"/>
                <w:vertAlign w:val="subscript"/>
                <w:lang w:val="uk-UA"/>
              </w:rPr>
              <w:t>1</w:t>
            </w:r>
            <w:r w:rsidRPr="00AA26C0">
              <w:rPr>
                <w:bCs/>
                <w:sz w:val="28"/>
                <w:szCs w:val="28"/>
                <w:lang w:val="uk-UA"/>
              </w:rPr>
              <w:t>,г/м</w:t>
            </w:r>
            <w:r w:rsidRPr="00AA26C0">
              <w:rPr>
                <w:bCs/>
                <w:sz w:val="28"/>
                <w:szCs w:val="28"/>
                <w:vertAlign w:val="superscript"/>
                <w:lang w:val="uk-UA"/>
              </w:rPr>
              <w:t>2</w:t>
            </w:r>
          </w:p>
        </w:tc>
        <w:tc>
          <w:tcPr>
            <w:tcW w:w="198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bCs/>
                <w:sz w:val="28"/>
                <w:szCs w:val="28"/>
              </w:rPr>
            </w:pPr>
            <w:r w:rsidRPr="00AA26C0">
              <w:rPr>
                <w:bCs/>
                <w:sz w:val="28"/>
                <w:szCs w:val="28"/>
                <w:lang w:val="uk-UA"/>
              </w:rPr>
              <w:t>І</w:t>
            </w:r>
            <w:r w:rsidRPr="00AA26C0">
              <w:rPr>
                <w:bCs/>
                <w:sz w:val="28"/>
                <w:szCs w:val="28"/>
              </w:rPr>
              <w:t>M</w:t>
            </w:r>
            <w:r w:rsidRPr="00AA26C0">
              <w:rPr>
                <w:bCs/>
                <w:sz w:val="28"/>
                <w:szCs w:val="28"/>
                <w:lang w:val="uk-UA"/>
              </w:rPr>
              <w:t>ЛШ</w:t>
            </w:r>
            <w:r w:rsidRPr="00AA26C0">
              <w:rPr>
                <w:bCs/>
                <w:sz w:val="28"/>
                <w:szCs w:val="28"/>
                <w:vertAlign w:val="subscript"/>
                <w:lang w:val="uk-UA"/>
              </w:rPr>
              <w:t>2</w:t>
            </w:r>
            <w:r>
              <w:rPr>
                <w:bCs/>
                <w:sz w:val="28"/>
                <w:szCs w:val="28"/>
                <w:lang w:val="uk-UA"/>
              </w:rPr>
              <w:t>,г/м</w:t>
            </w:r>
            <w:r w:rsidRPr="00AA26C0">
              <w:rPr>
                <w:bCs/>
                <w:sz w:val="28"/>
                <w:szCs w:val="28"/>
                <w:vertAlign w:val="superscript"/>
                <w:lang w:val="uk-UA"/>
              </w:rPr>
              <w:t>2,7</w:t>
            </w:r>
          </w:p>
        </w:tc>
        <w:tc>
          <w:tcPr>
            <w:tcW w:w="162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bCs/>
                <w:sz w:val="28"/>
                <w:szCs w:val="28"/>
                <w:lang w:val="uk-UA"/>
              </w:rPr>
            </w:pPr>
            <w:r w:rsidRPr="00AA26C0">
              <w:rPr>
                <w:bCs/>
                <w:sz w:val="28"/>
                <w:szCs w:val="28"/>
                <w:lang w:val="uk-UA"/>
              </w:rPr>
              <w:t>ППТ,м</w:t>
            </w:r>
            <w:r w:rsidRPr="00AA26C0">
              <w:rPr>
                <w:bCs/>
                <w:sz w:val="28"/>
                <w:szCs w:val="28"/>
                <w:vertAlign w:val="superscript"/>
                <w:lang w:val="uk-UA"/>
              </w:rPr>
              <w:t>2</w:t>
            </w:r>
          </w:p>
        </w:tc>
      </w:tr>
      <w:tr w:rsidR="004B5E3F" w:rsidRPr="00AA26C0" w:rsidTr="000B14BF">
        <w:trPr>
          <w:trHeight w:val="346"/>
        </w:trPr>
        <w:tc>
          <w:tcPr>
            <w:tcW w:w="162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sz w:val="28"/>
                <w:szCs w:val="28"/>
              </w:rPr>
            </w:pPr>
            <w:r w:rsidRPr="00AA26C0">
              <w:rPr>
                <w:sz w:val="28"/>
                <w:szCs w:val="28"/>
              </w:rPr>
              <w:t xml:space="preserve">1 </w:t>
            </w:r>
            <w:r w:rsidRPr="00AA26C0">
              <w:rPr>
                <w:sz w:val="28"/>
                <w:szCs w:val="28"/>
                <w:lang w:val="uk-UA"/>
              </w:rPr>
              <w:t>гр.</w:t>
            </w:r>
            <w:r w:rsidRPr="00AA26C0">
              <w:rPr>
                <w:sz w:val="28"/>
                <w:szCs w:val="28"/>
              </w:rPr>
              <w:t xml:space="preserve"> (n=11)</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2</w:t>
            </w:r>
            <w:r w:rsidRPr="00AA26C0">
              <w:rPr>
                <w:sz w:val="28"/>
                <w:szCs w:val="28"/>
                <w:lang w:val="uk-UA"/>
              </w:rPr>
              <w:t>3</w:t>
            </w:r>
            <w:r w:rsidRPr="00AA26C0">
              <w:rPr>
                <w:sz w:val="28"/>
                <w:szCs w:val="28"/>
              </w:rPr>
              <w:t>2,</w:t>
            </w:r>
            <w:r w:rsidRPr="00AA26C0">
              <w:rPr>
                <w:sz w:val="28"/>
                <w:szCs w:val="28"/>
                <w:lang w:val="uk-UA"/>
              </w:rPr>
              <w:t>4</w:t>
            </w:r>
            <w:r w:rsidRPr="00AA26C0">
              <w:rPr>
                <w:sz w:val="28"/>
                <w:szCs w:val="28"/>
              </w:rPr>
              <w:sym w:font="Symbol" w:char="F0B1"/>
            </w:r>
            <w:r w:rsidRPr="00AA26C0">
              <w:rPr>
                <w:sz w:val="28"/>
                <w:szCs w:val="28"/>
              </w:rPr>
              <w:t>1</w:t>
            </w:r>
            <w:r w:rsidRPr="00AA26C0">
              <w:rPr>
                <w:sz w:val="28"/>
                <w:szCs w:val="28"/>
                <w:lang w:val="uk-UA"/>
              </w:rPr>
              <w:t>3</w:t>
            </w:r>
            <w:r w:rsidRPr="00AA26C0">
              <w:rPr>
                <w:sz w:val="28"/>
                <w:szCs w:val="28"/>
              </w:rPr>
              <w:t>,</w:t>
            </w:r>
            <w:r w:rsidRPr="00AA26C0">
              <w:rPr>
                <w:sz w:val="28"/>
                <w:szCs w:val="28"/>
                <w:lang w:val="uk-UA"/>
              </w:rPr>
              <w:t>9</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1</w:t>
            </w:r>
            <w:r w:rsidRPr="00AA26C0">
              <w:rPr>
                <w:sz w:val="28"/>
                <w:szCs w:val="28"/>
                <w:lang w:val="uk-UA"/>
              </w:rPr>
              <w:t>21</w:t>
            </w:r>
            <w:r w:rsidRPr="00AA26C0">
              <w:rPr>
                <w:sz w:val="28"/>
                <w:szCs w:val="28"/>
              </w:rPr>
              <w:t>,</w:t>
            </w:r>
            <w:r w:rsidRPr="00AA26C0">
              <w:rPr>
                <w:sz w:val="28"/>
                <w:szCs w:val="28"/>
                <w:lang w:val="uk-UA"/>
              </w:rPr>
              <w:t>0</w:t>
            </w:r>
            <w:r w:rsidRPr="00AA26C0">
              <w:rPr>
                <w:sz w:val="28"/>
                <w:szCs w:val="28"/>
              </w:rPr>
              <w:sym w:font="Symbol" w:char="F0B1"/>
            </w:r>
            <w:r w:rsidRPr="00AA26C0">
              <w:rPr>
                <w:sz w:val="28"/>
                <w:szCs w:val="28"/>
                <w:lang w:val="uk-UA"/>
              </w:rPr>
              <w:t>7</w:t>
            </w:r>
            <w:r w:rsidRPr="00AA26C0">
              <w:rPr>
                <w:sz w:val="28"/>
                <w:szCs w:val="28"/>
              </w:rPr>
              <w:t>,</w:t>
            </w:r>
            <w:r w:rsidRPr="00AA26C0">
              <w:rPr>
                <w:sz w:val="28"/>
                <w:szCs w:val="28"/>
                <w:lang w:val="uk-UA"/>
              </w:rPr>
              <w:t>6</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lang w:val="uk-UA"/>
              </w:rPr>
              <w:t>50</w:t>
            </w:r>
            <w:r w:rsidRPr="00AA26C0">
              <w:rPr>
                <w:sz w:val="28"/>
                <w:szCs w:val="28"/>
              </w:rPr>
              <w:t>,</w:t>
            </w:r>
            <w:r w:rsidRPr="00AA26C0">
              <w:rPr>
                <w:sz w:val="28"/>
                <w:szCs w:val="28"/>
                <w:lang w:val="uk-UA"/>
              </w:rPr>
              <w:t>4</w:t>
            </w:r>
            <w:r w:rsidRPr="00AA26C0">
              <w:rPr>
                <w:sz w:val="28"/>
                <w:szCs w:val="28"/>
              </w:rPr>
              <w:sym w:font="Symbol" w:char="F0B1"/>
            </w:r>
            <w:r w:rsidRPr="00AA26C0">
              <w:rPr>
                <w:sz w:val="28"/>
                <w:szCs w:val="28"/>
                <w:lang w:val="uk-UA"/>
              </w:rPr>
              <w:t>3</w:t>
            </w:r>
            <w:r w:rsidRPr="00AA26C0">
              <w:rPr>
                <w:sz w:val="28"/>
                <w:szCs w:val="28"/>
              </w:rPr>
              <w:t>,</w:t>
            </w:r>
            <w:r w:rsidRPr="00AA26C0">
              <w:rPr>
                <w:sz w:val="28"/>
                <w:szCs w:val="28"/>
                <w:lang w:val="uk-UA"/>
              </w:rPr>
              <w:t>3</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1,90</w:t>
            </w:r>
            <w:r w:rsidRPr="00AA26C0">
              <w:rPr>
                <w:sz w:val="28"/>
                <w:szCs w:val="28"/>
              </w:rPr>
              <w:sym w:font="Symbol" w:char="F0B1"/>
            </w:r>
            <w:r w:rsidRPr="00AA26C0">
              <w:rPr>
                <w:sz w:val="28"/>
                <w:szCs w:val="28"/>
              </w:rPr>
              <w:t>0,04</w:t>
            </w:r>
          </w:p>
        </w:tc>
      </w:tr>
      <w:tr w:rsidR="004B5E3F" w:rsidRPr="00AA26C0" w:rsidTr="000B14BF">
        <w:trPr>
          <w:trHeight w:val="369"/>
        </w:trPr>
        <w:tc>
          <w:tcPr>
            <w:tcW w:w="162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sz w:val="28"/>
                <w:szCs w:val="28"/>
                <w:lang w:val="uk-UA"/>
              </w:rPr>
            </w:pPr>
            <w:r w:rsidRPr="00AA26C0">
              <w:rPr>
                <w:sz w:val="28"/>
                <w:szCs w:val="28"/>
                <w:lang w:val="uk-UA"/>
              </w:rPr>
              <w:t>2 гр.(</w:t>
            </w:r>
            <w:r w:rsidRPr="00AA26C0">
              <w:rPr>
                <w:sz w:val="28"/>
                <w:szCs w:val="28"/>
              </w:rPr>
              <w:t>n</w:t>
            </w:r>
            <w:r w:rsidRPr="00AA26C0">
              <w:rPr>
                <w:sz w:val="28"/>
                <w:szCs w:val="28"/>
                <w:lang w:val="uk-UA"/>
              </w:rPr>
              <w:t>=13)</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259,3</w:t>
            </w:r>
            <w:r w:rsidRPr="00AA26C0">
              <w:rPr>
                <w:sz w:val="28"/>
                <w:szCs w:val="28"/>
              </w:rPr>
              <w:sym w:font="Symbol" w:char="F0B1"/>
            </w:r>
            <w:r w:rsidRPr="00AA26C0">
              <w:rPr>
                <w:sz w:val="28"/>
                <w:szCs w:val="28"/>
              </w:rPr>
              <w:t>16,</w:t>
            </w:r>
            <w:r w:rsidRPr="00AA26C0">
              <w:rPr>
                <w:sz w:val="28"/>
                <w:szCs w:val="28"/>
                <w:lang w:val="uk-UA"/>
              </w:rPr>
              <w:t>3</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130,</w:t>
            </w:r>
            <w:r w:rsidRPr="00AA26C0">
              <w:rPr>
                <w:sz w:val="28"/>
                <w:szCs w:val="28"/>
                <w:lang w:val="uk-UA"/>
              </w:rPr>
              <w:t>8</w:t>
            </w:r>
            <w:r w:rsidRPr="00AA26C0">
              <w:rPr>
                <w:sz w:val="28"/>
                <w:szCs w:val="28"/>
              </w:rPr>
              <w:sym w:font="Symbol" w:char="F0B1"/>
            </w:r>
            <w:r w:rsidRPr="00AA26C0">
              <w:rPr>
                <w:sz w:val="28"/>
                <w:szCs w:val="28"/>
              </w:rPr>
              <w:t>8,</w:t>
            </w:r>
            <w:r w:rsidRPr="00AA26C0">
              <w:rPr>
                <w:sz w:val="28"/>
                <w:szCs w:val="28"/>
                <w:lang w:val="uk-UA"/>
              </w:rPr>
              <w:t>2</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58,8</w:t>
            </w:r>
            <w:r w:rsidRPr="00AA26C0">
              <w:rPr>
                <w:sz w:val="28"/>
                <w:szCs w:val="28"/>
              </w:rPr>
              <w:sym w:font="Symbol" w:char="F0B1"/>
            </w:r>
            <w:r w:rsidRPr="00AA26C0">
              <w:rPr>
                <w:sz w:val="28"/>
                <w:szCs w:val="28"/>
              </w:rPr>
              <w:t>4,</w:t>
            </w:r>
            <w:r w:rsidRPr="00AA26C0">
              <w:rPr>
                <w:sz w:val="28"/>
                <w:szCs w:val="28"/>
                <w:lang w:val="uk-UA"/>
              </w:rPr>
              <w:t>1</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1,99</w:t>
            </w:r>
            <w:r w:rsidRPr="00AA26C0">
              <w:rPr>
                <w:sz w:val="28"/>
                <w:szCs w:val="28"/>
              </w:rPr>
              <w:sym w:font="Symbol" w:char="F0B1"/>
            </w:r>
            <w:r w:rsidRPr="00AA26C0">
              <w:rPr>
                <w:sz w:val="28"/>
                <w:szCs w:val="28"/>
              </w:rPr>
              <w:t>0,03</w:t>
            </w:r>
          </w:p>
        </w:tc>
      </w:tr>
      <w:tr w:rsidR="004B5E3F" w:rsidRPr="00AA26C0" w:rsidTr="000B14BF">
        <w:trPr>
          <w:trHeight w:val="337"/>
        </w:trPr>
        <w:tc>
          <w:tcPr>
            <w:tcW w:w="162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sz w:val="28"/>
                <w:szCs w:val="28"/>
                <w:lang w:val="uk-UA"/>
              </w:rPr>
            </w:pPr>
            <w:r w:rsidRPr="00AA26C0">
              <w:rPr>
                <w:sz w:val="28"/>
                <w:szCs w:val="28"/>
                <w:lang w:val="uk-UA"/>
              </w:rPr>
              <w:t>3 гр.(</w:t>
            </w:r>
            <w:r w:rsidRPr="00AA26C0">
              <w:rPr>
                <w:sz w:val="28"/>
                <w:szCs w:val="28"/>
              </w:rPr>
              <w:t>n</w:t>
            </w:r>
            <w:r w:rsidRPr="00AA26C0">
              <w:rPr>
                <w:sz w:val="28"/>
                <w:szCs w:val="28"/>
                <w:lang w:val="uk-UA"/>
              </w:rPr>
              <w:t>=26)</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28</w:t>
            </w:r>
            <w:r w:rsidRPr="00AA26C0">
              <w:rPr>
                <w:sz w:val="28"/>
                <w:szCs w:val="28"/>
                <w:lang w:val="uk-UA"/>
              </w:rPr>
              <w:t>3</w:t>
            </w:r>
            <w:r w:rsidRPr="00AA26C0">
              <w:rPr>
                <w:sz w:val="28"/>
                <w:szCs w:val="28"/>
              </w:rPr>
              <w:t>,9</w:t>
            </w:r>
            <w:r w:rsidRPr="00AA26C0">
              <w:rPr>
                <w:sz w:val="28"/>
                <w:szCs w:val="28"/>
              </w:rPr>
              <w:sym w:font="Symbol" w:char="F0B1"/>
            </w:r>
            <w:r w:rsidRPr="00AA26C0">
              <w:rPr>
                <w:sz w:val="28"/>
                <w:szCs w:val="28"/>
              </w:rPr>
              <w:t>1</w:t>
            </w:r>
            <w:r w:rsidRPr="00AA26C0">
              <w:rPr>
                <w:sz w:val="28"/>
                <w:szCs w:val="28"/>
                <w:lang w:val="uk-UA"/>
              </w:rPr>
              <w:t>2</w:t>
            </w:r>
            <w:r w:rsidRPr="00AA26C0">
              <w:rPr>
                <w:sz w:val="28"/>
                <w:szCs w:val="28"/>
              </w:rPr>
              <w:t>,</w:t>
            </w:r>
            <w:r w:rsidRPr="00AA26C0">
              <w:rPr>
                <w:sz w:val="28"/>
                <w:szCs w:val="28"/>
                <w:lang w:val="uk-UA"/>
              </w:rPr>
              <w:t>8</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b/>
                <w:sz w:val="28"/>
                <w:szCs w:val="28"/>
              </w:rPr>
              <w:t>132,</w:t>
            </w:r>
            <w:r w:rsidRPr="00AA26C0">
              <w:rPr>
                <w:b/>
                <w:sz w:val="28"/>
                <w:szCs w:val="28"/>
                <w:lang w:val="uk-UA"/>
              </w:rPr>
              <w:t>8</w:t>
            </w:r>
            <w:r w:rsidRPr="00AA26C0">
              <w:rPr>
                <w:sz w:val="28"/>
                <w:szCs w:val="28"/>
              </w:rPr>
              <w:sym w:font="Symbol" w:char="F0B1"/>
            </w:r>
            <w:r w:rsidRPr="00AA26C0">
              <w:rPr>
                <w:sz w:val="28"/>
                <w:szCs w:val="28"/>
              </w:rPr>
              <w:t>5,</w:t>
            </w:r>
            <w:r w:rsidRPr="00AA26C0">
              <w:rPr>
                <w:sz w:val="28"/>
                <w:szCs w:val="28"/>
                <w:lang w:val="uk-UA"/>
              </w:rPr>
              <w:t>8</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uk-UA"/>
              </w:rPr>
            </w:pPr>
            <w:r w:rsidRPr="00AA26C0">
              <w:rPr>
                <w:sz w:val="28"/>
                <w:szCs w:val="28"/>
              </w:rPr>
              <w:t>62,</w:t>
            </w:r>
            <w:r w:rsidRPr="00AA26C0">
              <w:rPr>
                <w:sz w:val="28"/>
                <w:szCs w:val="28"/>
                <w:lang w:val="uk-UA"/>
              </w:rPr>
              <w:t>6</w:t>
            </w:r>
            <w:r w:rsidRPr="00AA26C0">
              <w:rPr>
                <w:sz w:val="28"/>
                <w:szCs w:val="28"/>
              </w:rPr>
              <w:sym w:font="Symbol" w:char="F0B1"/>
            </w:r>
            <w:r w:rsidRPr="00AA26C0">
              <w:rPr>
                <w:sz w:val="28"/>
                <w:szCs w:val="28"/>
              </w:rPr>
              <w:t>2,</w:t>
            </w:r>
            <w:r w:rsidRPr="00AA26C0">
              <w:rPr>
                <w:sz w:val="28"/>
                <w:szCs w:val="28"/>
                <w:lang w:val="uk-UA"/>
              </w:rPr>
              <w:t>8</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2,15</w:t>
            </w:r>
            <w:r w:rsidRPr="00AA26C0">
              <w:rPr>
                <w:sz w:val="28"/>
                <w:szCs w:val="28"/>
              </w:rPr>
              <w:sym w:font="Symbol" w:char="F0B1"/>
            </w:r>
            <w:r w:rsidRPr="00AA26C0">
              <w:rPr>
                <w:sz w:val="28"/>
                <w:szCs w:val="28"/>
              </w:rPr>
              <w:t>0,02</w:t>
            </w:r>
          </w:p>
        </w:tc>
      </w:tr>
      <w:tr w:rsidR="004B5E3F" w:rsidRPr="00AA26C0" w:rsidTr="000B14BF">
        <w:trPr>
          <w:trHeight w:val="348"/>
        </w:trPr>
        <w:tc>
          <w:tcPr>
            <w:tcW w:w="162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sz w:val="28"/>
                <w:szCs w:val="28"/>
                <w:lang w:val="en-US"/>
              </w:rPr>
            </w:pPr>
            <w:r w:rsidRPr="00AA26C0">
              <w:rPr>
                <w:sz w:val="28"/>
                <w:szCs w:val="28"/>
              </w:rPr>
              <w:t xml:space="preserve">4 </w:t>
            </w:r>
            <w:r w:rsidRPr="00AA26C0">
              <w:rPr>
                <w:sz w:val="28"/>
                <w:szCs w:val="28"/>
                <w:lang w:val="uk-UA"/>
              </w:rPr>
              <w:t>гр.</w:t>
            </w:r>
            <w:r w:rsidRPr="00AA26C0">
              <w:rPr>
                <w:sz w:val="28"/>
                <w:szCs w:val="28"/>
                <w:lang w:val="en-US"/>
              </w:rPr>
              <w:t>(n=1</w:t>
            </w:r>
            <w:r w:rsidRPr="00AA26C0">
              <w:rPr>
                <w:sz w:val="28"/>
                <w:szCs w:val="28"/>
                <w:lang w:val="uk-UA"/>
              </w:rPr>
              <w:t>6</w:t>
            </w:r>
            <w:r w:rsidRPr="00AA26C0">
              <w:rPr>
                <w:sz w:val="28"/>
                <w:szCs w:val="28"/>
                <w:lang w:val="en-US"/>
              </w:rPr>
              <w:t>)</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lang w:val="en-US"/>
              </w:rPr>
            </w:pPr>
            <w:r w:rsidRPr="00AA26C0">
              <w:rPr>
                <w:sz w:val="28"/>
                <w:szCs w:val="28"/>
              </w:rPr>
              <w:t>312,4</w:t>
            </w:r>
            <w:r w:rsidRPr="00AA26C0">
              <w:rPr>
                <w:sz w:val="28"/>
                <w:szCs w:val="28"/>
              </w:rPr>
              <w:sym w:font="Symbol" w:char="F0B1"/>
            </w:r>
            <w:r w:rsidRPr="00AA26C0">
              <w:rPr>
                <w:sz w:val="28"/>
                <w:szCs w:val="28"/>
              </w:rPr>
              <w:t>12,0</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139,2</w:t>
            </w:r>
            <w:r w:rsidRPr="00AA26C0">
              <w:rPr>
                <w:sz w:val="28"/>
                <w:szCs w:val="28"/>
              </w:rPr>
              <w:sym w:font="Symbol" w:char="F0B1"/>
            </w:r>
            <w:r w:rsidRPr="00AA26C0">
              <w:rPr>
                <w:sz w:val="28"/>
                <w:szCs w:val="28"/>
              </w:rPr>
              <w:t>6,3</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70,9</w:t>
            </w:r>
            <w:r w:rsidRPr="00AA26C0">
              <w:rPr>
                <w:sz w:val="28"/>
                <w:szCs w:val="28"/>
              </w:rPr>
              <w:sym w:font="Symbol" w:char="F0B1"/>
            </w:r>
            <w:r w:rsidRPr="00AA26C0">
              <w:rPr>
                <w:sz w:val="28"/>
                <w:szCs w:val="28"/>
              </w:rPr>
              <w:t>4,0</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2,23</w:t>
            </w:r>
            <w:r w:rsidRPr="00AA26C0">
              <w:rPr>
                <w:sz w:val="28"/>
                <w:szCs w:val="28"/>
              </w:rPr>
              <w:sym w:font="Symbol" w:char="F0B1"/>
            </w:r>
            <w:r w:rsidRPr="00AA26C0">
              <w:rPr>
                <w:sz w:val="28"/>
                <w:szCs w:val="28"/>
              </w:rPr>
              <w:t>0,03</w:t>
            </w:r>
          </w:p>
        </w:tc>
      </w:tr>
      <w:tr w:rsidR="004B5E3F" w:rsidRPr="00AA26C0" w:rsidTr="000B14BF">
        <w:trPr>
          <w:trHeight w:val="343"/>
        </w:trPr>
        <w:tc>
          <w:tcPr>
            <w:tcW w:w="1620" w:type="dxa"/>
            <w:tcBorders>
              <w:top w:val="single" w:sz="4" w:space="0" w:color="auto"/>
              <w:left w:val="single" w:sz="4" w:space="0" w:color="auto"/>
              <w:bottom w:val="single" w:sz="4" w:space="0" w:color="auto"/>
              <w:right w:val="single" w:sz="4" w:space="0" w:color="auto"/>
            </w:tcBorders>
          </w:tcPr>
          <w:p w:rsidR="004B5E3F" w:rsidRPr="00AA26C0" w:rsidRDefault="004B5E3F" w:rsidP="000B14BF">
            <w:pPr>
              <w:rPr>
                <w:sz w:val="28"/>
                <w:szCs w:val="28"/>
              </w:rPr>
            </w:pPr>
            <w:r w:rsidRPr="00AA26C0">
              <w:rPr>
                <w:sz w:val="28"/>
                <w:szCs w:val="28"/>
              </w:rPr>
              <w:t xml:space="preserve">5 </w:t>
            </w:r>
            <w:r w:rsidRPr="00AA26C0">
              <w:rPr>
                <w:sz w:val="28"/>
                <w:szCs w:val="28"/>
                <w:lang w:val="uk-UA"/>
              </w:rPr>
              <w:t>гр.</w:t>
            </w:r>
            <w:r w:rsidRPr="00AA26C0">
              <w:rPr>
                <w:sz w:val="28"/>
                <w:szCs w:val="28"/>
              </w:rPr>
              <w:t>(n=10)</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320,4</w:t>
            </w:r>
            <w:r w:rsidRPr="00AA26C0">
              <w:rPr>
                <w:sz w:val="28"/>
                <w:szCs w:val="28"/>
              </w:rPr>
              <w:sym w:font="Symbol" w:char="F0B1"/>
            </w:r>
            <w:r w:rsidRPr="00AA26C0">
              <w:rPr>
                <w:sz w:val="28"/>
                <w:szCs w:val="28"/>
              </w:rPr>
              <w:t>15,1</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b/>
                <w:sz w:val="28"/>
                <w:szCs w:val="28"/>
              </w:rPr>
              <w:t>133,0</w:t>
            </w:r>
            <w:r w:rsidRPr="00AA26C0">
              <w:rPr>
                <w:sz w:val="28"/>
                <w:szCs w:val="28"/>
              </w:rPr>
              <w:sym w:font="Symbol" w:char="F0B1"/>
            </w:r>
            <w:r w:rsidRPr="00AA26C0">
              <w:rPr>
                <w:sz w:val="28"/>
                <w:szCs w:val="28"/>
              </w:rPr>
              <w:t>6,0</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7</w:t>
            </w:r>
            <w:r w:rsidRPr="00AA26C0">
              <w:rPr>
                <w:sz w:val="28"/>
                <w:szCs w:val="28"/>
                <w:lang w:val="uk-UA"/>
              </w:rPr>
              <w:t>1</w:t>
            </w:r>
            <w:r w:rsidRPr="00AA26C0">
              <w:rPr>
                <w:sz w:val="28"/>
                <w:szCs w:val="28"/>
              </w:rPr>
              <w:t>,8</w:t>
            </w:r>
            <w:r w:rsidRPr="00AA26C0">
              <w:rPr>
                <w:sz w:val="28"/>
                <w:szCs w:val="28"/>
              </w:rPr>
              <w:sym w:font="Symbol" w:char="F0B1"/>
            </w:r>
            <w:r w:rsidRPr="00AA26C0">
              <w:rPr>
                <w:sz w:val="28"/>
                <w:szCs w:val="28"/>
              </w:rPr>
              <w:t>2,9</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AA26C0" w:rsidRDefault="004B5E3F" w:rsidP="000B14BF">
            <w:pPr>
              <w:jc w:val="center"/>
              <w:rPr>
                <w:sz w:val="28"/>
                <w:szCs w:val="28"/>
              </w:rPr>
            </w:pPr>
            <w:r w:rsidRPr="00AA26C0">
              <w:rPr>
                <w:sz w:val="28"/>
                <w:szCs w:val="28"/>
              </w:rPr>
              <w:t>2,43</w:t>
            </w:r>
            <w:r w:rsidRPr="00AA26C0">
              <w:rPr>
                <w:sz w:val="28"/>
                <w:szCs w:val="28"/>
              </w:rPr>
              <w:sym w:font="Symbol" w:char="F0B1"/>
            </w:r>
            <w:r w:rsidRPr="00AA26C0">
              <w:rPr>
                <w:sz w:val="28"/>
                <w:szCs w:val="28"/>
              </w:rPr>
              <w:t>0,06</w:t>
            </w:r>
          </w:p>
        </w:tc>
      </w:tr>
      <w:tr w:rsidR="004B5E3F" w:rsidRPr="00CC0639" w:rsidTr="000B14BF">
        <w:trPr>
          <w:trHeight w:val="340"/>
        </w:trPr>
        <w:tc>
          <w:tcPr>
            <w:tcW w:w="1620" w:type="dxa"/>
            <w:tcBorders>
              <w:top w:val="single" w:sz="4" w:space="0" w:color="auto"/>
              <w:left w:val="single" w:sz="4" w:space="0" w:color="auto"/>
              <w:bottom w:val="single" w:sz="4" w:space="0" w:color="auto"/>
              <w:right w:val="single" w:sz="4" w:space="0" w:color="auto"/>
            </w:tcBorders>
          </w:tcPr>
          <w:p w:rsidR="004B5E3F" w:rsidRPr="00CC0639" w:rsidRDefault="004B5E3F" w:rsidP="000B14BF">
            <w:pPr>
              <w:rPr>
                <w:sz w:val="28"/>
                <w:szCs w:val="28"/>
                <w:lang w:val="uk-UA"/>
              </w:rPr>
            </w:pPr>
            <w:r w:rsidRPr="00CC0639">
              <w:rPr>
                <w:sz w:val="28"/>
                <w:szCs w:val="28"/>
                <w:lang w:val="uk-UA"/>
              </w:rPr>
              <w:t>р(</w:t>
            </w:r>
            <w:r w:rsidRPr="00CC0639">
              <w:rPr>
                <w:sz w:val="28"/>
                <w:szCs w:val="28"/>
              </w:rPr>
              <w:t>1–2</w:t>
            </w:r>
            <w:r w:rsidRPr="00CC0639">
              <w:rPr>
                <w:sz w:val="28"/>
                <w:szCs w:val="28"/>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нд</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нд</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нд</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нд</w:t>
            </w:r>
          </w:p>
        </w:tc>
      </w:tr>
      <w:tr w:rsidR="004B5E3F" w:rsidRPr="00CC0639" w:rsidTr="000B14BF">
        <w:trPr>
          <w:trHeight w:val="363"/>
        </w:trPr>
        <w:tc>
          <w:tcPr>
            <w:tcW w:w="1620" w:type="dxa"/>
            <w:tcBorders>
              <w:top w:val="single" w:sz="4" w:space="0" w:color="auto"/>
              <w:left w:val="single" w:sz="4" w:space="0" w:color="auto"/>
              <w:bottom w:val="single" w:sz="4" w:space="0" w:color="auto"/>
              <w:right w:val="single" w:sz="4" w:space="0" w:color="auto"/>
            </w:tcBorders>
          </w:tcPr>
          <w:p w:rsidR="004B5E3F" w:rsidRPr="00CC0639" w:rsidRDefault="004B5E3F" w:rsidP="000B14BF">
            <w:pPr>
              <w:rPr>
                <w:sz w:val="28"/>
                <w:szCs w:val="28"/>
                <w:lang w:val="uk-UA"/>
              </w:rPr>
            </w:pPr>
            <w:r w:rsidRPr="00CC0639">
              <w:rPr>
                <w:sz w:val="28"/>
                <w:szCs w:val="28"/>
                <w:lang w:val="uk-UA"/>
              </w:rPr>
              <w:t>р(</w:t>
            </w:r>
            <w:r w:rsidRPr="00CC0639">
              <w:rPr>
                <w:sz w:val="28"/>
                <w:szCs w:val="28"/>
              </w:rPr>
              <w:t>1–3</w:t>
            </w:r>
            <w:r w:rsidRPr="00CC0639">
              <w:rPr>
                <w:sz w:val="28"/>
                <w:szCs w:val="28"/>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0,01</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нд</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0,01</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r>
      <w:tr w:rsidR="004B5E3F" w:rsidRPr="00CC0639" w:rsidTr="000B14BF">
        <w:trPr>
          <w:trHeight w:val="345"/>
        </w:trPr>
        <w:tc>
          <w:tcPr>
            <w:tcW w:w="1620" w:type="dxa"/>
            <w:tcBorders>
              <w:top w:val="single" w:sz="4" w:space="0" w:color="auto"/>
              <w:left w:val="single" w:sz="4" w:space="0" w:color="auto"/>
              <w:bottom w:val="single" w:sz="4" w:space="0" w:color="auto"/>
              <w:right w:val="single" w:sz="4" w:space="0" w:color="auto"/>
            </w:tcBorders>
          </w:tcPr>
          <w:p w:rsidR="004B5E3F" w:rsidRPr="00CC0639" w:rsidRDefault="004B5E3F" w:rsidP="000B14BF">
            <w:pPr>
              <w:rPr>
                <w:sz w:val="28"/>
                <w:szCs w:val="28"/>
                <w:lang w:val="uk-UA"/>
              </w:rPr>
            </w:pPr>
            <w:r w:rsidRPr="00CC0639">
              <w:rPr>
                <w:sz w:val="28"/>
                <w:szCs w:val="28"/>
                <w:lang w:val="uk-UA"/>
              </w:rPr>
              <w:t>р(</w:t>
            </w:r>
            <w:r w:rsidRPr="00CC0639">
              <w:rPr>
                <w:sz w:val="28"/>
                <w:szCs w:val="28"/>
              </w:rPr>
              <w:t>1–4</w:t>
            </w:r>
            <w:r w:rsidRPr="00CC0639">
              <w:rPr>
                <w:sz w:val="28"/>
                <w:szCs w:val="28"/>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нд</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r>
      <w:tr w:rsidR="004B5E3F" w:rsidRPr="00CC0639" w:rsidTr="000B14BF">
        <w:trPr>
          <w:trHeight w:val="356"/>
        </w:trPr>
        <w:tc>
          <w:tcPr>
            <w:tcW w:w="1620" w:type="dxa"/>
            <w:tcBorders>
              <w:top w:val="single" w:sz="4" w:space="0" w:color="auto"/>
              <w:left w:val="single" w:sz="4" w:space="0" w:color="auto"/>
              <w:bottom w:val="single" w:sz="4" w:space="0" w:color="auto"/>
              <w:right w:val="single" w:sz="4" w:space="0" w:color="auto"/>
            </w:tcBorders>
          </w:tcPr>
          <w:p w:rsidR="004B5E3F" w:rsidRPr="00CC0639" w:rsidRDefault="004B5E3F" w:rsidP="000B14BF">
            <w:pPr>
              <w:rPr>
                <w:sz w:val="28"/>
                <w:szCs w:val="28"/>
                <w:lang w:val="uk-UA"/>
              </w:rPr>
            </w:pPr>
            <w:r w:rsidRPr="00CC0639">
              <w:rPr>
                <w:sz w:val="28"/>
                <w:szCs w:val="28"/>
                <w:lang w:val="uk-UA"/>
              </w:rPr>
              <w:t>р(</w:t>
            </w:r>
            <w:r w:rsidRPr="00CC0639">
              <w:rPr>
                <w:sz w:val="28"/>
                <w:szCs w:val="28"/>
              </w:rPr>
              <w:t>1–5</w:t>
            </w:r>
            <w:r w:rsidRPr="00CC0639">
              <w:rPr>
                <w:sz w:val="28"/>
                <w:szCs w:val="28"/>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180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en-US"/>
              </w:rPr>
            </w:pPr>
            <w:r w:rsidRPr="00CC0639">
              <w:rPr>
                <w:sz w:val="28"/>
                <w:szCs w:val="28"/>
                <w:lang w:val="uk-UA"/>
              </w:rPr>
              <w:t>нд</w:t>
            </w:r>
          </w:p>
        </w:tc>
        <w:tc>
          <w:tcPr>
            <w:tcW w:w="198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c>
          <w:tcPr>
            <w:tcW w:w="1620" w:type="dxa"/>
            <w:tcBorders>
              <w:top w:val="single" w:sz="4" w:space="0" w:color="auto"/>
              <w:left w:val="single" w:sz="4" w:space="0" w:color="auto"/>
              <w:bottom w:val="single" w:sz="4" w:space="0" w:color="auto"/>
              <w:right w:val="single" w:sz="4" w:space="0" w:color="auto"/>
            </w:tcBorders>
            <w:vAlign w:val="center"/>
          </w:tcPr>
          <w:p w:rsidR="004B5E3F" w:rsidRPr="00CC0639" w:rsidRDefault="004B5E3F" w:rsidP="000B14BF">
            <w:pPr>
              <w:jc w:val="center"/>
              <w:rPr>
                <w:sz w:val="28"/>
                <w:szCs w:val="28"/>
                <w:lang w:val="uk-UA"/>
              </w:rPr>
            </w:pPr>
            <w:r w:rsidRPr="00CC0639">
              <w:rPr>
                <w:sz w:val="28"/>
                <w:szCs w:val="28"/>
                <w:lang w:val="uk-UA"/>
              </w:rPr>
              <w:t>р</w:t>
            </w:r>
            <w:r w:rsidRPr="00CC0639">
              <w:rPr>
                <w:sz w:val="28"/>
                <w:szCs w:val="28"/>
                <w:lang w:val="en-US"/>
              </w:rPr>
              <w:t>&lt;</w:t>
            </w:r>
            <w:r w:rsidRPr="00CC0639">
              <w:rPr>
                <w:sz w:val="28"/>
                <w:szCs w:val="28"/>
              </w:rPr>
              <w:t>0,001</w:t>
            </w:r>
          </w:p>
        </w:tc>
      </w:tr>
    </w:tbl>
    <w:p w:rsidR="004B5E3F" w:rsidRPr="00AA26C0" w:rsidRDefault="004B5E3F" w:rsidP="004B5E3F">
      <w:pPr>
        <w:spacing w:line="340" w:lineRule="exact"/>
        <w:ind w:firstLine="720"/>
        <w:jc w:val="both"/>
        <w:rPr>
          <w:sz w:val="28"/>
          <w:szCs w:val="28"/>
          <w:lang w:val="uk-UA"/>
        </w:rPr>
      </w:pPr>
      <w:r w:rsidRPr="00AA26C0">
        <w:rPr>
          <w:sz w:val="28"/>
          <w:szCs w:val="28"/>
          <w:lang w:val="uk-UA"/>
        </w:rPr>
        <w:t>Ці факти можуть свідчити про те, що використання індексації МЛШ до ППТ не зовсім коректне у хворих із надлишковою масою тіла та ожирінням, так як такий метод не в повній мірі відображає зростання МЛШ при збільшенні ППТ. Надмірне збільшення при ожирінні ППТ, що знаходиться у знаменнику формули ІМЛШ</w:t>
      </w:r>
      <w:r w:rsidRPr="00AA26C0">
        <w:rPr>
          <w:sz w:val="28"/>
          <w:szCs w:val="28"/>
          <w:vertAlign w:val="subscript"/>
          <w:lang w:val="uk-UA"/>
        </w:rPr>
        <w:t>1</w:t>
      </w:r>
      <w:r>
        <w:rPr>
          <w:sz w:val="28"/>
          <w:szCs w:val="28"/>
          <w:lang w:val="uk-UA"/>
        </w:rPr>
        <w:t>=МЛШ/</w:t>
      </w:r>
      <w:r w:rsidRPr="00AA26C0">
        <w:rPr>
          <w:sz w:val="28"/>
          <w:szCs w:val="28"/>
          <w:lang w:val="uk-UA"/>
        </w:rPr>
        <w:t xml:space="preserve">ППТ нівелює фактичне збільшення МЛШ. </w:t>
      </w:r>
    </w:p>
    <w:p w:rsidR="004B5E3F" w:rsidRDefault="004B5E3F" w:rsidP="004B5E3F">
      <w:pPr>
        <w:tabs>
          <w:tab w:val="left" w:pos="9355"/>
        </w:tabs>
        <w:spacing w:line="340" w:lineRule="exact"/>
        <w:ind w:right="-6" w:firstLine="720"/>
        <w:jc w:val="both"/>
        <w:outlineLvl w:val="1"/>
        <w:rPr>
          <w:sz w:val="28"/>
          <w:szCs w:val="28"/>
          <w:vertAlign w:val="superscript"/>
          <w:lang w:val="uk-UA"/>
        </w:rPr>
      </w:pPr>
      <w:r w:rsidRPr="00AA26C0">
        <w:rPr>
          <w:sz w:val="28"/>
          <w:szCs w:val="28"/>
          <w:lang w:val="uk-UA"/>
        </w:rPr>
        <w:t>У нашому дослідженні пацієнти із надмірною масою тіла та ожирінням становили 87 %. Отже, ми мали на меті вияснити, наскільки збільшується виявлення ГЛШ з використанням ІМЛШ</w:t>
      </w:r>
      <w:r w:rsidRPr="00AA26C0">
        <w:rPr>
          <w:sz w:val="28"/>
          <w:szCs w:val="28"/>
          <w:vertAlign w:val="subscript"/>
          <w:lang w:val="uk-UA"/>
        </w:rPr>
        <w:t>2</w:t>
      </w:r>
      <w:r w:rsidRPr="00AA26C0">
        <w:rPr>
          <w:sz w:val="28"/>
          <w:szCs w:val="28"/>
          <w:lang w:val="uk-UA"/>
        </w:rPr>
        <w:t xml:space="preserve"> у порівнянні із ІМЛШ</w:t>
      </w:r>
      <w:r w:rsidRPr="00AA26C0">
        <w:rPr>
          <w:sz w:val="28"/>
          <w:szCs w:val="28"/>
          <w:vertAlign w:val="subscript"/>
          <w:lang w:val="uk-UA"/>
        </w:rPr>
        <w:t>1</w:t>
      </w:r>
      <w:r w:rsidRPr="00AA26C0">
        <w:rPr>
          <w:sz w:val="28"/>
          <w:szCs w:val="28"/>
          <w:lang w:val="uk-UA"/>
        </w:rPr>
        <w:t xml:space="preserve"> у пацієнтів із АГ та у переважній більшості із НМТ та ожирінням. Використання ІМЛШ</w:t>
      </w:r>
      <w:r w:rsidRPr="00AA26C0">
        <w:rPr>
          <w:sz w:val="28"/>
          <w:szCs w:val="28"/>
          <w:vertAlign w:val="subscript"/>
          <w:lang w:val="uk-UA"/>
        </w:rPr>
        <w:t xml:space="preserve">2 </w:t>
      </w:r>
      <w:r w:rsidRPr="00AA26C0">
        <w:rPr>
          <w:sz w:val="28"/>
          <w:szCs w:val="28"/>
          <w:lang w:val="uk-UA"/>
        </w:rPr>
        <w:t xml:space="preserve">не змінює процент виявлення ГЛШ у пацієнтів без надлишкової маси тіла (34%). </w:t>
      </w:r>
      <w:r w:rsidRPr="00AA26C0">
        <w:rPr>
          <w:sz w:val="28"/>
          <w:szCs w:val="28"/>
          <w:vertAlign w:val="superscript"/>
          <w:lang w:val="uk-UA"/>
        </w:rPr>
        <w:t xml:space="preserve"> </w:t>
      </w:r>
      <w:r w:rsidRPr="00AA26C0">
        <w:rPr>
          <w:sz w:val="28"/>
          <w:szCs w:val="28"/>
          <w:lang w:val="uk-UA"/>
        </w:rPr>
        <w:t>Серед усіх досліджуваних пацієнтів ГЛШ за ІМЛШ</w:t>
      </w:r>
      <w:r w:rsidRPr="00AA26C0">
        <w:rPr>
          <w:sz w:val="28"/>
          <w:szCs w:val="28"/>
          <w:vertAlign w:val="subscript"/>
          <w:lang w:val="uk-UA"/>
        </w:rPr>
        <w:t>1</w:t>
      </w:r>
      <w:r w:rsidRPr="00AA26C0">
        <w:rPr>
          <w:sz w:val="28"/>
          <w:szCs w:val="28"/>
          <w:lang w:val="uk-UA"/>
        </w:rPr>
        <w:t xml:space="preserve"> діагностувалась у 72 % жінок та у 63% чоловіків, за ІМЛШ</w:t>
      </w:r>
      <w:r w:rsidRPr="00AA26C0">
        <w:rPr>
          <w:sz w:val="28"/>
          <w:szCs w:val="28"/>
          <w:vertAlign w:val="subscript"/>
          <w:lang w:val="uk-UA"/>
        </w:rPr>
        <w:t>2</w:t>
      </w:r>
      <w:r w:rsidRPr="00AA26C0">
        <w:rPr>
          <w:sz w:val="28"/>
          <w:szCs w:val="28"/>
          <w:lang w:val="uk-UA"/>
        </w:rPr>
        <w:t xml:space="preserve"> – у 90 % жінок та у 80 % чоловіків. У цілому, використовуючи </w:t>
      </w:r>
      <w:r w:rsidRPr="00AA26C0">
        <w:rPr>
          <w:sz w:val="28"/>
          <w:szCs w:val="28"/>
          <w:lang w:val="uk-UA"/>
        </w:rPr>
        <w:lastRenderedPageBreak/>
        <w:t>індексацію МЛШ до росту у степені 2,7, ми виявили ГЛШ у жінок на 18%, у чоловіків – на 17% більше, ніж при використанні індексації МЛШ до ППТ. Можливість виявлення ГЛШ, пов’язану з ожирінням і серцево-судинними захворюваннями розширюється при індексації МЛШ до росту в степені алометричного відношення (ріст</w:t>
      </w:r>
      <w:r w:rsidRPr="00AA26C0">
        <w:rPr>
          <w:sz w:val="28"/>
          <w:szCs w:val="28"/>
          <w:vertAlign w:val="superscript"/>
          <w:lang w:val="uk-UA"/>
        </w:rPr>
        <w:t>2,7</w:t>
      </w:r>
      <w:r w:rsidRPr="00AA26C0">
        <w:rPr>
          <w:sz w:val="28"/>
          <w:szCs w:val="28"/>
          <w:lang w:val="uk-UA"/>
        </w:rPr>
        <w:t>).</w:t>
      </w:r>
      <w:r w:rsidRPr="00AA26C0">
        <w:rPr>
          <w:sz w:val="28"/>
          <w:szCs w:val="28"/>
          <w:vertAlign w:val="superscript"/>
          <w:lang w:val="uk-UA"/>
        </w:rPr>
        <w:t xml:space="preserve"> </w:t>
      </w:r>
    </w:p>
    <w:p w:rsidR="004B5E3F" w:rsidRPr="00AA26C0" w:rsidRDefault="004B5E3F" w:rsidP="004B5E3F">
      <w:pPr>
        <w:tabs>
          <w:tab w:val="left" w:pos="9355"/>
        </w:tabs>
        <w:spacing w:line="340" w:lineRule="exact"/>
        <w:ind w:right="-5" w:firstLine="720"/>
        <w:jc w:val="both"/>
        <w:rPr>
          <w:sz w:val="28"/>
          <w:szCs w:val="28"/>
          <w:lang w:val="uk-UA"/>
        </w:rPr>
      </w:pPr>
      <w:r w:rsidRPr="00AA26C0">
        <w:rPr>
          <w:sz w:val="28"/>
          <w:szCs w:val="28"/>
          <w:lang w:val="uk-UA"/>
        </w:rPr>
        <w:t xml:space="preserve">У наступному фрагменті нашого дослідження ми намагались вирішити питання, </w:t>
      </w:r>
      <w:r w:rsidRPr="00AA26C0">
        <w:rPr>
          <w:bCs/>
          <w:sz w:val="28"/>
          <w:szCs w:val="28"/>
          <w:lang w:val="uk-UA"/>
        </w:rPr>
        <w:t xml:space="preserve">чи використання такої індексації МЛШ для діагностики </w:t>
      </w:r>
      <w:r w:rsidRPr="00AA26C0">
        <w:rPr>
          <w:sz w:val="28"/>
          <w:szCs w:val="28"/>
          <w:lang w:val="uk-UA"/>
        </w:rPr>
        <w:t>ГЛШ</w:t>
      </w:r>
      <w:r w:rsidRPr="00AA26C0">
        <w:rPr>
          <w:bCs/>
          <w:sz w:val="28"/>
          <w:szCs w:val="28"/>
          <w:lang w:val="uk-UA"/>
        </w:rPr>
        <w:t xml:space="preserve"> може оптимізувати </w:t>
      </w:r>
      <w:r w:rsidRPr="00AA26C0">
        <w:rPr>
          <w:sz w:val="28"/>
          <w:szCs w:val="28"/>
          <w:lang w:val="uk-UA"/>
        </w:rPr>
        <w:t xml:space="preserve">виявлення пацієнтів, що потребують уваги як пацієнти із високим ризиком </w:t>
      </w:r>
      <w:r w:rsidRPr="00AA26C0">
        <w:rPr>
          <w:bCs/>
          <w:sz w:val="28"/>
          <w:szCs w:val="28"/>
          <w:lang w:val="uk-UA"/>
        </w:rPr>
        <w:t>виникнення серцево-судинних подій.</w:t>
      </w:r>
      <w:r w:rsidRPr="00AA26C0">
        <w:rPr>
          <w:color w:val="000000"/>
          <w:sz w:val="28"/>
          <w:szCs w:val="28"/>
          <w:lang w:val="uk-UA"/>
        </w:rPr>
        <w:t xml:space="preserve"> </w:t>
      </w:r>
      <w:r w:rsidRPr="00AA26C0">
        <w:rPr>
          <w:sz w:val="28"/>
          <w:szCs w:val="28"/>
          <w:lang w:val="uk-UA"/>
        </w:rPr>
        <w:t>Було виділено групу пацієнтів із ГЛШ, діагностованою лише при індексаціії МЛШ/ріст</w:t>
      </w:r>
      <w:r w:rsidRPr="00AA26C0">
        <w:rPr>
          <w:sz w:val="28"/>
          <w:szCs w:val="28"/>
          <w:vertAlign w:val="superscript"/>
          <w:lang w:val="uk-UA"/>
        </w:rPr>
        <w:t>2,7</w:t>
      </w:r>
      <w:r w:rsidRPr="00AA26C0">
        <w:rPr>
          <w:sz w:val="28"/>
          <w:szCs w:val="28"/>
          <w:lang w:val="uk-UA"/>
        </w:rPr>
        <w:t xml:space="preserve"> та визначались у них </w:t>
      </w:r>
      <w:r>
        <w:rPr>
          <w:sz w:val="28"/>
          <w:szCs w:val="28"/>
          <w:lang w:val="uk-UA"/>
        </w:rPr>
        <w:t>серцево-судинні</w:t>
      </w:r>
      <w:r w:rsidRPr="00AA26C0">
        <w:rPr>
          <w:sz w:val="28"/>
          <w:szCs w:val="28"/>
          <w:lang w:val="uk-UA"/>
        </w:rPr>
        <w:t xml:space="preserve"> фактори ризику, кількість яких порівнювали із такою у групі без ГЛШ та у групі із ГЛШ, що діагностована за обома індексами одночасно.</w:t>
      </w:r>
    </w:p>
    <w:p w:rsidR="004B5E3F" w:rsidRPr="00AA26C0" w:rsidRDefault="004B5E3F" w:rsidP="004B5E3F">
      <w:pPr>
        <w:tabs>
          <w:tab w:val="left" w:pos="9355"/>
        </w:tabs>
        <w:spacing w:line="340" w:lineRule="exact"/>
        <w:ind w:right="-6" w:firstLine="720"/>
        <w:jc w:val="both"/>
        <w:outlineLvl w:val="1"/>
        <w:rPr>
          <w:sz w:val="28"/>
          <w:szCs w:val="28"/>
          <w:lang w:val="uk-UA"/>
        </w:rPr>
      </w:pPr>
      <w:r w:rsidRPr="00AA26C0">
        <w:rPr>
          <w:sz w:val="28"/>
          <w:szCs w:val="28"/>
          <w:lang w:val="uk-UA"/>
        </w:rPr>
        <w:t>У групі пацієнтів із ГЛШ, визначеною лише з використанням ІМЛШ</w:t>
      </w:r>
      <w:r w:rsidRPr="00AA26C0">
        <w:rPr>
          <w:sz w:val="28"/>
          <w:szCs w:val="28"/>
          <w:vertAlign w:val="subscript"/>
          <w:lang w:val="uk-UA"/>
        </w:rPr>
        <w:t>2</w:t>
      </w:r>
      <w:r w:rsidRPr="00AA26C0">
        <w:rPr>
          <w:sz w:val="28"/>
          <w:szCs w:val="28"/>
          <w:lang w:val="uk-UA"/>
        </w:rPr>
        <w:t xml:space="preserve"> (</w:t>
      </w:r>
      <w:r w:rsidRPr="00AA26C0">
        <w:rPr>
          <w:sz w:val="28"/>
          <w:szCs w:val="28"/>
          <w:lang w:val="en-US"/>
        </w:rPr>
        <w:t>n</w:t>
      </w:r>
      <w:r w:rsidRPr="00AA26C0">
        <w:rPr>
          <w:sz w:val="28"/>
          <w:szCs w:val="28"/>
          <w:lang w:val="uk-UA"/>
        </w:rPr>
        <w:t xml:space="preserve">=34) ми дослідили наявність таких ФР ССЗ, як компоненти МС. Виявилось, що у цих пацієнтів у 53 % випадків присутнє порушення вуглеводного обміну (ПВО), у 53 % - дисліпідемія (ДЛ) та у 91 % - абдомінальне ожиріння (АО). Настільки високе виявлення АО може бути пов’язане з тим, що при його діагностиці ми використовували рекомендації </w:t>
      </w:r>
      <w:r w:rsidRPr="00AA26C0">
        <w:rPr>
          <w:bCs/>
          <w:sz w:val="28"/>
          <w:szCs w:val="28"/>
          <w:lang w:val="en-US"/>
        </w:rPr>
        <w:t>IDF</w:t>
      </w:r>
      <w:r w:rsidRPr="00AA26C0">
        <w:rPr>
          <w:bCs/>
          <w:sz w:val="28"/>
          <w:szCs w:val="28"/>
        </w:rPr>
        <w:t xml:space="preserve"> 2005</w:t>
      </w:r>
      <w:r w:rsidRPr="00AA26C0">
        <w:rPr>
          <w:bCs/>
          <w:sz w:val="28"/>
          <w:szCs w:val="28"/>
          <w:lang w:val="uk-UA"/>
        </w:rPr>
        <w:t xml:space="preserve"> року. Серед контингенту пацієнтів із МС, діагностованим з використанням рекомендацій </w:t>
      </w:r>
      <w:r w:rsidRPr="00AA26C0">
        <w:rPr>
          <w:bCs/>
          <w:sz w:val="28"/>
          <w:szCs w:val="28"/>
          <w:lang w:val="en-US"/>
        </w:rPr>
        <w:t>IDF</w:t>
      </w:r>
      <w:r w:rsidRPr="00AA26C0">
        <w:rPr>
          <w:bCs/>
          <w:sz w:val="28"/>
          <w:szCs w:val="28"/>
          <w:lang w:val="uk-UA"/>
        </w:rPr>
        <w:t xml:space="preserve"> у порівнянні із контингентом пацієнт</w:t>
      </w:r>
      <w:r>
        <w:rPr>
          <w:bCs/>
          <w:sz w:val="28"/>
          <w:szCs w:val="28"/>
          <w:lang w:val="uk-UA"/>
        </w:rPr>
        <w:t>ів із МС, діагностованим за АТР-</w:t>
      </w:r>
      <w:r w:rsidRPr="00AA26C0">
        <w:rPr>
          <w:bCs/>
          <w:sz w:val="28"/>
          <w:szCs w:val="28"/>
          <w:lang w:val="uk-UA"/>
        </w:rPr>
        <w:t>ІІІ</w:t>
      </w:r>
      <w:r>
        <w:rPr>
          <w:bCs/>
          <w:sz w:val="28"/>
          <w:szCs w:val="28"/>
          <w:lang w:val="uk-UA"/>
        </w:rPr>
        <w:t>,</w:t>
      </w:r>
      <w:r w:rsidRPr="00AA26C0">
        <w:rPr>
          <w:bCs/>
          <w:sz w:val="28"/>
          <w:szCs w:val="28"/>
          <w:lang w:val="uk-UA"/>
        </w:rPr>
        <w:t xml:space="preserve"> 2001 р., ГЛШ, визначена як відношення МЛШ до ППТ виявляється на 13 %, а як відношення МЛШ </w:t>
      </w:r>
      <w:r w:rsidRPr="00AA26C0">
        <w:rPr>
          <w:sz w:val="28"/>
          <w:szCs w:val="28"/>
          <w:lang w:val="uk-UA"/>
        </w:rPr>
        <w:t>росту</w:t>
      </w:r>
      <w:r w:rsidRPr="00AA26C0">
        <w:rPr>
          <w:sz w:val="28"/>
          <w:szCs w:val="28"/>
          <w:vertAlign w:val="superscript"/>
          <w:lang w:val="uk-UA"/>
        </w:rPr>
        <w:t xml:space="preserve">2,7 </w:t>
      </w:r>
      <w:r w:rsidRPr="00AA26C0">
        <w:rPr>
          <w:bCs/>
          <w:sz w:val="28"/>
          <w:szCs w:val="28"/>
          <w:lang w:val="uk-UA"/>
        </w:rPr>
        <w:t xml:space="preserve">– на 17 % частіше. При проведенні кореляційного аналізу було виявлено, що МЛШ більш тісно корелює із кількістю компонентів МС, визначених за рекомендаціями </w:t>
      </w:r>
      <w:r w:rsidRPr="00AA26C0">
        <w:rPr>
          <w:bCs/>
          <w:sz w:val="28"/>
          <w:szCs w:val="28"/>
          <w:lang w:val="en-US"/>
        </w:rPr>
        <w:t>IDF</w:t>
      </w:r>
      <w:r w:rsidRPr="00AA26C0">
        <w:rPr>
          <w:bCs/>
          <w:sz w:val="28"/>
          <w:szCs w:val="28"/>
          <w:lang w:val="uk-UA"/>
        </w:rPr>
        <w:t xml:space="preserve"> (</w:t>
      </w:r>
      <w:r w:rsidRPr="00AA26C0">
        <w:rPr>
          <w:bCs/>
          <w:sz w:val="28"/>
          <w:szCs w:val="28"/>
          <w:lang w:val="en-US"/>
        </w:rPr>
        <w:t>r</w:t>
      </w:r>
      <w:r>
        <w:rPr>
          <w:bCs/>
          <w:sz w:val="28"/>
          <w:szCs w:val="28"/>
          <w:lang w:val="uk-UA"/>
        </w:rPr>
        <w:t xml:space="preserve"> = 0,31; р &lt; 0,</w:t>
      </w:r>
      <w:r w:rsidRPr="00AA26C0">
        <w:rPr>
          <w:bCs/>
          <w:sz w:val="28"/>
          <w:szCs w:val="28"/>
          <w:lang w:val="uk-UA"/>
        </w:rPr>
        <w:t>001), ні</w:t>
      </w:r>
      <w:r>
        <w:rPr>
          <w:bCs/>
          <w:sz w:val="28"/>
          <w:szCs w:val="28"/>
          <w:lang w:val="uk-UA"/>
        </w:rPr>
        <w:t>ж із такою за рекомендаціями АТ-</w:t>
      </w:r>
      <w:r w:rsidRPr="00AA26C0">
        <w:rPr>
          <w:bCs/>
          <w:sz w:val="28"/>
          <w:szCs w:val="28"/>
          <w:lang w:val="uk-UA"/>
        </w:rPr>
        <w:t>ІІІ (</w:t>
      </w:r>
      <w:r w:rsidRPr="00AA26C0">
        <w:rPr>
          <w:bCs/>
          <w:sz w:val="28"/>
          <w:szCs w:val="28"/>
          <w:lang w:val="en-US"/>
        </w:rPr>
        <w:t>r</w:t>
      </w:r>
      <w:r w:rsidRPr="00AA26C0">
        <w:rPr>
          <w:bCs/>
          <w:sz w:val="28"/>
          <w:szCs w:val="28"/>
          <w:lang w:val="uk-UA"/>
        </w:rPr>
        <w:t xml:space="preserve"> = 0,25; р &lt; 0,001). Тобто, при використанні рекомендацій </w:t>
      </w:r>
      <w:r w:rsidRPr="00AA26C0">
        <w:rPr>
          <w:bCs/>
          <w:sz w:val="28"/>
          <w:szCs w:val="28"/>
          <w:lang w:val="en-US"/>
        </w:rPr>
        <w:t>IDF</w:t>
      </w:r>
      <w:r w:rsidRPr="00AA26C0">
        <w:rPr>
          <w:bCs/>
          <w:sz w:val="28"/>
          <w:szCs w:val="28"/>
          <w:lang w:val="uk-UA"/>
        </w:rPr>
        <w:t xml:space="preserve"> можна розширити контингент пацієнтів, які потребують уваги як пацієнти із високим </w:t>
      </w:r>
      <w:r>
        <w:rPr>
          <w:bCs/>
          <w:sz w:val="28"/>
          <w:szCs w:val="28"/>
          <w:lang w:val="uk-UA"/>
        </w:rPr>
        <w:t>серцево-судинни</w:t>
      </w:r>
      <w:r w:rsidRPr="00AA26C0">
        <w:rPr>
          <w:bCs/>
          <w:sz w:val="28"/>
          <w:szCs w:val="28"/>
          <w:lang w:val="uk-UA"/>
        </w:rPr>
        <w:t xml:space="preserve"> ризиком. Щоб переконатись, що дані рекомендації дозволяють виявити пацієнтів із високим кардіоваскулярним ризиком, ми виділили групу хворих із АО, діагностованим лише за </w:t>
      </w:r>
      <w:r w:rsidRPr="00AA26C0">
        <w:rPr>
          <w:sz w:val="28"/>
          <w:szCs w:val="28"/>
          <w:lang w:val="uk-UA"/>
        </w:rPr>
        <w:t xml:space="preserve">рекомендаціями </w:t>
      </w:r>
      <w:r w:rsidRPr="00AA26C0">
        <w:rPr>
          <w:bCs/>
          <w:sz w:val="28"/>
          <w:szCs w:val="28"/>
          <w:lang w:val="en-US"/>
        </w:rPr>
        <w:t>IDF</w:t>
      </w:r>
      <w:r w:rsidRPr="00AA26C0">
        <w:rPr>
          <w:bCs/>
          <w:sz w:val="28"/>
          <w:szCs w:val="28"/>
          <w:lang w:val="uk-UA"/>
        </w:rPr>
        <w:t xml:space="preserve"> (</w:t>
      </w:r>
      <w:r w:rsidRPr="00AA26C0">
        <w:rPr>
          <w:bCs/>
          <w:sz w:val="28"/>
          <w:szCs w:val="28"/>
          <w:lang w:val="en-US"/>
        </w:rPr>
        <w:t>n</w:t>
      </w:r>
      <w:r w:rsidRPr="00AA26C0">
        <w:rPr>
          <w:bCs/>
          <w:sz w:val="28"/>
          <w:szCs w:val="28"/>
          <w:lang w:val="uk-UA"/>
        </w:rPr>
        <w:t xml:space="preserve">=37) та продемонстрували наявність у них інших факторів ризику </w:t>
      </w:r>
      <w:r>
        <w:rPr>
          <w:bCs/>
          <w:sz w:val="28"/>
          <w:szCs w:val="28"/>
          <w:lang w:val="uk-UA"/>
        </w:rPr>
        <w:t>серцево-судинної</w:t>
      </w:r>
      <w:r w:rsidRPr="00AA26C0">
        <w:rPr>
          <w:bCs/>
          <w:sz w:val="28"/>
          <w:szCs w:val="28"/>
          <w:lang w:val="uk-UA"/>
        </w:rPr>
        <w:t xml:space="preserve"> захворюваності і смертності. У 65 % пацієнтів даної групи вияви</w:t>
      </w:r>
      <w:r>
        <w:rPr>
          <w:bCs/>
          <w:sz w:val="28"/>
          <w:szCs w:val="28"/>
          <w:lang w:val="uk-UA"/>
        </w:rPr>
        <w:t>ли</w:t>
      </w:r>
      <w:r w:rsidRPr="00AA26C0">
        <w:rPr>
          <w:bCs/>
          <w:sz w:val="28"/>
          <w:szCs w:val="28"/>
          <w:lang w:val="uk-UA"/>
        </w:rPr>
        <w:t xml:space="preserve">сь ПВО, причому ЦД- у 16 % випадків; підвищений рівень ТГ та знижений рівень ЛПВГ, компоненти МС, діагностувались у 58 % випадків, підвищений рівень ЗХ – у 76 %, ЛПНГ – у 86 % випадків. Серед усіх пацієнтів даної групи у 89% визначалась надмірна маса тіла та ожиріння, тому ГЛШ закономірно частіше виявлялась при використанні </w:t>
      </w:r>
      <w:r w:rsidRPr="00AA26C0">
        <w:rPr>
          <w:sz w:val="28"/>
          <w:szCs w:val="28"/>
          <w:lang w:val="uk-UA"/>
        </w:rPr>
        <w:t>ІМЛШ</w:t>
      </w:r>
      <w:r w:rsidRPr="00AA26C0">
        <w:rPr>
          <w:sz w:val="28"/>
          <w:szCs w:val="28"/>
          <w:vertAlign w:val="subscript"/>
          <w:lang w:val="uk-UA"/>
        </w:rPr>
        <w:t>2</w:t>
      </w:r>
      <w:r w:rsidRPr="00AA26C0">
        <w:rPr>
          <w:bCs/>
          <w:sz w:val="28"/>
          <w:szCs w:val="28"/>
          <w:lang w:val="uk-UA"/>
        </w:rPr>
        <w:t xml:space="preserve"> (78 %), ніж</w:t>
      </w:r>
      <w:r w:rsidRPr="00AA26C0">
        <w:rPr>
          <w:sz w:val="28"/>
          <w:szCs w:val="28"/>
          <w:lang w:val="uk-UA"/>
        </w:rPr>
        <w:t xml:space="preserve"> ІМЛШ</w:t>
      </w:r>
      <w:r w:rsidRPr="00AA26C0">
        <w:rPr>
          <w:sz w:val="28"/>
          <w:szCs w:val="28"/>
          <w:vertAlign w:val="subscript"/>
          <w:lang w:val="uk-UA"/>
        </w:rPr>
        <w:t xml:space="preserve">1 </w:t>
      </w:r>
      <w:r w:rsidRPr="00AA26C0">
        <w:rPr>
          <w:bCs/>
          <w:sz w:val="28"/>
          <w:szCs w:val="28"/>
          <w:lang w:val="uk-UA"/>
        </w:rPr>
        <w:t xml:space="preserve">(60 %). </w:t>
      </w:r>
    </w:p>
    <w:p w:rsidR="004B5E3F" w:rsidRPr="00AA26C0" w:rsidRDefault="004B5E3F" w:rsidP="004B5E3F">
      <w:pPr>
        <w:spacing w:line="340" w:lineRule="exact"/>
        <w:ind w:firstLine="720"/>
        <w:jc w:val="both"/>
        <w:rPr>
          <w:bCs/>
          <w:sz w:val="28"/>
          <w:szCs w:val="28"/>
          <w:lang w:val="uk-UA"/>
        </w:rPr>
      </w:pPr>
      <w:r w:rsidRPr="00AA26C0">
        <w:rPr>
          <w:bCs/>
          <w:sz w:val="28"/>
          <w:szCs w:val="28"/>
          <w:lang w:val="uk-UA"/>
        </w:rPr>
        <w:t>Нами виявлено прямий достовірний кореляційний зв’язок МЛШ із давністю захворювання на ГХ (</w:t>
      </w:r>
      <w:r w:rsidRPr="00AA26C0">
        <w:rPr>
          <w:bCs/>
          <w:sz w:val="28"/>
          <w:szCs w:val="28"/>
          <w:lang w:val="en-US"/>
        </w:rPr>
        <w:t>r</w:t>
      </w:r>
      <w:r>
        <w:rPr>
          <w:bCs/>
          <w:sz w:val="28"/>
          <w:szCs w:val="28"/>
          <w:lang w:val="uk-UA"/>
        </w:rPr>
        <w:t xml:space="preserve"> = 0,26</w:t>
      </w:r>
      <w:r w:rsidRPr="00AA26C0">
        <w:rPr>
          <w:bCs/>
          <w:sz w:val="28"/>
          <w:szCs w:val="28"/>
          <w:lang w:val="uk-UA"/>
        </w:rPr>
        <w:t>; р &lt; 0,0</w:t>
      </w:r>
      <w:r>
        <w:rPr>
          <w:bCs/>
          <w:sz w:val="28"/>
          <w:szCs w:val="28"/>
          <w:lang w:val="uk-UA"/>
        </w:rPr>
        <w:t>01</w:t>
      </w:r>
      <w:r w:rsidRPr="00AA26C0">
        <w:rPr>
          <w:bCs/>
          <w:sz w:val="28"/>
          <w:szCs w:val="28"/>
          <w:lang w:val="uk-UA"/>
        </w:rPr>
        <w:t>). Рівні АТ за даними добового мон</w:t>
      </w:r>
      <w:r w:rsidRPr="00AA26C0">
        <w:rPr>
          <w:sz w:val="28"/>
          <w:szCs w:val="28"/>
          <w:lang w:val="uk-UA"/>
        </w:rPr>
        <w:t>і</w:t>
      </w:r>
      <w:r w:rsidRPr="00AA26C0">
        <w:rPr>
          <w:bCs/>
          <w:sz w:val="28"/>
          <w:szCs w:val="28"/>
          <w:lang w:val="uk-UA"/>
        </w:rPr>
        <w:t>торування</w:t>
      </w:r>
      <w:r w:rsidRPr="00AA26C0">
        <w:rPr>
          <w:sz w:val="28"/>
          <w:szCs w:val="28"/>
          <w:lang w:val="uk-UA"/>
        </w:rPr>
        <w:t xml:space="preserve"> </w:t>
      </w:r>
      <w:r w:rsidRPr="00AA26C0">
        <w:rPr>
          <w:bCs/>
          <w:sz w:val="28"/>
          <w:szCs w:val="28"/>
          <w:lang w:val="uk-UA"/>
        </w:rPr>
        <w:t xml:space="preserve">у пацієнтів із ГХ ІІ ст. були, в основному, недостовірно більшими у групах, сформованих в залежності від величини ІМТ. У досліджуваних пацієнтів із ГХ ІІ ст. виявлена пряма достовірна кореляційна залежність МЛШ від </w:t>
      </w:r>
      <w:r w:rsidRPr="00AA26C0">
        <w:rPr>
          <w:bCs/>
          <w:sz w:val="28"/>
          <w:szCs w:val="28"/>
          <w:lang w:val="uk-UA"/>
        </w:rPr>
        <w:lastRenderedPageBreak/>
        <w:t>середньодобових рівнів АТ: систолічного (</w:t>
      </w:r>
      <w:r w:rsidRPr="00AA26C0">
        <w:rPr>
          <w:bCs/>
          <w:sz w:val="28"/>
          <w:szCs w:val="28"/>
          <w:lang w:val="en-US"/>
        </w:rPr>
        <w:t>r</w:t>
      </w:r>
      <w:r>
        <w:rPr>
          <w:bCs/>
          <w:sz w:val="28"/>
          <w:szCs w:val="28"/>
          <w:lang w:val="uk-UA"/>
        </w:rPr>
        <w:t xml:space="preserve"> = 0,45; р &lt; 0,001)</w:t>
      </w:r>
      <w:r w:rsidRPr="00AA26C0">
        <w:rPr>
          <w:bCs/>
          <w:sz w:val="28"/>
          <w:szCs w:val="28"/>
          <w:lang w:val="uk-UA"/>
        </w:rPr>
        <w:t xml:space="preserve"> та діастолічного (</w:t>
      </w:r>
      <w:r w:rsidRPr="00AA26C0">
        <w:rPr>
          <w:bCs/>
          <w:sz w:val="28"/>
          <w:szCs w:val="28"/>
          <w:lang w:val="en-US"/>
        </w:rPr>
        <w:t>r</w:t>
      </w:r>
      <w:r>
        <w:rPr>
          <w:bCs/>
          <w:sz w:val="28"/>
          <w:szCs w:val="28"/>
          <w:lang w:val="uk-UA"/>
        </w:rPr>
        <w:t xml:space="preserve"> = 0,43; р &lt; 0,001).</w:t>
      </w:r>
      <w:r w:rsidRPr="00AA26C0">
        <w:rPr>
          <w:bCs/>
          <w:sz w:val="28"/>
          <w:szCs w:val="28"/>
          <w:lang w:val="uk-UA"/>
        </w:rPr>
        <w:t xml:space="preserve">  </w:t>
      </w:r>
    </w:p>
    <w:p w:rsidR="004B5E3F" w:rsidRPr="00FB4A0C" w:rsidRDefault="004B5E3F" w:rsidP="004B5E3F">
      <w:pPr>
        <w:spacing w:line="340" w:lineRule="exact"/>
        <w:ind w:firstLine="900"/>
        <w:jc w:val="both"/>
        <w:rPr>
          <w:bCs/>
          <w:sz w:val="28"/>
          <w:szCs w:val="28"/>
          <w:lang w:val="en-US"/>
        </w:rPr>
      </w:pPr>
      <w:r w:rsidRPr="00AA26C0">
        <w:rPr>
          <w:color w:val="000000"/>
          <w:sz w:val="28"/>
          <w:szCs w:val="28"/>
          <w:lang w:val="uk-UA"/>
        </w:rPr>
        <w:t>З метою вивчення впливу порушень вуглеводного обміну на міокард усі пацієнти були розділені на групи пацієнтів</w:t>
      </w:r>
      <w:r>
        <w:rPr>
          <w:color w:val="000000"/>
          <w:sz w:val="28"/>
          <w:szCs w:val="28"/>
          <w:lang w:val="uk-UA"/>
        </w:rPr>
        <w:t>:</w:t>
      </w:r>
      <w:r w:rsidRPr="00AA26C0">
        <w:rPr>
          <w:color w:val="000000"/>
          <w:sz w:val="28"/>
          <w:szCs w:val="28"/>
          <w:lang w:val="uk-UA"/>
        </w:rPr>
        <w:t xml:space="preserve"> без </w:t>
      </w:r>
      <w:r>
        <w:rPr>
          <w:color w:val="000000"/>
          <w:sz w:val="28"/>
          <w:szCs w:val="28"/>
          <w:lang w:val="uk-UA"/>
        </w:rPr>
        <w:t xml:space="preserve">виявлених </w:t>
      </w:r>
      <w:r w:rsidRPr="00AA26C0">
        <w:rPr>
          <w:color w:val="000000"/>
          <w:sz w:val="28"/>
          <w:szCs w:val="28"/>
          <w:lang w:val="uk-UA"/>
        </w:rPr>
        <w:t xml:space="preserve">порушень вуглеводного обміну (ПВО), із інсулінорезистентністю (ІР), із </w:t>
      </w:r>
      <w:r>
        <w:rPr>
          <w:color w:val="000000"/>
          <w:sz w:val="28"/>
          <w:szCs w:val="28"/>
          <w:lang w:val="uk-UA"/>
        </w:rPr>
        <w:t xml:space="preserve">підвищенням рівню глюкози натще (ПГН), </w:t>
      </w:r>
      <w:r w:rsidRPr="00AA26C0">
        <w:rPr>
          <w:color w:val="000000"/>
          <w:sz w:val="28"/>
          <w:szCs w:val="28"/>
          <w:lang w:val="uk-UA"/>
        </w:rPr>
        <w:t xml:space="preserve">порушенням толерантності до глюкози (ПТГ) та із цукровим діабетом (ЦД). </w:t>
      </w:r>
      <w:r w:rsidRPr="00AA26C0">
        <w:rPr>
          <w:sz w:val="28"/>
          <w:szCs w:val="28"/>
          <w:lang w:val="uk-UA"/>
        </w:rPr>
        <w:t>).</w:t>
      </w:r>
      <w:r w:rsidRPr="00AA26C0">
        <w:rPr>
          <w:bCs/>
          <w:sz w:val="28"/>
          <w:szCs w:val="28"/>
          <w:lang w:val="uk-UA"/>
        </w:rPr>
        <w:t xml:space="preserve"> Пацієнти із ПГН та ПТГ були об’єднані у одну групу. Для оцінки впливу </w:t>
      </w:r>
      <w:r w:rsidRPr="00AA26C0">
        <w:rPr>
          <w:sz w:val="28"/>
          <w:szCs w:val="28"/>
          <w:lang w:val="uk-UA"/>
        </w:rPr>
        <w:t>порушень вуглеводного обміну на виникнення ГЛШ було проаналізовано виявлення ГЛШ (згідно з ІМЛШ</w:t>
      </w:r>
      <w:r w:rsidRPr="00AA26C0">
        <w:rPr>
          <w:sz w:val="28"/>
          <w:szCs w:val="28"/>
          <w:vertAlign w:val="subscript"/>
          <w:lang w:val="uk-UA"/>
        </w:rPr>
        <w:t>2</w:t>
      </w:r>
      <w:r w:rsidRPr="00AA26C0">
        <w:rPr>
          <w:sz w:val="28"/>
          <w:szCs w:val="28"/>
          <w:lang w:val="uk-UA"/>
        </w:rPr>
        <w:t xml:space="preserve">) у </w:t>
      </w:r>
      <w:r>
        <w:rPr>
          <w:sz w:val="28"/>
          <w:szCs w:val="28"/>
          <w:lang w:val="uk-UA"/>
        </w:rPr>
        <w:t xml:space="preserve">цих </w:t>
      </w:r>
      <w:r w:rsidRPr="00AA26C0">
        <w:rPr>
          <w:sz w:val="28"/>
          <w:szCs w:val="28"/>
          <w:lang w:val="uk-UA"/>
        </w:rPr>
        <w:t>групах пацієнтів</w:t>
      </w:r>
      <w:r>
        <w:rPr>
          <w:sz w:val="28"/>
          <w:szCs w:val="28"/>
          <w:lang w:val="uk-UA"/>
        </w:rPr>
        <w:t xml:space="preserve">. </w:t>
      </w:r>
      <w:r w:rsidRPr="00AA26C0">
        <w:rPr>
          <w:bCs/>
          <w:sz w:val="28"/>
          <w:szCs w:val="28"/>
          <w:lang w:val="uk-UA"/>
        </w:rPr>
        <w:t>По мірі погіршення стану вуглеводного обміну у групах зменшувалась кількість нормальної геометрії ЛШ та збільшувалось виявлення КГЛШ. У п</w:t>
      </w:r>
      <w:r>
        <w:rPr>
          <w:bCs/>
          <w:sz w:val="28"/>
          <w:szCs w:val="28"/>
          <w:lang w:val="uk-UA"/>
        </w:rPr>
        <w:t>ацієнтів із ЦД не виявлено НГЛШ (Рис 2</w:t>
      </w:r>
      <w:r w:rsidRPr="00AA26C0">
        <w:rPr>
          <w:bCs/>
          <w:sz w:val="28"/>
          <w:szCs w:val="28"/>
          <w:lang w:val="uk-UA"/>
        </w:rPr>
        <w:t>)</w:t>
      </w:r>
      <w:r>
        <w:rPr>
          <w:bCs/>
          <w:sz w:val="28"/>
          <w:szCs w:val="28"/>
          <w:lang w:val="en-US"/>
        </w:rPr>
        <w:t>.</w:t>
      </w:r>
    </w:p>
    <w:p w:rsidR="004B5E3F" w:rsidRPr="00AA26C0" w:rsidRDefault="004B5E3F" w:rsidP="004B5E3F">
      <w:pPr>
        <w:spacing w:line="340" w:lineRule="exact"/>
        <w:ind w:firstLine="900"/>
        <w:jc w:val="both"/>
        <w:rPr>
          <w:bCs/>
          <w:sz w:val="28"/>
          <w:szCs w:val="28"/>
          <w:lang w:val="uk-UA"/>
        </w:rPr>
      </w:pPr>
    </w:p>
    <w:p w:rsidR="004B5E3F" w:rsidRPr="00AA26C0" w:rsidRDefault="004B5E3F" w:rsidP="004B5E3F">
      <w:pPr>
        <w:ind w:firstLine="360"/>
        <w:jc w:val="both"/>
        <w:rPr>
          <w:bCs/>
          <w:sz w:val="28"/>
          <w:szCs w:val="28"/>
          <w:lang w:val="en-US"/>
        </w:rPr>
      </w:pPr>
      <w:r>
        <w:rPr>
          <w:noProof/>
          <w:sz w:val="28"/>
          <w:szCs w:val="28"/>
          <w:lang w:eastAsia="ru-RU"/>
        </w:rPr>
        <w:drawing>
          <wp:inline distT="0" distB="0" distL="0" distR="0">
            <wp:extent cx="5723890" cy="282638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890" cy="2826385"/>
                    </a:xfrm>
                    <a:prstGeom prst="rect">
                      <a:avLst/>
                    </a:prstGeom>
                    <a:noFill/>
                    <a:ln>
                      <a:noFill/>
                    </a:ln>
                  </pic:spPr>
                </pic:pic>
              </a:graphicData>
            </a:graphic>
          </wp:inline>
        </w:drawing>
      </w:r>
    </w:p>
    <w:p w:rsidR="004B5E3F" w:rsidRDefault="004B5E3F" w:rsidP="004B5E3F">
      <w:pPr>
        <w:ind w:firstLine="540"/>
        <w:jc w:val="both"/>
        <w:rPr>
          <w:sz w:val="28"/>
          <w:szCs w:val="28"/>
          <w:lang w:val="uk-UA"/>
        </w:rPr>
      </w:pPr>
      <w:r>
        <w:rPr>
          <w:sz w:val="28"/>
          <w:szCs w:val="28"/>
          <w:lang w:val="uk-UA"/>
        </w:rPr>
        <w:t>Рис.2</w:t>
      </w:r>
      <w:r w:rsidRPr="00AA26C0">
        <w:rPr>
          <w:sz w:val="28"/>
          <w:szCs w:val="28"/>
          <w:lang w:val="uk-UA"/>
        </w:rPr>
        <w:t>. Типи ГЛШ у пацієнтів із різними ПВО та без нього (%).</w:t>
      </w:r>
    </w:p>
    <w:p w:rsidR="004B5E3F" w:rsidRDefault="004B5E3F" w:rsidP="004B5E3F">
      <w:pPr>
        <w:ind w:firstLine="540"/>
        <w:jc w:val="both"/>
        <w:rPr>
          <w:sz w:val="28"/>
          <w:szCs w:val="28"/>
          <w:lang w:val="uk-UA"/>
        </w:rPr>
      </w:pPr>
    </w:p>
    <w:p w:rsidR="004B5E3F" w:rsidRDefault="004B5E3F" w:rsidP="004B5E3F">
      <w:pPr>
        <w:spacing w:line="340" w:lineRule="exact"/>
        <w:ind w:firstLine="720"/>
        <w:jc w:val="both"/>
        <w:rPr>
          <w:sz w:val="28"/>
          <w:szCs w:val="28"/>
          <w:lang w:val="uk-UA"/>
        </w:rPr>
      </w:pPr>
      <w:r w:rsidRPr="00AA26C0">
        <w:rPr>
          <w:sz w:val="28"/>
          <w:szCs w:val="28"/>
          <w:lang w:val="uk-UA"/>
        </w:rPr>
        <w:t xml:space="preserve">Було виявлено, що у </w:t>
      </w:r>
      <w:r w:rsidRPr="00AA26C0">
        <w:rPr>
          <w:bCs/>
          <w:sz w:val="28"/>
          <w:szCs w:val="28"/>
          <w:lang w:val="uk-UA"/>
        </w:rPr>
        <w:t xml:space="preserve">жіночих та чоловічих групах хворих із ГХ по мірі збільшення ІМТ погіршуються показники вуглеводного обміну, у чоловіків більш значно, ніж у жінок. Кореляційний зв'язок </w:t>
      </w:r>
      <w:r>
        <w:rPr>
          <w:bCs/>
          <w:sz w:val="28"/>
          <w:szCs w:val="28"/>
          <w:lang w:val="uk-UA"/>
        </w:rPr>
        <w:t xml:space="preserve">КДР, </w:t>
      </w:r>
      <w:r w:rsidRPr="00AA26C0">
        <w:rPr>
          <w:bCs/>
          <w:sz w:val="28"/>
          <w:szCs w:val="28"/>
          <w:lang w:val="uk-UA"/>
        </w:rPr>
        <w:t>МЛШ та її індексів із рівнями глюкози та індексом НОМА більш сильний у чоловіків, ніж у жінок. На відміну від чоловіків</w:t>
      </w:r>
      <w:r>
        <w:rPr>
          <w:bCs/>
          <w:sz w:val="28"/>
          <w:szCs w:val="28"/>
          <w:lang w:val="uk-UA"/>
        </w:rPr>
        <w:t>,</w:t>
      </w:r>
      <w:r w:rsidRPr="00AA26C0">
        <w:rPr>
          <w:bCs/>
          <w:sz w:val="28"/>
          <w:szCs w:val="28"/>
          <w:lang w:val="uk-UA"/>
        </w:rPr>
        <w:t xml:space="preserve"> у жінок був виявлений слабкий, але достовірний кореляційний зв'язок ВТС із рівнем інсуліну (</w:t>
      </w:r>
      <w:r w:rsidRPr="00AA26C0">
        <w:rPr>
          <w:bCs/>
          <w:sz w:val="28"/>
          <w:szCs w:val="28"/>
          <w:lang w:val="en-US"/>
        </w:rPr>
        <w:t>r</w:t>
      </w:r>
      <w:r w:rsidRPr="00AA26C0">
        <w:rPr>
          <w:bCs/>
          <w:sz w:val="28"/>
          <w:szCs w:val="28"/>
          <w:lang w:val="uk-UA"/>
        </w:rPr>
        <w:t xml:space="preserve"> = 0,18; </w:t>
      </w:r>
      <w:r w:rsidRPr="00AA26C0">
        <w:rPr>
          <w:bCs/>
          <w:sz w:val="28"/>
          <w:szCs w:val="28"/>
          <w:lang w:val="en-US"/>
        </w:rPr>
        <w:t>p</w:t>
      </w:r>
      <w:r w:rsidRPr="00AA26C0">
        <w:rPr>
          <w:bCs/>
          <w:sz w:val="28"/>
          <w:szCs w:val="28"/>
          <w:lang w:val="uk-UA"/>
        </w:rPr>
        <w:t xml:space="preserve"> &lt;0,05) та індексом НОМА (</w:t>
      </w:r>
      <w:r w:rsidRPr="00AA26C0">
        <w:rPr>
          <w:bCs/>
          <w:sz w:val="28"/>
          <w:szCs w:val="28"/>
          <w:lang w:val="en-US"/>
        </w:rPr>
        <w:t>r</w:t>
      </w:r>
      <w:r w:rsidRPr="00AA26C0">
        <w:rPr>
          <w:bCs/>
          <w:sz w:val="28"/>
          <w:szCs w:val="28"/>
          <w:lang w:val="uk-UA"/>
        </w:rPr>
        <w:t xml:space="preserve"> = 0,18; </w:t>
      </w:r>
      <w:r w:rsidRPr="00AA26C0">
        <w:rPr>
          <w:bCs/>
          <w:sz w:val="28"/>
          <w:szCs w:val="28"/>
          <w:lang w:val="en-US"/>
        </w:rPr>
        <w:t>p</w:t>
      </w:r>
      <w:r>
        <w:rPr>
          <w:bCs/>
          <w:sz w:val="28"/>
          <w:szCs w:val="28"/>
          <w:lang w:val="uk-UA"/>
        </w:rPr>
        <w:t xml:space="preserve"> &lt;0,05), що </w:t>
      </w:r>
      <w:r w:rsidRPr="00AA26C0">
        <w:rPr>
          <w:bCs/>
          <w:sz w:val="28"/>
          <w:szCs w:val="28"/>
          <w:lang w:val="uk-UA"/>
        </w:rPr>
        <w:t xml:space="preserve">може </w:t>
      </w:r>
      <w:r>
        <w:rPr>
          <w:bCs/>
          <w:sz w:val="28"/>
          <w:szCs w:val="28"/>
          <w:lang w:val="uk-UA"/>
        </w:rPr>
        <w:t xml:space="preserve">вказувати на етіологічну роль </w:t>
      </w:r>
      <w:r w:rsidRPr="00AA26C0">
        <w:rPr>
          <w:bCs/>
          <w:sz w:val="28"/>
          <w:szCs w:val="28"/>
          <w:lang w:val="uk-UA"/>
        </w:rPr>
        <w:t>наявності ІР (гіп</w:t>
      </w:r>
      <w:r>
        <w:rPr>
          <w:bCs/>
          <w:sz w:val="28"/>
          <w:szCs w:val="28"/>
          <w:lang w:val="uk-UA"/>
        </w:rPr>
        <w:t>ерглікемії та гіперінсулінемії) при потовщенні</w:t>
      </w:r>
      <w:r w:rsidRPr="00AA26C0">
        <w:rPr>
          <w:bCs/>
          <w:sz w:val="28"/>
          <w:szCs w:val="28"/>
          <w:lang w:val="uk-UA"/>
        </w:rPr>
        <w:t xml:space="preserve"> стінок ЛШ</w:t>
      </w:r>
      <w:r>
        <w:rPr>
          <w:bCs/>
          <w:sz w:val="28"/>
          <w:szCs w:val="28"/>
          <w:lang w:val="uk-UA"/>
        </w:rPr>
        <w:t>.</w:t>
      </w:r>
      <w:r w:rsidRPr="00AA26C0">
        <w:rPr>
          <w:bCs/>
          <w:sz w:val="28"/>
          <w:szCs w:val="28"/>
          <w:lang w:val="uk-UA"/>
        </w:rPr>
        <w:t xml:space="preserve"> </w:t>
      </w:r>
      <w:r w:rsidRPr="00AA26C0">
        <w:rPr>
          <w:sz w:val="28"/>
          <w:szCs w:val="28"/>
          <w:lang w:val="uk-UA"/>
        </w:rPr>
        <w:t xml:space="preserve">При дослідженні кореляційної залежності окремо у жінок до і після 50 років виявилось, що тільки у жінок </w:t>
      </w:r>
      <w:r w:rsidRPr="00AA26C0">
        <w:rPr>
          <w:bCs/>
          <w:sz w:val="28"/>
          <w:szCs w:val="28"/>
          <w:lang w:val="uk-UA"/>
        </w:rPr>
        <w:t>старше</w:t>
      </w:r>
      <w:r w:rsidRPr="00AA26C0">
        <w:rPr>
          <w:sz w:val="28"/>
          <w:szCs w:val="28"/>
          <w:lang w:val="uk-UA"/>
        </w:rPr>
        <w:t xml:space="preserve"> 50 років є прямий </w:t>
      </w:r>
      <w:r w:rsidRPr="00AA26C0">
        <w:rPr>
          <w:bCs/>
          <w:sz w:val="28"/>
          <w:szCs w:val="28"/>
          <w:lang w:val="uk-UA"/>
        </w:rPr>
        <w:t xml:space="preserve">достовірний </w:t>
      </w:r>
      <w:r w:rsidRPr="00AA26C0">
        <w:rPr>
          <w:sz w:val="28"/>
          <w:szCs w:val="28"/>
          <w:lang w:val="uk-UA"/>
        </w:rPr>
        <w:t>зв’язок рівня глюкози натще із МЛШ (</w:t>
      </w:r>
      <w:r w:rsidRPr="00AA26C0">
        <w:rPr>
          <w:sz w:val="28"/>
          <w:szCs w:val="28"/>
          <w:lang w:val="en-US"/>
        </w:rPr>
        <w:t>r</w:t>
      </w:r>
      <w:r w:rsidRPr="00AA26C0">
        <w:rPr>
          <w:sz w:val="28"/>
          <w:szCs w:val="28"/>
          <w:lang w:val="uk-UA"/>
        </w:rPr>
        <w:t xml:space="preserve"> = 0,25; </w:t>
      </w:r>
      <w:r w:rsidRPr="00AA26C0">
        <w:rPr>
          <w:sz w:val="28"/>
          <w:szCs w:val="28"/>
          <w:lang w:val="en-US"/>
        </w:rPr>
        <w:t>p</w:t>
      </w:r>
      <w:r w:rsidRPr="00AA26C0">
        <w:rPr>
          <w:sz w:val="28"/>
          <w:szCs w:val="28"/>
          <w:lang w:val="uk-UA"/>
        </w:rPr>
        <w:t xml:space="preserve"> &lt; 0,05) та прямі </w:t>
      </w:r>
      <w:r w:rsidRPr="00AA26C0">
        <w:rPr>
          <w:bCs/>
          <w:sz w:val="28"/>
          <w:szCs w:val="28"/>
          <w:lang w:val="uk-UA"/>
        </w:rPr>
        <w:t xml:space="preserve">достовірні </w:t>
      </w:r>
      <w:r w:rsidRPr="00AA26C0">
        <w:rPr>
          <w:sz w:val="28"/>
          <w:szCs w:val="28"/>
          <w:lang w:val="uk-UA"/>
        </w:rPr>
        <w:t>зв’язки рівня інсуліну натще із товщиною МШП (</w:t>
      </w:r>
      <w:r w:rsidRPr="00AA26C0">
        <w:rPr>
          <w:sz w:val="28"/>
          <w:szCs w:val="28"/>
          <w:lang w:val="en-US"/>
        </w:rPr>
        <w:t>r</w:t>
      </w:r>
      <w:r w:rsidRPr="00AA26C0">
        <w:rPr>
          <w:sz w:val="28"/>
          <w:szCs w:val="28"/>
          <w:lang w:val="uk-UA"/>
        </w:rPr>
        <w:t xml:space="preserve"> = 0,20; </w:t>
      </w:r>
      <w:r w:rsidRPr="00AA26C0">
        <w:rPr>
          <w:sz w:val="28"/>
          <w:szCs w:val="28"/>
          <w:lang w:val="en-US"/>
        </w:rPr>
        <w:t>p</w:t>
      </w:r>
      <w:r w:rsidRPr="00AA26C0">
        <w:rPr>
          <w:sz w:val="28"/>
          <w:szCs w:val="28"/>
          <w:lang w:val="uk-UA"/>
        </w:rPr>
        <w:t xml:space="preserve"> &lt; 0,05)</w:t>
      </w:r>
      <w:r w:rsidRPr="00AA26C0">
        <w:rPr>
          <w:bCs/>
          <w:sz w:val="28"/>
          <w:szCs w:val="28"/>
          <w:lang w:val="uk-UA"/>
        </w:rPr>
        <w:t xml:space="preserve"> </w:t>
      </w:r>
      <w:r w:rsidRPr="00AA26C0">
        <w:rPr>
          <w:sz w:val="28"/>
          <w:szCs w:val="28"/>
          <w:lang w:val="uk-UA"/>
        </w:rPr>
        <w:t>та ЗС ЛШ</w:t>
      </w:r>
      <w:r w:rsidRPr="00AA26C0">
        <w:rPr>
          <w:bCs/>
          <w:sz w:val="28"/>
          <w:szCs w:val="28"/>
          <w:lang w:val="uk-UA"/>
        </w:rPr>
        <w:t xml:space="preserve"> </w:t>
      </w:r>
      <w:r w:rsidRPr="00AA26C0">
        <w:rPr>
          <w:sz w:val="28"/>
          <w:szCs w:val="28"/>
          <w:lang w:val="uk-UA"/>
        </w:rPr>
        <w:t>(</w:t>
      </w:r>
      <w:r w:rsidRPr="00AA26C0">
        <w:rPr>
          <w:sz w:val="28"/>
          <w:szCs w:val="28"/>
          <w:lang w:val="en-US"/>
        </w:rPr>
        <w:t>r</w:t>
      </w:r>
      <w:r w:rsidRPr="00AA26C0">
        <w:rPr>
          <w:sz w:val="28"/>
          <w:szCs w:val="28"/>
          <w:lang w:val="uk-UA"/>
        </w:rPr>
        <w:t xml:space="preserve"> = 0,20; </w:t>
      </w:r>
      <w:r w:rsidRPr="00AA26C0">
        <w:rPr>
          <w:sz w:val="28"/>
          <w:szCs w:val="28"/>
          <w:lang w:val="en-US"/>
        </w:rPr>
        <w:t>p</w:t>
      </w:r>
      <w:r w:rsidRPr="00AA26C0">
        <w:rPr>
          <w:sz w:val="28"/>
          <w:szCs w:val="28"/>
          <w:lang w:val="uk-UA"/>
        </w:rPr>
        <w:t xml:space="preserve"> &lt; 0,05).</w:t>
      </w:r>
      <w:r w:rsidRPr="00AA26C0">
        <w:rPr>
          <w:bCs/>
          <w:sz w:val="28"/>
          <w:szCs w:val="28"/>
          <w:lang w:val="uk-UA"/>
        </w:rPr>
        <w:t xml:space="preserve"> У</w:t>
      </w:r>
      <w:r>
        <w:rPr>
          <w:bCs/>
          <w:sz w:val="28"/>
          <w:szCs w:val="28"/>
          <w:lang w:val="uk-UA"/>
        </w:rPr>
        <w:t xml:space="preserve"> чоловіків та у</w:t>
      </w:r>
      <w:r w:rsidRPr="00AA26C0">
        <w:rPr>
          <w:bCs/>
          <w:sz w:val="28"/>
          <w:szCs w:val="28"/>
          <w:lang w:val="uk-UA"/>
        </w:rPr>
        <w:t xml:space="preserve"> жінок молодше 50 рок</w:t>
      </w:r>
      <w:r>
        <w:rPr>
          <w:bCs/>
          <w:sz w:val="28"/>
          <w:szCs w:val="28"/>
          <w:lang w:val="uk-UA"/>
        </w:rPr>
        <w:t>ів подібні зв’язки не виявлені</w:t>
      </w:r>
      <w:r w:rsidRPr="00AA26C0">
        <w:rPr>
          <w:bCs/>
          <w:sz w:val="28"/>
          <w:szCs w:val="28"/>
          <w:lang w:val="uk-UA"/>
        </w:rPr>
        <w:t>. При недостовірній різниці ІМТ та ОТ у жінок старше 50 років виявлено достовірно вищі рівні глюкози натще (</w:t>
      </w:r>
      <w:r w:rsidRPr="00AA26C0">
        <w:rPr>
          <w:bCs/>
          <w:sz w:val="28"/>
          <w:szCs w:val="28"/>
          <w:lang w:val="en-US"/>
        </w:rPr>
        <w:t>p</w:t>
      </w:r>
      <w:r w:rsidRPr="00AA26C0">
        <w:rPr>
          <w:bCs/>
          <w:sz w:val="28"/>
          <w:szCs w:val="28"/>
          <w:lang w:val="uk-UA"/>
        </w:rPr>
        <w:t xml:space="preserve"> &lt; 0,05)</w:t>
      </w:r>
      <w:r w:rsidRPr="00AA26C0">
        <w:rPr>
          <w:sz w:val="28"/>
          <w:szCs w:val="28"/>
          <w:lang w:val="uk-UA"/>
        </w:rPr>
        <w:t xml:space="preserve"> </w:t>
      </w:r>
      <w:r w:rsidRPr="00AA26C0">
        <w:rPr>
          <w:bCs/>
          <w:sz w:val="28"/>
          <w:szCs w:val="28"/>
          <w:lang w:val="uk-UA"/>
        </w:rPr>
        <w:t>та індексу НОМА (</w:t>
      </w:r>
      <w:r w:rsidRPr="00AA26C0">
        <w:rPr>
          <w:bCs/>
          <w:sz w:val="28"/>
          <w:szCs w:val="28"/>
          <w:lang w:val="en-US"/>
        </w:rPr>
        <w:t>p</w:t>
      </w:r>
      <w:r w:rsidRPr="00AA26C0">
        <w:rPr>
          <w:bCs/>
          <w:sz w:val="28"/>
          <w:szCs w:val="28"/>
          <w:lang w:val="uk-UA"/>
        </w:rPr>
        <w:t xml:space="preserve"> &lt; </w:t>
      </w:r>
      <w:r w:rsidRPr="00AA26C0">
        <w:rPr>
          <w:bCs/>
          <w:sz w:val="28"/>
          <w:szCs w:val="28"/>
          <w:lang w:val="uk-UA"/>
        </w:rPr>
        <w:lastRenderedPageBreak/>
        <w:t xml:space="preserve">0,05 ), ніж у жінок молодше 50 років. У старших жінок виявляється ІР (НОМА - </w:t>
      </w:r>
      <w:r w:rsidRPr="00AA26C0">
        <w:rPr>
          <w:sz w:val="28"/>
          <w:szCs w:val="28"/>
          <w:lang w:val="uk-UA"/>
        </w:rPr>
        <w:t xml:space="preserve">3,7 </w:t>
      </w:r>
      <w:r w:rsidRPr="00AA26C0">
        <w:rPr>
          <w:sz w:val="28"/>
          <w:szCs w:val="28"/>
        </w:rPr>
        <w:sym w:font="Symbol" w:char="F0B1"/>
      </w:r>
      <w:r w:rsidRPr="00AA26C0">
        <w:rPr>
          <w:sz w:val="28"/>
          <w:szCs w:val="28"/>
          <w:lang w:val="uk-UA"/>
        </w:rPr>
        <w:t xml:space="preserve"> 0,4</w:t>
      </w:r>
      <w:r w:rsidRPr="00AA26C0">
        <w:rPr>
          <w:bCs/>
          <w:sz w:val="28"/>
          <w:szCs w:val="28"/>
          <w:lang w:val="uk-UA"/>
        </w:rPr>
        <w:t xml:space="preserve"> у.о.) та ПГН (рівень глюкози натще - </w:t>
      </w:r>
      <w:r w:rsidRPr="00AA26C0">
        <w:rPr>
          <w:sz w:val="28"/>
          <w:szCs w:val="28"/>
          <w:lang w:val="uk-UA"/>
        </w:rPr>
        <w:t xml:space="preserve">5,6 </w:t>
      </w:r>
      <w:r w:rsidRPr="00AA26C0">
        <w:rPr>
          <w:sz w:val="28"/>
          <w:szCs w:val="28"/>
        </w:rPr>
        <w:sym w:font="Symbol" w:char="F0B1"/>
      </w:r>
      <w:r w:rsidRPr="00AA26C0">
        <w:rPr>
          <w:sz w:val="28"/>
          <w:szCs w:val="28"/>
          <w:lang w:val="uk-UA"/>
        </w:rPr>
        <w:t xml:space="preserve"> 0,1 ммоль/л, за рекомендаціями </w:t>
      </w:r>
      <w:r w:rsidRPr="00AA26C0">
        <w:rPr>
          <w:sz w:val="28"/>
          <w:szCs w:val="28"/>
          <w:lang w:val="en-US"/>
        </w:rPr>
        <w:t>IDF</w:t>
      </w:r>
      <w:r w:rsidRPr="00AA26C0">
        <w:rPr>
          <w:sz w:val="28"/>
          <w:szCs w:val="28"/>
          <w:lang w:val="uk-UA"/>
        </w:rPr>
        <w:t xml:space="preserve">). </w:t>
      </w:r>
    </w:p>
    <w:p w:rsidR="004B5E3F" w:rsidRDefault="004B5E3F" w:rsidP="004B5E3F">
      <w:pPr>
        <w:spacing w:line="340" w:lineRule="exact"/>
        <w:ind w:firstLine="720"/>
        <w:jc w:val="both"/>
        <w:rPr>
          <w:bCs/>
          <w:sz w:val="28"/>
          <w:szCs w:val="28"/>
          <w:lang w:val="uk-UA"/>
        </w:rPr>
      </w:pPr>
      <w:r w:rsidRPr="00AA26C0">
        <w:rPr>
          <w:bCs/>
          <w:sz w:val="28"/>
          <w:szCs w:val="28"/>
          <w:lang w:val="uk-UA"/>
        </w:rPr>
        <w:t>Розділивши усіх пацієнтів (</w:t>
      </w:r>
      <w:r w:rsidRPr="00AA26C0">
        <w:rPr>
          <w:bCs/>
          <w:sz w:val="28"/>
          <w:szCs w:val="28"/>
          <w:lang w:val="en-US"/>
        </w:rPr>
        <w:t>n</w:t>
      </w:r>
      <w:r w:rsidRPr="00AA26C0">
        <w:rPr>
          <w:bCs/>
          <w:sz w:val="28"/>
          <w:szCs w:val="28"/>
          <w:lang w:val="uk-UA"/>
        </w:rPr>
        <w:t xml:space="preserve"> = 190) в залежності від наявності у них ПВО та вирахувавши у них середні показники маси ЛШ, ми відмітили, що МЛШ у пацієнтів із ІР (263,1 </w:t>
      </w:r>
      <w:r w:rsidRPr="00AA26C0">
        <w:rPr>
          <w:sz w:val="28"/>
          <w:szCs w:val="28"/>
        </w:rPr>
        <w:sym w:font="Symbol" w:char="F0B1"/>
      </w:r>
      <w:r w:rsidRPr="00AA26C0">
        <w:rPr>
          <w:sz w:val="28"/>
          <w:szCs w:val="28"/>
          <w:lang w:val="uk-UA"/>
        </w:rPr>
        <w:t xml:space="preserve"> </w:t>
      </w:r>
      <w:r w:rsidRPr="00AA26C0">
        <w:rPr>
          <w:bCs/>
          <w:sz w:val="28"/>
          <w:szCs w:val="28"/>
          <w:lang w:val="uk-UA"/>
        </w:rPr>
        <w:t xml:space="preserve">9,4 г), ПТГ (259,7 </w:t>
      </w:r>
      <w:r w:rsidRPr="00AA26C0">
        <w:rPr>
          <w:sz w:val="28"/>
          <w:szCs w:val="28"/>
        </w:rPr>
        <w:sym w:font="Symbol" w:char="F0B1"/>
      </w:r>
      <w:r w:rsidRPr="00AA26C0">
        <w:rPr>
          <w:sz w:val="28"/>
          <w:szCs w:val="28"/>
          <w:lang w:val="uk-UA"/>
        </w:rPr>
        <w:t xml:space="preserve"> </w:t>
      </w:r>
      <w:r w:rsidRPr="00AA26C0">
        <w:rPr>
          <w:bCs/>
          <w:sz w:val="28"/>
          <w:szCs w:val="28"/>
          <w:lang w:val="uk-UA"/>
        </w:rPr>
        <w:t xml:space="preserve">7,8 г) та у пацієнтів із ЦД (296,8 </w:t>
      </w:r>
      <w:r w:rsidRPr="00AA26C0">
        <w:rPr>
          <w:sz w:val="28"/>
          <w:szCs w:val="28"/>
        </w:rPr>
        <w:sym w:font="Symbol" w:char="F0B1"/>
      </w:r>
      <w:r w:rsidRPr="00AA26C0">
        <w:rPr>
          <w:sz w:val="28"/>
          <w:szCs w:val="28"/>
          <w:lang w:val="uk-UA"/>
        </w:rPr>
        <w:t xml:space="preserve"> </w:t>
      </w:r>
      <w:r w:rsidRPr="00AA26C0">
        <w:rPr>
          <w:bCs/>
          <w:sz w:val="28"/>
          <w:szCs w:val="28"/>
          <w:lang w:val="uk-UA"/>
        </w:rPr>
        <w:t xml:space="preserve">13,1 г) достовірно більша (всі </w:t>
      </w:r>
      <w:r w:rsidRPr="00AA26C0">
        <w:rPr>
          <w:bCs/>
          <w:sz w:val="28"/>
          <w:szCs w:val="28"/>
          <w:lang w:val="en-US"/>
        </w:rPr>
        <w:t>p</w:t>
      </w:r>
      <w:r w:rsidRPr="00AA26C0">
        <w:rPr>
          <w:bCs/>
          <w:sz w:val="28"/>
          <w:szCs w:val="28"/>
          <w:lang w:val="uk-UA"/>
        </w:rPr>
        <w:t xml:space="preserve"> &lt; 0,001) ніж МЛШ у пацієнтів без ПВО (230,0 </w:t>
      </w:r>
      <w:r w:rsidRPr="00AA26C0">
        <w:rPr>
          <w:sz w:val="28"/>
          <w:szCs w:val="28"/>
        </w:rPr>
        <w:sym w:font="Symbol" w:char="F0B1"/>
      </w:r>
      <w:r w:rsidRPr="00AA26C0">
        <w:rPr>
          <w:sz w:val="28"/>
          <w:szCs w:val="28"/>
          <w:lang w:val="uk-UA"/>
        </w:rPr>
        <w:t xml:space="preserve"> 6</w:t>
      </w:r>
      <w:r w:rsidRPr="00AA26C0">
        <w:rPr>
          <w:bCs/>
          <w:sz w:val="28"/>
          <w:szCs w:val="28"/>
          <w:lang w:val="uk-UA"/>
        </w:rPr>
        <w:t>,5 г) (табл.</w:t>
      </w:r>
      <w:r>
        <w:rPr>
          <w:bCs/>
          <w:sz w:val="28"/>
          <w:szCs w:val="28"/>
          <w:lang w:val="uk-UA"/>
        </w:rPr>
        <w:t>4</w:t>
      </w:r>
      <w:r w:rsidRPr="00AA26C0">
        <w:rPr>
          <w:bCs/>
          <w:sz w:val="28"/>
          <w:szCs w:val="28"/>
          <w:lang w:val="uk-UA"/>
        </w:rPr>
        <w:t xml:space="preserve">). </w:t>
      </w:r>
    </w:p>
    <w:p w:rsidR="004B5E3F" w:rsidRDefault="004B5E3F" w:rsidP="004B5E3F">
      <w:pPr>
        <w:spacing w:line="340" w:lineRule="exact"/>
        <w:ind w:firstLine="720"/>
        <w:jc w:val="both"/>
        <w:rPr>
          <w:bCs/>
          <w:sz w:val="28"/>
          <w:szCs w:val="28"/>
          <w:lang w:val="uk-UA"/>
        </w:rPr>
      </w:pPr>
    </w:p>
    <w:p w:rsidR="004B5E3F" w:rsidRPr="00AA26C0" w:rsidRDefault="004B5E3F" w:rsidP="004B5E3F">
      <w:pPr>
        <w:ind w:firstLine="1080"/>
        <w:jc w:val="right"/>
        <w:rPr>
          <w:bCs/>
          <w:sz w:val="28"/>
          <w:szCs w:val="28"/>
          <w:lang w:val="uk-UA"/>
        </w:rPr>
      </w:pPr>
      <w:r w:rsidRPr="00AA26C0">
        <w:rPr>
          <w:bCs/>
          <w:sz w:val="28"/>
          <w:szCs w:val="28"/>
          <w:lang w:val="uk-UA"/>
        </w:rPr>
        <w:t xml:space="preserve">Таблиця </w:t>
      </w:r>
      <w:r>
        <w:rPr>
          <w:bCs/>
          <w:sz w:val="28"/>
          <w:szCs w:val="28"/>
          <w:lang w:val="uk-UA"/>
        </w:rPr>
        <w:t>4</w:t>
      </w:r>
    </w:p>
    <w:p w:rsidR="004B5E3F" w:rsidRPr="00AA26C0" w:rsidRDefault="004B5E3F" w:rsidP="004B5E3F">
      <w:pPr>
        <w:jc w:val="center"/>
        <w:rPr>
          <w:bCs/>
          <w:sz w:val="28"/>
          <w:szCs w:val="28"/>
          <w:lang w:val="uk-UA"/>
        </w:rPr>
      </w:pPr>
      <w:r w:rsidRPr="00AA26C0">
        <w:rPr>
          <w:bCs/>
          <w:sz w:val="28"/>
          <w:szCs w:val="28"/>
          <w:lang w:val="uk-UA"/>
        </w:rPr>
        <w:t>Середні показники характеристик МЛШ у групах пацієнтів в залежності від наявності ПВО</w:t>
      </w:r>
      <w:r w:rsidRPr="00AA26C0">
        <w:rPr>
          <w:sz w:val="28"/>
          <w:szCs w:val="28"/>
          <w:lang w:val="uk-UA"/>
        </w:rPr>
        <w:t xml:space="preserve"> (</w:t>
      </w:r>
      <w:r w:rsidRPr="00AA26C0">
        <w:rPr>
          <w:sz w:val="28"/>
          <w:szCs w:val="28"/>
          <w:lang w:val="en-US"/>
        </w:rPr>
        <w:t>M</w:t>
      </w:r>
      <w:r w:rsidRPr="00AA26C0">
        <w:rPr>
          <w:sz w:val="28"/>
          <w:szCs w:val="28"/>
        </w:rPr>
        <w:sym w:font="Symbol" w:char="F0B1"/>
      </w:r>
      <w:r w:rsidRPr="00AA26C0">
        <w:rPr>
          <w:sz w:val="28"/>
          <w:szCs w:val="28"/>
          <w:lang w:val="en-US"/>
        </w:rPr>
        <w:t>m</w:t>
      </w:r>
      <w:r w:rsidRPr="00AA26C0">
        <w:rPr>
          <w:sz w:val="28"/>
          <w:szCs w:val="28"/>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980"/>
        <w:gridCol w:w="2160"/>
        <w:gridCol w:w="1980"/>
      </w:tblGrid>
      <w:tr w:rsidR="004B5E3F" w:rsidRPr="00AA26C0" w:rsidTr="000B14BF">
        <w:trPr>
          <w:trHeight w:val="255"/>
        </w:trPr>
        <w:tc>
          <w:tcPr>
            <w:tcW w:w="2520" w:type="dxa"/>
            <w:vAlign w:val="center"/>
          </w:tcPr>
          <w:p w:rsidR="004B5E3F" w:rsidRPr="00AA26C0" w:rsidRDefault="004B5E3F" w:rsidP="000B14BF">
            <w:pPr>
              <w:jc w:val="center"/>
              <w:rPr>
                <w:sz w:val="28"/>
                <w:szCs w:val="28"/>
                <w:lang w:val="uk-UA"/>
              </w:rPr>
            </w:pPr>
            <w:r w:rsidRPr="00AA26C0">
              <w:rPr>
                <w:sz w:val="28"/>
                <w:szCs w:val="28"/>
                <w:lang w:val="uk-UA"/>
              </w:rPr>
              <w:t>показники</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lang w:val="uk-UA"/>
              </w:rPr>
              <w:t>МЛШ,</w:t>
            </w:r>
            <w:r>
              <w:rPr>
                <w:sz w:val="28"/>
                <w:szCs w:val="28"/>
                <w:lang w:val="uk-UA"/>
              </w:rPr>
              <w:t xml:space="preserve"> </w:t>
            </w:r>
            <w:r w:rsidRPr="00AA26C0">
              <w:rPr>
                <w:sz w:val="28"/>
                <w:szCs w:val="28"/>
                <w:lang w:val="uk-UA"/>
              </w:rPr>
              <w:t>г</w:t>
            </w:r>
          </w:p>
        </w:tc>
        <w:tc>
          <w:tcPr>
            <w:tcW w:w="2160" w:type="dxa"/>
            <w:shd w:val="clear" w:color="auto" w:fill="auto"/>
            <w:noWrap/>
            <w:vAlign w:val="center"/>
          </w:tcPr>
          <w:p w:rsidR="004B5E3F" w:rsidRPr="00AA26C0" w:rsidRDefault="004B5E3F" w:rsidP="000B14BF">
            <w:pPr>
              <w:jc w:val="center"/>
              <w:rPr>
                <w:sz w:val="28"/>
                <w:szCs w:val="28"/>
              </w:rPr>
            </w:pPr>
            <w:r w:rsidRPr="00AA26C0">
              <w:rPr>
                <w:sz w:val="28"/>
                <w:szCs w:val="28"/>
                <w:lang w:val="uk-UA"/>
              </w:rPr>
              <w:t>ІМЛШ</w:t>
            </w:r>
            <w:r w:rsidRPr="00AA26C0">
              <w:rPr>
                <w:sz w:val="28"/>
                <w:szCs w:val="28"/>
                <w:vertAlign w:val="subscript"/>
                <w:lang w:val="uk-UA"/>
              </w:rPr>
              <w:t>1</w:t>
            </w:r>
            <w:r w:rsidRPr="00AA26C0">
              <w:rPr>
                <w:sz w:val="28"/>
                <w:szCs w:val="28"/>
                <w:lang w:val="uk-UA"/>
              </w:rPr>
              <w:t>,</w:t>
            </w:r>
            <w:r>
              <w:rPr>
                <w:sz w:val="28"/>
                <w:szCs w:val="28"/>
                <w:lang w:val="uk-UA"/>
              </w:rPr>
              <w:t xml:space="preserve"> </w:t>
            </w:r>
            <w:r w:rsidRPr="00AA26C0">
              <w:rPr>
                <w:sz w:val="28"/>
                <w:szCs w:val="28"/>
                <w:lang w:val="uk-UA"/>
              </w:rPr>
              <w:t>г/м</w:t>
            </w:r>
            <w:r w:rsidRPr="00AA26C0">
              <w:rPr>
                <w:sz w:val="28"/>
                <w:szCs w:val="28"/>
                <w:vertAlign w:val="superscript"/>
                <w:lang w:val="uk-UA"/>
              </w:rPr>
              <w:t>2</w:t>
            </w:r>
          </w:p>
        </w:tc>
        <w:tc>
          <w:tcPr>
            <w:tcW w:w="1980" w:type="dxa"/>
            <w:shd w:val="clear" w:color="auto" w:fill="auto"/>
            <w:noWrap/>
            <w:vAlign w:val="center"/>
          </w:tcPr>
          <w:p w:rsidR="004B5E3F" w:rsidRPr="00AA26C0" w:rsidRDefault="004B5E3F" w:rsidP="000B14BF">
            <w:pPr>
              <w:jc w:val="center"/>
              <w:rPr>
                <w:sz w:val="28"/>
                <w:szCs w:val="28"/>
              </w:rPr>
            </w:pPr>
            <w:r w:rsidRPr="00AA26C0">
              <w:rPr>
                <w:sz w:val="28"/>
                <w:szCs w:val="28"/>
                <w:lang w:val="uk-UA"/>
              </w:rPr>
              <w:t>ІМЛШ</w:t>
            </w:r>
            <w:r w:rsidRPr="00AA26C0">
              <w:rPr>
                <w:sz w:val="28"/>
                <w:szCs w:val="28"/>
                <w:vertAlign w:val="subscript"/>
                <w:lang w:val="uk-UA"/>
              </w:rPr>
              <w:t>2</w:t>
            </w:r>
            <w:r w:rsidRPr="00AA26C0">
              <w:rPr>
                <w:sz w:val="28"/>
                <w:szCs w:val="28"/>
                <w:lang w:val="uk-UA"/>
              </w:rPr>
              <w:t xml:space="preserve">,г/м </w:t>
            </w:r>
            <w:r w:rsidRPr="00AA26C0">
              <w:rPr>
                <w:sz w:val="28"/>
                <w:szCs w:val="28"/>
                <w:vertAlign w:val="superscript"/>
                <w:lang w:val="uk-UA"/>
              </w:rPr>
              <w:t>2,7</w:t>
            </w:r>
          </w:p>
        </w:tc>
      </w:tr>
      <w:tr w:rsidR="004B5E3F" w:rsidRPr="00AA26C0" w:rsidTr="000B14BF">
        <w:trPr>
          <w:trHeight w:val="510"/>
        </w:trPr>
        <w:tc>
          <w:tcPr>
            <w:tcW w:w="2520" w:type="dxa"/>
            <w:vAlign w:val="center"/>
          </w:tcPr>
          <w:p w:rsidR="004B5E3F" w:rsidRPr="00AA26C0" w:rsidRDefault="004B5E3F" w:rsidP="000B14BF">
            <w:pPr>
              <w:jc w:val="center"/>
              <w:rPr>
                <w:sz w:val="28"/>
                <w:szCs w:val="28"/>
                <w:lang w:val="en-US"/>
              </w:rPr>
            </w:pPr>
            <w:r w:rsidRPr="00AA26C0">
              <w:rPr>
                <w:sz w:val="28"/>
                <w:szCs w:val="28"/>
                <w:lang w:val="uk-UA"/>
              </w:rPr>
              <w:t>без ПВО(</w:t>
            </w:r>
            <w:r w:rsidRPr="00AA26C0">
              <w:rPr>
                <w:sz w:val="28"/>
                <w:szCs w:val="28"/>
                <w:lang w:val="en-US"/>
              </w:rPr>
              <w:t>n=63)</w:t>
            </w:r>
          </w:p>
        </w:tc>
        <w:tc>
          <w:tcPr>
            <w:tcW w:w="1980" w:type="dxa"/>
            <w:shd w:val="clear" w:color="auto" w:fill="auto"/>
            <w:noWrap/>
            <w:vAlign w:val="center"/>
          </w:tcPr>
          <w:p w:rsidR="004B5E3F" w:rsidRPr="00AA26C0" w:rsidRDefault="004B5E3F" w:rsidP="000B14BF">
            <w:pPr>
              <w:jc w:val="center"/>
              <w:rPr>
                <w:sz w:val="28"/>
                <w:szCs w:val="28"/>
              </w:rPr>
            </w:pPr>
            <w:r w:rsidRPr="00AA26C0">
              <w:rPr>
                <w:sz w:val="28"/>
                <w:szCs w:val="28"/>
              </w:rPr>
              <w:t>226,5</w:t>
            </w:r>
            <w:r w:rsidRPr="00AA26C0">
              <w:rPr>
                <w:sz w:val="28"/>
                <w:szCs w:val="28"/>
              </w:rPr>
              <w:sym w:font="Symbol" w:char="F0B1"/>
            </w:r>
            <w:r w:rsidRPr="00AA26C0">
              <w:rPr>
                <w:sz w:val="28"/>
                <w:szCs w:val="28"/>
              </w:rPr>
              <w:t>7,2</w:t>
            </w:r>
          </w:p>
        </w:tc>
        <w:tc>
          <w:tcPr>
            <w:tcW w:w="2160" w:type="dxa"/>
            <w:shd w:val="clear" w:color="auto" w:fill="auto"/>
            <w:noWrap/>
            <w:vAlign w:val="center"/>
          </w:tcPr>
          <w:p w:rsidR="004B5E3F" w:rsidRPr="00AA26C0" w:rsidRDefault="004B5E3F" w:rsidP="000B14BF">
            <w:pPr>
              <w:jc w:val="center"/>
              <w:rPr>
                <w:sz w:val="28"/>
                <w:szCs w:val="28"/>
              </w:rPr>
            </w:pPr>
            <w:r w:rsidRPr="00AA26C0">
              <w:rPr>
                <w:sz w:val="28"/>
                <w:szCs w:val="28"/>
              </w:rPr>
              <w:t>117,4</w:t>
            </w:r>
            <w:r w:rsidRPr="00AA26C0">
              <w:rPr>
                <w:sz w:val="28"/>
                <w:szCs w:val="28"/>
              </w:rPr>
              <w:sym w:font="Symbol" w:char="F0B1"/>
            </w:r>
            <w:r w:rsidRPr="00AA26C0">
              <w:rPr>
                <w:sz w:val="28"/>
                <w:szCs w:val="28"/>
              </w:rPr>
              <w:t>3,5</w:t>
            </w:r>
          </w:p>
        </w:tc>
        <w:tc>
          <w:tcPr>
            <w:tcW w:w="1980" w:type="dxa"/>
            <w:shd w:val="clear" w:color="auto" w:fill="auto"/>
            <w:noWrap/>
            <w:vAlign w:val="center"/>
          </w:tcPr>
          <w:p w:rsidR="004B5E3F" w:rsidRPr="00AA26C0" w:rsidRDefault="004B5E3F" w:rsidP="000B14BF">
            <w:pPr>
              <w:jc w:val="center"/>
              <w:rPr>
                <w:sz w:val="28"/>
                <w:szCs w:val="28"/>
              </w:rPr>
            </w:pPr>
            <w:r w:rsidRPr="00AA26C0">
              <w:rPr>
                <w:sz w:val="28"/>
                <w:szCs w:val="28"/>
              </w:rPr>
              <w:t>57,9</w:t>
            </w:r>
            <w:r w:rsidRPr="00AA26C0">
              <w:rPr>
                <w:sz w:val="28"/>
                <w:szCs w:val="28"/>
              </w:rPr>
              <w:sym w:font="Symbol" w:char="F0B1"/>
            </w:r>
            <w:r w:rsidRPr="00AA26C0">
              <w:rPr>
                <w:sz w:val="28"/>
                <w:szCs w:val="28"/>
              </w:rPr>
              <w:t>2,1</w:t>
            </w:r>
          </w:p>
        </w:tc>
      </w:tr>
      <w:tr w:rsidR="004B5E3F" w:rsidRPr="00AA26C0" w:rsidTr="000B14BF">
        <w:trPr>
          <w:trHeight w:val="510"/>
        </w:trPr>
        <w:tc>
          <w:tcPr>
            <w:tcW w:w="2520" w:type="dxa"/>
            <w:vAlign w:val="center"/>
          </w:tcPr>
          <w:p w:rsidR="004B5E3F" w:rsidRPr="00AA26C0" w:rsidRDefault="004B5E3F" w:rsidP="000B14BF">
            <w:pPr>
              <w:jc w:val="center"/>
              <w:rPr>
                <w:sz w:val="28"/>
                <w:szCs w:val="28"/>
                <w:lang w:val="en-US"/>
              </w:rPr>
            </w:pPr>
            <w:r w:rsidRPr="00AA26C0">
              <w:rPr>
                <w:sz w:val="28"/>
                <w:szCs w:val="28"/>
                <w:lang w:val="uk-UA"/>
              </w:rPr>
              <w:t>ІР</w:t>
            </w:r>
            <w:r w:rsidRPr="00AA26C0">
              <w:rPr>
                <w:sz w:val="28"/>
                <w:szCs w:val="28"/>
                <w:lang w:val="en-US"/>
              </w:rPr>
              <w:t>(n=35)</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263,</w:t>
            </w:r>
            <w:r w:rsidRPr="00AA26C0">
              <w:rPr>
                <w:sz w:val="28"/>
                <w:szCs w:val="28"/>
                <w:lang w:val="uk-UA"/>
              </w:rPr>
              <w:t>1</w:t>
            </w:r>
            <w:r w:rsidRPr="00AA26C0">
              <w:rPr>
                <w:sz w:val="28"/>
                <w:szCs w:val="28"/>
              </w:rPr>
              <w:sym w:font="Symbol" w:char="F0B1"/>
            </w:r>
            <w:r w:rsidRPr="00AA26C0">
              <w:rPr>
                <w:sz w:val="28"/>
                <w:szCs w:val="28"/>
              </w:rPr>
              <w:t>9,</w:t>
            </w:r>
            <w:r w:rsidRPr="00AA26C0">
              <w:rPr>
                <w:sz w:val="28"/>
                <w:szCs w:val="28"/>
                <w:lang w:val="uk-UA"/>
              </w:rPr>
              <w:t>4***</w:t>
            </w:r>
          </w:p>
        </w:tc>
        <w:tc>
          <w:tcPr>
            <w:tcW w:w="216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124,9</w:t>
            </w:r>
            <w:r w:rsidRPr="00AA26C0">
              <w:rPr>
                <w:sz w:val="28"/>
                <w:szCs w:val="28"/>
              </w:rPr>
              <w:sym w:font="Symbol" w:char="F0B1"/>
            </w:r>
            <w:r w:rsidRPr="00AA26C0">
              <w:rPr>
                <w:sz w:val="28"/>
                <w:szCs w:val="28"/>
              </w:rPr>
              <w:t>3,</w:t>
            </w:r>
            <w:r w:rsidRPr="00AA26C0">
              <w:rPr>
                <w:sz w:val="28"/>
                <w:szCs w:val="28"/>
                <w:lang w:val="uk-UA"/>
              </w:rPr>
              <w:t>8</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64,4</w:t>
            </w:r>
            <w:r w:rsidRPr="00AA26C0">
              <w:rPr>
                <w:sz w:val="28"/>
                <w:szCs w:val="28"/>
              </w:rPr>
              <w:sym w:font="Symbol" w:char="F0B1"/>
            </w:r>
            <w:r w:rsidRPr="00AA26C0">
              <w:rPr>
                <w:sz w:val="28"/>
                <w:szCs w:val="28"/>
              </w:rPr>
              <w:t>2,4</w:t>
            </w:r>
            <w:r w:rsidRPr="00AA26C0">
              <w:rPr>
                <w:sz w:val="28"/>
                <w:szCs w:val="28"/>
                <w:lang w:val="uk-UA"/>
              </w:rPr>
              <w:t>*</w:t>
            </w:r>
          </w:p>
        </w:tc>
      </w:tr>
      <w:tr w:rsidR="004B5E3F" w:rsidRPr="00AA26C0" w:rsidTr="000B14BF">
        <w:trPr>
          <w:trHeight w:val="510"/>
        </w:trPr>
        <w:tc>
          <w:tcPr>
            <w:tcW w:w="2520" w:type="dxa"/>
            <w:vAlign w:val="center"/>
          </w:tcPr>
          <w:p w:rsidR="004B5E3F" w:rsidRPr="00AA26C0" w:rsidRDefault="004B5E3F" w:rsidP="000B14BF">
            <w:pPr>
              <w:jc w:val="center"/>
              <w:rPr>
                <w:sz w:val="28"/>
                <w:szCs w:val="28"/>
                <w:lang w:val="en-US"/>
              </w:rPr>
            </w:pPr>
            <w:r w:rsidRPr="00AA26C0">
              <w:rPr>
                <w:sz w:val="28"/>
                <w:szCs w:val="28"/>
                <w:lang w:val="uk-UA"/>
              </w:rPr>
              <w:t>ПТГ</w:t>
            </w:r>
            <w:r w:rsidRPr="00AA26C0">
              <w:rPr>
                <w:sz w:val="28"/>
                <w:szCs w:val="28"/>
                <w:lang w:val="en-US"/>
              </w:rPr>
              <w:t>(n=65)</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259,7</w:t>
            </w:r>
            <w:r w:rsidRPr="00AA26C0">
              <w:rPr>
                <w:sz w:val="28"/>
                <w:szCs w:val="28"/>
              </w:rPr>
              <w:sym w:font="Symbol" w:char="F0B1"/>
            </w:r>
            <w:r w:rsidRPr="00AA26C0">
              <w:rPr>
                <w:sz w:val="28"/>
                <w:szCs w:val="28"/>
              </w:rPr>
              <w:t>7,8</w:t>
            </w:r>
            <w:r w:rsidRPr="00AA26C0">
              <w:rPr>
                <w:sz w:val="28"/>
                <w:szCs w:val="28"/>
                <w:lang w:val="uk-UA"/>
              </w:rPr>
              <w:t>***</w:t>
            </w:r>
          </w:p>
        </w:tc>
        <w:tc>
          <w:tcPr>
            <w:tcW w:w="216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127,6</w:t>
            </w:r>
            <w:r w:rsidRPr="00AA26C0">
              <w:rPr>
                <w:sz w:val="28"/>
                <w:szCs w:val="28"/>
              </w:rPr>
              <w:sym w:font="Symbol" w:char="F0B1"/>
            </w:r>
            <w:r w:rsidRPr="00AA26C0">
              <w:rPr>
                <w:sz w:val="28"/>
                <w:szCs w:val="28"/>
              </w:rPr>
              <w:t>3,0</w:t>
            </w:r>
            <w:r w:rsidRPr="00AA26C0">
              <w:rPr>
                <w:sz w:val="28"/>
                <w:szCs w:val="28"/>
                <w:lang w:val="uk-UA"/>
              </w:rPr>
              <w:t>*</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65,6</w:t>
            </w:r>
            <w:r w:rsidRPr="00AA26C0">
              <w:rPr>
                <w:sz w:val="28"/>
                <w:szCs w:val="28"/>
              </w:rPr>
              <w:sym w:font="Symbol" w:char="F0B1"/>
            </w:r>
            <w:r w:rsidRPr="00AA26C0">
              <w:rPr>
                <w:sz w:val="28"/>
                <w:szCs w:val="28"/>
              </w:rPr>
              <w:t>1,8</w:t>
            </w:r>
            <w:r w:rsidRPr="00AA26C0">
              <w:rPr>
                <w:sz w:val="28"/>
                <w:szCs w:val="28"/>
                <w:lang w:val="uk-UA"/>
              </w:rPr>
              <w:t>**</w:t>
            </w:r>
          </w:p>
        </w:tc>
      </w:tr>
      <w:tr w:rsidR="004B5E3F" w:rsidRPr="00AA26C0" w:rsidTr="000B14BF">
        <w:trPr>
          <w:trHeight w:val="510"/>
        </w:trPr>
        <w:tc>
          <w:tcPr>
            <w:tcW w:w="2520" w:type="dxa"/>
            <w:vAlign w:val="center"/>
          </w:tcPr>
          <w:p w:rsidR="004B5E3F" w:rsidRPr="00AA26C0" w:rsidRDefault="004B5E3F" w:rsidP="000B14BF">
            <w:pPr>
              <w:jc w:val="center"/>
              <w:rPr>
                <w:sz w:val="28"/>
                <w:szCs w:val="28"/>
                <w:lang w:val="en-US"/>
              </w:rPr>
            </w:pPr>
            <w:r w:rsidRPr="00AA26C0">
              <w:rPr>
                <w:sz w:val="28"/>
                <w:szCs w:val="28"/>
                <w:lang w:val="uk-UA"/>
              </w:rPr>
              <w:t>ЦД</w:t>
            </w:r>
            <w:r w:rsidRPr="00AA26C0">
              <w:rPr>
                <w:sz w:val="28"/>
                <w:szCs w:val="28"/>
                <w:lang w:val="en-US"/>
              </w:rPr>
              <w:t>(n=27)</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296,8</w:t>
            </w:r>
            <w:r w:rsidRPr="00AA26C0">
              <w:rPr>
                <w:sz w:val="28"/>
                <w:szCs w:val="28"/>
              </w:rPr>
              <w:sym w:font="Symbol" w:char="F0B1"/>
            </w:r>
            <w:r w:rsidRPr="00AA26C0">
              <w:rPr>
                <w:sz w:val="28"/>
                <w:szCs w:val="28"/>
              </w:rPr>
              <w:t>13,1</w:t>
            </w:r>
            <w:r w:rsidRPr="00AA26C0">
              <w:rPr>
                <w:sz w:val="28"/>
                <w:szCs w:val="28"/>
                <w:lang w:val="uk-UA"/>
              </w:rPr>
              <w:t>***</w:t>
            </w:r>
          </w:p>
        </w:tc>
        <w:tc>
          <w:tcPr>
            <w:tcW w:w="216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146,8</w:t>
            </w:r>
            <w:r w:rsidRPr="00AA26C0">
              <w:rPr>
                <w:sz w:val="28"/>
                <w:szCs w:val="28"/>
              </w:rPr>
              <w:sym w:font="Symbol" w:char="F0B1"/>
            </w:r>
            <w:r w:rsidRPr="00AA26C0">
              <w:rPr>
                <w:sz w:val="28"/>
                <w:szCs w:val="28"/>
              </w:rPr>
              <w:t>6,0</w:t>
            </w:r>
            <w:r w:rsidRPr="00AA26C0">
              <w:rPr>
                <w:sz w:val="28"/>
                <w:szCs w:val="28"/>
                <w:lang w:val="uk-UA"/>
              </w:rPr>
              <w:t>***</w:t>
            </w:r>
          </w:p>
        </w:tc>
        <w:tc>
          <w:tcPr>
            <w:tcW w:w="1980" w:type="dxa"/>
            <w:shd w:val="clear" w:color="auto" w:fill="auto"/>
            <w:noWrap/>
            <w:vAlign w:val="center"/>
          </w:tcPr>
          <w:p w:rsidR="004B5E3F" w:rsidRPr="00AA26C0" w:rsidRDefault="004B5E3F" w:rsidP="000B14BF">
            <w:pPr>
              <w:jc w:val="center"/>
              <w:rPr>
                <w:sz w:val="28"/>
                <w:szCs w:val="28"/>
                <w:lang w:val="uk-UA"/>
              </w:rPr>
            </w:pPr>
            <w:r w:rsidRPr="00AA26C0">
              <w:rPr>
                <w:sz w:val="28"/>
                <w:szCs w:val="28"/>
              </w:rPr>
              <w:t>72,3</w:t>
            </w:r>
            <w:r w:rsidRPr="00AA26C0">
              <w:rPr>
                <w:sz w:val="28"/>
                <w:szCs w:val="28"/>
              </w:rPr>
              <w:sym w:font="Symbol" w:char="F0B1"/>
            </w:r>
            <w:r w:rsidRPr="00AA26C0">
              <w:rPr>
                <w:sz w:val="28"/>
                <w:szCs w:val="28"/>
              </w:rPr>
              <w:t>3,7</w:t>
            </w:r>
            <w:r w:rsidRPr="00AA26C0">
              <w:rPr>
                <w:sz w:val="28"/>
                <w:szCs w:val="28"/>
                <w:lang w:val="uk-UA"/>
              </w:rPr>
              <w:t>***</w:t>
            </w:r>
          </w:p>
        </w:tc>
      </w:tr>
    </w:tbl>
    <w:p w:rsidR="004B5E3F" w:rsidRPr="00AA26C0" w:rsidRDefault="004B5E3F" w:rsidP="004B5E3F">
      <w:pPr>
        <w:ind w:left="720" w:hanging="720"/>
        <w:jc w:val="both"/>
        <w:rPr>
          <w:sz w:val="28"/>
          <w:szCs w:val="28"/>
          <w:lang w:val="uk-UA"/>
        </w:rPr>
      </w:pPr>
      <w:r w:rsidRPr="00AA26C0">
        <w:rPr>
          <w:sz w:val="28"/>
          <w:szCs w:val="28"/>
          <w:lang w:val="uk-UA"/>
        </w:rPr>
        <w:t xml:space="preserve">Примітка: * - </w:t>
      </w:r>
      <w:r w:rsidRPr="00AA26C0">
        <w:rPr>
          <w:sz w:val="28"/>
          <w:szCs w:val="28"/>
          <w:lang w:val="en-US"/>
        </w:rPr>
        <w:t>p</w:t>
      </w:r>
      <w:r w:rsidRPr="00AA26C0">
        <w:rPr>
          <w:sz w:val="28"/>
          <w:szCs w:val="28"/>
          <w:lang w:val="uk-UA"/>
        </w:rPr>
        <w:t xml:space="preserve"> &lt; 0,05; ** - </w:t>
      </w:r>
      <w:r w:rsidRPr="00AA26C0">
        <w:rPr>
          <w:sz w:val="28"/>
          <w:szCs w:val="28"/>
          <w:lang w:val="en-US"/>
        </w:rPr>
        <w:t>p</w:t>
      </w:r>
      <w:r w:rsidRPr="00AA26C0">
        <w:rPr>
          <w:sz w:val="28"/>
          <w:szCs w:val="28"/>
          <w:lang w:val="uk-UA"/>
        </w:rPr>
        <w:t xml:space="preserve"> &lt; 0,01; *** - </w:t>
      </w:r>
      <w:r w:rsidRPr="00AA26C0">
        <w:rPr>
          <w:sz w:val="28"/>
          <w:szCs w:val="28"/>
          <w:lang w:val="en-US"/>
        </w:rPr>
        <w:t>p</w:t>
      </w:r>
      <w:r w:rsidRPr="00AA26C0">
        <w:rPr>
          <w:sz w:val="28"/>
          <w:szCs w:val="28"/>
          <w:lang w:val="uk-UA"/>
        </w:rPr>
        <w:t xml:space="preserve"> &lt; 0,001.</w:t>
      </w:r>
    </w:p>
    <w:p w:rsidR="004B5E3F" w:rsidRDefault="004B5E3F" w:rsidP="004B5E3F">
      <w:pPr>
        <w:ind w:firstLine="900"/>
        <w:jc w:val="both"/>
        <w:rPr>
          <w:bCs/>
          <w:sz w:val="28"/>
          <w:szCs w:val="28"/>
          <w:lang w:val="uk-UA"/>
        </w:rPr>
      </w:pPr>
    </w:p>
    <w:p w:rsidR="004B5E3F" w:rsidRDefault="004B5E3F" w:rsidP="004B5E3F">
      <w:pPr>
        <w:ind w:firstLine="720"/>
        <w:jc w:val="both"/>
        <w:rPr>
          <w:sz w:val="28"/>
          <w:szCs w:val="28"/>
          <w:lang w:val="uk-UA"/>
        </w:rPr>
      </w:pPr>
      <w:r>
        <w:rPr>
          <w:sz w:val="28"/>
          <w:szCs w:val="28"/>
          <w:lang w:val="uk-UA"/>
        </w:rPr>
        <w:t>Досліджено зв’язок порушень ліпідного обміну із МЛШ. У жінок виявлено прямий достовірний кореляційний зв'язок МЛШ із рівнями ТГ (</w:t>
      </w:r>
      <w:r>
        <w:rPr>
          <w:sz w:val="28"/>
          <w:szCs w:val="28"/>
          <w:lang w:val="en-US"/>
        </w:rPr>
        <w:t>r</w:t>
      </w:r>
      <w:r>
        <w:rPr>
          <w:sz w:val="28"/>
          <w:szCs w:val="28"/>
          <w:lang w:val="uk-UA"/>
        </w:rPr>
        <w:t xml:space="preserve"> </w:t>
      </w:r>
      <w:r w:rsidRPr="005F593B">
        <w:rPr>
          <w:sz w:val="28"/>
          <w:szCs w:val="28"/>
          <w:lang w:val="uk-UA"/>
        </w:rPr>
        <w:t>=</w:t>
      </w:r>
      <w:r>
        <w:rPr>
          <w:sz w:val="28"/>
          <w:szCs w:val="28"/>
          <w:lang w:val="uk-UA"/>
        </w:rPr>
        <w:t xml:space="preserve"> 0,24</w:t>
      </w:r>
      <w:r w:rsidRPr="005F593B">
        <w:rPr>
          <w:sz w:val="28"/>
          <w:szCs w:val="28"/>
          <w:lang w:val="uk-UA"/>
        </w:rPr>
        <w:t xml:space="preserve">; </w:t>
      </w:r>
      <w:r>
        <w:rPr>
          <w:sz w:val="28"/>
          <w:szCs w:val="28"/>
          <w:lang w:val="en-US"/>
        </w:rPr>
        <w:t>p</w:t>
      </w:r>
      <w:r>
        <w:rPr>
          <w:sz w:val="28"/>
          <w:szCs w:val="28"/>
          <w:lang w:val="uk-UA"/>
        </w:rPr>
        <w:t xml:space="preserve"> </w:t>
      </w:r>
      <w:r w:rsidRPr="005F593B">
        <w:rPr>
          <w:sz w:val="28"/>
          <w:szCs w:val="28"/>
          <w:lang w:val="uk-UA"/>
        </w:rPr>
        <w:t>&lt;</w:t>
      </w:r>
      <w:r>
        <w:rPr>
          <w:sz w:val="28"/>
          <w:szCs w:val="28"/>
          <w:lang w:val="uk-UA"/>
        </w:rPr>
        <w:t xml:space="preserve"> 0,0</w:t>
      </w:r>
      <w:r w:rsidRPr="005F593B">
        <w:rPr>
          <w:sz w:val="28"/>
          <w:szCs w:val="28"/>
          <w:lang w:val="uk-UA"/>
        </w:rPr>
        <w:t>1)</w:t>
      </w:r>
      <w:r>
        <w:rPr>
          <w:sz w:val="28"/>
          <w:szCs w:val="28"/>
          <w:lang w:val="uk-UA"/>
        </w:rPr>
        <w:t xml:space="preserve"> та зворотний достовірний зв'язок МЛШ із рівнями ЛПВГ (</w:t>
      </w:r>
      <w:r>
        <w:rPr>
          <w:sz w:val="28"/>
          <w:szCs w:val="28"/>
          <w:lang w:val="en-US"/>
        </w:rPr>
        <w:t>r</w:t>
      </w:r>
      <w:r>
        <w:rPr>
          <w:sz w:val="28"/>
          <w:szCs w:val="28"/>
          <w:lang w:val="uk-UA"/>
        </w:rPr>
        <w:t xml:space="preserve"> </w:t>
      </w:r>
      <w:r w:rsidRPr="005F593B">
        <w:rPr>
          <w:sz w:val="28"/>
          <w:szCs w:val="28"/>
          <w:lang w:val="uk-UA"/>
        </w:rPr>
        <w:t>=</w:t>
      </w:r>
      <w:r>
        <w:rPr>
          <w:sz w:val="28"/>
          <w:szCs w:val="28"/>
          <w:lang w:val="uk-UA"/>
        </w:rPr>
        <w:t xml:space="preserve"> - 0,32</w:t>
      </w:r>
      <w:r w:rsidRPr="005F593B">
        <w:rPr>
          <w:sz w:val="28"/>
          <w:szCs w:val="28"/>
          <w:lang w:val="uk-UA"/>
        </w:rPr>
        <w:t xml:space="preserve">; </w:t>
      </w:r>
      <w:r>
        <w:rPr>
          <w:sz w:val="28"/>
          <w:szCs w:val="28"/>
          <w:lang w:val="en-US"/>
        </w:rPr>
        <w:t>p</w:t>
      </w:r>
      <w:r>
        <w:rPr>
          <w:sz w:val="28"/>
          <w:szCs w:val="28"/>
          <w:lang w:val="uk-UA"/>
        </w:rPr>
        <w:t xml:space="preserve"> </w:t>
      </w:r>
      <w:r w:rsidRPr="005F593B">
        <w:rPr>
          <w:sz w:val="28"/>
          <w:szCs w:val="28"/>
          <w:lang w:val="uk-UA"/>
        </w:rPr>
        <w:t>&lt;</w:t>
      </w:r>
      <w:r>
        <w:rPr>
          <w:sz w:val="28"/>
          <w:szCs w:val="28"/>
          <w:lang w:val="uk-UA"/>
        </w:rPr>
        <w:t xml:space="preserve"> 0,0</w:t>
      </w:r>
      <w:r w:rsidRPr="005F593B">
        <w:rPr>
          <w:sz w:val="28"/>
          <w:szCs w:val="28"/>
          <w:lang w:val="uk-UA"/>
        </w:rPr>
        <w:t>1)</w:t>
      </w:r>
      <w:r>
        <w:rPr>
          <w:sz w:val="28"/>
          <w:szCs w:val="28"/>
          <w:lang w:val="uk-UA"/>
        </w:rPr>
        <w:t>. У чоловіків наявний лише слабкий недостовірний зв'язок МЛШ із рівнями ЛПВГ (</w:t>
      </w:r>
      <w:r>
        <w:rPr>
          <w:sz w:val="28"/>
          <w:szCs w:val="28"/>
          <w:lang w:val="en-US"/>
        </w:rPr>
        <w:t>r</w:t>
      </w:r>
      <w:r>
        <w:rPr>
          <w:sz w:val="28"/>
          <w:szCs w:val="28"/>
          <w:lang w:val="uk-UA"/>
        </w:rPr>
        <w:t xml:space="preserve"> </w:t>
      </w:r>
      <w:r w:rsidRPr="005F593B">
        <w:rPr>
          <w:sz w:val="28"/>
          <w:szCs w:val="28"/>
          <w:lang w:val="uk-UA"/>
        </w:rPr>
        <w:t>=</w:t>
      </w:r>
      <w:r>
        <w:rPr>
          <w:sz w:val="28"/>
          <w:szCs w:val="28"/>
          <w:lang w:val="uk-UA"/>
        </w:rPr>
        <w:t xml:space="preserve"> - 0,16</w:t>
      </w:r>
      <w:r w:rsidRPr="005F593B">
        <w:rPr>
          <w:sz w:val="28"/>
          <w:szCs w:val="28"/>
          <w:lang w:val="uk-UA"/>
        </w:rPr>
        <w:t xml:space="preserve">; </w:t>
      </w:r>
      <w:r>
        <w:rPr>
          <w:sz w:val="28"/>
          <w:szCs w:val="28"/>
          <w:lang w:val="uk-UA"/>
        </w:rPr>
        <w:t>нд</w:t>
      </w:r>
      <w:r w:rsidRPr="005F593B">
        <w:rPr>
          <w:sz w:val="28"/>
          <w:szCs w:val="28"/>
          <w:lang w:val="uk-UA"/>
        </w:rPr>
        <w:t>)</w:t>
      </w:r>
      <w:r>
        <w:rPr>
          <w:sz w:val="28"/>
          <w:szCs w:val="28"/>
          <w:lang w:val="uk-UA"/>
        </w:rPr>
        <w:t>. У всіх пацієнтів виявлено прямий зв'язок між рівнями ТГ та індексом НОМА (</w:t>
      </w:r>
      <w:r>
        <w:rPr>
          <w:sz w:val="28"/>
          <w:szCs w:val="28"/>
          <w:lang w:val="en-US"/>
        </w:rPr>
        <w:t>r</w:t>
      </w:r>
      <w:r>
        <w:rPr>
          <w:sz w:val="28"/>
          <w:szCs w:val="28"/>
          <w:lang w:val="uk-UA"/>
        </w:rPr>
        <w:t xml:space="preserve"> </w:t>
      </w:r>
      <w:r w:rsidRPr="005F593B">
        <w:rPr>
          <w:sz w:val="28"/>
          <w:szCs w:val="28"/>
          <w:lang w:val="uk-UA"/>
        </w:rPr>
        <w:t>=</w:t>
      </w:r>
      <w:r>
        <w:rPr>
          <w:sz w:val="28"/>
          <w:szCs w:val="28"/>
          <w:lang w:val="uk-UA"/>
        </w:rPr>
        <w:t xml:space="preserve"> 0,22</w:t>
      </w:r>
      <w:r w:rsidRPr="005F593B">
        <w:rPr>
          <w:sz w:val="28"/>
          <w:szCs w:val="28"/>
          <w:lang w:val="uk-UA"/>
        </w:rPr>
        <w:t xml:space="preserve">; </w:t>
      </w:r>
      <w:r>
        <w:rPr>
          <w:sz w:val="28"/>
          <w:szCs w:val="28"/>
          <w:lang w:val="en-US"/>
        </w:rPr>
        <w:t>p</w:t>
      </w:r>
      <w:r>
        <w:rPr>
          <w:sz w:val="28"/>
          <w:szCs w:val="28"/>
          <w:lang w:val="uk-UA"/>
        </w:rPr>
        <w:t xml:space="preserve"> = 0,002).</w:t>
      </w:r>
    </w:p>
    <w:p w:rsidR="004B5E3F" w:rsidRDefault="004B5E3F" w:rsidP="004B5E3F">
      <w:pPr>
        <w:spacing w:line="340" w:lineRule="exact"/>
        <w:ind w:firstLine="720"/>
        <w:jc w:val="both"/>
        <w:rPr>
          <w:sz w:val="28"/>
          <w:szCs w:val="28"/>
          <w:lang w:val="uk-UA"/>
        </w:rPr>
      </w:pPr>
      <w:r w:rsidRPr="00AA26C0">
        <w:rPr>
          <w:sz w:val="28"/>
          <w:szCs w:val="28"/>
          <w:lang w:val="uk-UA"/>
        </w:rPr>
        <w:t xml:space="preserve">Виходячи з того, що кожний компонент МС має певний вплив на виникнення ГЛШ, їх сума виявляє ще більш несприятливу дію. З метою вивчення впливу компонентів </w:t>
      </w:r>
      <w:r>
        <w:rPr>
          <w:sz w:val="28"/>
          <w:szCs w:val="28"/>
          <w:lang w:val="uk-UA"/>
        </w:rPr>
        <w:t>МС</w:t>
      </w:r>
      <w:r w:rsidRPr="00AA26C0">
        <w:rPr>
          <w:sz w:val="28"/>
          <w:szCs w:val="28"/>
          <w:lang w:val="uk-UA"/>
        </w:rPr>
        <w:t xml:space="preserve"> на формування ГЛШ ми виділили групу хворих без МС, групи хворих із наявністю трьох, чотирьох та п’яти компонентів МС: ожиріння, АГ, дисліпідемії, порушення обміну вуглеводів, визначених за рекомендаціями І</w:t>
      </w:r>
      <w:r w:rsidRPr="00AA26C0">
        <w:rPr>
          <w:sz w:val="28"/>
          <w:szCs w:val="28"/>
          <w:lang w:val="en-US"/>
        </w:rPr>
        <w:t>DF</w:t>
      </w:r>
      <w:r w:rsidRPr="00AA26C0">
        <w:rPr>
          <w:sz w:val="28"/>
          <w:szCs w:val="28"/>
          <w:lang w:val="uk-UA"/>
        </w:rPr>
        <w:t xml:space="preserve"> 2005 року. Ми виявили, що у пацієнтів із ГХ ІІ ст. МЛШ та її індекси достовірно більші при наявності МС, ніж у пацієнтів без МС та зростають у відповідності до збільшення кількості компонентів МС, особ</w:t>
      </w:r>
      <w:r>
        <w:rPr>
          <w:sz w:val="28"/>
          <w:szCs w:val="28"/>
          <w:lang w:val="uk-UA"/>
        </w:rPr>
        <w:t>ливо, коли серед них є ЦД (рис.3</w:t>
      </w:r>
      <w:r w:rsidRPr="00AA26C0">
        <w:rPr>
          <w:sz w:val="28"/>
          <w:szCs w:val="28"/>
          <w:lang w:val="uk-UA"/>
        </w:rPr>
        <w:t>).</w:t>
      </w:r>
    </w:p>
    <w:p w:rsidR="004B5E3F" w:rsidRDefault="004B5E3F" w:rsidP="004B5E3F">
      <w:pPr>
        <w:spacing w:line="340" w:lineRule="exact"/>
        <w:ind w:firstLine="720"/>
        <w:jc w:val="both"/>
        <w:rPr>
          <w:sz w:val="28"/>
          <w:szCs w:val="28"/>
          <w:lang w:val="uk-UA"/>
        </w:rPr>
      </w:pPr>
    </w:p>
    <w:p w:rsidR="004B5E3F" w:rsidRDefault="004B5E3F" w:rsidP="004B5E3F">
      <w:pPr>
        <w:spacing w:line="340" w:lineRule="exact"/>
        <w:ind w:firstLine="720"/>
        <w:jc w:val="both"/>
        <w:rPr>
          <w:sz w:val="28"/>
          <w:szCs w:val="28"/>
          <w:lang w:val="uk-UA"/>
        </w:rPr>
      </w:pPr>
      <w:r>
        <w:rPr>
          <w:noProof/>
          <w:sz w:val="28"/>
          <w:szCs w:val="28"/>
          <w:lang w:eastAsia="ru-RU"/>
        </w:rPr>
        <w:drawing>
          <wp:anchor distT="0" distB="0" distL="114300" distR="114300" simplePos="0" relativeHeight="251660288" behindDoc="0" locked="0" layoutInCell="1" allowOverlap="1">
            <wp:simplePos x="0" y="0"/>
            <wp:positionH relativeFrom="column">
              <wp:posOffset>114300</wp:posOffset>
            </wp:positionH>
            <wp:positionV relativeFrom="paragraph">
              <wp:posOffset>80645</wp:posOffset>
            </wp:positionV>
            <wp:extent cx="5255895" cy="2332355"/>
            <wp:effectExtent l="3810" t="0" r="0" b="1905"/>
            <wp:wrapNone/>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127000</wp:posOffset>
                </wp:positionV>
                <wp:extent cx="800100" cy="342900"/>
                <wp:effectExtent l="13335" t="7620" r="5715" b="1143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4B5E3F" w:rsidRPr="00082F66" w:rsidRDefault="004B5E3F" w:rsidP="004B5E3F">
                            <w:pPr>
                              <w:rPr>
                                <w:sz w:val="20"/>
                                <w:szCs w:val="20"/>
                                <w:lang w:val="en-US"/>
                              </w:rPr>
                            </w:pPr>
                            <w:r>
                              <w:rPr>
                                <w:sz w:val="20"/>
                                <w:szCs w:val="20"/>
                                <w:lang w:val="en-US"/>
                              </w:rPr>
                              <w:t>p</w:t>
                            </w:r>
                            <w:r w:rsidRPr="00082F66">
                              <w:rPr>
                                <w:sz w:val="20"/>
                                <w:szCs w:val="20"/>
                                <w:lang w:val="en-US"/>
                              </w:rPr>
                              <w:t>&lt;0</w:t>
                            </w:r>
                            <w:r>
                              <w:rPr>
                                <w:sz w:val="20"/>
                                <w:szCs w:val="20"/>
                                <w:lang w:val="en-US"/>
                              </w:rPr>
                              <w:t>,0</w:t>
                            </w:r>
                            <w:r w:rsidRPr="00082F66">
                              <w:rPr>
                                <w:sz w:val="20"/>
                                <w:szCs w:val="20"/>
                                <w:lang w:val="en-US"/>
                              </w:rPr>
                              <w:t>0</w:t>
                            </w:r>
                            <w:r>
                              <w:rPr>
                                <w:sz w:val="20"/>
                                <w:szCs w:val="20"/>
                                <w:lang w:val="en-US"/>
                              </w:rPr>
                              <w:t>1</w:t>
                            </w:r>
                          </w:p>
                          <w:p w:rsidR="004B5E3F" w:rsidRDefault="004B5E3F" w:rsidP="004B5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3" o:spid="_x0000_s1026" type="#_x0000_t202" style="position:absolute;left:0;text-align:left;margin-left:63pt;margin-top:10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">
                <v:textbox>
                  <w:txbxContent>
                    <w:p w:rsidR="004B5E3F" w:rsidRPr="00082F66" w:rsidRDefault="004B5E3F" w:rsidP="004B5E3F">
                      <w:pPr>
                        <w:rPr>
                          <w:sz w:val="20"/>
                          <w:szCs w:val="20"/>
                          <w:lang w:val="en-US"/>
                        </w:rPr>
                      </w:pPr>
                      <w:r>
                        <w:rPr>
                          <w:sz w:val="20"/>
                          <w:szCs w:val="20"/>
                          <w:lang w:val="en-US"/>
                        </w:rPr>
                        <w:t>p</w:t>
                      </w:r>
                      <w:r w:rsidRPr="00082F66">
                        <w:rPr>
                          <w:sz w:val="20"/>
                          <w:szCs w:val="20"/>
                          <w:lang w:val="en-US"/>
                        </w:rPr>
                        <w:t>&lt;0</w:t>
                      </w:r>
                      <w:r>
                        <w:rPr>
                          <w:sz w:val="20"/>
                          <w:szCs w:val="20"/>
                          <w:lang w:val="en-US"/>
                        </w:rPr>
                        <w:t>,0</w:t>
                      </w:r>
                      <w:r w:rsidRPr="00082F66">
                        <w:rPr>
                          <w:sz w:val="20"/>
                          <w:szCs w:val="20"/>
                          <w:lang w:val="en-US"/>
                        </w:rPr>
                        <w:t>0</w:t>
                      </w:r>
                      <w:r>
                        <w:rPr>
                          <w:sz w:val="20"/>
                          <w:szCs w:val="20"/>
                          <w:lang w:val="en-US"/>
                        </w:rPr>
                        <w:t>1</w:t>
                      </w:r>
                    </w:p>
                    <w:p w:rsidR="004B5E3F" w:rsidRDefault="004B5E3F" w:rsidP="004B5E3F"/>
                  </w:txbxContent>
                </v:textbox>
              </v:shape>
            </w:pict>
          </mc:Fallback>
        </mc:AlternateContent>
      </w:r>
    </w:p>
    <w:p w:rsidR="004B5E3F" w:rsidRPr="00AA26C0" w:rsidRDefault="004B5E3F" w:rsidP="004B5E3F">
      <w:pPr>
        <w:ind w:firstLine="1260"/>
        <w:jc w:val="both"/>
        <w:rPr>
          <w:sz w:val="28"/>
          <w:szCs w:val="28"/>
          <w:lang w:val="uk-UA"/>
        </w:rPr>
      </w:pP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25400</wp:posOffset>
                </wp:positionV>
                <wp:extent cx="2857500" cy="0"/>
                <wp:effectExtent l="13335" t="7620" r="5715" b="1143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pt" to="3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pNVg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"/>
            </w:pict>
          </mc:Fallback>
        </mc:AlternateContent>
      </w: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139700</wp:posOffset>
                </wp:positionV>
                <wp:extent cx="0" cy="342900"/>
                <wp:effectExtent l="13335" t="7620" r="5715" b="1143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pt" to="8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"/>
            </w:pict>
          </mc:Fallback>
        </mc:AlternateContent>
      </w: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25400</wp:posOffset>
                </wp:positionV>
                <wp:extent cx="0" cy="342900"/>
                <wp:effectExtent l="13335" t="7620" r="5715" b="1143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pt" to="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"/>
            </w:pict>
          </mc:Fallback>
        </mc:AlternateContent>
      </w: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2400300</wp:posOffset>
                </wp:positionH>
                <wp:positionV relativeFrom="paragraph">
                  <wp:posOffset>25400</wp:posOffset>
                </wp:positionV>
                <wp:extent cx="0" cy="228600"/>
                <wp:effectExtent l="13335" t="7620" r="571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pt" to="18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"/>
            </w:pict>
          </mc:Fallback>
        </mc:AlternateContent>
      </w: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3086100</wp:posOffset>
                </wp:positionH>
                <wp:positionV relativeFrom="paragraph">
                  <wp:posOffset>25400</wp:posOffset>
                </wp:positionV>
                <wp:extent cx="0" cy="228600"/>
                <wp:effectExtent l="13335" t="7620" r="5715" b="1143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pt" to="24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"/>
            </w:pict>
          </mc:Fallback>
        </mc:AlternateContent>
      </w: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4457700</wp:posOffset>
                </wp:positionH>
                <wp:positionV relativeFrom="paragraph">
                  <wp:posOffset>25400</wp:posOffset>
                </wp:positionV>
                <wp:extent cx="0" cy="114300"/>
                <wp:effectExtent l="13335" t="7620" r="5715" b="1143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pt" to="35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"/>
            </w:pict>
          </mc:Fallback>
        </mc:AlternateContent>
      </w: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Pr="00AA26C0" w:rsidRDefault="004B5E3F" w:rsidP="004B5E3F">
      <w:pPr>
        <w:ind w:firstLine="1260"/>
        <w:jc w:val="both"/>
        <w:rPr>
          <w:sz w:val="28"/>
          <w:szCs w:val="28"/>
          <w:lang w:val="uk-UA"/>
        </w:rPr>
      </w:pPr>
    </w:p>
    <w:p w:rsidR="004B5E3F" w:rsidRDefault="004B5E3F" w:rsidP="004B5E3F">
      <w:pPr>
        <w:ind w:firstLine="900"/>
        <w:jc w:val="both"/>
        <w:rPr>
          <w:sz w:val="28"/>
          <w:szCs w:val="28"/>
          <w:lang w:val="uk-UA"/>
        </w:rPr>
      </w:pPr>
    </w:p>
    <w:p w:rsidR="004B5E3F" w:rsidRDefault="004B5E3F" w:rsidP="004B5E3F">
      <w:pPr>
        <w:jc w:val="both"/>
        <w:rPr>
          <w:sz w:val="28"/>
          <w:szCs w:val="28"/>
          <w:lang w:val="uk-UA"/>
        </w:rPr>
      </w:pPr>
      <w:r>
        <w:rPr>
          <w:sz w:val="28"/>
          <w:szCs w:val="28"/>
          <w:lang w:val="uk-UA"/>
        </w:rPr>
        <w:t>Рис.3</w:t>
      </w:r>
      <w:r w:rsidRPr="00AA26C0">
        <w:rPr>
          <w:sz w:val="28"/>
          <w:szCs w:val="28"/>
          <w:lang w:val="uk-UA"/>
        </w:rPr>
        <w:t xml:space="preserve">2. МЛШ у пацієнтів без МС, із різною кількістю компонентів МС та із </w:t>
      </w:r>
      <w:r>
        <w:rPr>
          <w:sz w:val="28"/>
          <w:szCs w:val="28"/>
          <w:lang w:val="uk-UA"/>
        </w:rPr>
        <w:t xml:space="preserve">МС і </w:t>
      </w:r>
      <w:r w:rsidRPr="00AA26C0">
        <w:rPr>
          <w:sz w:val="28"/>
          <w:szCs w:val="28"/>
          <w:lang w:val="uk-UA"/>
        </w:rPr>
        <w:t>ЦД.</w:t>
      </w:r>
    </w:p>
    <w:p w:rsidR="004B5E3F" w:rsidRPr="008A73DD" w:rsidRDefault="004B5E3F" w:rsidP="004B5E3F">
      <w:pPr>
        <w:ind w:firstLine="960"/>
        <w:jc w:val="both"/>
        <w:rPr>
          <w:sz w:val="28"/>
          <w:szCs w:val="28"/>
          <w:lang w:val="uk-UA"/>
        </w:rPr>
      </w:pPr>
      <w:r w:rsidRPr="00AA26C0">
        <w:rPr>
          <w:sz w:val="28"/>
          <w:szCs w:val="28"/>
          <w:lang w:val="uk-UA"/>
        </w:rPr>
        <w:t>У пацієнтів із ГЛШ, діагностованою як за ІМЛШ</w:t>
      </w:r>
      <w:r w:rsidRPr="00AA26C0">
        <w:rPr>
          <w:sz w:val="28"/>
          <w:szCs w:val="28"/>
          <w:vertAlign w:val="subscript"/>
          <w:lang w:val="uk-UA"/>
        </w:rPr>
        <w:t>1</w:t>
      </w:r>
      <w:r w:rsidRPr="00AA26C0">
        <w:rPr>
          <w:sz w:val="28"/>
          <w:szCs w:val="28"/>
          <w:lang w:val="uk-UA"/>
        </w:rPr>
        <w:t xml:space="preserve"> так і за ІМЛШ</w:t>
      </w:r>
      <w:r w:rsidRPr="00AA26C0">
        <w:rPr>
          <w:sz w:val="28"/>
          <w:szCs w:val="28"/>
          <w:vertAlign w:val="subscript"/>
          <w:lang w:val="uk-UA"/>
        </w:rPr>
        <w:t>2</w:t>
      </w:r>
      <w:r w:rsidRPr="00AA26C0">
        <w:rPr>
          <w:sz w:val="28"/>
          <w:szCs w:val="28"/>
          <w:lang w:val="uk-UA"/>
        </w:rPr>
        <w:t>, окрім компонентів МС, виявлені інші ФР ССЗ (чоловіча стать, вік більше 50 років для жінок та більше 45 – для чоловіків, підвищений рівень ЗХ та ЛПНГ, ІР). Кількість усіх виявлених ФР ССЗ у групі пацієнтів із ГЛШ, виявленою лише за ІМЛШ</w:t>
      </w:r>
      <w:r w:rsidRPr="00AA26C0">
        <w:rPr>
          <w:sz w:val="28"/>
          <w:szCs w:val="28"/>
          <w:vertAlign w:val="subscript"/>
          <w:lang w:val="uk-UA"/>
        </w:rPr>
        <w:t>2</w:t>
      </w:r>
      <w:r w:rsidRPr="00AA26C0">
        <w:rPr>
          <w:sz w:val="28"/>
          <w:szCs w:val="28"/>
          <w:lang w:val="uk-UA"/>
        </w:rPr>
        <w:t xml:space="preserve"> (5,3 </w:t>
      </w:r>
      <w:r w:rsidRPr="00AA26C0">
        <w:rPr>
          <w:sz w:val="28"/>
          <w:szCs w:val="28"/>
        </w:rPr>
        <w:sym w:font="Symbol" w:char="F0B1"/>
      </w:r>
      <w:r w:rsidRPr="00AA26C0">
        <w:rPr>
          <w:sz w:val="28"/>
          <w:szCs w:val="28"/>
          <w:lang w:val="uk-UA"/>
        </w:rPr>
        <w:t xml:space="preserve"> 0,4 у жінок, 6,8 </w:t>
      </w:r>
      <w:r w:rsidRPr="00AA26C0">
        <w:rPr>
          <w:sz w:val="28"/>
          <w:szCs w:val="28"/>
        </w:rPr>
        <w:sym w:font="Symbol" w:char="F0B1"/>
      </w:r>
      <w:r w:rsidRPr="00AA26C0">
        <w:rPr>
          <w:sz w:val="28"/>
          <w:szCs w:val="28"/>
          <w:lang w:val="uk-UA"/>
        </w:rPr>
        <w:t>0,4 у чоловіків) була співставною із кількістю ФР у групі пацієнтів із ГЛШ, виявленою за ІМЛШ</w:t>
      </w:r>
      <w:r w:rsidRPr="00AA26C0">
        <w:rPr>
          <w:sz w:val="28"/>
          <w:szCs w:val="28"/>
          <w:vertAlign w:val="subscript"/>
          <w:lang w:val="uk-UA"/>
        </w:rPr>
        <w:t xml:space="preserve">1 </w:t>
      </w:r>
      <w:r w:rsidRPr="00AA26C0">
        <w:rPr>
          <w:sz w:val="28"/>
          <w:szCs w:val="28"/>
          <w:lang w:val="uk-UA"/>
        </w:rPr>
        <w:t xml:space="preserve">(5,8 </w:t>
      </w:r>
      <w:r w:rsidRPr="00AA26C0">
        <w:rPr>
          <w:sz w:val="28"/>
          <w:szCs w:val="28"/>
        </w:rPr>
        <w:sym w:font="Symbol" w:char="F0B1"/>
      </w:r>
      <w:r w:rsidRPr="00AA26C0">
        <w:rPr>
          <w:sz w:val="28"/>
          <w:szCs w:val="28"/>
          <w:lang w:val="uk-UA"/>
        </w:rPr>
        <w:t xml:space="preserve"> 0,1 у жінок, 6,6 </w:t>
      </w:r>
      <w:r w:rsidRPr="00AA26C0">
        <w:rPr>
          <w:sz w:val="28"/>
          <w:szCs w:val="28"/>
        </w:rPr>
        <w:sym w:font="Symbol" w:char="F0B1"/>
      </w:r>
      <w:r w:rsidRPr="00AA26C0">
        <w:rPr>
          <w:sz w:val="28"/>
          <w:szCs w:val="28"/>
          <w:lang w:val="uk-UA"/>
        </w:rPr>
        <w:t xml:space="preserve"> 0,2 у чоловіків) та достовірно більшою, ніж у пацієнтів без ГЛШ (3,7 </w:t>
      </w:r>
      <w:r w:rsidRPr="00AA26C0">
        <w:rPr>
          <w:sz w:val="28"/>
          <w:szCs w:val="28"/>
        </w:rPr>
        <w:sym w:font="Symbol" w:char="F0B1"/>
      </w:r>
      <w:r w:rsidRPr="00AA26C0">
        <w:rPr>
          <w:sz w:val="28"/>
          <w:szCs w:val="28"/>
          <w:lang w:val="uk-UA"/>
        </w:rPr>
        <w:t xml:space="preserve"> 0,2 у жінок, 4,7 </w:t>
      </w:r>
      <w:r w:rsidRPr="00AA26C0">
        <w:rPr>
          <w:sz w:val="28"/>
          <w:szCs w:val="28"/>
        </w:rPr>
        <w:sym w:font="Symbol" w:char="F0B1"/>
      </w:r>
      <w:r w:rsidRPr="00AA26C0">
        <w:rPr>
          <w:sz w:val="28"/>
          <w:szCs w:val="28"/>
          <w:lang w:val="uk-UA"/>
        </w:rPr>
        <w:t xml:space="preserve"> 0,2 у чоловіків). Таким чином, при використанні ІМЛШ</w:t>
      </w:r>
      <w:r w:rsidRPr="00AA26C0">
        <w:rPr>
          <w:sz w:val="28"/>
          <w:szCs w:val="28"/>
          <w:vertAlign w:val="subscript"/>
          <w:lang w:val="uk-UA"/>
        </w:rPr>
        <w:t xml:space="preserve">2 </w:t>
      </w:r>
      <w:r w:rsidRPr="00AA26C0">
        <w:rPr>
          <w:sz w:val="28"/>
          <w:szCs w:val="28"/>
          <w:lang w:val="uk-UA"/>
        </w:rPr>
        <w:t>для діагностики ГЛШ додатково виявляється контингент пацієнтів, які через наявність у них множинного комплексу ФР, потребують уваги з точки зору кардіоваскулярної настороженості та профілактики. (Рис. 3)</w:t>
      </w:r>
    </w:p>
    <w:p w:rsidR="004B5E3F" w:rsidRPr="00AA26C0" w:rsidRDefault="004B5E3F" w:rsidP="004B5E3F">
      <w:pPr>
        <w:ind w:firstLine="1080"/>
        <w:jc w:val="both"/>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163830</wp:posOffset>
                </wp:positionV>
                <wp:extent cx="0" cy="775970"/>
                <wp:effectExtent l="13335" t="7620" r="571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9pt" to="9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"/>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138430</wp:posOffset>
                </wp:positionV>
                <wp:extent cx="0" cy="458470"/>
                <wp:effectExtent l="13335" t="10795" r="5715" b="69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8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9pt" to="18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"/>
            </w:pict>
          </mc:Fallback>
        </mc:AlternateContent>
      </w: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139700</wp:posOffset>
                </wp:positionV>
                <wp:extent cx="0" cy="342900"/>
                <wp:effectExtent l="13335" t="12065" r="5715" b="698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2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"/>
            </w:pict>
          </mc:Fallback>
        </mc:AlternateContent>
      </w:r>
      <w:r>
        <w:rPr>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139700</wp:posOffset>
                </wp:positionV>
                <wp:extent cx="0" cy="228600"/>
                <wp:effectExtent l="13335" t="12065" r="5715" b="69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pt" to="3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"/>
            </w:pict>
          </mc:Fallback>
        </mc:AlternateContent>
      </w: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4572000</wp:posOffset>
                </wp:positionH>
                <wp:positionV relativeFrom="paragraph">
                  <wp:posOffset>139700</wp:posOffset>
                </wp:positionV>
                <wp:extent cx="0" cy="228600"/>
                <wp:effectExtent l="13335" t="12065" r="5715" b="69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pt" to="5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"/>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139700</wp:posOffset>
                </wp:positionV>
                <wp:extent cx="914400" cy="0"/>
                <wp:effectExtent l="13335" t="12065" r="5715" b="69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pt" to="5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"/>
            </w:pict>
          </mc:Fallback>
        </mc:AlternateContent>
      </w:r>
      <w:r>
        <w:rPr>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25400</wp:posOffset>
                </wp:positionV>
                <wp:extent cx="685800" cy="342900"/>
                <wp:effectExtent l="13335" t="12065" r="5715" b="698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4B5E3F" w:rsidRPr="00082F66" w:rsidRDefault="004B5E3F" w:rsidP="004B5E3F">
                            <w:pPr>
                              <w:rPr>
                                <w:sz w:val="20"/>
                                <w:szCs w:val="20"/>
                                <w:lang w:val="en-US"/>
                              </w:rPr>
                            </w:pPr>
                            <w:r>
                              <w:rPr>
                                <w:sz w:val="20"/>
                                <w:szCs w:val="20"/>
                                <w:lang w:val="en-US"/>
                              </w:rPr>
                              <w:t>p</w:t>
                            </w:r>
                            <w:r w:rsidRPr="00082F66">
                              <w:rPr>
                                <w:sz w:val="20"/>
                                <w:szCs w:val="20"/>
                                <w:lang w:val="en-US"/>
                              </w:rPr>
                              <w:t>&lt;0</w:t>
                            </w:r>
                            <w:r>
                              <w:rPr>
                                <w:sz w:val="20"/>
                                <w:szCs w:val="20"/>
                                <w:lang w:val="en-US"/>
                              </w:rPr>
                              <w:t>,0</w:t>
                            </w:r>
                            <w:r w:rsidRPr="00082F66">
                              <w:rPr>
                                <w:sz w:val="20"/>
                                <w:szCs w:val="20"/>
                                <w:lang w:val="en-US"/>
                              </w:rPr>
                              <w:t>0</w:t>
                            </w:r>
                            <w:r>
                              <w:rPr>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234pt;margin-top:2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">
                <v:textbox>
                  <w:txbxContent>
                    <w:p w:rsidR="004B5E3F" w:rsidRPr="00082F66" w:rsidRDefault="004B5E3F" w:rsidP="004B5E3F">
                      <w:pPr>
                        <w:rPr>
                          <w:sz w:val="20"/>
                          <w:szCs w:val="20"/>
                          <w:lang w:val="en-US"/>
                        </w:rPr>
                      </w:pPr>
                      <w:r>
                        <w:rPr>
                          <w:sz w:val="20"/>
                          <w:szCs w:val="20"/>
                          <w:lang w:val="en-US"/>
                        </w:rPr>
                        <w:t>p</w:t>
                      </w:r>
                      <w:r w:rsidRPr="00082F66">
                        <w:rPr>
                          <w:sz w:val="20"/>
                          <w:szCs w:val="20"/>
                          <w:lang w:val="en-US"/>
                        </w:rPr>
                        <w:t>&lt;0</w:t>
                      </w:r>
                      <w:r>
                        <w:rPr>
                          <w:sz w:val="20"/>
                          <w:szCs w:val="20"/>
                          <w:lang w:val="en-US"/>
                        </w:rPr>
                        <w:t>,0</w:t>
                      </w:r>
                      <w:r w:rsidRPr="00082F66">
                        <w:rPr>
                          <w:sz w:val="20"/>
                          <w:szCs w:val="20"/>
                          <w:lang w:val="en-US"/>
                        </w:rPr>
                        <w:t>0</w:t>
                      </w:r>
                      <w:r>
                        <w:rPr>
                          <w:sz w:val="20"/>
                          <w:szCs w:val="20"/>
                          <w:lang w:val="en-US"/>
                        </w:rPr>
                        <w:t>1</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139700</wp:posOffset>
                </wp:positionV>
                <wp:extent cx="0" cy="685800"/>
                <wp:effectExtent l="13335" t="12065" r="5715" b="69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pt" to="27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24130</wp:posOffset>
                </wp:positionV>
                <wp:extent cx="685800" cy="342900"/>
                <wp:effectExtent l="13335" t="10795" r="5715" b="8255"/>
                <wp:wrapSquare wrapText="bothSides"/>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4B5E3F" w:rsidRPr="00082F66" w:rsidRDefault="004B5E3F" w:rsidP="004B5E3F">
                            <w:pPr>
                              <w:rPr>
                                <w:sz w:val="20"/>
                                <w:szCs w:val="20"/>
                                <w:lang w:val="en-US"/>
                              </w:rPr>
                            </w:pPr>
                            <w:r>
                              <w:rPr>
                                <w:sz w:val="20"/>
                                <w:szCs w:val="20"/>
                                <w:lang w:val="en-US"/>
                              </w:rPr>
                              <w:t>p</w:t>
                            </w:r>
                            <w:r w:rsidRPr="00082F66">
                              <w:rPr>
                                <w:sz w:val="20"/>
                                <w:szCs w:val="20"/>
                                <w:lang w:val="en-US"/>
                              </w:rPr>
                              <w:t>&lt;0</w:t>
                            </w:r>
                            <w:r>
                              <w:rPr>
                                <w:sz w:val="20"/>
                                <w:szCs w:val="20"/>
                                <w:lang w:val="en-US"/>
                              </w:rPr>
                              <w:t>,0</w:t>
                            </w:r>
                            <w:r w:rsidRPr="00082F66">
                              <w:rPr>
                                <w:sz w:val="20"/>
                                <w:szCs w:val="20"/>
                                <w:lang w:val="en-US"/>
                              </w:rPr>
                              <w:t>0</w:t>
                            </w:r>
                            <w:r>
                              <w:rPr>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8" type="#_x0000_t202" style="position:absolute;left:0;text-align:left;margin-left:1in;margin-top:1.9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EKOQIAAFg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">
                <v:textbox>
                  <w:txbxContent>
                    <w:p w:rsidR="004B5E3F" w:rsidRPr="00082F66" w:rsidRDefault="004B5E3F" w:rsidP="004B5E3F">
                      <w:pPr>
                        <w:rPr>
                          <w:sz w:val="20"/>
                          <w:szCs w:val="20"/>
                          <w:lang w:val="en-US"/>
                        </w:rPr>
                      </w:pPr>
                      <w:r>
                        <w:rPr>
                          <w:sz w:val="20"/>
                          <w:szCs w:val="20"/>
                          <w:lang w:val="en-US"/>
                        </w:rPr>
                        <w:t>p</w:t>
                      </w:r>
                      <w:r w:rsidRPr="00082F66">
                        <w:rPr>
                          <w:sz w:val="20"/>
                          <w:szCs w:val="20"/>
                          <w:lang w:val="en-US"/>
                        </w:rPr>
                        <w:t>&lt;0</w:t>
                      </w:r>
                      <w:r>
                        <w:rPr>
                          <w:sz w:val="20"/>
                          <w:szCs w:val="20"/>
                          <w:lang w:val="en-US"/>
                        </w:rPr>
                        <w:t>,0</w:t>
                      </w:r>
                      <w:r w:rsidRPr="00082F66">
                        <w:rPr>
                          <w:sz w:val="20"/>
                          <w:szCs w:val="20"/>
                          <w:lang w:val="en-US"/>
                        </w:rPr>
                        <w:t>0</w:t>
                      </w:r>
                      <w:r>
                        <w:rPr>
                          <w:sz w:val="20"/>
                          <w:szCs w:val="20"/>
                          <w:lang w:val="en-US"/>
                        </w:rPr>
                        <w:t>1</w:t>
                      </w:r>
                    </w:p>
                  </w:txbxContent>
                </v:textbox>
                <w10:wrap type="square"/>
              </v:shap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138430</wp:posOffset>
                </wp:positionV>
                <wp:extent cx="800100" cy="0"/>
                <wp:effectExtent l="13335" t="10795" r="5715" b="825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pt" to="18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"/>
            </w:pict>
          </mc:Fallback>
        </mc:AlternateContent>
      </w:r>
    </w:p>
    <w:p w:rsidR="004B5E3F" w:rsidRPr="00AA26C0" w:rsidRDefault="004B5E3F" w:rsidP="004B5E3F">
      <w:pPr>
        <w:ind w:firstLine="1080"/>
        <w:jc w:val="both"/>
        <w:rPr>
          <w:sz w:val="28"/>
          <w:szCs w:val="28"/>
          <w:lang w:val="uk-UA"/>
        </w:rPr>
      </w:pPr>
      <w:r>
        <w:rPr>
          <w:noProof/>
          <w:sz w:val="28"/>
          <w:szCs w:val="28"/>
          <w:lang w:eastAsia="ru-RU"/>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49530</wp:posOffset>
            </wp:positionV>
            <wp:extent cx="5831840" cy="2286000"/>
            <wp:effectExtent l="0" t="2540" r="3175" b="0"/>
            <wp:wrapNone/>
            <wp:docPr id="35" name="Диаграмма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B5E3F" w:rsidRPr="00AA26C0" w:rsidRDefault="004B5E3F" w:rsidP="004B5E3F">
      <w:pPr>
        <w:ind w:firstLine="1080"/>
        <w:jc w:val="both"/>
        <w:rPr>
          <w:sz w:val="28"/>
          <w:szCs w:val="28"/>
          <w:lang w:val="uk-UA"/>
        </w:rPr>
      </w:pPr>
    </w:p>
    <w:p w:rsidR="004B5E3F" w:rsidRPr="00AA26C0" w:rsidRDefault="004B5E3F" w:rsidP="004B5E3F">
      <w:pPr>
        <w:ind w:firstLine="1080"/>
        <w:jc w:val="both"/>
        <w:rPr>
          <w:sz w:val="28"/>
          <w:szCs w:val="28"/>
          <w:lang w:val="uk-UA"/>
        </w:rPr>
      </w:pPr>
    </w:p>
    <w:p w:rsidR="004B5E3F" w:rsidRPr="00AA26C0" w:rsidRDefault="004B5E3F" w:rsidP="004B5E3F">
      <w:pPr>
        <w:ind w:firstLine="1080"/>
        <w:jc w:val="both"/>
        <w:rPr>
          <w:sz w:val="28"/>
          <w:szCs w:val="28"/>
          <w:lang w:val="uk-UA"/>
        </w:rPr>
      </w:pPr>
    </w:p>
    <w:p w:rsidR="004B5E3F" w:rsidRPr="00AA26C0" w:rsidRDefault="004B5E3F" w:rsidP="004B5E3F">
      <w:pPr>
        <w:ind w:firstLine="1080"/>
        <w:jc w:val="both"/>
        <w:rPr>
          <w:sz w:val="28"/>
          <w:szCs w:val="28"/>
          <w:lang w:val="uk-UA"/>
        </w:rPr>
      </w:pPr>
    </w:p>
    <w:p w:rsidR="004B5E3F" w:rsidRPr="00AA26C0" w:rsidRDefault="004B5E3F" w:rsidP="004B5E3F">
      <w:pPr>
        <w:ind w:firstLine="1080"/>
        <w:jc w:val="both"/>
        <w:rPr>
          <w:sz w:val="28"/>
          <w:szCs w:val="28"/>
          <w:lang w:val="uk-UA"/>
        </w:rPr>
      </w:pPr>
    </w:p>
    <w:p w:rsidR="004B5E3F" w:rsidRPr="008A73DD" w:rsidRDefault="004B5E3F" w:rsidP="004B5E3F">
      <w:pPr>
        <w:ind w:firstLine="1080"/>
        <w:jc w:val="both"/>
        <w:rPr>
          <w:sz w:val="28"/>
          <w:szCs w:val="28"/>
          <w:lang w:val="uk-UA"/>
        </w:rPr>
      </w:pPr>
    </w:p>
    <w:p w:rsidR="004B5E3F" w:rsidRDefault="004B5E3F" w:rsidP="004B5E3F">
      <w:pPr>
        <w:jc w:val="both"/>
        <w:rPr>
          <w:sz w:val="28"/>
          <w:szCs w:val="28"/>
          <w:lang w:val="uk-UA"/>
        </w:rPr>
      </w:pPr>
      <w:r w:rsidRPr="00AA26C0">
        <w:rPr>
          <w:sz w:val="28"/>
          <w:szCs w:val="28"/>
          <w:lang w:val="uk-UA"/>
        </w:rPr>
        <w:t>Рис. 3. Кількість ФР ССЗ у пацієнтів без ГЛШ, із ГЛШ, визначеною з використанням ІМЛШ</w:t>
      </w:r>
      <w:r>
        <w:rPr>
          <w:sz w:val="28"/>
          <w:szCs w:val="28"/>
          <w:lang w:val="uk-UA"/>
        </w:rPr>
        <w:t xml:space="preserve"> </w:t>
      </w:r>
      <w:r w:rsidRPr="00AA26C0">
        <w:rPr>
          <w:sz w:val="28"/>
          <w:szCs w:val="28"/>
          <w:lang w:val="uk-UA"/>
        </w:rPr>
        <w:t>1 та ІМЛШ 2</w:t>
      </w:r>
    </w:p>
    <w:p w:rsidR="004B5E3F" w:rsidRDefault="004B5E3F" w:rsidP="004B5E3F">
      <w:pPr>
        <w:jc w:val="both"/>
        <w:rPr>
          <w:sz w:val="28"/>
          <w:szCs w:val="28"/>
          <w:lang w:val="uk-UA"/>
        </w:rPr>
      </w:pPr>
    </w:p>
    <w:p w:rsidR="004B5E3F" w:rsidRDefault="004B5E3F" w:rsidP="004B5E3F">
      <w:pPr>
        <w:ind w:firstLine="720"/>
        <w:jc w:val="both"/>
        <w:rPr>
          <w:sz w:val="28"/>
          <w:szCs w:val="28"/>
          <w:lang w:val="uk-UA"/>
        </w:rPr>
      </w:pPr>
      <w:r>
        <w:rPr>
          <w:sz w:val="28"/>
          <w:szCs w:val="28"/>
          <w:lang w:val="uk-UA"/>
        </w:rPr>
        <w:t>П</w:t>
      </w:r>
      <w:r w:rsidRPr="00AA26C0">
        <w:rPr>
          <w:sz w:val="28"/>
          <w:szCs w:val="28"/>
          <w:lang w:val="uk-UA"/>
        </w:rPr>
        <w:t>ри проведенні кореляційного аналізу за Спірменом виявлена пряма достовірна кореляція МЛШ із віком пацієнтів (</w:t>
      </w:r>
      <w:r w:rsidRPr="00AA26C0">
        <w:rPr>
          <w:sz w:val="28"/>
          <w:szCs w:val="28"/>
          <w:lang w:val="en-US"/>
        </w:rPr>
        <w:t>r</w:t>
      </w:r>
      <w:r w:rsidRPr="00AA26C0">
        <w:rPr>
          <w:sz w:val="28"/>
          <w:szCs w:val="28"/>
          <w:lang w:val="uk-UA"/>
        </w:rPr>
        <w:t xml:space="preserve"> = 0,16; </w:t>
      </w:r>
      <w:r w:rsidRPr="00AA26C0">
        <w:rPr>
          <w:sz w:val="28"/>
          <w:szCs w:val="28"/>
          <w:lang w:val="en-US"/>
        </w:rPr>
        <w:t>p</w:t>
      </w:r>
      <w:r>
        <w:rPr>
          <w:sz w:val="28"/>
          <w:szCs w:val="28"/>
          <w:lang w:val="uk-UA"/>
        </w:rPr>
        <w:t xml:space="preserve"> </w:t>
      </w:r>
      <w:r w:rsidRPr="008A73DD">
        <w:rPr>
          <w:sz w:val="28"/>
          <w:szCs w:val="28"/>
          <w:lang w:val="uk-UA"/>
        </w:rPr>
        <w:t>=</w:t>
      </w:r>
      <w:r w:rsidRPr="00AA26C0">
        <w:rPr>
          <w:sz w:val="28"/>
          <w:szCs w:val="28"/>
          <w:lang w:val="uk-UA"/>
        </w:rPr>
        <w:t xml:space="preserve"> 0,03), ІМТ (</w:t>
      </w:r>
      <w:r w:rsidRPr="00AA26C0">
        <w:rPr>
          <w:sz w:val="28"/>
          <w:szCs w:val="28"/>
          <w:lang w:val="en-US"/>
        </w:rPr>
        <w:t>r</w:t>
      </w:r>
      <w:r w:rsidRPr="00AA26C0">
        <w:rPr>
          <w:sz w:val="28"/>
          <w:szCs w:val="28"/>
          <w:lang w:val="uk-UA"/>
        </w:rPr>
        <w:t xml:space="preserve"> = 0,48; </w:t>
      </w:r>
      <w:r w:rsidRPr="00AA26C0">
        <w:rPr>
          <w:sz w:val="28"/>
          <w:szCs w:val="28"/>
          <w:lang w:val="en-US"/>
        </w:rPr>
        <w:t>p</w:t>
      </w:r>
      <w:r>
        <w:rPr>
          <w:sz w:val="28"/>
          <w:szCs w:val="28"/>
          <w:lang w:val="uk-UA"/>
        </w:rPr>
        <w:t xml:space="preserve"> &lt; 0,00</w:t>
      </w:r>
      <w:r w:rsidRPr="00AA26C0">
        <w:rPr>
          <w:sz w:val="28"/>
          <w:szCs w:val="28"/>
          <w:lang w:val="uk-UA"/>
        </w:rPr>
        <w:t>1), рівнем глюкози (</w:t>
      </w:r>
      <w:r w:rsidRPr="00AA26C0">
        <w:rPr>
          <w:sz w:val="28"/>
          <w:szCs w:val="28"/>
          <w:lang w:val="en-US"/>
        </w:rPr>
        <w:t>r</w:t>
      </w:r>
      <w:r w:rsidRPr="00AA26C0">
        <w:rPr>
          <w:sz w:val="28"/>
          <w:szCs w:val="28"/>
          <w:lang w:val="uk-UA"/>
        </w:rPr>
        <w:t xml:space="preserve"> = 0,32; </w:t>
      </w:r>
      <w:r w:rsidRPr="00AA26C0">
        <w:rPr>
          <w:sz w:val="28"/>
          <w:szCs w:val="28"/>
          <w:lang w:val="en-US"/>
        </w:rPr>
        <w:t>p</w:t>
      </w:r>
      <w:r>
        <w:rPr>
          <w:sz w:val="28"/>
          <w:szCs w:val="28"/>
          <w:lang w:val="uk-UA"/>
        </w:rPr>
        <w:t xml:space="preserve"> &lt; 0,</w:t>
      </w:r>
      <w:r w:rsidRPr="00AA26C0">
        <w:rPr>
          <w:sz w:val="28"/>
          <w:szCs w:val="28"/>
          <w:lang w:val="uk-UA"/>
        </w:rPr>
        <w:t>001), тривалістю гіпертензії (</w:t>
      </w:r>
      <w:r w:rsidRPr="00AA26C0">
        <w:rPr>
          <w:sz w:val="28"/>
          <w:szCs w:val="28"/>
          <w:lang w:val="en-US"/>
        </w:rPr>
        <w:t>r</w:t>
      </w:r>
      <w:r>
        <w:rPr>
          <w:sz w:val="28"/>
          <w:szCs w:val="28"/>
          <w:lang w:val="uk-UA"/>
        </w:rPr>
        <w:t xml:space="preserve"> = 0,2</w:t>
      </w:r>
      <w:r w:rsidRPr="008A73DD">
        <w:rPr>
          <w:sz w:val="28"/>
          <w:szCs w:val="28"/>
          <w:lang w:val="uk-UA"/>
        </w:rPr>
        <w:t>6</w:t>
      </w:r>
      <w:r w:rsidRPr="00AA26C0">
        <w:rPr>
          <w:sz w:val="28"/>
          <w:szCs w:val="28"/>
          <w:lang w:val="uk-UA"/>
        </w:rPr>
        <w:t xml:space="preserve">; </w:t>
      </w:r>
      <w:r w:rsidRPr="00AA26C0">
        <w:rPr>
          <w:sz w:val="28"/>
          <w:szCs w:val="28"/>
          <w:lang w:val="en-US"/>
        </w:rPr>
        <w:t>p</w:t>
      </w:r>
      <w:r w:rsidRPr="00AA26C0">
        <w:rPr>
          <w:sz w:val="28"/>
          <w:szCs w:val="28"/>
          <w:lang w:val="uk-UA"/>
        </w:rPr>
        <w:t xml:space="preserve"> &lt; 0,0</w:t>
      </w:r>
      <w:r w:rsidRPr="008A73DD">
        <w:rPr>
          <w:sz w:val="28"/>
          <w:szCs w:val="28"/>
          <w:lang w:val="uk-UA"/>
        </w:rPr>
        <w:t>0</w:t>
      </w:r>
      <w:r w:rsidRPr="00AA26C0">
        <w:rPr>
          <w:sz w:val="28"/>
          <w:szCs w:val="28"/>
          <w:lang w:val="uk-UA"/>
        </w:rPr>
        <w:t>1), рівнем середньодобового систолічного (</w:t>
      </w:r>
      <w:r w:rsidRPr="00AA26C0">
        <w:rPr>
          <w:sz w:val="28"/>
          <w:szCs w:val="28"/>
          <w:lang w:val="en-US"/>
        </w:rPr>
        <w:t>r</w:t>
      </w:r>
      <w:r>
        <w:rPr>
          <w:sz w:val="28"/>
          <w:szCs w:val="28"/>
          <w:lang w:val="uk-UA"/>
        </w:rPr>
        <w:t xml:space="preserve"> = 0,</w:t>
      </w:r>
      <w:r w:rsidRPr="008A73DD">
        <w:rPr>
          <w:sz w:val="28"/>
          <w:szCs w:val="28"/>
          <w:lang w:val="uk-UA"/>
        </w:rPr>
        <w:t>45</w:t>
      </w:r>
      <w:r w:rsidRPr="00AA26C0">
        <w:rPr>
          <w:sz w:val="28"/>
          <w:szCs w:val="28"/>
          <w:lang w:val="uk-UA"/>
        </w:rPr>
        <w:t xml:space="preserve">; </w:t>
      </w:r>
      <w:r w:rsidRPr="00AA26C0">
        <w:rPr>
          <w:sz w:val="28"/>
          <w:szCs w:val="28"/>
          <w:lang w:val="en-US"/>
        </w:rPr>
        <w:t>p</w:t>
      </w:r>
      <w:r>
        <w:rPr>
          <w:sz w:val="28"/>
          <w:szCs w:val="28"/>
          <w:lang w:val="uk-UA"/>
        </w:rPr>
        <w:t xml:space="preserve"> &lt; 0,</w:t>
      </w:r>
      <w:r w:rsidRPr="00AA26C0">
        <w:rPr>
          <w:sz w:val="28"/>
          <w:szCs w:val="28"/>
          <w:lang w:val="uk-UA"/>
        </w:rPr>
        <w:t>001), та діастолічного</w:t>
      </w:r>
      <w:r>
        <w:rPr>
          <w:sz w:val="28"/>
          <w:szCs w:val="28"/>
          <w:lang w:val="uk-UA"/>
        </w:rPr>
        <w:t xml:space="preserve"> </w:t>
      </w:r>
      <w:r w:rsidRPr="00AA26C0">
        <w:rPr>
          <w:sz w:val="28"/>
          <w:szCs w:val="28"/>
          <w:lang w:val="uk-UA"/>
        </w:rPr>
        <w:t>(</w:t>
      </w:r>
      <w:r w:rsidRPr="00AA26C0">
        <w:rPr>
          <w:sz w:val="28"/>
          <w:szCs w:val="28"/>
          <w:lang w:val="en-US"/>
        </w:rPr>
        <w:t>r</w:t>
      </w:r>
      <w:r>
        <w:rPr>
          <w:sz w:val="28"/>
          <w:szCs w:val="28"/>
          <w:lang w:val="uk-UA"/>
        </w:rPr>
        <w:t xml:space="preserve"> = 0,</w:t>
      </w:r>
      <w:r w:rsidRPr="008A73DD">
        <w:rPr>
          <w:sz w:val="28"/>
          <w:szCs w:val="28"/>
          <w:lang w:val="uk-UA"/>
        </w:rPr>
        <w:t>4</w:t>
      </w:r>
      <w:r>
        <w:rPr>
          <w:sz w:val="28"/>
          <w:szCs w:val="28"/>
          <w:lang w:val="uk-UA"/>
        </w:rPr>
        <w:t>3</w:t>
      </w:r>
      <w:r w:rsidRPr="00AA26C0">
        <w:rPr>
          <w:sz w:val="28"/>
          <w:szCs w:val="28"/>
          <w:lang w:val="uk-UA"/>
        </w:rPr>
        <w:t xml:space="preserve">; </w:t>
      </w:r>
      <w:r w:rsidRPr="00AA26C0">
        <w:rPr>
          <w:sz w:val="28"/>
          <w:szCs w:val="28"/>
          <w:lang w:val="en-US"/>
        </w:rPr>
        <w:t>p</w:t>
      </w:r>
      <w:r>
        <w:rPr>
          <w:sz w:val="28"/>
          <w:szCs w:val="28"/>
          <w:lang w:val="uk-UA"/>
        </w:rPr>
        <w:t xml:space="preserve"> &lt; 0,</w:t>
      </w:r>
      <w:r w:rsidRPr="00AA26C0">
        <w:rPr>
          <w:sz w:val="28"/>
          <w:szCs w:val="28"/>
          <w:lang w:val="uk-UA"/>
        </w:rPr>
        <w:t>001) АТ</w:t>
      </w:r>
      <w:r w:rsidRPr="008A73DD">
        <w:rPr>
          <w:sz w:val="28"/>
          <w:szCs w:val="28"/>
          <w:lang w:val="uk-UA"/>
        </w:rPr>
        <w:t>,</w:t>
      </w:r>
      <w:r>
        <w:rPr>
          <w:sz w:val="28"/>
          <w:szCs w:val="28"/>
          <w:lang w:val="uk-UA"/>
        </w:rPr>
        <w:t xml:space="preserve"> наявністю цукрового діабету </w:t>
      </w:r>
      <w:r w:rsidRPr="00AA26C0">
        <w:rPr>
          <w:sz w:val="28"/>
          <w:szCs w:val="28"/>
          <w:lang w:val="uk-UA"/>
        </w:rPr>
        <w:t>(</w:t>
      </w:r>
      <w:r w:rsidRPr="00AA26C0">
        <w:rPr>
          <w:sz w:val="28"/>
          <w:szCs w:val="28"/>
          <w:lang w:val="en-US"/>
        </w:rPr>
        <w:t>r</w:t>
      </w:r>
      <w:r>
        <w:rPr>
          <w:sz w:val="28"/>
          <w:szCs w:val="28"/>
          <w:lang w:val="uk-UA"/>
        </w:rPr>
        <w:t xml:space="preserve"> = 0,26</w:t>
      </w:r>
      <w:r w:rsidRPr="00AA26C0">
        <w:rPr>
          <w:sz w:val="28"/>
          <w:szCs w:val="28"/>
          <w:lang w:val="uk-UA"/>
        </w:rPr>
        <w:t xml:space="preserve">; </w:t>
      </w:r>
      <w:r w:rsidRPr="00AA26C0">
        <w:rPr>
          <w:sz w:val="28"/>
          <w:szCs w:val="28"/>
          <w:lang w:val="en-US"/>
        </w:rPr>
        <w:t>p</w:t>
      </w:r>
      <w:r>
        <w:rPr>
          <w:sz w:val="28"/>
          <w:szCs w:val="28"/>
          <w:lang w:val="uk-UA"/>
        </w:rPr>
        <w:t xml:space="preserve"> &lt; 0,</w:t>
      </w:r>
      <w:r w:rsidRPr="00AA26C0">
        <w:rPr>
          <w:sz w:val="28"/>
          <w:szCs w:val="28"/>
          <w:lang w:val="uk-UA"/>
        </w:rPr>
        <w:t>001), та статтю (</w:t>
      </w:r>
      <w:r w:rsidRPr="00AA26C0">
        <w:rPr>
          <w:sz w:val="28"/>
          <w:szCs w:val="28"/>
          <w:lang w:val="en-US"/>
        </w:rPr>
        <w:t>r</w:t>
      </w:r>
      <w:r w:rsidRPr="00AA26C0">
        <w:rPr>
          <w:sz w:val="28"/>
          <w:szCs w:val="28"/>
          <w:lang w:val="uk-UA"/>
        </w:rPr>
        <w:t xml:space="preserve"> = 0,35; </w:t>
      </w:r>
      <w:r w:rsidRPr="00AA26C0">
        <w:rPr>
          <w:sz w:val="28"/>
          <w:szCs w:val="28"/>
          <w:lang w:val="en-US"/>
        </w:rPr>
        <w:t>p</w:t>
      </w:r>
      <w:r>
        <w:rPr>
          <w:sz w:val="28"/>
          <w:szCs w:val="28"/>
          <w:lang w:val="uk-UA"/>
        </w:rPr>
        <w:t xml:space="preserve"> &lt; 0,</w:t>
      </w:r>
      <w:r w:rsidRPr="00AA26C0">
        <w:rPr>
          <w:sz w:val="28"/>
          <w:szCs w:val="28"/>
          <w:lang w:val="uk-UA"/>
        </w:rPr>
        <w:t>001), Ці параметри були відібрані для проведення множинного регресійного аналізу з покроковим включенням перемінни</w:t>
      </w:r>
      <w:r>
        <w:rPr>
          <w:sz w:val="28"/>
          <w:szCs w:val="28"/>
          <w:lang w:val="uk-UA"/>
        </w:rPr>
        <w:t>х, для яких виявлено достовірні</w:t>
      </w:r>
      <w:r w:rsidRPr="00AA26C0">
        <w:rPr>
          <w:sz w:val="28"/>
          <w:szCs w:val="28"/>
          <w:lang w:val="uk-UA"/>
        </w:rPr>
        <w:t xml:space="preserve"> кореляційн</w:t>
      </w:r>
      <w:r>
        <w:rPr>
          <w:sz w:val="28"/>
          <w:szCs w:val="28"/>
          <w:lang w:val="uk-UA"/>
        </w:rPr>
        <w:t xml:space="preserve">і </w:t>
      </w:r>
      <w:r w:rsidRPr="00AA26C0">
        <w:rPr>
          <w:sz w:val="28"/>
          <w:szCs w:val="28"/>
          <w:lang w:val="uk-UA"/>
        </w:rPr>
        <w:t>зв'язк</w:t>
      </w:r>
      <w:r>
        <w:rPr>
          <w:sz w:val="28"/>
          <w:szCs w:val="28"/>
          <w:lang w:val="uk-UA"/>
        </w:rPr>
        <w:t>и</w:t>
      </w:r>
      <w:r w:rsidRPr="00AA26C0">
        <w:rPr>
          <w:sz w:val="28"/>
          <w:szCs w:val="28"/>
          <w:lang w:val="uk-UA"/>
        </w:rPr>
        <w:t xml:space="preserve"> із МЛШ</w:t>
      </w:r>
      <w:r>
        <w:rPr>
          <w:sz w:val="28"/>
          <w:szCs w:val="28"/>
          <w:lang w:val="uk-UA"/>
        </w:rPr>
        <w:t xml:space="preserve"> </w:t>
      </w:r>
      <w:r w:rsidRPr="00AA26C0">
        <w:rPr>
          <w:sz w:val="28"/>
          <w:szCs w:val="28"/>
          <w:lang w:val="uk-UA"/>
        </w:rPr>
        <w:t>(табл.</w:t>
      </w:r>
      <w:r>
        <w:rPr>
          <w:sz w:val="28"/>
          <w:szCs w:val="28"/>
          <w:lang w:val="uk-UA"/>
        </w:rPr>
        <w:t>5</w:t>
      </w:r>
      <w:r w:rsidRPr="00AA26C0">
        <w:rPr>
          <w:sz w:val="28"/>
          <w:szCs w:val="28"/>
          <w:lang w:val="uk-UA"/>
        </w:rPr>
        <w:t>).</w:t>
      </w:r>
    </w:p>
    <w:p w:rsidR="004B5E3F" w:rsidRDefault="004B5E3F" w:rsidP="004B5E3F">
      <w:pPr>
        <w:ind w:firstLine="720"/>
        <w:jc w:val="right"/>
        <w:rPr>
          <w:sz w:val="28"/>
          <w:szCs w:val="28"/>
          <w:lang w:val="uk-UA"/>
        </w:rPr>
      </w:pPr>
      <w:r>
        <w:rPr>
          <w:sz w:val="28"/>
          <w:szCs w:val="28"/>
          <w:lang w:val="uk-UA"/>
        </w:rPr>
        <w:t>Таблиця 5</w:t>
      </w:r>
    </w:p>
    <w:p w:rsidR="004B5E3F" w:rsidRDefault="004B5E3F" w:rsidP="004B5E3F">
      <w:pPr>
        <w:ind w:firstLine="720"/>
        <w:jc w:val="both"/>
        <w:rPr>
          <w:sz w:val="28"/>
          <w:szCs w:val="28"/>
          <w:lang w:val="uk-UA"/>
        </w:rPr>
      </w:pPr>
      <w:r>
        <w:rPr>
          <w:sz w:val="28"/>
          <w:szCs w:val="28"/>
          <w:lang w:val="uk-UA"/>
        </w:rPr>
        <w:t>Показники, що достовірно корелювали із МЛШ</w:t>
      </w:r>
    </w:p>
    <w:tbl>
      <w:tblPr>
        <w:tblW w:w="974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64"/>
        <w:gridCol w:w="1061"/>
        <w:gridCol w:w="1076"/>
        <w:gridCol w:w="1101"/>
        <w:gridCol w:w="1004"/>
        <w:gridCol w:w="1101"/>
        <w:gridCol w:w="1047"/>
        <w:gridCol w:w="1004"/>
        <w:gridCol w:w="884"/>
      </w:tblGrid>
      <w:tr w:rsidR="004B5E3F" w:rsidRPr="00931AF3" w:rsidTr="000B14BF">
        <w:trPr>
          <w:trHeight w:val="270"/>
        </w:trPr>
        <w:tc>
          <w:tcPr>
            <w:tcW w:w="1464" w:type="dxa"/>
            <w:vAlign w:val="center"/>
          </w:tcPr>
          <w:p w:rsidR="004B5E3F" w:rsidRPr="00931AF3" w:rsidRDefault="004B5E3F" w:rsidP="000B14BF">
            <w:pPr>
              <w:jc w:val="center"/>
              <w:rPr>
                <w:b/>
                <w:sz w:val="22"/>
                <w:szCs w:val="22"/>
                <w:lang w:val="uk-UA"/>
              </w:rPr>
            </w:pPr>
            <w:r>
              <w:rPr>
                <w:sz w:val="28"/>
                <w:szCs w:val="28"/>
                <w:lang w:val="uk-UA"/>
              </w:rPr>
              <w:t>показники</w:t>
            </w:r>
          </w:p>
        </w:tc>
        <w:tc>
          <w:tcPr>
            <w:tcW w:w="1061" w:type="dxa"/>
          </w:tcPr>
          <w:p w:rsidR="004B5E3F" w:rsidRDefault="004B5E3F" w:rsidP="000B14BF">
            <w:pPr>
              <w:jc w:val="center"/>
              <w:rPr>
                <w:sz w:val="28"/>
                <w:szCs w:val="28"/>
                <w:lang w:val="uk-UA"/>
              </w:rPr>
            </w:pPr>
            <w:r>
              <w:rPr>
                <w:sz w:val="28"/>
                <w:szCs w:val="28"/>
                <w:lang w:val="uk-UA"/>
              </w:rPr>
              <w:t>стать</w:t>
            </w:r>
          </w:p>
        </w:tc>
        <w:tc>
          <w:tcPr>
            <w:tcW w:w="1076" w:type="dxa"/>
            <w:shd w:val="clear" w:color="auto" w:fill="auto"/>
            <w:noWrap/>
            <w:vAlign w:val="center"/>
          </w:tcPr>
          <w:p w:rsidR="004B5E3F" w:rsidRPr="00931AF3" w:rsidRDefault="004B5E3F" w:rsidP="000B14BF">
            <w:pPr>
              <w:jc w:val="center"/>
              <w:rPr>
                <w:sz w:val="28"/>
                <w:szCs w:val="28"/>
              </w:rPr>
            </w:pPr>
            <w:r>
              <w:rPr>
                <w:sz w:val="28"/>
                <w:szCs w:val="28"/>
                <w:lang w:val="uk-UA"/>
              </w:rPr>
              <w:t>ІМТ</w:t>
            </w:r>
          </w:p>
        </w:tc>
        <w:tc>
          <w:tcPr>
            <w:tcW w:w="1101" w:type="dxa"/>
            <w:vAlign w:val="center"/>
          </w:tcPr>
          <w:p w:rsidR="004B5E3F" w:rsidRPr="00931AF3" w:rsidRDefault="004B5E3F" w:rsidP="000B14BF">
            <w:pPr>
              <w:jc w:val="center"/>
              <w:rPr>
                <w:sz w:val="28"/>
                <w:szCs w:val="28"/>
              </w:rPr>
            </w:pPr>
            <w:r>
              <w:rPr>
                <w:sz w:val="28"/>
                <w:szCs w:val="28"/>
                <w:lang w:val="uk-UA"/>
              </w:rPr>
              <w:t>Гл</w:t>
            </w:r>
          </w:p>
        </w:tc>
        <w:tc>
          <w:tcPr>
            <w:tcW w:w="1004" w:type="dxa"/>
            <w:vAlign w:val="center"/>
          </w:tcPr>
          <w:p w:rsidR="004B5E3F" w:rsidRPr="0060288E" w:rsidRDefault="004B5E3F" w:rsidP="000B14BF">
            <w:pPr>
              <w:jc w:val="center"/>
              <w:rPr>
                <w:sz w:val="28"/>
                <w:szCs w:val="28"/>
                <w:lang w:val="uk-UA"/>
              </w:rPr>
            </w:pPr>
            <w:r>
              <w:rPr>
                <w:sz w:val="28"/>
                <w:szCs w:val="28"/>
                <w:lang w:val="uk-UA"/>
              </w:rPr>
              <w:t>ЦД</w:t>
            </w:r>
          </w:p>
        </w:tc>
        <w:tc>
          <w:tcPr>
            <w:tcW w:w="1101" w:type="dxa"/>
            <w:vAlign w:val="center"/>
          </w:tcPr>
          <w:p w:rsidR="004B5E3F" w:rsidRPr="00931AF3" w:rsidRDefault="004B5E3F" w:rsidP="000B14BF">
            <w:pPr>
              <w:jc w:val="center"/>
              <w:rPr>
                <w:sz w:val="28"/>
                <w:szCs w:val="28"/>
              </w:rPr>
            </w:pPr>
            <w:r>
              <w:rPr>
                <w:sz w:val="28"/>
                <w:szCs w:val="28"/>
                <w:lang w:val="uk-UA"/>
              </w:rPr>
              <w:t>САТ</w:t>
            </w:r>
          </w:p>
        </w:tc>
        <w:tc>
          <w:tcPr>
            <w:tcW w:w="1047" w:type="dxa"/>
            <w:vAlign w:val="center"/>
          </w:tcPr>
          <w:p w:rsidR="004B5E3F" w:rsidRPr="00931AF3" w:rsidRDefault="004B5E3F" w:rsidP="000B14BF">
            <w:pPr>
              <w:jc w:val="center"/>
              <w:rPr>
                <w:sz w:val="28"/>
                <w:szCs w:val="28"/>
              </w:rPr>
            </w:pPr>
            <w:r>
              <w:rPr>
                <w:sz w:val="28"/>
                <w:szCs w:val="28"/>
                <w:lang w:val="uk-UA"/>
              </w:rPr>
              <w:t>ДАТ</w:t>
            </w:r>
          </w:p>
        </w:tc>
        <w:tc>
          <w:tcPr>
            <w:tcW w:w="1004" w:type="dxa"/>
            <w:shd w:val="clear" w:color="auto" w:fill="auto"/>
            <w:noWrap/>
            <w:vAlign w:val="center"/>
          </w:tcPr>
          <w:p w:rsidR="004B5E3F" w:rsidRPr="00931AF3" w:rsidRDefault="004B5E3F" w:rsidP="000B14BF">
            <w:pPr>
              <w:jc w:val="center"/>
              <w:rPr>
                <w:sz w:val="28"/>
                <w:szCs w:val="28"/>
              </w:rPr>
            </w:pPr>
            <w:r>
              <w:rPr>
                <w:sz w:val="28"/>
                <w:szCs w:val="28"/>
                <w:lang w:val="uk-UA"/>
              </w:rPr>
              <w:t>ДГ</w:t>
            </w:r>
          </w:p>
        </w:tc>
        <w:tc>
          <w:tcPr>
            <w:tcW w:w="884" w:type="dxa"/>
            <w:shd w:val="clear" w:color="auto" w:fill="auto"/>
            <w:noWrap/>
            <w:vAlign w:val="center"/>
          </w:tcPr>
          <w:p w:rsidR="004B5E3F" w:rsidRPr="00931AF3" w:rsidRDefault="004B5E3F" w:rsidP="000B14BF">
            <w:pPr>
              <w:jc w:val="center"/>
              <w:rPr>
                <w:sz w:val="28"/>
                <w:szCs w:val="28"/>
              </w:rPr>
            </w:pPr>
            <w:r>
              <w:rPr>
                <w:sz w:val="28"/>
                <w:szCs w:val="28"/>
                <w:lang w:val="uk-UA"/>
              </w:rPr>
              <w:t>вік</w:t>
            </w:r>
          </w:p>
        </w:tc>
      </w:tr>
      <w:tr w:rsidR="004B5E3F" w:rsidRPr="00931AF3" w:rsidTr="000B14BF">
        <w:trPr>
          <w:trHeight w:val="255"/>
        </w:trPr>
        <w:tc>
          <w:tcPr>
            <w:tcW w:w="1464" w:type="dxa"/>
            <w:vAlign w:val="center"/>
          </w:tcPr>
          <w:p w:rsidR="004B5E3F" w:rsidRPr="005E63FB" w:rsidRDefault="004B5E3F" w:rsidP="000B14BF">
            <w:pPr>
              <w:jc w:val="center"/>
              <w:rPr>
                <w:sz w:val="22"/>
                <w:szCs w:val="22"/>
                <w:lang w:val="en-US"/>
              </w:rPr>
            </w:pPr>
            <w:r w:rsidRPr="005E63FB">
              <w:rPr>
                <w:sz w:val="28"/>
                <w:szCs w:val="28"/>
                <w:lang w:val="en-US"/>
              </w:rPr>
              <w:t>r</w:t>
            </w:r>
          </w:p>
        </w:tc>
        <w:tc>
          <w:tcPr>
            <w:tcW w:w="1061" w:type="dxa"/>
          </w:tcPr>
          <w:p w:rsidR="004B5E3F" w:rsidRDefault="004B5E3F" w:rsidP="000B14BF">
            <w:pPr>
              <w:jc w:val="center"/>
              <w:rPr>
                <w:sz w:val="28"/>
                <w:szCs w:val="28"/>
                <w:lang w:val="uk-UA"/>
              </w:rPr>
            </w:pPr>
            <w:r>
              <w:rPr>
                <w:sz w:val="28"/>
                <w:szCs w:val="28"/>
                <w:lang w:val="uk-UA"/>
              </w:rPr>
              <w:t>0,35</w:t>
            </w:r>
          </w:p>
        </w:tc>
        <w:tc>
          <w:tcPr>
            <w:tcW w:w="1076" w:type="dxa"/>
            <w:shd w:val="clear" w:color="auto" w:fill="auto"/>
            <w:noWrap/>
            <w:vAlign w:val="center"/>
          </w:tcPr>
          <w:p w:rsidR="004B5E3F" w:rsidRPr="00850535" w:rsidRDefault="004B5E3F" w:rsidP="000B14BF">
            <w:pPr>
              <w:jc w:val="center"/>
              <w:rPr>
                <w:sz w:val="28"/>
                <w:szCs w:val="28"/>
                <w:lang w:val="en-US"/>
              </w:rPr>
            </w:pPr>
            <w:r>
              <w:rPr>
                <w:sz w:val="28"/>
                <w:szCs w:val="28"/>
                <w:lang w:val="uk-UA"/>
              </w:rPr>
              <w:t>0</w:t>
            </w:r>
            <w:r>
              <w:rPr>
                <w:sz w:val="28"/>
                <w:szCs w:val="28"/>
                <w:lang w:val="en-US"/>
              </w:rPr>
              <w:t>,48</w:t>
            </w:r>
          </w:p>
        </w:tc>
        <w:tc>
          <w:tcPr>
            <w:tcW w:w="1101" w:type="dxa"/>
            <w:vAlign w:val="center"/>
          </w:tcPr>
          <w:p w:rsidR="004B5E3F" w:rsidRPr="00850535" w:rsidRDefault="004B5E3F" w:rsidP="000B14BF">
            <w:pPr>
              <w:jc w:val="center"/>
              <w:rPr>
                <w:sz w:val="28"/>
                <w:szCs w:val="28"/>
                <w:lang w:val="en-US"/>
              </w:rPr>
            </w:pPr>
            <w:r>
              <w:rPr>
                <w:sz w:val="28"/>
                <w:szCs w:val="28"/>
                <w:lang w:val="en-US"/>
              </w:rPr>
              <w:t>0,32</w:t>
            </w:r>
          </w:p>
        </w:tc>
        <w:tc>
          <w:tcPr>
            <w:tcW w:w="1004" w:type="dxa"/>
            <w:vAlign w:val="center"/>
          </w:tcPr>
          <w:p w:rsidR="004B5E3F" w:rsidRPr="00850535" w:rsidRDefault="004B5E3F" w:rsidP="000B14BF">
            <w:pPr>
              <w:jc w:val="center"/>
              <w:rPr>
                <w:sz w:val="28"/>
                <w:szCs w:val="28"/>
                <w:lang w:val="en-US"/>
              </w:rPr>
            </w:pPr>
            <w:r>
              <w:rPr>
                <w:sz w:val="28"/>
                <w:szCs w:val="28"/>
                <w:lang w:val="en-US"/>
              </w:rPr>
              <w:t>0,26</w:t>
            </w:r>
          </w:p>
        </w:tc>
        <w:tc>
          <w:tcPr>
            <w:tcW w:w="1101" w:type="dxa"/>
            <w:vAlign w:val="center"/>
          </w:tcPr>
          <w:p w:rsidR="004B5E3F" w:rsidRPr="00215E73" w:rsidRDefault="004B5E3F" w:rsidP="000B14BF">
            <w:pPr>
              <w:jc w:val="center"/>
              <w:rPr>
                <w:sz w:val="28"/>
                <w:szCs w:val="28"/>
                <w:lang w:val="uk-UA"/>
              </w:rPr>
            </w:pPr>
            <w:r>
              <w:rPr>
                <w:sz w:val="28"/>
                <w:szCs w:val="28"/>
                <w:lang w:val="en-US"/>
              </w:rPr>
              <w:t>0,</w:t>
            </w:r>
            <w:r>
              <w:rPr>
                <w:sz w:val="28"/>
                <w:szCs w:val="28"/>
                <w:lang w:val="uk-UA"/>
              </w:rPr>
              <w:t>45</w:t>
            </w:r>
          </w:p>
        </w:tc>
        <w:tc>
          <w:tcPr>
            <w:tcW w:w="1047" w:type="dxa"/>
            <w:vAlign w:val="center"/>
          </w:tcPr>
          <w:p w:rsidR="004B5E3F" w:rsidRPr="00215E73" w:rsidRDefault="004B5E3F" w:rsidP="000B14BF">
            <w:pPr>
              <w:jc w:val="center"/>
              <w:rPr>
                <w:sz w:val="28"/>
                <w:szCs w:val="28"/>
                <w:lang w:val="uk-UA"/>
              </w:rPr>
            </w:pPr>
            <w:r>
              <w:rPr>
                <w:sz w:val="28"/>
                <w:szCs w:val="28"/>
                <w:lang w:val="en-US"/>
              </w:rPr>
              <w:t>0,</w:t>
            </w:r>
            <w:r>
              <w:rPr>
                <w:sz w:val="28"/>
                <w:szCs w:val="28"/>
                <w:lang w:val="uk-UA"/>
              </w:rPr>
              <w:t>4</w:t>
            </w:r>
            <w:r>
              <w:rPr>
                <w:sz w:val="28"/>
                <w:szCs w:val="28"/>
                <w:lang w:val="en-US"/>
              </w:rPr>
              <w:t>3</w:t>
            </w:r>
          </w:p>
        </w:tc>
        <w:tc>
          <w:tcPr>
            <w:tcW w:w="1004" w:type="dxa"/>
            <w:shd w:val="clear" w:color="auto" w:fill="auto"/>
            <w:noWrap/>
            <w:vAlign w:val="center"/>
          </w:tcPr>
          <w:p w:rsidR="004B5E3F" w:rsidRPr="00215E73" w:rsidRDefault="004B5E3F" w:rsidP="000B14BF">
            <w:pPr>
              <w:jc w:val="center"/>
              <w:rPr>
                <w:sz w:val="28"/>
                <w:szCs w:val="28"/>
                <w:lang w:val="uk-UA"/>
              </w:rPr>
            </w:pPr>
            <w:r>
              <w:rPr>
                <w:sz w:val="28"/>
                <w:szCs w:val="28"/>
                <w:lang w:val="en-US"/>
              </w:rPr>
              <w:t>0,2</w:t>
            </w:r>
            <w:r>
              <w:rPr>
                <w:sz w:val="28"/>
                <w:szCs w:val="28"/>
                <w:lang w:val="uk-UA"/>
              </w:rPr>
              <w:t>6</w:t>
            </w:r>
          </w:p>
        </w:tc>
        <w:tc>
          <w:tcPr>
            <w:tcW w:w="884" w:type="dxa"/>
            <w:shd w:val="clear" w:color="auto" w:fill="auto"/>
            <w:noWrap/>
            <w:vAlign w:val="center"/>
          </w:tcPr>
          <w:p w:rsidR="004B5E3F" w:rsidRPr="00850535" w:rsidRDefault="004B5E3F" w:rsidP="000B14BF">
            <w:pPr>
              <w:jc w:val="center"/>
              <w:rPr>
                <w:sz w:val="28"/>
                <w:szCs w:val="28"/>
                <w:lang w:val="en-US"/>
              </w:rPr>
            </w:pPr>
            <w:r>
              <w:rPr>
                <w:sz w:val="28"/>
                <w:szCs w:val="28"/>
                <w:lang w:val="en-US"/>
              </w:rPr>
              <w:t>0,16</w:t>
            </w:r>
          </w:p>
        </w:tc>
      </w:tr>
      <w:tr w:rsidR="004B5E3F" w:rsidRPr="00931AF3" w:rsidTr="000B14BF">
        <w:trPr>
          <w:trHeight w:val="255"/>
        </w:trPr>
        <w:tc>
          <w:tcPr>
            <w:tcW w:w="1464" w:type="dxa"/>
            <w:vAlign w:val="center"/>
          </w:tcPr>
          <w:p w:rsidR="004B5E3F" w:rsidRPr="005F62D4" w:rsidRDefault="004B5E3F" w:rsidP="000B14BF">
            <w:pPr>
              <w:jc w:val="center"/>
              <w:rPr>
                <w:sz w:val="28"/>
                <w:szCs w:val="28"/>
                <w:lang w:val="uk-UA"/>
              </w:rPr>
            </w:pPr>
            <w:r>
              <w:rPr>
                <w:sz w:val="28"/>
                <w:szCs w:val="28"/>
                <w:lang w:val="en-US"/>
              </w:rPr>
              <w:t>p</w:t>
            </w:r>
          </w:p>
        </w:tc>
        <w:tc>
          <w:tcPr>
            <w:tcW w:w="1061" w:type="dxa"/>
          </w:tcPr>
          <w:p w:rsidR="004B5E3F" w:rsidRDefault="004B5E3F" w:rsidP="000B14BF">
            <w:pPr>
              <w:jc w:val="center"/>
              <w:rPr>
                <w:sz w:val="28"/>
                <w:szCs w:val="28"/>
                <w:lang w:val="en-US"/>
              </w:rPr>
            </w:pPr>
            <w:r w:rsidRPr="00810B92">
              <w:rPr>
                <w:bCs/>
                <w:sz w:val="28"/>
                <w:szCs w:val="28"/>
              </w:rPr>
              <w:t>&lt;</w:t>
            </w:r>
            <w:r>
              <w:rPr>
                <w:sz w:val="28"/>
                <w:szCs w:val="28"/>
                <w:lang w:val="en-US"/>
              </w:rPr>
              <w:t>0,001</w:t>
            </w:r>
          </w:p>
        </w:tc>
        <w:tc>
          <w:tcPr>
            <w:tcW w:w="1076" w:type="dxa"/>
            <w:shd w:val="clear" w:color="auto" w:fill="auto"/>
            <w:noWrap/>
            <w:vAlign w:val="center"/>
          </w:tcPr>
          <w:p w:rsidR="004B5E3F" w:rsidRPr="00850535" w:rsidRDefault="004B5E3F" w:rsidP="000B14BF">
            <w:pPr>
              <w:jc w:val="center"/>
              <w:rPr>
                <w:sz w:val="28"/>
                <w:szCs w:val="28"/>
                <w:lang w:val="en-US"/>
              </w:rPr>
            </w:pPr>
            <w:r w:rsidRPr="00810B92">
              <w:rPr>
                <w:bCs/>
                <w:sz w:val="28"/>
                <w:szCs w:val="28"/>
              </w:rPr>
              <w:t>&lt;</w:t>
            </w:r>
            <w:r>
              <w:rPr>
                <w:sz w:val="28"/>
                <w:szCs w:val="28"/>
                <w:lang w:val="en-US"/>
              </w:rPr>
              <w:t>0,001</w:t>
            </w:r>
          </w:p>
        </w:tc>
        <w:tc>
          <w:tcPr>
            <w:tcW w:w="1101" w:type="dxa"/>
            <w:vAlign w:val="center"/>
          </w:tcPr>
          <w:p w:rsidR="004B5E3F" w:rsidRPr="00931AF3" w:rsidRDefault="004B5E3F" w:rsidP="000B14BF">
            <w:pPr>
              <w:jc w:val="center"/>
              <w:rPr>
                <w:sz w:val="28"/>
                <w:szCs w:val="28"/>
              </w:rPr>
            </w:pPr>
            <w:r w:rsidRPr="00810B92">
              <w:rPr>
                <w:bCs/>
                <w:sz w:val="28"/>
                <w:szCs w:val="28"/>
              </w:rPr>
              <w:t>&lt;</w:t>
            </w:r>
            <w:r>
              <w:rPr>
                <w:sz w:val="28"/>
                <w:szCs w:val="28"/>
                <w:lang w:val="en-US"/>
              </w:rPr>
              <w:t>0,001</w:t>
            </w:r>
          </w:p>
        </w:tc>
        <w:tc>
          <w:tcPr>
            <w:tcW w:w="1004" w:type="dxa"/>
            <w:vAlign w:val="center"/>
          </w:tcPr>
          <w:p w:rsidR="004B5E3F" w:rsidRPr="00931AF3" w:rsidRDefault="004B5E3F" w:rsidP="000B14BF">
            <w:pPr>
              <w:jc w:val="center"/>
              <w:rPr>
                <w:sz w:val="28"/>
                <w:szCs w:val="28"/>
              </w:rPr>
            </w:pPr>
            <w:r w:rsidRPr="00810B92">
              <w:rPr>
                <w:bCs/>
                <w:sz w:val="28"/>
                <w:szCs w:val="28"/>
              </w:rPr>
              <w:t>&lt;</w:t>
            </w:r>
            <w:r>
              <w:rPr>
                <w:sz w:val="28"/>
                <w:szCs w:val="28"/>
                <w:lang w:val="en-US"/>
              </w:rPr>
              <w:t>0,001</w:t>
            </w:r>
          </w:p>
        </w:tc>
        <w:tc>
          <w:tcPr>
            <w:tcW w:w="1101" w:type="dxa"/>
            <w:vAlign w:val="center"/>
          </w:tcPr>
          <w:p w:rsidR="004B5E3F" w:rsidRPr="00931AF3" w:rsidRDefault="004B5E3F" w:rsidP="000B14BF">
            <w:pPr>
              <w:jc w:val="center"/>
              <w:rPr>
                <w:sz w:val="28"/>
                <w:szCs w:val="28"/>
              </w:rPr>
            </w:pPr>
            <w:r w:rsidRPr="00810B92">
              <w:rPr>
                <w:bCs/>
                <w:sz w:val="28"/>
                <w:szCs w:val="28"/>
              </w:rPr>
              <w:t>&lt;</w:t>
            </w:r>
            <w:r>
              <w:rPr>
                <w:sz w:val="28"/>
                <w:szCs w:val="28"/>
                <w:lang w:val="en-US"/>
              </w:rPr>
              <w:t>0,001</w:t>
            </w:r>
          </w:p>
        </w:tc>
        <w:tc>
          <w:tcPr>
            <w:tcW w:w="1047" w:type="dxa"/>
            <w:vAlign w:val="center"/>
          </w:tcPr>
          <w:p w:rsidR="004B5E3F" w:rsidRPr="00931AF3" w:rsidRDefault="004B5E3F" w:rsidP="000B14BF">
            <w:pPr>
              <w:jc w:val="center"/>
              <w:rPr>
                <w:sz w:val="28"/>
                <w:szCs w:val="28"/>
              </w:rPr>
            </w:pPr>
            <w:r w:rsidRPr="00810B92">
              <w:rPr>
                <w:bCs/>
                <w:sz w:val="28"/>
                <w:szCs w:val="28"/>
              </w:rPr>
              <w:t>&lt;</w:t>
            </w:r>
            <w:r>
              <w:rPr>
                <w:sz w:val="28"/>
                <w:szCs w:val="28"/>
                <w:lang w:val="en-US"/>
              </w:rPr>
              <w:t>0,001</w:t>
            </w:r>
          </w:p>
        </w:tc>
        <w:tc>
          <w:tcPr>
            <w:tcW w:w="1004" w:type="dxa"/>
            <w:shd w:val="clear" w:color="auto" w:fill="auto"/>
            <w:noWrap/>
            <w:vAlign w:val="center"/>
          </w:tcPr>
          <w:p w:rsidR="004B5E3F" w:rsidRPr="00931AF3" w:rsidRDefault="004B5E3F" w:rsidP="000B14BF">
            <w:pPr>
              <w:jc w:val="center"/>
              <w:rPr>
                <w:sz w:val="28"/>
                <w:szCs w:val="28"/>
              </w:rPr>
            </w:pPr>
            <w:r w:rsidRPr="00810B92">
              <w:rPr>
                <w:bCs/>
                <w:sz w:val="28"/>
                <w:szCs w:val="28"/>
              </w:rPr>
              <w:t>&lt;</w:t>
            </w:r>
            <w:r>
              <w:rPr>
                <w:sz w:val="28"/>
                <w:szCs w:val="28"/>
                <w:lang w:val="en-US"/>
              </w:rPr>
              <w:t>0,0</w:t>
            </w:r>
            <w:r>
              <w:rPr>
                <w:sz w:val="28"/>
                <w:szCs w:val="28"/>
                <w:lang w:val="uk-UA"/>
              </w:rPr>
              <w:t>0</w:t>
            </w:r>
            <w:r>
              <w:rPr>
                <w:sz w:val="28"/>
                <w:szCs w:val="28"/>
                <w:lang w:val="en-US"/>
              </w:rPr>
              <w:t>1</w:t>
            </w:r>
          </w:p>
        </w:tc>
        <w:tc>
          <w:tcPr>
            <w:tcW w:w="884" w:type="dxa"/>
            <w:shd w:val="clear" w:color="auto" w:fill="auto"/>
            <w:noWrap/>
            <w:vAlign w:val="center"/>
          </w:tcPr>
          <w:p w:rsidR="004B5E3F" w:rsidRPr="00931AF3" w:rsidRDefault="004B5E3F" w:rsidP="000B14BF">
            <w:pPr>
              <w:jc w:val="center"/>
              <w:rPr>
                <w:sz w:val="28"/>
                <w:szCs w:val="28"/>
              </w:rPr>
            </w:pPr>
            <w:r>
              <w:rPr>
                <w:sz w:val="28"/>
                <w:szCs w:val="28"/>
                <w:lang w:val="uk-UA"/>
              </w:rPr>
              <w:t>=</w:t>
            </w:r>
            <w:r>
              <w:rPr>
                <w:sz w:val="28"/>
                <w:szCs w:val="28"/>
                <w:lang w:val="en-US"/>
              </w:rPr>
              <w:t>0,03</w:t>
            </w:r>
          </w:p>
        </w:tc>
      </w:tr>
      <w:tr w:rsidR="004B5E3F" w:rsidRPr="00931AF3" w:rsidTr="000B14BF">
        <w:trPr>
          <w:trHeight w:val="255"/>
        </w:trPr>
        <w:tc>
          <w:tcPr>
            <w:tcW w:w="1464" w:type="dxa"/>
            <w:vAlign w:val="center"/>
          </w:tcPr>
          <w:p w:rsidR="004B5E3F" w:rsidRPr="00810B92" w:rsidRDefault="004B5E3F" w:rsidP="000B14BF">
            <w:pPr>
              <w:jc w:val="center"/>
              <w:rPr>
                <w:sz w:val="28"/>
                <w:szCs w:val="28"/>
                <w:lang w:val="uk-UA"/>
              </w:rPr>
            </w:pPr>
            <w:r>
              <w:rPr>
                <w:sz w:val="28"/>
                <w:szCs w:val="28"/>
                <w:lang w:val="uk-UA"/>
              </w:rPr>
              <w:t>β</w:t>
            </w:r>
          </w:p>
        </w:tc>
        <w:tc>
          <w:tcPr>
            <w:tcW w:w="1061" w:type="dxa"/>
          </w:tcPr>
          <w:p w:rsidR="004B5E3F" w:rsidRDefault="004B5E3F" w:rsidP="000B14BF">
            <w:pPr>
              <w:jc w:val="center"/>
              <w:rPr>
                <w:sz w:val="28"/>
                <w:szCs w:val="28"/>
                <w:lang w:val="uk-UA"/>
              </w:rPr>
            </w:pPr>
            <w:r>
              <w:rPr>
                <w:sz w:val="28"/>
                <w:szCs w:val="28"/>
                <w:lang w:val="uk-UA"/>
              </w:rPr>
              <w:t>0,25</w:t>
            </w:r>
          </w:p>
        </w:tc>
        <w:tc>
          <w:tcPr>
            <w:tcW w:w="1076" w:type="dxa"/>
            <w:shd w:val="clear" w:color="auto" w:fill="auto"/>
            <w:noWrap/>
            <w:vAlign w:val="center"/>
          </w:tcPr>
          <w:p w:rsidR="004B5E3F" w:rsidRPr="00215E73" w:rsidRDefault="004B5E3F" w:rsidP="000B14BF">
            <w:pPr>
              <w:jc w:val="center"/>
              <w:rPr>
                <w:sz w:val="28"/>
                <w:szCs w:val="28"/>
                <w:lang w:val="uk-UA"/>
              </w:rPr>
            </w:pPr>
            <w:r>
              <w:rPr>
                <w:sz w:val="28"/>
                <w:szCs w:val="28"/>
                <w:lang w:val="uk-UA"/>
              </w:rPr>
              <w:t>0</w:t>
            </w:r>
            <w:r>
              <w:rPr>
                <w:sz w:val="28"/>
                <w:szCs w:val="28"/>
                <w:lang w:val="en-US"/>
              </w:rPr>
              <w:t>,3</w:t>
            </w:r>
            <w:r>
              <w:rPr>
                <w:sz w:val="28"/>
                <w:szCs w:val="28"/>
                <w:lang w:val="uk-UA"/>
              </w:rPr>
              <w:t>4</w:t>
            </w:r>
          </w:p>
        </w:tc>
        <w:tc>
          <w:tcPr>
            <w:tcW w:w="1101" w:type="dxa"/>
            <w:vAlign w:val="center"/>
          </w:tcPr>
          <w:p w:rsidR="004B5E3F" w:rsidRPr="00215E73" w:rsidRDefault="004B5E3F" w:rsidP="000B14BF">
            <w:pPr>
              <w:jc w:val="center"/>
              <w:rPr>
                <w:sz w:val="28"/>
                <w:szCs w:val="28"/>
                <w:lang w:val="uk-UA"/>
              </w:rPr>
            </w:pPr>
            <w:r>
              <w:rPr>
                <w:sz w:val="28"/>
                <w:szCs w:val="28"/>
                <w:lang w:val="en-US"/>
              </w:rPr>
              <w:t>0,</w:t>
            </w:r>
            <w:r>
              <w:rPr>
                <w:sz w:val="28"/>
                <w:szCs w:val="28"/>
                <w:lang w:val="uk-UA"/>
              </w:rPr>
              <w:t>15</w:t>
            </w:r>
          </w:p>
        </w:tc>
        <w:tc>
          <w:tcPr>
            <w:tcW w:w="1004" w:type="dxa"/>
            <w:vAlign w:val="center"/>
          </w:tcPr>
          <w:p w:rsidR="004B5E3F" w:rsidRPr="00215E73" w:rsidRDefault="004B5E3F" w:rsidP="000B14BF">
            <w:pPr>
              <w:jc w:val="center"/>
              <w:rPr>
                <w:sz w:val="28"/>
                <w:szCs w:val="28"/>
                <w:lang w:val="uk-UA"/>
              </w:rPr>
            </w:pPr>
            <w:r>
              <w:rPr>
                <w:sz w:val="28"/>
                <w:szCs w:val="28"/>
                <w:lang w:val="en-US"/>
              </w:rPr>
              <w:t>0,</w:t>
            </w:r>
            <w:r>
              <w:rPr>
                <w:sz w:val="28"/>
                <w:szCs w:val="28"/>
                <w:lang w:val="uk-UA"/>
              </w:rPr>
              <w:t>10</w:t>
            </w:r>
          </w:p>
        </w:tc>
        <w:tc>
          <w:tcPr>
            <w:tcW w:w="1101" w:type="dxa"/>
            <w:vAlign w:val="center"/>
          </w:tcPr>
          <w:p w:rsidR="004B5E3F" w:rsidRPr="00850535" w:rsidRDefault="004B5E3F" w:rsidP="000B14BF">
            <w:pPr>
              <w:jc w:val="center"/>
              <w:rPr>
                <w:sz w:val="28"/>
                <w:szCs w:val="28"/>
                <w:lang w:val="en-US"/>
              </w:rPr>
            </w:pPr>
            <w:r>
              <w:rPr>
                <w:sz w:val="28"/>
                <w:szCs w:val="28"/>
                <w:lang w:val="en-US"/>
              </w:rPr>
              <w:t>0,</w:t>
            </w:r>
            <w:r>
              <w:rPr>
                <w:sz w:val="28"/>
                <w:szCs w:val="28"/>
                <w:lang w:val="uk-UA"/>
              </w:rPr>
              <w:t>1</w:t>
            </w:r>
            <w:r>
              <w:rPr>
                <w:sz w:val="28"/>
                <w:szCs w:val="28"/>
                <w:lang w:val="en-US"/>
              </w:rPr>
              <w:t>6</w:t>
            </w:r>
          </w:p>
        </w:tc>
        <w:tc>
          <w:tcPr>
            <w:tcW w:w="1047" w:type="dxa"/>
            <w:vAlign w:val="center"/>
          </w:tcPr>
          <w:p w:rsidR="004B5E3F" w:rsidRPr="00215E73" w:rsidRDefault="004B5E3F" w:rsidP="000B14BF">
            <w:pPr>
              <w:jc w:val="center"/>
              <w:rPr>
                <w:sz w:val="28"/>
                <w:szCs w:val="28"/>
                <w:lang w:val="uk-UA"/>
              </w:rPr>
            </w:pPr>
            <w:r>
              <w:rPr>
                <w:sz w:val="28"/>
                <w:szCs w:val="28"/>
                <w:lang w:val="en-US"/>
              </w:rPr>
              <w:t>0,</w:t>
            </w:r>
            <w:r>
              <w:rPr>
                <w:sz w:val="28"/>
                <w:szCs w:val="28"/>
                <w:lang w:val="uk-UA"/>
              </w:rPr>
              <w:t>13</w:t>
            </w:r>
          </w:p>
        </w:tc>
        <w:tc>
          <w:tcPr>
            <w:tcW w:w="1004" w:type="dxa"/>
            <w:shd w:val="clear" w:color="auto" w:fill="auto"/>
            <w:noWrap/>
            <w:vAlign w:val="center"/>
          </w:tcPr>
          <w:p w:rsidR="004B5E3F" w:rsidRPr="00215E73" w:rsidRDefault="004B5E3F" w:rsidP="000B14BF">
            <w:pPr>
              <w:jc w:val="center"/>
              <w:rPr>
                <w:sz w:val="28"/>
                <w:szCs w:val="28"/>
                <w:lang w:val="uk-UA"/>
              </w:rPr>
            </w:pPr>
            <w:r>
              <w:rPr>
                <w:sz w:val="28"/>
                <w:szCs w:val="28"/>
                <w:lang w:val="en-US"/>
              </w:rPr>
              <w:t>0,1</w:t>
            </w:r>
            <w:r>
              <w:rPr>
                <w:sz w:val="28"/>
                <w:szCs w:val="28"/>
                <w:lang w:val="uk-UA"/>
              </w:rPr>
              <w:t>5</w:t>
            </w:r>
          </w:p>
        </w:tc>
        <w:tc>
          <w:tcPr>
            <w:tcW w:w="884" w:type="dxa"/>
            <w:shd w:val="clear" w:color="auto" w:fill="auto"/>
            <w:noWrap/>
            <w:vAlign w:val="center"/>
          </w:tcPr>
          <w:p w:rsidR="004B5E3F" w:rsidRPr="00215E73" w:rsidRDefault="004B5E3F" w:rsidP="000B14BF">
            <w:pPr>
              <w:jc w:val="center"/>
              <w:rPr>
                <w:sz w:val="28"/>
                <w:szCs w:val="28"/>
                <w:lang w:val="uk-UA"/>
              </w:rPr>
            </w:pPr>
            <w:r>
              <w:rPr>
                <w:sz w:val="28"/>
                <w:szCs w:val="28"/>
                <w:lang w:val="en-US"/>
              </w:rPr>
              <w:t>0,0</w:t>
            </w:r>
            <w:r>
              <w:rPr>
                <w:sz w:val="28"/>
                <w:szCs w:val="28"/>
                <w:lang w:val="uk-UA"/>
              </w:rPr>
              <w:t>2</w:t>
            </w:r>
          </w:p>
        </w:tc>
      </w:tr>
      <w:tr w:rsidR="004B5E3F" w:rsidRPr="00931AF3" w:rsidTr="000B14BF">
        <w:trPr>
          <w:trHeight w:val="255"/>
        </w:trPr>
        <w:tc>
          <w:tcPr>
            <w:tcW w:w="1464" w:type="dxa"/>
            <w:vAlign w:val="center"/>
          </w:tcPr>
          <w:p w:rsidR="004B5E3F" w:rsidRPr="005E63FB" w:rsidRDefault="004B5E3F" w:rsidP="000B14BF">
            <w:pPr>
              <w:jc w:val="center"/>
              <w:rPr>
                <w:sz w:val="28"/>
                <w:szCs w:val="28"/>
                <w:lang w:val="en-US"/>
              </w:rPr>
            </w:pPr>
            <w:r w:rsidRPr="005E63FB">
              <w:rPr>
                <w:sz w:val="28"/>
                <w:szCs w:val="28"/>
                <w:lang w:val="en-US"/>
              </w:rPr>
              <w:t>p</w:t>
            </w:r>
          </w:p>
        </w:tc>
        <w:tc>
          <w:tcPr>
            <w:tcW w:w="1061" w:type="dxa"/>
          </w:tcPr>
          <w:p w:rsidR="004B5E3F" w:rsidRDefault="004B5E3F" w:rsidP="000B14BF">
            <w:pPr>
              <w:jc w:val="center"/>
              <w:rPr>
                <w:sz w:val="28"/>
                <w:szCs w:val="28"/>
                <w:lang w:val="en-US"/>
              </w:rPr>
            </w:pPr>
            <w:r w:rsidRPr="00810B92">
              <w:rPr>
                <w:bCs/>
                <w:sz w:val="28"/>
                <w:szCs w:val="28"/>
              </w:rPr>
              <w:t>&lt;</w:t>
            </w:r>
            <w:r>
              <w:rPr>
                <w:sz w:val="28"/>
                <w:szCs w:val="28"/>
                <w:lang w:val="en-US"/>
              </w:rPr>
              <w:t>0,001</w:t>
            </w:r>
          </w:p>
        </w:tc>
        <w:tc>
          <w:tcPr>
            <w:tcW w:w="1076" w:type="dxa"/>
            <w:shd w:val="clear" w:color="auto" w:fill="auto"/>
            <w:noWrap/>
            <w:vAlign w:val="center"/>
          </w:tcPr>
          <w:p w:rsidR="004B5E3F" w:rsidRPr="00850535" w:rsidRDefault="004B5E3F" w:rsidP="000B14BF">
            <w:pPr>
              <w:jc w:val="center"/>
              <w:rPr>
                <w:sz w:val="28"/>
                <w:szCs w:val="28"/>
                <w:lang w:val="en-US"/>
              </w:rPr>
            </w:pPr>
            <w:r w:rsidRPr="00810B92">
              <w:rPr>
                <w:bCs/>
                <w:sz w:val="28"/>
                <w:szCs w:val="28"/>
              </w:rPr>
              <w:t>&lt;</w:t>
            </w:r>
            <w:r>
              <w:rPr>
                <w:sz w:val="28"/>
                <w:szCs w:val="28"/>
                <w:lang w:val="en-US"/>
              </w:rPr>
              <w:t>0,001</w:t>
            </w:r>
          </w:p>
        </w:tc>
        <w:tc>
          <w:tcPr>
            <w:tcW w:w="1101" w:type="dxa"/>
            <w:vAlign w:val="center"/>
          </w:tcPr>
          <w:p w:rsidR="004B5E3F" w:rsidRPr="00AF5D31" w:rsidRDefault="004B5E3F" w:rsidP="000B14BF">
            <w:pPr>
              <w:jc w:val="center"/>
              <w:rPr>
                <w:sz w:val="28"/>
                <w:szCs w:val="28"/>
                <w:lang w:val="uk-UA"/>
              </w:rPr>
            </w:pPr>
            <w:r>
              <w:rPr>
                <w:sz w:val="28"/>
                <w:szCs w:val="28"/>
                <w:lang w:val="uk-UA"/>
              </w:rPr>
              <w:t>=</w:t>
            </w:r>
            <w:r>
              <w:rPr>
                <w:sz w:val="28"/>
                <w:szCs w:val="28"/>
                <w:lang w:val="en-US"/>
              </w:rPr>
              <w:t>0,0</w:t>
            </w:r>
            <w:r>
              <w:rPr>
                <w:sz w:val="28"/>
                <w:szCs w:val="28"/>
                <w:lang w:val="uk-UA"/>
              </w:rPr>
              <w:t>2</w:t>
            </w:r>
          </w:p>
        </w:tc>
        <w:tc>
          <w:tcPr>
            <w:tcW w:w="1004" w:type="dxa"/>
            <w:vAlign w:val="center"/>
          </w:tcPr>
          <w:p w:rsidR="004B5E3F" w:rsidRPr="00215E73" w:rsidRDefault="004B5E3F" w:rsidP="000B14BF">
            <w:pPr>
              <w:jc w:val="center"/>
              <w:rPr>
                <w:sz w:val="28"/>
                <w:szCs w:val="28"/>
                <w:lang w:val="uk-UA"/>
              </w:rPr>
            </w:pPr>
            <w:r>
              <w:rPr>
                <w:bCs/>
                <w:sz w:val="28"/>
                <w:szCs w:val="28"/>
                <w:lang w:val="uk-UA"/>
              </w:rPr>
              <w:t>=</w:t>
            </w:r>
            <w:r>
              <w:rPr>
                <w:sz w:val="28"/>
                <w:szCs w:val="28"/>
                <w:lang w:val="en-US"/>
              </w:rPr>
              <w:t>0,1</w:t>
            </w:r>
            <w:r>
              <w:rPr>
                <w:sz w:val="28"/>
                <w:szCs w:val="28"/>
                <w:lang w:val="uk-UA"/>
              </w:rPr>
              <w:t>4</w:t>
            </w:r>
          </w:p>
        </w:tc>
        <w:tc>
          <w:tcPr>
            <w:tcW w:w="1101" w:type="dxa"/>
            <w:vAlign w:val="center"/>
          </w:tcPr>
          <w:p w:rsidR="004B5E3F" w:rsidRPr="00215E73" w:rsidRDefault="004B5E3F" w:rsidP="000B14BF">
            <w:pPr>
              <w:jc w:val="center"/>
              <w:rPr>
                <w:sz w:val="28"/>
                <w:szCs w:val="28"/>
                <w:lang w:val="uk-UA"/>
              </w:rPr>
            </w:pPr>
            <w:r>
              <w:rPr>
                <w:sz w:val="28"/>
                <w:szCs w:val="28"/>
                <w:lang w:val="uk-UA"/>
              </w:rPr>
              <w:t>=</w:t>
            </w:r>
            <w:r>
              <w:rPr>
                <w:sz w:val="28"/>
                <w:szCs w:val="28"/>
                <w:lang w:val="en-US"/>
              </w:rPr>
              <w:t>0,</w:t>
            </w:r>
            <w:r>
              <w:rPr>
                <w:sz w:val="28"/>
                <w:szCs w:val="28"/>
                <w:lang w:val="uk-UA"/>
              </w:rPr>
              <w:t>01</w:t>
            </w:r>
          </w:p>
        </w:tc>
        <w:tc>
          <w:tcPr>
            <w:tcW w:w="1047" w:type="dxa"/>
            <w:vAlign w:val="center"/>
          </w:tcPr>
          <w:p w:rsidR="004B5E3F" w:rsidRPr="00215E73" w:rsidRDefault="004B5E3F" w:rsidP="000B14BF">
            <w:pPr>
              <w:jc w:val="center"/>
              <w:rPr>
                <w:sz w:val="28"/>
                <w:szCs w:val="28"/>
                <w:lang w:val="uk-UA"/>
              </w:rPr>
            </w:pPr>
            <w:r>
              <w:rPr>
                <w:sz w:val="28"/>
                <w:szCs w:val="28"/>
                <w:lang w:val="uk-UA"/>
              </w:rPr>
              <w:t>=</w:t>
            </w:r>
            <w:r>
              <w:rPr>
                <w:sz w:val="28"/>
                <w:szCs w:val="28"/>
                <w:lang w:val="en-US"/>
              </w:rPr>
              <w:t>0,0</w:t>
            </w:r>
            <w:r>
              <w:rPr>
                <w:sz w:val="28"/>
                <w:szCs w:val="28"/>
                <w:lang w:val="uk-UA"/>
              </w:rPr>
              <w:t>5</w:t>
            </w:r>
          </w:p>
        </w:tc>
        <w:tc>
          <w:tcPr>
            <w:tcW w:w="1004" w:type="dxa"/>
            <w:shd w:val="clear" w:color="auto" w:fill="auto"/>
            <w:noWrap/>
            <w:vAlign w:val="center"/>
          </w:tcPr>
          <w:p w:rsidR="004B5E3F" w:rsidRPr="00215E73" w:rsidRDefault="004B5E3F" w:rsidP="000B14BF">
            <w:pPr>
              <w:jc w:val="center"/>
              <w:rPr>
                <w:sz w:val="28"/>
                <w:szCs w:val="28"/>
                <w:lang w:val="uk-UA"/>
              </w:rPr>
            </w:pPr>
            <w:r>
              <w:rPr>
                <w:sz w:val="28"/>
                <w:szCs w:val="28"/>
                <w:lang w:val="uk-UA"/>
              </w:rPr>
              <w:t>=</w:t>
            </w:r>
            <w:r>
              <w:rPr>
                <w:sz w:val="28"/>
                <w:szCs w:val="28"/>
                <w:lang w:val="en-US"/>
              </w:rPr>
              <w:t>0,</w:t>
            </w:r>
            <w:r>
              <w:rPr>
                <w:sz w:val="28"/>
                <w:szCs w:val="28"/>
                <w:lang w:val="uk-UA"/>
              </w:rPr>
              <w:t>09</w:t>
            </w:r>
          </w:p>
        </w:tc>
        <w:tc>
          <w:tcPr>
            <w:tcW w:w="884" w:type="dxa"/>
            <w:shd w:val="clear" w:color="auto" w:fill="auto"/>
            <w:noWrap/>
            <w:vAlign w:val="center"/>
          </w:tcPr>
          <w:p w:rsidR="004B5E3F" w:rsidRPr="00215E73" w:rsidRDefault="004B5E3F" w:rsidP="000B14BF">
            <w:pPr>
              <w:jc w:val="center"/>
              <w:rPr>
                <w:sz w:val="28"/>
                <w:szCs w:val="28"/>
                <w:lang w:val="uk-UA"/>
              </w:rPr>
            </w:pPr>
            <w:r>
              <w:rPr>
                <w:sz w:val="28"/>
                <w:szCs w:val="28"/>
                <w:lang w:val="uk-UA"/>
              </w:rPr>
              <w:t>=</w:t>
            </w:r>
            <w:r>
              <w:rPr>
                <w:sz w:val="28"/>
                <w:szCs w:val="28"/>
                <w:lang w:val="en-US"/>
              </w:rPr>
              <w:t>0,</w:t>
            </w:r>
            <w:r>
              <w:rPr>
                <w:sz w:val="28"/>
                <w:szCs w:val="28"/>
                <w:lang w:val="uk-UA"/>
              </w:rPr>
              <w:t>83</w:t>
            </w:r>
          </w:p>
        </w:tc>
      </w:tr>
    </w:tbl>
    <w:p w:rsidR="004B5E3F" w:rsidRDefault="004B5E3F" w:rsidP="004B5E3F">
      <w:pPr>
        <w:jc w:val="both"/>
        <w:rPr>
          <w:sz w:val="28"/>
          <w:szCs w:val="28"/>
          <w:lang w:val="uk-UA"/>
        </w:rPr>
      </w:pPr>
      <w:r>
        <w:rPr>
          <w:sz w:val="28"/>
          <w:szCs w:val="28"/>
          <w:lang w:val="uk-UA"/>
        </w:rPr>
        <w:lastRenderedPageBreak/>
        <w:t>Примітки.:</w:t>
      </w:r>
      <w:r w:rsidRPr="00D94CB4">
        <w:rPr>
          <w:sz w:val="28"/>
          <w:szCs w:val="28"/>
          <w:lang w:val="uk-UA"/>
        </w:rPr>
        <w:t xml:space="preserve"> </w:t>
      </w:r>
      <w:r>
        <w:rPr>
          <w:sz w:val="28"/>
          <w:szCs w:val="28"/>
          <w:lang w:val="uk-UA"/>
        </w:rPr>
        <w:t xml:space="preserve"> </w:t>
      </w:r>
      <w:r w:rsidRPr="005E63FB">
        <w:rPr>
          <w:sz w:val="28"/>
          <w:szCs w:val="28"/>
          <w:lang w:val="en-US"/>
        </w:rPr>
        <w:t>r</w:t>
      </w:r>
      <w:r w:rsidRPr="005E63FB">
        <w:rPr>
          <w:sz w:val="28"/>
          <w:szCs w:val="28"/>
        </w:rPr>
        <w:t xml:space="preserve"> </w:t>
      </w:r>
      <w:r>
        <w:rPr>
          <w:sz w:val="28"/>
          <w:szCs w:val="28"/>
          <w:lang w:val="uk-UA"/>
        </w:rPr>
        <w:t xml:space="preserve">– коефіцієнт кореляції Спірмена; </w:t>
      </w:r>
      <w:r w:rsidRPr="00215E73">
        <w:rPr>
          <w:sz w:val="28"/>
          <w:szCs w:val="28"/>
          <w:lang w:val="uk-UA"/>
        </w:rPr>
        <w:t xml:space="preserve"> </w:t>
      </w:r>
      <w:r>
        <w:rPr>
          <w:sz w:val="28"/>
          <w:szCs w:val="28"/>
          <w:lang w:val="uk-UA"/>
        </w:rPr>
        <w:t xml:space="preserve">β – стандартизований коефіцієнт кореляції; </w:t>
      </w:r>
      <w:r w:rsidRPr="005E63FB">
        <w:rPr>
          <w:sz w:val="28"/>
          <w:szCs w:val="28"/>
          <w:lang w:val="en-US"/>
        </w:rPr>
        <w:t>p</w:t>
      </w:r>
      <w:r>
        <w:rPr>
          <w:sz w:val="28"/>
          <w:szCs w:val="28"/>
          <w:lang w:val="uk-UA"/>
        </w:rPr>
        <w:t xml:space="preserve"> - достовірність кореляції </w:t>
      </w:r>
    </w:p>
    <w:p w:rsidR="004B5E3F" w:rsidRDefault="004B5E3F" w:rsidP="004B5E3F">
      <w:pPr>
        <w:jc w:val="both"/>
        <w:rPr>
          <w:sz w:val="28"/>
          <w:szCs w:val="28"/>
          <w:lang w:val="uk-UA"/>
        </w:rPr>
      </w:pPr>
    </w:p>
    <w:p w:rsidR="004B5E3F" w:rsidRDefault="004B5E3F" w:rsidP="004B5E3F">
      <w:pPr>
        <w:ind w:firstLine="720"/>
        <w:jc w:val="both"/>
        <w:rPr>
          <w:sz w:val="28"/>
          <w:szCs w:val="28"/>
          <w:lang w:val="uk-UA"/>
        </w:rPr>
      </w:pPr>
      <w:r>
        <w:rPr>
          <w:sz w:val="28"/>
          <w:szCs w:val="28"/>
          <w:lang w:val="uk-UA"/>
        </w:rPr>
        <w:t>МЛШ виявилась тісно пов’язаною із статтю пацієнтів</w:t>
      </w:r>
      <w:r w:rsidRPr="00AA26C0">
        <w:rPr>
          <w:sz w:val="28"/>
          <w:szCs w:val="28"/>
          <w:lang w:val="uk-UA"/>
        </w:rPr>
        <w:t xml:space="preserve"> </w:t>
      </w:r>
      <w:r>
        <w:rPr>
          <w:sz w:val="28"/>
          <w:szCs w:val="28"/>
          <w:lang w:val="uk-UA"/>
        </w:rPr>
        <w:t xml:space="preserve">та </w:t>
      </w:r>
      <w:r w:rsidRPr="00AA26C0">
        <w:rPr>
          <w:sz w:val="28"/>
          <w:szCs w:val="28"/>
          <w:lang w:val="uk-UA"/>
        </w:rPr>
        <w:t>ІМТ</w:t>
      </w:r>
      <w:r>
        <w:rPr>
          <w:sz w:val="28"/>
          <w:szCs w:val="28"/>
          <w:lang w:val="uk-UA"/>
        </w:rPr>
        <w:t>. Незалежними факторами, що корелювали із МЛШ були також рівні</w:t>
      </w:r>
      <w:r w:rsidRPr="00AA26C0">
        <w:rPr>
          <w:sz w:val="28"/>
          <w:szCs w:val="28"/>
          <w:lang w:val="uk-UA"/>
        </w:rPr>
        <w:t xml:space="preserve"> глюкози</w:t>
      </w:r>
      <w:r>
        <w:rPr>
          <w:sz w:val="28"/>
          <w:szCs w:val="28"/>
          <w:lang w:val="uk-UA"/>
        </w:rPr>
        <w:t>,</w:t>
      </w:r>
      <w:r w:rsidRPr="00AA26C0">
        <w:rPr>
          <w:sz w:val="28"/>
          <w:szCs w:val="28"/>
          <w:lang w:val="uk-UA"/>
        </w:rPr>
        <w:t xml:space="preserve"> середньодобового </w:t>
      </w:r>
      <w:r>
        <w:rPr>
          <w:sz w:val="28"/>
          <w:szCs w:val="28"/>
          <w:lang w:val="uk-UA"/>
        </w:rPr>
        <w:t>САТ та ДАТ. Враховуючи те, що МЛШ тісно корелювала із статтю пацієнтів, було проведено регресійний</w:t>
      </w:r>
      <w:r w:rsidRPr="00AA26C0">
        <w:rPr>
          <w:sz w:val="28"/>
          <w:szCs w:val="28"/>
          <w:lang w:val="uk-UA"/>
        </w:rPr>
        <w:t xml:space="preserve"> аналіз</w:t>
      </w:r>
      <w:r w:rsidRPr="00D95E8D">
        <w:rPr>
          <w:sz w:val="28"/>
          <w:szCs w:val="28"/>
          <w:lang w:val="uk-UA"/>
        </w:rPr>
        <w:t xml:space="preserve"> </w:t>
      </w:r>
      <w:r>
        <w:rPr>
          <w:sz w:val="28"/>
          <w:szCs w:val="28"/>
          <w:lang w:val="uk-UA"/>
        </w:rPr>
        <w:t xml:space="preserve">окремо у когортах жінок та чоловіків для встановлення показників, що не залежали від статі. </w:t>
      </w:r>
      <w:r w:rsidRPr="00AA26C0">
        <w:rPr>
          <w:sz w:val="28"/>
          <w:szCs w:val="28"/>
          <w:lang w:val="uk-UA"/>
        </w:rPr>
        <w:t xml:space="preserve"> </w:t>
      </w:r>
      <w:r>
        <w:rPr>
          <w:sz w:val="28"/>
          <w:szCs w:val="28"/>
          <w:lang w:val="uk-UA"/>
        </w:rPr>
        <w:t>Виявлено, що у жінок при врахуванні усіх чинників існує достовірний зв'язок МЛШ лише із ІМТ</w:t>
      </w:r>
      <w:r w:rsidRPr="00D94CB4">
        <w:rPr>
          <w:sz w:val="28"/>
          <w:szCs w:val="28"/>
          <w:lang w:val="uk-UA"/>
        </w:rPr>
        <w:t xml:space="preserve"> </w:t>
      </w:r>
      <w:r>
        <w:rPr>
          <w:sz w:val="28"/>
          <w:szCs w:val="28"/>
          <w:lang w:val="uk-UA"/>
        </w:rPr>
        <w:t>(β = 0,</w:t>
      </w:r>
      <w:r w:rsidRPr="008A73DD">
        <w:rPr>
          <w:sz w:val="28"/>
          <w:szCs w:val="28"/>
          <w:lang w:val="uk-UA"/>
        </w:rPr>
        <w:t>4</w:t>
      </w:r>
      <w:r>
        <w:rPr>
          <w:sz w:val="28"/>
          <w:szCs w:val="28"/>
          <w:lang w:val="uk-UA"/>
        </w:rPr>
        <w:t>0</w:t>
      </w:r>
      <w:r w:rsidRPr="00AA26C0">
        <w:rPr>
          <w:sz w:val="28"/>
          <w:szCs w:val="28"/>
          <w:lang w:val="uk-UA"/>
        </w:rPr>
        <w:t xml:space="preserve">; </w:t>
      </w:r>
      <w:r w:rsidRPr="00AA26C0">
        <w:rPr>
          <w:sz w:val="28"/>
          <w:szCs w:val="28"/>
          <w:lang w:val="en-US"/>
        </w:rPr>
        <w:t>p</w:t>
      </w:r>
      <w:r>
        <w:rPr>
          <w:sz w:val="28"/>
          <w:szCs w:val="28"/>
          <w:lang w:val="uk-UA"/>
        </w:rPr>
        <w:t xml:space="preserve"> &lt; 0,</w:t>
      </w:r>
      <w:r w:rsidRPr="00AA26C0">
        <w:rPr>
          <w:sz w:val="28"/>
          <w:szCs w:val="28"/>
          <w:lang w:val="uk-UA"/>
        </w:rPr>
        <w:t>001</w:t>
      </w:r>
      <w:r>
        <w:rPr>
          <w:sz w:val="28"/>
          <w:szCs w:val="28"/>
          <w:lang w:val="uk-UA"/>
        </w:rPr>
        <w:t xml:space="preserve">), а у чоловіків – із </w:t>
      </w:r>
      <w:r w:rsidRPr="00AA26C0">
        <w:rPr>
          <w:sz w:val="28"/>
          <w:szCs w:val="28"/>
          <w:lang w:val="uk-UA"/>
        </w:rPr>
        <w:t>ІМТ (</w:t>
      </w:r>
      <w:r w:rsidRPr="00AA26C0">
        <w:rPr>
          <w:sz w:val="28"/>
          <w:szCs w:val="28"/>
          <w:lang w:val="en-US"/>
        </w:rPr>
        <w:t>r</w:t>
      </w:r>
      <w:r>
        <w:rPr>
          <w:sz w:val="28"/>
          <w:szCs w:val="28"/>
          <w:lang w:val="uk-UA"/>
        </w:rPr>
        <w:t xml:space="preserve"> = 0,26</w:t>
      </w:r>
      <w:r w:rsidRPr="00AA26C0">
        <w:rPr>
          <w:sz w:val="28"/>
          <w:szCs w:val="28"/>
          <w:lang w:val="uk-UA"/>
        </w:rPr>
        <w:t xml:space="preserve">; </w:t>
      </w:r>
      <w:r w:rsidRPr="00AA26C0">
        <w:rPr>
          <w:sz w:val="28"/>
          <w:szCs w:val="28"/>
          <w:lang w:val="en-US"/>
        </w:rPr>
        <w:t>p</w:t>
      </w:r>
      <w:r>
        <w:rPr>
          <w:sz w:val="28"/>
          <w:szCs w:val="28"/>
          <w:lang w:val="uk-UA"/>
        </w:rPr>
        <w:t xml:space="preserve"> = 0,05</w:t>
      </w:r>
      <w:r w:rsidRPr="00AA26C0">
        <w:rPr>
          <w:sz w:val="28"/>
          <w:szCs w:val="28"/>
          <w:lang w:val="uk-UA"/>
        </w:rPr>
        <w:t>)</w:t>
      </w:r>
      <w:r>
        <w:rPr>
          <w:sz w:val="28"/>
          <w:szCs w:val="28"/>
          <w:lang w:val="uk-UA"/>
        </w:rPr>
        <w:t xml:space="preserve"> та</w:t>
      </w:r>
      <w:r w:rsidRPr="00AA26C0">
        <w:rPr>
          <w:sz w:val="28"/>
          <w:szCs w:val="28"/>
          <w:lang w:val="uk-UA"/>
        </w:rPr>
        <w:t xml:space="preserve"> рівнем глюкози (</w:t>
      </w:r>
      <w:r w:rsidRPr="00AA26C0">
        <w:rPr>
          <w:sz w:val="28"/>
          <w:szCs w:val="28"/>
          <w:lang w:val="en-US"/>
        </w:rPr>
        <w:t>r</w:t>
      </w:r>
      <w:r w:rsidRPr="00AA26C0">
        <w:rPr>
          <w:sz w:val="28"/>
          <w:szCs w:val="28"/>
          <w:lang w:val="uk-UA"/>
        </w:rPr>
        <w:t xml:space="preserve"> = 0,</w:t>
      </w:r>
      <w:r>
        <w:rPr>
          <w:sz w:val="28"/>
          <w:szCs w:val="28"/>
          <w:lang w:val="uk-UA"/>
        </w:rPr>
        <w:t>2</w:t>
      </w:r>
      <w:r w:rsidRPr="00AA26C0">
        <w:rPr>
          <w:sz w:val="28"/>
          <w:szCs w:val="28"/>
          <w:lang w:val="uk-UA"/>
        </w:rPr>
        <w:t xml:space="preserve">3; </w:t>
      </w:r>
      <w:r w:rsidRPr="00AA26C0">
        <w:rPr>
          <w:sz w:val="28"/>
          <w:szCs w:val="28"/>
          <w:lang w:val="en-US"/>
        </w:rPr>
        <w:t>p</w:t>
      </w:r>
      <w:r>
        <w:rPr>
          <w:sz w:val="28"/>
          <w:szCs w:val="28"/>
          <w:lang w:val="uk-UA"/>
        </w:rPr>
        <w:t xml:space="preserve"> = 0,</w:t>
      </w:r>
      <w:r w:rsidRPr="00AA26C0">
        <w:rPr>
          <w:sz w:val="28"/>
          <w:szCs w:val="28"/>
          <w:lang w:val="uk-UA"/>
        </w:rPr>
        <w:t>0</w:t>
      </w:r>
      <w:r>
        <w:rPr>
          <w:sz w:val="28"/>
          <w:szCs w:val="28"/>
          <w:lang w:val="uk-UA"/>
        </w:rPr>
        <w:t>4</w:t>
      </w:r>
      <w:r w:rsidRPr="00AA26C0">
        <w:rPr>
          <w:sz w:val="28"/>
          <w:szCs w:val="28"/>
          <w:lang w:val="uk-UA"/>
        </w:rPr>
        <w:t>)</w:t>
      </w:r>
      <w:r>
        <w:rPr>
          <w:sz w:val="28"/>
          <w:szCs w:val="28"/>
          <w:lang w:val="uk-UA"/>
        </w:rPr>
        <w:t>. Отже, можна припустити, що збільшення МЛШ у пацієнтів із АГ та ожирінням у більшій мірі залежить від статі та ІМТ.</w:t>
      </w:r>
    </w:p>
    <w:p w:rsidR="004B5E3F" w:rsidRPr="00AA26C0" w:rsidRDefault="004B5E3F" w:rsidP="004B5E3F">
      <w:pPr>
        <w:spacing w:line="340" w:lineRule="exact"/>
        <w:ind w:firstLine="720"/>
        <w:jc w:val="both"/>
        <w:rPr>
          <w:sz w:val="28"/>
          <w:szCs w:val="28"/>
          <w:lang w:val="uk-UA"/>
        </w:rPr>
      </w:pPr>
      <w:r w:rsidRPr="00AA26C0">
        <w:rPr>
          <w:sz w:val="28"/>
          <w:szCs w:val="28"/>
          <w:lang w:val="uk-UA"/>
        </w:rPr>
        <w:t xml:space="preserve">Третій фрагмент нашого дослідження полягав </w:t>
      </w:r>
      <w:r>
        <w:rPr>
          <w:sz w:val="28"/>
          <w:szCs w:val="28"/>
          <w:lang w:val="uk-UA"/>
        </w:rPr>
        <w:t>у</w:t>
      </w:r>
      <w:r w:rsidRPr="00AA26C0">
        <w:rPr>
          <w:sz w:val="28"/>
          <w:szCs w:val="28"/>
          <w:lang w:val="uk-UA"/>
        </w:rPr>
        <w:t xml:space="preserve"> оцінці впливу </w:t>
      </w:r>
      <w:r>
        <w:rPr>
          <w:sz w:val="28"/>
          <w:szCs w:val="28"/>
          <w:lang w:val="uk-UA"/>
        </w:rPr>
        <w:t xml:space="preserve">курсової терапії </w:t>
      </w:r>
      <w:r w:rsidRPr="00AA26C0">
        <w:rPr>
          <w:sz w:val="28"/>
          <w:szCs w:val="28"/>
          <w:lang w:val="uk-UA"/>
        </w:rPr>
        <w:t>комбінован</w:t>
      </w:r>
      <w:r>
        <w:rPr>
          <w:sz w:val="28"/>
          <w:szCs w:val="28"/>
          <w:lang w:val="uk-UA"/>
        </w:rPr>
        <w:t>им</w:t>
      </w:r>
      <w:r w:rsidRPr="00AA26C0">
        <w:rPr>
          <w:sz w:val="28"/>
          <w:szCs w:val="28"/>
          <w:lang w:val="uk-UA"/>
        </w:rPr>
        <w:t xml:space="preserve"> препарат</w:t>
      </w:r>
      <w:r>
        <w:rPr>
          <w:sz w:val="28"/>
          <w:szCs w:val="28"/>
          <w:lang w:val="uk-UA"/>
        </w:rPr>
        <w:t>ом, що містить 20 мг інгібітору АПФ квінаприлу та 12,5 мг гідрохлортіазиду під торговою назвою “Аккузид</w:t>
      </w:r>
      <w:r w:rsidRPr="00AA26C0">
        <w:rPr>
          <w:sz w:val="28"/>
          <w:szCs w:val="28"/>
          <w:lang w:val="uk-UA"/>
        </w:rPr>
        <w:t>” (</w:t>
      </w:r>
      <w:r w:rsidRPr="00AA26C0">
        <w:rPr>
          <w:sz w:val="28"/>
          <w:szCs w:val="28"/>
          <w:lang w:val="en-US"/>
        </w:rPr>
        <w:t>Pfizer</w:t>
      </w:r>
      <w:r w:rsidRPr="00AA26C0">
        <w:rPr>
          <w:sz w:val="28"/>
          <w:szCs w:val="28"/>
          <w:lang w:val="uk-UA"/>
        </w:rPr>
        <w:t>, США) на параметри добового моніторування АТ та ехокардіографічні (ЕхоКГ) показники. Ефективність препарату оцінювали на протязі 6 місяців за ступенем зниження АТ та динамікою ЕхоКГ показників</w:t>
      </w:r>
      <w:r>
        <w:rPr>
          <w:sz w:val="28"/>
          <w:szCs w:val="28"/>
          <w:lang w:val="uk-UA"/>
        </w:rPr>
        <w:t xml:space="preserve"> </w:t>
      </w:r>
      <w:r w:rsidRPr="00AA26C0">
        <w:rPr>
          <w:sz w:val="28"/>
          <w:szCs w:val="28"/>
          <w:lang w:val="uk-UA"/>
        </w:rPr>
        <w:t>у хворих з МС і ГЛШ</w:t>
      </w:r>
      <w:r>
        <w:rPr>
          <w:sz w:val="28"/>
          <w:szCs w:val="28"/>
          <w:lang w:val="uk-UA"/>
        </w:rPr>
        <w:t>. Б</w:t>
      </w:r>
      <w:r w:rsidRPr="00AA26C0">
        <w:rPr>
          <w:sz w:val="28"/>
          <w:szCs w:val="28"/>
          <w:lang w:val="uk-UA"/>
        </w:rPr>
        <w:t>уло обстежено 30 хворих із ожирінням І та ІІ ступеню (ІМТ 33,7 ± 2,0 г/м</w:t>
      </w:r>
      <w:r w:rsidRPr="00AA26C0">
        <w:rPr>
          <w:sz w:val="28"/>
          <w:szCs w:val="28"/>
          <w:vertAlign w:val="superscript"/>
          <w:lang w:val="uk-UA"/>
        </w:rPr>
        <w:t>2</w:t>
      </w:r>
      <w:r w:rsidRPr="00AA26C0">
        <w:rPr>
          <w:sz w:val="28"/>
          <w:szCs w:val="28"/>
          <w:lang w:val="uk-UA"/>
        </w:rPr>
        <w:t xml:space="preserve"> ) у віці від 32 до 65 років, в середньому (49,4 ± 3,4) року, із них 13 жінок та 17 чоловіків. У дослідження були включені пацієнти з діагнозом гіпертонічна хвороба (ГХ) </w:t>
      </w:r>
      <w:r w:rsidRPr="00AA26C0">
        <w:rPr>
          <w:sz w:val="28"/>
          <w:szCs w:val="28"/>
          <w:lang w:val="en-US"/>
        </w:rPr>
        <w:t>II</w:t>
      </w:r>
      <w:r>
        <w:rPr>
          <w:sz w:val="28"/>
          <w:szCs w:val="28"/>
          <w:lang w:val="uk-UA"/>
        </w:rPr>
        <w:t xml:space="preserve"> стадії, 1 та 2 ступеня</w:t>
      </w:r>
      <w:r w:rsidRPr="00AA26C0">
        <w:rPr>
          <w:sz w:val="28"/>
          <w:szCs w:val="28"/>
          <w:lang w:val="uk-UA"/>
        </w:rPr>
        <w:t xml:space="preserve"> у відповідності до класифікації рівню </w:t>
      </w:r>
      <w:r w:rsidRPr="00AA26C0">
        <w:rPr>
          <w:sz w:val="28"/>
          <w:szCs w:val="28"/>
        </w:rPr>
        <w:t>А</w:t>
      </w:r>
      <w:r w:rsidRPr="00AA26C0">
        <w:rPr>
          <w:sz w:val="28"/>
          <w:szCs w:val="28"/>
          <w:lang w:val="uk-UA"/>
        </w:rPr>
        <w:t>Т</w:t>
      </w:r>
      <w:r w:rsidRPr="00AA26C0">
        <w:rPr>
          <w:sz w:val="28"/>
          <w:szCs w:val="28"/>
        </w:rPr>
        <w:t>. Вс</w:t>
      </w:r>
      <w:r w:rsidRPr="00AA26C0">
        <w:rPr>
          <w:sz w:val="28"/>
          <w:szCs w:val="28"/>
          <w:lang w:val="uk-UA"/>
        </w:rPr>
        <w:t>і</w:t>
      </w:r>
      <w:r w:rsidRPr="00AA26C0">
        <w:rPr>
          <w:sz w:val="28"/>
          <w:szCs w:val="28"/>
        </w:rPr>
        <w:t xml:space="preserve"> пац</w:t>
      </w:r>
      <w:r w:rsidRPr="00AA26C0">
        <w:rPr>
          <w:sz w:val="28"/>
          <w:szCs w:val="28"/>
          <w:lang w:val="uk-UA"/>
        </w:rPr>
        <w:t>іє</w:t>
      </w:r>
      <w:r w:rsidRPr="00AA26C0">
        <w:rPr>
          <w:sz w:val="28"/>
          <w:szCs w:val="28"/>
        </w:rPr>
        <w:t>нт</w:t>
      </w:r>
      <w:r w:rsidRPr="00AA26C0">
        <w:rPr>
          <w:sz w:val="28"/>
          <w:szCs w:val="28"/>
          <w:lang w:val="uk-UA"/>
        </w:rPr>
        <w:t>и</w:t>
      </w:r>
      <w:r w:rsidRPr="00AA26C0">
        <w:rPr>
          <w:sz w:val="28"/>
          <w:szCs w:val="28"/>
        </w:rPr>
        <w:t xml:space="preserve"> м</w:t>
      </w:r>
      <w:r w:rsidRPr="00AA26C0">
        <w:rPr>
          <w:sz w:val="28"/>
          <w:szCs w:val="28"/>
          <w:lang w:val="uk-UA"/>
        </w:rPr>
        <w:t>а</w:t>
      </w:r>
      <w:r w:rsidRPr="00AA26C0">
        <w:rPr>
          <w:sz w:val="28"/>
          <w:szCs w:val="28"/>
        </w:rPr>
        <w:t>ли прояви</w:t>
      </w:r>
      <w:r w:rsidRPr="00AA26C0">
        <w:rPr>
          <w:sz w:val="28"/>
          <w:szCs w:val="28"/>
          <w:lang w:val="uk-UA"/>
        </w:rPr>
        <w:t xml:space="preserve"> МС</w:t>
      </w:r>
      <w:r w:rsidRPr="00AA26C0">
        <w:rPr>
          <w:sz w:val="28"/>
          <w:szCs w:val="28"/>
        </w:rPr>
        <w:t>: абдом</w:t>
      </w:r>
      <w:r w:rsidRPr="00AA26C0">
        <w:rPr>
          <w:sz w:val="28"/>
          <w:szCs w:val="28"/>
          <w:lang w:val="uk-UA"/>
        </w:rPr>
        <w:t>і</w:t>
      </w:r>
      <w:r w:rsidRPr="00AA26C0">
        <w:rPr>
          <w:sz w:val="28"/>
          <w:szCs w:val="28"/>
        </w:rPr>
        <w:t>нальне ожир</w:t>
      </w:r>
      <w:r w:rsidRPr="00AA26C0">
        <w:rPr>
          <w:sz w:val="28"/>
          <w:szCs w:val="28"/>
          <w:lang w:val="uk-UA"/>
        </w:rPr>
        <w:t>і</w:t>
      </w:r>
      <w:r w:rsidRPr="00AA26C0">
        <w:rPr>
          <w:sz w:val="28"/>
          <w:szCs w:val="28"/>
        </w:rPr>
        <w:t>н</w:t>
      </w:r>
      <w:r w:rsidRPr="00AA26C0">
        <w:rPr>
          <w:sz w:val="28"/>
          <w:szCs w:val="28"/>
          <w:lang w:val="uk-UA"/>
        </w:rPr>
        <w:t>ня</w:t>
      </w:r>
      <w:r w:rsidRPr="00AA26C0">
        <w:rPr>
          <w:sz w:val="28"/>
          <w:szCs w:val="28"/>
        </w:rPr>
        <w:t xml:space="preserve">, </w:t>
      </w:r>
      <w:r w:rsidRPr="00AA26C0">
        <w:rPr>
          <w:sz w:val="28"/>
          <w:szCs w:val="28"/>
          <w:lang w:val="uk-UA"/>
        </w:rPr>
        <w:t>по</w:t>
      </w:r>
      <w:r w:rsidRPr="00AA26C0">
        <w:rPr>
          <w:sz w:val="28"/>
          <w:szCs w:val="28"/>
        </w:rPr>
        <w:t>рушен</w:t>
      </w:r>
      <w:r w:rsidRPr="00AA26C0">
        <w:rPr>
          <w:sz w:val="28"/>
          <w:szCs w:val="28"/>
          <w:lang w:val="uk-UA"/>
        </w:rPr>
        <w:t>н</w:t>
      </w:r>
      <w:r w:rsidRPr="00AA26C0">
        <w:rPr>
          <w:sz w:val="28"/>
          <w:szCs w:val="28"/>
        </w:rPr>
        <w:t>я л</w:t>
      </w:r>
      <w:r w:rsidRPr="00AA26C0">
        <w:rPr>
          <w:sz w:val="28"/>
          <w:szCs w:val="28"/>
          <w:lang w:val="uk-UA"/>
        </w:rPr>
        <w:t>і</w:t>
      </w:r>
      <w:r w:rsidRPr="00AA26C0">
        <w:rPr>
          <w:sz w:val="28"/>
          <w:szCs w:val="28"/>
        </w:rPr>
        <w:t>п</w:t>
      </w:r>
      <w:r w:rsidRPr="00AA26C0">
        <w:rPr>
          <w:sz w:val="28"/>
          <w:szCs w:val="28"/>
          <w:lang w:val="uk-UA"/>
        </w:rPr>
        <w:t>і</w:t>
      </w:r>
      <w:r w:rsidRPr="00AA26C0">
        <w:rPr>
          <w:sz w:val="28"/>
          <w:szCs w:val="28"/>
        </w:rPr>
        <w:t xml:space="preserve">дного </w:t>
      </w:r>
      <w:r w:rsidRPr="00AA26C0">
        <w:rPr>
          <w:sz w:val="28"/>
          <w:szCs w:val="28"/>
          <w:lang w:val="uk-UA"/>
        </w:rPr>
        <w:t>та</w:t>
      </w:r>
      <w:r w:rsidRPr="00AA26C0">
        <w:rPr>
          <w:sz w:val="28"/>
          <w:szCs w:val="28"/>
        </w:rPr>
        <w:t xml:space="preserve"> </w:t>
      </w:r>
      <w:r w:rsidRPr="00AA26C0">
        <w:rPr>
          <w:sz w:val="28"/>
          <w:szCs w:val="28"/>
          <w:lang w:val="uk-UA"/>
        </w:rPr>
        <w:t>в</w:t>
      </w:r>
      <w:r w:rsidRPr="00AA26C0">
        <w:rPr>
          <w:sz w:val="28"/>
          <w:szCs w:val="28"/>
        </w:rPr>
        <w:t>углеводного обм</w:t>
      </w:r>
      <w:r w:rsidRPr="00AA26C0">
        <w:rPr>
          <w:sz w:val="28"/>
          <w:szCs w:val="28"/>
          <w:lang w:val="uk-UA"/>
        </w:rPr>
        <w:t>і</w:t>
      </w:r>
      <w:r w:rsidRPr="00AA26C0">
        <w:rPr>
          <w:sz w:val="28"/>
          <w:szCs w:val="28"/>
        </w:rPr>
        <w:t>н</w:t>
      </w:r>
      <w:r w:rsidRPr="00AA26C0">
        <w:rPr>
          <w:sz w:val="28"/>
          <w:szCs w:val="28"/>
          <w:lang w:val="uk-UA"/>
        </w:rPr>
        <w:t>і</w:t>
      </w:r>
      <w:r w:rsidRPr="00AA26C0">
        <w:rPr>
          <w:sz w:val="28"/>
          <w:szCs w:val="28"/>
        </w:rPr>
        <w:t>в. Пац</w:t>
      </w:r>
      <w:r w:rsidRPr="00AA26C0">
        <w:rPr>
          <w:sz w:val="28"/>
          <w:szCs w:val="28"/>
          <w:lang w:val="uk-UA"/>
        </w:rPr>
        <w:t>іє</w:t>
      </w:r>
      <w:r w:rsidRPr="00AA26C0">
        <w:rPr>
          <w:sz w:val="28"/>
          <w:szCs w:val="28"/>
        </w:rPr>
        <w:t>нт</w:t>
      </w:r>
      <w:r w:rsidRPr="00AA26C0">
        <w:rPr>
          <w:sz w:val="28"/>
          <w:szCs w:val="28"/>
          <w:lang w:val="uk-UA"/>
        </w:rPr>
        <w:t>и</w:t>
      </w:r>
      <w:r w:rsidRPr="00AA26C0">
        <w:rPr>
          <w:sz w:val="28"/>
          <w:szCs w:val="28"/>
        </w:rPr>
        <w:t xml:space="preserve"> на протя</w:t>
      </w:r>
      <w:r w:rsidRPr="00AA26C0">
        <w:rPr>
          <w:sz w:val="28"/>
          <w:szCs w:val="28"/>
          <w:lang w:val="uk-UA"/>
        </w:rPr>
        <w:t>зі</w:t>
      </w:r>
      <w:r w:rsidRPr="00AA26C0">
        <w:rPr>
          <w:sz w:val="28"/>
          <w:szCs w:val="28"/>
        </w:rPr>
        <w:t xml:space="preserve"> </w:t>
      </w:r>
      <w:r w:rsidRPr="00AA26C0">
        <w:rPr>
          <w:sz w:val="28"/>
          <w:szCs w:val="28"/>
          <w:lang w:val="uk-UA"/>
        </w:rPr>
        <w:t>6</w:t>
      </w:r>
      <w:r w:rsidRPr="00AA26C0">
        <w:rPr>
          <w:sz w:val="28"/>
          <w:szCs w:val="28"/>
        </w:rPr>
        <w:t xml:space="preserve"> м</w:t>
      </w:r>
      <w:r w:rsidRPr="00AA26C0">
        <w:rPr>
          <w:sz w:val="28"/>
          <w:szCs w:val="28"/>
          <w:lang w:val="uk-UA"/>
        </w:rPr>
        <w:t>і</w:t>
      </w:r>
      <w:r w:rsidRPr="00AA26C0">
        <w:rPr>
          <w:sz w:val="28"/>
          <w:szCs w:val="28"/>
        </w:rPr>
        <w:t>сяц</w:t>
      </w:r>
      <w:r w:rsidRPr="00AA26C0">
        <w:rPr>
          <w:sz w:val="28"/>
          <w:szCs w:val="28"/>
          <w:lang w:val="uk-UA"/>
        </w:rPr>
        <w:t>і</w:t>
      </w:r>
      <w:r w:rsidRPr="00AA26C0">
        <w:rPr>
          <w:sz w:val="28"/>
          <w:szCs w:val="28"/>
        </w:rPr>
        <w:t>в при</w:t>
      </w:r>
      <w:r w:rsidRPr="00AA26C0">
        <w:rPr>
          <w:sz w:val="28"/>
          <w:szCs w:val="28"/>
          <w:lang w:val="uk-UA"/>
        </w:rPr>
        <w:t>й</w:t>
      </w:r>
      <w:r w:rsidRPr="00AA26C0">
        <w:rPr>
          <w:sz w:val="28"/>
          <w:szCs w:val="28"/>
        </w:rPr>
        <w:t xml:space="preserve">мали </w:t>
      </w:r>
      <w:r w:rsidRPr="00AA26C0">
        <w:rPr>
          <w:sz w:val="28"/>
          <w:szCs w:val="28"/>
          <w:lang w:val="uk-UA"/>
        </w:rPr>
        <w:t>щодобово</w:t>
      </w:r>
      <w:r w:rsidRPr="00AA26C0">
        <w:rPr>
          <w:sz w:val="28"/>
          <w:szCs w:val="28"/>
        </w:rPr>
        <w:t xml:space="preserve"> комб</w:t>
      </w:r>
      <w:r w:rsidRPr="00AA26C0">
        <w:rPr>
          <w:sz w:val="28"/>
          <w:szCs w:val="28"/>
          <w:lang w:val="uk-UA"/>
        </w:rPr>
        <w:t>і</w:t>
      </w:r>
      <w:r w:rsidRPr="00AA26C0">
        <w:rPr>
          <w:sz w:val="28"/>
          <w:szCs w:val="28"/>
        </w:rPr>
        <w:t>нован</w:t>
      </w:r>
      <w:r w:rsidRPr="00AA26C0">
        <w:rPr>
          <w:sz w:val="28"/>
          <w:szCs w:val="28"/>
          <w:lang w:val="uk-UA"/>
        </w:rPr>
        <w:t>и</w:t>
      </w:r>
      <w:r w:rsidRPr="00AA26C0">
        <w:rPr>
          <w:sz w:val="28"/>
          <w:szCs w:val="28"/>
        </w:rPr>
        <w:t xml:space="preserve">й препарат “Аккузид” </w:t>
      </w:r>
      <w:r w:rsidRPr="00AA26C0">
        <w:rPr>
          <w:sz w:val="28"/>
          <w:szCs w:val="28"/>
          <w:lang w:val="uk-UA"/>
        </w:rPr>
        <w:t>виробництва</w:t>
      </w:r>
      <w:r w:rsidRPr="00AA26C0">
        <w:rPr>
          <w:sz w:val="28"/>
          <w:szCs w:val="28"/>
        </w:rPr>
        <w:t xml:space="preserve"> “</w:t>
      </w:r>
      <w:r w:rsidRPr="00AA26C0">
        <w:rPr>
          <w:sz w:val="28"/>
          <w:szCs w:val="28"/>
          <w:lang w:val="en-US"/>
        </w:rPr>
        <w:t>Pfizer</w:t>
      </w:r>
      <w:r w:rsidRPr="00AA26C0">
        <w:rPr>
          <w:sz w:val="28"/>
          <w:szCs w:val="28"/>
        </w:rPr>
        <w:t>”</w:t>
      </w:r>
      <w:r w:rsidRPr="00AA26C0">
        <w:rPr>
          <w:sz w:val="28"/>
          <w:szCs w:val="28"/>
          <w:lang w:val="uk-UA"/>
        </w:rPr>
        <w:t>,</w:t>
      </w:r>
      <w:r w:rsidRPr="00AA26C0">
        <w:rPr>
          <w:sz w:val="28"/>
          <w:szCs w:val="28"/>
        </w:rPr>
        <w:t xml:space="preserve"> США</w:t>
      </w:r>
      <w:r w:rsidRPr="00AA26C0">
        <w:rPr>
          <w:sz w:val="28"/>
          <w:szCs w:val="28"/>
          <w:lang w:val="uk-UA"/>
        </w:rPr>
        <w:t xml:space="preserve"> у</w:t>
      </w:r>
      <w:r w:rsidRPr="00AA26C0">
        <w:rPr>
          <w:sz w:val="28"/>
          <w:szCs w:val="28"/>
        </w:rPr>
        <w:t xml:space="preserve"> доз</w:t>
      </w:r>
      <w:r w:rsidRPr="00AA26C0">
        <w:rPr>
          <w:sz w:val="28"/>
          <w:szCs w:val="28"/>
          <w:lang w:val="uk-UA"/>
        </w:rPr>
        <w:t>і</w:t>
      </w:r>
      <w:r w:rsidRPr="00AA26C0">
        <w:rPr>
          <w:sz w:val="28"/>
          <w:szCs w:val="28"/>
        </w:rPr>
        <w:t xml:space="preserve"> 1 таблетка 1 раз </w:t>
      </w:r>
      <w:r w:rsidRPr="00AA26C0">
        <w:rPr>
          <w:sz w:val="28"/>
          <w:szCs w:val="28"/>
          <w:lang w:val="uk-UA"/>
        </w:rPr>
        <w:t>на добу</w:t>
      </w:r>
      <w:r w:rsidRPr="00AA26C0">
        <w:rPr>
          <w:sz w:val="28"/>
          <w:szCs w:val="28"/>
        </w:rPr>
        <w:t xml:space="preserve">, </w:t>
      </w:r>
      <w:r w:rsidRPr="00AA26C0">
        <w:rPr>
          <w:sz w:val="28"/>
          <w:szCs w:val="28"/>
          <w:lang w:val="uk-UA"/>
        </w:rPr>
        <w:t xml:space="preserve">який </w:t>
      </w:r>
      <w:r w:rsidRPr="00AA26C0">
        <w:rPr>
          <w:sz w:val="28"/>
          <w:szCs w:val="28"/>
        </w:rPr>
        <w:t>с</w:t>
      </w:r>
      <w:r w:rsidRPr="00AA26C0">
        <w:rPr>
          <w:sz w:val="28"/>
          <w:szCs w:val="28"/>
          <w:lang w:val="uk-UA"/>
        </w:rPr>
        <w:t>кладається із</w:t>
      </w:r>
      <w:r w:rsidRPr="00AA26C0">
        <w:rPr>
          <w:sz w:val="28"/>
          <w:szCs w:val="28"/>
        </w:rPr>
        <w:t xml:space="preserve"> 20</w:t>
      </w:r>
      <w:r w:rsidRPr="00AA26C0">
        <w:rPr>
          <w:sz w:val="28"/>
          <w:szCs w:val="28"/>
          <w:lang w:val="uk-UA"/>
        </w:rPr>
        <w:t xml:space="preserve"> </w:t>
      </w:r>
      <w:r w:rsidRPr="00AA26C0">
        <w:rPr>
          <w:sz w:val="28"/>
          <w:szCs w:val="28"/>
        </w:rPr>
        <w:t>мг кв</w:t>
      </w:r>
      <w:r w:rsidRPr="00AA26C0">
        <w:rPr>
          <w:sz w:val="28"/>
          <w:szCs w:val="28"/>
          <w:lang w:val="uk-UA"/>
        </w:rPr>
        <w:t>і</w:t>
      </w:r>
      <w:r w:rsidRPr="00AA26C0">
        <w:rPr>
          <w:sz w:val="28"/>
          <w:szCs w:val="28"/>
        </w:rPr>
        <w:t>наприл</w:t>
      </w:r>
      <w:r w:rsidRPr="00AA26C0">
        <w:rPr>
          <w:sz w:val="28"/>
          <w:szCs w:val="28"/>
          <w:lang w:val="uk-UA"/>
        </w:rPr>
        <w:t>у</w:t>
      </w:r>
      <w:r w:rsidRPr="00AA26C0">
        <w:rPr>
          <w:sz w:val="28"/>
          <w:szCs w:val="28"/>
        </w:rPr>
        <w:t xml:space="preserve"> </w:t>
      </w:r>
      <w:r w:rsidRPr="00AA26C0">
        <w:rPr>
          <w:sz w:val="28"/>
          <w:szCs w:val="28"/>
          <w:lang w:val="uk-UA"/>
        </w:rPr>
        <w:t>та</w:t>
      </w:r>
      <w:r w:rsidRPr="00AA26C0">
        <w:rPr>
          <w:sz w:val="28"/>
          <w:szCs w:val="28"/>
        </w:rPr>
        <w:t xml:space="preserve"> 12,5</w:t>
      </w:r>
      <w:r w:rsidRPr="00AA26C0">
        <w:rPr>
          <w:sz w:val="28"/>
          <w:szCs w:val="28"/>
          <w:lang w:val="uk-UA"/>
        </w:rPr>
        <w:t xml:space="preserve"> </w:t>
      </w:r>
      <w:r w:rsidRPr="00AA26C0">
        <w:rPr>
          <w:sz w:val="28"/>
          <w:szCs w:val="28"/>
        </w:rPr>
        <w:t>мг г</w:t>
      </w:r>
      <w:r w:rsidRPr="00AA26C0">
        <w:rPr>
          <w:sz w:val="28"/>
          <w:szCs w:val="28"/>
          <w:lang w:val="uk-UA"/>
        </w:rPr>
        <w:t>і</w:t>
      </w:r>
      <w:r w:rsidRPr="00AA26C0">
        <w:rPr>
          <w:sz w:val="28"/>
          <w:szCs w:val="28"/>
        </w:rPr>
        <w:t>дрохлорт</w:t>
      </w:r>
      <w:r w:rsidRPr="00AA26C0">
        <w:rPr>
          <w:sz w:val="28"/>
          <w:szCs w:val="28"/>
          <w:lang w:val="uk-UA"/>
        </w:rPr>
        <w:t>і</w:t>
      </w:r>
      <w:r w:rsidRPr="00AA26C0">
        <w:rPr>
          <w:sz w:val="28"/>
          <w:szCs w:val="28"/>
        </w:rPr>
        <w:t>азид</w:t>
      </w:r>
      <w:r w:rsidRPr="00AA26C0">
        <w:rPr>
          <w:sz w:val="28"/>
          <w:szCs w:val="28"/>
          <w:lang w:val="uk-UA"/>
        </w:rPr>
        <w:t>у</w:t>
      </w:r>
      <w:r w:rsidRPr="00AA26C0">
        <w:rPr>
          <w:sz w:val="28"/>
          <w:szCs w:val="28"/>
        </w:rPr>
        <w:t>. Вс</w:t>
      </w:r>
      <w:r w:rsidRPr="00AA26C0">
        <w:rPr>
          <w:sz w:val="28"/>
          <w:szCs w:val="28"/>
          <w:lang w:val="uk-UA"/>
        </w:rPr>
        <w:t>і</w:t>
      </w:r>
      <w:r w:rsidRPr="00AA26C0">
        <w:rPr>
          <w:sz w:val="28"/>
          <w:szCs w:val="28"/>
        </w:rPr>
        <w:t xml:space="preserve">м </w:t>
      </w:r>
      <w:r w:rsidRPr="00AA26C0">
        <w:rPr>
          <w:sz w:val="28"/>
          <w:szCs w:val="28"/>
          <w:lang w:val="uk-UA"/>
        </w:rPr>
        <w:t>хворим</w:t>
      </w:r>
      <w:r w:rsidRPr="00AA26C0">
        <w:rPr>
          <w:sz w:val="28"/>
          <w:szCs w:val="28"/>
        </w:rPr>
        <w:t xml:space="preserve"> проводилось </w:t>
      </w:r>
      <w:r w:rsidRPr="00AA26C0">
        <w:rPr>
          <w:sz w:val="28"/>
          <w:szCs w:val="28"/>
          <w:lang w:val="uk-UA"/>
        </w:rPr>
        <w:t>що</w:t>
      </w:r>
      <w:r w:rsidRPr="00AA26C0">
        <w:rPr>
          <w:sz w:val="28"/>
          <w:szCs w:val="28"/>
        </w:rPr>
        <w:t>м</w:t>
      </w:r>
      <w:r w:rsidRPr="00AA26C0">
        <w:rPr>
          <w:sz w:val="28"/>
          <w:szCs w:val="28"/>
          <w:lang w:val="uk-UA"/>
        </w:rPr>
        <w:t>і</w:t>
      </w:r>
      <w:r w:rsidRPr="00AA26C0">
        <w:rPr>
          <w:sz w:val="28"/>
          <w:szCs w:val="28"/>
        </w:rPr>
        <w:t xml:space="preserve">сячне </w:t>
      </w:r>
      <w:r w:rsidRPr="00AA26C0">
        <w:rPr>
          <w:sz w:val="28"/>
          <w:szCs w:val="28"/>
          <w:lang w:val="uk-UA"/>
        </w:rPr>
        <w:t>в</w:t>
      </w:r>
      <w:r w:rsidRPr="00AA26C0">
        <w:rPr>
          <w:sz w:val="28"/>
          <w:szCs w:val="28"/>
        </w:rPr>
        <w:t>им</w:t>
      </w:r>
      <w:r w:rsidRPr="00AA26C0">
        <w:rPr>
          <w:sz w:val="28"/>
          <w:szCs w:val="28"/>
          <w:lang w:val="uk-UA"/>
        </w:rPr>
        <w:t>і</w:t>
      </w:r>
      <w:r w:rsidRPr="00AA26C0">
        <w:rPr>
          <w:sz w:val="28"/>
          <w:szCs w:val="28"/>
        </w:rPr>
        <w:t>р</w:t>
      </w:r>
      <w:r w:rsidRPr="00AA26C0">
        <w:rPr>
          <w:sz w:val="28"/>
          <w:szCs w:val="28"/>
          <w:lang w:val="uk-UA"/>
        </w:rPr>
        <w:t>юва</w:t>
      </w:r>
      <w:r w:rsidRPr="00AA26C0">
        <w:rPr>
          <w:sz w:val="28"/>
          <w:szCs w:val="28"/>
        </w:rPr>
        <w:t>н</w:t>
      </w:r>
      <w:r w:rsidRPr="00AA26C0">
        <w:rPr>
          <w:sz w:val="28"/>
          <w:szCs w:val="28"/>
          <w:lang w:val="uk-UA"/>
        </w:rPr>
        <w:t>ня</w:t>
      </w:r>
      <w:r w:rsidRPr="00AA26C0">
        <w:rPr>
          <w:sz w:val="28"/>
          <w:szCs w:val="28"/>
        </w:rPr>
        <w:t xml:space="preserve"> оф</w:t>
      </w:r>
      <w:r w:rsidRPr="00AA26C0">
        <w:rPr>
          <w:sz w:val="28"/>
          <w:szCs w:val="28"/>
          <w:lang w:val="uk-UA"/>
        </w:rPr>
        <w:t>і</w:t>
      </w:r>
      <w:r w:rsidRPr="00AA26C0">
        <w:rPr>
          <w:sz w:val="28"/>
          <w:szCs w:val="28"/>
        </w:rPr>
        <w:t>сного А</w:t>
      </w:r>
      <w:r w:rsidRPr="00AA26C0">
        <w:rPr>
          <w:sz w:val="28"/>
          <w:szCs w:val="28"/>
          <w:lang w:val="uk-UA"/>
        </w:rPr>
        <w:t>Т</w:t>
      </w:r>
      <w:r w:rsidRPr="00AA26C0">
        <w:rPr>
          <w:sz w:val="28"/>
          <w:szCs w:val="28"/>
        </w:rPr>
        <w:t xml:space="preserve">, </w:t>
      </w:r>
      <w:r w:rsidRPr="00AA26C0">
        <w:rPr>
          <w:sz w:val="28"/>
          <w:szCs w:val="28"/>
          <w:lang w:val="uk-UA"/>
        </w:rPr>
        <w:t>добове</w:t>
      </w:r>
      <w:r w:rsidRPr="00AA26C0">
        <w:rPr>
          <w:sz w:val="28"/>
          <w:szCs w:val="28"/>
        </w:rPr>
        <w:t xml:space="preserve"> мон</w:t>
      </w:r>
      <w:r w:rsidRPr="00AA26C0">
        <w:rPr>
          <w:sz w:val="28"/>
          <w:szCs w:val="28"/>
          <w:lang w:val="uk-UA"/>
        </w:rPr>
        <w:t>і</w:t>
      </w:r>
      <w:r w:rsidRPr="00AA26C0">
        <w:rPr>
          <w:sz w:val="28"/>
          <w:szCs w:val="28"/>
        </w:rPr>
        <w:t>тор</w:t>
      </w:r>
      <w:r w:rsidRPr="00AA26C0">
        <w:rPr>
          <w:sz w:val="28"/>
          <w:szCs w:val="28"/>
          <w:lang w:val="uk-UA"/>
        </w:rPr>
        <w:t>у</w:t>
      </w:r>
      <w:r w:rsidRPr="00AA26C0">
        <w:rPr>
          <w:sz w:val="28"/>
          <w:szCs w:val="28"/>
        </w:rPr>
        <w:t>ван</w:t>
      </w:r>
      <w:r w:rsidRPr="00AA26C0">
        <w:rPr>
          <w:sz w:val="28"/>
          <w:szCs w:val="28"/>
          <w:lang w:val="uk-UA"/>
        </w:rPr>
        <w:t>ня</w:t>
      </w:r>
      <w:r w:rsidRPr="00AA26C0">
        <w:rPr>
          <w:sz w:val="28"/>
          <w:szCs w:val="28"/>
        </w:rPr>
        <w:t xml:space="preserve"> А</w:t>
      </w:r>
      <w:r w:rsidRPr="00AA26C0">
        <w:rPr>
          <w:sz w:val="28"/>
          <w:szCs w:val="28"/>
          <w:lang w:val="uk-UA"/>
        </w:rPr>
        <w:t>Т</w:t>
      </w:r>
      <w:r w:rsidRPr="00AA26C0">
        <w:rPr>
          <w:sz w:val="28"/>
          <w:szCs w:val="28"/>
        </w:rPr>
        <w:t xml:space="preserve"> </w:t>
      </w:r>
      <w:r w:rsidRPr="00AA26C0">
        <w:rPr>
          <w:sz w:val="28"/>
          <w:szCs w:val="28"/>
          <w:lang w:val="uk-UA"/>
        </w:rPr>
        <w:t xml:space="preserve">двічі - </w:t>
      </w:r>
      <w:r w:rsidRPr="00AA26C0">
        <w:rPr>
          <w:sz w:val="28"/>
          <w:szCs w:val="28"/>
        </w:rPr>
        <w:t>до терап</w:t>
      </w:r>
      <w:r w:rsidRPr="00AA26C0">
        <w:rPr>
          <w:sz w:val="28"/>
          <w:szCs w:val="28"/>
          <w:lang w:val="uk-UA"/>
        </w:rPr>
        <w:t>ії</w:t>
      </w:r>
      <w:r w:rsidRPr="00AA26C0">
        <w:rPr>
          <w:sz w:val="28"/>
          <w:szCs w:val="28"/>
        </w:rPr>
        <w:t xml:space="preserve"> </w:t>
      </w:r>
      <w:r w:rsidRPr="00AA26C0">
        <w:rPr>
          <w:sz w:val="28"/>
          <w:szCs w:val="28"/>
          <w:lang w:val="uk-UA"/>
        </w:rPr>
        <w:t>і</w:t>
      </w:r>
      <w:r w:rsidRPr="00AA26C0">
        <w:rPr>
          <w:sz w:val="28"/>
          <w:szCs w:val="28"/>
        </w:rPr>
        <w:t xml:space="preserve"> п</w:t>
      </w:r>
      <w:r w:rsidRPr="00AA26C0">
        <w:rPr>
          <w:sz w:val="28"/>
          <w:szCs w:val="28"/>
          <w:lang w:val="uk-UA"/>
        </w:rPr>
        <w:t>і</w:t>
      </w:r>
      <w:r w:rsidRPr="00AA26C0">
        <w:rPr>
          <w:sz w:val="28"/>
          <w:szCs w:val="28"/>
        </w:rPr>
        <w:t>сл</w:t>
      </w:r>
      <w:r w:rsidRPr="00AA26C0">
        <w:rPr>
          <w:sz w:val="28"/>
          <w:szCs w:val="28"/>
          <w:lang w:val="uk-UA"/>
        </w:rPr>
        <w:t>я</w:t>
      </w:r>
      <w:r w:rsidRPr="00AA26C0">
        <w:rPr>
          <w:sz w:val="28"/>
          <w:szCs w:val="28"/>
        </w:rPr>
        <w:t xml:space="preserve"> 6 м</w:t>
      </w:r>
      <w:r w:rsidRPr="00AA26C0">
        <w:rPr>
          <w:sz w:val="28"/>
          <w:szCs w:val="28"/>
          <w:lang w:val="uk-UA"/>
        </w:rPr>
        <w:t>і</w:t>
      </w:r>
      <w:r w:rsidRPr="00AA26C0">
        <w:rPr>
          <w:sz w:val="28"/>
          <w:szCs w:val="28"/>
        </w:rPr>
        <w:t>сяц</w:t>
      </w:r>
      <w:r w:rsidRPr="00AA26C0">
        <w:rPr>
          <w:sz w:val="28"/>
          <w:szCs w:val="28"/>
          <w:lang w:val="uk-UA"/>
        </w:rPr>
        <w:t>і</w:t>
      </w:r>
      <w:r w:rsidRPr="00AA26C0">
        <w:rPr>
          <w:sz w:val="28"/>
          <w:szCs w:val="28"/>
        </w:rPr>
        <w:t>в л</w:t>
      </w:r>
      <w:r w:rsidRPr="00AA26C0">
        <w:rPr>
          <w:sz w:val="28"/>
          <w:szCs w:val="28"/>
          <w:lang w:val="uk-UA"/>
        </w:rPr>
        <w:t>ікування</w:t>
      </w:r>
      <w:r w:rsidRPr="00AA26C0">
        <w:rPr>
          <w:sz w:val="28"/>
          <w:szCs w:val="28"/>
        </w:rPr>
        <w:t xml:space="preserve">. </w:t>
      </w:r>
      <w:r w:rsidRPr="00AA26C0">
        <w:rPr>
          <w:sz w:val="28"/>
          <w:szCs w:val="28"/>
          <w:lang w:val="uk-UA"/>
        </w:rPr>
        <w:t>У</w:t>
      </w:r>
      <w:r w:rsidRPr="00AA26C0">
        <w:rPr>
          <w:sz w:val="28"/>
          <w:szCs w:val="28"/>
        </w:rPr>
        <w:t xml:space="preserve"> наш</w:t>
      </w:r>
      <w:r w:rsidRPr="00AA26C0">
        <w:rPr>
          <w:sz w:val="28"/>
          <w:szCs w:val="28"/>
          <w:lang w:val="uk-UA"/>
        </w:rPr>
        <w:t>о</w:t>
      </w:r>
      <w:r w:rsidRPr="00AA26C0">
        <w:rPr>
          <w:sz w:val="28"/>
          <w:szCs w:val="28"/>
        </w:rPr>
        <w:t>м</w:t>
      </w:r>
      <w:r w:rsidRPr="00AA26C0">
        <w:rPr>
          <w:sz w:val="28"/>
          <w:szCs w:val="28"/>
          <w:lang w:val="uk-UA"/>
        </w:rPr>
        <w:t>у</w:t>
      </w:r>
      <w:r w:rsidRPr="00AA26C0">
        <w:rPr>
          <w:sz w:val="28"/>
          <w:szCs w:val="28"/>
        </w:rPr>
        <w:t xml:space="preserve"> </w:t>
      </w:r>
      <w:r w:rsidRPr="00AA26C0">
        <w:rPr>
          <w:sz w:val="28"/>
          <w:szCs w:val="28"/>
          <w:lang w:val="uk-UA"/>
        </w:rPr>
        <w:t>до</w:t>
      </w:r>
      <w:r w:rsidRPr="00AA26C0">
        <w:rPr>
          <w:sz w:val="28"/>
          <w:szCs w:val="28"/>
        </w:rPr>
        <w:t>сл</w:t>
      </w:r>
      <w:r w:rsidRPr="00AA26C0">
        <w:rPr>
          <w:sz w:val="28"/>
          <w:szCs w:val="28"/>
          <w:lang w:val="uk-UA"/>
        </w:rPr>
        <w:t>і</w:t>
      </w:r>
      <w:r w:rsidRPr="00AA26C0">
        <w:rPr>
          <w:sz w:val="28"/>
          <w:szCs w:val="28"/>
        </w:rPr>
        <w:t>д</w:t>
      </w:r>
      <w:r w:rsidRPr="00AA26C0">
        <w:rPr>
          <w:sz w:val="28"/>
          <w:szCs w:val="28"/>
          <w:lang w:val="uk-UA"/>
        </w:rPr>
        <w:t>жен</w:t>
      </w:r>
      <w:r w:rsidRPr="00AA26C0">
        <w:rPr>
          <w:sz w:val="28"/>
          <w:szCs w:val="28"/>
        </w:rPr>
        <w:t>н</w:t>
      </w:r>
      <w:r w:rsidRPr="00AA26C0">
        <w:rPr>
          <w:sz w:val="28"/>
          <w:szCs w:val="28"/>
          <w:lang w:val="uk-UA"/>
        </w:rPr>
        <w:t>і</w:t>
      </w:r>
      <w:r w:rsidRPr="00AA26C0">
        <w:rPr>
          <w:sz w:val="28"/>
          <w:szCs w:val="28"/>
        </w:rPr>
        <w:t xml:space="preserve"> </w:t>
      </w:r>
      <w:r w:rsidRPr="00AA26C0">
        <w:rPr>
          <w:sz w:val="28"/>
          <w:szCs w:val="28"/>
          <w:lang w:val="uk-UA"/>
        </w:rPr>
        <w:t xml:space="preserve">використовувався тіазидний діуретик гідрохлортіазид в оптимальній дозі 12,5 мг, яка не викликає небажаних побічних ефектів, що дуже важливо у хворих з МС. </w:t>
      </w:r>
    </w:p>
    <w:p w:rsidR="004B5E3F" w:rsidRDefault="004B5E3F" w:rsidP="004B5E3F">
      <w:pPr>
        <w:spacing w:line="340" w:lineRule="exact"/>
        <w:ind w:firstLine="720"/>
        <w:jc w:val="both"/>
        <w:rPr>
          <w:sz w:val="28"/>
          <w:szCs w:val="28"/>
          <w:lang w:val="uk-UA"/>
        </w:rPr>
      </w:pPr>
      <w:r w:rsidRPr="00AA26C0">
        <w:rPr>
          <w:sz w:val="28"/>
          <w:szCs w:val="28"/>
          <w:lang w:val="uk-UA"/>
        </w:rPr>
        <w:t>З</w:t>
      </w:r>
      <w:r w:rsidRPr="00AA26C0">
        <w:rPr>
          <w:sz w:val="28"/>
          <w:szCs w:val="28"/>
        </w:rPr>
        <w:t xml:space="preserve">а </w:t>
      </w:r>
      <w:r w:rsidRPr="00AA26C0">
        <w:rPr>
          <w:sz w:val="28"/>
          <w:szCs w:val="28"/>
          <w:lang w:val="uk-UA"/>
        </w:rPr>
        <w:t>6</w:t>
      </w:r>
      <w:r w:rsidRPr="00AA26C0">
        <w:rPr>
          <w:sz w:val="28"/>
          <w:szCs w:val="28"/>
        </w:rPr>
        <w:t xml:space="preserve"> м</w:t>
      </w:r>
      <w:r w:rsidRPr="00AA26C0">
        <w:rPr>
          <w:sz w:val="28"/>
          <w:szCs w:val="28"/>
          <w:lang w:val="uk-UA"/>
        </w:rPr>
        <w:t>і</w:t>
      </w:r>
      <w:r w:rsidRPr="00AA26C0">
        <w:rPr>
          <w:sz w:val="28"/>
          <w:szCs w:val="28"/>
        </w:rPr>
        <w:t>сяц</w:t>
      </w:r>
      <w:r w:rsidRPr="00AA26C0">
        <w:rPr>
          <w:sz w:val="28"/>
          <w:szCs w:val="28"/>
          <w:lang w:val="uk-UA"/>
        </w:rPr>
        <w:t>ів</w:t>
      </w:r>
      <w:r w:rsidRPr="00AA26C0">
        <w:rPr>
          <w:sz w:val="28"/>
          <w:szCs w:val="28"/>
        </w:rPr>
        <w:t xml:space="preserve"> </w:t>
      </w:r>
      <w:r w:rsidRPr="00AA26C0">
        <w:rPr>
          <w:sz w:val="28"/>
          <w:szCs w:val="28"/>
          <w:lang w:val="uk-UA"/>
        </w:rPr>
        <w:t xml:space="preserve">терапії </w:t>
      </w:r>
      <w:r w:rsidRPr="00AA26C0">
        <w:rPr>
          <w:sz w:val="28"/>
          <w:szCs w:val="28"/>
        </w:rPr>
        <w:t>у пац</w:t>
      </w:r>
      <w:r w:rsidRPr="00AA26C0">
        <w:rPr>
          <w:sz w:val="28"/>
          <w:szCs w:val="28"/>
          <w:lang w:val="uk-UA"/>
        </w:rPr>
        <w:t>іє</w:t>
      </w:r>
      <w:r w:rsidRPr="00AA26C0">
        <w:rPr>
          <w:sz w:val="28"/>
          <w:szCs w:val="28"/>
        </w:rPr>
        <w:t>нт</w:t>
      </w:r>
      <w:r w:rsidRPr="00AA26C0">
        <w:rPr>
          <w:sz w:val="28"/>
          <w:szCs w:val="28"/>
          <w:lang w:val="uk-UA"/>
        </w:rPr>
        <w:t>і</w:t>
      </w:r>
      <w:r w:rsidRPr="00AA26C0">
        <w:rPr>
          <w:sz w:val="28"/>
          <w:szCs w:val="28"/>
        </w:rPr>
        <w:t>в достов</w:t>
      </w:r>
      <w:r w:rsidRPr="00AA26C0">
        <w:rPr>
          <w:sz w:val="28"/>
          <w:szCs w:val="28"/>
          <w:lang w:val="uk-UA"/>
        </w:rPr>
        <w:t>і</w:t>
      </w:r>
      <w:r w:rsidRPr="00AA26C0">
        <w:rPr>
          <w:sz w:val="28"/>
          <w:szCs w:val="28"/>
        </w:rPr>
        <w:t xml:space="preserve">рно </w:t>
      </w:r>
      <w:r w:rsidRPr="00AA26C0">
        <w:rPr>
          <w:sz w:val="28"/>
          <w:szCs w:val="28"/>
          <w:lang w:val="uk-UA"/>
        </w:rPr>
        <w:t>з</w:t>
      </w:r>
      <w:r w:rsidRPr="00AA26C0">
        <w:rPr>
          <w:sz w:val="28"/>
          <w:szCs w:val="28"/>
        </w:rPr>
        <w:t>низи</w:t>
      </w:r>
      <w:r w:rsidRPr="00AA26C0">
        <w:rPr>
          <w:sz w:val="28"/>
          <w:szCs w:val="28"/>
          <w:lang w:val="uk-UA"/>
        </w:rPr>
        <w:t>в</w:t>
      </w:r>
      <w:r w:rsidRPr="00AA26C0">
        <w:rPr>
          <w:sz w:val="28"/>
          <w:szCs w:val="28"/>
        </w:rPr>
        <w:t>с</w:t>
      </w:r>
      <w:r w:rsidRPr="00AA26C0">
        <w:rPr>
          <w:sz w:val="28"/>
          <w:szCs w:val="28"/>
          <w:lang w:val="uk-UA"/>
        </w:rPr>
        <w:t>я</w:t>
      </w:r>
      <w:r w:rsidRPr="00AA26C0">
        <w:rPr>
          <w:sz w:val="28"/>
          <w:szCs w:val="28"/>
        </w:rPr>
        <w:t xml:space="preserve"> оф</w:t>
      </w:r>
      <w:r w:rsidRPr="00AA26C0">
        <w:rPr>
          <w:sz w:val="28"/>
          <w:szCs w:val="28"/>
          <w:lang w:val="uk-UA"/>
        </w:rPr>
        <w:t>і</w:t>
      </w:r>
      <w:r w:rsidRPr="00AA26C0">
        <w:rPr>
          <w:sz w:val="28"/>
          <w:szCs w:val="28"/>
        </w:rPr>
        <w:t>сн</w:t>
      </w:r>
      <w:r w:rsidRPr="00AA26C0">
        <w:rPr>
          <w:sz w:val="28"/>
          <w:szCs w:val="28"/>
          <w:lang w:val="uk-UA"/>
        </w:rPr>
        <w:t>ий</w:t>
      </w:r>
      <w:r w:rsidRPr="00AA26C0">
        <w:rPr>
          <w:sz w:val="28"/>
          <w:szCs w:val="28"/>
        </w:rPr>
        <w:t xml:space="preserve"> А</w:t>
      </w:r>
      <w:r w:rsidRPr="00AA26C0">
        <w:rPr>
          <w:sz w:val="28"/>
          <w:szCs w:val="28"/>
          <w:lang w:val="uk-UA"/>
        </w:rPr>
        <w:t>Т</w:t>
      </w:r>
      <w:r w:rsidRPr="00AA26C0">
        <w:rPr>
          <w:sz w:val="28"/>
          <w:szCs w:val="28"/>
        </w:rPr>
        <w:t>: СА</w:t>
      </w:r>
      <w:r w:rsidRPr="00AA26C0">
        <w:rPr>
          <w:sz w:val="28"/>
          <w:szCs w:val="28"/>
          <w:lang w:val="uk-UA"/>
        </w:rPr>
        <w:t>Т</w:t>
      </w:r>
      <w:r w:rsidRPr="00AA26C0">
        <w:rPr>
          <w:sz w:val="28"/>
          <w:szCs w:val="28"/>
        </w:rPr>
        <w:t xml:space="preserve"> (</w:t>
      </w:r>
      <w:r w:rsidRPr="00AA26C0">
        <w:rPr>
          <w:sz w:val="28"/>
          <w:szCs w:val="28"/>
          <w:lang w:val="uk-UA"/>
        </w:rPr>
        <w:t>з</w:t>
      </w:r>
      <w:r w:rsidRPr="00AA26C0">
        <w:rPr>
          <w:sz w:val="28"/>
          <w:szCs w:val="28"/>
        </w:rPr>
        <w:t xml:space="preserve"> 148,5 ± 3,0 до 133,0 ± 2,4)</w:t>
      </w:r>
      <w:r w:rsidRPr="00AA26C0">
        <w:rPr>
          <w:sz w:val="28"/>
          <w:szCs w:val="28"/>
          <w:lang w:val="uk-UA"/>
        </w:rPr>
        <w:t xml:space="preserve"> </w:t>
      </w:r>
      <w:r w:rsidRPr="00AA26C0">
        <w:rPr>
          <w:sz w:val="28"/>
          <w:szCs w:val="28"/>
        </w:rPr>
        <w:t xml:space="preserve">мм рт. ст. </w:t>
      </w:r>
      <w:r w:rsidRPr="00AA26C0">
        <w:rPr>
          <w:sz w:val="28"/>
          <w:szCs w:val="28"/>
          <w:lang w:val="uk-UA"/>
        </w:rPr>
        <w:t>і</w:t>
      </w:r>
      <w:r w:rsidRPr="00AA26C0">
        <w:rPr>
          <w:sz w:val="28"/>
          <w:szCs w:val="28"/>
        </w:rPr>
        <w:t xml:space="preserve"> ДА</w:t>
      </w:r>
      <w:r w:rsidRPr="00AA26C0">
        <w:rPr>
          <w:sz w:val="28"/>
          <w:szCs w:val="28"/>
          <w:lang w:val="uk-UA"/>
        </w:rPr>
        <w:t>Т</w:t>
      </w:r>
      <w:r w:rsidRPr="00AA26C0">
        <w:rPr>
          <w:sz w:val="28"/>
          <w:szCs w:val="28"/>
        </w:rPr>
        <w:t xml:space="preserve"> (</w:t>
      </w:r>
      <w:r w:rsidRPr="00AA26C0">
        <w:rPr>
          <w:sz w:val="28"/>
          <w:szCs w:val="28"/>
          <w:lang w:val="uk-UA"/>
        </w:rPr>
        <w:t>з</w:t>
      </w:r>
      <w:r w:rsidRPr="00AA26C0">
        <w:rPr>
          <w:sz w:val="28"/>
          <w:szCs w:val="28"/>
        </w:rPr>
        <w:t xml:space="preserve"> 90,0 ± 2,1 до 81,0 ±1,5)</w:t>
      </w:r>
      <w:r w:rsidRPr="00AA26C0">
        <w:rPr>
          <w:sz w:val="28"/>
          <w:szCs w:val="28"/>
          <w:lang w:val="uk-UA"/>
        </w:rPr>
        <w:t xml:space="preserve"> </w:t>
      </w:r>
      <w:r w:rsidRPr="00AA26C0">
        <w:rPr>
          <w:sz w:val="28"/>
          <w:szCs w:val="28"/>
        </w:rPr>
        <w:t>мм рт. ст. Дос</w:t>
      </w:r>
      <w:r w:rsidRPr="00AA26C0">
        <w:rPr>
          <w:sz w:val="28"/>
          <w:szCs w:val="28"/>
          <w:lang w:val="uk-UA"/>
        </w:rPr>
        <w:t>яг</w:t>
      </w:r>
      <w:r w:rsidRPr="00AA26C0">
        <w:rPr>
          <w:sz w:val="28"/>
          <w:szCs w:val="28"/>
        </w:rPr>
        <w:t>ли ц</w:t>
      </w:r>
      <w:r w:rsidRPr="00AA26C0">
        <w:rPr>
          <w:sz w:val="28"/>
          <w:szCs w:val="28"/>
          <w:lang w:val="uk-UA"/>
        </w:rPr>
        <w:t>і</w:t>
      </w:r>
      <w:r w:rsidRPr="00AA26C0">
        <w:rPr>
          <w:sz w:val="28"/>
          <w:szCs w:val="28"/>
        </w:rPr>
        <w:t>л</w:t>
      </w:r>
      <w:r w:rsidRPr="00AA26C0">
        <w:rPr>
          <w:sz w:val="28"/>
          <w:szCs w:val="28"/>
          <w:lang w:val="uk-UA"/>
        </w:rPr>
        <w:t>ьо</w:t>
      </w:r>
      <w:r w:rsidRPr="00AA26C0">
        <w:rPr>
          <w:sz w:val="28"/>
          <w:szCs w:val="28"/>
        </w:rPr>
        <w:t>вого р</w:t>
      </w:r>
      <w:r w:rsidRPr="00AA26C0">
        <w:rPr>
          <w:sz w:val="28"/>
          <w:szCs w:val="28"/>
          <w:lang w:val="uk-UA"/>
        </w:rPr>
        <w:t>і</w:t>
      </w:r>
      <w:r w:rsidRPr="00AA26C0">
        <w:rPr>
          <w:sz w:val="28"/>
          <w:szCs w:val="28"/>
        </w:rPr>
        <w:t>вн</w:t>
      </w:r>
      <w:r w:rsidRPr="00AA26C0">
        <w:rPr>
          <w:sz w:val="28"/>
          <w:szCs w:val="28"/>
          <w:lang w:val="uk-UA"/>
        </w:rPr>
        <w:t>ю</w:t>
      </w:r>
      <w:r w:rsidRPr="00AA26C0">
        <w:rPr>
          <w:sz w:val="28"/>
          <w:szCs w:val="28"/>
        </w:rPr>
        <w:t xml:space="preserve"> А</w:t>
      </w:r>
      <w:r w:rsidRPr="00AA26C0">
        <w:rPr>
          <w:sz w:val="28"/>
          <w:szCs w:val="28"/>
          <w:lang w:val="uk-UA"/>
        </w:rPr>
        <w:t>Т</w:t>
      </w:r>
      <w:r w:rsidRPr="00AA26C0">
        <w:rPr>
          <w:sz w:val="28"/>
          <w:szCs w:val="28"/>
        </w:rPr>
        <w:t xml:space="preserve"> 73</w:t>
      </w:r>
      <w:r w:rsidRPr="00AA26C0">
        <w:rPr>
          <w:sz w:val="28"/>
          <w:szCs w:val="28"/>
          <w:lang w:val="uk-UA"/>
        </w:rPr>
        <w:t xml:space="preserve"> </w:t>
      </w:r>
      <w:r w:rsidRPr="00AA26C0">
        <w:rPr>
          <w:sz w:val="28"/>
          <w:szCs w:val="28"/>
        </w:rPr>
        <w:t>% пац</w:t>
      </w:r>
      <w:r w:rsidRPr="00AA26C0">
        <w:rPr>
          <w:sz w:val="28"/>
          <w:szCs w:val="28"/>
          <w:lang w:val="uk-UA"/>
        </w:rPr>
        <w:t>іє</w:t>
      </w:r>
      <w:r w:rsidRPr="00AA26C0">
        <w:rPr>
          <w:sz w:val="28"/>
          <w:szCs w:val="28"/>
        </w:rPr>
        <w:t>нт</w:t>
      </w:r>
      <w:r w:rsidRPr="00AA26C0">
        <w:rPr>
          <w:sz w:val="28"/>
          <w:szCs w:val="28"/>
          <w:lang w:val="uk-UA"/>
        </w:rPr>
        <w:t>і</w:t>
      </w:r>
      <w:r w:rsidRPr="00AA26C0">
        <w:rPr>
          <w:sz w:val="28"/>
          <w:szCs w:val="28"/>
        </w:rPr>
        <w:t xml:space="preserve">в. </w:t>
      </w:r>
      <w:r w:rsidRPr="00AA26C0">
        <w:rPr>
          <w:sz w:val="28"/>
          <w:szCs w:val="28"/>
          <w:lang w:val="uk-UA"/>
        </w:rPr>
        <w:t>М</w:t>
      </w:r>
      <w:r w:rsidRPr="00AA26C0">
        <w:rPr>
          <w:sz w:val="28"/>
          <w:szCs w:val="28"/>
        </w:rPr>
        <w:t>Л</w:t>
      </w:r>
      <w:r w:rsidRPr="00AA26C0">
        <w:rPr>
          <w:sz w:val="28"/>
          <w:szCs w:val="28"/>
          <w:lang w:val="uk-UA"/>
        </w:rPr>
        <w:t>Ш у пацієнтів з</w:t>
      </w:r>
      <w:r w:rsidRPr="00AA26C0">
        <w:rPr>
          <w:sz w:val="28"/>
          <w:szCs w:val="28"/>
        </w:rPr>
        <w:t>меншилас</w:t>
      </w:r>
      <w:r w:rsidRPr="00AA26C0">
        <w:rPr>
          <w:sz w:val="28"/>
          <w:szCs w:val="28"/>
          <w:lang w:val="uk-UA"/>
        </w:rPr>
        <w:t>я</w:t>
      </w:r>
      <w:r w:rsidRPr="00AA26C0">
        <w:rPr>
          <w:sz w:val="28"/>
          <w:szCs w:val="28"/>
        </w:rPr>
        <w:t xml:space="preserve"> в с</w:t>
      </w:r>
      <w:r w:rsidRPr="00AA26C0">
        <w:rPr>
          <w:sz w:val="28"/>
          <w:szCs w:val="28"/>
          <w:lang w:val="uk-UA"/>
        </w:rPr>
        <w:t>е</w:t>
      </w:r>
      <w:r w:rsidRPr="00AA26C0">
        <w:rPr>
          <w:sz w:val="28"/>
          <w:szCs w:val="28"/>
        </w:rPr>
        <w:t>редн</w:t>
      </w:r>
      <w:r w:rsidRPr="00AA26C0">
        <w:rPr>
          <w:sz w:val="28"/>
          <w:szCs w:val="28"/>
          <w:lang w:val="uk-UA"/>
        </w:rPr>
        <w:t>ьо</w:t>
      </w:r>
      <w:r w:rsidRPr="00AA26C0">
        <w:rPr>
          <w:sz w:val="28"/>
          <w:szCs w:val="28"/>
        </w:rPr>
        <w:t>м</w:t>
      </w:r>
      <w:r w:rsidRPr="00AA26C0">
        <w:rPr>
          <w:sz w:val="28"/>
          <w:szCs w:val="28"/>
          <w:lang w:val="uk-UA"/>
        </w:rPr>
        <w:t>у</w:t>
      </w:r>
      <w:r w:rsidRPr="00AA26C0">
        <w:rPr>
          <w:sz w:val="28"/>
          <w:szCs w:val="28"/>
        </w:rPr>
        <w:t xml:space="preserve"> на 16,5 %. У вс</w:t>
      </w:r>
      <w:r w:rsidRPr="00AA26C0">
        <w:rPr>
          <w:sz w:val="28"/>
          <w:szCs w:val="28"/>
          <w:lang w:val="uk-UA"/>
        </w:rPr>
        <w:t>і</w:t>
      </w:r>
      <w:r w:rsidRPr="00AA26C0">
        <w:rPr>
          <w:sz w:val="28"/>
          <w:szCs w:val="28"/>
        </w:rPr>
        <w:t>х пац</w:t>
      </w:r>
      <w:r w:rsidRPr="00AA26C0">
        <w:rPr>
          <w:sz w:val="28"/>
          <w:szCs w:val="28"/>
          <w:lang w:val="uk-UA"/>
        </w:rPr>
        <w:t>іє</w:t>
      </w:r>
      <w:r w:rsidRPr="00AA26C0">
        <w:rPr>
          <w:sz w:val="28"/>
          <w:szCs w:val="28"/>
        </w:rPr>
        <w:t>нт</w:t>
      </w:r>
      <w:r w:rsidRPr="00AA26C0">
        <w:rPr>
          <w:sz w:val="28"/>
          <w:szCs w:val="28"/>
          <w:lang w:val="uk-UA"/>
        </w:rPr>
        <w:t>і</w:t>
      </w:r>
      <w:r w:rsidRPr="00AA26C0">
        <w:rPr>
          <w:sz w:val="28"/>
          <w:szCs w:val="28"/>
        </w:rPr>
        <w:t xml:space="preserve">в </w:t>
      </w:r>
      <w:r w:rsidRPr="00AA26C0">
        <w:rPr>
          <w:sz w:val="28"/>
          <w:szCs w:val="28"/>
          <w:lang w:val="uk-UA"/>
        </w:rPr>
        <w:t>з</w:t>
      </w:r>
      <w:r w:rsidRPr="00AA26C0">
        <w:rPr>
          <w:sz w:val="28"/>
          <w:szCs w:val="28"/>
        </w:rPr>
        <w:t>меншились значен</w:t>
      </w:r>
      <w:r w:rsidRPr="00AA26C0">
        <w:rPr>
          <w:sz w:val="28"/>
          <w:szCs w:val="28"/>
          <w:lang w:val="uk-UA"/>
        </w:rPr>
        <w:t>н</w:t>
      </w:r>
      <w:r w:rsidRPr="00AA26C0">
        <w:rPr>
          <w:sz w:val="28"/>
          <w:szCs w:val="28"/>
        </w:rPr>
        <w:t xml:space="preserve">я </w:t>
      </w:r>
      <w:r w:rsidRPr="00AA26C0">
        <w:rPr>
          <w:sz w:val="28"/>
          <w:szCs w:val="28"/>
          <w:lang w:val="uk-UA"/>
        </w:rPr>
        <w:t xml:space="preserve">індексів </w:t>
      </w:r>
      <w:r w:rsidRPr="00AA26C0">
        <w:rPr>
          <w:sz w:val="28"/>
          <w:szCs w:val="28"/>
        </w:rPr>
        <w:t>МЛ</w:t>
      </w:r>
      <w:r w:rsidRPr="00AA26C0">
        <w:rPr>
          <w:sz w:val="28"/>
          <w:szCs w:val="28"/>
          <w:lang w:val="uk-UA"/>
        </w:rPr>
        <w:t>Ш</w:t>
      </w:r>
      <w:r w:rsidRPr="00AA26C0">
        <w:rPr>
          <w:sz w:val="28"/>
          <w:szCs w:val="28"/>
        </w:rPr>
        <w:t xml:space="preserve">, </w:t>
      </w:r>
      <w:r w:rsidRPr="00AA26C0">
        <w:rPr>
          <w:sz w:val="28"/>
          <w:szCs w:val="28"/>
          <w:lang w:val="uk-UA"/>
        </w:rPr>
        <w:t>у частини пацієнтів н</w:t>
      </w:r>
      <w:r w:rsidRPr="00AA26C0">
        <w:rPr>
          <w:sz w:val="28"/>
          <w:szCs w:val="28"/>
        </w:rPr>
        <w:t>а</w:t>
      </w:r>
      <w:r w:rsidRPr="00AA26C0">
        <w:rPr>
          <w:sz w:val="28"/>
          <w:szCs w:val="28"/>
          <w:lang w:val="uk-UA"/>
        </w:rPr>
        <w:t>віть</w:t>
      </w:r>
      <w:r w:rsidRPr="00AA26C0">
        <w:rPr>
          <w:sz w:val="28"/>
          <w:szCs w:val="28"/>
        </w:rPr>
        <w:t xml:space="preserve"> до нормальн</w:t>
      </w:r>
      <w:r w:rsidRPr="00AA26C0">
        <w:rPr>
          <w:sz w:val="28"/>
          <w:szCs w:val="28"/>
          <w:lang w:val="uk-UA"/>
        </w:rPr>
        <w:t>и</w:t>
      </w:r>
      <w:r w:rsidRPr="00AA26C0">
        <w:rPr>
          <w:sz w:val="28"/>
          <w:szCs w:val="28"/>
        </w:rPr>
        <w:t>х показ</w:t>
      </w:r>
      <w:r w:rsidRPr="00AA26C0">
        <w:rPr>
          <w:sz w:val="28"/>
          <w:szCs w:val="28"/>
          <w:lang w:val="uk-UA"/>
        </w:rPr>
        <w:t>ників:</w:t>
      </w:r>
      <w:r w:rsidRPr="00AA26C0">
        <w:rPr>
          <w:sz w:val="28"/>
          <w:szCs w:val="28"/>
        </w:rPr>
        <w:t xml:space="preserve"> у 50 % при </w:t>
      </w:r>
      <w:r w:rsidRPr="00AA26C0">
        <w:rPr>
          <w:sz w:val="28"/>
          <w:szCs w:val="28"/>
          <w:lang w:val="uk-UA"/>
        </w:rPr>
        <w:t>в</w:t>
      </w:r>
      <w:r w:rsidRPr="00AA26C0">
        <w:rPr>
          <w:sz w:val="28"/>
          <w:szCs w:val="28"/>
        </w:rPr>
        <w:t>и</w:t>
      </w:r>
      <w:r w:rsidRPr="00AA26C0">
        <w:rPr>
          <w:sz w:val="28"/>
          <w:szCs w:val="28"/>
          <w:lang w:val="uk-UA"/>
        </w:rPr>
        <w:t>к</w:t>
      </w:r>
      <w:r w:rsidRPr="00AA26C0">
        <w:rPr>
          <w:sz w:val="28"/>
          <w:szCs w:val="28"/>
        </w:rPr>
        <w:t>о</w:t>
      </w:r>
      <w:r w:rsidRPr="00AA26C0">
        <w:rPr>
          <w:sz w:val="28"/>
          <w:szCs w:val="28"/>
          <w:lang w:val="uk-UA"/>
        </w:rPr>
        <w:t>ристан</w:t>
      </w:r>
      <w:r w:rsidRPr="00AA26C0">
        <w:rPr>
          <w:sz w:val="28"/>
          <w:szCs w:val="28"/>
        </w:rPr>
        <w:t>н</w:t>
      </w:r>
      <w:r w:rsidRPr="00AA26C0">
        <w:rPr>
          <w:sz w:val="28"/>
          <w:szCs w:val="28"/>
          <w:lang w:val="uk-UA"/>
        </w:rPr>
        <w:t>і для діагностики ГЛШ</w:t>
      </w:r>
      <w:r w:rsidRPr="00AA26C0">
        <w:rPr>
          <w:sz w:val="28"/>
          <w:szCs w:val="28"/>
        </w:rPr>
        <w:t xml:space="preserve"> </w:t>
      </w:r>
      <w:r w:rsidRPr="00AA26C0">
        <w:rPr>
          <w:sz w:val="28"/>
          <w:szCs w:val="28"/>
          <w:lang w:val="uk-UA"/>
        </w:rPr>
        <w:t>І</w:t>
      </w:r>
      <w:r w:rsidRPr="00AA26C0">
        <w:rPr>
          <w:sz w:val="28"/>
          <w:szCs w:val="28"/>
        </w:rPr>
        <w:t>МЛ</w:t>
      </w:r>
      <w:r w:rsidRPr="00AA26C0">
        <w:rPr>
          <w:sz w:val="28"/>
          <w:szCs w:val="28"/>
          <w:lang w:val="uk-UA"/>
        </w:rPr>
        <w:t>Ш</w:t>
      </w:r>
      <w:r w:rsidRPr="00AA26C0">
        <w:rPr>
          <w:sz w:val="28"/>
          <w:szCs w:val="28"/>
          <w:vertAlign w:val="subscript"/>
        </w:rPr>
        <w:t>1</w:t>
      </w:r>
      <w:r w:rsidRPr="00AA26C0">
        <w:rPr>
          <w:sz w:val="28"/>
          <w:szCs w:val="28"/>
        </w:rPr>
        <w:t xml:space="preserve"> </w:t>
      </w:r>
      <w:r w:rsidRPr="00AA26C0">
        <w:rPr>
          <w:sz w:val="28"/>
          <w:szCs w:val="28"/>
          <w:lang w:val="uk-UA"/>
        </w:rPr>
        <w:t xml:space="preserve">та </w:t>
      </w:r>
      <w:r w:rsidRPr="00AA26C0">
        <w:rPr>
          <w:sz w:val="28"/>
          <w:szCs w:val="28"/>
        </w:rPr>
        <w:t xml:space="preserve">у 20 % </w:t>
      </w:r>
      <w:r w:rsidRPr="00AA26C0">
        <w:rPr>
          <w:sz w:val="28"/>
          <w:szCs w:val="28"/>
          <w:lang w:val="uk-UA"/>
        </w:rPr>
        <w:t xml:space="preserve">- </w:t>
      </w:r>
      <w:r w:rsidRPr="00AA26C0">
        <w:rPr>
          <w:sz w:val="28"/>
          <w:szCs w:val="28"/>
        </w:rPr>
        <w:t xml:space="preserve">при </w:t>
      </w:r>
      <w:r w:rsidRPr="00AA26C0">
        <w:rPr>
          <w:sz w:val="28"/>
          <w:szCs w:val="28"/>
          <w:lang w:val="uk-UA"/>
        </w:rPr>
        <w:t>в</w:t>
      </w:r>
      <w:r w:rsidRPr="00AA26C0">
        <w:rPr>
          <w:sz w:val="28"/>
          <w:szCs w:val="28"/>
        </w:rPr>
        <w:t>и</w:t>
      </w:r>
      <w:r w:rsidRPr="00AA26C0">
        <w:rPr>
          <w:sz w:val="28"/>
          <w:szCs w:val="28"/>
          <w:lang w:val="uk-UA"/>
        </w:rPr>
        <w:t>к</w:t>
      </w:r>
      <w:r w:rsidRPr="00AA26C0">
        <w:rPr>
          <w:sz w:val="28"/>
          <w:szCs w:val="28"/>
        </w:rPr>
        <w:t>о</w:t>
      </w:r>
      <w:r w:rsidRPr="00AA26C0">
        <w:rPr>
          <w:sz w:val="28"/>
          <w:szCs w:val="28"/>
          <w:lang w:val="uk-UA"/>
        </w:rPr>
        <w:t>ристан</w:t>
      </w:r>
      <w:r w:rsidRPr="00AA26C0">
        <w:rPr>
          <w:sz w:val="28"/>
          <w:szCs w:val="28"/>
        </w:rPr>
        <w:t>н</w:t>
      </w:r>
      <w:r w:rsidRPr="00AA26C0">
        <w:rPr>
          <w:sz w:val="28"/>
          <w:szCs w:val="28"/>
          <w:lang w:val="uk-UA"/>
        </w:rPr>
        <w:t>і</w:t>
      </w:r>
      <w:r w:rsidRPr="00AA26C0">
        <w:rPr>
          <w:sz w:val="28"/>
          <w:szCs w:val="28"/>
        </w:rPr>
        <w:t xml:space="preserve"> </w:t>
      </w:r>
      <w:r w:rsidRPr="00AA26C0">
        <w:rPr>
          <w:sz w:val="28"/>
          <w:szCs w:val="28"/>
          <w:lang w:val="uk-UA"/>
        </w:rPr>
        <w:t>І</w:t>
      </w:r>
      <w:r w:rsidRPr="00AA26C0">
        <w:rPr>
          <w:sz w:val="28"/>
          <w:szCs w:val="28"/>
        </w:rPr>
        <w:t>МЛ</w:t>
      </w:r>
      <w:r w:rsidRPr="00AA26C0">
        <w:rPr>
          <w:sz w:val="28"/>
          <w:szCs w:val="28"/>
          <w:lang w:val="uk-UA"/>
        </w:rPr>
        <w:t>Ш</w:t>
      </w:r>
      <w:r w:rsidRPr="00AA26C0">
        <w:rPr>
          <w:sz w:val="28"/>
          <w:szCs w:val="28"/>
          <w:vertAlign w:val="subscript"/>
        </w:rPr>
        <w:t>2</w:t>
      </w:r>
      <w:r w:rsidRPr="00AA26C0">
        <w:rPr>
          <w:sz w:val="28"/>
          <w:szCs w:val="28"/>
        </w:rPr>
        <w:t>.</w:t>
      </w:r>
      <w:r w:rsidRPr="00AA26C0">
        <w:rPr>
          <w:sz w:val="28"/>
          <w:szCs w:val="28"/>
          <w:lang w:val="uk-UA"/>
        </w:rPr>
        <w:t xml:space="preserve"> У жінок ІМЛШ</w:t>
      </w:r>
      <w:r w:rsidRPr="00AA26C0">
        <w:rPr>
          <w:sz w:val="28"/>
          <w:szCs w:val="28"/>
          <w:vertAlign w:val="subscript"/>
          <w:lang w:val="uk-UA"/>
        </w:rPr>
        <w:t>1</w:t>
      </w:r>
      <w:r w:rsidRPr="00AA26C0">
        <w:rPr>
          <w:sz w:val="28"/>
          <w:szCs w:val="28"/>
          <w:lang w:val="uk-UA"/>
        </w:rPr>
        <w:t xml:space="preserve"> зменшився на 16,1 %, ІМЛШ</w:t>
      </w:r>
      <w:r w:rsidRPr="00AA26C0">
        <w:rPr>
          <w:sz w:val="28"/>
          <w:szCs w:val="28"/>
          <w:vertAlign w:val="subscript"/>
          <w:lang w:val="uk-UA"/>
        </w:rPr>
        <w:t xml:space="preserve">2 </w:t>
      </w:r>
      <w:r w:rsidRPr="00AA26C0">
        <w:rPr>
          <w:sz w:val="28"/>
          <w:szCs w:val="28"/>
          <w:lang w:val="uk-UA"/>
        </w:rPr>
        <w:t>– на 17 %, у чоловіків ІМЛШ</w:t>
      </w:r>
      <w:r w:rsidRPr="00AA26C0">
        <w:rPr>
          <w:sz w:val="28"/>
          <w:szCs w:val="28"/>
          <w:vertAlign w:val="subscript"/>
          <w:lang w:val="uk-UA"/>
        </w:rPr>
        <w:t>1</w:t>
      </w:r>
      <w:r w:rsidRPr="00AA26C0">
        <w:rPr>
          <w:sz w:val="28"/>
          <w:szCs w:val="28"/>
          <w:lang w:val="uk-UA"/>
        </w:rPr>
        <w:t xml:space="preserve"> та ІМЛШ</w:t>
      </w:r>
      <w:r w:rsidRPr="00AA26C0">
        <w:rPr>
          <w:sz w:val="28"/>
          <w:szCs w:val="28"/>
          <w:vertAlign w:val="subscript"/>
          <w:lang w:val="uk-UA"/>
        </w:rPr>
        <w:t>2</w:t>
      </w:r>
      <w:r w:rsidRPr="00AA26C0">
        <w:rPr>
          <w:sz w:val="28"/>
          <w:szCs w:val="28"/>
          <w:lang w:val="uk-UA"/>
        </w:rPr>
        <w:t xml:space="preserve"> зменшились на 15,5 % і 16 % відповідно. У жінок середнє значення ІМЛШ</w:t>
      </w:r>
      <w:r w:rsidRPr="00AA26C0">
        <w:rPr>
          <w:sz w:val="28"/>
          <w:szCs w:val="28"/>
          <w:vertAlign w:val="subscript"/>
          <w:lang w:val="uk-UA"/>
        </w:rPr>
        <w:t>1</w:t>
      </w:r>
      <w:r w:rsidRPr="00AA26C0">
        <w:rPr>
          <w:sz w:val="28"/>
          <w:szCs w:val="28"/>
          <w:lang w:val="uk-UA"/>
        </w:rPr>
        <w:t xml:space="preserve"> досягло нормального значення (108,7 ± 4,1) г/м</w:t>
      </w:r>
      <w:r w:rsidRPr="00AA26C0">
        <w:rPr>
          <w:sz w:val="28"/>
          <w:szCs w:val="28"/>
          <w:vertAlign w:val="superscript"/>
          <w:lang w:val="uk-UA"/>
        </w:rPr>
        <w:t>2</w:t>
      </w:r>
      <w:r w:rsidRPr="00AA26C0">
        <w:rPr>
          <w:sz w:val="28"/>
          <w:szCs w:val="28"/>
          <w:lang w:val="uk-UA"/>
        </w:rPr>
        <w:t>, у чоловіків – теж (115,0 ± 4,0) г/м</w:t>
      </w:r>
      <w:r w:rsidRPr="00AA26C0">
        <w:rPr>
          <w:sz w:val="28"/>
          <w:szCs w:val="28"/>
          <w:vertAlign w:val="superscript"/>
          <w:lang w:val="uk-UA"/>
        </w:rPr>
        <w:t>2</w:t>
      </w:r>
      <w:r w:rsidRPr="00AA26C0">
        <w:rPr>
          <w:sz w:val="28"/>
          <w:szCs w:val="28"/>
          <w:lang w:val="uk-UA"/>
        </w:rPr>
        <w:t>, але значення середніх значень ІМЛШ</w:t>
      </w:r>
      <w:r w:rsidRPr="00AA26C0">
        <w:rPr>
          <w:sz w:val="28"/>
          <w:szCs w:val="28"/>
          <w:vertAlign w:val="subscript"/>
          <w:lang w:val="uk-UA"/>
        </w:rPr>
        <w:t xml:space="preserve">2 </w:t>
      </w:r>
      <w:r w:rsidRPr="00AA26C0">
        <w:rPr>
          <w:sz w:val="28"/>
          <w:szCs w:val="28"/>
          <w:lang w:val="uk-UA"/>
        </w:rPr>
        <w:t>залишилось вищим за норму: у жінок – (55,0 ± 2,4) г/м</w:t>
      </w:r>
      <w:r w:rsidRPr="00AA26C0">
        <w:rPr>
          <w:sz w:val="28"/>
          <w:szCs w:val="28"/>
          <w:vertAlign w:val="superscript"/>
          <w:lang w:val="uk-UA"/>
        </w:rPr>
        <w:t>2,7</w:t>
      </w:r>
      <w:r w:rsidRPr="00AA26C0">
        <w:rPr>
          <w:sz w:val="28"/>
          <w:szCs w:val="28"/>
          <w:lang w:val="uk-UA"/>
        </w:rPr>
        <w:t xml:space="preserve"> та у чоловіків – (54,9 ± 2,3) г/м</w:t>
      </w:r>
      <w:r w:rsidRPr="00AA26C0">
        <w:rPr>
          <w:sz w:val="28"/>
          <w:szCs w:val="28"/>
          <w:vertAlign w:val="superscript"/>
          <w:lang w:val="uk-UA"/>
        </w:rPr>
        <w:t>2,7</w:t>
      </w:r>
      <w:r w:rsidRPr="00AA26C0">
        <w:rPr>
          <w:sz w:val="28"/>
          <w:szCs w:val="28"/>
          <w:lang w:val="uk-UA"/>
        </w:rPr>
        <w:t>, що свідчить про більшу раціональність використання відношення МЛШ до росту</w:t>
      </w:r>
      <w:r w:rsidRPr="00AA26C0">
        <w:rPr>
          <w:sz w:val="28"/>
          <w:szCs w:val="28"/>
          <w:vertAlign w:val="superscript"/>
          <w:lang w:val="uk-UA"/>
        </w:rPr>
        <w:t xml:space="preserve">2,7 </w:t>
      </w:r>
      <w:r w:rsidRPr="00AA26C0">
        <w:rPr>
          <w:sz w:val="28"/>
          <w:szCs w:val="28"/>
          <w:lang w:val="uk-UA"/>
        </w:rPr>
        <w:t xml:space="preserve">при оцінці ГЛШ у осіб </w:t>
      </w:r>
      <w:r w:rsidRPr="00AA26C0">
        <w:rPr>
          <w:sz w:val="28"/>
          <w:szCs w:val="28"/>
          <w:lang w:val="uk-UA"/>
        </w:rPr>
        <w:lastRenderedPageBreak/>
        <w:t>з ожирінням, тому що таким чином точніше виявляється важливий фактор ризику серцево-судинної захворюваності та смертності.</w:t>
      </w:r>
    </w:p>
    <w:p w:rsidR="004B5E3F" w:rsidRDefault="004B5E3F" w:rsidP="004B5E3F">
      <w:pPr>
        <w:spacing w:line="340" w:lineRule="exact"/>
        <w:ind w:firstLine="720"/>
        <w:jc w:val="both"/>
        <w:rPr>
          <w:sz w:val="28"/>
          <w:szCs w:val="28"/>
          <w:lang w:val="uk-UA"/>
        </w:rPr>
      </w:pPr>
      <w:r>
        <w:rPr>
          <w:sz w:val="28"/>
          <w:szCs w:val="28"/>
          <w:lang w:val="uk-UA"/>
        </w:rPr>
        <w:t xml:space="preserve">За час спостереження у пацієнтів недостовірно зменшилися показники рівнів глюкози з 5,6 до 5,4 ммоль/л та тригліцеридів з 1,66 до 1,47 ммоль/л. Отже, можна констатувати, що лікування препаратом </w:t>
      </w:r>
      <w:r w:rsidRPr="008A73DD">
        <w:rPr>
          <w:sz w:val="28"/>
          <w:szCs w:val="28"/>
          <w:lang w:val="uk-UA"/>
        </w:rPr>
        <w:t>“</w:t>
      </w:r>
      <w:r>
        <w:rPr>
          <w:sz w:val="28"/>
          <w:szCs w:val="28"/>
          <w:lang w:val="uk-UA"/>
        </w:rPr>
        <w:t>Аккузид</w:t>
      </w:r>
      <w:r w:rsidRPr="008A73DD">
        <w:rPr>
          <w:sz w:val="28"/>
          <w:szCs w:val="28"/>
          <w:lang w:val="uk-UA"/>
        </w:rPr>
        <w:t>“</w:t>
      </w:r>
      <w:r>
        <w:rPr>
          <w:sz w:val="28"/>
          <w:szCs w:val="28"/>
          <w:lang w:val="uk-UA"/>
        </w:rPr>
        <w:t xml:space="preserve"> є не тільки сприятливим з точки зору нормалізації рівнів АТ та регресу ГЛШ, але і не справляє негативної метаболічної дії.</w:t>
      </w:r>
    </w:p>
    <w:p w:rsidR="004B5E3F" w:rsidRDefault="004B5E3F" w:rsidP="004B5E3F">
      <w:pPr>
        <w:spacing w:line="340" w:lineRule="exact"/>
        <w:ind w:firstLine="540"/>
        <w:jc w:val="both"/>
        <w:rPr>
          <w:sz w:val="28"/>
          <w:szCs w:val="28"/>
          <w:lang w:val="uk-UA"/>
        </w:rPr>
      </w:pPr>
    </w:p>
    <w:p w:rsidR="004B5E3F" w:rsidRPr="00AA26C0" w:rsidRDefault="004B5E3F" w:rsidP="004B5E3F">
      <w:pPr>
        <w:spacing w:line="340" w:lineRule="exact"/>
        <w:ind w:left="180" w:firstLine="1800"/>
        <w:jc w:val="center"/>
        <w:rPr>
          <w:b/>
          <w:sz w:val="28"/>
          <w:szCs w:val="28"/>
          <w:lang w:val="uk-UA"/>
        </w:rPr>
      </w:pPr>
      <w:r w:rsidRPr="00AA26C0">
        <w:rPr>
          <w:b/>
          <w:sz w:val="28"/>
          <w:szCs w:val="28"/>
          <w:lang w:val="uk-UA"/>
        </w:rPr>
        <w:t>ВИСНОВКИ</w:t>
      </w:r>
    </w:p>
    <w:p w:rsidR="004B5E3F" w:rsidRDefault="004B5E3F" w:rsidP="004B5E3F">
      <w:pPr>
        <w:spacing w:line="340" w:lineRule="exact"/>
        <w:ind w:firstLine="720"/>
        <w:jc w:val="both"/>
        <w:rPr>
          <w:sz w:val="28"/>
          <w:szCs w:val="28"/>
          <w:lang w:val="uk-UA"/>
        </w:rPr>
      </w:pPr>
      <w:r w:rsidRPr="00AA26C0">
        <w:rPr>
          <w:sz w:val="28"/>
          <w:szCs w:val="28"/>
          <w:lang w:val="uk-UA"/>
        </w:rPr>
        <w:t xml:space="preserve">На основі комплексного вивчення клінічних та ехокардіографічних даних, параметрів добового моніторування АТ, показників вуглеводного обміну у хворих із ГХ ІІ ст. встановлений взаємозв’язок між проявами метаболічного синдрому та </w:t>
      </w:r>
      <w:r>
        <w:rPr>
          <w:sz w:val="28"/>
          <w:szCs w:val="28"/>
          <w:lang w:val="uk-UA"/>
        </w:rPr>
        <w:t xml:space="preserve">ехокардіографічною характеристикою </w:t>
      </w:r>
      <w:r w:rsidRPr="00AA26C0">
        <w:rPr>
          <w:sz w:val="28"/>
          <w:szCs w:val="28"/>
          <w:lang w:val="uk-UA"/>
        </w:rPr>
        <w:t xml:space="preserve">лівого шлуночка, вказані шляхи оптимізації діагностики гіпертрофії лівого шлуночка та продемонстрована можливість </w:t>
      </w:r>
      <w:r>
        <w:rPr>
          <w:sz w:val="28"/>
          <w:szCs w:val="28"/>
          <w:lang w:val="uk-UA"/>
        </w:rPr>
        <w:t xml:space="preserve">її </w:t>
      </w:r>
      <w:r w:rsidRPr="00AA26C0">
        <w:rPr>
          <w:sz w:val="28"/>
          <w:szCs w:val="28"/>
          <w:lang w:val="uk-UA"/>
        </w:rPr>
        <w:t xml:space="preserve">медикаментозної корекції. </w:t>
      </w:r>
    </w:p>
    <w:p w:rsidR="004B5E3F" w:rsidRDefault="004B5E3F" w:rsidP="004B5E3F">
      <w:pPr>
        <w:spacing w:line="340" w:lineRule="exact"/>
        <w:ind w:firstLine="900"/>
        <w:jc w:val="both"/>
        <w:rPr>
          <w:sz w:val="28"/>
          <w:szCs w:val="28"/>
          <w:lang w:val="uk-UA"/>
        </w:rPr>
      </w:pPr>
      <w:r>
        <w:rPr>
          <w:sz w:val="28"/>
          <w:szCs w:val="28"/>
          <w:lang w:val="uk-UA"/>
        </w:rPr>
        <w:t>1</w:t>
      </w:r>
      <w:r w:rsidRPr="00AA26C0">
        <w:rPr>
          <w:sz w:val="28"/>
          <w:szCs w:val="28"/>
          <w:lang w:val="uk-UA"/>
        </w:rPr>
        <w:t>. Виявлені гендерні особливості формування ГЛШ: у чоловіків ГЛШ починає виявлятися у більш молодому віці (</w:t>
      </w:r>
      <w:r w:rsidRPr="00AA26C0">
        <w:rPr>
          <w:bCs/>
          <w:sz w:val="28"/>
          <w:szCs w:val="28"/>
          <w:lang w:val="uk-UA"/>
        </w:rPr>
        <w:t xml:space="preserve">&lt; </w:t>
      </w:r>
      <w:r w:rsidRPr="00AA26C0">
        <w:rPr>
          <w:sz w:val="28"/>
          <w:szCs w:val="28"/>
          <w:lang w:val="uk-UA"/>
        </w:rPr>
        <w:t>50 років), а у віці старше 50 років реєструється переважно у вигляді ексцентричної (73 %); у жінок ГЛШ виникає у більш старшому віці (&gt;50 років) та прогресує переважно за рахунок більш несприятливого типу, а саме концентричної ГЛШ (34 %), її виявлення зростає на 26 % у жінок віком старше 50 років. Тільки у жінок виявлено прямий достовірний зв'язок між віком та відносною товщиною стінок (ВТС) ЛШ (</w:t>
      </w:r>
      <w:r w:rsidRPr="00AA26C0">
        <w:rPr>
          <w:sz w:val="28"/>
          <w:szCs w:val="28"/>
          <w:lang w:val="en-US"/>
        </w:rPr>
        <w:t>r</w:t>
      </w:r>
      <w:r>
        <w:rPr>
          <w:sz w:val="28"/>
          <w:szCs w:val="28"/>
          <w:lang w:val="uk-UA"/>
        </w:rPr>
        <w:t xml:space="preserve"> = 0,35</w:t>
      </w:r>
      <w:r w:rsidRPr="00AA26C0">
        <w:rPr>
          <w:sz w:val="28"/>
          <w:szCs w:val="28"/>
          <w:lang w:val="uk-UA"/>
        </w:rPr>
        <w:t xml:space="preserve">; </w:t>
      </w:r>
      <w:r w:rsidRPr="00AA26C0">
        <w:rPr>
          <w:sz w:val="28"/>
          <w:szCs w:val="28"/>
          <w:lang w:val="en-US"/>
        </w:rPr>
        <w:t>p</w:t>
      </w:r>
      <w:r w:rsidRPr="00AA26C0">
        <w:rPr>
          <w:sz w:val="28"/>
          <w:szCs w:val="28"/>
          <w:lang w:val="uk-UA"/>
        </w:rPr>
        <w:t xml:space="preserve"> &lt; 0,001) та між ВТС і МЛШ (</w:t>
      </w:r>
      <w:r w:rsidRPr="00AA26C0">
        <w:rPr>
          <w:sz w:val="28"/>
          <w:szCs w:val="28"/>
          <w:lang w:val="en-US"/>
        </w:rPr>
        <w:t>r</w:t>
      </w:r>
      <w:r>
        <w:rPr>
          <w:sz w:val="28"/>
          <w:szCs w:val="28"/>
          <w:lang w:val="uk-UA"/>
        </w:rPr>
        <w:t xml:space="preserve"> = 0,27</w:t>
      </w:r>
      <w:r w:rsidRPr="001000BF">
        <w:rPr>
          <w:sz w:val="28"/>
          <w:szCs w:val="28"/>
          <w:lang w:val="uk-UA"/>
        </w:rPr>
        <w:t xml:space="preserve">; </w:t>
      </w:r>
      <w:r>
        <w:rPr>
          <w:sz w:val="28"/>
          <w:szCs w:val="28"/>
          <w:lang w:val="en-US"/>
        </w:rPr>
        <w:t>p</w:t>
      </w:r>
      <w:r>
        <w:rPr>
          <w:sz w:val="28"/>
          <w:szCs w:val="28"/>
          <w:lang w:val="uk-UA"/>
        </w:rPr>
        <w:t xml:space="preserve"> = </w:t>
      </w:r>
      <w:r w:rsidRPr="001000BF">
        <w:rPr>
          <w:sz w:val="28"/>
          <w:szCs w:val="28"/>
          <w:lang w:val="uk-UA"/>
        </w:rPr>
        <w:t>0,0</w:t>
      </w:r>
      <w:r>
        <w:rPr>
          <w:sz w:val="28"/>
          <w:szCs w:val="28"/>
          <w:lang w:val="uk-UA"/>
        </w:rPr>
        <w:t>04</w:t>
      </w:r>
      <w:r w:rsidRPr="001000BF">
        <w:rPr>
          <w:sz w:val="28"/>
          <w:szCs w:val="28"/>
          <w:lang w:val="uk-UA"/>
        </w:rPr>
        <w:t>)</w:t>
      </w:r>
      <w:r w:rsidRPr="00AA26C0">
        <w:rPr>
          <w:sz w:val="28"/>
          <w:szCs w:val="28"/>
          <w:lang w:val="uk-UA"/>
        </w:rPr>
        <w:t xml:space="preserve">. Діагностика ГЛШ із урахуванням гендерних норм дозволила додатково виявити її у 48 (25%) пацієнтів, що досліджувалися. </w:t>
      </w:r>
    </w:p>
    <w:p w:rsidR="004B5E3F" w:rsidRPr="00341920" w:rsidRDefault="004B5E3F" w:rsidP="004B5E3F">
      <w:pPr>
        <w:tabs>
          <w:tab w:val="left" w:pos="9355"/>
        </w:tabs>
        <w:spacing w:line="340" w:lineRule="exact"/>
        <w:ind w:right="-5" w:firstLine="900"/>
        <w:jc w:val="both"/>
        <w:outlineLvl w:val="1"/>
        <w:rPr>
          <w:sz w:val="28"/>
          <w:szCs w:val="28"/>
          <w:lang w:val="uk-UA"/>
        </w:rPr>
      </w:pPr>
      <w:r>
        <w:rPr>
          <w:sz w:val="28"/>
          <w:szCs w:val="28"/>
          <w:lang w:val="uk-UA"/>
        </w:rPr>
        <w:t>2</w:t>
      </w:r>
      <w:r w:rsidRPr="00AA26C0">
        <w:rPr>
          <w:sz w:val="28"/>
          <w:szCs w:val="28"/>
          <w:lang w:val="uk-UA"/>
        </w:rPr>
        <w:t>. Продемонстровано, що використання індексації МЛШ до росту</w:t>
      </w:r>
      <w:r>
        <w:rPr>
          <w:sz w:val="28"/>
          <w:szCs w:val="28"/>
          <w:lang w:val="uk-UA"/>
        </w:rPr>
        <w:t xml:space="preserve"> у степені 2,7 </w:t>
      </w:r>
      <w:r w:rsidRPr="00AA26C0">
        <w:rPr>
          <w:sz w:val="28"/>
          <w:szCs w:val="28"/>
          <w:vertAlign w:val="superscript"/>
          <w:lang w:val="uk-UA"/>
        </w:rPr>
        <w:t xml:space="preserve"> </w:t>
      </w:r>
      <w:r w:rsidRPr="00AA26C0">
        <w:rPr>
          <w:sz w:val="28"/>
          <w:szCs w:val="28"/>
          <w:lang w:val="uk-UA"/>
        </w:rPr>
        <w:t>у</w:t>
      </w:r>
      <w:r w:rsidRPr="00AA26C0">
        <w:rPr>
          <w:sz w:val="28"/>
          <w:szCs w:val="28"/>
          <w:vertAlign w:val="superscript"/>
          <w:lang w:val="uk-UA"/>
        </w:rPr>
        <w:t xml:space="preserve"> </w:t>
      </w:r>
      <w:r w:rsidRPr="00AA26C0">
        <w:rPr>
          <w:sz w:val="28"/>
          <w:szCs w:val="28"/>
          <w:lang w:val="uk-UA"/>
        </w:rPr>
        <w:t xml:space="preserve">порівнянні із використанням індексації МЛШ до площі поверхні тіла, підвищує виявлення ГЛШ у пацієнтів з ожирінням в середньому на 17,5% для обох статей, проте не змінює процент виявлення ГЛШ у пацієнтів без надлишкової маси тіла (34%). </w:t>
      </w:r>
      <w:r>
        <w:rPr>
          <w:sz w:val="28"/>
          <w:szCs w:val="28"/>
          <w:lang w:val="uk-UA"/>
        </w:rPr>
        <w:t>У пацієнтів із ожирінням виявлення ГЛШ є достовірно частішим, ніж у пацієнтів без ожиріння, у жінок: згідно ІМЛШ</w:t>
      </w:r>
      <w:r>
        <w:rPr>
          <w:sz w:val="28"/>
          <w:szCs w:val="28"/>
          <w:vertAlign w:val="subscript"/>
          <w:lang w:val="uk-UA"/>
        </w:rPr>
        <w:t>1</w:t>
      </w:r>
      <w:r>
        <w:rPr>
          <w:sz w:val="28"/>
          <w:szCs w:val="28"/>
          <w:lang w:val="uk-UA"/>
        </w:rPr>
        <w:t xml:space="preserve"> - на 19 % (</w:t>
      </w:r>
      <w:r w:rsidRPr="00DF5A77">
        <w:rPr>
          <w:sz w:val="28"/>
          <w:szCs w:val="28"/>
          <w:lang w:val="uk-UA"/>
        </w:rPr>
        <w:t>р</w:t>
      </w:r>
      <w:r>
        <w:rPr>
          <w:sz w:val="28"/>
          <w:szCs w:val="28"/>
          <w:lang w:val="uk-UA"/>
        </w:rPr>
        <w:t xml:space="preserve"> &lt; 0,05),</w:t>
      </w:r>
      <w:r w:rsidRPr="00D219A8">
        <w:rPr>
          <w:sz w:val="28"/>
          <w:szCs w:val="28"/>
          <w:lang w:val="uk-UA"/>
        </w:rPr>
        <w:t xml:space="preserve"> </w:t>
      </w:r>
      <w:r>
        <w:rPr>
          <w:sz w:val="28"/>
          <w:szCs w:val="28"/>
          <w:lang w:val="uk-UA"/>
        </w:rPr>
        <w:t>ІМЛШ</w:t>
      </w:r>
      <w:r>
        <w:rPr>
          <w:sz w:val="28"/>
          <w:szCs w:val="28"/>
          <w:vertAlign w:val="subscript"/>
          <w:lang w:val="uk-UA"/>
        </w:rPr>
        <w:t xml:space="preserve">2 </w:t>
      </w:r>
      <w:r>
        <w:rPr>
          <w:sz w:val="28"/>
          <w:szCs w:val="28"/>
          <w:lang w:val="uk-UA"/>
        </w:rPr>
        <w:t>- на 34 % (</w:t>
      </w:r>
      <w:r w:rsidRPr="00DF5A77">
        <w:rPr>
          <w:sz w:val="28"/>
          <w:szCs w:val="28"/>
          <w:lang w:val="uk-UA"/>
        </w:rPr>
        <w:t>р</w:t>
      </w:r>
      <w:r w:rsidRPr="00AF32F9">
        <w:rPr>
          <w:sz w:val="28"/>
          <w:szCs w:val="28"/>
          <w:lang w:val="uk-UA"/>
        </w:rPr>
        <w:t xml:space="preserve"> &lt; </w:t>
      </w:r>
      <w:r>
        <w:rPr>
          <w:sz w:val="28"/>
          <w:szCs w:val="28"/>
          <w:lang w:val="uk-UA"/>
        </w:rPr>
        <w:t>0,0</w:t>
      </w:r>
      <w:r w:rsidRPr="00AF32F9">
        <w:rPr>
          <w:sz w:val="28"/>
          <w:szCs w:val="28"/>
          <w:lang w:val="uk-UA"/>
        </w:rPr>
        <w:t>1</w:t>
      </w:r>
      <w:r>
        <w:rPr>
          <w:sz w:val="28"/>
          <w:szCs w:val="28"/>
          <w:lang w:val="uk-UA"/>
        </w:rPr>
        <w:t>), у чоловіків:</w:t>
      </w:r>
      <w:r w:rsidRPr="00D219A8">
        <w:rPr>
          <w:sz w:val="28"/>
          <w:szCs w:val="28"/>
          <w:lang w:val="uk-UA"/>
        </w:rPr>
        <w:t xml:space="preserve"> </w:t>
      </w:r>
      <w:r>
        <w:rPr>
          <w:sz w:val="28"/>
          <w:szCs w:val="28"/>
          <w:lang w:val="uk-UA"/>
        </w:rPr>
        <w:t>згідно ІМЛШ</w:t>
      </w:r>
      <w:r>
        <w:rPr>
          <w:sz w:val="28"/>
          <w:szCs w:val="28"/>
          <w:vertAlign w:val="subscript"/>
          <w:lang w:val="uk-UA"/>
        </w:rPr>
        <w:t>1</w:t>
      </w:r>
      <w:r>
        <w:rPr>
          <w:sz w:val="28"/>
          <w:szCs w:val="28"/>
          <w:lang w:val="uk-UA"/>
        </w:rPr>
        <w:t xml:space="preserve"> - на 18 % (</w:t>
      </w:r>
      <w:r w:rsidRPr="00DF5A77">
        <w:rPr>
          <w:sz w:val="28"/>
          <w:szCs w:val="28"/>
          <w:lang w:val="uk-UA"/>
        </w:rPr>
        <w:t>р</w:t>
      </w:r>
      <w:r>
        <w:rPr>
          <w:sz w:val="28"/>
          <w:szCs w:val="28"/>
          <w:lang w:val="uk-UA"/>
        </w:rPr>
        <w:t xml:space="preserve"> &lt; 0,05) та згідно ІМЛШ</w:t>
      </w:r>
      <w:r>
        <w:rPr>
          <w:sz w:val="28"/>
          <w:szCs w:val="28"/>
          <w:vertAlign w:val="subscript"/>
          <w:lang w:val="uk-UA"/>
        </w:rPr>
        <w:t>2</w:t>
      </w:r>
      <w:r>
        <w:rPr>
          <w:sz w:val="28"/>
          <w:szCs w:val="28"/>
          <w:lang w:val="uk-UA"/>
        </w:rPr>
        <w:t xml:space="preserve"> - на 30 % (</w:t>
      </w:r>
      <w:r w:rsidRPr="00DF5A77">
        <w:rPr>
          <w:sz w:val="28"/>
          <w:szCs w:val="28"/>
          <w:lang w:val="uk-UA"/>
        </w:rPr>
        <w:t>р</w:t>
      </w:r>
      <w:r w:rsidRPr="00AF32F9">
        <w:rPr>
          <w:sz w:val="28"/>
          <w:szCs w:val="28"/>
          <w:lang w:val="uk-UA"/>
        </w:rPr>
        <w:t xml:space="preserve"> &lt; </w:t>
      </w:r>
      <w:r>
        <w:rPr>
          <w:sz w:val="28"/>
          <w:szCs w:val="28"/>
          <w:lang w:val="uk-UA"/>
        </w:rPr>
        <w:t>0,0</w:t>
      </w:r>
      <w:r w:rsidRPr="00AF32F9">
        <w:rPr>
          <w:sz w:val="28"/>
          <w:szCs w:val="28"/>
          <w:lang w:val="uk-UA"/>
        </w:rPr>
        <w:t>1</w:t>
      </w:r>
      <w:r>
        <w:rPr>
          <w:sz w:val="28"/>
          <w:szCs w:val="28"/>
          <w:lang w:val="uk-UA"/>
        </w:rPr>
        <w:t xml:space="preserve">). </w:t>
      </w:r>
    </w:p>
    <w:p w:rsidR="004B5E3F" w:rsidRDefault="004B5E3F" w:rsidP="004B5E3F">
      <w:pPr>
        <w:spacing w:line="340" w:lineRule="exact"/>
        <w:ind w:firstLine="900"/>
        <w:jc w:val="both"/>
        <w:rPr>
          <w:bCs/>
          <w:sz w:val="28"/>
          <w:szCs w:val="28"/>
          <w:lang w:val="uk-UA"/>
        </w:rPr>
      </w:pPr>
      <w:r w:rsidRPr="00AA26C0">
        <w:rPr>
          <w:bCs/>
          <w:sz w:val="28"/>
          <w:szCs w:val="28"/>
          <w:lang w:val="uk-UA"/>
        </w:rPr>
        <w:t xml:space="preserve">3. Серед контингенту пацієнтів із МС, діагностованим з використанням рекомендацій </w:t>
      </w:r>
      <w:r w:rsidRPr="00AA26C0">
        <w:rPr>
          <w:bCs/>
          <w:sz w:val="28"/>
          <w:szCs w:val="28"/>
          <w:lang w:val="en-US"/>
        </w:rPr>
        <w:t>IDF</w:t>
      </w:r>
      <w:r w:rsidRPr="00AA26C0">
        <w:rPr>
          <w:bCs/>
          <w:sz w:val="28"/>
          <w:szCs w:val="28"/>
          <w:lang w:val="uk-UA"/>
        </w:rPr>
        <w:t xml:space="preserve"> у порівнянні із контингентом пацієнтів із МС за рекомендаціями АТР ІІІ, ГЛШ, визначена як відношення МЛШ до ППТ виявляється на 13 %, а як відношення МЛШ до</w:t>
      </w:r>
      <w:r w:rsidRPr="00AA26C0">
        <w:rPr>
          <w:sz w:val="28"/>
          <w:szCs w:val="28"/>
          <w:lang w:val="uk-UA"/>
        </w:rPr>
        <w:t xml:space="preserve"> росту</w:t>
      </w:r>
      <w:r w:rsidRPr="00AA26C0">
        <w:rPr>
          <w:sz w:val="28"/>
          <w:szCs w:val="28"/>
          <w:vertAlign w:val="superscript"/>
          <w:lang w:val="uk-UA"/>
        </w:rPr>
        <w:t xml:space="preserve">2,7 </w:t>
      </w:r>
      <w:r w:rsidRPr="00AA26C0">
        <w:rPr>
          <w:bCs/>
          <w:sz w:val="28"/>
          <w:szCs w:val="28"/>
          <w:lang w:val="uk-UA"/>
        </w:rPr>
        <w:t xml:space="preserve">– на 17 % частіше. У контингенту пацієнтів із </w:t>
      </w:r>
      <w:r>
        <w:rPr>
          <w:bCs/>
          <w:sz w:val="28"/>
          <w:szCs w:val="28"/>
          <w:lang w:val="uk-UA"/>
        </w:rPr>
        <w:t>абдомінальним ожирінням</w:t>
      </w:r>
      <w:r w:rsidRPr="00AA26C0">
        <w:rPr>
          <w:bCs/>
          <w:sz w:val="28"/>
          <w:szCs w:val="28"/>
          <w:lang w:val="uk-UA"/>
        </w:rPr>
        <w:t xml:space="preserve">, діагностованим лише з використанням рекомендацій </w:t>
      </w:r>
      <w:r w:rsidRPr="00AA26C0">
        <w:rPr>
          <w:bCs/>
          <w:sz w:val="28"/>
          <w:szCs w:val="28"/>
          <w:lang w:val="en-US"/>
        </w:rPr>
        <w:t>IDF</w:t>
      </w:r>
      <w:r w:rsidRPr="00AA26C0">
        <w:rPr>
          <w:bCs/>
          <w:sz w:val="28"/>
          <w:szCs w:val="28"/>
          <w:lang w:val="uk-UA"/>
        </w:rPr>
        <w:t>, виявлені інші фактори ризику ССЗ: порушення вуглеводного обміну (65%), дисліпідемія (58-86%), ГЛШ (60% за ІМЛШ</w:t>
      </w:r>
      <w:r w:rsidRPr="00AA26C0">
        <w:rPr>
          <w:bCs/>
          <w:sz w:val="28"/>
          <w:szCs w:val="28"/>
          <w:vertAlign w:val="subscript"/>
          <w:lang w:val="uk-UA"/>
        </w:rPr>
        <w:t>1</w:t>
      </w:r>
      <w:r w:rsidRPr="00AA26C0">
        <w:rPr>
          <w:bCs/>
          <w:sz w:val="28"/>
          <w:szCs w:val="28"/>
          <w:lang w:val="uk-UA"/>
        </w:rPr>
        <w:t xml:space="preserve"> і 78% за ІМЛШ</w:t>
      </w:r>
      <w:r w:rsidRPr="00AA26C0">
        <w:rPr>
          <w:bCs/>
          <w:sz w:val="28"/>
          <w:szCs w:val="28"/>
          <w:vertAlign w:val="subscript"/>
          <w:lang w:val="uk-UA"/>
        </w:rPr>
        <w:t>2</w:t>
      </w:r>
      <w:r w:rsidRPr="00AA26C0">
        <w:rPr>
          <w:bCs/>
          <w:sz w:val="28"/>
          <w:szCs w:val="28"/>
          <w:lang w:val="uk-UA"/>
        </w:rPr>
        <w:t xml:space="preserve">). Тобто, при використанні рекомендацій </w:t>
      </w:r>
      <w:r w:rsidRPr="00AA26C0">
        <w:rPr>
          <w:bCs/>
          <w:sz w:val="28"/>
          <w:szCs w:val="28"/>
          <w:lang w:val="en-US"/>
        </w:rPr>
        <w:t>IDF</w:t>
      </w:r>
      <w:r w:rsidRPr="00AA26C0">
        <w:rPr>
          <w:bCs/>
          <w:sz w:val="28"/>
          <w:szCs w:val="28"/>
          <w:lang w:val="uk-UA"/>
        </w:rPr>
        <w:t xml:space="preserve"> можна </w:t>
      </w:r>
      <w:r>
        <w:rPr>
          <w:bCs/>
          <w:sz w:val="28"/>
          <w:szCs w:val="28"/>
          <w:lang w:val="uk-UA"/>
        </w:rPr>
        <w:t>оптимізувати виявлення контингенту п</w:t>
      </w:r>
      <w:r w:rsidRPr="00AA26C0">
        <w:rPr>
          <w:bCs/>
          <w:sz w:val="28"/>
          <w:szCs w:val="28"/>
          <w:lang w:val="uk-UA"/>
        </w:rPr>
        <w:t xml:space="preserve">ацієнтів із високим </w:t>
      </w:r>
      <w:r>
        <w:rPr>
          <w:bCs/>
          <w:sz w:val="28"/>
          <w:szCs w:val="28"/>
          <w:lang w:val="uk-UA"/>
        </w:rPr>
        <w:t>серцево-судинним ризиком</w:t>
      </w:r>
      <w:r w:rsidRPr="00AA26C0">
        <w:rPr>
          <w:bCs/>
          <w:sz w:val="28"/>
          <w:szCs w:val="28"/>
          <w:lang w:val="uk-UA"/>
        </w:rPr>
        <w:t>.</w:t>
      </w:r>
    </w:p>
    <w:p w:rsidR="004B5E3F" w:rsidRDefault="004B5E3F" w:rsidP="004B5E3F">
      <w:pPr>
        <w:spacing w:line="340" w:lineRule="exact"/>
        <w:ind w:firstLine="964"/>
        <w:jc w:val="both"/>
        <w:rPr>
          <w:bCs/>
          <w:sz w:val="28"/>
          <w:szCs w:val="28"/>
          <w:lang w:val="uk-UA"/>
        </w:rPr>
      </w:pPr>
      <w:r w:rsidRPr="00AA26C0">
        <w:rPr>
          <w:sz w:val="28"/>
          <w:szCs w:val="28"/>
          <w:lang w:val="uk-UA"/>
        </w:rPr>
        <w:lastRenderedPageBreak/>
        <w:t>4.</w:t>
      </w:r>
      <w:r w:rsidRPr="00AA26C0">
        <w:rPr>
          <w:bCs/>
          <w:sz w:val="28"/>
          <w:szCs w:val="28"/>
          <w:lang w:val="uk-UA"/>
        </w:rPr>
        <w:t xml:space="preserve"> </w:t>
      </w:r>
      <w:r>
        <w:rPr>
          <w:bCs/>
          <w:sz w:val="28"/>
          <w:szCs w:val="28"/>
          <w:lang w:val="uk-UA"/>
        </w:rPr>
        <w:t xml:space="preserve">У жінок із </w:t>
      </w:r>
      <w:r w:rsidRPr="00C62775">
        <w:rPr>
          <w:sz w:val="28"/>
          <w:szCs w:val="28"/>
          <w:lang w:val="uk-UA"/>
        </w:rPr>
        <w:t>порушен</w:t>
      </w:r>
      <w:r>
        <w:rPr>
          <w:sz w:val="28"/>
          <w:szCs w:val="28"/>
          <w:lang w:val="uk-UA"/>
        </w:rPr>
        <w:t>н</w:t>
      </w:r>
      <w:r w:rsidRPr="00C62775">
        <w:rPr>
          <w:sz w:val="28"/>
          <w:szCs w:val="28"/>
          <w:lang w:val="uk-UA"/>
        </w:rPr>
        <w:t>ями вуглеводного обміну</w:t>
      </w:r>
      <w:r>
        <w:rPr>
          <w:sz w:val="28"/>
          <w:szCs w:val="28"/>
          <w:lang w:val="uk-UA"/>
        </w:rPr>
        <w:t xml:space="preserve"> </w:t>
      </w:r>
      <w:r>
        <w:rPr>
          <w:bCs/>
          <w:sz w:val="28"/>
          <w:szCs w:val="28"/>
          <w:lang w:val="uk-UA"/>
        </w:rPr>
        <w:t>МЛШ</w:t>
      </w:r>
      <w:r>
        <w:rPr>
          <w:sz w:val="28"/>
          <w:szCs w:val="28"/>
          <w:lang w:val="uk-UA"/>
        </w:rPr>
        <w:t xml:space="preserve"> в </w:t>
      </w:r>
      <w:r>
        <w:rPr>
          <w:bCs/>
          <w:sz w:val="28"/>
          <w:szCs w:val="28"/>
          <w:lang w:val="uk-UA"/>
        </w:rPr>
        <w:t xml:space="preserve">основному збільшується за рахунок потовщення стінок ЛШ, про що свідчить виявлений прямий достовірний кореляційний зв'язок ВТС із МЛШ, та частіше (36,5 %), ніж у чоловіків (24,5 %) спостерігається концентрична ГЛШ, переважно у віці старше 50 років. Тільки у жінок старше 50 років виявлений прямий достовірний кореляційний зв'язок ВТС із індексом НОМА, що може свідчити про несприятливий вплив інсулінорезистентності у перименопаузальному віці. У чоловіків із </w:t>
      </w:r>
      <w:r w:rsidRPr="00C62775">
        <w:rPr>
          <w:sz w:val="28"/>
          <w:szCs w:val="28"/>
          <w:lang w:val="uk-UA"/>
        </w:rPr>
        <w:t>порушен</w:t>
      </w:r>
      <w:r>
        <w:rPr>
          <w:sz w:val="28"/>
          <w:szCs w:val="28"/>
          <w:lang w:val="uk-UA"/>
        </w:rPr>
        <w:t>н</w:t>
      </w:r>
      <w:r w:rsidRPr="00C62775">
        <w:rPr>
          <w:sz w:val="28"/>
          <w:szCs w:val="28"/>
          <w:lang w:val="uk-UA"/>
        </w:rPr>
        <w:t>ями вуглеводного обміну</w:t>
      </w:r>
      <w:r>
        <w:rPr>
          <w:sz w:val="28"/>
          <w:szCs w:val="28"/>
          <w:lang w:val="uk-UA"/>
        </w:rPr>
        <w:t xml:space="preserve"> </w:t>
      </w:r>
      <w:r>
        <w:rPr>
          <w:bCs/>
          <w:sz w:val="28"/>
          <w:szCs w:val="28"/>
          <w:lang w:val="uk-UA"/>
        </w:rPr>
        <w:t xml:space="preserve">достовірно збільшується КДР, а ВТС збільшується недостовірно, тому частіше (72 %), ніж у жінок (55 %) виявляється ЕГЛШ. </w:t>
      </w:r>
      <w:r>
        <w:rPr>
          <w:sz w:val="28"/>
          <w:szCs w:val="28"/>
          <w:lang w:val="uk-UA"/>
        </w:rPr>
        <w:t xml:space="preserve">У хворих з </w:t>
      </w:r>
      <w:r>
        <w:rPr>
          <w:bCs/>
          <w:sz w:val="28"/>
          <w:szCs w:val="28"/>
          <w:lang w:val="uk-UA"/>
        </w:rPr>
        <w:t>цукровим діабетом не виявляється нормальна геометрія ЛШ та значно більшим є відсоток КГЛШ: 44 % у жінок та 33 % у чоловіків. У всіх пацієнтів</w:t>
      </w:r>
      <w:r w:rsidRPr="00684561">
        <w:rPr>
          <w:bCs/>
          <w:sz w:val="28"/>
          <w:szCs w:val="28"/>
          <w:lang w:val="uk-UA"/>
        </w:rPr>
        <w:t xml:space="preserve"> </w:t>
      </w:r>
      <w:r>
        <w:rPr>
          <w:bCs/>
          <w:sz w:val="28"/>
          <w:szCs w:val="28"/>
          <w:lang w:val="uk-UA"/>
        </w:rPr>
        <w:t xml:space="preserve">з </w:t>
      </w:r>
      <w:r w:rsidRPr="00C62775">
        <w:rPr>
          <w:sz w:val="28"/>
          <w:szCs w:val="28"/>
          <w:lang w:val="uk-UA"/>
        </w:rPr>
        <w:t>порушен</w:t>
      </w:r>
      <w:r>
        <w:rPr>
          <w:sz w:val="28"/>
          <w:szCs w:val="28"/>
          <w:lang w:val="uk-UA"/>
        </w:rPr>
        <w:t>ням</w:t>
      </w:r>
      <w:r w:rsidRPr="00C62775">
        <w:rPr>
          <w:sz w:val="28"/>
          <w:szCs w:val="28"/>
          <w:lang w:val="uk-UA"/>
        </w:rPr>
        <w:t xml:space="preserve"> вуглеводного обміну</w:t>
      </w:r>
      <w:r>
        <w:rPr>
          <w:bCs/>
          <w:sz w:val="28"/>
          <w:szCs w:val="28"/>
          <w:lang w:val="uk-UA"/>
        </w:rPr>
        <w:t xml:space="preserve"> МЛШ достовірно більша </w:t>
      </w:r>
      <w:r>
        <w:rPr>
          <w:sz w:val="28"/>
          <w:szCs w:val="28"/>
          <w:lang w:val="uk-UA"/>
        </w:rPr>
        <w:t>(</w:t>
      </w:r>
      <w:r>
        <w:rPr>
          <w:sz w:val="28"/>
          <w:szCs w:val="28"/>
          <w:lang w:val="en-US"/>
        </w:rPr>
        <w:t>p</w:t>
      </w:r>
      <w:r>
        <w:rPr>
          <w:sz w:val="28"/>
          <w:szCs w:val="28"/>
          <w:lang w:val="uk-UA"/>
        </w:rPr>
        <w:t>&lt;</w:t>
      </w:r>
      <w:r w:rsidRPr="007B3B6A">
        <w:rPr>
          <w:sz w:val="28"/>
          <w:szCs w:val="28"/>
          <w:lang w:val="uk-UA"/>
        </w:rPr>
        <w:t>0,001</w:t>
      </w:r>
      <w:r>
        <w:rPr>
          <w:sz w:val="28"/>
          <w:szCs w:val="28"/>
          <w:lang w:val="uk-UA"/>
        </w:rPr>
        <w:t>)</w:t>
      </w:r>
      <w:r>
        <w:rPr>
          <w:bCs/>
          <w:sz w:val="28"/>
          <w:szCs w:val="28"/>
          <w:lang w:val="uk-UA"/>
        </w:rPr>
        <w:t xml:space="preserve">, ніж у пацієнтів без </w:t>
      </w:r>
      <w:r w:rsidRPr="00C62775">
        <w:rPr>
          <w:sz w:val="28"/>
          <w:szCs w:val="28"/>
          <w:lang w:val="uk-UA"/>
        </w:rPr>
        <w:t>порушен</w:t>
      </w:r>
      <w:r>
        <w:rPr>
          <w:sz w:val="28"/>
          <w:szCs w:val="28"/>
          <w:lang w:val="uk-UA"/>
        </w:rPr>
        <w:t xml:space="preserve">ня </w:t>
      </w:r>
      <w:r w:rsidRPr="00C62775">
        <w:rPr>
          <w:sz w:val="28"/>
          <w:szCs w:val="28"/>
          <w:lang w:val="uk-UA"/>
        </w:rPr>
        <w:t>вуглеводного обміну</w:t>
      </w:r>
      <w:r>
        <w:rPr>
          <w:bCs/>
          <w:sz w:val="28"/>
          <w:szCs w:val="28"/>
          <w:lang w:val="uk-UA"/>
        </w:rPr>
        <w:t xml:space="preserve">. </w:t>
      </w:r>
    </w:p>
    <w:p w:rsidR="004B5E3F" w:rsidRPr="00AA26C0" w:rsidRDefault="004B5E3F" w:rsidP="004B5E3F">
      <w:pPr>
        <w:spacing w:line="340" w:lineRule="exact"/>
        <w:ind w:firstLine="964"/>
        <w:jc w:val="both"/>
        <w:rPr>
          <w:sz w:val="28"/>
          <w:szCs w:val="28"/>
          <w:lang w:val="uk-UA"/>
        </w:rPr>
      </w:pPr>
      <w:r>
        <w:rPr>
          <w:sz w:val="28"/>
          <w:szCs w:val="28"/>
          <w:lang w:val="uk-UA"/>
        </w:rPr>
        <w:t>5</w:t>
      </w:r>
      <w:r w:rsidRPr="00AA26C0">
        <w:rPr>
          <w:sz w:val="28"/>
          <w:szCs w:val="28"/>
          <w:lang w:val="uk-UA"/>
        </w:rPr>
        <w:t xml:space="preserve">. У пацієнтів із ГХ ІІ ст. МЛШ та її індекси більші при наявності МС, ніж у пацієнтів без його проявів та зростають у відповідності до збільшення кількості компонентів МС, особливо при маніфестації ЦД. Виявлена </w:t>
      </w:r>
      <w:r w:rsidRPr="00AA26C0">
        <w:rPr>
          <w:bCs/>
          <w:sz w:val="28"/>
          <w:szCs w:val="28"/>
          <w:lang w:val="uk-UA"/>
        </w:rPr>
        <w:t xml:space="preserve">пряма достовірна кореляція МЛШ із кількістю факторів ризику ССЗ: у жінок </w:t>
      </w:r>
      <w:r w:rsidRPr="00AA26C0">
        <w:rPr>
          <w:sz w:val="28"/>
          <w:szCs w:val="28"/>
          <w:lang w:val="uk-UA"/>
        </w:rPr>
        <w:t>(</w:t>
      </w:r>
      <w:r w:rsidRPr="00AA26C0">
        <w:rPr>
          <w:sz w:val="28"/>
          <w:szCs w:val="28"/>
          <w:lang w:val="en-US"/>
        </w:rPr>
        <w:t>r</w:t>
      </w:r>
      <w:r w:rsidRPr="00AA26C0">
        <w:rPr>
          <w:sz w:val="28"/>
          <w:szCs w:val="28"/>
          <w:lang w:val="uk-UA"/>
        </w:rPr>
        <w:t xml:space="preserve"> = 0,46; </w:t>
      </w:r>
      <w:r w:rsidRPr="00AA26C0">
        <w:rPr>
          <w:sz w:val="28"/>
          <w:szCs w:val="28"/>
          <w:lang w:val="en-US"/>
        </w:rPr>
        <w:t>p</w:t>
      </w:r>
      <w:r w:rsidRPr="00AA26C0">
        <w:rPr>
          <w:sz w:val="28"/>
          <w:szCs w:val="28"/>
          <w:lang w:val="uk-UA"/>
        </w:rPr>
        <w:t xml:space="preserve"> &lt; 0,001) та </w:t>
      </w:r>
      <w:r w:rsidRPr="00AA26C0">
        <w:rPr>
          <w:bCs/>
          <w:sz w:val="28"/>
          <w:szCs w:val="28"/>
          <w:lang w:val="uk-UA"/>
        </w:rPr>
        <w:t xml:space="preserve">у </w:t>
      </w:r>
      <w:r w:rsidRPr="00AA26C0">
        <w:rPr>
          <w:sz w:val="28"/>
          <w:szCs w:val="28"/>
          <w:lang w:val="uk-UA"/>
        </w:rPr>
        <w:t>чоловіків (</w:t>
      </w:r>
      <w:r w:rsidRPr="00AA26C0">
        <w:rPr>
          <w:sz w:val="28"/>
          <w:szCs w:val="28"/>
          <w:lang w:val="en-US"/>
        </w:rPr>
        <w:t>r</w:t>
      </w:r>
      <w:r w:rsidRPr="00AA26C0">
        <w:rPr>
          <w:sz w:val="28"/>
          <w:szCs w:val="28"/>
          <w:lang w:val="uk-UA"/>
        </w:rPr>
        <w:t xml:space="preserve"> = 0,35; </w:t>
      </w:r>
      <w:r w:rsidRPr="00AA26C0">
        <w:rPr>
          <w:sz w:val="28"/>
          <w:szCs w:val="28"/>
          <w:lang w:val="en-US"/>
        </w:rPr>
        <w:t>p</w:t>
      </w:r>
      <w:r w:rsidRPr="00AA26C0">
        <w:rPr>
          <w:sz w:val="28"/>
          <w:szCs w:val="28"/>
          <w:lang w:val="uk-UA"/>
        </w:rPr>
        <w:t xml:space="preserve"> &lt; 0,001).</w:t>
      </w:r>
    </w:p>
    <w:p w:rsidR="004B5E3F" w:rsidRDefault="004B5E3F" w:rsidP="004B5E3F">
      <w:pPr>
        <w:spacing w:line="340" w:lineRule="exact"/>
        <w:ind w:right="-5" w:firstLine="900"/>
        <w:jc w:val="both"/>
        <w:outlineLvl w:val="1"/>
        <w:rPr>
          <w:sz w:val="28"/>
          <w:szCs w:val="28"/>
          <w:lang w:val="uk-UA"/>
        </w:rPr>
      </w:pPr>
      <w:r>
        <w:rPr>
          <w:sz w:val="28"/>
          <w:szCs w:val="28"/>
          <w:lang w:val="uk-UA"/>
        </w:rPr>
        <w:t>6</w:t>
      </w:r>
      <w:r w:rsidRPr="00AA26C0">
        <w:rPr>
          <w:sz w:val="28"/>
          <w:szCs w:val="28"/>
          <w:lang w:val="uk-UA"/>
        </w:rPr>
        <w:t>. Доцільність індексації МЛШ до росту в степен</w:t>
      </w:r>
      <w:r>
        <w:rPr>
          <w:sz w:val="28"/>
          <w:szCs w:val="28"/>
          <w:lang w:val="uk-UA"/>
        </w:rPr>
        <w:t>і алометричного відношення</w:t>
      </w:r>
      <w:r w:rsidRPr="00AA26C0">
        <w:rPr>
          <w:sz w:val="28"/>
          <w:szCs w:val="28"/>
          <w:lang w:val="uk-UA"/>
        </w:rPr>
        <w:t xml:space="preserve"> для встановлення діагнозу ГЛШ підтверджується тим фактом, що таким чином оптимізується виявлення контингенту хворих з прогностично небезпечним множинним комплексом </w:t>
      </w:r>
      <w:r>
        <w:rPr>
          <w:sz w:val="28"/>
          <w:szCs w:val="28"/>
          <w:lang w:val="uk-UA"/>
        </w:rPr>
        <w:t>факторів ризику</w:t>
      </w:r>
      <w:r w:rsidRPr="00AA26C0">
        <w:rPr>
          <w:sz w:val="28"/>
          <w:szCs w:val="28"/>
          <w:lang w:val="uk-UA"/>
        </w:rPr>
        <w:t xml:space="preserve"> ССЗ, кількість яких достовірно відрізняється (р &lt; 0,01) від їх кількості у хворих без ГЛШ та не відрізняється від їх переліку у хворих із ГЛШ, визначеної за стандартною метод</w:t>
      </w:r>
      <w:r>
        <w:rPr>
          <w:sz w:val="28"/>
          <w:szCs w:val="28"/>
          <w:lang w:val="uk-UA"/>
        </w:rPr>
        <w:t>икою відношення МЛШ до ППТ</w:t>
      </w:r>
      <w:r w:rsidRPr="00AA26C0">
        <w:rPr>
          <w:sz w:val="28"/>
          <w:szCs w:val="28"/>
          <w:lang w:val="uk-UA"/>
        </w:rPr>
        <w:t>.</w:t>
      </w:r>
    </w:p>
    <w:p w:rsidR="004B5E3F" w:rsidRPr="00F551FB" w:rsidRDefault="004B5E3F" w:rsidP="004B5E3F">
      <w:pPr>
        <w:ind w:firstLine="900"/>
        <w:jc w:val="both"/>
        <w:rPr>
          <w:sz w:val="28"/>
          <w:szCs w:val="28"/>
          <w:lang w:val="uk-UA"/>
        </w:rPr>
      </w:pPr>
      <w:r>
        <w:rPr>
          <w:sz w:val="28"/>
          <w:szCs w:val="28"/>
          <w:lang w:val="uk-UA"/>
        </w:rPr>
        <w:t>7</w:t>
      </w:r>
      <w:r w:rsidRPr="000067CD">
        <w:rPr>
          <w:sz w:val="28"/>
          <w:szCs w:val="28"/>
          <w:lang w:val="uk-UA"/>
        </w:rPr>
        <w:t xml:space="preserve">. Використання </w:t>
      </w:r>
      <w:r w:rsidRPr="00F551FB">
        <w:rPr>
          <w:sz w:val="28"/>
          <w:szCs w:val="28"/>
          <w:lang w:val="uk-UA"/>
        </w:rPr>
        <w:t>комб</w:t>
      </w:r>
      <w:r w:rsidRPr="000067CD">
        <w:rPr>
          <w:sz w:val="28"/>
          <w:szCs w:val="28"/>
          <w:lang w:val="uk-UA"/>
        </w:rPr>
        <w:t>і</w:t>
      </w:r>
      <w:r w:rsidRPr="00F551FB">
        <w:rPr>
          <w:sz w:val="28"/>
          <w:szCs w:val="28"/>
          <w:lang w:val="uk-UA"/>
        </w:rPr>
        <w:t>нац</w:t>
      </w:r>
      <w:r w:rsidRPr="000067CD">
        <w:rPr>
          <w:sz w:val="28"/>
          <w:szCs w:val="28"/>
          <w:lang w:val="uk-UA"/>
        </w:rPr>
        <w:t>ії</w:t>
      </w:r>
      <w:r w:rsidRPr="00F551FB">
        <w:rPr>
          <w:sz w:val="28"/>
          <w:szCs w:val="28"/>
          <w:lang w:val="uk-UA"/>
        </w:rPr>
        <w:t xml:space="preserve"> препарат</w:t>
      </w:r>
      <w:r w:rsidRPr="000067CD">
        <w:rPr>
          <w:sz w:val="28"/>
          <w:szCs w:val="28"/>
          <w:lang w:val="uk-UA"/>
        </w:rPr>
        <w:t>і</w:t>
      </w:r>
      <w:r w:rsidRPr="00F551FB">
        <w:rPr>
          <w:sz w:val="28"/>
          <w:szCs w:val="28"/>
          <w:lang w:val="uk-UA"/>
        </w:rPr>
        <w:t>в кв</w:t>
      </w:r>
      <w:r w:rsidRPr="000067CD">
        <w:rPr>
          <w:sz w:val="28"/>
          <w:szCs w:val="28"/>
          <w:lang w:val="uk-UA"/>
        </w:rPr>
        <w:t>і</w:t>
      </w:r>
      <w:r w:rsidRPr="00F551FB">
        <w:rPr>
          <w:sz w:val="28"/>
          <w:szCs w:val="28"/>
          <w:lang w:val="uk-UA"/>
        </w:rPr>
        <w:t>наприл</w:t>
      </w:r>
      <w:r>
        <w:rPr>
          <w:sz w:val="28"/>
          <w:szCs w:val="28"/>
          <w:lang w:val="uk-UA"/>
        </w:rPr>
        <w:t>у</w:t>
      </w:r>
      <w:r w:rsidRPr="00F551FB">
        <w:rPr>
          <w:sz w:val="28"/>
          <w:szCs w:val="28"/>
          <w:lang w:val="uk-UA"/>
        </w:rPr>
        <w:t xml:space="preserve"> </w:t>
      </w:r>
      <w:r w:rsidRPr="000067CD">
        <w:rPr>
          <w:sz w:val="28"/>
          <w:szCs w:val="28"/>
          <w:lang w:val="uk-UA"/>
        </w:rPr>
        <w:t>та</w:t>
      </w:r>
      <w:r w:rsidRPr="00F551FB">
        <w:rPr>
          <w:sz w:val="28"/>
          <w:szCs w:val="28"/>
          <w:lang w:val="uk-UA"/>
        </w:rPr>
        <w:t xml:space="preserve"> г</w:t>
      </w:r>
      <w:r w:rsidRPr="000067CD">
        <w:rPr>
          <w:sz w:val="28"/>
          <w:szCs w:val="28"/>
          <w:lang w:val="uk-UA"/>
        </w:rPr>
        <w:t>і</w:t>
      </w:r>
      <w:r w:rsidRPr="00F551FB">
        <w:rPr>
          <w:sz w:val="28"/>
          <w:szCs w:val="28"/>
          <w:lang w:val="uk-UA"/>
        </w:rPr>
        <w:t>дрохлорт</w:t>
      </w:r>
      <w:r w:rsidRPr="000067CD">
        <w:rPr>
          <w:sz w:val="28"/>
          <w:szCs w:val="28"/>
          <w:lang w:val="uk-UA"/>
        </w:rPr>
        <w:t>і</w:t>
      </w:r>
      <w:r w:rsidRPr="00F551FB">
        <w:rPr>
          <w:sz w:val="28"/>
          <w:szCs w:val="28"/>
          <w:lang w:val="uk-UA"/>
        </w:rPr>
        <w:t>азид</w:t>
      </w:r>
      <w:r>
        <w:rPr>
          <w:sz w:val="28"/>
          <w:szCs w:val="28"/>
          <w:lang w:val="uk-UA"/>
        </w:rPr>
        <w:t>у</w:t>
      </w:r>
      <w:r w:rsidRPr="00F551FB">
        <w:rPr>
          <w:sz w:val="28"/>
          <w:szCs w:val="28"/>
          <w:lang w:val="uk-UA"/>
        </w:rPr>
        <w:t xml:space="preserve"> на протя</w:t>
      </w:r>
      <w:r w:rsidRPr="000067CD">
        <w:rPr>
          <w:sz w:val="28"/>
          <w:szCs w:val="28"/>
          <w:lang w:val="uk-UA"/>
        </w:rPr>
        <w:t>зі</w:t>
      </w:r>
      <w:r w:rsidRPr="00F551FB">
        <w:rPr>
          <w:sz w:val="28"/>
          <w:szCs w:val="28"/>
          <w:lang w:val="uk-UA"/>
        </w:rPr>
        <w:t xml:space="preserve"> 6-м</w:t>
      </w:r>
      <w:r w:rsidRPr="000067CD">
        <w:rPr>
          <w:sz w:val="28"/>
          <w:szCs w:val="28"/>
          <w:lang w:val="uk-UA"/>
        </w:rPr>
        <w:t>і</w:t>
      </w:r>
      <w:r>
        <w:rPr>
          <w:sz w:val="28"/>
          <w:szCs w:val="28"/>
          <w:lang w:val="uk-UA"/>
        </w:rPr>
        <w:t>с</w:t>
      </w:r>
      <w:r w:rsidRPr="00F551FB">
        <w:rPr>
          <w:sz w:val="28"/>
          <w:szCs w:val="28"/>
          <w:lang w:val="uk-UA"/>
        </w:rPr>
        <w:t>яц</w:t>
      </w:r>
      <w:r w:rsidRPr="000067CD">
        <w:rPr>
          <w:sz w:val="28"/>
          <w:szCs w:val="28"/>
          <w:lang w:val="uk-UA"/>
        </w:rPr>
        <w:t>і</w:t>
      </w:r>
      <w:r w:rsidRPr="00F551FB">
        <w:rPr>
          <w:sz w:val="28"/>
          <w:szCs w:val="28"/>
          <w:lang w:val="uk-UA"/>
        </w:rPr>
        <w:t xml:space="preserve">в </w:t>
      </w:r>
      <w:r w:rsidRPr="000067CD">
        <w:rPr>
          <w:sz w:val="28"/>
          <w:szCs w:val="28"/>
          <w:lang w:val="uk-UA"/>
        </w:rPr>
        <w:t>д</w:t>
      </w:r>
      <w:r w:rsidRPr="00F551FB">
        <w:rPr>
          <w:sz w:val="28"/>
          <w:szCs w:val="28"/>
          <w:lang w:val="uk-UA"/>
        </w:rPr>
        <w:t>озволя</w:t>
      </w:r>
      <w:r w:rsidRPr="000067CD">
        <w:rPr>
          <w:sz w:val="28"/>
          <w:szCs w:val="28"/>
          <w:lang w:val="uk-UA"/>
        </w:rPr>
        <w:t>є</w:t>
      </w:r>
      <w:r w:rsidRPr="00F551FB">
        <w:rPr>
          <w:sz w:val="28"/>
          <w:szCs w:val="28"/>
          <w:lang w:val="uk-UA"/>
        </w:rPr>
        <w:t xml:space="preserve"> добит</w:t>
      </w:r>
      <w:r w:rsidRPr="000067CD">
        <w:rPr>
          <w:sz w:val="28"/>
          <w:szCs w:val="28"/>
          <w:lang w:val="uk-UA"/>
        </w:rPr>
        <w:t>и</w:t>
      </w:r>
      <w:r w:rsidRPr="00F551FB">
        <w:rPr>
          <w:sz w:val="28"/>
          <w:szCs w:val="28"/>
          <w:lang w:val="uk-UA"/>
        </w:rPr>
        <w:t>ся не т</w:t>
      </w:r>
      <w:r w:rsidRPr="000067CD">
        <w:rPr>
          <w:sz w:val="28"/>
          <w:szCs w:val="28"/>
          <w:lang w:val="uk-UA"/>
        </w:rPr>
        <w:t>і</w:t>
      </w:r>
      <w:r w:rsidRPr="00F551FB">
        <w:rPr>
          <w:sz w:val="28"/>
          <w:szCs w:val="28"/>
          <w:lang w:val="uk-UA"/>
        </w:rPr>
        <w:t>льк</w:t>
      </w:r>
      <w:r w:rsidRPr="000067CD">
        <w:rPr>
          <w:sz w:val="28"/>
          <w:szCs w:val="28"/>
          <w:lang w:val="uk-UA"/>
        </w:rPr>
        <w:t>и</w:t>
      </w:r>
      <w:r w:rsidRPr="00F551FB">
        <w:rPr>
          <w:sz w:val="28"/>
          <w:szCs w:val="28"/>
          <w:lang w:val="uk-UA"/>
        </w:rPr>
        <w:t xml:space="preserve"> </w:t>
      </w:r>
      <w:r>
        <w:rPr>
          <w:sz w:val="28"/>
          <w:szCs w:val="28"/>
          <w:lang w:val="uk-UA"/>
        </w:rPr>
        <w:t>е</w:t>
      </w:r>
      <w:r w:rsidRPr="00F551FB">
        <w:rPr>
          <w:sz w:val="28"/>
          <w:szCs w:val="28"/>
          <w:lang w:val="uk-UA"/>
        </w:rPr>
        <w:t xml:space="preserve">фективного </w:t>
      </w:r>
      <w:r w:rsidRPr="000067CD">
        <w:rPr>
          <w:sz w:val="28"/>
          <w:szCs w:val="28"/>
          <w:lang w:val="uk-UA"/>
        </w:rPr>
        <w:t>з</w:t>
      </w:r>
      <w:r w:rsidRPr="00F551FB">
        <w:rPr>
          <w:sz w:val="28"/>
          <w:szCs w:val="28"/>
          <w:lang w:val="uk-UA"/>
        </w:rPr>
        <w:t>нижен</w:t>
      </w:r>
      <w:r w:rsidRPr="000067CD">
        <w:rPr>
          <w:sz w:val="28"/>
          <w:szCs w:val="28"/>
          <w:lang w:val="uk-UA"/>
        </w:rPr>
        <w:t>н</w:t>
      </w:r>
      <w:r w:rsidRPr="00F551FB">
        <w:rPr>
          <w:sz w:val="28"/>
          <w:szCs w:val="28"/>
          <w:lang w:val="uk-UA"/>
        </w:rPr>
        <w:t>я А</w:t>
      </w:r>
      <w:r w:rsidRPr="000067CD">
        <w:rPr>
          <w:sz w:val="28"/>
          <w:szCs w:val="28"/>
          <w:lang w:val="uk-UA"/>
        </w:rPr>
        <w:t>Т</w:t>
      </w:r>
      <w:r w:rsidRPr="00F551FB">
        <w:rPr>
          <w:sz w:val="28"/>
          <w:szCs w:val="28"/>
          <w:lang w:val="uk-UA"/>
        </w:rPr>
        <w:t xml:space="preserve"> у пац</w:t>
      </w:r>
      <w:r w:rsidRPr="000067CD">
        <w:rPr>
          <w:sz w:val="28"/>
          <w:szCs w:val="28"/>
          <w:lang w:val="uk-UA"/>
        </w:rPr>
        <w:t>іє</w:t>
      </w:r>
      <w:r w:rsidRPr="00F551FB">
        <w:rPr>
          <w:sz w:val="28"/>
          <w:szCs w:val="28"/>
          <w:lang w:val="uk-UA"/>
        </w:rPr>
        <w:t>нт</w:t>
      </w:r>
      <w:r w:rsidRPr="000067CD">
        <w:rPr>
          <w:sz w:val="28"/>
          <w:szCs w:val="28"/>
          <w:lang w:val="uk-UA"/>
        </w:rPr>
        <w:t>і</w:t>
      </w:r>
      <w:r w:rsidRPr="00F551FB">
        <w:rPr>
          <w:sz w:val="28"/>
          <w:szCs w:val="28"/>
          <w:lang w:val="uk-UA"/>
        </w:rPr>
        <w:t xml:space="preserve">в </w:t>
      </w:r>
      <w:r w:rsidRPr="000067CD">
        <w:rPr>
          <w:sz w:val="28"/>
          <w:szCs w:val="28"/>
          <w:lang w:val="uk-UA"/>
        </w:rPr>
        <w:t>з</w:t>
      </w:r>
      <w:r w:rsidRPr="00F551FB">
        <w:rPr>
          <w:sz w:val="28"/>
          <w:szCs w:val="28"/>
          <w:lang w:val="uk-UA"/>
        </w:rPr>
        <w:t xml:space="preserve"> МС, </w:t>
      </w:r>
      <w:r w:rsidRPr="000067CD">
        <w:rPr>
          <w:sz w:val="28"/>
          <w:szCs w:val="28"/>
          <w:lang w:val="uk-UA"/>
        </w:rPr>
        <w:t>але</w:t>
      </w:r>
      <w:r w:rsidRPr="00F551FB">
        <w:rPr>
          <w:sz w:val="28"/>
          <w:szCs w:val="28"/>
          <w:lang w:val="uk-UA"/>
        </w:rPr>
        <w:t xml:space="preserve"> </w:t>
      </w:r>
      <w:r w:rsidRPr="000067CD">
        <w:rPr>
          <w:sz w:val="28"/>
          <w:szCs w:val="28"/>
          <w:lang w:val="uk-UA"/>
        </w:rPr>
        <w:t>і</w:t>
      </w:r>
      <w:r w:rsidRPr="00F551FB">
        <w:rPr>
          <w:sz w:val="28"/>
          <w:szCs w:val="28"/>
          <w:lang w:val="uk-UA"/>
        </w:rPr>
        <w:t xml:space="preserve"> в</w:t>
      </w:r>
      <w:r w:rsidRPr="000067CD">
        <w:rPr>
          <w:sz w:val="28"/>
          <w:szCs w:val="28"/>
          <w:lang w:val="uk-UA"/>
        </w:rPr>
        <w:t>иклика</w:t>
      </w:r>
      <w:r w:rsidRPr="00F551FB">
        <w:rPr>
          <w:sz w:val="28"/>
          <w:szCs w:val="28"/>
          <w:lang w:val="uk-UA"/>
        </w:rPr>
        <w:t>т</w:t>
      </w:r>
      <w:r w:rsidRPr="000067CD">
        <w:rPr>
          <w:sz w:val="28"/>
          <w:szCs w:val="28"/>
          <w:lang w:val="uk-UA"/>
        </w:rPr>
        <w:t>и</w:t>
      </w:r>
      <w:r w:rsidRPr="00F551FB">
        <w:rPr>
          <w:sz w:val="28"/>
          <w:szCs w:val="28"/>
          <w:lang w:val="uk-UA"/>
        </w:rPr>
        <w:t xml:space="preserve"> регрес ГЛ</w:t>
      </w:r>
      <w:r w:rsidRPr="000067CD">
        <w:rPr>
          <w:sz w:val="28"/>
          <w:szCs w:val="28"/>
          <w:lang w:val="uk-UA"/>
        </w:rPr>
        <w:t>Ш, при цьому не погіршуючи показників вуглеводного та ліпідного обмінів.</w:t>
      </w:r>
    </w:p>
    <w:p w:rsidR="004B5E3F" w:rsidRPr="00AA26C0" w:rsidRDefault="004B5E3F" w:rsidP="004B5E3F">
      <w:pPr>
        <w:spacing w:line="340" w:lineRule="exact"/>
        <w:jc w:val="center"/>
        <w:rPr>
          <w:b/>
          <w:sz w:val="28"/>
          <w:szCs w:val="28"/>
          <w:lang w:val="uk-UA"/>
        </w:rPr>
      </w:pPr>
      <w:r w:rsidRPr="00AA26C0">
        <w:rPr>
          <w:b/>
          <w:sz w:val="28"/>
          <w:szCs w:val="28"/>
          <w:lang w:val="uk-UA"/>
        </w:rPr>
        <w:t>ПРАКТИЧНІ РЕКОМЕНДАЦІЇ</w:t>
      </w:r>
    </w:p>
    <w:p w:rsidR="004B5E3F" w:rsidRPr="00AA26C0" w:rsidRDefault="004B5E3F" w:rsidP="002E1FE1">
      <w:pPr>
        <w:numPr>
          <w:ilvl w:val="0"/>
          <w:numId w:val="68"/>
        </w:numPr>
        <w:suppressAutoHyphens w:val="0"/>
        <w:spacing w:line="340" w:lineRule="exact"/>
        <w:jc w:val="both"/>
        <w:rPr>
          <w:sz w:val="28"/>
          <w:szCs w:val="28"/>
          <w:lang w:val="uk-UA"/>
        </w:rPr>
      </w:pPr>
      <w:r w:rsidRPr="00AA26C0">
        <w:rPr>
          <w:sz w:val="28"/>
          <w:szCs w:val="28"/>
          <w:lang w:val="uk-UA"/>
        </w:rPr>
        <w:t>Хворим із артеріальною гіпертензією та метаболічним синдромом діагностику ГЛШ слід проводити з використанн</w:t>
      </w:r>
      <w:r>
        <w:rPr>
          <w:sz w:val="28"/>
          <w:szCs w:val="28"/>
          <w:lang w:val="uk-UA"/>
        </w:rPr>
        <w:t>ям індексації МЛШ до росту у сте</w:t>
      </w:r>
      <w:r w:rsidRPr="00AA26C0">
        <w:rPr>
          <w:sz w:val="28"/>
          <w:szCs w:val="28"/>
          <w:lang w:val="uk-UA"/>
        </w:rPr>
        <w:t>пені 2,7 з метою більш достовірного виявлення ГЛШ</w:t>
      </w:r>
      <w:r>
        <w:rPr>
          <w:sz w:val="28"/>
          <w:szCs w:val="28"/>
          <w:lang w:val="uk-UA"/>
        </w:rPr>
        <w:t xml:space="preserve"> та врахування її як фактору ризику</w:t>
      </w:r>
      <w:r w:rsidRPr="00AA26C0">
        <w:rPr>
          <w:sz w:val="28"/>
          <w:szCs w:val="28"/>
          <w:lang w:val="uk-UA"/>
        </w:rPr>
        <w:t>.</w:t>
      </w:r>
    </w:p>
    <w:p w:rsidR="004B5E3F" w:rsidRPr="00AA26C0" w:rsidRDefault="004B5E3F" w:rsidP="002E1FE1">
      <w:pPr>
        <w:numPr>
          <w:ilvl w:val="0"/>
          <w:numId w:val="68"/>
        </w:numPr>
        <w:suppressAutoHyphens w:val="0"/>
        <w:spacing w:line="340" w:lineRule="exact"/>
        <w:jc w:val="both"/>
        <w:rPr>
          <w:sz w:val="28"/>
          <w:szCs w:val="28"/>
          <w:lang w:val="uk-UA"/>
        </w:rPr>
      </w:pPr>
      <w:r w:rsidRPr="00AA26C0">
        <w:rPr>
          <w:sz w:val="28"/>
          <w:szCs w:val="28"/>
          <w:lang w:val="uk-UA"/>
        </w:rPr>
        <w:t>Оцінку величини МЛШ бажано проводити лише з урахуванням гендерних норм при різних методах індексації МЛШ.</w:t>
      </w:r>
    </w:p>
    <w:p w:rsidR="004B5E3F" w:rsidRPr="00AA26C0" w:rsidRDefault="004B5E3F" w:rsidP="002E1FE1">
      <w:pPr>
        <w:numPr>
          <w:ilvl w:val="0"/>
          <w:numId w:val="68"/>
        </w:numPr>
        <w:suppressAutoHyphens w:val="0"/>
        <w:spacing w:line="340" w:lineRule="exact"/>
        <w:jc w:val="both"/>
        <w:rPr>
          <w:sz w:val="28"/>
          <w:szCs w:val="28"/>
          <w:lang w:val="uk-UA"/>
        </w:rPr>
      </w:pPr>
      <w:r w:rsidRPr="00AA26C0">
        <w:rPr>
          <w:sz w:val="28"/>
          <w:szCs w:val="28"/>
          <w:lang w:val="uk-UA"/>
        </w:rPr>
        <w:t>З метою лікування артеріальної гіпертензії та зменшення МЛШ пацієнтам слід назначати комбінацію препаратів квінаприл та гідрохлортіазид.</w:t>
      </w:r>
    </w:p>
    <w:p w:rsidR="004B5E3F" w:rsidRDefault="004B5E3F" w:rsidP="004B5E3F">
      <w:pPr>
        <w:spacing w:line="340" w:lineRule="exact"/>
        <w:ind w:left="360"/>
        <w:jc w:val="both"/>
        <w:rPr>
          <w:sz w:val="28"/>
          <w:szCs w:val="28"/>
          <w:lang w:val="uk-UA"/>
        </w:rPr>
      </w:pPr>
    </w:p>
    <w:p w:rsidR="004B5E3F" w:rsidRPr="00AA26C0" w:rsidRDefault="004B5E3F" w:rsidP="004B5E3F">
      <w:pPr>
        <w:spacing w:line="340" w:lineRule="exact"/>
        <w:jc w:val="center"/>
        <w:rPr>
          <w:b/>
          <w:sz w:val="28"/>
          <w:szCs w:val="28"/>
          <w:lang w:val="uk-UA"/>
        </w:rPr>
      </w:pPr>
      <w:r>
        <w:rPr>
          <w:b/>
          <w:sz w:val="28"/>
          <w:szCs w:val="28"/>
          <w:lang w:val="uk-UA"/>
        </w:rPr>
        <w:t>С</w:t>
      </w:r>
      <w:r w:rsidRPr="00AA26C0">
        <w:rPr>
          <w:b/>
          <w:sz w:val="28"/>
          <w:szCs w:val="28"/>
          <w:lang w:val="uk-UA"/>
        </w:rPr>
        <w:t>ПИСОК ПРАЦЬ, ОПУБЛІКОВАНИХ ЗА ТЕМОЮ ДИСЕРТАЦІЇ</w:t>
      </w:r>
    </w:p>
    <w:p w:rsidR="004B5E3F" w:rsidRDefault="004B5E3F" w:rsidP="004B5E3F">
      <w:pPr>
        <w:spacing w:line="340" w:lineRule="exact"/>
        <w:ind w:left="360" w:hanging="360"/>
        <w:jc w:val="both"/>
        <w:rPr>
          <w:sz w:val="28"/>
          <w:szCs w:val="28"/>
          <w:lang w:val="uk-UA"/>
        </w:rPr>
      </w:pPr>
      <w:r>
        <w:rPr>
          <w:sz w:val="28"/>
          <w:szCs w:val="28"/>
          <w:lang w:val="uk-UA"/>
        </w:rPr>
        <w:t xml:space="preserve">1.  </w:t>
      </w:r>
      <w:r w:rsidRPr="00AA26C0">
        <w:rPr>
          <w:sz w:val="28"/>
          <w:szCs w:val="28"/>
          <w:lang w:val="uk-UA"/>
        </w:rPr>
        <w:t>Романов В.Ю</w:t>
      </w:r>
      <w:r>
        <w:rPr>
          <w:sz w:val="28"/>
          <w:szCs w:val="28"/>
          <w:lang w:val="uk-UA"/>
        </w:rPr>
        <w:t xml:space="preserve">. </w:t>
      </w:r>
      <w:r w:rsidRPr="00AA26C0">
        <w:rPr>
          <w:sz w:val="28"/>
          <w:szCs w:val="28"/>
          <w:lang w:val="uk-UA"/>
        </w:rPr>
        <w:t>Особенности формирования гипертрофии левого желудочка у бол</w:t>
      </w:r>
      <w:r>
        <w:rPr>
          <w:sz w:val="28"/>
          <w:szCs w:val="28"/>
          <w:lang w:val="uk-UA"/>
        </w:rPr>
        <w:t>ьных с метаболическим синдромом</w:t>
      </w:r>
      <w:r w:rsidRPr="006D73F0">
        <w:rPr>
          <w:sz w:val="28"/>
          <w:szCs w:val="28"/>
        </w:rPr>
        <w:t xml:space="preserve"> </w:t>
      </w:r>
      <w:r>
        <w:rPr>
          <w:sz w:val="28"/>
          <w:szCs w:val="28"/>
          <w:lang w:val="uk-UA"/>
        </w:rPr>
        <w:t>/</w:t>
      </w:r>
      <w:r w:rsidRPr="00AA26C0">
        <w:rPr>
          <w:sz w:val="28"/>
          <w:szCs w:val="28"/>
          <w:lang w:val="uk-UA"/>
        </w:rPr>
        <w:t xml:space="preserve"> Романов В.Ю., Митченко Е.И.</w:t>
      </w:r>
      <w:r>
        <w:rPr>
          <w:sz w:val="28"/>
          <w:szCs w:val="28"/>
          <w:lang w:val="uk-UA"/>
        </w:rPr>
        <w:t xml:space="preserve">, Каспрук Г.Б., Беляева Т.В. // </w:t>
      </w:r>
      <w:r w:rsidRPr="00AA26C0">
        <w:rPr>
          <w:sz w:val="28"/>
          <w:szCs w:val="28"/>
          <w:lang w:val="uk-UA"/>
        </w:rPr>
        <w:t>Первинна та вторинна профілактика церебро-</w:t>
      </w:r>
      <w:r w:rsidRPr="00AA26C0">
        <w:rPr>
          <w:sz w:val="28"/>
          <w:szCs w:val="28"/>
          <w:lang w:val="uk-UA"/>
        </w:rPr>
        <w:lastRenderedPageBreak/>
        <w:t>васкулярних усклад</w:t>
      </w:r>
      <w:r>
        <w:rPr>
          <w:sz w:val="28"/>
          <w:szCs w:val="28"/>
          <w:lang w:val="uk-UA"/>
        </w:rPr>
        <w:t>нень артеріальної гіпертензії: Українськ</w:t>
      </w:r>
      <w:r w:rsidRPr="00326910">
        <w:rPr>
          <w:sz w:val="28"/>
          <w:szCs w:val="28"/>
        </w:rPr>
        <w:t>а</w:t>
      </w:r>
      <w:r>
        <w:rPr>
          <w:sz w:val="28"/>
          <w:szCs w:val="28"/>
          <w:lang w:val="uk-UA"/>
        </w:rPr>
        <w:t xml:space="preserve"> науково-практична конференція - Київ, 2006</w:t>
      </w:r>
      <w:r w:rsidRPr="00AA26C0">
        <w:rPr>
          <w:sz w:val="28"/>
          <w:szCs w:val="28"/>
          <w:lang w:val="uk-UA"/>
        </w:rPr>
        <w:t>.</w:t>
      </w:r>
      <w:r w:rsidRPr="00326910">
        <w:rPr>
          <w:sz w:val="28"/>
          <w:szCs w:val="28"/>
          <w:lang w:val="uk-UA"/>
        </w:rPr>
        <w:t xml:space="preserve"> </w:t>
      </w:r>
      <w:r>
        <w:rPr>
          <w:sz w:val="28"/>
          <w:szCs w:val="28"/>
          <w:lang w:val="uk-UA"/>
        </w:rPr>
        <w:t xml:space="preserve">- </w:t>
      </w:r>
      <w:r w:rsidRPr="00AA26C0">
        <w:rPr>
          <w:sz w:val="28"/>
          <w:szCs w:val="28"/>
          <w:lang w:val="uk-UA"/>
        </w:rPr>
        <w:t>С. 117.</w:t>
      </w:r>
      <w:r w:rsidRPr="001B4465">
        <w:rPr>
          <w:sz w:val="28"/>
          <w:szCs w:val="28"/>
          <w:lang w:val="uk-UA"/>
        </w:rPr>
        <w:t xml:space="preserve"> </w:t>
      </w:r>
      <w:r>
        <w:rPr>
          <w:sz w:val="28"/>
          <w:szCs w:val="28"/>
          <w:lang w:val="uk-UA"/>
        </w:rPr>
        <w:t>(Автор приймала участь в обстеженні хворих, особисто проаналізувала та підготувала матеріал до друку, докладала на конференції).</w:t>
      </w:r>
    </w:p>
    <w:p w:rsidR="004B5E3F" w:rsidRDefault="004B5E3F" w:rsidP="004B5E3F">
      <w:pPr>
        <w:spacing w:line="340" w:lineRule="exact"/>
        <w:ind w:left="360" w:hanging="360"/>
        <w:jc w:val="both"/>
        <w:rPr>
          <w:sz w:val="28"/>
          <w:szCs w:val="28"/>
          <w:lang w:val="uk-UA"/>
        </w:rPr>
      </w:pPr>
      <w:r>
        <w:rPr>
          <w:sz w:val="28"/>
          <w:szCs w:val="28"/>
          <w:lang w:val="uk-UA"/>
        </w:rPr>
        <w:t>2.</w:t>
      </w:r>
      <w:r w:rsidRPr="006D73F0">
        <w:rPr>
          <w:sz w:val="28"/>
          <w:szCs w:val="28"/>
          <w:lang w:val="uk-UA"/>
        </w:rPr>
        <w:t xml:space="preserve"> </w:t>
      </w:r>
      <w:r w:rsidRPr="00AA26C0">
        <w:rPr>
          <w:sz w:val="28"/>
          <w:szCs w:val="28"/>
          <w:lang w:val="uk-UA"/>
        </w:rPr>
        <w:t>Мітченко О.І</w:t>
      </w:r>
      <w:r>
        <w:rPr>
          <w:sz w:val="28"/>
          <w:szCs w:val="28"/>
          <w:lang w:val="uk-UA"/>
        </w:rPr>
        <w:t>.</w:t>
      </w:r>
      <w:r w:rsidRPr="006D73F0">
        <w:rPr>
          <w:sz w:val="28"/>
          <w:szCs w:val="28"/>
          <w:lang w:val="uk-UA"/>
        </w:rPr>
        <w:t xml:space="preserve"> </w:t>
      </w:r>
      <w:r w:rsidRPr="00AA26C0">
        <w:rPr>
          <w:sz w:val="28"/>
          <w:szCs w:val="28"/>
          <w:lang w:val="uk-UA"/>
        </w:rPr>
        <w:t>Особливості формування гіпертрофії міокарда лівого шлуночка у пацієнтів з гіпертонічною хворобою та метаболічним синдро</w:t>
      </w:r>
      <w:r>
        <w:rPr>
          <w:sz w:val="28"/>
          <w:szCs w:val="28"/>
          <w:lang w:val="uk-UA"/>
        </w:rPr>
        <w:t>мом</w:t>
      </w:r>
      <w:r w:rsidRPr="006D73F0">
        <w:rPr>
          <w:sz w:val="28"/>
          <w:szCs w:val="28"/>
          <w:lang w:val="uk-UA"/>
        </w:rPr>
        <w:t xml:space="preserve"> </w:t>
      </w:r>
      <w:r>
        <w:rPr>
          <w:sz w:val="28"/>
          <w:szCs w:val="28"/>
          <w:lang w:val="uk-UA"/>
        </w:rPr>
        <w:t>/</w:t>
      </w:r>
      <w:r w:rsidRPr="00AA26C0">
        <w:rPr>
          <w:sz w:val="28"/>
          <w:szCs w:val="28"/>
          <w:lang w:val="uk-UA"/>
        </w:rPr>
        <w:t xml:space="preserve"> Мітченко О.І.</w:t>
      </w:r>
      <w:r w:rsidRPr="006D73F0">
        <w:rPr>
          <w:sz w:val="28"/>
          <w:szCs w:val="28"/>
          <w:lang w:val="uk-UA"/>
        </w:rPr>
        <w:t xml:space="preserve"> </w:t>
      </w:r>
      <w:r w:rsidRPr="00AA26C0">
        <w:rPr>
          <w:sz w:val="28"/>
          <w:szCs w:val="28"/>
          <w:lang w:val="uk-UA"/>
        </w:rPr>
        <w:t xml:space="preserve">, Романов В.Ю., Каспрук Г.Б., Беляєва Т.В., Логвиненко А.О. </w:t>
      </w:r>
      <w:r>
        <w:rPr>
          <w:sz w:val="28"/>
          <w:szCs w:val="28"/>
          <w:lang w:val="uk-UA"/>
        </w:rPr>
        <w:t>//</w:t>
      </w:r>
      <w:r w:rsidRPr="006D73F0">
        <w:rPr>
          <w:sz w:val="28"/>
          <w:szCs w:val="28"/>
          <w:lang w:val="uk-UA"/>
        </w:rPr>
        <w:t xml:space="preserve"> </w:t>
      </w:r>
      <w:r w:rsidRPr="00AA26C0">
        <w:rPr>
          <w:sz w:val="28"/>
          <w:szCs w:val="28"/>
          <w:lang w:val="uk-UA"/>
        </w:rPr>
        <w:t>Кардіологія вчора, сьогодні, завтра</w:t>
      </w:r>
      <w:r>
        <w:rPr>
          <w:sz w:val="28"/>
          <w:szCs w:val="28"/>
          <w:lang w:val="uk-UA"/>
        </w:rPr>
        <w:t xml:space="preserve">: Міжнародний </w:t>
      </w:r>
      <w:r w:rsidRPr="00AA26C0">
        <w:rPr>
          <w:sz w:val="28"/>
          <w:szCs w:val="28"/>
          <w:lang w:val="uk-UA"/>
        </w:rPr>
        <w:t xml:space="preserve">форум </w:t>
      </w:r>
      <w:r>
        <w:rPr>
          <w:sz w:val="28"/>
          <w:szCs w:val="28"/>
          <w:lang w:val="uk-UA"/>
        </w:rPr>
        <w:t>Київ, 2006.</w:t>
      </w:r>
      <w:r w:rsidRPr="00D93405">
        <w:rPr>
          <w:sz w:val="28"/>
          <w:szCs w:val="28"/>
          <w:lang w:val="uk-UA"/>
        </w:rPr>
        <w:t xml:space="preserve"> </w:t>
      </w:r>
      <w:r>
        <w:rPr>
          <w:sz w:val="28"/>
          <w:szCs w:val="28"/>
          <w:lang w:val="uk-UA"/>
        </w:rPr>
        <w:t>Укр. кардіол.</w:t>
      </w:r>
      <w:r w:rsidRPr="00AA26C0">
        <w:rPr>
          <w:sz w:val="28"/>
          <w:szCs w:val="28"/>
          <w:lang w:val="uk-UA"/>
        </w:rPr>
        <w:t xml:space="preserve"> журнал. – 2006. – Спеціальний випуск.  - С. 131-135.</w:t>
      </w:r>
      <w:r w:rsidRPr="001B4465">
        <w:rPr>
          <w:sz w:val="28"/>
          <w:szCs w:val="28"/>
          <w:lang w:val="uk-UA"/>
        </w:rPr>
        <w:t xml:space="preserve"> </w:t>
      </w:r>
      <w:r>
        <w:rPr>
          <w:sz w:val="28"/>
          <w:szCs w:val="28"/>
          <w:lang w:val="uk-UA"/>
        </w:rPr>
        <w:t>(Автор проводила обстеження хворих, статистичний аналіз отриманих даних, оформила результати у вигляді статті).</w:t>
      </w:r>
    </w:p>
    <w:p w:rsidR="004B5E3F" w:rsidRPr="00AA26C0" w:rsidRDefault="004B5E3F" w:rsidP="004B5E3F">
      <w:pPr>
        <w:spacing w:line="340" w:lineRule="exact"/>
        <w:ind w:left="360" w:hanging="360"/>
        <w:jc w:val="both"/>
        <w:rPr>
          <w:sz w:val="28"/>
          <w:szCs w:val="28"/>
          <w:lang w:val="uk-UA"/>
        </w:rPr>
      </w:pPr>
      <w:r>
        <w:rPr>
          <w:sz w:val="28"/>
          <w:szCs w:val="28"/>
          <w:lang w:val="uk-UA"/>
        </w:rPr>
        <w:t xml:space="preserve">3. </w:t>
      </w:r>
      <w:r w:rsidRPr="00AA26C0">
        <w:rPr>
          <w:sz w:val="28"/>
          <w:szCs w:val="28"/>
          <w:lang w:val="uk-UA"/>
        </w:rPr>
        <w:t>Митченко Е.И.</w:t>
      </w:r>
      <w:r w:rsidRPr="006D73F0">
        <w:rPr>
          <w:sz w:val="28"/>
          <w:szCs w:val="28"/>
        </w:rPr>
        <w:t xml:space="preserve"> </w:t>
      </w:r>
      <w:r w:rsidRPr="00AA26C0">
        <w:rPr>
          <w:sz w:val="28"/>
          <w:szCs w:val="28"/>
          <w:lang w:val="uk-UA"/>
        </w:rPr>
        <w:t>Метаболический синдром у мужчин и женщин: в чем различие</w:t>
      </w:r>
      <w:r w:rsidRPr="00AA26C0">
        <w:rPr>
          <w:sz w:val="28"/>
          <w:szCs w:val="28"/>
        </w:rPr>
        <w:t>?</w:t>
      </w:r>
      <w:r w:rsidRPr="00AA26C0">
        <w:rPr>
          <w:sz w:val="28"/>
          <w:szCs w:val="28"/>
          <w:lang w:val="uk-UA"/>
        </w:rPr>
        <w:t xml:space="preserve"> </w:t>
      </w:r>
      <w:r>
        <w:rPr>
          <w:sz w:val="28"/>
          <w:szCs w:val="28"/>
          <w:lang w:val="uk-UA"/>
        </w:rPr>
        <w:t>/</w:t>
      </w:r>
      <w:r w:rsidRPr="006D73F0">
        <w:rPr>
          <w:sz w:val="28"/>
          <w:szCs w:val="28"/>
          <w:lang w:val="uk-UA"/>
        </w:rPr>
        <w:t xml:space="preserve"> </w:t>
      </w:r>
      <w:r w:rsidRPr="00AA26C0">
        <w:rPr>
          <w:sz w:val="28"/>
          <w:szCs w:val="28"/>
          <w:lang w:val="uk-UA"/>
        </w:rPr>
        <w:t>Митченко Е.И.</w:t>
      </w:r>
      <w:r w:rsidRPr="006D73F0">
        <w:rPr>
          <w:sz w:val="28"/>
          <w:szCs w:val="28"/>
        </w:rPr>
        <w:t xml:space="preserve"> </w:t>
      </w:r>
      <w:r w:rsidRPr="00AA26C0">
        <w:rPr>
          <w:sz w:val="28"/>
          <w:szCs w:val="28"/>
          <w:lang w:val="uk-UA"/>
        </w:rPr>
        <w:t>, Романов В.Ю., Беляева Т.В., Чулаевская И.В., Илюшина А.Я., Логвиненко А.А., Кулик О.Ю., Каспрук Г.Б.</w:t>
      </w:r>
      <w:r w:rsidRPr="006D73F0">
        <w:rPr>
          <w:sz w:val="28"/>
          <w:szCs w:val="28"/>
          <w:lang w:val="uk-UA"/>
        </w:rPr>
        <w:t xml:space="preserve"> </w:t>
      </w:r>
      <w:r>
        <w:rPr>
          <w:sz w:val="28"/>
          <w:szCs w:val="28"/>
          <w:lang w:val="uk-UA"/>
        </w:rPr>
        <w:t>//</w:t>
      </w:r>
      <w:r w:rsidRPr="00AA26C0">
        <w:rPr>
          <w:sz w:val="28"/>
          <w:szCs w:val="28"/>
          <w:lang w:val="uk-UA"/>
        </w:rPr>
        <w:t xml:space="preserve"> </w:t>
      </w:r>
      <w:r>
        <w:rPr>
          <w:sz w:val="28"/>
          <w:szCs w:val="28"/>
          <w:lang w:val="uk-UA"/>
        </w:rPr>
        <w:t>Пленум:</w:t>
      </w:r>
      <w:r w:rsidRPr="00AA26C0">
        <w:rPr>
          <w:sz w:val="28"/>
          <w:szCs w:val="28"/>
          <w:lang w:val="uk-UA"/>
        </w:rPr>
        <w:t xml:space="preserve"> Первинна та вторинна профілактика серцево-судинних та мозкових порушень. Можливості інтервенційних втручань</w:t>
      </w:r>
      <w:r>
        <w:rPr>
          <w:sz w:val="28"/>
          <w:szCs w:val="28"/>
          <w:lang w:val="uk-UA"/>
        </w:rPr>
        <w:t xml:space="preserve"> - Київ, </w:t>
      </w:r>
      <w:r w:rsidRPr="00AA26C0">
        <w:rPr>
          <w:sz w:val="28"/>
          <w:szCs w:val="28"/>
          <w:lang w:val="uk-UA"/>
        </w:rPr>
        <w:t>200</w:t>
      </w:r>
      <w:r>
        <w:rPr>
          <w:sz w:val="28"/>
          <w:szCs w:val="28"/>
          <w:lang w:val="uk-UA"/>
        </w:rPr>
        <w:t>6.</w:t>
      </w:r>
      <w:r w:rsidRPr="00AA26C0">
        <w:rPr>
          <w:sz w:val="28"/>
          <w:szCs w:val="28"/>
          <w:lang w:val="uk-UA"/>
        </w:rPr>
        <w:t xml:space="preserve"> </w:t>
      </w:r>
      <w:r w:rsidRPr="008A73DD">
        <w:rPr>
          <w:sz w:val="28"/>
          <w:szCs w:val="28"/>
        </w:rPr>
        <w:t>-</w:t>
      </w:r>
      <w:r>
        <w:rPr>
          <w:sz w:val="28"/>
          <w:szCs w:val="28"/>
          <w:lang w:val="uk-UA"/>
        </w:rPr>
        <w:t xml:space="preserve"> </w:t>
      </w:r>
      <w:r w:rsidRPr="00AA26C0">
        <w:rPr>
          <w:sz w:val="28"/>
          <w:szCs w:val="28"/>
          <w:lang w:val="uk-UA"/>
        </w:rPr>
        <w:t>С 16.</w:t>
      </w:r>
      <w:r w:rsidRPr="00C971E9">
        <w:rPr>
          <w:sz w:val="28"/>
          <w:szCs w:val="28"/>
          <w:lang w:val="uk-UA"/>
        </w:rPr>
        <w:t xml:space="preserve"> </w:t>
      </w:r>
      <w:r>
        <w:rPr>
          <w:sz w:val="28"/>
          <w:szCs w:val="28"/>
          <w:lang w:val="uk-UA"/>
        </w:rPr>
        <w:t>(Приймала участь в обстеженні хворих, проводила статистичний аналіз отриманих даних).</w:t>
      </w:r>
    </w:p>
    <w:p w:rsidR="004B5E3F" w:rsidRDefault="004B5E3F" w:rsidP="004B5E3F">
      <w:pPr>
        <w:spacing w:line="340" w:lineRule="exact"/>
        <w:ind w:left="360" w:hanging="360"/>
        <w:jc w:val="both"/>
        <w:rPr>
          <w:sz w:val="28"/>
          <w:szCs w:val="28"/>
          <w:lang w:val="uk-UA"/>
        </w:rPr>
      </w:pPr>
      <w:r>
        <w:rPr>
          <w:sz w:val="28"/>
          <w:szCs w:val="28"/>
          <w:lang w:val="uk-UA"/>
        </w:rPr>
        <w:t>4. Митченко Е.И.</w:t>
      </w:r>
      <w:r w:rsidRPr="00EE0C50">
        <w:rPr>
          <w:sz w:val="28"/>
          <w:szCs w:val="28"/>
        </w:rPr>
        <w:t xml:space="preserve"> </w:t>
      </w:r>
      <w:r w:rsidRPr="00AA26C0">
        <w:rPr>
          <w:sz w:val="28"/>
          <w:szCs w:val="28"/>
        </w:rPr>
        <w:t xml:space="preserve">Выявление </w:t>
      </w:r>
      <w:r w:rsidRPr="00AA26C0">
        <w:rPr>
          <w:sz w:val="28"/>
          <w:szCs w:val="28"/>
          <w:lang w:val="uk-UA"/>
        </w:rPr>
        <w:t xml:space="preserve">гипертрофии миокарда левого желудочка у пациентов с гипертонической болезнью и  метаболическим синдромом, определенном по рекомендациям </w:t>
      </w:r>
      <w:r w:rsidRPr="00AA26C0">
        <w:rPr>
          <w:sz w:val="28"/>
          <w:szCs w:val="28"/>
          <w:lang w:val="en-US"/>
        </w:rPr>
        <w:t>NCEP</w:t>
      </w:r>
      <w:r w:rsidRPr="00AA26C0">
        <w:rPr>
          <w:sz w:val="28"/>
          <w:szCs w:val="28"/>
        </w:rPr>
        <w:t xml:space="preserve"> </w:t>
      </w:r>
      <w:r w:rsidRPr="00AA26C0">
        <w:rPr>
          <w:sz w:val="28"/>
          <w:szCs w:val="28"/>
          <w:lang w:val="en-US"/>
        </w:rPr>
        <w:t>ATPIII</w:t>
      </w:r>
      <w:r w:rsidRPr="00AA26C0">
        <w:rPr>
          <w:sz w:val="28"/>
          <w:szCs w:val="28"/>
        </w:rPr>
        <w:t xml:space="preserve"> (2001) </w:t>
      </w:r>
      <w:r w:rsidRPr="00AA26C0">
        <w:rPr>
          <w:sz w:val="28"/>
          <w:szCs w:val="28"/>
          <w:lang w:val="uk-UA"/>
        </w:rPr>
        <w:t>и</w:t>
      </w:r>
      <w:r w:rsidRPr="00AA26C0">
        <w:rPr>
          <w:sz w:val="28"/>
          <w:szCs w:val="28"/>
        </w:rPr>
        <w:t xml:space="preserve"> </w:t>
      </w:r>
      <w:r w:rsidRPr="00AA26C0">
        <w:rPr>
          <w:sz w:val="28"/>
          <w:szCs w:val="28"/>
          <w:lang w:val="en-US"/>
        </w:rPr>
        <w:t>IDF</w:t>
      </w:r>
      <w:r w:rsidRPr="00AA26C0">
        <w:rPr>
          <w:sz w:val="28"/>
          <w:szCs w:val="28"/>
          <w:lang w:val="uk-UA"/>
        </w:rPr>
        <w:t xml:space="preserve"> </w:t>
      </w:r>
      <w:r>
        <w:rPr>
          <w:sz w:val="28"/>
          <w:szCs w:val="28"/>
        </w:rPr>
        <w:t>(2005)</w:t>
      </w:r>
      <w:r w:rsidRPr="006D73F0">
        <w:rPr>
          <w:sz w:val="28"/>
          <w:szCs w:val="28"/>
          <w:lang w:val="uk-UA"/>
        </w:rPr>
        <w:t xml:space="preserve"> </w:t>
      </w:r>
      <w:r>
        <w:rPr>
          <w:sz w:val="28"/>
          <w:szCs w:val="28"/>
          <w:lang w:val="uk-UA"/>
        </w:rPr>
        <w:t>/</w:t>
      </w:r>
      <w:r w:rsidRPr="00EE0C50">
        <w:rPr>
          <w:sz w:val="28"/>
          <w:szCs w:val="28"/>
        </w:rPr>
        <w:t xml:space="preserve"> </w:t>
      </w:r>
      <w:r w:rsidRPr="00AA26C0">
        <w:rPr>
          <w:sz w:val="28"/>
          <w:szCs w:val="28"/>
          <w:lang w:val="uk-UA"/>
        </w:rPr>
        <w:t xml:space="preserve">Митченко Е.И., Беляева Т.В., Каспрук Г.Б. </w:t>
      </w:r>
      <w:r>
        <w:rPr>
          <w:sz w:val="28"/>
          <w:szCs w:val="28"/>
          <w:lang w:val="uk-UA"/>
        </w:rPr>
        <w:t>//</w:t>
      </w:r>
      <w:r w:rsidRPr="00AA26C0">
        <w:rPr>
          <w:sz w:val="28"/>
          <w:szCs w:val="28"/>
          <w:lang w:val="uk-UA"/>
        </w:rPr>
        <w:t xml:space="preserve"> Метаболічни</w:t>
      </w:r>
      <w:r>
        <w:rPr>
          <w:sz w:val="28"/>
          <w:szCs w:val="28"/>
          <w:lang w:val="uk-UA"/>
        </w:rPr>
        <w:t>й синдром в практиці кардіолога: Науково-практична</w:t>
      </w:r>
      <w:r w:rsidRPr="00AA26C0">
        <w:rPr>
          <w:sz w:val="28"/>
          <w:szCs w:val="28"/>
          <w:lang w:val="uk-UA"/>
        </w:rPr>
        <w:t xml:space="preserve"> ко</w:t>
      </w:r>
      <w:r>
        <w:rPr>
          <w:sz w:val="28"/>
          <w:szCs w:val="28"/>
          <w:lang w:val="uk-UA"/>
        </w:rPr>
        <w:t>нференція з міжнародною участю, Харків, листопада 2006.</w:t>
      </w:r>
      <w:r w:rsidRPr="00AA26C0">
        <w:rPr>
          <w:sz w:val="28"/>
          <w:szCs w:val="28"/>
          <w:lang w:val="uk-UA"/>
        </w:rPr>
        <w:t xml:space="preserve"> </w:t>
      </w:r>
      <w:r>
        <w:rPr>
          <w:sz w:val="28"/>
          <w:szCs w:val="28"/>
          <w:lang w:val="uk-UA"/>
        </w:rPr>
        <w:t xml:space="preserve">Х. 2006. - </w:t>
      </w:r>
      <w:r w:rsidRPr="00AA26C0">
        <w:rPr>
          <w:sz w:val="28"/>
          <w:szCs w:val="28"/>
          <w:lang w:val="uk-UA"/>
        </w:rPr>
        <w:t>С. 28.</w:t>
      </w:r>
      <w:r w:rsidRPr="00626A49">
        <w:rPr>
          <w:sz w:val="28"/>
          <w:szCs w:val="28"/>
          <w:lang w:val="uk-UA"/>
        </w:rPr>
        <w:t xml:space="preserve"> </w:t>
      </w:r>
      <w:r>
        <w:rPr>
          <w:sz w:val="28"/>
          <w:szCs w:val="28"/>
          <w:lang w:val="uk-UA"/>
        </w:rPr>
        <w:t>(Здобувачем здійснено  обстеження пацієнтів, статистична обробка і аналіз отриманих даних,</w:t>
      </w:r>
      <w:r w:rsidRPr="008C7F4E">
        <w:rPr>
          <w:sz w:val="28"/>
          <w:szCs w:val="28"/>
          <w:lang w:val="uk-UA"/>
        </w:rPr>
        <w:t xml:space="preserve"> </w:t>
      </w:r>
      <w:r>
        <w:rPr>
          <w:sz w:val="28"/>
          <w:szCs w:val="28"/>
          <w:lang w:val="uk-UA"/>
        </w:rPr>
        <w:t>підготовка тезисів до друку, докладала на конференції).</w:t>
      </w:r>
    </w:p>
    <w:p w:rsidR="004B5E3F" w:rsidRPr="00FE2B8A" w:rsidRDefault="004B5E3F" w:rsidP="004B5E3F">
      <w:pPr>
        <w:spacing w:line="340" w:lineRule="exact"/>
        <w:ind w:left="360" w:hanging="360"/>
        <w:jc w:val="both"/>
        <w:rPr>
          <w:bCs/>
          <w:sz w:val="28"/>
          <w:szCs w:val="28"/>
          <w:lang w:val="uk-UA"/>
        </w:rPr>
      </w:pPr>
      <w:r>
        <w:rPr>
          <w:sz w:val="28"/>
          <w:szCs w:val="28"/>
          <w:lang w:val="uk-UA"/>
        </w:rPr>
        <w:t>5.</w:t>
      </w:r>
      <w:r w:rsidRPr="00EE0C50">
        <w:rPr>
          <w:sz w:val="28"/>
          <w:szCs w:val="28"/>
          <w:lang w:val="uk-UA"/>
        </w:rPr>
        <w:t xml:space="preserve"> </w:t>
      </w:r>
      <w:r>
        <w:rPr>
          <w:sz w:val="28"/>
          <w:szCs w:val="28"/>
          <w:lang w:val="uk-UA"/>
        </w:rPr>
        <w:t>Митченко Е.И.</w:t>
      </w:r>
      <w:r w:rsidRPr="00AA26C0">
        <w:rPr>
          <w:sz w:val="28"/>
          <w:szCs w:val="28"/>
          <w:lang w:val="uk-UA"/>
        </w:rPr>
        <w:t xml:space="preserve">  Гипертрофия миокарда левого желудочка у пациентов с метаболическим синдромом и ее р</w:t>
      </w:r>
      <w:r>
        <w:rPr>
          <w:sz w:val="28"/>
          <w:szCs w:val="28"/>
          <w:lang w:val="uk-UA"/>
        </w:rPr>
        <w:t>егресс под действием квинаприла</w:t>
      </w:r>
      <w:r w:rsidRPr="006D73F0">
        <w:rPr>
          <w:sz w:val="28"/>
          <w:szCs w:val="28"/>
          <w:lang w:val="uk-UA"/>
        </w:rPr>
        <w:t xml:space="preserve"> </w:t>
      </w:r>
      <w:r>
        <w:rPr>
          <w:sz w:val="28"/>
          <w:szCs w:val="28"/>
          <w:lang w:val="uk-UA"/>
        </w:rPr>
        <w:t>/</w:t>
      </w:r>
      <w:r w:rsidRPr="00AA26C0">
        <w:rPr>
          <w:sz w:val="28"/>
          <w:szCs w:val="28"/>
          <w:lang w:val="uk-UA"/>
        </w:rPr>
        <w:t xml:space="preserve"> Митченко Е.И., Романов В.Ю., Каспрук Г.Б., Беляева Т.В</w:t>
      </w:r>
      <w:r>
        <w:rPr>
          <w:sz w:val="28"/>
          <w:szCs w:val="28"/>
          <w:lang w:val="uk-UA"/>
        </w:rPr>
        <w:t>.</w:t>
      </w:r>
      <w:r w:rsidRPr="00AA26C0">
        <w:rPr>
          <w:sz w:val="28"/>
          <w:szCs w:val="28"/>
        </w:rPr>
        <w:t xml:space="preserve"> </w:t>
      </w:r>
      <w:r w:rsidRPr="00326910">
        <w:rPr>
          <w:sz w:val="28"/>
          <w:szCs w:val="28"/>
        </w:rPr>
        <w:t>//</w:t>
      </w:r>
      <w:r>
        <w:rPr>
          <w:sz w:val="28"/>
          <w:szCs w:val="28"/>
          <w:lang w:val="uk-UA"/>
        </w:rPr>
        <w:t xml:space="preserve"> Укр. кардіол.</w:t>
      </w:r>
      <w:r w:rsidRPr="00AA26C0">
        <w:rPr>
          <w:sz w:val="28"/>
          <w:szCs w:val="28"/>
          <w:lang w:val="uk-UA"/>
        </w:rPr>
        <w:t xml:space="preserve"> журнал.</w:t>
      </w:r>
      <w:r>
        <w:rPr>
          <w:sz w:val="28"/>
          <w:szCs w:val="28"/>
          <w:lang w:val="uk-UA"/>
        </w:rPr>
        <w:t xml:space="preserve"> - </w:t>
      </w:r>
      <w:r w:rsidRPr="00AA26C0">
        <w:rPr>
          <w:sz w:val="28"/>
          <w:szCs w:val="28"/>
        </w:rPr>
        <w:t>200</w:t>
      </w:r>
      <w:r w:rsidRPr="00AA26C0">
        <w:rPr>
          <w:sz w:val="28"/>
          <w:szCs w:val="28"/>
          <w:lang w:val="uk-UA"/>
        </w:rPr>
        <w:t>7</w:t>
      </w:r>
      <w:r w:rsidRPr="00AA26C0">
        <w:rPr>
          <w:sz w:val="28"/>
          <w:szCs w:val="28"/>
        </w:rPr>
        <w:t xml:space="preserve">. – № </w:t>
      </w:r>
      <w:r w:rsidRPr="00AA26C0">
        <w:rPr>
          <w:sz w:val="28"/>
          <w:szCs w:val="28"/>
          <w:lang w:val="uk-UA"/>
        </w:rPr>
        <w:t>3</w:t>
      </w:r>
      <w:r w:rsidRPr="00AA26C0">
        <w:rPr>
          <w:sz w:val="28"/>
          <w:szCs w:val="28"/>
        </w:rPr>
        <w:t xml:space="preserve">. - С. </w:t>
      </w:r>
      <w:r w:rsidRPr="00AA26C0">
        <w:rPr>
          <w:sz w:val="28"/>
          <w:szCs w:val="28"/>
          <w:lang w:val="uk-UA"/>
        </w:rPr>
        <w:t>64-69.</w:t>
      </w:r>
      <w:r w:rsidRPr="00626A49">
        <w:rPr>
          <w:sz w:val="28"/>
          <w:szCs w:val="28"/>
          <w:lang w:val="uk-UA"/>
        </w:rPr>
        <w:t xml:space="preserve"> </w:t>
      </w:r>
      <w:r>
        <w:rPr>
          <w:sz w:val="28"/>
          <w:szCs w:val="28"/>
          <w:lang w:val="uk-UA"/>
        </w:rPr>
        <w:t>(Автором проведено клініко-інструментальне обстеження 30 хворих, статистична обробка матеріалу, оформлені результати у вигляді статті).</w:t>
      </w:r>
    </w:p>
    <w:p w:rsidR="004B5E3F" w:rsidRPr="00DC5860" w:rsidRDefault="004B5E3F" w:rsidP="004B5E3F">
      <w:pPr>
        <w:spacing w:line="340" w:lineRule="exact"/>
        <w:ind w:left="360" w:hanging="360"/>
        <w:jc w:val="both"/>
        <w:rPr>
          <w:sz w:val="28"/>
          <w:szCs w:val="28"/>
          <w:lang w:val="uk-UA"/>
        </w:rPr>
      </w:pPr>
      <w:r>
        <w:rPr>
          <w:sz w:val="28"/>
          <w:szCs w:val="28"/>
          <w:lang w:val="uk-UA"/>
        </w:rPr>
        <w:t xml:space="preserve">6 </w:t>
      </w:r>
      <w:r w:rsidRPr="00AA26C0">
        <w:rPr>
          <w:sz w:val="28"/>
          <w:szCs w:val="28"/>
          <w:lang w:val="en-US"/>
        </w:rPr>
        <w:t>Romanov</w:t>
      </w:r>
      <w:r w:rsidRPr="00B903C1">
        <w:rPr>
          <w:sz w:val="28"/>
          <w:szCs w:val="28"/>
          <w:lang w:val="en-US"/>
        </w:rPr>
        <w:t xml:space="preserve"> </w:t>
      </w:r>
      <w:r w:rsidRPr="00AA26C0">
        <w:rPr>
          <w:sz w:val="28"/>
          <w:szCs w:val="28"/>
          <w:lang w:val="en-US"/>
        </w:rPr>
        <w:t>V</w:t>
      </w:r>
      <w:r w:rsidRPr="00AA26C0">
        <w:rPr>
          <w:sz w:val="28"/>
          <w:szCs w:val="28"/>
          <w:lang w:val="uk-UA"/>
        </w:rPr>
        <w:t xml:space="preserve">. </w:t>
      </w:r>
      <w:r w:rsidRPr="00AA26C0">
        <w:rPr>
          <w:sz w:val="28"/>
          <w:szCs w:val="28"/>
          <w:lang w:val="en-US"/>
        </w:rPr>
        <w:t>Features</w:t>
      </w:r>
      <w:r w:rsidRPr="00AA26C0">
        <w:rPr>
          <w:sz w:val="28"/>
          <w:szCs w:val="28"/>
          <w:lang w:val="uk-UA"/>
        </w:rPr>
        <w:t xml:space="preserve"> </w:t>
      </w:r>
      <w:r w:rsidRPr="00AA26C0">
        <w:rPr>
          <w:sz w:val="28"/>
          <w:szCs w:val="28"/>
          <w:lang w:val="en-US"/>
        </w:rPr>
        <w:t>of</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 xml:space="preserve">syndrome </w:t>
      </w:r>
      <w:r>
        <w:rPr>
          <w:sz w:val="28"/>
          <w:szCs w:val="28"/>
          <w:lang w:val="uk-UA"/>
        </w:rPr>
        <w:t>/</w:t>
      </w:r>
      <w:r w:rsidRPr="00EE0C50">
        <w:rPr>
          <w:sz w:val="28"/>
          <w:szCs w:val="28"/>
          <w:lang w:val="en-US"/>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O</w:t>
      </w:r>
      <w:r w:rsidRPr="00AA26C0">
        <w:rPr>
          <w:sz w:val="28"/>
          <w:szCs w:val="28"/>
          <w:lang w:val="uk-UA"/>
        </w:rPr>
        <w:t xml:space="preserve">. </w:t>
      </w:r>
      <w:r w:rsidRPr="00AA26C0">
        <w:rPr>
          <w:sz w:val="28"/>
          <w:szCs w:val="28"/>
          <w:lang w:val="en-US"/>
        </w:rPr>
        <w:t>Mitchenko</w:t>
      </w:r>
      <w:r w:rsidRPr="00AA26C0">
        <w:rPr>
          <w:sz w:val="28"/>
          <w:szCs w:val="28"/>
          <w:lang w:val="uk-UA"/>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w:t>
      </w:r>
      <w:r w:rsidRPr="00AA26C0">
        <w:rPr>
          <w:sz w:val="28"/>
          <w:szCs w:val="28"/>
          <w:lang w:val="uk-UA"/>
        </w:rPr>
        <w:t xml:space="preserve">, </w:t>
      </w:r>
      <w:r w:rsidRPr="00AA26C0">
        <w:rPr>
          <w:sz w:val="28"/>
          <w:szCs w:val="28"/>
          <w:lang w:val="en-US"/>
        </w:rPr>
        <w:t>A</w:t>
      </w:r>
      <w:r w:rsidRPr="00AA26C0">
        <w:rPr>
          <w:sz w:val="28"/>
          <w:szCs w:val="28"/>
          <w:lang w:val="uk-UA"/>
        </w:rPr>
        <w:t xml:space="preserve">. </w:t>
      </w:r>
      <w:r w:rsidRPr="00AA26C0">
        <w:rPr>
          <w:sz w:val="28"/>
          <w:szCs w:val="28"/>
          <w:lang w:val="en-US"/>
        </w:rPr>
        <w:t>Logvinenko</w:t>
      </w:r>
      <w:r w:rsidRPr="00AA26C0">
        <w:rPr>
          <w:sz w:val="28"/>
          <w:szCs w:val="28"/>
          <w:lang w:val="uk-UA"/>
        </w:rPr>
        <w:t xml:space="preserve">. </w:t>
      </w:r>
      <w:r>
        <w:rPr>
          <w:sz w:val="28"/>
          <w:szCs w:val="28"/>
          <w:lang w:val="en-US"/>
        </w:rPr>
        <w:t xml:space="preserve"> </w:t>
      </w:r>
      <w:r w:rsidRPr="00AA26C0">
        <w:rPr>
          <w:sz w:val="28"/>
          <w:szCs w:val="28"/>
          <w:lang w:val="en-US"/>
        </w:rPr>
        <w:t xml:space="preserve">// Sixteen European Congress of Hypertension. </w:t>
      </w:r>
      <w:r>
        <w:rPr>
          <w:sz w:val="28"/>
          <w:szCs w:val="28"/>
          <w:lang w:val="uk-UA"/>
        </w:rPr>
        <w:t>Мадрид,</w:t>
      </w:r>
      <w:r w:rsidRPr="00AA26C0">
        <w:rPr>
          <w:sz w:val="28"/>
          <w:szCs w:val="28"/>
          <w:lang w:val="uk-UA"/>
        </w:rPr>
        <w:t xml:space="preserve"> </w:t>
      </w:r>
      <w:r>
        <w:rPr>
          <w:sz w:val="28"/>
          <w:szCs w:val="28"/>
          <w:lang w:val="uk-UA"/>
        </w:rPr>
        <w:t>червня 2006</w:t>
      </w:r>
      <w:r w:rsidRPr="00AA26C0">
        <w:rPr>
          <w:sz w:val="28"/>
          <w:szCs w:val="28"/>
          <w:lang w:val="uk-UA"/>
        </w:rPr>
        <w:t>.</w:t>
      </w:r>
      <w:r w:rsidRPr="00AA26C0">
        <w:rPr>
          <w:sz w:val="28"/>
          <w:szCs w:val="28"/>
          <w:lang w:val="en-US"/>
        </w:rPr>
        <w:t xml:space="preserve"> J</w:t>
      </w:r>
      <w:r w:rsidRPr="00AA26C0">
        <w:rPr>
          <w:sz w:val="28"/>
          <w:szCs w:val="28"/>
          <w:lang w:val="en-GB"/>
        </w:rPr>
        <w:t xml:space="preserve">. </w:t>
      </w:r>
      <w:r w:rsidRPr="00AA26C0">
        <w:rPr>
          <w:sz w:val="28"/>
          <w:szCs w:val="28"/>
          <w:lang w:val="en-US"/>
        </w:rPr>
        <w:t>of Hypertension</w:t>
      </w:r>
      <w:r w:rsidRPr="00AA26C0">
        <w:rPr>
          <w:sz w:val="28"/>
          <w:szCs w:val="28"/>
          <w:lang w:val="en-GB"/>
        </w:rPr>
        <w:t xml:space="preserve">. – 2006.- </w:t>
      </w:r>
      <w:r w:rsidRPr="00AA26C0">
        <w:rPr>
          <w:sz w:val="28"/>
          <w:szCs w:val="28"/>
          <w:lang w:val="en-US"/>
        </w:rPr>
        <w:t>Vol</w:t>
      </w:r>
      <w:r w:rsidRPr="00390E5F">
        <w:rPr>
          <w:sz w:val="28"/>
          <w:szCs w:val="28"/>
        </w:rPr>
        <w:t>. 24</w:t>
      </w:r>
      <w:r w:rsidRPr="00AA26C0">
        <w:rPr>
          <w:sz w:val="28"/>
          <w:szCs w:val="28"/>
          <w:lang w:val="uk-UA"/>
        </w:rPr>
        <w:t xml:space="preserve"> (</w:t>
      </w:r>
      <w:r w:rsidRPr="00AA26C0">
        <w:rPr>
          <w:sz w:val="28"/>
          <w:szCs w:val="28"/>
          <w:lang w:val="en-US"/>
        </w:rPr>
        <w:t>Suppl</w:t>
      </w:r>
      <w:r w:rsidRPr="00390E5F">
        <w:rPr>
          <w:sz w:val="28"/>
          <w:szCs w:val="28"/>
        </w:rPr>
        <w:t>. 4</w:t>
      </w:r>
      <w:r w:rsidRPr="00AA26C0">
        <w:rPr>
          <w:sz w:val="28"/>
          <w:szCs w:val="28"/>
          <w:lang w:val="uk-UA"/>
        </w:rPr>
        <w:t>).</w:t>
      </w:r>
      <w:r w:rsidRPr="00390E5F">
        <w:rPr>
          <w:sz w:val="28"/>
          <w:szCs w:val="28"/>
        </w:rPr>
        <w:t xml:space="preserve"> – </w:t>
      </w:r>
      <w:r w:rsidRPr="00AA26C0">
        <w:rPr>
          <w:sz w:val="28"/>
          <w:szCs w:val="28"/>
          <w:lang w:val="en-US"/>
        </w:rPr>
        <w:t>P</w:t>
      </w:r>
      <w:r w:rsidRPr="00390E5F">
        <w:rPr>
          <w:sz w:val="28"/>
          <w:szCs w:val="28"/>
        </w:rPr>
        <w:t>.</w:t>
      </w:r>
      <w:r w:rsidRPr="00AA26C0">
        <w:rPr>
          <w:sz w:val="28"/>
          <w:szCs w:val="28"/>
          <w:lang w:val="en-US"/>
        </w:rPr>
        <w:t>S</w:t>
      </w:r>
      <w:r w:rsidRPr="00390E5F">
        <w:rPr>
          <w:sz w:val="28"/>
          <w:szCs w:val="28"/>
        </w:rPr>
        <w:t>207.</w:t>
      </w:r>
      <w:r w:rsidRPr="00626A49">
        <w:rPr>
          <w:sz w:val="28"/>
          <w:szCs w:val="28"/>
          <w:lang w:val="uk-UA"/>
        </w:rPr>
        <w:t xml:space="preserve"> </w:t>
      </w:r>
      <w:r>
        <w:rPr>
          <w:sz w:val="28"/>
          <w:szCs w:val="28"/>
          <w:lang w:val="uk-UA"/>
        </w:rPr>
        <w:t>(Здобувачем отримано клініко-інструментальні дані, проведено їх аналіз, підготовлені тези, стендова доповідь, докладала на конференції).</w:t>
      </w:r>
    </w:p>
    <w:p w:rsidR="004B5E3F" w:rsidRPr="008C7F4E" w:rsidRDefault="004B5E3F" w:rsidP="004B5E3F">
      <w:pPr>
        <w:spacing w:line="340" w:lineRule="exact"/>
        <w:ind w:left="360" w:hanging="360"/>
        <w:jc w:val="both"/>
        <w:rPr>
          <w:sz w:val="28"/>
          <w:szCs w:val="28"/>
          <w:lang w:val="uk-UA"/>
        </w:rPr>
      </w:pPr>
      <w:r>
        <w:rPr>
          <w:sz w:val="28"/>
          <w:szCs w:val="28"/>
          <w:lang w:val="uk-UA"/>
        </w:rPr>
        <w:t xml:space="preserve">7. </w:t>
      </w:r>
      <w:r w:rsidRPr="00AA26C0">
        <w:rPr>
          <w:sz w:val="28"/>
          <w:szCs w:val="28"/>
          <w:lang w:val="en-US"/>
        </w:rPr>
        <w:t>Kaspruk</w:t>
      </w:r>
      <w:r w:rsidRPr="00B903C1">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syndrome according</w:t>
      </w:r>
      <w:r w:rsidRPr="00AA26C0">
        <w:rPr>
          <w:sz w:val="28"/>
          <w:szCs w:val="28"/>
          <w:lang w:val="uk-UA"/>
        </w:rPr>
        <w:t xml:space="preserve"> </w:t>
      </w:r>
      <w:r w:rsidRPr="00AA26C0">
        <w:rPr>
          <w:sz w:val="28"/>
          <w:szCs w:val="28"/>
          <w:lang w:val="en-US"/>
        </w:rPr>
        <w:t>to</w:t>
      </w:r>
      <w:r w:rsidRPr="00AA26C0">
        <w:rPr>
          <w:sz w:val="28"/>
          <w:szCs w:val="28"/>
          <w:lang w:val="uk-UA"/>
        </w:rPr>
        <w:t xml:space="preserve"> </w:t>
      </w:r>
      <w:r w:rsidRPr="00AA26C0">
        <w:rPr>
          <w:sz w:val="28"/>
          <w:szCs w:val="28"/>
          <w:lang w:val="en-US"/>
        </w:rPr>
        <w:t>ATP</w:t>
      </w:r>
      <w:r w:rsidRPr="00AA26C0">
        <w:rPr>
          <w:sz w:val="28"/>
          <w:szCs w:val="28"/>
          <w:lang w:val="uk-UA"/>
        </w:rPr>
        <w:t xml:space="preserve"> </w:t>
      </w:r>
      <w:r w:rsidRPr="00AA26C0">
        <w:rPr>
          <w:sz w:val="28"/>
          <w:szCs w:val="28"/>
          <w:lang w:val="en-US"/>
        </w:rPr>
        <w:t>III</w:t>
      </w:r>
      <w:r w:rsidRPr="00AA26C0">
        <w:rPr>
          <w:sz w:val="28"/>
          <w:szCs w:val="28"/>
          <w:lang w:val="uk-UA"/>
        </w:rPr>
        <w:t xml:space="preserve"> </w:t>
      </w:r>
      <w:r w:rsidRPr="00AA26C0">
        <w:rPr>
          <w:sz w:val="28"/>
          <w:szCs w:val="28"/>
          <w:lang w:val="en-US"/>
        </w:rPr>
        <w:t>and</w:t>
      </w:r>
      <w:r w:rsidRPr="00AA26C0">
        <w:rPr>
          <w:sz w:val="28"/>
          <w:szCs w:val="28"/>
          <w:lang w:val="uk-UA"/>
        </w:rPr>
        <w:t xml:space="preserve"> </w:t>
      </w:r>
      <w:r w:rsidRPr="00AA26C0">
        <w:rPr>
          <w:sz w:val="28"/>
          <w:szCs w:val="28"/>
          <w:lang w:val="en-US"/>
        </w:rPr>
        <w:t>IDF</w:t>
      </w:r>
      <w:r>
        <w:rPr>
          <w:sz w:val="28"/>
          <w:szCs w:val="28"/>
          <w:lang w:val="uk-UA"/>
        </w:rPr>
        <w:t xml:space="preserve"> /</w:t>
      </w:r>
      <w:r w:rsidRPr="00EE0C50">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 O</w:t>
      </w:r>
      <w:r w:rsidRPr="00AA26C0">
        <w:rPr>
          <w:sz w:val="28"/>
          <w:szCs w:val="28"/>
          <w:lang w:val="uk-UA"/>
        </w:rPr>
        <w:t xml:space="preserve">. </w:t>
      </w:r>
      <w:r>
        <w:rPr>
          <w:sz w:val="28"/>
          <w:szCs w:val="28"/>
          <w:lang w:val="en-US"/>
        </w:rPr>
        <w:t>Mitchenko</w:t>
      </w:r>
      <w:r>
        <w:rPr>
          <w:sz w:val="28"/>
          <w:szCs w:val="28"/>
          <w:lang w:val="uk-UA"/>
        </w:rPr>
        <w:t xml:space="preserve"> </w:t>
      </w:r>
      <w:r w:rsidRPr="00AA26C0">
        <w:rPr>
          <w:sz w:val="28"/>
          <w:szCs w:val="28"/>
          <w:lang w:val="en-US"/>
        </w:rPr>
        <w:t xml:space="preserve">// Seventeen European Congress of Hypertension. </w:t>
      </w:r>
      <w:r>
        <w:rPr>
          <w:sz w:val="28"/>
          <w:szCs w:val="28"/>
          <w:lang w:val="uk-UA"/>
        </w:rPr>
        <w:t xml:space="preserve">Мілан, червня </w:t>
      </w:r>
      <w:r w:rsidRPr="00AA26C0">
        <w:rPr>
          <w:sz w:val="28"/>
          <w:szCs w:val="28"/>
          <w:lang w:val="uk-UA"/>
        </w:rPr>
        <w:t>2007.</w:t>
      </w:r>
      <w:r w:rsidRPr="00390E5F">
        <w:rPr>
          <w:sz w:val="28"/>
          <w:szCs w:val="28"/>
          <w:lang w:val="en-US"/>
        </w:rPr>
        <w:t xml:space="preserve"> </w:t>
      </w:r>
      <w:r w:rsidRPr="00AA26C0">
        <w:rPr>
          <w:sz w:val="28"/>
          <w:szCs w:val="28"/>
          <w:lang w:val="en-US"/>
        </w:rPr>
        <w:t>J</w:t>
      </w:r>
      <w:r w:rsidRPr="00390E5F">
        <w:rPr>
          <w:sz w:val="28"/>
          <w:szCs w:val="28"/>
          <w:lang w:val="en-US"/>
        </w:rPr>
        <w:t xml:space="preserve">. </w:t>
      </w:r>
      <w:r w:rsidRPr="00AA26C0">
        <w:rPr>
          <w:sz w:val="28"/>
          <w:szCs w:val="28"/>
          <w:lang w:val="en-US"/>
        </w:rPr>
        <w:t>of</w:t>
      </w:r>
      <w:r w:rsidRPr="00390E5F">
        <w:rPr>
          <w:sz w:val="28"/>
          <w:szCs w:val="28"/>
          <w:lang w:val="en-US"/>
        </w:rPr>
        <w:t xml:space="preserve"> </w:t>
      </w:r>
      <w:r w:rsidRPr="00AA26C0">
        <w:rPr>
          <w:sz w:val="28"/>
          <w:szCs w:val="28"/>
          <w:lang w:val="en-US"/>
        </w:rPr>
        <w:t>Hypertension</w:t>
      </w:r>
      <w:r w:rsidRPr="00390E5F">
        <w:rPr>
          <w:sz w:val="28"/>
          <w:szCs w:val="28"/>
          <w:lang w:val="en-US"/>
        </w:rPr>
        <w:t xml:space="preserve">. – 2007.- </w:t>
      </w:r>
      <w:r w:rsidRPr="00AA26C0">
        <w:rPr>
          <w:sz w:val="28"/>
          <w:szCs w:val="28"/>
          <w:lang w:val="en-US"/>
        </w:rPr>
        <w:t>Vol</w:t>
      </w:r>
      <w:r w:rsidRPr="00390E5F">
        <w:rPr>
          <w:sz w:val="28"/>
          <w:szCs w:val="28"/>
          <w:lang w:val="en-US"/>
        </w:rPr>
        <w:t>. 25</w:t>
      </w:r>
      <w:r w:rsidRPr="00AA26C0">
        <w:rPr>
          <w:sz w:val="28"/>
          <w:szCs w:val="28"/>
          <w:lang w:val="uk-UA"/>
        </w:rPr>
        <w:t xml:space="preserve"> (</w:t>
      </w:r>
      <w:r w:rsidRPr="00AA26C0">
        <w:rPr>
          <w:sz w:val="28"/>
          <w:szCs w:val="28"/>
          <w:lang w:val="en-US"/>
        </w:rPr>
        <w:t>Suppl</w:t>
      </w:r>
      <w:r w:rsidRPr="00390E5F">
        <w:rPr>
          <w:sz w:val="28"/>
          <w:szCs w:val="28"/>
          <w:lang w:val="en-US"/>
        </w:rPr>
        <w:t xml:space="preserve">. </w:t>
      </w:r>
      <w:r w:rsidRPr="003E4C05">
        <w:rPr>
          <w:sz w:val="28"/>
          <w:szCs w:val="28"/>
        </w:rPr>
        <w:t>2</w:t>
      </w:r>
      <w:r w:rsidRPr="00AA26C0">
        <w:rPr>
          <w:sz w:val="28"/>
          <w:szCs w:val="28"/>
          <w:lang w:val="uk-UA"/>
        </w:rPr>
        <w:t>)</w:t>
      </w:r>
      <w:r w:rsidRPr="003E4C05">
        <w:rPr>
          <w:sz w:val="28"/>
          <w:szCs w:val="28"/>
        </w:rPr>
        <w:t xml:space="preserve">. – </w:t>
      </w:r>
      <w:r w:rsidRPr="00AA26C0">
        <w:rPr>
          <w:sz w:val="28"/>
          <w:szCs w:val="28"/>
          <w:lang w:val="en-US"/>
        </w:rPr>
        <w:t>P</w:t>
      </w:r>
      <w:r w:rsidRPr="003E4C05">
        <w:rPr>
          <w:sz w:val="28"/>
          <w:szCs w:val="28"/>
        </w:rPr>
        <w:t xml:space="preserve">. </w:t>
      </w:r>
      <w:r w:rsidRPr="00AA26C0">
        <w:rPr>
          <w:sz w:val="28"/>
          <w:szCs w:val="28"/>
          <w:lang w:val="en-US"/>
        </w:rPr>
        <w:t>S</w:t>
      </w:r>
      <w:r w:rsidRPr="003E4C05">
        <w:rPr>
          <w:sz w:val="28"/>
          <w:szCs w:val="28"/>
        </w:rPr>
        <w:t xml:space="preserve">162. </w:t>
      </w:r>
      <w:r>
        <w:rPr>
          <w:sz w:val="28"/>
          <w:szCs w:val="28"/>
          <w:lang w:val="uk-UA"/>
        </w:rPr>
        <w:t xml:space="preserve">(Приймала участь в обстеженні хворих, самостійно проводила статистичне і аналітичне </w:t>
      </w:r>
      <w:r>
        <w:rPr>
          <w:sz w:val="28"/>
          <w:szCs w:val="28"/>
          <w:lang w:val="uk-UA"/>
        </w:rPr>
        <w:lastRenderedPageBreak/>
        <w:t>опрацювання результатів, переклад і підготовку тезисів до друку,</w:t>
      </w:r>
      <w:r w:rsidRPr="00CC4E13">
        <w:rPr>
          <w:sz w:val="28"/>
          <w:szCs w:val="28"/>
          <w:lang w:val="uk-UA"/>
        </w:rPr>
        <w:t xml:space="preserve"> </w:t>
      </w:r>
      <w:r>
        <w:rPr>
          <w:sz w:val="28"/>
          <w:szCs w:val="28"/>
          <w:lang w:val="uk-UA"/>
        </w:rPr>
        <w:t xml:space="preserve">докладала на конференції). </w:t>
      </w:r>
    </w:p>
    <w:p w:rsidR="004B5E3F" w:rsidRPr="00FE2B8A" w:rsidRDefault="004B5E3F" w:rsidP="004B5E3F">
      <w:pPr>
        <w:spacing w:line="340" w:lineRule="exact"/>
        <w:ind w:left="360" w:hanging="360"/>
        <w:jc w:val="both"/>
        <w:rPr>
          <w:bCs/>
          <w:sz w:val="28"/>
          <w:szCs w:val="28"/>
          <w:lang w:val="uk-UA"/>
        </w:rPr>
      </w:pPr>
      <w:r>
        <w:rPr>
          <w:sz w:val="28"/>
          <w:szCs w:val="28"/>
          <w:lang w:val="uk-UA"/>
        </w:rPr>
        <w:t xml:space="preserve">8. </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G</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syndrome</w:t>
      </w:r>
      <w:r w:rsidRPr="00AA26C0">
        <w:rPr>
          <w:sz w:val="28"/>
          <w:szCs w:val="28"/>
          <w:lang w:val="uk-UA"/>
        </w:rPr>
        <w:t xml:space="preserve">, </w:t>
      </w:r>
      <w:r w:rsidRPr="00AA26C0">
        <w:rPr>
          <w:sz w:val="28"/>
          <w:szCs w:val="28"/>
          <w:lang w:val="en-US"/>
        </w:rPr>
        <w:t>defined</w:t>
      </w:r>
      <w:r w:rsidRPr="00AA26C0">
        <w:rPr>
          <w:sz w:val="28"/>
          <w:szCs w:val="28"/>
          <w:lang w:val="uk-UA"/>
        </w:rPr>
        <w:t xml:space="preserve"> </w:t>
      </w:r>
      <w:r w:rsidRPr="00AA26C0">
        <w:rPr>
          <w:sz w:val="28"/>
          <w:szCs w:val="28"/>
          <w:lang w:val="en-US"/>
        </w:rPr>
        <w:t>according</w:t>
      </w:r>
      <w:r w:rsidRPr="00AA26C0">
        <w:rPr>
          <w:sz w:val="28"/>
          <w:szCs w:val="28"/>
          <w:lang w:val="uk-UA"/>
        </w:rPr>
        <w:t xml:space="preserve"> </w:t>
      </w:r>
      <w:r w:rsidRPr="00AA26C0">
        <w:rPr>
          <w:sz w:val="28"/>
          <w:szCs w:val="28"/>
          <w:lang w:val="en-US"/>
        </w:rPr>
        <w:t>to</w:t>
      </w:r>
      <w:r w:rsidRPr="00AA26C0">
        <w:rPr>
          <w:sz w:val="28"/>
          <w:szCs w:val="28"/>
          <w:lang w:val="uk-UA"/>
        </w:rPr>
        <w:t xml:space="preserve"> </w:t>
      </w:r>
      <w:r w:rsidRPr="00AA26C0">
        <w:rPr>
          <w:sz w:val="28"/>
          <w:szCs w:val="28"/>
          <w:lang w:val="en-US"/>
        </w:rPr>
        <w:t>ATP</w:t>
      </w:r>
      <w:r w:rsidRPr="00AA26C0">
        <w:rPr>
          <w:sz w:val="28"/>
          <w:szCs w:val="28"/>
          <w:lang w:val="uk-UA"/>
        </w:rPr>
        <w:t xml:space="preserve"> </w:t>
      </w:r>
      <w:r w:rsidRPr="00AA26C0">
        <w:rPr>
          <w:sz w:val="28"/>
          <w:szCs w:val="28"/>
          <w:lang w:val="en-US"/>
        </w:rPr>
        <w:t>III</w:t>
      </w:r>
      <w:r w:rsidRPr="00AA26C0">
        <w:rPr>
          <w:sz w:val="28"/>
          <w:szCs w:val="28"/>
          <w:lang w:val="uk-UA"/>
        </w:rPr>
        <w:t xml:space="preserve"> </w:t>
      </w:r>
      <w:r w:rsidRPr="00AA26C0">
        <w:rPr>
          <w:sz w:val="28"/>
          <w:szCs w:val="28"/>
          <w:lang w:val="en-US"/>
        </w:rPr>
        <w:t>and</w:t>
      </w:r>
      <w:r w:rsidRPr="00AA26C0">
        <w:rPr>
          <w:sz w:val="28"/>
          <w:szCs w:val="28"/>
          <w:lang w:val="uk-UA"/>
        </w:rPr>
        <w:t xml:space="preserve"> </w:t>
      </w:r>
      <w:r w:rsidRPr="00AA26C0">
        <w:rPr>
          <w:sz w:val="28"/>
          <w:szCs w:val="28"/>
          <w:lang w:val="en-US"/>
        </w:rPr>
        <w:t>IDF</w:t>
      </w:r>
      <w:r w:rsidRPr="006D73F0">
        <w:rPr>
          <w:sz w:val="28"/>
          <w:szCs w:val="28"/>
          <w:lang w:val="uk-UA"/>
        </w:rPr>
        <w:t xml:space="preserve"> </w:t>
      </w:r>
      <w:r>
        <w:rPr>
          <w:sz w:val="28"/>
          <w:szCs w:val="28"/>
          <w:lang w:val="uk-UA"/>
        </w:rPr>
        <w:t>/</w:t>
      </w:r>
      <w:r w:rsidRPr="00EE0C50">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O</w:t>
      </w:r>
      <w:r w:rsidRPr="00AA26C0">
        <w:rPr>
          <w:sz w:val="28"/>
          <w:szCs w:val="28"/>
          <w:lang w:val="uk-UA"/>
        </w:rPr>
        <w:t xml:space="preserve">. </w:t>
      </w:r>
      <w:r w:rsidRPr="00AA26C0">
        <w:rPr>
          <w:sz w:val="28"/>
          <w:szCs w:val="28"/>
          <w:lang w:val="en-US"/>
        </w:rPr>
        <w:t>Mitchenko</w:t>
      </w:r>
      <w:r w:rsidRPr="00AA26C0">
        <w:rPr>
          <w:sz w:val="28"/>
          <w:szCs w:val="28"/>
          <w:lang w:val="uk-UA"/>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w:t>
      </w:r>
      <w:r w:rsidRPr="00AA26C0">
        <w:rPr>
          <w:sz w:val="28"/>
          <w:szCs w:val="28"/>
          <w:lang w:val="uk-UA"/>
        </w:rPr>
        <w:t xml:space="preserve"> </w:t>
      </w:r>
      <w:r>
        <w:rPr>
          <w:sz w:val="28"/>
          <w:szCs w:val="28"/>
          <w:lang w:val="uk-UA"/>
        </w:rPr>
        <w:t>/</w:t>
      </w:r>
      <w:r w:rsidRPr="00AA26C0">
        <w:rPr>
          <w:sz w:val="28"/>
          <w:szCs w:val="28"/>
          <w:lang w:val="uk-UA"/>
        </w:rPr>
        <w:t xml:space="preserve"> 76-</w:t>
      </w:r>
      <w:r w:rsidRPr="00AA26C0">
        <w:rPr>
          <w:sz w:val="28"/>
          <w:szCs w:val="28"/>
          <w:lang w:val="en-US"/>
        </w:rPr>
        <w:t>th</w:t>
      </w:r>
      <w:r w:rsidRPr="00AA26C0">
        <w:rPr>
          <w:sz w:val="28"/>
          <w:szCs w:val="28"/>
          <w:lang w:val="uk-UA"/>
        </w:rPr>
        <w:t xml:space="preserve"> </w:t>
      </w:r>
      <w:r w:rsidRPr="00AA26C0">
        <w:rPr>
          <w:sz w:val="28"/>
          <w:szCs w:val="28"/>
          <w:lang w:val="en-US"/>
        </w:rPr>
        <w:t>Annual</w:t>
      </w:r>
      <w:r w:rsidRPr="00AA26C0">
        <w:rPr>
          <w:sz w:val="28"/>
          <w:szCs w:val="28"/>
          <w:lang w:val="uk-UA"/>
        </w:rPr>
        <w:t xml:space="preserve"> </w:t>
      </w:r>
      <w:r w:rsidRPr="00AA26C0">
        <w:rPr>
          <w:sz w:val="28"/>
          <w:szCs w:val="28"/>
          <w:lang w:val="en-US"/>
        </w:rPr>
        <w:t>European</w:t>
      </w:r>
      <w:r w:rsidRPr="00AA26C0">
        <w:rPr>
          <w:sz w:val="28"/>
          <w:szCs w:val="28"/>
          <w:lang w:val="uk-UA"/>
        </w:rPr>
        <w:t xml:space="preserve"> </w:t>
      </w:r>
      <w:r w:rsidRPr="00AA26C0">
        <w:rPr>
          <w:sz w:val="28"/>
          <w:szCs w:val="28"/>
          <w:lang w:val="en-US"/>
        </w:rPr>
        <w:t>Atheroscle</w:t>
      </w:r>
      <w:r>
        <w:rPr>
          <w:sz w:val="28"/>
          <w:szCs w:val="28"/>
          <w:lang w:val="en-US"/>
        </w:rPr>
        <w:t>rosis Society. Helsinki</w:t>
      </w:r>
      <w:r w:rsidRPr="00390E5F">
        <w:rPr>
          <w:sz w:val="28"/>
          <w:szCs w:val="28"/>
          <w:lang w:val="en-US"/>
        </w:rPr>
        <w:t xml:space="preserve">, </w:t>
      </w:r>
      <w:r>
        <w:rPr>
          <w:sz w:val="28"/>
          <w:szCs w:val="28"/>
          <w:lang w:val="uk-UA"/>
        </w:rPr>
        <w:t>червня</w:t>
      </w:r>
      <w:r w:rsidRPr="00390E5F">
        <w:rPr>
          <w:sz w:val="28"/>
          <w:szCs w:val="28"/>
          <w:lang w:val="en-US"/>
        </w:rPr>
        <w:t xml:space="preserve"> 2007.</w:t>
      </w:r>
      <w:r w:rsidRPr="00AA26C0">
        <w:rPr>
          <w:sz w:val="28"/>
          <w:szCs w:val="28"/>
          <w:lang w:val="uk-UA"/>
        </w:rPr>
        <w:t xml:space="preserve"> </w:t>
      </w:r>
      <w:r w:rsidRPr="00AA26C0">
        <w:rPr>
          <w:sz w:val="28"/>
          <w:szCs w:val="28"/>
          <w:lang w:val="en-US"/>
        </w:rPr>
        <w:t>Abstract</w:t>
      </w:r>
      <w:r w:rsidRPr="00390E5F">
        <w:rPr>
          <w:sz w:val="28"/>
          <w:szCs w:val="28"/>
          <w:lang w:val="en-US"/>
        </w:rPr>
        <w:t xml:space="preserve"> </w:t>
      </w:r>
      <w:r w:rsidRPr="00AA26C0">
        <w:rPr>
          <w:sz w:val="28"/>
          <w:szCs w:val="28"/>
          <w:lang w:val="en-US"/>
        </w:rPr>
        <w:t>book</w:t>
      </w:r>
      <w:r w:rsidRPr="00390E5F">
        <w:rPr>
          <w:sz w:val="28"/>
          <w:szCs w:val="28"/>
          <w:lang w:val="en-US"/>
        </w:rPr>
        <w:t xml:space="preserve">. </w:t>
      </w:r>
      <w:r>
        <w:rPr>
          <w:sz w:val="28"/>
          <w:szCs w:val="28"/>
          <w:lang w:val="uk-UA"/>
        </w:rPr>
        <w:t xml:space="preserve">- </w:t>
      </w:r>
      <w:r w:rsidRPr="00AA26C0">
        <w:rPr>
          <w:sz w:val="28"/>
          <w:szCs w:val="28"/>
          <w:lang w:val="en-US"/>
        </w:rPr>
        <w:t>P</w:t>
      </w:r>
      <w:r w:rsidRPr="00390E5F">
        <w:rPr>
          <w:sz w:val="28"/>
          <w:szCs w:val="28"/>
          <w:lang w:val="en-US"/>
        </w:rPr>
        <w:t>. 679.</w:t>
      </w:r>
      <w:r w:rsidRPr="00AA26C0">
        <w:rPr>
          <w:sz w:val="28"/>
          <w:szCs w:val="28"/>
          <w:lang w:val="uk-UA"/>
        </w:rPr>
        <w:t xml:space="preserve"> </w:t>
      </w:r>
      <w:r>
        <w:rPr>
          <w:sz w:val="28"/>
          <w:szCs w:val="28"/>
          <w:lang w:val="uk-UA"/>
        </w:rPr>
        <w:t>(Автором проведено клініко-інструментальне обстеження хворих, статистична обробка матеріалу, оформлені результати у вигляді тезисів).</w:t>
      </w:r>
    </w:p>
    <w:p w:rsidR="004B5E3F" w:rsidRDefault="004B5E3F" w:rsidP="004B5E3F">
      <w:pPr>
        <w:spacing w:line="340" w:lineRule="exact"/>
        <w:ind w:left="360" w:hanging="360"/>
        <w:jc w:val="both"/>
        <w:rPr>
          <w:sz w:val="28"/>
          <w:szCs w:val="28"/>
          <w:lang w:val="uk-UA"/>
        </w:rPr>
      </w:pPr>
      <w:r>
        <w:rPr>
          <w:sz w:val="28"/>
          <w:szCs w:val="28"/>
          <w:lang w:val="uk-UA"/>
        </w:rPr>
        <w:t>9.</w:t>
      </w:r>
      <w:r w:rsidRPr="00EE0C50">
        <w:rPr>
          <w:sz w:val="28"/>
          <w:szCs w:val="28"/>
          <w:lang w:val="uk-UA"/>
        </w:rPr>
        <w:t xml:space="preserve"> </w:t>
      </w:r>
      <w:r>
        <w:rPr>
          <w:sz w:val="28"/>
          <w:szCs w:val="28"/>
          <w:lang w:val="uk-UA"/>
        </w:rPr>
        <w:t>Мітченко О. І.</w:t>
      </w:r>
      <w:r w:rsidRPr="00AA26C0">
        <w:rPr>
          <w:sz w:val="28"/>
          <w:szCs w:val="28"/>
          <w:lang w:val="uk-UA"/>
        </w:rPr>
        <w:t xml:space="preserve"> </w:t>
      </w:r>
      <w:r>
        <w:rPr>
          <w:sz w:val="28"/>
          <w:szCs w:val="28"/>
          <w:lang w:val="uk-UA"/>
        </w:rPr>
        <w:t xml:space="preserve"> </w:t>
      </w:r>
      <w:r w:rsidRPr="00AA26C0">
        <w:rPr>
          <w:sz w:val="28"/>
          <w:szCs w:val="28"/>
          <w:lang w:val="uk-UA"/>
        </w:rPr>
        <w:t xml:space="preserve">Сердечно-сосудистые факторы риска у пациентов с ГБ и МС, определенным по рекомендациям </w:t>
      </w:r>
      <w:r w:rsidRPr="00AA26C0">
        <w:rPr>
          <w:sz w:val="28"/>
          <w:szCs w:val="28"/>
          <w:lang w:val="en-US"/>
        </w:rPr>
        <w:t>NCEP</w:t>
      </w:r>
      <w:r w:rsidRPr="00AA26C0">
        <w:rPr>
          <w:sz w:val="28"/>
          <w:szCs w:val="28"/>
          <w:lang w:val="uk-UA"/>
        </w:rPr>
        <w:t xml:space="preserve"> </w:t>
      </w:r>
      <w:r w:rsidRPr="00AA26C0">
        <w:rPr>
          <w:sz w:val="28"/>
          <w:szCs w:val="28"/>
          <w:lang w:val="en-US"/>
        </w:rPr>
        <w:t>ATPIII</w:t>
      </w:r>
      <w:r w:rsidRPr="00AA26C0">
        <w:rPr>
          <w:sz w:val="28"/>
          <w:szCs w:val="28"/>
          <w:lang w:val="uk-UA"/>
        </w:rPr>
        <w:t xml:space="preserve"> 2001 и </w:t>
      </w:r>
      <w:r w:rsidRPr="00AA26C0">
        <w:rPr>
          <w:sz w:val="28"/>
          <w:szCs w:val="28"/>
          <w:lang w:val="en-US"/>
        </w:rPr>
        <w:t>IDF</w:t>
      </w:r>
      <w:r>
        <w:rPr>
          <w:sz w:val="28"/>
          <w:szCs w:val="28"/>
          <w:lang w:val="uk-UA"/>
        </w:rPr>
        <w:t xml:space="preserve"> 2005</w:t>
      </w:r>
      <w:r w:rsidRPr="00AA26C0">
        <w:rPr>
          <w:sz w:val="28"/>
          <w:szCs w:val="28"/>
          <w:lang w:val="uk-UA"/>
        </w:rPr>
        <w:t xml:space="preserve"> </w:t>
      </w:r>
      <w:r>
        <w:rPr>
          <w:sz w:val="28"/>
          <w:szCs w:val="28"/>
          <w:lang w:val="uk-UA"/>
        </w:rPr>
        <w:t>/</w:t>
      </w:r>
      <w:r w:rsidRPr="006D73F0">
        <w:rPr>
          <w:sz w:val="28"/>
          <w:szCs w:val="28"/>
        </w:rPr>
        <w:t xml:space="preserve"> </w:t>
      </w:r>
      <w:r w:rsidRPr="00AA26C0">
        <w:rPr>
          <w:sz w:val="28"/>
          <w:szCs w:val="28"/>
          <w:lang w:val="uk-UA"/>
        </w:rPr>
        <w:t xml:space="preserve">Мітченко О. І., Каспрук Г. Б., Романов В. Ю., Бєляєва Т. В. </w:t>
      </w:r>
      <w:r w:rsidRPr="00B903C1">
        <w:rPr>
          <w:sz w:val="28"/>
          <w:szCs w:val="28"/>
        </w:rPr>
        <w:t>//</w:t>
      </w:r>
      <w:r>
        <w:rPr>
          <w:sz w:val="28"/>
          <w:szCs w:val="28"/>
          <w:lang w:val="uk-UA"/>
        </w:rPr>
        <w:t xml:space="preserve"> Національний конгрес</w:t>
      </w:r>
      <w:r w:rsidRPr="00AA26C0">
        <w:rPr>
          <w:sz w:val="28"/>
          <w:szCs w:val="28"/>
          <w:lang w:val="uk-UA"/>
        </w:rPr>
        <w:t xml:space="preserve"> кардіологів України. Київ, 20-22 вересня 2007 року. </w:t>
      </w:r>
      <w:r w:rsidRPr="00AA26C0">
        <w:rPr>
          <w:sz w:val="28"/>
          <w:szCs w:val="28"/>
        </w:rPr>
        <w:t>Український кардіологічний журнал.-</w:t>
      </w:r>
      <w:r>
        <w:rPr>
          <w:sz w:val="28"/>
          <w:szCs w:val="28"/>
          <w:lang w:val="uk-UA"/>
        </w:rPr>
        <w:t xml:space="preserve"> </w:t>
      </w:r>
      <w:r w:rsidRPr="00AA26C0">
        <w:rPr>
          <w:sz w:val="28"/>
          <w:szCs w:val="28"/>
        </w:rPr>
        <w:t>200</w:t>
      </w:r>
      <w:r w:rsidRPr="00AA26C0">
        <w:rPr>
          <w:sz w:val="28"/>
          <w:szCs w:val="28"/>
          <w:lang w:val="uk-UA"/>
        </w:rPr>
        <w:t>7</w:t>
      </w:r>
      <w:r w:rsidRPr="00AA26C0">
        <w:rPr>
          <w:sz w:val="28"/>
          <w:szCs w:val="28"/>
        </w:rPr>
        <w:t xml:space="preserve">. – № </w:t>
      </w:r>
      <w:r w:rsidRPr="00AA26C0">
        <w:rPr>
          <w:sz w:val="28"/>
          <w:szCs w:val="28"/>
          <w:lang w:val="uk-UA"/>
        </w:rPr>
        <w:t>5</w:t>
      </w:r>
      <w:r w:rsidRPr="00AA26C0">
        <w:rPr>
          <w:sz w:val="28"/>
          <w:szCs w:val="28"/>
        </w:rPr>
        <w:t>. - С.</w:t>
      </w:r>
      <w:r w:rsidRPr="00AA26C0">
        <w:rPr>
          <w:sz w:val="28"/>
          <w:szCs w:val="28"/>
          <w:lang w:val="uk-UA"/>
        </w:rPr>
        <w:t xml:space="preserve"> 128.</w:t>
      </w:r>
      <w:r w:rsidRPr="008C7F4E">
        <w:rPr>
          <w:sz w:val="28"/>
          <w:szCs w:val="28"/>
          <w:lang w:val="uk-UA"/>
        </w:rPr>
        <w:t xml:space="preserve"> </w:t>
      </w:r>
      <w:r>
        <w:rPr>
          <w:sz w:val="28"/>
          <w:szCs w:val="28"/>
          <w:lang w:val="uk-UA"/>
        </w:rPr>
        <w:t>(Автор приймала участь в обстеженні хворих, проводила статистичний аналіз отриманих даних,</w:t>
      </w:r>
      <w:r w:rsidRPr="008C7F4E">
        <w:rPr>
          <w:sz w:val="28"/>
          <w:szCs w:val="28"/>
          <w:lang w:val="uk-UA"/>
        </w:rPr>
        <w:t xml:space="preserve"> </w:t>
      </w:r>
      <w:r>
        <w:rPr>
          <w:sz w:val="28"/>
          <w:szCs w:val="28"/>
          <w:lang w:val="uk-UA"/>
        </w:rPr>
        <w:t>проаналізувала та підготувала матеріал до друку, докладала на конференції).</w:t>
      </w:r>
    </w:p>
    <w:p w:rsidR="004B5E3F" w:rsidRDefault="004B5E3F" w:rsidP="004B5E3F">
      <w:pPr>
        <w:spacing w:line="340" w:lineRule="exact"/>
        <w:ind w:left="360" w:hanging="360"/>
        <w:jc w:val="both"/>
        <w:rPr>
          <w:sz w:val="28"/>
          <w:szCs w:val="28"/>
          <w:lang w:val="uk-UA"/>
        </w:rPr>
      </w:pPr>
      <w:r>
        <w:rPr>
          <w:sz w:val="28"/>
          <w:szCs w:val="28"/>
          <w:lang w:val="uk-UA"/>
        </w:rPr>
        <w:t>10.</w:t>
      </w:r>
      <w:r w:rsidRPr="00EE0C50">
        <w:rPr>
          <w:sz w:val="28"/>
          <w:szCs w:val="28"/>
          <w:lang w:val="uk-UA"/>
        </w:rPr>
        <w:t xml:space="preserve"> </w:t>
      </w:r>
      <w:r>
        <w:rPr>
          <w:sz w:val="28"/>
          <w:szCs w:val="28"/>
          <w:lang w:val="uk-UA"/>
        </w:rPr>
        <w:t>Мітченко О. І.</w:t>
      </w:r>
      <w:r w:rsidRPr="00AA26C0">
        <w:rPr>
          <w:sz w:val="28"/>
          <w:szCs w:val="28"/>
          <w:lang w:val="uk-UA"/>
        </w:rPr>
        <w:t xml:space="preserve"> Діагностика гіпертрофії лівого шлуночка у хворих метаболічним синдромом з урахуванням гендерних особл</w:t>
      </w:r>
      <w:r>
        <w:rPr>
          <w:sz w:val="28"/>
          <w:szCs w:val="28"/>
          <w:lang w:val="uk-UA"/>
        </w:rPr>
        <w:t>ивостей та ступеню ожиріння</w:t>
      </w:r>
      <w:r w:rsidRPr="006D73F0">
        <w:rPr>
          <w:sz w:val="28"/>
          <w:szCs w:val="28"/>
          <w:lang w:val="uk-UA"/>
        </w:rPr>
        <w:t xml:space="preserve"> </w:t>
      </w:r>
      <w:r>
        <w:rPr>
          <w:sz w:val="28"/>
          <w:szCs w:val="28"/>
          <w:lang w:val="uk-UA"/>
        </w:rPr>
        <w:t>/</w:t>
      </w:r>
      <w:r w:rsidRPr="00AA26C0">
        <w:rPr>
          <w:sz w:val="28"/>
          <w:szCs w:val="28"/>
          <w:lang w:val="uk-UA"/>
        </w:rPr>
        <w:t xml:space="preserve"> Мітченко О. І., Каспрук Г. Б., Романов В. Ю., Бєляєва Т. </w:t>
      </w:r>
      <w:r w:rsidRPr="00B903C1">
        <w:rPr>
          <w:sz w:val="28"/>
          <w:szCs w:val="28"/>
          <w:lang w:val="uk-UA"/>
        </w:rPr>
        <w:t>//</w:t>
      </w:r>
      <w:r>
        <w:rPr>
          <w:sz w:val="28"/>
          <w:szCs w:val="28"/>
          <w:lang w:val="uk-UA"/>
        </w:rPr>
        <w:t xml:space="preserve"> Укр. кардіол. журнал</w:t>
      </w:r>
      <w:r w:rsidRPr="00AA26C0">
        <w:rPr>
          <w:sz w:val="28"/>
          <w:szCs w:val="28"/>
          <w:lang w:val="uk-UA"/>
        </w:rPr>
        <w:t>.- 2008. – № 1. - С. 56-65.</w:t>
      </w:r>
      <w:r w:rsidRPr="00626A49">
        <w:rPr>
          <w:sz w:val="28"/>
          <w:szCs w:val="28"/>
          <w:lang w:val="uk-UA"/>
        </w:rPr>
        <w:t xml:space="preserve"> </w:t>
      </w:r>
      <w:r>
        <w:rPr>
          <w:sz w:val="28"/>
          <w:szCs w:val="28"/>
          <w:lang w:val="uk-UA"/>
        </w:rPr>
        <w:t>(Здобувачем обстежені пацієнти, проведений статистичний аналіз отриманих даних, оформлені результати у вигляді статті).</w:t>
      </w:r>
    </w:p>
    <w:p w:rsidR="004B5E3F" w:rsidRPr="00B903C1" w:rsidRDefault="004B5E3F" w:rsidP="004B5E3F">
      <w:pPr>
        <w:spacing w:line="340" w:lineRule="exact"/>
        <w:ind w:left="360" w:hanging="360"/>
        <w:jc w:val="both"/>
        <w:rPr>
          <w:sz w:val="28"/>
          <w:szCs w:val="28"/>
        </w:rPr>
      </w:pPr>
      <w:r>
        <w:rPr>
          <w:sz w:val="28"/>
          <w:szCs w:val="28"/>
          <w:lang w:val="uk-UA"/>
        </w:rPr>
        <w:t>11.</w:t>
      </w:r>
      <w:r w:rsidRPr="00EE0C50">
        <w:rPr>
          <w:sz w:val="28"/>
          <w:szCs w:val="28"/>
          <w:lang w:val="uk-UA"/>
        </w:rPr>
        <w:t xml:space="preserve"> </w:t>
      </w:r>
      <w:r>
        <w:rPr>
          <w:sz w:val="28"/>
          <w:szCs w:val="28"/>
          <w:lang w:val="uk-UA"/>
        </w:rPr>
        <w:t>Каспрук Г. Б.</w:t>
      </w:r>
      <w:r w:rsidRPr="00AA26C0">
        <w:rPr>
          <w:sz w:val="28"/>
          <w:szCs w:val="28"/>
          <w:lang w:val="uk-UA"/>
        </w:rPr>
        <w:t xml:space="preserve">  Гіпертрофія лівого шлуночка у хворих метаболічним синдромом з урахуванням гендерних особливостей та ступеню ожиріння</w:t>
      </w:r>
      <w:r w:rsidRPr="006D73F0">
        <w:rPr>
          <w:sz w:val="28"/>
          <w:szCs w:val="28"/>
          <w:lang w:val="uk-UA"/>
        </w:rPr>
        <w:t xml:space="preserve"> </w:t>
      </w:r>
      <w:r>
        <w:rPr>
          <w:sz w:val="28"/>
          <w:szCs w:val="28"/>
          <w:lang w:val="uk-UA"/>
        </w:rPr>
        <w:t>/</w:t>
      </w:r>
      <w:r w:rsidRPr="00AA26C0">
        <w:rPr>
          <w:sz w:val="28"/>
          <w:szCs w:val="28"/>
          <w:lang w:val="uk-UA"/>
        </w:rPr>
        <w:t xml:space="preserve"> Каспрук Г. Б., Мітченко О. І., Романов В. Ю., Бєляєва Т. В.</w:t>
      </w:r>
      <w:r w:rsidRPr="00B903C1">
        <w:rPr>
          <w:sz w:val="28"/>
          <w:szCs w:val="28"/>
          <w:lang w:val="uk-UA"/>
        </w:rPr>
        <w:t xml:space="preserve"> //</w:t>
      </w:r>
      <w:r w:rsidRPr="00AA26C0">
        <w:rPr>
          <w:sz w:val="28"/>
          <w:szCs w:val="28"/>
          <w:lang w:val="uk-UA"/>
        </w:rPr>
        <w:t xml:space="preserve"> Метаболічни</w:t>
      </w:r>
      <w:r>
        <w:rPr>
          <w:sz w:val="28"/>
          <w:szCs w:val="28"/>
          <w:lang w:val="uk-UA"/>
        </w:rPr>
        <w:t xml:space="preserve">й синдром в практиці терапевта: Науково-практична конференція </w:t>
      </w:r>
      <w:r w:rsidRPr="00AA26C0">
        <w:rPr>
          <w:sz w:val="28"/>
          <w:szCs w:val="28"/>
          <w:lang w:val="uk-UA"/>
        </w:rPr>
        <w:t>Харків,</w:t>
      </w:r>
      <w:r>
        <w:rPr>
          <w:sz w:val="28"/>
          <w:szCs w:val="28"/>
          <w:lang w:val="uk-UA"/>
        </w:rPr>
        <w:t xml:space="preserve"> 2008</w:t>
      </w:r>
      <w:r w:rsidRPr="00AA26C0">
        <w:rPr>
          <w:sz w:val="28"/>
          <w:szCs w:val="28"/>
          <w:lang w:val="uk-UA"/>
        </w:rPr>
        <w:t>.</w:t>
      </w:r>
      <w:r>
        <w:rPr>
          <w:sz w:val="28"/>
          <w:szCs w:val="28"/>
          <w:lang w:val="uk-UA"/>
        </w:rPr>
        <w:t>- С.</w:t>
      </w:r>
      <w:r w:rsidRPr="003071A6">
        <w:rPr>
          <w:sz w:val="28"/>
          <w:szCs w:val="28"/>
          <w:lang w:val="uk-UA"/>
        </w:rPr>
        <w:t xml:space="preserve"> </w:t>
      </w:r>
      <w:r>
        <w:rPr>
          <w:sz w:val="28"/>
          <w:szCs w:val="28"/>
          <w:lang w:val="uk-UA"/>
        </w:rPr>
        <w:t>(Приймала участь в обстеженні хворих, самостійно проводила статистичне і аналітичне опрацювання результатів, підготовку тезисів до друку,</w:t>
      </w:r>
      <w:r w:rsidRPr="00CC4E13">
        <w:rPr>
          <w:sz w:val="28"/>
          <w:szCs w:val="28"/>
          <w:lang w:val="uk-UA"/>
        </w:rPr>
        <w:t xml:space="preserve"> </w:t>
      </w:r>
      <w:r>
        <w:rPr>
          <w:sz w:val="28"/>
          <w:szCs w:val="28"/>
          <w:lang w:val="uk-UA"/>
        </w:rPr>
        <w:t xml:space="preserve">докладала на конференції). </w:t>
      </w:r>
    </w:p>
    <w:p w:rsidR="004B5E3F" w:rsidRDefault="004B5E3F" w:rsidP="004B5E3F">
      <w:pPr>
        <w:ind w:left="360" w:hanging="540"/>
        <w:jc w:val="both"/>
        <w:rPr>
          <w:sz w:val="28"/>
          <w:szCs w:val="28"/>
          <w:lang w:val="uk-UA"/>
        </w:rPr>
      </w:pPr>
      <w:r w:rsidRPr="00B903C1">
        <w:rPr>
          <w:sz w:val="28"/>
          <w:szCs w:val="28"/>
        </w:rPr>
        <w:t>12.</w:t>
      </w:r>
      <w:r w:rsidRPr="00B903C1">
        <w:rPr>
          <w:b/>
          <w:color w:val="000000"/>
          <w:sz w:val="28"/>
          <w:szCs w:val="28"/>
          <w:lang w:val="uk-UA"/>
        </w:rPr>
        <w:t xml:space="preserve"> </w:t>
      </w:r>
      <w:r w:rsidRPr="00220EA2">
        <w:rPr>
          <w:color w:val="000000"/>
          <w:sz w:val="28"/>
          <w:szCs w:val="28"/>
          <w:lang w:val="uk-UA"/>
        </w:rPr>
        <w:t>Мітченко О.І.</w:t>
      </w:r>
      <w:r>
        <w:rPr>
          <w:b/>
          <w:color w:val="000000"/>
          <w:sz w:val="28"/>
          <w:szCs w:val="28"/>
          <w:lang w:val="uk-UA"/>
        </w:rPr>
        <w:t xml:space="preserve"> </w:t>
      </w:r>
      <w:r w:rsidRPr="00B903C1">
        <w:rPr>
          <w:color w:val="000000"/>
          <w:sz w:val="28"/>
          <w:szCs w:val="28"/>
          <w:lang w:val="uk-UA"/>
        </w:rPr>
        <w:t>Гіпертрофія лівого шлуночку</w:t>
      </w:r>
      <w:r w:rsidRPr="00B903C1">
        <w:rPr>
          <w:sz w:val="28"/>
          <w:szCs w:val="28"/>
          <w:lang w:val="uk-UA"/>
        </w:rPr>
        <w:t xml:space="preserve"> у хворих із порушенями вуглеводного обміну на тлі </w:t>
      </w:r>
      <w:r w:rsidRPr="00B903C1">
        <w:rPr>
          <w:bCs/>
          <w:sz w:val="28"/>
          <w:szCs w:val="28"/>
          <w:lang w:val="uk-UA"/>
        </w:rPr>
        <w:t xml:space="preserve">метаболічного </w:t>
      </w:r>
      <w:r w:rsidRPr="00B903C1">
        <w:rPr>
          <w:bCs/>
          <w:sz w:val="28"/>
          <w:szCs w:val="28"/>
          <w:lang w:val="en-US"/>
        </w:rPr>
        <w:t>c</w:t>
      </w:r>
      <w:r w:rsidRPr="00B903C1">
        <w:rPr>
          <w:bCs/>
          <w:sz w:val="28"/>
          <w:szCs w:val="28"/>
          <w:lang w:val="uk-UA"/>
        </w:rPr>
        <w:t>индрому</w:t>
      </w:r>
      <w:r>
        <w:rPr>
          <w:sz w:val="28"/>
          <w:szCs w:val="28"/>
          <w:lang w:val="uk-UA"/>
        </w:rPr>
        <w:t xml:space="preserve"> /</w:t>
      </w:r>
      <w:r w:rsidRPr="00AA26C0">
        <w:rPr>
          <w:sz w:val="28"/>
          <w:szCs w:val="28"/>
          <w:lang w:val="uk-UA"/>
        </w:rPr>
        <w:t xml:space="preserve"> </w:t>
      </w:r>
      <w:r w:rsidRPr="00220EA2">
        <w:rPr>
          <w:color w:val="000000"/>
          <w:sz w:val="28"/>
          <w:szCs w:val="28"/>
          <w:lang w:val="uk-UA"/>
        </w:rPr>
        <w:t>Мітченко О.І., Каспрук Г.Б., Романов В.Ю., Бєляєва Т.В.</w:t>
      </w:r>
      <w:r w:rsidRPr="00B903C1">
        <w:rPr>
          <w:sz w:val="28"/>
          <w:szCs w:val="28"/>
          <w:lang w:val="uk-UA"/>
        </w:rPr>
        <w:t xml:space="preserve"> //</w:t>
      </w:r>
      <w:r>
        <w:rPr>
          <w:sz w:val="28"/>
          <w:szCs w:val="28"/>
          <w:lang w:val="uk-UA"/>
        </w:rPr>
        <w:t xml:space="preserve"> Укр. кардіол. журнал.- 2008. – № 3. – С.    . (Автор приймала участь у  обстеженні пацієнтів, особисто проведений статистичний аналіз отриманих даних та оформлені результати у вигляді статті).</w:t>
      </w:r>
    </w:p>
    <w:p w:rsidR="004B5E3F" w:rsidRDefault="004B5E3F" w:rsidP="004B5E3F">
      <w:pPr>
        <w:spacing w:line="340" w:lineRule="exact"/>
        <w:ind w:left="360" w:hanging="360"/>
        <w:jc w:val="both"/>
        <w:rPr>
          <w:sz w:val="28"/>
          <w:szCs w:val="28"/>
          <w:lang w:val="uk-UA"/>
        </w:rPr>
      </w:pPr>
      <w:r>
        <w:rPr>
          <w:sz w:val="28"/>
          <w:szCs w:val="28"/>
          <w:lang w:val="uk-UA"/>
        </w:rPr>
        <w:t xml:space="preserve">13. </w:t>
      </w:r>
      <w:r w:rsidRPr="00AA26C0">
        <w:rPr>
          <w:sz w:val="28"/>
          <w:szCs w:val="28"/>
          <w:lang w:val="uk-UA"/>
        </w:rPr>
        <w:t>Метаболічни</w:t>
      </w:r>
      <w:r>
        <w:rPr>
          <w:sz w:val="28"/>
          <w:szCs w:val="28"/>
          <w:lang w:val="uk-UA"/>
        </w:rPr>
        <w:t>й синдром в практиці терапевта: Науково-практична</w:t>
      </w:r>
      <w:r w:rsidRPr="00AA26C0">
        <w:rPr>
          <w:sz w:val="28"/>
          <w:szCs w:val="28"/>
          <w:lang w:val="uk-UA"/>
        </w:rPr>
        <w:t xml:space="preserve"> ко</w:t>
      </w:r>
      <w:r>
        <w:rPr>
          <w:sz w:val="28"/>
          <w:szCs w:val="28"/>
          <w:lang w:val="uk-UA"/>
        </w:rPr>
        <w:t>нференція, Харків, січня 2008.</w:t>
      </w:r>
      <w:r w:rsidRPr="00AA26C0">
        <w:rPr>
          <w:sz w:val="28"/>
          <w:szCs w:val="28"/>
          <w:lang w:val="uk-UA"/>
        </w:rPr>
        <w:t xml:space="preserve"> </w:t>
      </w:r>
      <w:r>
        <w:rPr>
          <w:sz w:val="28"/>
          <w:szCs w:val="28"/>
          <w:lang w:val="uk-UA"/>
        </w:rPr>
        <w:t xml:space="preserve">Х. 2008. - </w:t>
      </w:r>
      <w:r w:rsidRPr="00AA26C0">
        <w:rPr>
          <w:sz w:val="28"/>
          <w:szCs w:val="28"/>
          <w:lang w:val="uk-UA"/>
        </w:rPr>
        <w:t>С. 28.</w:t>
      </w:r>
      <w:r w:rsidRPr="00626A49">
        <w:rPr>
          <w:sz w:val="28"/>
          <w:szCs w:val="28"/>
          <w:lang w:val="uk-UA"/>
        </w:rPr>
        <w:t xml:space="preserve"> </w:t>
      </w:r>
      <w:r>
        <w:rPr>
          <w:sz w:val="28"/>
          <w:szCs w:val="28"/>
          <w:lang w:val="uk-UA"/>
        </w:rPr>
        <w:t>(Здобувачем здійснено  обстеження пацієнтів, статистична обробка і аналіз отриманих даних,</w:t>
      </w:r>
      <w:r w:rsidRPr="008C7F4E">
        <w:rPr>
          <w:sz w:val="28"/>
          <w:szCs w:val="28"/>
          <w:lang w:val="uk-UA"/>
        </w:rPr>
        <w:t xml:space="preserve"> </w:t>
      </w:r>
      <w:r>
        <w:rPr>
          <w:sz w:val="28"/>
          <w:szCs w:val="28"/>
          <w:lang w:val="uk-UA"/>
        </w:rPr>
        <w:t>підготовка тезисів до друку, докладала на конференції).</w:t>
      </w:r>
    </w:p>
    <w:p w:rsidR="004B5E3F" w:rsidRPr="008C7F4E" w:rsidRDefault="004B5E3F" w:rsidP="004B5E3F">
      <w:pPr>
        <w:spacing w:line="340" w:lineRule="exact"/>
        <w:ind w:left="360" w:hanging="360"/>
        <w:jc w:val="both"/>
        <w:rPr>
          <w:sz w:val="28"/>
          <w:szCs w:val="28"/>
          <w:lang w:val="uk-UA"/>
        </w:rPr>
      </w:pPr>
      <w:r>
        <w:rPr>
          <w:sz w:val="28"/>
          <w:szCs w:val="28"/>
          <w:lang w:val="uk-UA"/>
        </w:rPr>
        <w:t xml:space="preserve">14. </w:t>
      </w:r>
      <w:r w:rsidRPr="00AA26C0">
        <w:rPr>
          <w:sz w:val="28"/>
          <w:szCs w:val="28"/>
          <w:lang w:val="en-US"/>
        </w:rPr>
        <w:t>Kaspruk</w:t>
      </w:r>
      <w:r w:rsidRPr="00B903C1">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syndrome according</w:t>
      </w:r>
      <w:r w:rsidRPr="00AA26C0">
        <w:rPr>
          <w:sz w:val="28"/>
          <w:szCs w:val="28"/>
          <w:lang w:val="uk-UA"/>
        </w:rPr>
        <w:t xml:space="preserve"> </w:t>
      </w:r>
      <w:r w:rsidRPr="00AA26C0">
        <w:rPr>
          <w:sz w:val="28"/>
          <w:szCs w:val="28"/>
          <w:lang w:val="en-US"/>
        </w:rPr>
        <w:t>to</w:t>
      </w:r>
      <w:r w:rsidRPr="00AA26C0">
        <w:rPr>
          <w:sz w:val="28"/>
          <w:szCs w:val="28"/>
          <w:lang w:val="uk-UA"/>
        </w:rPr>
        <w:t xml:space="preserve"> </w:t>
      </w:r>
      <w:r w:rsidRPr="00AA26C0">
        <w:rPr>
          <w:sz w:val="28"/>
          <w:szCs w:val="28"/>
          <w:lang w:val="en-US"/>
        </w:rPr>
        <w:t>ATP</w:t>
      </w:r>
      <w:r w:rsidRPr="00AA26C0">
        <w:rPr>
          <w:sz w:val="28"/>
          <w:szCs w:val="28"/>
          <w:lang w:val="uk-UA"/>
        </w:rPr>
        <w:t xml:space="preserve"> </w:t>
      </w:r>
      <w:r w:rsidRPr="00AA26C0">
        <w:rPr>
          <w:sz w:val="28"/>
          <w:szCs w:val="28"/>
          <w:lang w:val="en-US"/>
        </w:rPr>
        <w:t>III</w:t>
      </w:r>
      <w:r w:rsidRPr="00AA26C0">
        <w:rPr>
          <w:sz w:val="28"/>
          <w:szCs w:val="28"/>
          <w:lang w:val="uk-UA"/>
        </w:rPr>
        <w:t xml:space="preserve"> </w:t>
      </w:r>
      <w:r w:rsidRPr="00AA26C0">
        <w:rPr>
          <w:sz w:val="28"/>
          <w:szCs w:val="28"/>
          <w:lang w:val="en-US"/>
        </w:rPr>
        <w:t>and</w:t>
      </w:r>
      <w:r w:rsidRPr="00AA26C0">
        <w:rPr>
          <w:sz w:val="28"/>
          <w:szCs w:val="28"/>
          <w:lang w:val="uk-UA"/>
        </w:rPr>
        <w:t xml:space="preserve"> </w:t>
      </w:r>
      <w:r w:rsidRPr="00AA26C0">
        <w:rPr>
          <w:sz w:val="28"/>
          <w:szCs w:val="28"/>
          <w:lang w:val="en-US"/>
        </w:rPr>
        <w:t>IDF</w:t>
      </w:r>
      <w:r>
        <w:rPr>
          <w:sz w:val="28"/>
          <w:szCs w:val="28"/>
          <w:lang w:val="uk-UA"/>
        </w:rPr>
        <w:t xml:space="preserve"> /</w:t>
      </w:r>
      <w:r w:rsidRPr="00EE0C50">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 O</w:t>
      </w:r>
      <w:r w:rsidRPr="00AA26C0">
        <w:rPr>
          <w:sz w:val="28"/>
          <w:szCs w:val="28"/>
          <w:lang w:val="uk-UA"/>
        </w:rPr>
        <w:t xml:space="preserve">. </w:t>
      </w:r>
      <w:r>
        <w:rPr>
          <w:sz w:val="28"/>
          <w:szCs w:val="28"/>
          <w:lang w:val="en-US"/>
        </w:rPr>
        <w:t>Mitchenko</w:t>
      </w:r>
      <w:r>
        <w:rPr>
          <w:sz w:val="28"/>
          <w:szCs w:val="28"/>
          <w:lang w:val="uk-UA"/>
        </w:rPr>
        <w:t xml:space="preserve"> </w:t>
      </w:r>
      <w:r>
        <w:rPr>
          <w:sz w:val="28"/>
          <w:szCs w:val="28"/>
          <w:lang w:val="en-US"/>
        </w:rPr>
        <w:t>// Eigh</w:t>
      </w:r>
      <w:r w:rsidRPr="00AA26C0">
        <w:rPr>
          <w:sz w:val="28"/>
          <w:szCs w:val="28"/>
          <w:lang w:val="en-US"/>
        </w:rPr>
        <w:t xml:space="preserve">teen European </w:t>
      </w:r>
      <w:r>
        <w:rPr>
          <w:sz w:val="28"/>
          <w:szCs w:val="28"/>
          <w:lang w:val="en-US"/>
        </w:rPr>
        <w:t xml:space="preserve">and Twenty second International </w:t>
      </w:r>
      <w:r w:rsidRPr="00AA26C0">
        <w:rPr>
          <w:sz w:val="28"/>
          <w:szCs w:val="28"/>
          <w:lang w:val="en-US"/>
        </w:rPr>
        <w:t>Congress</w:t>
      </w:r>
      <w:r>
        <w:rPr>
          <w:sz w:val="28"/>
          <w:szCs w:val="28"/>
          <w:lang w:val="en-US"/>
        </w:rPr>
        <w:t>es</w:t>
      </w:r>
      <w:r w:rsidRPr="00AA26C0">
        <w:rPr>
          <w:sz w:val="28"/>
          <w:szCs w:val="28"/>
          <w:lang w:val="en-US"/>
        </w:rPr>
        <w:t xml:space="preserve"> of Hypertension. </w:t>
      </w:r>
      <w:r>
        <w:rPr>
          <w:sz w:val="28"/>
          <w:szCs w:val="28"/>
          <w:lang w:val="uk-UA"/>
        </w:rPr>
        <w:t xml:space="preserve">Берлін, </w:t>
      </w:r>
      <w:r>
        <w:rPr>
          <w:sz w:val="28"/>
          <w:szCs w:val="28"/>
          <w:lang w:val="en-US"/>
        </w:rPr>
        <w:t>червн</w:t>
      </w:r>
      <w:r>
        <w:rPr>
          <w:sz w:val="28"/>
          <w:szCs w:val="28"/>
          <w:lang w:val="uk-UA"/>
        </w:rPr>
        <w:t>я</w:t>
      </w:r>
      <w:r>
        <w:rPr>
          <w:sz w:val="28"/>
          <w:szCs w:val="28"/>
          <w:lang w:val="en-US"/>
        </w:rPr>
        <w:t xml:space="preserve"> </w:t>
      </w:r>
      <w:r>
        <w:rPr>
          <w:sz w:val="28"/>
          <w:szCs w:val="28"/>
          <w:lang w:val="uk-UA"/>
        </w:rPr>
        <w:t>2008</w:t>
      </w:r>
      <w:r w:rsidRPr="00AA26C0">
        <w:rPr>
          <w:sz w:val="28"/>
          <w:szCs w:val="28"/>
          <w:lang w:val="uk-UA"/>
        </w:rPr>
        <w:t>.</w:t>
      </w:r>
      <w:r w:rsidRPr="00D93405">
        <w:rPr>
          <w:sz w:val="28"/>
          <w:szCs w:val="28"/>
          <w:lang w:val="en-US"/>
        </w:rPr>
        <w:t xml:space="preserve"> </w:t>
      </w:r>
      <w:r w:rsidRPr="00AA26C0">
        <w:rPr>
          <w:sz w:val="28"/>
          <w:szCs w:val="28"/>
          <w:lang w:val="en-US"/>
        </w:rPr>
        <w:t>J</w:t>
      </w:r>
      <w:r w:rsidRPr="00D93405">
        <w:rPr>
          <w:sz w:val="28"/>
          <w:szCs w:val="28"/>
          <w:lang w:val="en-US"/>
        </w:rPr>
        <w:t xml:space="preserve">. </w:t>
      </w:r>
      <w:r w:rsidRPr="00AA26C0">
        <w:rPr>
          <w:sz w:val="28"/>
          <w:szCs w:val="28"/>
          <w:lang w:val="en-US"/>
        </w:rPr>
        <w:t>of</w:t>
      </w:r>
      <w:r w:rsidRPr="00D93405">
        <w:rPr>
          <w:sz w:val="28"/>
          <w:szCs w:val="28"/>
          <w:lang w:val="en-US"/>
        </w:rPr>
        <w:t xml:space="preserve"> </w:t>
      </w:r>
      <w:r w:rsidRPr="00AA26C0">
        <w:rPr>
          <w:sz w:val="28"/>
          <w:szCs w:val="28"/>
          <w:lang w:val="en-US"/>
        </w:rPr>
        <w:t>Hypertension</w:t>
      </w:r>
      <w:r w:rsidRPr="00D93405">
        <w:rPr>
          <w:sz w:val="28"/>
          <w:szCs w:val="28"/>
          <w:lang w:val="en-US"/>
        </w:rPr>
        <w:t>. – 200</w:t>
      </w:r>
      <w:r>
        <w:rPr>
          <w:sz w:val="28"/>
          <w:szCs w:val="28"/>
          <w:lang w:val="en-US"/>
        </w:rPr>
        <w:t>8</w:t>
      </w:r>
      <w:r w:rsidRPr="00D93405">
        <w:rPr>
          <w:sz w:val="28"/>
          <w:szCs w:val="28"/>
          <w:lang w:val="en-US"/>
        </w:rPr>
        <w:t xml:space="preserve">.- </w:t>
      </w:r>
      <w:r w:rsidRPr="00AA26C0">
        <w:rPr>
          <w:sz w:val="28"/>
          <w:szCs w:val="28"/>
          <w:lang w:val="en-US"/>
        </w:rPr>
        <w:t>Vol</w:t>
      </w:r>
      <w:r w:rsidRPr="00D93405">
        <w:rPr>
          <w:sz w:val="28"/>
          <w:szCs w:val="28"/>
          <w:lang w:val="en-US"/>
        </w:rPr>
        <w:t>. 25</w:t>
      </w:r>
      <w:r w:rsidRPr="00AA26C0">
        <w:rPr>
          <w:sz w:val="28"/>
          <w:szCs w:val="28"/>
          <w:lang w:val="uk-UA"/>
        </w:rPr>
        <w:t xml:space="preserve"> (</w:t>
      </w:r>
      <w:r w:rsidRPr="00AA26C0">
        <w:rPr>
          <w:sz w:val="28"/>
          <w:szCs w:val="28"/>
          <w:lang w:val="en-US"/>
        </w:rPr>
        <w:t>Suppl</w:t>
      </w:r>
      <w:r w:rsidRPr="00D93405">
        <w:rPr>
          <w:sz w:val="28"/>
          <w:szCs w:val="28"/>
          <w:lang w:val="en-US"/>
        </w:rPr>
        <w:t xml:space="preserve">. </w:t>
      </w:r>
      <w:r w:rsidRPr="003E4C05">
        <w:rPr>
          <w:sz w:val="28"/>
          <w:szCs w:val="28"/>
        </w:rPr>
        <w:t>2</w:t>
      </w:r>
      <w:r w:rsidRPr="00AA26C0">
        <w:rPr>
          <w:sz w:val="28"/>
          <w:szCs w:val="28"/>
          <w:lang w:val="uk-UA"/>
        </w:rPr>
        <w:t>)</w:t>
      </w:r>
      <w:r w:rsidRPr="003E4C05">
        <w:rPr>
          <w:sz w:val="28"/>
          <w:szCs w:val="28"/>
        </w:rPr>
        <w:t xml:space="preserve">. – </w:t>
      </w:r>
      <w:r w:rsidRPr="00AA26C0">
        <w:rPr>
          <w:sz w:val="28"/>
          <w:szCs w:val="28"/>
          <w:lang w:val="en-US"/>
        </w:rPr>
        <w:t>P</w:t>
      </w:r>
      <w:r w:rsidRPr="003E4C05">
        <w:rPr>
          <w:sz w:val="28"/>
          <w:szCs w:val="28"/>
        </w:rPr>
        <w:t xml:space="preserve">. </w:t>
      </w:r>
      <w:r w:rsidRPr="00AA26C0">
        <w:rPr>
          <w:sz w:val="28"/>
          <w:szCs w:val="28"/>
          <w:lang w:val="en-US"/>
        </w:rPr>
        <w:t>S</w:t>
      </w:r>
      <w:r w:rsidRPr="003E4C05">
        <w:rPr>
          <w:sz w:val="28"/>
          <w:szCs w:val="28"/>
        </w:rPr>
        <w:t xml:space="preserve">162. </w:t>
      </w:r>
      <w:r>
        <w:rPr>
          <w:sz w:val="28"/>
          <w:szCs w:val="28"/>
          <w:lang w:val="uk-UA"/>
        </w:rPr>
        <w:t xml:space="preserve">(Приймала участь в обстеженні хворих, самостійно проводила </w:t>
      </w:r>
      <w:r>
        <w:rPr>
          <w:sz w:val="28"/>
          <w:szCs w:val="28"/>
          <w:lang w:val="uk-UA"/>
        </w:rPr>
        <w:lastRenderedPageBreak/>
        <w:t>статистичне і аналітичне опрацювання результатів, переклад і підготовку тезисів до друку,</w:t>
      </w:r>
      <w:r w:rsidRPr="00CC4E13">
        <w:rPr>
          <w:sz w:val="28"/>
          <w:szCs w:val="28"/>
          <w:lang w:val="uk-UA"/>
        </w:rPr>
        <w:t xml:space="preserve"> </w:t>
      </w:r>
      <w:r>
        <w:rPr>
          <w:sz w:val="28"/>
          <w:szCs w:val="28"/>
          <w:lang w:val="uk-UA"/>
        </w:rPr>
        <w:t xml:space="preserve">докладала на конференції). </w:t>
      </w:r>
    </w:p>
    <w:p w:rsidR="004B5E3F" w:rsidRPr="003E4C05" w:rsidRDefault="004B5E3F" w:rsidP="004B5E3F">
      <w:pPr>
        <w:spacing w:line="340" w:lineRule="exact"/>
        <w:ind w:left="360" w:hanging="360"/>
        <w:jc w:val="both"/>
        <w:rPr>
          <w:sz w:val="28"/>
          <w:szCs w:val="28"/>
        </w:rPr>
      </w:pPr>
    </w:p>
    <w:p w:rsidR="004B5E3F" w:rsidRPr="003E4C05" w:rsidRDefault="004B5E3F" w:rsidP="004B5E3F">
      <w:pPr>
        <w:spacing w:line="340" w:lineRule="exact"/>
        <w:ind w:left="360" w:hanging="360"/>
        <w:jc w:val="both"/>
        <w:rPr>
          <w:sz w:val="28"/>
          <w:szCs w:val="28"/>
        </w:rPr>
      </w:pPr>
    </w:p>
    <w:p w:rsidR="004B5E3F" w:rsidRPr="003E4C05" w:rsidRDefault="004B5E3F" w:rsidP="004B5E3F">
      <w:pPr>
        <w:spacing w:line="340" w:lineRule="exact"/>
        <w:ind w:left="360" w:hanging="360"/>
        <w:jc w:val="both"/>
        <w:rPr>
          <w:sz w:val="28"/>
          <w:szCs w:val="28"/>
        </w:rPr>
      </w:pPr>
    </w:p>
    <w:p w:rsidR="004B5E3F" w:rsidRPr="003E4C05" w:rsidRDefault="004B5E3F" w:rsidP="004B5E3F">
      <w:pPr>
        <w:spacing w:line="340" w:lineRule="exact"/>
        <w:ind w:left="360" w:hanging="360"/>
        <w:jc w:val="both"/>
        <w:rPr>
          <w:sz w:val="28"/>
          <w:szCs w:val="28"/>
        </w:rPr>
      </w:pPr>
    </w:p>
    <w:p w:rsidR="004B5E3F" w:rsidRPr="003E4C05" w:rsidRDefault="004B5E3F" w:rsidP="004B5E3F">
      <w:pPr>
        <w:spacing w:line="340" w:lineRule="exact"/>
        <w:ind w:left="360" w:hanging="360"/>
        <w:jc w:val="both"/>
        <w:rPr>
          <w:sz w:val="28"/>
          <w:szCs w:val="28"/>
        </w:rPr>
      </w:pPr>
    </w:p>
    <w:p w:rsidR="004B5E3F" w:rsidRPr="00390E5F" w:rsidRDefault="004B5E3F" w:rsidP="004B5E3F">
      <w:pPr>
        <w:spacing w:line="340" w:lineRule="exact"/>
        <w:ind w:left="360" w:hanging="360"/>
        <w:jc w:val="center"/>
        <w:rPr>
          <w:b/>
          <w:sz w:val="28"/>
          <w:szCs w:val="28"/>
          <w:lang w:val="uk-UA"/>
        </w:rPr>
      </w:pPr>
      <w:r w:rsidRPr="00390E5F">
        <w:rPr>
          <w:b/>
          <w:sz w:val="28"/>
          <w:szCs w:val="28"/>
          <w:lang w:val="uk-UA"/>
        </w:rPr>
        <w:t>СПИСОК НАУКОВИХ ПРАЦЬ</w:t>
      </w:r>
    </w:p>
    <w:p w:rsidR="004B5E3F" w:rsidRDefault="004B5E3F" w:rsidP="004B5E3F">
      <w:pPr>
        <w:spacing w:line="340" w:lineRule="exact"/>
        <w:ind w:left="360" w:hanging="360"/>
        <w:jc w:val="center"/>
        <w:rPr>
          <w:b/>
          <w:sz w:val="28"/>
          <w:szCs w:val="28"/>
          <w:lang w:val="uk-UA"/>
        </w:rPr>
      </w:pPr>
      <w:r w:rsidRPr="00390E5F">
        <w:rPr>
          <w:b/>
          <w:sz w:val="28"/>
          <w:szCs w:val="28"/>
          <w:lang w:val="uk-UA"/>
        </w:rPr>
        <w:t>м. н. с. відділу Дисліпідемій КАСПРУК Г. Б.</w:t>
      </w:r>
    </w:p>
    <w:p w:rsidR="004B5E3F" w:rsidRPr="00390E5F" w:rsidRDefault="004B5E3F" w:rsidP="004B5E3F">
      <w:pPr>
        <w:spacing w:line="340" w:lineRule="exact"/>
        <w:ind w:left="360" w:hanging="360"/>
        <w:jc w:val="center"/>
        <w:rPr>
          <w:b/>
          <w:sz w:val="28"/>
          <w:szCs w:val="28"/>
          <w:lang w:val="uk-UA"/>
        </w:rPr>
      </w:pPr>
    </w:p>
    <w:p w:rsidR="004B5E3F" w:rsidRDefault="004B5E3F" w:rsidP="004B5E3F">
      <w:pPr>
        <w:spacing w:line="340" w:lineRule="exact"/>
        <w:ind w:left="360" w:hanging="360"/>
        <w:jc w:val="both"/>
        <w:rPr>
          <w:sz w:val="28"/>
          <w:szCs w:val="28"/>
          <w:lang w:val="uk-UA"/>
        </w:rPr>
      </w:pPr>
      <w:r>
        <w:rPr>
          <w:sz w:val="28"/>
          <w:szCs w:val="28"/>
          <w:lang w:val="uk-UA"/>
        </w:rPr>
        <w:t xml:space="preserve">1. </w:t>
      </w:r>
      <w:r w:rsidRPr="00AA26C0">
        <w:rPr>
          <w:sz w:val="28"/>
          <w:szCs w:val="28"/>
          <w:lang w:val="uk-UA"/>
        </w:rPr>
        <w:t>Романов В.Ю</w:t>
      </w:r>
      <w:r>
        <w:rPr>
          <w:sz w:val="28"/>
          <w:szCs w:val="28"/>
          <w:lang w:val="uk-UA"/>
        </w:rPr>
        <w:t xml:space="preserve">. </w:t>
      </w:r>
      <w:r w:rsidRPr="00AA26C0">
        <w:rPr>
          <w:sz w:val="28"/>
          <w:szCs w:val="28"/>
          <w:lang w:val="uk-UA"/>
        </w:rPr>
        <w:t>Особенности формирования гипертрофии левого желудочка у бол</w:t>
      </w:r>
      <w:r>
        <w:rPr>
          <w:sz w:val="28"/>
          <w:szCs w:val="28"/>
          <w:lang w:val="uk-UA"/>
        </w:rPr>
        <w:t>ьных с метаболическим синдромом</w:t>
      </w:r>
      <w:r w:rsidRPr="006D73F0">
        <w:rPr>
          <w:sz w:val="28"/>
          <w:szCs w:val="28"/>
        </w:rPr>
        <w:t xml:space="preserve"> </w:t>
      </w:r>
      <w:r>
        <w:rPr>
          <w:sz w:val="28"/>
          <w:szCs w:val="28"/>
          <w:lang w:val="uk-UA"/>
        </w:rPr>
        <w:t>/</w:t>
      </w:r>
      <w:r w:rsidRPr="00AA26C0">
        <w:rPr>
          <w:sz w:val="28"/>
          <w:szCs w:val="28"/>
          <w:lang w:val="uk-UA"/>
        </w:rPr>
        <w:t xml:space="preserve"> Романов В.Ю., Митченко Е.И.</w:t>
      </w:r>
      <w:r>
        <w:rPr>
          <w:sz w:val="28"/>
          <w:szCs w:val="28"/>
          <w:lang w:val="uk-UA"/>
        </w:rPr>
        <w:t xml:space="preserve">, Каспрук Г.Б., Беляева Т.В. // </w:t>
      </w:r>
      <w:r w:rsidRPr="00AA26C0">
        <w:rPr>
          <w:sz w:val="28"/>
          <w:szCs w:val="28"/>
          <w:lang w:val="uk-UA"/>
        </w:rPr>
        <w:t>Первинна та вторинна профілактика церебро-васкулярних усклад</w:t>
      </w:r>
      <w:r>
        <w:rPr>
          <w:sz w:val="28"/>
          <w:szCs w:val="28"/>
          <w:lang w:val="uk-UA"/>
        </w:rPr>
        <w:t>нень артеріальної гіпертензії: Українськ</w:t>
      </w:r>
      <w:r w:rsidRPr="00326910">
        <w:rPr>
          <w:sz w:val="28"/>
          <w:szCs w:val="28"/>
        </w:rPr>
        <w:t>а</w:t>
      </w:r>
      <w:r>
        <w:rPr>
          <w:sz w:val="28"/>
          <w:szCs w:val="28"/>
          <w:lang w:val="uk-UA"/>
        </w:rPr>
        <w:t xml:space="preserve"> науково-практична конференція - Київ, 2006</w:t>
      </w:r>
      <w:r w:rsidRPr="00AA26C0">
        <w:rPr>
          <w:sz w:val="28"/>
          <w:szCs w:val="28"/>
          <w:lang w:val="uk-UA"/>
        </w:rPr>
        <w:t>.</w:t>
      </w:r>
      <w:r w:rsidRPr="00326910">
        <w:rPr>
          <w:sz w:val="28"/>
          <w:szCs w:val="28"/>
          <w:lang w:val="uk-UA"/>
        </w:rPr>
        <w:t xml:space="preserve"> </w:t>
      </w:r>
      <w:r>
        <w:rPr>
          <w:sz w:val="28"/>
          <w:szCs w:val="28"/>
          <w:lang w:val="uk-UA"/>
        </w:rPr>
        <w:t xml:space="preserve">- </w:t>
      </w:r>
      <w:r w:rsidRPr="00AA26C0">
        <w:rPr>
          <w:sz w:val="28"/>
          <w:szCs w:val="28"/>
          <w:lang w:val="uk-UA"/>
        </w:rPr>
        <w:t>С. 117.</w:t>
      </w:r>
      <w:r w:rsidRPr="001B4465">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2.</w:t>
      </w:r>
      <w:r w:rsidRPr="006D73F0">
        <w:rPr>
          <w:sz w:val="28"/>
          <w:szCs w:val="28"/>
          <w:lang w:val="uk-UA"/>
        </w:rPr>
        <w:t xml:space="preserve"> </w:t>
      </w:r>
      <w:r w:rsidRPr="00AA26C0">
        <w:rPr>
          <w:sz w:val="28"/>
          <w:szCs w:val="28"/>
          <w:lang w:val="uk-UA"/>
        </w:rPr>
        <w:t>Мітченко О.І</w:t>
      </w:r>
      <w:r>
        <w:rPr>
          <w:sz w:val="28"/>
          <w:szCs w:val="28"/>
          <w:lang w:val="uk-UA"/>
        </w:rPr>
        <w:t>.</w:t>
      </w:r>
      <w:r w:rsidRPr="006D73F0">
        <w:rPr>
          <w:sz w:val="28"/>
          <w:szCs w:val="28"/>
          <w:lang w:val="uk-UA"/>
        </w:rPr>
        <w:t xml:space="preserve"> </w:t>
      </w:r>
      <w:r w:rsidRPr="00AA26C0">
        <w:rPr>
          <w:sz w:val="28"/>
          <w:szCs w:val="28"/>
          <w:lang w:val="uk-UA"/>
        </w:rPr>
        <w:t>Особливості формування гіпертрофії міокарда лівого шлуночка у пацієнтів з гіпертонічною хворобою та метаболічним синдро</w:t>
      </w:r>
      <w:r>
        <w:rPr>
          <w:sz w:val="28"/>
          <w:szCs w:val="28"/>
          <w:lang w:val="uk-UA"/>
        </w:rPr>
        <w:t>мом</w:t>
      </w:r>
      <w:r w:rsidRPr="006D73F0">
        <w:rPr>
          <w:sz w:val="28"/>
          <w:szCs w:val="28"/>
          <w:lang w:val="uk-UA"/>
        </w:rPr>
        <w:t xml:space="preserve"> </w:t>
      </w:r>
      <w:r>
        <w:rPr>
          <w:sz w:val="28"/>
          <w:szCs w:val="28"/>
          <w:lang w:val="uk-UA"/>
        </w:rPr>
        <w:t>/</w:t>
      </w:r>
      <w:r w:rsidRPr="00AA26C0">
        <w:rPr>
          <w:sz w:val="28"/>
          <w:szCs w:val="28"/>
          <w:lang w:val="uk-UA"/>
        </w:rPr>
        <w:t xml:space="preserve"> Мітченко О.І.</w:t>
      </w:r>
      <w:r w:rsidRPr="006D73F0">
        <w:rPr>
          <w:sz w:val="28"/>
          <w:szCs w:val="28"/>
          <w:lang w:val="uk-UA"/>
        </w:rPr>
        <w:t xml:space="preserve"> </w:t>
      </w:r>
      <w:r w:rsidRPr="00AA26C0">
        <w:rPr>
          <w:sz w:val="28"/>
          <w:szCs w:val="28"/>
          <w:lang w:val="uk-UA"/>
        </w:rPr>
        <w:t xml:space="preserve">, Романов В.Ю., Каспрук Г.Б., Беляєва Т.В., Логвиненко А.О. </w:t>
      </w:r>
      <w:r>
        <w:rPr>
          <w:sz w:val="28"/>
          <w:szCs w:val="28"/>
          <w:lang w:val="uk-UA"/>
        </w:rPr>
        <w:t>//</w:t>
      </w:r>
      <w:r w:rsidRPr="006D73F0">
        <w:rPr>
          <w:sz w:val="28"/>
          <w:szCs w:val="28"/>
          <w:lang w:val="uk-UA"/>
        </w:rPr>
        <w:t xml:space="preserve"> </w:t>
      </w:r>
      <w:r w:rsidRPr="00AA26C0">
        <w:rPr>
          <w:sz w:val="28"/>
          <w:szCs w:val="28"/>
          <w:lang w:val="uk-UA"/>
        </w:rPr>
        <w:t>Кардіологія вчора, сьогодні, завтра</w:t>
      </w:r>
      <w:r>
        <w:rPr>
          <w:sz w:val="28"/>
          <w:szCs w:val="28"/>
          <w:lang w:val="uk-UA"/>
        </w:rPr>
        <w:t xml:space="preserve">: Міжнародний </w:t>
      </w:r>
      <w:r w:rsidRPr="00AA26C0">
        <w:rPr>
          <w:sz w:val="28"/>
          <w:szCs w:val="28"/>
          <w:lang w:val="uk-UA"/>
        </w:rPr>
        <w:t xml:space="preserve">форум </w:t>
      </w:r>
      <w:r>
        <w:rPr>
          <w:sz w:val="28"/>
          <w:szCs w:val="28"/>
          <w:lang w:val="uk-UA"/>
        </w:rPr>
        <w:t>Київ, 2006.</w:t>
      </w:r>
      <w:r w:rsidRPr="00D93405">
        <w:rPr>
          <w:sz w:val="28"/>
          <w:szCs w:val="28"/>
          <w:lang w:val="uk-UA"/>
        </w:rPr>
        <w:t xml:space="preserve"> </w:t>
      </w:r>
      <w:r>
        <w:rPr>
          <w:sz w:val="28"/>
          <w:szCs w:val="28"/>
          <w:lang w:val="uk-UA"/>
        </w:rPr>
        <w:t>Укр. кардіол.</w:t>
      </w:r>
      <w:r w:rsidRPr="00AA26C0">
        <w:rPr>
          <w:sz w:val="28"/>
          <w:szCs w:val="28"/>
          <w:lang w:val="uk-UA"/>
        </w:rPr>
        <w:t xml:space="preserve"> журнал. – 2006. – Спеціальний випуск.  - С. 131-135.</w:t>
      </w:r>
      <w:r w:rsidRPr="001B4465">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 xml:space="preserve">3. </w:t>
      </w:r>
      <w:r w:rsidRPr="00AA26C0">
        <w:rPr>
          <w:sz w:val="28"/>
          <w:szCs w:val="28"/>
          <w:lang w:val="uk-UA"/>
        </w:rPr>
        <w:t>Митченко Е.И.</w:t>
      </w:r>
      <w:r w:rsidRPr="006D73F0">
        <w:rPr>
          <w:sz w:val="28"/>
          <w:szCs w:val="28"/>
        </w:rPr>
        <w:t xml:space="preserve"> </w:t>
      </w:r>
      <w:r w:rsidRPr="00AA26C0">
        <w:rPr>
          <w:sz w:val="28"/>
          <w:szCs w:val="28"/>
          <w:lang w:val="uk-UA"/>
        </w:rPr>
        <w:t>Метаболический синдром у мужчин и женщин: в чем различие</w:t>
      </w:r>
      <w:r w:rsidRPr="00AA26C0">
        <w:rPr>
          <w:sz w:val="28"/>
          <w:szCs w:val="28"/>
        </w:rPr>
        <w:t>?</w:t>
      </w:r>
      <w:r w:rsidRPr="00AA26C0">
        <w:rPr>
          <w:sz w:val="28"/>
          <w:szCs w:val="28"/>
          <w:lang w:val="uk-UA"/>
        </w:rPr>
        <w:t xml:space="preserve"> </w:t>
      </w:r>
      <w:r>
        <w:rPr>
          <w:sz w:val="28"/>
          <w:szCs w:val="28"/>
          <w:lang w:val="uk-UA"/>
        </w:rPr>
        <w:t>/</w:t>
      </w:r>
      <w:r w:rsidRPr="006D73F0">
        <w:rPr>
          <w:sz w:val="28"/>
          <w:szCs w:val="28"/>
          <w:lang w:val="uk-UA"/>
        </w:rPr>
        <w:t xml:space="preserve"> </w:t>
      </w:r>
      <w:r w:rsidRPr="00AA26C0">
        <w:rPr>
          <w:sz w:val="28"/>
          <w:szCs w:val="28"/>
          <w:lang w:val="uk-UA"/>
        </w:rPr>
        <w:t>Митченко Е.И.</w:t>
      </w:r>
      <w:r w:rsidRPr="006D73F0">
        <w:rPr>
          <w:sz w:val="28"/>
          <w:szCs w:val="28"/>
        </w:rPr>
        <w:t xml:space="preserve"> </w:t>
      </w:r>
      <w:r w:rsidRPr="00AA26C0">
        <w:rPr>
          <w:sz w:val="28"/>
          <w:szCs w:val="28"/>
          <w:lang w:val="uk-UA"/>
        </w:rPr>
        <w:t>, Романов В.Ю., Беляева Т.В., Чулаевская И.В., Илюшина А.Я., Логвиненко А.А., Кулик О.Ю., Каспрук Г.Б.</w:t>
      </w:r>
      <w:r w:rsidRPr="006D73F0">
        <w:rPr>
          <w:sz w:val="28"/>
          <w:szCs w:val="28"/>
          <w:lang w:val="uk-UA"/>
        </w:rPr>
        <w:t xml:space="preserve"> </w:t>
      </w:r>
      <w:r>
        <w:rPr>
          <w:sz w:val="28"/>
          <w:szCs w:val="28"/>
          <w:lang w:val="uk-UA"/>
        </w:rPr>
        <w:t>//</w:t>
      </w:r>
      <w:r w:rsidRPr="00AA26C0">
        <w:rPr>
          <w:sz w:val="28"/>
          <w:szCs w:val="28"/>
          <w:lang w:val="uk-UA"/>
        </w:rPr>
        <w:t xml:space="preserve"> </w:t>
      </w:r>
      <w:r>
        <w:rPr>
          <w:sz w:val="28"/>
          <w:szCs w:val="28"/>
          <w:lang w:val="uk-UA"/>
        </w:rPr>
        <w:t>Пленум:</w:t>
      </w:r>
      <w:r w:rsidRPr="00AA26C0">
        <w:rPr>
          <w:sz w:val="28"/>
          <w:szCs w:val="28"/>
          <w:lang w:val="uk-UA"/>
        </w:rPr>
        <w:t xml:space="preserve"> Первинна та вторинна профілактика серцево-судинних та мозкових порушень. Можливості інтервенційних втручань</w:t>
      </w:r>
      <w:r>
        <w:rPr>
          <w:sz w:val="28"/>
          <w:szCs w:val="28"/>
          <w:lang w:val="uk-UA"/>
        </w:rPr>
        <w:t xml:space="preserve"> - Київ, </w:t>
      </w:r>
      <w:r w:rsidRPr="00AA26C0">
        <w:rPr>
          <w:sz w:val="28"/>
          <w:szCs w:val="28"/>
          <w:lang w:val="uk-UA"/>
        </w:rPr>
        <w:t>200</w:t>
      </w:r>
      <w:r>
        <w:rPr>
          <w:sz w:val="28"/>
          <w:szCs w:val="28"/>
          <w:lang w:val="uk-UA"/>
        </w:rPr>
        <w:t>6.</w:t>
      </w:r>
      <w:r w:rsidRPr="00AA26C0">
        <w:rPr>
          <w:sz w:val="28"/>
          <w:szCs w:val="28"/>
          <w:lang w:val="uk-UA"/>
        </w:rPr>
        <w:t xml:space="preserve"> </w:t>
      </w:r>
      <w:r w:rsidRPr="008A73DD">
        <w:rPr>
          <w:sz w:val="28"/>
          <w:szCs w:val="28"/>
        </w:rPr>
        <w:t>-</w:t>
      </w:r>
      <w:r>
        <w:rPr>
          <w:sz w:val="28"/>
          <w:szCs w:val="28"/>
          <w:lang w:val="uk-UA"/>
        </w:rPr>
        <w:t xml:space="preserve"> </w:t>
      </w:r>
      <w:r w:rsidRPr="00AA26C0">
        <w:rPr>
          <w:sz w:val="28"/>
          <w:szCs w:val="28"/>
          <w:lang w:val="uk-UA"/>
        </w:rPr>
        <w:t>С 16.</w:t>
      </w:r>
      <w:r w:rsidRPr="00C971E9">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4. Митченко Е.И.</w:t>
      </w:r>
      <w:r w:rsidRPr="00EE0C50">
        <w:rPr>
          <w:sz w:val="28"/>
          <w:szCs w:val="28"/>
        </w:rPr>
        <w:t xml:space="preserve"> </w:t>
      </w:r>
      <w:r w:rsidRPr="00AA26C0">
        <w:rPr>
          <w:sz w:val="28"/>
          <w:szCs w:val="28"/>
        </w:rPr>
        <w:t xml:space="preserve">Выявление </w:t>
      </w:r>
      <w:r w:rsidRPr="00AA26C0">
        <w:rPr>
          <w:sz w:val="28"/>
          <w:szCs w:val="28"/>
          <w:lang w:val="uk-UA"/>
        </w:rPr>
        <w:t xml:space="preserve">гипертрофии миокарда левого желудочка у пациентов с гипертонической болезнью и  метаболическим синдромом, определенном по рекомендациям </w:t>
      </w:r>
      <w:r w:rsidRPr="00AA26C0">
        <w:rPr>
          <w:sz w:val="28"/>
          <w:szCs w:val="28"/>
          <w:lang w:val="en-US"/>
        </w:rPr>
        <w:t>NCEP</w:t>
      </w:r>
      <w:r w:rsidRPr="00AA26C0">
        <w:rPr>
          <w:sz w:val="28"/>
          <w:szCs w:val="28"/>
        </w:rPr>
        <w:t xml:space="preserve"> </w:t>
      </w:r>
      <w:r w:rsidRPr="00AA26C0">
        <w:rPr>
          <w:sz w:val="28"/>
          <w:szCs w:val="28"/>
          <w:lang w:val="en-US"/>
        </w:rPr>
        <w:t>ATPIII</w:t>
      </w:r>
      <w:r w:rsidRPr="00AA26C0">
        <w:rPr>
          <w:sz w:val="28"/>
          <w:szCs w:val="28"/>
        </w:rPr>
        <w:t xml:space="preserve"> (2001) </w:t>
      </w:r>
      <w:r w:rsidRPr="00AA26C0">
        <w:rPr>
          <w:sz w:val="28"/>
          <w:szCs w:val="28"/>
          <w:lang w:val="uk-UA"/>
        </w:rPr>
        <w:t>и</w:t>
      </w:r>
      <w:r w:rsidRPr="00AA26C0">
        <w:rPr>
          <w:sz w:val="28"/>
          <w:szCs w:val="28"/>
        </w:rPr>
        <w:t xml:space="preserve"> </w:t>
      </w:r>
      <w:r w:rsidRPr="00AA26C0">
        <w:rPr>
          <w:sz w:val="28"/>
          <w:szCs w:val="28"/>
          <w:lang w:val="en-US"/>
        </w:rPr>
        <w:t>IDF</w:t>
      </w:r>
      <w:r w:rsidRPr="00AA26C0">
        <w:rPr>
          <w:sz w:val="28"/>
          <w:szCs w:val="28"/>
          <w:lang w:val="uk-UA"/>
        </w:rPr>
        <w:t xml:space="preserve"> </w:t>
      </w:r>
      <w:r>
        <w:rPr>
          <w:sz w:val="28"/>
          <w:szCs w:val="28"/>
        </w:rPr>
        <w:t>(2005)</w:t>
      </w:r>
      <w:r w:rsidRPr="006D73F0">
        <w:rPr>
          <w:sz w:val="28"/>
          <w:szCs w:val="28"/>
          <w:lang w:val="uk-UA"/>
        </w:rPr>
        <w:t xml:space="preserve"> </w:t>
      </w:r>
      <w:r>
        <w:rPr>
          <w:sz w:val="28"/>
          <w:szCs w:val="28"/>
          <w:lang w:val="uk-UA"/>
        </w:rPr>
        <w:t>/</w:t>
      </w:r>
      <w:r w:rsidRPr="00EE0C50">
        <w:rPr>
          <w:sz w:val="28"/>
          <w:szCs w:val="28"/>
        </w:rPr>
        <w:t xml:space="preserve"> </w:t>
      </w:r>
      <w:r w:rsidRPr="00AA26C0">
        <w:rPr>
          <w:sz w:val="28"/>
          <w:szCs w:val="28"/>
          <w:lang w:val="uk-UA"/>
        </w:rPr>
        <w:t xml:space="preserve">Митченко Е.И., Беляева Т.В., Каспрук Г.Б. </w:t>
      </w:r>
      <w:r>
        <w:rPr>
          <w:sz w:val="28"/>
          <w:szCs w:val="28"/>
          <w:lang w:val="uk-UA"/>
        </w:rPr>
        <w:t>//</w:t>
      </w:r>
      <w:r w:rsidRPr="00AA26C0">
        <w:rPr>
          <w:sz w:val="28"/>
          <w:szCs w:val="28"/>
          <w:lang w:val="uk-UA"/>
        </w:rPr>
        <w:t xml:space="preserve"> Метаболічни</w:t>
      </w:r>
      <w:r>
        <w:rPr>
          <w:sz w:val="28"/>
          <w:szCs w:val="28"/>
          <w:lang w:val="uk-UA"/>
        </w:rPr>
        <w:t>й синдром в практиці кардіолога: Науково-практична</w:t>
      </w:r>
      <w:r w:rsidRPr="00AA26C0">
        <w:rPr>
          <w:sz w:val="28"/>
          <w:szCs w:val="28"/>
          <w:lang w:val="uk-UA"/>
        </w:rPr>
        <w:t xml:space="preserve"> ко</w:t>
      </w:r>
      <w:r>
        <w:rPr>
          <w:sz w:val="28"/>
          <w:szCs w:val="28"/>
          <w:lang w:val="uk-UA"/>
        </w:rPr>
        <w:t xml:space="preserve">нференція з міжнародною участю, Харків, 2006. - </w:t>
      </w:r>
      <w:r w:rsidRPr="00AA26C0">
        <w:rPr>
          <w:sz w:val="28"/>
          <w:szCs w:val="28"/>
          <w:lang w:val="uk-UA"/>
        </w:rPr>
        <w:t>С. 28.</w:t>
      </w:r>
      <w:r w:rsidRPr="00626A49">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5.</w:t>
      </w:r>
      <w:r w:rsidRPr="00EE0C50">
        <w:rPr>
          <w:sz w:val="28"/>
          <w:szCs w:val="28"/>
          <w:lang w:val="uk-UA"/>
        </w:rPr>
        <w:t xml:space="preserve"> </w:t>
      </w:r>
      <w:r>
        <w:rPr>
          <w:sz w:val="28"/>
          <w:szCs w:val="28"/>
          <w:lang w:val="uk-UA"/>
        </w:rPr>
        <w:t>Митченко Е.И.</w:t>
      </w:r>
      <w:r w:rsidRPr="00AA26C0">
        <w:rPr>
          <w:sz w:val="28"/>
          <w:szCs w:val="28"/>
          <w:lang w:val="uk-UA"/>
        </w:rPr>
        <w:t xml:space="preserve">  Гипертрофия миокарда левого желудочка у пациентов с метаболическим синдромом и ее р</w:t>
      </w:r>
      <w:r>
        <w:rPr>
          <w:sz w:val="28"/>
          <w:szCs w:val="28"/>
          <w:lang w:val="uk-UA"/>
        </w:rPr>
        <w:t>егресс под действием квинаприла</w:t>
      </w:r>
      <w:r w:rsidRPr="006D73F0">
        <w:rPr>
          <w:sz w:val="28"/>
          <w:szCs w:val="28"/>
          <w:lang w:val="uk-UA"/>
        </w:rPr>
        <w:t xml:space="preserve"> </w:t>
      </w:r>
      <w:r>
        <w:rPr>
          <w:sz w:val="28"/>
          <w:szCs w:val="28"/>
          <w:lang w:val="uk-UA"/>
        </w:rPr>
        <w:t>/</w:t>
      </w:r>
      <w:r w:rsidRPr="00AA26C0">
        <w:rPr>
          <w:sz w:val="28"/>
          <w:szCs w:val="28"/>
          <w:lang w:val="uk-UA"/>
        </w:rPr>
        <w:t xml:space="preserve"> Митченко Е.И., Романов В.Ю., Каспрук Г.Б., Беляева Т.В</w:t>
      </w:r>
      <w:r>
        <w:rPr>
          <w:sz w:val="28"/>
          <w:szCs w:val="28"/>
          <w:lang w:val="uk-UA"/>
        </w:rPr>
        <w:t>.</w:t>
      </w:r>
      <w:r w:rsidRPr="00AA26C0">
        <w:rPr>
          <w:sz w:val="28"/>
          <w:szCs w:val="28"/>
        </w:rPr>
        <w:t xml:space="preserve"> </w:t>
      </w:r>
      <w:r w:rsidRPr="00326910">
        <w:rPr>
          <w:sz w:val="28"/>
          <w:szCs w:val="28"/>
        </w:rPr>
        <w:t>//</w:t>
      </w:r>
      <w:r>
        <w:rPr>
          <w:sz w:val="28"/>
          <w:szCs w:val="28"/>
          <w:lang w:val="uk-UA"/>
        </w:rPr>
        <w:t xml:space="preserve"> Укр. кардіол.</w:t>
      </w:r>
      <w:r w:rsidRPr="00AA26C0">
        <w:rPr>
          <w:sz w:val="28"/>
          <w:szCs w:val="28"/>
          <w:lang w:val="uk-UA"/>
        </w:rPr>
        <w:t xml:space="preserve"> журнал.</w:t>
      </w:r>
      <w:r>
        <w:rPr>
          <w:sz w:val="28"/>
          <w:szCs w:val="28"/>
          <w:lang w:val="uk-UA"/>
        </w:rPr>
        <w:t xml:space="preserve"> - </w:t>
      </w:r>
      <w:r w:rsidRPr="00AA26C0">
        <w:rPr>
          <w:sz w:val="28"/>
          <w:szCs w:val="28"/>
        </w:rPr>
        <w:t>200</w:t>
      </w:r>
      <w:r w:rsidRPr="00AA26C0">
        <w:rPr>
          <w:sz w:val="28"/>
          <w:szCs w:val="28"/>
          <w:lang w:val="uk-UA"/>
        </w:rPr>
        <w:t>7</w:t>
      </w:r>
      <w:r w:rsidRPr="00AA26C0">
        <w:rPr>
          <w:sz w:val="28"/>
          <w:szCs w:val="28"/>
        </w:rPr>
        <w:t xml:space="preserve">. – № </w:t>
      </w:r>
      <w:r w:rsidRPr="00AA26C0">
        <w:rPr>
          <w:sz w:val="28"/>
          <w:szCs w:val="28"/>
          <w:lang w:val="uk-UA"/>
        </w:rPr>
        <w:t>3</w:t>
      </w:r>
      <w:r w:rsidRPr="00AA26C0">
        <w:rPr>
          <w:sz w:val="28"/>
          <w:szCs w:val="28"/>
        </w:rPr>
        <w:t xml:space="preserve">. - С. </w:t>
      </w:r>
      <w:r w:rsidRPr="00AA26C0">
        <w:rPr>
          <w:sz w:val="28"/>
          <w:szCs w:val="28"/>
          <w:lang w:val="uk-UA"/>
        </w:rPr>
        <w:t>64-69.</w:t>
      </w:r>
      <w:r w:rsidRPr="00626A49">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 xml:space="preserve">6 </w:t>
      </w:r>
      <w:r w:rsidRPr="00AA26C0">
        <w:rPr>
          <w:sz w:val="28"/>
          <w:szCs w:val="28"/>
          <w:lang w:val="en-US"/>
        </w:rPr>
        <w:t>Romanov</w:t>
      </w:r>
      <w:r w:rsidRPr="00B903C1">
        <w:rPr>
          <w:sz w:val="28"/>
          <w:szCs w:val="28"/>
          <w:lang w:val="en-US"/>
        </w:rPr>
        <w:t xml:space="preserve"> </w:t>
      </w:r>
      <w:r w:rsidRPr="00AA26C0">
        <w:rPr>
          <w:sz w:val="28"/>
          <w:szCs w:val="28"/>
          <w:lang w:val="en-US"/>
        </w:rPr>
        <w:t>V</w:t>
      </w:r>
      <w:r w:rsidRPr="00AA26C0">
        <w:rPr>
          <w:sz w:val="28"/>
          <w:szCs w:val="28"/>
          <w:lang w:val="uk-UA"/>
        </w:rPr>
        <w:t xml:space="preserve">. </w:t>
      </w:r>
      <w:r w:rsidRPr="00AA26C0">
        <w:rPr>
          <w:sz w:val="28"/>
          <w:szCs w:val="28"/>
          <w:lang w:val="en-US"/>
        </w:rPr>
        <w:t>Features</w:t>
      </w:r>
      <w:r w:rsidRPr="00AA26C0">
        <w:rPr>
          <w:sz w:val="28"/>
          <w:szCs w:val="28"/>
          <w:lang w:val="uk-UA"/>
        </w:rPr>
        <w:t xml:space="preserve"> </w:t>
      </w:r>
      <w:r w:rsidRPr="00AA26C0">
        <w:rPr>
          <w:sz w:val="28"/>
          <w:szCs w:val="28"/>
          <w:lang w:val="en-US"/>
        </w:rPr>
        <w:t>of</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 xml:space="preserve">syndrome </w:t>
      </w:r>
      <w:r>
        <w:rPr>
          <w:sz w:val="28"/>
          <w:szCs w:val="28"/>
          <w:lang w:val="uk-UA"/>
        </w:rPr>
        <w:t>/</w:t>
      </w:r>
      <w:r w:rsidRPr="00EE0C50">
        <w:rPr>
          <w:sz w:val="28"/>
          <w:szCs w:val="28"/>
          <w:lang w:val="en-US"/>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O</w:t>
      </w:r>
      <w:r w:rsidRPr="00AA26C0">
        <w:rPr>
          <w:sz w:val="28"/>
          <w:szCs w:val="28"/>
          <w:lang w:val="uk-UA"/>
        </w:rPr>
        <w:t xml:space="preserve">. </w:t>
      </w:r>
      <w:r w:rsidRPr="00AA26C0">
        <w:rPr>
          <w:sz w:val="28"/>
          <w:szCs w:val="28"/>
          <w:lang w:val="en-US"/>
        </w:rPr>
        <w:t>Mitchenko</w:t>
      </w:r>
      <w:r w:rsidRPr="00AA26C0">
        <w:rPr>
          <w:sz w:val="28"/>
          <w:szCs w:val="28"/>
          <w:lang w:val="uk-UA"/>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w:t>
      </w:r>
      <w:r w:rsidRPr="00AA26C0">
        <w:rPr>
          <w:sz w:val="28"/>
          <w:szCs w:val="28"/>
          <w:lang w:val="uk-UA"/>
        </w:rPr>
        <w:t xml:space="preserve">, </w:t>
      </w:r>
      <w:r w:rsidRPr="00AA26C0">
        <w:rPr>
          <w:sz w:val="28"/>
          <w:szCs w:val="28"/>
          <w:lang w:val="en-US"/>
        </w:rPr>
        <w:t>A</w:t>
      </w:r>
      <w:r w:rsidRPr="00AA26C0">
        <w:rPr>
          <w:sz w:val="28"/>
          <w:szCs w:val="28"/>
          <w:lang w:val="uk-UA"/>
        </w:rPr>
        <w:t xml:space="preserve">. </w:t>
      </w:r>
      <w:r w:rsidRPr="00AA26C0">
        <w:rPr>
          <w:sz w:val="28"/>
          <w:szCs w:val="28"/>
          <w:lang w:val="en-US"/>
        </w:rPr>
        <w:t>Logvinenko</w:t>
      </w:r>
      <w:r w:rsidRPr="00AA26C0">
        <w:rPr>
          <w:sz w:val="28"/>
          <w:szCs w:val="28"/>
          <w:lang w:val="uk-UA"/>
        </w:rPr>
        <w:t xml:space="preserve">. </w:t>
      </w:r>
      <w:r>
        <w:rPr>
          <w:sz w:val="28"/>
          <w:szCs w:val="28"/>
          <w:lang w:val="en-US"/>
        </w:rPr>
        <w:t xml:space="preserve"> </w:t>
      </w:r>
      <w:r w:rsidRPr="00AA26C0">
        <w:rPr>
          <w:sz w:val="28"/>
          <w:szCs w:val="28"/>
          <w:lang w:val="en-US"/>
        </w:rPr>
        <w:t xml:space="preserve">// Sixteen European Congress of Hypertension. </w:t>
      </w:r>
      <w:r>
        <w:rPr>
          <w:sz w:val="28"/>
          <w:szCs w:val="28"/>
          <w:lang w:val="uk-UA"/>
        </w:rPr>
        <w:t>Мадрид,</w:t>
      </w:r>
      <w:r w:rsidRPr="00AA26C0">
        <w:rPr>
          <w:sz w:val="28"/>
          <w:szCs w:val="28"/>
          <w:lang w:val="uk-UA"/>
        </w:rPr>
        <w:t xml:space="preserve"> </w:t>
      </w:r>
      <w:r>
        <w:rPr>
          <w:sz w:val="28"/>
          <w:szCs w:val="28"/>
          <w:lang w:val="uk-UA"/>
        </w:rPr>
        <w:t>2006</w:t>
      </w:r>
      <w:r w:rsidRPr="00AA26C0">
        <w:rPr>
          <w:sz w:val="28"/>
          <w:szCs w:val="28"/>
          <w:lang w:val="uk-UA"/>
        </w:rPr>
        <w:t>.</w:t>
      </w:r>
      <w:r w:rsidRPr="00AA26C0">
        <w:rPr>
          <w:sz w:val="28"/>
          <w:szCs w:val="28"/>
          <w:lang w:val="en-US"/>
        </w:rPr>
        <w:t xml:space="preserve"> J</w:t>
      </w:r>
      <w:r w:rsidRPr="00AA26C0">
        <w:rPr>
          <w:sz w:val="28"/>
          <w:szCs w:val="28"/>
          <w:lang w:val="en-GB"/>
        </w:rPr>
        <w:t xml:space="preserve">. </w:t>
      </w:r>
      <w:r w:rsidRPr="00AA26C0">
        <w:rPr>
          <w:sz w:val="28"/>
          <w:szCs w:val="28"/>
          <w:lang w:val="en-US"/>
        </w:rPr>
        <w:t>of Hypertension</w:t>
      </w:r>
      <w:r w:rsidRPr="00AA26C0">
        <w:rPr>
          <w:sz w:val="28"/>
          <w:szCs w:val="28"/>
          <w:lang w:val="en-GB"/>
        </w:rPr>
        <w:t xml:space="preserve">. – 2006.- </w:t>
      </w:r>
      <w:r w:rsidRPr="00AA26C0">
        <w:rPr>
          <w:sz w:val="28"/>
          <w:szCs w:val="28"/>
          <w:lang w:val="en-US"/>
        </w:rPr>
        <w:t>Vol</w:t>
      </w:r>
      <w:r w:rsidRPr="004B5E3F">
        <w:rPr>
          <w:sz w:val="28"/>
          <w:szCs w:val="28"/>
          <w:lang w:val="en-US"/>
        </w:rPr>
        <w:t>. 24</w:t>
      </w:r>
      <w:r w:rsidRPr="00AA26C0">
        <w:rPr>
          <w:sz w:val="28"/>
          <w:szCs w:val="28"/>
          <w:lang w:val="uk-UA"/>
        </w:rPr>
        <w:t xml:space="preserve"> (</w:t>
      </w:r>
      <w:r w:rsidRPr="00AA26C0">
        <w:rPr>
          <w:sz w:val="28"/>
          <w:szCs w:val="28"/>
          <w:lang w:val="en-US"/>
        </w:rPr>
        <w:t>Suppl</w:t>
      </w:r>
      <w:r w:rsidRPr="004B5E3F">
        <w:rPr>
          <w:sz w:val="28"/>
          <w:szCs w:val="28"/>
          <w:lang w:val="en-US"/>
        </w:rPr>
        <w:t xml:space="preserve">. </w:t>
      </w:r>
      <w:r w:rsidRPr="003E4C05">
        <w:rPr>
          <w:sz w:val="28"/>
          <w:szCs w:val="28"/>
          <w:lang w:val="en-US"/>
        </w:rPr>
        <w:t>4</w:t>
      </w:r>
      <w:r w:rsidRPr="00AA26C0">
        <w:rPr>
          <w:sz w:val="28"/>
          <w:szCs w:val="28"/>
          <w:lang w:val="uk-UA"/>
        </w:rPr>
        <w:t>).</w:t>
      </w:r>
      <w:r w:rsidRPr="003E4C05">
        <w:rPr>
          <w:sz w:val="28"/>
          <w:szCs w:val="28"/>
          <w:lang w:val="en-US"/>
        </w:rPr>
        <w:t xml:space="preserve"> – </w:t>
      </w:r>
      <w:r w:rsidRPr="00AA26C0">
        <w:rPr>
          <w:sz w:val="28"/>
          <w:szCs w:val="28"/>
          <w:lang w:val="en-US"/>
        </w:rPr>
        <w:t>P</w:t>
      </w:r>
      <w:r w:rsidRPr="003E4C05">
        <w:rPr>
          <w:sz w:val="28"/>
          <w:szCs w:val="28"/>
          <w:lang w:val="en-US"/>
        </w:rPr>
        <w:t>.</w:t>
      </w:r>
      <w:r w:rsidRPr="00AA26C0">
        <w:rPr>
          <w:sz w:val="28"/>
          <w:szCs w:val="28"/>
          <w:lang w:val="en-US"/>
        </w:rPr>
        <w:t>S</w:t>
      </w:r>
      <w:r w:rsidRPr="003E4C05">
        <w:rPr>
          <w:sz w:val="28"/>
          <w:szCs w:val="28"/>
          <w:lang w:val="en-US"/>
        </w:rPr>
        <w:t>207.</w:t>
      </w:r>
      <w:r w:rsidRPr="00626A49">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 xml:space="preserve">7. </w:t>
      </w:r>
      <w:r w:rsidRPr="00AA26C0">
        <w:rPr>
          <w:sz w:val="28"/>
          <w:szCs w:val="28"/>
          <w:lang w:val="en-US"/>
        </w:rPr>
        <w:t>Kaspruk</w:t>
      </w:r>
      <w:r w:rsidRPr="00B903C1">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syndrome according</w:t>
      </w:r>
      <w:r w:rsidRPr="00AA26C0">
        <w:rPr>
          <w:sz w:val="28"/>
          <w:szCs w:val="28"/>
          <w:lang w:val="uk-UA"/>
        </w:rPr>
        <w:t xml:space="preserve"> </w:t>
      </w:r>
      <w:r w:rsidRPr="00AA26C0">
        <w:rPr>
          <w:sz w:val="28"/>
          <w:szCs w:val="28"/>
          <w:lang w:val="en-US"/>
        </w:rPr>
        <w:t>to</w:t>
      </w:r>
      <w:r w:rsidRPr="00AA26C0">
        <w:rPr>
          <w:sz w:val="28"/>
          <w:szCs w:val="28"/>
          <w:lang w:val="uk-UA"/>
        </w:rPr>
        <w:t xml:space="preserve"> </w:t>
      </w:r>
      <w:r w:rsidRPr="00AA26C0">
        <w:rPr>
          <w:sz w:val="28"/>
          <w:szCs w:val="28"/>
          <w:lang w:val="en-US"/>
        </w:rPr>
        <w:t>ATP</w:t>
      </w:r>
      <w:r w:rsidRPr="00AA26C0">
        <w:rPr>
          <w:sz w:val="28"/>
          <w:szCs w:val="28"/>
          <w:lang w:val="uk-UA"/>
        </w:rPr>
        <w:t xml:space="preserve"> </w:t>
      </w:r>
      <w:r w:rsidRPr="00AA26C0">
        <w:rPr>
          <w:sz w:val="28"/>
          <w:szCs w:val="28"/>
          <w:lang w:val="en-US"/>
        </w:rPr>
        <w:t>III</w:t>
      </w:r>
      <w:r w:rsidRPr="00AA26C0">
        <w:rPr>
          <w:sz w:val="28"/>
          <w:szCs w:val="28"/>
          <w:lang w:val="uk-UA"/>
        </w:rPr>
        <w:t xml:space="preserve"> </w:t>
      </w:r>
      <w:r w:rsidRPr="00AA26C0">
        <w:rPr>
          <w:sz w:val="28"/>
          <w:szCs w:val="28"/>
          <w:lang w:val="en-US"/>
        </w:rPr>
        <w:t>and</w:t>
      </w:r>
      <w:r w:rsidRPr="00AA26C0">
        <w:rPr>
          <w:sz w:val="28"/>
          <w:szCs w:val="28"/>
          <w:lang w:val="uk-UA"/>
        </w:rPr>
        <w:t xml:space="preserve"> </w:t>
      </w:r>
      <w:r w:rsidRPr="00AA26C0">
        <w:rPr>
          <w:sz w:val="28"/>
          <w:szCs w:val="28"/>
          <w:lang w:val="en-US"/>
        </w:rPr>
        <w:t>IDF</w:t>
      </w:r>
      <w:r>
        <w:rPr>
          <w:sz w:val="28"/>
          <w:szCs w:val="28"/>
          <w:lang w:val="uk-UA"/>
        </w:rPr>
        <w:t xml:space="preserve"> /</w:t>
      </w:r>
      <w:r w:rsidRPr="00EE0C50">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 O</w:t>
      </w:r>
      <w:r w:rsidRPr="00AA26C0">
        <w:rPr>
          <w:sz w:val="28"/>
          <w:szCs w:val="28"/>
          <w:lang w:val="uk-UA"/>
        </w:rPr>
        <w:t xml:space="preserve">. </w:t>
      </w:r>
      <w:r>
        <w:rPr>
          <w:sz w:val="28"/>
          <w:szCs w:val="28"/>
          <w:lang w:val="en-US"/>
        </w:rPr>
        <w:lastRenderedPageBreak/>
        <w:t>Mitchenko</w:t>
      </w:r>
      <w:r>
        <w:rPr>
          <w:sz w:val="28"/>
          <w:szCs w:val="28"/>
          <w:lang w:val="uk-UA"/>
        </w:rPr>
        <w:t xml:space="preserve"> </w:t>
      </w:r>
      <w:r w:rsidRPr="00AA26C0">
        <w:rPr>
          <w:sz w:val="28"/>
          <w:szCs w:val="28"/>
          <w:lang w:val="en-US"/>
        </w:rPr>
        <w:t xml:space="preserve">// Seventeen European Congress of Hypertension. </w:t>
      </w:r>
      <w:r>
        <w:rPr>
          <w:sz w:val="28"/>
          <w:szCs w:val="28"/>
          <w:lang w:val="uk-UA"/>
        </w:rPr>
        <w:t xml:space="preserve">Мілан, </w:t>
      </w:r>
      <w:r w:rsidRPr="00AA26C0">
        <w:rPr>
          <w:sz w:val="28"/>
          <w:szCs w:val="28"/>
          <w:lang w:val="uk-UA"/>
        </w:rPr>
        <w:t>2007.</w:t>
      </w:r>
      <w:r w:rsidRPr="00390E5F">
        <w:rPr>
          <w:sz w:val="28"/>
          <w:szCs w:val="28"/>
          <w:lang w:val="en-US"/>
        </w:rPr>
        <w:t xml:space="preserve"> </w:t>
      </w:r>
      <w:r w:rsidRPr="00AA26C0">
        <w:rPr>
          <w:sz w:val="28"/>
          <w:szCs w:val="28"/>
          <w:lang w:val="en-US"/>
        </w:rPr>
        <w:t>J</w:t>
      </w:r>
      <w:r w:rsidRPr="00390E5F">
        <w:rPr>
          <w:sz w:val="28"/>
          <w:szCs w:val="28"/>
          <w:lang w:val="en-US"/>
        </w:rPr>
        <w:t xml:space="preserve">. </w:t>
      </w:r>
      <w:r w:rsidRPr="00AA26C0">
        <w:rPr>
          <w:sz w:val="28"/>
          <w:szCs w:val="28"/>
          <w:lang w:val="en-US"/>
        </w:rPr>
        <w:t>of</w:t>
      </w:r>
      <w:r w:rsidRPr="00390E5F">
        <w:rPr>
          <w:sz w:val="28"/>
          <w:szCs w:val="28"/>
          <w:lang w:val="en-US"/>
        </w:rPr>
        <w:t xml:space="preserve"> </w:t>
      </w:r>
      <w:r w:rsidRPr="00AA26C0">
        <w:rPr>
          <w:sz w:val="28"/>
          <w:szCs w:val="28"/>
          <w:lang w:val="en-US"/>
        </w:rPr>
        <w:t>Hypertension</w:t>
      </w:r>
      <w:r w:rsidRPr="00390E5F">
        <w:rPr>
          <w:sz w:val="28"/>
          <w:szCs w:val="28"/>
          <w:lang w:val="en-US"/>
        </w:rPr>
        <w:t xml:space="preserve">. – 2007.- </w:t>
      </w:r>
      <w:r w:rsidRPr="00AA26C0">
        <w:rPr>
          <w:sz w:val="28"/>
          <w:szCs w:val="28"/>
          <w:lang w:val="en-US"/>
        </w:rPr>
        <w:t>Vol</w:t>
      </w:r>
      <w:r w:rsidRPr="00390E5F">
        <w:rPr>
          <w:sz w:val="28"/>
          <w:szCs w:val="28"/>
          <w:lang w:val="en-US"/>
        </w:rPr>
        <w:t>. 25</w:t>
      </w:r>
      <w:r w:rsidRPr="00AA26C0">
        <w:rPr>
          <w:sz w:val="28"/>
          <w:szCs w:val="28"/>
          <w:lang w:val="uk-UA"/>
        </w:rPr>
        <w:t xml:space="preserve"> (</w:t>
      </w:r>
      <w:r w:rsidRPr="00AA26C0">
        <w:rPr>
          <w:sz w:val="28"/>
          <w:szCs w:val="28"/>
          <w:lang w:val="en-US"/>
        </w:rPr>
        <w:t>Suppl</w:t>
      </w:r>
      <w:r w:rsidRPr="00390E5F">
        <w:rPr>
          <w:sz w:val="28"/>
          <w:szCs w:val="28"/>
          <w:lang w:val="en-US"/>
        </w:rPr>
        <w:t>. 2</w:t>
      </w:r>
      <w:r w:rsidRPr="00AA26C0">
        <w:rPr>
          <w:sz w:val="28"/>
          <w:szCs w:val="28"/>
          <w:lang w:val="uk-UA"/>
        </w:rPr>
        <w:t>)</w:t>
      </w:r>
      <w:r w:rsidRPr="00390E5F">
        <w:rPr>
          <w:sz w:val="28"/>
          <w:szCs w:val="28"/>
          <w:lang w:val="en-US"/>
        </w:rPr>
        <w:t xml:space="preserve">. – </w:t>
      </w:r>
      <w:r w:rsidRPr="00AA26C0">
        <w:rPr>
          <w:sz w:val="28"/>
          <w:szCs w:val="28"/>
          <w:lang w:val="en-US"/>
        </w:rPr>
        <w:t>P</w:t>
      </w:r>
      <w:r w:rsidRPr="00390E5F">
        <w:rPr>
          <w:sz w:val="28"/>
          <w:szCs w:val="28"/>
          <w:lang w:val="en-US"/>
        </w:rPr>
        <w:t xml:space="preserve">. </w:t>
      </w:r>
      <w:r w:rsidRPr="00AA26C0">
        <w:rPr>
          <w:sz w:val="28"/>
          <w:szCs w:val="28"/>
          <w:lang w:val="en-US"/>
        </w:rPr>
        <w:t>S</w:t>
      </w:r>
      <w:r w:rsidRPr="00390E5F">
        <w:rPr>
          <w:sz w:val="28"/>
          <w:szCs w:val="28"/>
          <w:lang w:val="en-US"/>
        </w:rPr>
        <w:t xml:space="preserve">162. </w:t>
      </w:r>
    </w:p>
    <w:p w:rsidR="004B5E3F" w:rsidRDefault="004B5E3F" w:rsidP="004B5E3F">
      <w:pPr>
        <w:spacing w:line="340" w:lineRule="exact"/>
        <w:ind w:left="360" w:hanging="360"/>
        <w:jc w:val="both"/>
        <w:rPr>
          <w:sz w:val="28"/>
          <w:szCs w:val="28"/>
          <w:lang w:val="uk-UA"/>
        </w:rPr>
      </w:pPr>
      <w:r>
        <w:rPr>
          <w:sz w:val="28"/>
          <w:szCs w:val="28"/>
          <w:lang w:val="uk-UA"/>
        </w:rPr>
        <w:t>8.</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G</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syndrome</w:t>
      </w:r>
      <w:r w:rsidRPr="00AA26C0">
        <w:rPr>
          <w:sz w:val="28"/>
          <w:szCs w:val="28"/>
          <w:lang w:val="uk-UA"/>
        </w:rPr>
        <w:t xml:space="preserve">, </w:t>
      </w:r>
      <w:r w:rsidRPr="00AA26C0">
        <w:rPr>
          <w:sz w:val="28"/>
          <w:szCs w:val="28"/>
          <w:lang w:val="en-US"/>
        </w:rPr>
        <w:t>defined</w:t>
      </w:r>
      <w:r w:rsidRPr="00AA26C0">
        <w:rPr>
          <w:sz w:val="28"/>
          <w:szCs w:val="28"/>
          <w:lang w:val="uk-UA"/>
        </w:rPr>
        <w:t xml:space="preserve"> </w:t>
      </w:r>
      <w:r w:rsidRPr="00AA26C0">
        <w:rPr>
          <w:sz w:val="28"/>
          <w:szCs w:val="28"/>
          <w:lang w:val="en-US"/>
        </w:rPr>
        <w:t>according</w:t>
      </w:r>
      <w:r w:rsidRPr="00AA26C0">
        <w:rPr>
          <w:sz w:val="28"/>
          <w:szCs w:val="28"/>
          <w:lang w:val="uk-UA"/>
        </w:rPr>
        <w:t xml:space="preserve"> </w:t>
      </w:r>
      <w:r w:rsidRPr="00AA26C0">
        <w:rPr>
          <w:sz w:val="28"/>
          <w:szCs w:val="28"/>
          <w:lang w:val="en-US"/>
        </w:rPr>
        <w:t>to</w:t>
      </w:r>
      <w:r w:rsidRPr="00AA26C0">
        <w:rPr>
          <w:sz w:val="28"/>
          <w:szCs w:val="28"/>
          <w:lang w:val="uk-UA"/>
        </w:rPr>
        <w:t xml:space="preserve"> </w:t>
      </w:r>
      <w:r w:rsidRPr="00AA26C0">
        <w:rPr>
          <w:sz w:val="28"/>
          <w:szCs w:val="28"/>
          <w:lang w:val="en-US"/>
        </w:rPr>
        <w:t>ATP</w:t>
      </w:r>
      <w:r w:rsidRPr="00AA26C0">
        <w:rPr>
          <w:sz w:val="28"/>
          <w:szCs w:val="28"/>
          <w:lang w:val="uk-UA"/>
        </w:rPr>
        <w:t xml:space="preserve"> </w:t>
      </w:r>
      <w:r w:rsidRPr="00AA26C0">
        <w:rPr>
          <w:sz w:val="28"/>
          <w:szCs w:val="28"/>
          <w:lang w:val="en-US"/>
        </w:rPr>
        <w:t>III</w:t>
      </w:r>
      <w:r w:rsidRPr="00AA26C0">
        <w:rPr>
          <w:sz w:val="28"/>
          <w:szCs w:val="28"/>
          <w:lang w:val="uk-UA"/>
        </w:rPr>
        <w:t xml:space="preserve"> </w:t>
      </w:r>
      <w:r w:rsidRPr="00AA26C0">
        <w:rPr>
          <w:sz w:val="28"/>
          <w:szCs w:val="28"/>
          <w:lang w:val="en-US"/>
        </w:rPr>
        <w:t>and</w:t>
      </w:r>
      <w:r w:rsidRPr="00AA26C0">
        <w:rPr>
          <w:sz w:val="28"/>
          <w:szCs w:val="28"/>
          <w:lang w:val="uk-UA"/>
        </w:rPr>
        <w:t xml:space="preserve"> </w:t>
      </w:r>
      <w:r w:rsidRPr="00AA26C0">
        <w:rPr>
          <w:sz w:val="28"/>
          <w:szCs w:val="28"/>
          <w:lang w:val="en-US"/>
        </w:rPr>
        <w:t>IDF</w:t>
      </w:r>
      <w:r w:rsidRPr="006D73F0">
        <w:rPr>
          <w:sz w:val="28"/>
          <w:szCs w:val="28"/>
          <w:lang w:val="uk-UA"/>
        </w:rPr>
        <w:t xml:space="preserve"> </w:t>
      </w:r>
      <w:r>
        <w:rPr>
          <w:sz w:val="28"/>
          <w:szCs w:val="28"/>
          <w:lang w:val="uk-UA"/>
        </w:rPr>
        <w:t>/</w:t>
      </w:r>
      <w:r w:rsidRPr="00EE0C50">
        <w:rPr>
          <w:sz w:val="28"/>
          <w:szCs w:val="28"/>
          <w:lang w:val="en-US"/>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O</w:t>
      </w:r>
      <w:r w:rsidRPr="00AA26C0">
        <w:rPr>
          <w:sz w:val="28"/>
          <w:szCs w:val="28"/>
          <w:lang w:val="uk-UA"/>
        </w:rPr>
        <w:t xml:space="preserve">. </w:t>
      </w:r>
      <w:r w:rsidRPr="00AA26C0">
        <w:rPr>
          <w:sz w:val="28"/>
          <w:szCs w:val="28"/>
          <w:lang w:val="en-US"/>
        </w:rPr>
        <w:t>Mitchenko</w:t>
      </w:r>
      <w:r w:rsidRPr="00AA26C0">
        <w:rPr>
          <w:sz w:val="28"/>
          <w:szCs w:val="28"/>
          <w:lang w:val="uk-UA"/>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w:t>
      </w:r>
      <w:r w:rsidRPr="00AA26C0">
        <w:rPr>
          <w:sz w:val="28"/>
          <w:szCs w:val="28"/>
          <w:lang w:val="uk-UA"/>
        </w:rPr>
        <w:t xml:space="preserve"> </w:t>
      </w:r>
      <w:r>
        <w:rPr>
          <w:sz w:val="28"/>
          <w:szCs w:val="28"/>
          <w:lang w:val="uk-UA"/>
        </w:rPr>
        <w:t>/</w:t>
      </w:r>
      <w:r w:rsidRPr="00AA26C0">
        <w:rPr>
          <w:sz w:val="28"/>
          <w:szCs w:val="28"/>
          <w:lang w:val="uk-UA"/>
        </w:rPr>
        <w:t xml:space="preserve"> 76-</w:t>
      </w:r>
      <w:r w:rsidRPr="00AA26C0">
        <w:rPr>
          <w:sz w:val="28"/>
          <w:szCs w:val="28"/>
          <w:lang w:val="en-US"/>
        </w:rPr>
        <w:t>th</w:t>
      </w:r>
      <w:r w:rsidRPr="00AA26C0">
        <w:rPr>
          <w:sz w:val="28"/>
          <w:szCs w:val="28"/>
          <w:lang w:val="uk-UA"/>
        </w:rPr>
        <w:t xml:space="preserve"> </w:t>
      </w:r>
      <w:r w:rsidRPr="00AA26C0">
        <w:rPr>
          <w:sz w:val="28"/>
          <w:szCs w:val="28"/>
          <w:lang w:val="en-US"/>
        </w:rPr>
        <w:t>Annual</w:t>
      </w:r>
      <w:r w:rsidRPr="00AA26C0">
        <w:rPr>
          <w:sz w:val="28"/>
          <w:szCs w:val="28"/>
          <w:lang w:val="uk-UA"/>
        </w:rPr>
        <w:t xml:space="preserve"> </w:t>
      </w:r>
      <w:r w:rsidRPr="00AA26C0">
        <w:rPr>
          <w:sz w:val="28"/>
          <w:szCs w:val="28"/>
          <w:lang w:val="en-US"/>
        </w:rPr>
        <w:t>European</w:t>
      </w:r>
      <w:r w:rsidRPr="00AA26C0">
        <w:rPr>
          <w:sz w:val="28"/>
          <w:szCs w:val="28"/>
          <w:lang w:val="uk-UA"/>
        </w:rPr>
        <w:t xml:space="preserve"> </w:t>
      </w:r>
      <w:r w:rsidRPr="00AA26C0">
        <w:rPr>
          <w:sz w:val="28"/>
          <w:szCs w:val="28"/>
          <w:lang w:val="en-US"/>
        </w:rPr>
        <w:t>Atheroscle</w:t>
      </w:r>
      <w:r>
        <w:rPr>
          <w:sz w:val="28"/>
          <w:szCs w:val="28"/>
          <w:lang w:val="en-US"/>
        </w:rPr>
        <w:t>rosis Society. Helsinki</w:t>
      </w:r>
      <w:r w:rsidRPr="00390E5F">
        <w:rPr>
          <w:sz w:val="28"/>
          <w:szCs w:val="28"/>
          <w:lang w:val="en-US"/>
        </w:rPr>
        <w:t>, 2007.</w:t>
      </w:r>
      <w:r w:rsidRPr="00AA26C0">
        <w:rPr>
          <w:sz w:val="28"/>
          <w:szCs w:val="28"/>
          <w:lang w:val="uk-UA"/>
        </w:rPr>
        <w:t xml:space="preserve"> </w:t>
      </w:r>
      <w:r w:rsidRPr="00AA26C0">
        <w:rPr>
          <w:sz w:val="28"/>
          <w:szCs w:val="28"/>
          <w:lang w:val="en-US"/>
        </w:rPr>
        <w:t>Abstract</w:t>
      </w:r>
      <w:r w:rsidRPr="00390E5F">
        <w:rPr>
          <w:sz w:val="28"/>
          <w:szCs w:val="28"/>
          <w:lang w:val="en-US"/>
        </w:rPr>
        <w:t xml:space="preserve"> </w:t>
      </w:r>
      <w:r w:rsidRPr="00AA26C0">
        <w:rPr>
          <w:sz w:val="28"/>
          <w:szCs w:val="28"/>
          <w:lang w:val="en-US"/>
        </w:rPr>
        <w:t>book</w:t>
      </w:r>
      <w:r w:rsidRPr="00390E5F">
        <w:rPr>
          <w:sz w:val="28"/>
          <w:szCs w:val="28"/>
          <w:lang w:val="en-US"/>
        </w:rPr>
        <w:t xml:space="preserve">. </w:t>
      </w:r>
      <w:r>
        <w:rPr>
          <w:sz w:val="28"/>
          <w:szCs w:val="28"/>
          <w:lang w:val="uk-UA"/>
        </w:rPr>
        <w:t xml:space="preserve">- </w:t>
      </w:r>
      <w:r w:rsidRPr="00AA26C0">
        <w:rPr>
          <w:sz w:val="28"/>
          <w:szCs w:val="28"/>
          <w:lang w:val="en-US"/>
        </w:rPr>
        <w:t>P</w:t>
      </w:r>
      <w:r w:rsidRPr="00390E5F">
        <w:rPr>
          <w:sz w:val="28"/>
          <w:szCs w:val="28"/>
          <w:lang w:val="en-US"/>
        </w:rPr>
        <w:t>. 679.</w:t>
      </w:r>
      <w:r w:rsidRPr="00AA26C0">
        <w:rPr>
          <w:sz w:val="28"/>
          <w:szCs w:val="28"/>
          <w:lang w:val="uk-UA"/>
        </w:rPr>
        <w:t xml:space="preserve"> </w:t>
      </w:r>
    </w:p>
    <w:p w:rsidR="004B5E3F" w:rsidRDefault="004B5E3F" w:rsidP="004B5E3F">
      <w:pPr>
        <w:spacing w:line="340" w:lineRule="exact"/>
        <w:ind w:left="360" w:hanging="360"/>
        <w:jc w:val="both"/>
        <w:rPr>
          <w:sz w:val="28"/>
          <w:szCs w:val="28"/>
          <w:lang w:val="uk-UA"/>
        </w:rPr>
      </w:pPr>
    </w:p>
    <w:p w:rsidR="004B5E3F" w:rsidRDefault="004B5E3F" w:rsidP="004B5E3F">
      <w:pPr>
        <w:spacing w:line="340" w:lineRule="exact"/>
        <w:ind w:left="360" w:hanging="360"/>
        <w:jc w:val="both"/>
        <w:rPr>
          <w:sz w:val="28"/>
          <w:szCs w:val="28"/>
          <w:lang w:val="uk-UA"/>
        </w:rPr>
      </w:pPr>
    </w:p>
    <w:p w:rsidR="004B5E3F" w:rsidRDefault="004B5E3F" w:rsidP="004B5E3F">
      <w:pPr>
        <w:spacing w:line="340" w:lineRule="exact"/>
        <w:ind w:left="360" w:hanging="360"/>
        <w:jc w:val="both"/>
        <w:rPr>
          <w:sz w:val="28"/>
          <w:szCs w:val="28"/>
          <w:lang w:val="uk-UA"/>
        </w:rPr>
      </w:pPr>
      <w:r>
        <w:rPr>
          <w:sz w:val="28"/>
          <w:szCs w:val="28"/>
          <w:lang w:val="uk-UA"/>
        </w:rPr>
        <w:t>9.</w:t>
      </w:r>
      <w:r w:rsidRPr="00EE0C50">
        <w:rPr>
          <w:sz w:val="28"/>
          <w:szCs w:val="28"/>
          <w:lang w:val="uk-UA"/>
        </w:rPr>
        <w:t xml:space="preserve"> </w:t>
      </w:r>
      <w:r>
        <w:rPr>
          <w:sz w:val="28"/>
          <w:szCs w:val="28"/>
          <w:lang w:val="uk-UA"/>
        </w:rPr>
        <w:t>Мітченко О. І.</w:t>
      </w:r>
      <w:r w:rsidRPr="00AA26C0">
        <w:rPr>
          <w:sz w:val="28"/>
          <w:szCs w:val="28"/>
          <w:lang w:val="uk-UA"/>
        </w:rPr>
        <w:t xml:space="preserve"> </w:t>
      </w:r>
      <w:r>
        <w:rPr>
          <w:sz w:val="28"/>
          <w:szCs w:val="28"/>
          <w:lang w:val="uk-UA"/>
        </w:rPr>
        <w:t xml:space="preserve"> </w:t>
      </w:r>
      <w:r w:rsidRPr="00AA26C0">
        <w:rPr>
          <w:sz w:val="28"/>
          <w:szCs w:val="28"/>
          <w:lang w:val="uk-UA"/>
        </w:rPr>
        <w:t xml:space="preserve">Сердечно-сосудистые факторы риска у пациентов с ГБ и МС, определенным по рекомендациям </w:t>
      </w:r>
      <w:r w:rsidRPr="00AA26C0">
        <w:rPr>
          <w:sz w:val="28"/>
          <w:szCs w:val="28"/>
          <w:lang w:val="en-US"/>
        </w:rPr>
        <w:t>NCEP</w:t>
      </w:r>
      <w:r w:rsidRPr="00AA26C0">
        <w:rPr>
          <w:sz w:val="28"/>
          <w:szCs w:val="28"/>
          <w:lang w:val="uk-UA"/>
        </w:rPr>
        <w:t xml:space="preserve"> </w:t>
      </w:r>
      <w:r w:rsidRPr="00AA26C0">
        <w:rPr>
          <w:sz w:val="28"/>
          <w:szCs w:val="28"/>
          <w:lang w:val="en-US"/>
        </w:rPr>
        <w:t>ATPIII</w:t>
      </w:r>
      <w:r w:rsidRPr="00AA26C0">
        <w:rPr>
          <w:sz w:val="28"/>
          <w:szCs w:val="28"/>
          <w:lang w:val="uk-UA"/>
        </w:rPr>
        <w:t xml:space="preserve"> 2001 и </w:t>
      </w:r>
      <w:r w:rsidRPr="00AA26C0">
        <w:rPr>
          <w:sz w:val="28"/>
          <w:szCs w:val="28"/>
          <w:lang w:val="en-US"/>
        </w:rPr>
        <w:t>IDF</w:t>
      </w:r>
      <w:r>
        <w:rPr>
          <w:sz w:val="28"/>
          <w:szCs w:val="28"/>
          <w:lang w:val="uk-UA"/>
        </w:rPr>
        <w:t xml:space="preserve"> 2005</w:t>
      </w:r>
      <w:r w:rsidRPr="00AA26C0">
        <w:rPr>
          <w:sz w:val="28"/>
          <w:szCs w:val="28"/>
          <w:lang w:val="uk-UA"/>
        </w:rPr>
        <w:t xml:space="preserve"> </w:t>
      </w:r>
      <w:r>
        <w:rPr>
          <w:sz w:val="28"/>
          <w:szCs w:val="28"/>
          <w:lang w:val="uk-UA"/>
        </w:rPr>
        <w:t>/</w:t>
      </w:r>
      <w:r w:rsidRPr="003E4C05">
        <w:rPr>
          <w:sz w:val="28"/>
          <w:szCs w:val="28"/>
          <w:lang w:val="en-US"/>
        </w:rPr>
        <w:t xml:space="preserve"> </w:t>
      </w:r>
      <w:r w:rsidRPr="00AA26C0">
        <w:rPr>
          <w:sz w:val="28"/>
          <w:szCs w:val="28"/>
          <w:lang w:val="uk-UA"/>
        </w:rPr>
        <w:t xml:space="preserve">Мітченко О. І., Каспрук Г. Б., Романов В. Ю., Бєляєва Т. В. </w:t>
      </w:r>
      <w:r w:rsidRPr="003E4C05">
        <w:rPr>
          <w:sz w:val="28"/>
          <w:szCs w:val="28"/>
          <w:lang w:val="en-US"/>
        </w:rPr>
        <w:t>//</w:t>
      </w:r>
      <w:r>
        <w:rPr>
          <w:sz w:val="28"/>
          <w:szCs w:val="28"/>
          <w:lang w:val="uk-UA"/>
        </w:rPr>
        <w:t xml:space="preserve"> Національний конгрес</w:t>
      </w:r>
      <w:r w:rsidRPr="00AA26C0">
        <w:rPr>
          <w:sz w:val="28"/>
          <w:szCs w:val="28"/>
          <w:lang w:val="uk-UA"/>
        </w:rPr>
        <w:t xml:space="preserve"> кардіоло</w:t>
      </w:r>
      <w:r>
        <w:rPr>
          <w:sz w:val="28"/>
          <w:szCs w:val="28"/>
          <w:lang w:val="uk-UA"/>
        </w:rPr>
        <w:t>гів України. Київ, 20-22 2007 р</w:t>
      </w:r>
      <w:r w:rsidRPr="00AA26C0">
        <w:rPr>
          <w:sz w:val="28"/>
          <w:szCs w:val="28"/>
          <w:lang w:val="uk-UA"/>
        </w:rPr>
        <w:t xml:space="preserve">. </w:t>
      </w:r>
      <w:r w:rsidRPr="00AA26C0">
        <w:rPr>
          <w:sz w:val="28"/>
          <w:szCs w:val="28"/>
        </w:rPr>
        <w:t>Український кардіологічний журнал.-</w:t>
      </w:r>
      <w:r>
        <w:rPr>
          <w:sz w:val="28"/>
          <w:szCs w:val="28"/>
          <w:lang w:val="uk-UA"/>
        </w:rPr>
        <w:t xml:space="preserve"> </w:t>
      </w:r>
      <w:r w:rsidRPr="003E4C05">
        <w:rPr>
          <w:sz w:val="28"/>
          <w:szCs w:val="28"/>
          <w:lang w:val="uk-UA"/>
        </w:rPr>
        <w:t>200</w:t>
      </w:r>
      <w:r w:rsidRPr="00AA26C0">
        <w:rPr>
          <w:sz w:val="28"/>
          <w:szCs w:val="28"/>
          <w:lang w:val="uk-UA"/>
        </w:rPr>
        <w:t>7</w:t>
      </w:r>
      <w:r w:rsidRPr="003E4C05">
        <w:rPr>
          <w:sz w:val="28"/>
          <w:szCs w:val="28"/>
          <w:lang w:val="uk-UA"/>
        </w:rPr>
        <w:t xml:space="preserve">. – № </w:t>
      </w:r>
      <w:r w:rsidRPr="00AA26C0">
        <w:rPr>
          <w:sz w:val="28"/>
          <w:szCs w:val="28"/>
          <w:lang w:val="uk-UA"/>
        </w:rPr>
        <w:t>5</w:t>
      </w:r>
      <w:r w:rsidRPr="003E4C05">
        <w:rPr>
          <w:sz w:val="28"/>
          <w:szCs w:val="28"/>
          <w:lang w:val="uk-UA"/>
        </w:rPr>
        <w:t>. - С.</w:t>
      </w:r>
      <w:r w:rsidRPr="00AA26C0">
        <w:rPr>
          <w:sz w:val="28"/>
          <w:szCs w:val="28"/>
          <w:lang w:val="uk-UA"/>
        </w:rPr>
        <w:t xml:space="preserve"> 128.</w:t>
      </w:r>
      <w:r w:rsidRPr="008C7F4E">
        <w:rPr>
          <w:sz w:val="28"/>
          <w:szCs w:val="28"/>
          <w:lang w:val="uk-UA"/>
        </w:rPr>
        <w:t xml:space="preserve"> </w:t>
      </w:r>
    </w:p>
    <w:p w:rsidR="004B5E3F" w:rsidRDefault="004B5E3F" w:rsidP="004B5E3F">
      <w:pPr>
        <w:spacing w:line="340" w:lineRule="exact"/>
        <w:ind w:left="360" w:hanging="360"/>
        <w:jc w:val="both"/>
        <w:rPr>
          <w:sz w:val="28"/>
          <w:szCs w:val="28"/>
          <w:lang w:val="uk-UA"/>
        </w:rPr>
      </w:pPr>
      <w:r>
        <w:rPr>
          <w:sz w:val="28"/>
          <w:szCs w:val="28"/>
          <w:lang w:val="uk-UA"/>
        </w:rPr>
        <w:t>10.</w:t>
      </w:r>
      <w:r w:rsidRPr="00EE0C50">
        <w:rPr>
          <w:sz w:val="28"/>
          <w:szCs w:val="28"/>
          <w:lang w:val="uk-UA"/>
        </w:rPr>
        <w:t xml:space="preserve"> </w:t>
      </w:r>
      <w:r>
        <w:rPr>
          <w:sz w:val="28"/>
          <w:szCs w:val="28"/>
          <w:lang w:val="uk-UA"/>
        </w:rPr>
        <w:t>Мітченко О. І.</w:t>
      </w:r>
      <w:r w:rsidRPr="00AA26C0">
        <w:rPr>
          <w:sz w:val="28"/>
          <w:szCs w:val="28"/>
          <w:lang w:val="uk-UA"/>
        </w:rPr>
        <w:t xml:space="preserve"> Діагностика гіпертрофії лівого шлуночка у хворих метаболічним синдромом з урахуванням гендерних особл</w:t>
      </w:r>
      <w:r>
        <w:rPr>
          <w:sz w:val="28"/>
          <w:szCs w:val="28"/>
          <w:lang w:val="uk-UA"/>
        </w:rPr>
        <w:t>ивостей та ступеню ожиріння</w:t>
      </w:r>
      <w:r w:rsidRPr="006D73F0">
        <w:rPr>
          <w:sz w:val="28"/>
          <w:szCs w:val="28"/>
          <w:lang w:val="uk-UA"/>
        </w:rPr>
        <w:t xml:space="preserve"> </w:t>
      </w:r>
      <w:r>
        <w:rPr>
          <w:sz w:val="28"/>
          <w:szCs w:val="28"/>
          <w:lang w:val="uk-UA"/>
        </w:rPr>
        <w:t>/</w:t>
      </w:r>
      <w:r w:rsidRPr="00AA26C0">
        <w:rPr>
          <w:sz w:val="28"/>
          <w:szCs w:val="28"/>
          <w:lang w:val="uk-UA"/>
        </w:rPr>
        <w:t xml:space="preserve"> Мітченко О. І., Каспрук Г. Б., Романов В. Ю., Бєляєва Т. </w:t>
      </w:r>
      <w:r w:rsidRPr="00B903C1">
        <w:rPr>
          <w:sz w:val="28"/>
          <w:szCs w:val="28"/>
          <w:lang w:val="uk-UA"/>
        </w:rPr>
        <w:t>//</w:t>
      </w:r>
      <w:r>
        <w:rPr>
          <w:sz w:val="28"/>
          <w:szCs w:val="28"/>
          <w:lang w:val="uk-UA"/>
        </w:rPr>
        <w:t xml:space="preserve"> Укр. кардіол. журнал</w:t>
      </w:r>
      <w:r w:rsidRPr="00AA26C0">
        <w:rPr>
          <w:sz w:val="28"/>
          <w:szCs w:val="28"/>
          <w:lang w:val="uk-UA"/>
        </w:rPr>
        <w:t>.- 2008. – № 1. - С. 56-65.</w:t>
      </w:r>
      <w:r w:rsidRPr="00626A49">
        <w:rPr>
          <w:sz w:val="28"/>
          <w:szCs w:val="28"/>
          <w:lang w:val="uk-UA"/>
        </w:rPr>
        <w:t xml:space="preserve"> </w:t>
      </w:r>
    </w:p>
    <w:p w:rsidR="004B5E3F" w:rsidRPr="00390E5F" w:rsidRDefault="004B5E3F" w:rsidP="004B5E3F">
      <w:pPr>
        <w:spacing w:line="340" w:lineRule="exact"/>
        <w:ind w:left="360" w:hanging="360"/>
        <w:jc w:val="both"/>
        <w:rPr>
          <w:sz w:val="28"/>
          <w:szCs w:val="28"/>
          <w:lang w:val="uk-UA"/>
        </w:rPr>
      </w:pPr>
      <w:r>
        <w:rPr>
          <w:sz w:val="28"/>
          <w:szCs w:val="28"/>
          <w:lang w:val="uk-UA"/>
        </w:rPr>
        <w:t>11.</w:t>
      </w:r>
      <w:r w:rsidRPr="00EE0C50">
        <w:rPr>
          <w:sz w:val="28"/>
          <w:szCs w:val="28"/>
          <w:lang w:val="uk-UA"/>
        </w:rPr>
        <w:t xml:space="preserve"> </w:t>
      </w:r>
      <w:r>
        <w:rPr>
          <w:sz w:val="28"/>
          <w:szCs w:val="28"/>
          <w:lang w:val="uk-UA"/>
        </w:rPr>
        <w:t>Каспрук Г. Б.</w:t>
      </w:r>
      <w:r w:rsidRPr="00AA26C0">
        <w:rPr>
          <w:sz w:val="28"/>
          <w:szCs w:val="28"/>
          <w:lang w:val="uk-UA"/>
        </w:rPr>
        <w:t xml:space="preserve">  Гіпертрофія лівого шлуночка у хворих метаболічним синдромом з урахуванням гендерних особливостей та ступеню ожиріння</w:t>
      </w:r>
      <w:r w:rsidRPr="006D73F0">
        <w:rPr>
          <w:sz w:val="28"/>
          <w:szCs w:val="28"/>
          <w:lang w:val="uk-UA"/>
        </w:rPr>
        <w:t xml:space="preserve"> </w:t>
      </w:r>
      <w:r>
        <w:rPr>
          <w:sz w:val="28"/>
          <w:szCs w:val="28"/>
          <w:lang w:val="uk-UA"/>
        </w:rPr>
        <w:t>/</w:t>
      </w:r>
      <w:r w:rsidRPr="00AA26C0">
        <w:rPr>
          <w:sz w:val="28"/>
          <w:szCs w:val="28"/>
          <w:lang w:val="uk-UA"/>
        </w:rPr>
        <w:t xml:space="preserve"> Каспрук Г. Б., Мітченко О. І., Романов В. Ю., Бєляєва Т. В.</w:t>
      </w:r>
      <w:r w:rsidRPr="00B903C1">
        <w:rPr>
          <w:sz w:val="28"/>
          <w:szCs w:val="28"/>
          <w:lang w:val="uk-UA"/>
        </w:rPr>
        <w:t xml:space="preserve"> //</w:t>
      </w:r>
      <w:r w:rsidRPr="00AA26C0">
        <w:rPr>
          <w:sz w:val="28"/>
          <w:szCs w:val="28"/>
          <w:lang w:val="uk-UA"/>
        </w:rPr>
        <w:t xml:space="preserve"> Метаболічни</w:t>
      </w:r>
      <w:r>
        <w:rPr>
          <w:sz w:val="28"/>
          <w:szCs w:val="28"/>
          <w:lang w:val="uk-UA"/>
        </w:rPr>
        <w:t xml:space="preserve">й синдром в практиці кардіолога: Науково-практична конференція </w:t>
      </w:r>
      <w:r w:rsidRPr="00AA26C0">
        <w:rPr>
          <w:sz w:val="28"/>
          <w:szCs w:val="28"/>
          <w:lang w:val="uk-UA"/>
        </w:rPr>
        <w:t>Харків,</w:t>
      </w:r>
      <w:r>
        <w:rPr>
          <w:sz w:val="28"/>
          <w:szCs w:val="28"/>
          <w:lang w:val="uk-UA"/>
        </w:rPr>
        <w:t xml:space="preserve"> 2008; тези наукових доповідей - С.</w:t>
      </w:r>
      <w:r w:rsidRPr="003071A6">
        <w:rPr>
          <w:sz w:val="28"/>
          <w:szCs w:val="28"/>
          <w:lang w:val="uk-UA"/>
        </w:rPr>
        <w:t xml:space="preserve"> </w:t>
      </w:r>
      <w:r>
        <w:rPr>
          <w:sz w:val="28"/>
          <w:szCs w:val="28"/>
          <w:lang w:val="uk-UA"/>
        </w:rPr>
        <w:t>28.</w:t>
      </w:r>
    </w:p>
    <w:p w:rsidR="004B5E3F" w:rsidRDefault="004B5E3F" w:rsidP="004B5E3F">
      <w:pPr>
        <w:ind w:left="360" w:hanging="360"/>
        <w:jc w:val="both"/>
        <w:rPr>
          <w:sz w:val="28"/>
          <w:szCs w:val="28"/>
          <w:lang w:val="uk-UA"/>
        </w:rPr>
      </w:pPr>
      <w:r w:rsidRPr="003E4C05">
        <w:rPr>
          <w:sz w:val="28"/>
          <w:szCs w:val="28"/>
          <w:lang w:val="uk-UA"/>
        </w:rPr>
        <w:t>12.</w:t>
      </w:r>
      <w:r w:rsidRPr="00B903C1">
        <w:rPr>
          <w:b/>
          <w:color w:val="000000"/>
          <w:sz w:val="28"/>
          <w:szCs w:val="28"/>
          <w:lang w:val="uk-UA"/>
        </w:rPr>
        <w:t xml:space="preserve"> </w:t>
      </w:r>
      <w:r w:rsidRPr="00220EA2">
        <w:rPr>
          <w:color w:val="000000"/>
          <w:sz w:val="28"/>
          <w:szCs w:val="28"/>
          <w:lang w:val="uk-UA"/>
        </w:rPr>
        <w:t>Мітченко О.І.</w:t>
      </w:r>
      <w:r>
        <w:rPr>
          <w:b/>
          <w:color w:val="000000"/>
          <w:sz w:val="28"/>
          <w:szCs w:val="28"/>
          <w:lang w:val="uk-UA"/>
        </w:rPr>
        <w:t xml:space="preserve"> </w:t>
      </w:r>
      <w:r w:rsidRPr="00B903C1">
        <w:rPr>
          <w:color w:val="000000"/>
          <w:sz w:val="28"/>
          <w:szCs w:val="28"/>
          <w:lang w:val="uk-UA"/>
        </w:rPr>
        <w:t>Гіпертрофія лівого шлуночку</w:t>
      </w:r>
      <w:r w:rsidRPr="00B903C1">
        <w:rPr>
          <w:sz w:val="28"/>
          <w:szCs w:val="28"/>
          <w:lang w:val="uk-UA"/>
        </w:rPr>
        <w:t xml:space="preserve"> у хворих із порушенями вуглеводного обміну на тлі </w:t>
      </w:r>
      <w:r w:rsidRPr="00B903C1">
        <w:rPr>
          <w:bCs/>
          <w:sz w:val="28"/>
          <w:szCs w:val="28"/>
          <w:lang w:val="uk-UA"/>
        </w:rPr>
        <w:t xml:space="preserve">метаболічного </w:t>
      </w:r>
      <w:r w:rsidRPr="00B903C1">
        <w:rPr>
          <w:bCs/>
          <w:sz w:val="28"/>
          <w:szCs w:val="28"/>
          <w:lang w:val="en-US"/>
        </w:rPr>
        <w:t>c</w:t>
      </w:r>
      <w:r w:rsidRPr="00B903C1">
        <w:rPr>
          <w:bCs/>
          <w:sz w:val="28"/>
          <w:szCs w:val="28"/>
          <w:lang w:val="uk-UA"/>
        </w:rPr>
        <w:t>индрому</w:t>
      </w:r>
      <w:r>
        <w:rPr>
          <w:sz w:val="28"/>
          <w:szCs w:val="28"/>
          <w:lang w:val="uk-UA"/>
        </w:rPr>
        <w:t xml:space="preserve"> /</w:t>
      </w:r>
      <w:r w:rsidRPr="00AA26C0">
        <w:rPr>
          <w:sz w:val="28"/>
          <w:szCs w:val="28"/>
          <w:lang w:val="uk-UA"/>
        </w:rPr>
        <w:t xml:space="preserve"> </w:t>
      </w:r>
      <w:r w:rsidRPr="00220EA2">
        <w:rPr>
          <w:color w:val="000000"/>
          <w:sz w:val="28"/>
          <w:szCs w:val="28"/>
          <w:lang w:val="uk-UA"/>
        </w:rPr>
        <w:t>Мітченко О.І., Каспрук Г.Б., Романов В.Ю., Бєляєва Т.В.</w:t>
      </w:r>
      <w:r w:rsidRPr="00B903C1">
        <w:rPr>
          <w:sz w:val="28"/>
          <w:szCs w:val="28"/>
          <w:lang w:val="uk-UA"/>
        </w:rPr>
        <w:t xml:space="preserve"> //</w:t>
      </w:r>
      <w:r>
        <w:rPr>
          <w:sz w:val="28"/>
          <w:szCs w:val="28"/>
          <w:lang w:val="uk-UA"/>
        </w:rPr>
        <w:t xml:space="preserve"> Укр. кардіол. журнал.- 2008. – № 3. – С. 82-89. </w:t>
      </w:r>
    </w:p>
    <w:p w:rsidR="004B5E3F" w:rsidRDefault="004B5E3F" w:rsidP="004B5E3F">
      <w:pPr>
        <w:ind w:left="360" w:hanging="360"/>
        <w:jc w:val="both"/>
        <w:rPr>
          <w:sz w:val="28"/>
          <w:szCs w:val="28"/>
          <w:lang w:val="uk-UA"/>
        </w:rPr>
      </w:pPr>
      <w:r>
        <w:rPr>
          <w:sz w:val="28"/>
          <w:szCs w:val="28"/>
          <w:lang w:val="uk-UA"/>
        </w:rPr>
        <w:t>13. Каспрук Г. Б. Гипертрофия левого желуд</w:t>
      </w:r>
      <w:r w:rsidRPr="00AA26C0">
        <w:rPr>
          <w:sz w:val="28"/>
          <w:szCs w:val="28"/>
          <w:lang w:val="uk-UA"/>
        </w:rPr>
        <w:t xml:space="preserve">очка у </w:t>
      </w:r>
      <w:r>
        <w:rPr>
          <w:sz w:val="28"/>
          <w:szCs w:val="28"/>
          <w:lang w:val="uk-UA"/>
        </w:rPr>
        <w:t>больных метаболи</w:t>
      </w:r>
      <w:r w:rsidRPr="00AA26C0">
        <w:rPr>
          <w:sz w:val="28"/>
          <w:szCs w:val="28"/>
          <w:lang w:val="uk-UA"/>
        </w:rPr>
        <w:t>ч</w:t>
      </w:r>
      <w:r>
        <w:rPr>
          <w:sz w:val="28"/>
          <w:szCs w:val="28"/>
          <w:lang w:val="uk-UA"/>
        </w:rPr>
        <w:t>еск</w:t>
      </w:r>
      <w:r w:rsidRPr="00AA26C0">
        <w:rPr>
          <w:sz w:val="28"/>
          <w:szCs w:val="28"/>
          <w:lang w:val="uk-UA"/>
        </w:rPr>
        <w:t xml:space="preserve">им синдромом </w:t>
      </w:r>
      <w:r>
        <w:rPr>
          <w:sz w:val="28"/>
          <w:szCs w:val="28"/>
          <w:lang w:val="uk-UA"/>
        </w:rPr>
        <w:t>и ее</w:t>
      </w:r>
      <w:r w:rsidRPr="00AA26C0">
        <w:rPr>
          <w:sz w:val="28"/>
          <w:szCs w:val="28"/>
          <w:lang w:val="uk-UA"/>
        </w:rPr>
        <w:t xml:space="preserve"> </w:t>
      </w:r>
      <w:r>
        <w:rPr>
          <w:sz w:val="28"/>
          <w:szCs w:val="28"/>
          <w:lang w:val="uk-UA"/>
        </w:rPr>
        <w:t>зависимость от пола, степени</w:t>
      </w:r>
      <w:r w:rsidRPr="00AA26C0">
        <w:rPr>
          <w:sz w:val="28"/>
          <w:szCs w:val="28"/>
          <w:lang w:val="uk-UA"/>
        </w:rPr>
        <w:t xml:space="preserve"> ожир</w:t>
      </w:r>
      <w:r>
        <w:rPr>
          <w:sz w:val="28"/>
          <w:szCs w:val="28"/>
          <w:lang w:val="uk-UA"/>
        </w:rPr>
        <w:t>е</w:t>
      </w:r>
      <w:r w:rsidRPr="00AA26C0">
        <w:rPr>
          <w:sz w:val="28"/>
          <w:szCs w:val="28"/>
          <w:lang w:val="uk-UA"/>
        </w:rPr>
        <w:t>н</w:t>
      </w:r>
      <w:r>
        <w:rPr>
          <w:sz w:val="28"/>
          <w:szCs w:val="28"/>
          <w:lang w:val="uk-UA"/>
        </w:rPr>
        <w:t>и</w:t>
      </w:r>
      <w:r w:rsidRPr="00AA26C0">
        <w:rPr>
          <w:sz w:val="28"/>
          <w:szCs w:val="28"/>
          <w:lang w:val="uk-UA"/>
        </w:rPr>
        <w:t>я</w:t>
      </w:r>
      <w:r w:rsidRPr="006D73F0">
        <w:rPr>
          <w:sz w:val="28"/>
          <w:szCs w:val="28"/>
          <w:lang w:val="uk-UA"/>
        </w:rPr>
        <w:t xml:space="preserve"> </w:t>
      </w:r>
      <w:r>
        <w:rPr>
          <w:sz w:val="28"/>
          <w:szCs w:val="28"/>
          <w:lang w:val="uk-UA"/>
        </w:rPr>
        <w:t>и нарушений углеводного обмена / Каспрук Г. Б., Митченко Е</w:t>
      </w:r>
      <w:r w:rsidRPr="00AA26C0">
        <w:rPr>
          <w:sz w:val="28"/>
          <w:szCs w:val="28"/>
          <w:lang w:val="uk-UA"/>
        </w:rPr>
        <w:t xml:space="preserve">. </w:t>
      </w:r>
      <w:r>
        <w:rPr>
          <w:sz w:val="28"/>
          <w:szCs w:val="28"/>
          <w:lang w:val="uk-UA"/>
        </w:rPr>
        <w:t>И., Романов В. Ю.</w:t>
      </w:r>
      <w:r w:rsidRPr="00B903C1">
        <w:rPr>
          <w:sz w:val="28"/>
          <w:szCs w:val="28"/>
          <w:lang w:val="uk-UA"/>
        </w:rPr>
        <w:t xml:space="preserve"> //</w:t>
      </w:r>
      <w:r w:rsidRPr="00AA26C0">
        <w:rPr>
          <w:sz w:val="28"/>
          <w:szCs w:val="28"/>
          <w:lang w:val="uk-UA"/>
        </w:rPr>
        <w:t xml:space="preserve"> Метаболічни</w:t>
      </w:r>
      <w:r>
        <w:rPr>
          <w:sz w:val="28"/>
          <w:szCs w:val="28"/>
          <w:lang w:val="uk-UA"/>
        </w:rPr>
        <w:t>й синдром в практиці терапевта: Науково-практична</w:t>
      </w:r>
      <w:r w:rsidRPr="00AA26C0">
        <w:rPr>
          <w:sz w:val="28"/>
          <w:szCs w:val="28"/>
          <w:lang w:val="uk-UA"/>
        </w:rPr>
        <w:t xml:space="preserve"> ко</w:t>
      </w:r>
      <w:r>
        <w:rPr>
          <w:sz w:val="28"/>
          <w:szCs w:val="28"/>
          <w:lang w:val="uk-UA"/>
        </w:rPr>
        <w:t>нференція, Харків, 2008; тези наукових доповідей - С. 34-35</w:t>
      </w:r>
      <w:r w:rsidRPr="00AA26C0">
        <w:rPr>
          <w:sz w:val="28"/>
          <w:szCs w:val="28"/>
          <w:lang w:val="uk-UA"/>
        </w:rPr>
        <w:t>.</w:t>
      </w:r>
      <w:r w:rsidRPr="00626A49">
        <w:rPr>
          <w:sz w:val="28"/>
          <w:szCs w:val="28"/>
          <w:lang w:val="uk-UA"/>
        </w:rPr>
        <w:t xml:space="preserve"> </w:t>
      </w:r>
    </w:p>
    <w:p w:rsidR="004B5E3F" w:rsidRDefault="004B5E3F" w:rsidP="004B5E3F">
      <w:pPr>
        <w:ind w:left="360" w:hanging="360"/>
        <w:jc w:val="both"/>
        <w:rPr>
          <w:sz w:val="28"/>
          <w:szCs w:val="28"/>
          <w:lang w:val="uk-UA"/>
        </w:rPr>
      </w:pPr>
      <w:r>
        <w:rPr>
          <w:sz w:val="28"/>
          <w:szCs w:val="28"/>
          <w:lang w:val="uk-UA"/>
        </w:rPr>
        <w:t xml:space="preserve">14. </w:t>
      </w:r>
      <w:r w:rsidRPr="00AA26C0">
        <w:rPr>
          <w:sz w:val="28"/>
          <w:szCs w:val="28"/>
          <w:lang w:val="en-US"/>
        </w:rPr>
        <w:t>Kaspruk</w:t>
      </w:r>
      <w:r w:rsidRPr="00390E5F">
        <w:rPr>
          <w:sz w:val="28"/>
          <w:szCs w:val="28"/>
          <w:lang w:val="uk-UA"/>
        </w:rPr>
        <w:t xml:space="preserve"> </w:t>
      </w:r>
      <w:r w:rsidRPr="00AA26C0">
        <w:rPr>
          <w:sz w:val="28"/>
          <w:szCs w:val="28"/>
          <w:lang w:val="en-US"/>
        </w:rPr>
        <w:t>G</w:t>
      </w:r>
      <w:r w:rsidRPr="00AA26C0">
        <w:rPr>
          <w:sz w:val="28"/>
          <w:szCs w:val="28"/>
          <w:lang w:val="uk-UA"/>
        </w:rPr>
        <w:t xml:space="preserve">. </w:t>
      </w:r>
      <w:r w:rsidRPr="00AA26C0">
        <w:rPr>
          <w:sz w:val="28"/>
          <w:szCs w:val="28"/>
          <w:lang w:val="en-US"/>
        </w:rPr>
        <w:t>Left</w:t>
      </w:r>
      <w:r w:rsidRPr="00AA26C0">
        <w:rPr>
          <w:sz w:val="28"/>
          <w:szCs w:val="28"/>
          <w:lang w:val="uk-UA"/>
        </w:rPr>
        <w:t xml:space="preserve"> </w:t>
      </w:r>
      <w:r w:rsidRPr="00AA26C0">
        <w:rPr>
          <w:sz w:val="28"/>
          <w:szCs w:val="28"/>
          <w:lang w:val="en-US"/>
        </w:rPr>
        <w:t>ventricular</w:t>
      </w:r>
      <w:r w:rsidRPr="00AA26C0">
        <w:rPr>
          <w:sz w:val="28"/>
          <w:szCs w:val="28"/>
          <w:lang w:val="uk-UA"/>
        </w:rPr>
        <w:t xml:space="preserve"> </w:t>
      </w:r>
      <w:r w:rsidRPr="00AA26C0">
        <w:rPr>
          <w:sz w:val="28"/>
          <w:szCs w:val="28"/>
          <w:lang w:val="en-US"/>
        </w:rPr>
        <w:t>hypertrophy</w:t>
      </w:r>
      <w:r w:rsidRPr="00AA26C0">
        <w:rPr>
          <w:sz w:val="28"/>
          <w:szCs w:val="28"/>
          <w:lang w:val="uk-UA"/>
        </w:rPr>
        <w:t xml:space="preserve"> </w:t>
      </w:r>
      <w:r w:rsidRPr="00AA26C0">
        <w:rPr>
          <w:sz w:val="28"/>
          <w:szCs w:val="28"/>
          <w:lang w:val="en-US"/>
        </w:rPr>
        <w:t>at</w:t>
      </w:r>
      <w:r w:rsidRPr="00AA26C0">
        <w:rPr>
          <w:sz w:val="28"/>
          <w:szCs w:val="28"/>
          <w:lang w:val="uk-UA"/>
        </w:rPr>
        <w:t xml:space="preserve"> </w:t>
      </w:r>
      <w:r w:rsidRPr="00AA26C0">
        <w:rPr>
          <w:sz w:val="28"/>
          <w:szCs w:val="28"/>
          <w:lang w:val="en-US"/>
        </w:rPr>
        <w:t>patients</w:t>
      </w:r>
      <w:r w:rsidRPr="00AA26C0">
        <w:rPr>
          <w:sz w:val="28"/>
          <w:szCs w:val="28"/>
          <w:lang w:val="uk-UA"/>
        </w:rPr>
        <w:t xml:space="preserve"> </w:t>
      </w:r>
      <w:r w:rsidRPr="00AA26C0">
        <w:rPr>
          <w:sz w:val="28"/>
          <w:szCs w:val="28"/>
          <w:lang w:val="en-US"/>
        </w:rPr>
        <w:t>with</w:t>
      </w:r>
      <w:r w:rsidRPr="00AA26C0">
        <w:rPr>
          <w:sz w:val="28"/>
          <w:szCs w:val="28"/>
          <w:lang w:val="uk-UA"/>
        </w:rPr>
        <w:t xml:space="preserve"> </w:t>
      </w:r>
      <w:r w:rsidRPr="00AA26C0">
        <w:rPr>
          <w:sz w:val="28"/>
          <w:szCs w:val="28"/>
          <w:lang w:val="en-US"/>
        </w:rPr>
        <w:t>metabolic</w:t>
      </w:r>
      <w:r w:rsidRPr="00AA26C0">
        <w:rPr>
          <w:sz w:val="28"/>
          <w:szCs w:val="28"/>
          <w:lang w:val="uk-UA"/>
        </w:rPr>
        <w:t xml:space="preserve"> </w:t>
      </w:r>
      <w:r w:rsidRPr="00AA26C0">
        <w:rPr>
          <w:sz w:val="28"/>
          <w:szCs w:val="28"/>
          <w:lang w:val="en-US"/>
        </w:rPr>
        <w:t>syndrome</w:t>
      </w:r>
      <w:r w:rsidRPr="00390E5F">
        <w:rPr>
          <w:sz w:val="28"/>
          <w:szCs w:val="28"/>
          <w:lang w:val="uk-UA"/>
        </w:rPr>
        <w:t xml:space="preserve"> </w:t>
      </w:r>
      <w:r w:rsidRPr="00AA26C0">
        <w:rPr>
          <w:sz w:val="28"/>
          <w:szCs w:val="28"/>
          <w:lang w:val="en-US"/>
        </w:rPr>
        <w:t>according</w:t>
      </w:r>
      <w:r w:rsidRPr="00AA26C0">
        <w:rPr>
          <w:sz w:val="28"/>
          <w:szCs w:val="28"/>
          <w:lang w:val="uk-UA"/>
        </w:rPr>
        <w:t xml:space="preserve"> </w:t>
      </w:r>
      <w:r w:rsidRPr="00AA26C0">
        <w:rPr>
          <w:sz w:val="28"/>
          <w:szCs w:val="28"/>
          <w:lang w:val="en-US"/>
        </w:rPr>
        <w:t>to</w:t>
      </w:r>
      <w:r w:rsidRPr="00AA26C0">
        <w:rPr>
          <w:sz w:val="28"/>
          <w:szCs w:val="28"/>
          <w:lang w:val="uk-UA"/>
        </w:rPr>
        <w:t xml:space="preserve"> </w:t>
      </w:r>
      <w:r w:rsidRPr="00AA26C0">
        <w:rPr>
          <w:sz w:val="28"/>
          <w:szCs w:val="28"/>
          <w:lang w:val="en-US"/>
        </w:rPr>
        <w:t>ATP</w:t>
      </w:r>
      <w:r w:rsidRPr="00AA26C0">
        <w:rPr>
          <w:sz w:val="28"/>
          <w:szCs w:val="28"/>
          <w:lang w:val="uk-UA"/>
        </w:rPr>
        <w:t xml:space="preserve"> </w:t>
      </w:r>
      <w:r w:rsidRPr="00AA26C0">
        <w:rPr>
          <w:sz w:val="28"/>
          <w:szCs w:val="28"/>
          <w:lang w:val="en-US"/>
        </w:rPr>
        <w:t>III</w:t>
      </w:r>
      <w:r w:rsidRPr="00AA26C0">
        <w:rPr>
          <w:sz w:val="28"/>
          <w:szCs w:val="28"/>
          <w:lang w:val="uk-UA"/>
        </w:rPr>
        <w:t xml:space="preserve"> </w:t>
      </w:r>
      <w:r w:rsidRPr="00AA26C0">
        <w:rPr>
          <w:sz w:val="28"/>
          <w:szCs w:val="28"/>
          <w:lang w:val="en-US"/>
        </w:rPr>
        <w:t>and</w:t>
      </w:r>
      <w:r w:rsidRPr="00AA26C0">
        <w:rPr>
          <w:sz w:val="28"/>
          <w:szCs w:val="28"/>
          <w:lang w:val="uk-UA"/>
        </w:rPr>
        <w:t xml:space="preserve"> </w:t>
      </w:r>
      <w:r w:rsidRPr="00AA26C0">
        <w:rPr>
          <w:sz w:val="28"/>
          <w:szCs w:val="28"/>
          <w:lang w:val="en-US"/>
        </w:rPr>
        <w:t>IDF</w:t>
      </w:r>
      <w:r>
        <w:rPr>
          <w:sz w:val="28"/>
          <w:szCs w:val="28"/>
          <w:lang w:val="uk-UA"/>
        </w:rPr>
        <w:t xml:space="preserve"> /</w:t>
      </w:r>
      <w:r w:rsidRPr="00390E5F">
        <w:rPr>
          <w:sz w:val="28"/>
          <w:szCs w:val="28"/>
          <w:lang w:val="uk-UA"/>
        </w:rPr>
        <w:t xml:space="preserve"> </w:t>
      </w:r>
      <w:r w:rsidRPr="00AA26C0">
        <w:rPr>
          <w:sz w:val="28"/>
          <w:szCs w:val="28"/>
          <w:lang w:val="en-US"/>
        </w:rPr>
        <w:t>G</w:t>
      </w:r>
      <w:r w:rsidRPr="00AA26C0">
        <w:rPr>
          <w:sz w:val="28"/>
          <w:szCs w:val="28"/>
          <w:lang w:val="uk-UA"/>
        </w:rPr>
        <w:t xml:space="preserve">. </w:t>
      </w:r>
      <w:r w:rsidRPr="00AA26C0">
        <w:rPr>
          <w:sz w:val="28"/>
          <w:szCs w:val="28"/>
          <w:lang w:val="en-US"/>
        </w:rPr>
        <w:t>Kaspruk</w:t>
      </w:r>
      <w:r w:rsidRPr="00AA26C0">
        <w:rPr>
          <w:sz w:val="28"/>
          <w:szCs w:val="28"/>
          <w:lang w:val="uk-UA"/>
        </w:rPr>
        <w:t xml:space="preserve">, </w:t>
      </w:r>
      <w:r w:rsidRPr="00AA26C0">
        <w:rPr>
          <w:sz w:val="28"/>
          <w:szCs w:val="28"/>
          <w:lang w:val="en-US"/>
        </w:rPr>
        <w:t>V</w:t>
      </w:r>
      <w:r w:rsidRPr="00AA26C0">
        <w:rPr>
          <w:sz w:val="28"/>
          <w:szCs w:val="28"/>
          <w:lang w:val="uk-UA"/>
        </w:rPr>
        <w:t xml:space="preserve">. </w:t>
      </w:r>
      <w:r w:rsidRPr="00AA26C0">
        <w:rPr>
          <w:sz w:val="28"/>
          <w:szCs w:val="28"/>
          <w:lang w:val="en-US"/>
        </w:rPr>
        <w:t>Romanov</w:t>
      </w:r>
      <w:r w:rsidRPr="00AA26C0">
        <w:rPr>
          <w:sz w:val="28"/>
          <w:szCs w:val="28"/>
          <w:lang w:val="uk-UA"/>
        </w:rPr>
        <w:t xml:space="preserve">, </w:t>
      </w:r>
      <w:r w:rsidRPr="00AA26C0">
        <w:rPr>
          <w:sz w:val="28"/>
          <w:szCs w:val="28"/>
          <w:lang w:val="en-US"/>
        </w:rPr>
        <w:t>T</w:t>
      </w:r>
      <w:r w:rsidRPr="00AA26C0">
        <w:rPr>
          <w:sz w:val="28"/>
          <w:szCs w:val="28"/>
          <w:lang w:val="uk-UA"/>
        </w:rPr>
        <w:t xml:space="preserve">. </w:t>
      </w:r>
      <w:r w:rsidRPr="00AA26C0">
        <w:rPr>
          <w:sz w:val="28"/>
          <w:szCs w:val="28"/>
          <w:lang w:val="en-US"/>
        </w:rPr>
        <w:t>Beljaeva, O</w:t>
      </w:r>
      <w:r w:rsidRPr="00AA26C0">
        <w:rPr>
          <w:sz w:val="28"/>
          <w:szCs w:val="28"/>
          <w:lang w:val="uk-UA"/>
        </w:rPr>
        <w:t xml:space="preserve">. </w:t>
      </w:r>
      <w:r>
        <w:rPr>
          <w:sz w:val="28"/>
          <w:szCs w:val="28"/>
          <w:lang w:val="en-US"/>
        </w:rPr>
        <w:t>Mitchenko</w:t>
      </w:r>
      <w:r>
        <w:rPr>
          <w:sz w:val="28"/>
          <w:szCs w:val="28"/>
          <w:lang w:val="uk-UA"/>
        </w:rPr>
        <w:t xml:space="preserve"> </w:t>
      </w:r>
      <w:r>
        <w:rPr>
          <w:sz w:val="28"/>
          <w:szCs w:val="28"/>
          <w:lang w:val="en-US"/>
        </w:rPr>
        <w:t>// Eigh</w:t>
      </w:r>
      <w:r w:rsidRPr="00AA26C0">
        <w:rPr>
          <w:sz w:val="28"/>
          <w:szCs w:val="28"/>
          <w:lang w:val="en-US"/>
        </w:rPr>
        <w:t xml:space="preserve">teen European </w:t>
      </w:r>
      <w:r>
        <w:rPr>
          <w:sz w:val="28"/>
          <w:szCs w:val="28"/>
          <w:lang w:val="en-US"/>
        </w:rPr>
        <w:t xml:space="preserve">and Twenty second International </w:t>
      </w:r>
      <w:r w:rsidRPr="00AA26C0">
        <w:rPr>
          <w:sz w:val="28"/>
          <w:szCs w:val="28"/>
          <w:lang w:val="en-US"/>
        </w:rPr>
        <w:t>Congress</w:t>
      </w:r>
      <w:r>
        <w:rPr>
          <w:sz w:val="28"/>
          <w:szCs w:val="28"/>
          <w:lang w:val="en-US"/>
        </w:rPr>
        <w:t>es</w:t>
      </w:r>
      <w:r w:rsidRPr="00AA26C0">
        <w:rPr>
          <w:sz w:val="28"/>
          <w:szCs w:val="28"/>
          <w:lang w:val="en-US"/>
        </w:rPr>
        <w:t xml:space="preserve"> of Hypertension. </w:t>
      </w:r>
      <w:r>
        <w:rPr>
          <w:sz w:val="28"/>
          <w:szCs w:val="28"/>
          <w:lang w:val="uk-UA"/>
        </w:rPr>
        <w:t>Берлін, 2008</w:t>
      </w:r>
      <w:r w:rsidRPr="00AA26C0">
        <w:rPr>
          <w:sz w:val="28"/>
          <w:szCs w:val="28"/>
          <w:lang w:val="uk-UA"/>
        </w:rPr>
        <w:t>.</w:t>
      </w:r>
      <w:r w:rsidRPr="00D93405">
        <w:rPr>
          <w:sz w:val="28"/>
          <w:szCs w:val="28"/>
          <w:lang w:val="en-US"/>
        </w:rPr>
        <w:t xml:space="preserve"> </w:t>
      </w:r>
      <w:r w:rsidRPr="00AA26C0">
        <w:rPr>
          <w:sz w:val="28"/>
          <w:szCs w:val="28"/>
          <w:lang w:val="en-US"/>
        </w:rPr>
        <w:t>J</w:t>
      </w:r>
      <w:r w:rsidRPr="00D93405">
        <w:rPr>
          <w:sz w:val="28"/>
          <w:szCs w:val="28"/>
          <w:lang w:val="en-US"/>
        </w:rPr>
        <w:t xml:space="preserve">. </w:t>
      </w:r>
      <w:r w:rsidRPr="00AA26C0">
        <w:rPr>
          <w:sz w:val="28"/>
          <w:szCs w:val="28"/>
          <w:lang w:val="en-US"/>
        </w:rPr>
        <w:t>of</w:t>
      </w:r>
      <w:r w:rsidRPr="00D93405">
        <w:rPr>
          <w:sz w:val="28"/>
          <w:szCs w:val="28"/>
          <w:lang w:val="en-US"/>
        </w:rPr>
        <w:t xml:space="preserve"> </w:t>
      </w:r>
      <w:r w:rsidRPr="00AA26C0">
        <w:rPr>
          <w:sz w:val="28"/>
          <w:szCs w:val="28"/>
          <w:lang w:val="en-US"/>
        </w:rPr>
        <w:t>Hypertension</w:t>
      </w:r>
      <w:r w:rsidRPr="00D93405">
        <w:rPr>
          <w:sz w:val="28"/>
          <w:szCs w:val="28"/>
          <w:lang w:val="en-US"/>
        </w:rPr>
        <w:t>. – 200</w:t>
      </w:r>
      <w:r>
        <w:rPr>
          <w:sz w:val="28"/>
          <w:szCs w:val="28"/>
          <w:lang w:val="en-US"/>
        </w:rPr>
        <w:t>8</w:t>
      </w:r>
      <w:r w:rsidRPr="00D93405">
        <w:rPr>
          <w:sz w:val="28"/>
          <w:szCs w:val="28"/>
          <w:lang w:val="en-US"/>
        </w:rPr>
        <w:t xml:space="preserve">.- </w:t>
      </w:r>
      <w:r w:rsidRPr="00AA26C0">
        <w:rPr>
          <w:sz w:val="28"/>
          <w:szCs w:val="28"/>
          <w:lang w:val="en-US"/>
        </w:rPr>
        <w:t>Vol</w:t>
      </w:r>
      <w:r w:rsidRPr="00D93405">
        <w:rPr>
          <w:sz w:val="28"/>
          <w:szCs w:val="28"/>
          <w:lang w:val="en-US"/>
        </w:rPr>
        <w:t>. 25</w:t>
      </w:r>
      <w:r w:rsidRPr="00AA26C0">
        <w:rPr>
          <w:sz w:val="28"/>
          <w:szCs w:val="28"/>
          <w:lang w:val="uk-UA"/>
        </w:rPr>
        <w:t xml:space="preserve"> (</w:t>
      </w:r>
      <w:r w:rsidRPr="00AA26C0">
        <w:rPr>
          <w:sz w:val="28"/>
          <w:szCs w:val="28"/>
          <w:lang w:val="en-US"/>
        </w:rPr>
        <w:t>Suppl</w:t>
      </w:r>
      <w:r w:rsidRPr="00D93405">
        <w:rPr>
          <w:sz w:val="28"/>
          <w:szCs w:val="28"/>
          <w:lang w:val="en-US"/>
        </w:rPr>
        <w:t>. 2</w:t>
      </w:r>
      <w:r w:rsidRPr="00AA26C0">
        <w:rPr>
          <w:sz w:val="28"/>
          <w:szCs w:val="28"/>
          <w:lang w:val="uk-UA"/>
        </w:rPr>
        <w:t>)</w:t>
      </w:r>
      <w:r w:rsidRPr="00D93405">
        <w:rPr>
          <w:sz w:val="28"/>
          <w:szCs w:val="28"/>
          <w:lang w:val="en-US"/>
        </w:rPr>
        <w:t xml:space="preserve">. – </w:t>
      </w:r>
      <w:r w:rsidRPr="00AA26C0">
        <w:rPr>
          <w:sz w:val="28"/>
          <w:szCs w:val="28"/>
          <w:lang w:val="en-US"/>
        </w:rPr>
        <w:t>P</w:t>
      </w:r>
      <w:r w:rsidRPr="00D93405">
        <w:rPr>
          <w:sz w:val="28"/>
          <w:szCs w:val="28"/>
          <w:lang w:val="en-US"/>
        </w:rPr>
        <w:t xml:space="preserve">. </w:t>
      </w:r>
      <w:r w:rsidRPr="00AA26C0">
        <w:rPr>
          <w:sz w:val="28"/>
          <w:szCs w:val="28"/>
          <w:lang w:val="en-US"/>
        </w:rPr>
        <w:t>S</w:t>
      </w:r>
      <w:r w:rsidRPr="00D93405">
        <w:rPr>
          <w:sz w:val="28"/>
          <w:szCs w:val="28"/>
          <w:lang w:val="en-US"/>
        </w:rPr>
        <w:t xml:space="preserve">162. </w:t>
      </w:r>
    </w:p>
    <w:p w:rsidR="004B5E3F" w:rsidRDefault="004B5E3F" w:rsidP="004B5E3F"/>
    <w:p w:rsidR="00E24141" w:rsidRPr="00757760" w:rsidRDefault="00E24141" w:rsidP="00762E24">
      <w:pPr>
        <w:rPr>
          <w:rFonts w:ascii="Times New Roman" w:hAnsi="Times New Roman"/>
          <w:sz w:val="28"/>
          <w:szCs w:val="28"/>
          <w:lang w:val="uk-UA"/>
        </w:rPr>
      </w:pPr>
      <w:bookmarkStart w:id="0" w:name="_GoBack"/>
      <w:bookmarkEnd w:id="0"/>
    </w:p>
    <w:p w:rsidR="0068362D" w:rsidRPr="00031E5A" w:rsidRDefault="0068362D" w:rsidP="00C5587E">
      <w:pPr>
        <w:pStyle w:val="21"/>
        <w:keepNext w:val="0"/>
        <w:widowControl w:val="0"/>
        <w:numPr>
          <w:ilvl w:val="0"/>
          <w:numId w:val="0"/>
        </w:numPr>
        <w:spacing w:line="360" w:lineRule="auto"/>
        <w:ind w:left="720" w:right="210" w:firstLine="696"/>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E1" w:rsidRDefault="002E1FE1">
      <w:r>
        <w:separator/>
      </w:r>
    </w:p>
  </w:endnote>
  <w:endnote w:type="continuationSeparator" w:id="0">
    <w:p w:rsidR="002E1FE1" w:rsidRDefault="002E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rial CYR">
    <w:panose1 w:val="020B0604020202020204"/>
    <w:charset w:val="CC"/>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E1" w:rsidRDefault="002E1FE1">
      <w:r>
        <w:separator/>
      </w:r>
    </w:p>
  </w:footnote>
  <w:footnote w:type="continuationSeparator" w:id="0">
    <w:p w:rsidR="002E1FE1" w:rsidRDefault="002E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FBB3763"/>
    <w:multiLevelType w:val="hybridMultilevel"/>
    <w:tmpl w:val="2BE2D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1E147B3"/>
    <w:multiLevelType w:val="hybridMultilevel"/>
    <w:tmpl w:val="AB4C1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44"/>
  </w:num>
  <w:num w:numId="68">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1FE1"/>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181146025878003E-2"/>
          <c:y val="6.8085106382978725E-2"/>
          <c:w val="0.9593345656192237"/>
          <c:h val="0.7021276595744681"/>
        </c:manualLayout>
      </c:layout>
      <c:barChart>
        <c:barDir val="col"/>
        <c:grouping val="clustered"/>
        <c:varyColors val="0"/>
        <c:ser>
          <c:idx val="0"/>
          <c:order val="0"/>
          <c:tx>
            <c:strRef>
              <c:f>Sheet1!$A$2</c:f>
              <c:strCache>
                <c:ptCount val="1"/>
                <c:pt idx="0">
                  <c:v>без МС</c:v>
                </c:pt>
              </c:strCache>
            </c:strRef>
          </c:tx>
          <c:spPr>
            <a:solidFill>
              <a:srgbClr val="FFFFFF"/>
            </a:solidFill>
            <a:ln w="12694">
              <a:solidFill>
                <a:srgbClr val="000000"/>
              </a:solidFill>
              <a:prstDash val="solid"/>
            </a:ln>
          </c:spPr>
          <c:invertIfNegative val="0"/>
          <c:dLbls>
            <c:dLbl>
              <c:idx val="0"/>
              <c:layout>
                <c:manualLayout>
                  <c:xMode val="edge"/>
                  <c:yMode val="edge"/>
                  <c:x val="0.15157116451016636"/>
                  <c:y val="0.29361702127659572"/>
                </c:manualLayout>
              </c:layout>
              <c:dLblPos val="outEnd"/>
              <c:showLegendKey val="0"/>
              <c:showVal val="1"/>
              <c:showCatName val="0"/>
              <c:showSerName val="0"/>
              <c:showPercent val="0"/>
              <c:showBubbleSize val="0"/>
            </c:dLbl>
            <c:spPr>
              <a:noFill/>
              <a:ln w="25387">
                <a:noFill/>
              </a:ln>
            </c:spPr>
            <c:txPr>
              <a:bodyPr/>
              <a:lstStyle/>
              <a:p>
                <a:pPr>
                  <a:defRPr sz="1174"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Sheet1!$B$1:$B$1</c:f>
              <c:strCache>
                <c:ptCount val="1"/>
                <c:pt idx="0">
                  <c:v>МЛШ(г)</c:v>
                </c:pt>
              </c:strCache>
            </c:strRef>
          </c:cat>
          <c:val>
            <c:numRef>
              <c:f>Sheet1!$B$2:$B$2</c:f>
              <c:numCache>
                <c:formatCode>General</c:formatCode>
                <c:ptCount val="1"/>
                <c:pt idx="0">
                  <c:v>229</c:v>
                </c:pt>
              </c:numCache>
            </c:numRef>
          </c:val>
        </c:ser>
        <c:ser>
          <c:idx val="1"/>
          <c:order val="1"/>
          <c:tx>
            <c:strRef>
              <c:f>Sheet1!$A$3</c:f>
              <c:strCache>
                <c:ptCount val="1"/>
                <c:pt idx="0">
                  <c:v>3 к. МС</c:v>
                </c:pt>
              </c:strCache>
            </c:strRef>
          </c:tx>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94">
              <a:solidFill>
                <a:srgbClr val="000000"/>
              </a:solidFill>
              <a:prstDash val="solid"/>
            </a:ln>
          </c:spPr>
          <c:invertIfNegative val="0"/>
          <c:dLbls>
            <c:dLbl>
              <c:idx val="0"/>
              <c:layout>
                <c:manualLayout>
                  <c:xMode val="edge"/>
                  <c:yMode val="edge"/>
                  <c:x val="0.2754158964879852"/>
                  <c:y val="0.23404255319148937"/>
                </c:manualLayout>
              </c:layout>
              <c:dLblPos val="outEnd"/>
              <c:showLegendKey val="0"/>
              <c:showVal val="1"/>
              <c:showCatName val="0"/>
              <c:showSerName val="0"/>
              <c:showPercent val="0"/>
              <c:showBubbleSize val="0"/>
            </c:dLbl>
            <c:spPr>
              <a:noFill/>
              <a:ln w="25387">
                <a:noFill/>
              </a:ln>
            </c:spPr>
            <c:txPr>
              <a:bodyPr/>
              <a:lstStyle/>
              <a:p>
                <a:pPr>
                  <a:defRPr sz="1174"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Sheet1!$B$1:$B$1</c:f>
              <c:strCache>
                <c:ptCount val="1"/>
                <c:pt idx="0">
                  <c:v>МЛШ(г)</c:v>
                </c:pt>
              </c:strCache>
            </c:strRef>
          </c:cat>
          <c:val>
            <c:numRef>
              <c:f>Sheet1!$B$3:$B$3</c:f>
              <c:numCache>
                <c:formatCode>General</c:formatCode>
                <c:ptCount val="1"/>
                <c:pt idx="0">
                  <c:v>259</c:v>
                </c:pt>
              </c:numCache>
            </c:numRef>
          </c:val>
        </c:ser>
        <c:ser>
          <c:idx val="2"/>
          <c:order val="2"/>
          <c:tx>
            <c:strRef>
              <c:f>Sheet1!$A$4</c:f>
              <c:strCache>
                <c:ptCount val="1"/>
                <c:pt idx="0">
                  <c:v>4 к. МС</c:v>
                </c:pt>
              </c:strCache>
            </c:strRef>
          </c:tx>
          <c:spPr>
            <a:pattFill prst="dotDmnd">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94">
              <a:solidFill>
                <a:srgbClr val="000000"/>
              </a:solidFill>
              <a:prstDash val="solid"/>
            </a:ln>
          </c:spPr>
          <c:invertIfNegative val="0"/>
          <c:dLbls>
            <c:dLbl>
              <c:idx val="0"/>
              <c:layout>
                <c:manualLayout>
                  <c:xMode val="edge"/>
                  <c:yMode val="edge"/>
                  <c:x val="0.40110905730129393"/>
                  <c:y val="0.20851063829787234"/>
                </c:manualLayout>
              </c:layout>
              <c:dLblPos val="outEnd"/>
              <c:showLegendKey val="0"/>
              <c:showVal val="1"/>
              <c:showCatName val="0"/>
              <c:showSerName val="0"/>
              <c:showPercent val="0"/>
              <c:showBubbleSize val="0"/>
            </c:dLbl>
            <c:spPr>
              <a:noFill/>
              <a:ln w="25387">
                <a:noFill/>
              </a:ln>
            </c:spPr>
            <c:txPr>
              <a:bodyPr/>
              <a:lstStyle/>
              <a:p>
                <a:pPr>
                  <a:defRPr sz="1174"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Sheet1!$B$1:$B$1</c:f>
              <c:strCache>
                <c:ptCount val="1"/>
                <c:pt idx="0">
                  <c:v>МЛШ(г)</c:v>
                </c:pt>
              </c:strCache>
            </c:strRef>
          </c:cat>
          <c:val>
            <c:numRef>
              <c:f>Sheet1!$B$4:$B$4</c:f>
              <c:numCache>
                <c:formatCode>General</c:formatCode>
                <c:ptCount val="1"/>
                <c:pt idx="0">
                  <c:v>268</c:v>
                </c:pt>
              </c:numCache>
            </c:numRef>
          </c:val>
        </c:ser>
        <c:ser>
          <c:idx val="3"/>
          <c:order val="3"/>
          <c:tx>
            <c:strRef>
              <c:f>Sheet1!$A$5</c:f>
              <c:strCache>
                <c:ptCount val="1"/>
                <c:pt idx="0">
                  <c:v>5 к. МС</c:v>
                </c:pt>
              </c:strCache>
            </c:strRef>
          </c:tx>
          <c:spPr>
            <a:pattFill prst="lt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94">
              <a:solidFill>
                <a:srgbClr val="000000"/>
              </a:solidFill>
              <a:prstDash val="solid"/>
            </a:ln>
          </c:spPr>
          <c:invertIfNegative val="0"/>
          <c:dLbls>
            <c:dLbl>
              <c:idx val="0"/>
              <c:layout>
                <c:manualLayout>
                  <c:xMode val="edge"/>
                  <c:yMode val="edge"/>
                  <c:x val="0.53049907578558231"/>
                  <c:y val="0.18723404255319148"/>
                </c:manualLayout>
              </c:layout>
              <c:dLblPos val="outEnd"/>
              <c:showLegendKey val="0"/>
              <c:showVal val="1"/>
              <c:showCatName val="0"/>
              <c:showSerName val="0"/>
              <c:showPercent val="0"/>
              <c:showBubbleSize val="0"/>
            </c:dLbl>
            <c:spPr>
              <a:noFill/>
              <a:ln w="25387">
                <a:noFill/>
              </a:ln>
            </c:spPr>
            <c:txPr>
              <a:bodyPr/>
              <a:lstStyle/>
              <a:p>
                <a:pPr>
                  <a:defRPr sz="1174"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Sheet1!$B$1:$B$1</c:f>
              <c:strCache>
                <c:ptCount val="1"/>
                <c:pt idx="0">
                  <c:v>МЛШ(г)</c:v>
                </c:pt>
              </c:strCache>
            </c:strRef>
          </c:cat>
          <c:val>
            <c:numRef>
              <c:f>Sheet1!$B$5:$B$5</c:f>
              <c:numCache>
                <c:formatCode>General</c:formatCode>
                <c:ptCount val="1"/>
                <c:pt idx="0">
                  <c:v>275</c:v>
                </c:pt>
              </c:numCache>
            </c:numRef>
          </c:val>
        </c:ser>
        <c:ser>
          <c:idx val="5"/>
          <c:order val="4"/>
          <c:tx>
            <c:strRef>
              <c:f>Sheet1!$A$6</c:f>
              <c:strCache>
                <c:ptCount val="1"/>
              </c:strCache>
            </c:strRef>
          </c:tx>
          <c:spPr>
            <a:solidFill>
              <a:srgbClr val="E5FFFF"/>
            </a:solidFill>
            <a:ln w="12694">
              <a:solidFill>
                <a:srgbClr val="000000"/>
              </a:solidFill>
              <a:prstDash val="solid"/>
            </a:ln>
          </c:spPr>
          <c:invertIfNegative val="0"/>
          <c:cat>
            <c:strRef>
              <c:f>Sheet1!$B$1:$B$1</c:f>
              <c:strCache>
                <c:ptCount val="1"/>
                <c:pt idx="0">
                  <c:v>МЛШ(г)</c:v>
                </c:pt>
              </c:strCache>
            </c:strRef>
          </c:cat>
          <c:val>
            <c:numRef>
              <c:f>Sheet1!$B$6:$B$6</c:f>
              <c:numCache>
                <c:formatCode>General</c:formatCode>
                <c:ptCount val="1"/>
              </c:numCache>
            </c:numRef>
          </c:val>
        </c:ser>
        <c:ser>
          <c:idx val="4"/>
          <c:order val="5"/>
          <c:tx>
            <c:strRef>
              <c:f>Sheet1!$A$8</c:f>
              <c:strCache>
                <c:ptCount val="1"/>
                <c:pt idx="0">
                  <c:v>ЦД</c:v>
                </c:pt>
              </c:strCache>
            </c:strRef>
          </c:tx>
          <c:spPr>
            <a:pattFill prst="pct9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94">
              <a:solidFill>
                <a:srgbClr val="000000"/>
              </a:solidFill>
              <a:prstDash val="solid"/>
            </a:ln>
          </c:spPr>
          <c:invertIfNegative val="0"/>
          <c:dLbls>
            <c:dLbl>
              <c:idx val="0"/>
              <c:layout>
                <c:manualLayout>
                  <c:xMode val="edge"/>
                  <c:yMode val="edge"/>
                  <c:x val="0.78743068391866911"/>
                  <c:y val="0.14468085106382977"/>
                </c:manualLayout>
              </c:layout>
              <c:dLblPos val="outEnd"/>
              <c:showLegendKey val="0"/>
              <c:showVal val="1"/>
              <c:showCatName val="0"/>
              <c:showSerName val="0"/>
              <c:showPercent val="0"/>
              <c:showBubbleSize val="0"/>
            </c:dLbl>
            <c:spPr>
              <a:noFill/>
              <a:ln w="25387">
                <a:noFill/>
              </a:ln>
            </c:spPr>
            <c:txPr>
              <a:bodyPr/>
              <a:lstStyle/>
              <a:p>
                <a:pPr>
                  <a:defRPr sz="1174"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Sheet1!$B$1:$B$1</c:f>
              <c:strCache>
                <c:ptCount val="1"/>
                <c:pt idx="0">
                  <c:v>МЛШ(г)</c:v>
                </c:pt>
              </c:strCache>
            </c:strRef>
          </c:cat>
          <c:val>
            <c:numRef>
              <c:f>Sheet1!$B$8:$B$8</c:f>
              <c:numCache>
                <c:formatCode>General</c:formatCode>
                <c:ptCount val="1"/>
                <c:pt idx="0">
                  <c:v>297</c:v>
                </c:pt>
              </c:numCache>
            </c:numRef>
          </c:val>
        </c:ser>
        <c:dLbls>
          <c:showLegendKey val="0"/>
          <c:showVal val="0"/>
          <c:showCatName val="0"/>
          <c:showSerName val="0"/>
          <c:showPercent val="0"/>
          <c:showBubbleSize val="0"/>
        </c:dLbls>
        <c:gapWidth val="150"/>
        <c:axId val="216211840"/>
        <c:axId val="216213376"/>
      </c:barChart>
      <c:catAx>
        <c:axId val="216211840"/>
        <c:scaling>
          <c:orientation val="minMax"/>
        </c:scaling>
        <c:delete val="0"/>
        <c:axPos val="b"/>
        <c:numFmt formatCode="General" sourceLinked="1"/>
        <c:majorTickMark val="out"/>
        <c:minorTickMark val="none"/>
        <c:tickLblPos val="nextTo"/>
        <c:spPr>
          <a:ln w="12694">
            <a:solidFill>
              <a:srgbClr val="000000"/>
            </a:solidFill>
            <a:prstDash val="solid"/>
          </a:ln>
        </c:spPr>
        <c:txPr>
          <a:bodyPr rot="0" vert="horz"/>
          <a:lstStyle/>
          <a:p>
            <a:pPr>
              <a:defRPr sz="1149" b="1" i="0" u="none" strike="noStrike" baseline="0">
                <a:solidFill>
                  <a:srgbClr val="000000"/>
                </a:solidFill>
                <a:latin typeface="Tahoma"/>
                <a:ea typeface="Tahoma"/>
                <a:cs typeface="Tahoma"/>
              </a:defRPr>
            </a:pPr>
            <a:endParaRPr lang="ru-RU"/>
          </a:p>
        </c:txPr>
        <c:crossAx val="216213376"/>
        <c:crosses val="autoZero"/>
        <c:auto val="1"/>
        <c:lblAlgn val="ctr"/>
        <c:lblOffset val="100"/>
        <c:tickLblSkip val="1"/>
        <c:tickMarkSkip val="1"/>
        <c:noMultiLvlLbl val="0"/>
      </c:catAx>
      <c:valAx>
        <c:axId val="216213376"/>
        <c:scaling>
          <c:orientation val="minMax"/>
        </c:scaling>
        <c:delete val="1"/>
        <c:axPos val="l"/>
        <c:majorGridlines>
          <c:spPr>
            <a:ln w="12694">
              <a:solidFill>
                <a:srgbClr val="000000"/>
              </a:solidFill>
              <a:prstDash val="solid"/>
            </a:ln>
          </c:spPr>
        </c:majorGridlines>
        <c:numFmt formatCode="General" sourceLinked="1"/>
        <c:majorTickMark val="out"/>
        <c:minorTickMark val="none"/>
        <c:tickLblPos val="nextTo"/>
        <c:crossAx val="216211840"/>
        <c:crosses val="autoZero"/>
        <c:crossBetween val="between"/>
      </c:valAx>
      <c:spPr>
        <a:noFill/>
        <a:ln w="25387">
          <a:noFill/>
        </a:ln>
      </c:spPr>
    </c:plotArea>
    <c:legend>
      <c:legendPos val="r"/>
      <c:legendEntry>
        <c:idx val="4"/>
        <c:delete val="1"/>
      </c:legendEntry>
      <c:layout>
        <c:manualLayout>
          <c:xMode val="edge"/>
          <c:yMode val="edge"/>
          <c:x val="4.4362292051756007E-2"/>
          <c:y val="0.88510638297872335"/>
          <c:w val="0.86691312384473196"/>
          <c:h val="0.11063829787234042"/>
        </c:manualLayout>
      </c:layout>
      <c:overlay val="0"/>
      <c:spPr>
        <a:noFill/>
        <a:ln w="12694">
          <a:solidFill>
            <a:srgbClr val="000000"/>
          </a:solidFill>
          <a:prstDash val="solid"/>
        </a:ln>
      </c:spPr>
      <c:txPr>
        <a:bodyPr/>
        <a:lstStyle/>
        <a:p>
          <a:pPr>
            <a:defRPr sz="1054" b="1" i="0" u="none" strike="noStrike" baseline="0">
              <a:solidFill>
                <a:srgbClr val="000000"/>
              </a:solidFill>
              <a:latin typeface="Tahoma"/>
              <a:ea typeface="Tahoma"/>
              <a:cs typeface="Tahoma"/>
            </a:defRPr>
          </a:pPr>
          <a:endParaRPr lang="ru-RU"/>
        </a:p>
      </c:txPr>
    </c:legend>
    <c:plotVisOnly val="1"/>
    <c:dispBlanksAs val="gap"/>
    <c:showDLblsOverMax val="0"/>
  </c:chart>
  <c:spPr>
    <a:noFill/>
    <a:ln>
      <a:noFill/>
    </a:ln>
  </c:spPr>
  <c:txPr>
    <a:bodyPr/>
    <a:lstStyle/>
    <a:p>
      <a:pPr>
        <a:defRPr sz="1149" b="1" i="0" u="none" strike="noStrike" baseline="0">
          <a:solidFill>
            <a:srgbClr val="000000"/>
          </a:solidFill>
          <a:latin typeface="Tahoma"/>
          <a:ea typeface="Tahoma"/>
          <a:cs typeface="Tahoma"/>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no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1.9933554817275746E-2"/>
          <c:y val="3.71900826446281E-2"/>
          <c:w val="0.96345514950166111"/>
          <c:h val="0.68595041322314054"/>
        </c:manualLayout>
      </c:layout>
      <c:bar3DChart>
        <c:barDir val="col"/>
        <c:grouping val="clustered"/>
        <c:varyColors val="0"/>
        <c:ser>
          <c:idx val="0"/>
          <c:order val="0"/>
          <c:tx>
            <c:strRef>
              <c:f>Sheet1!$A$2</c:f>
              <c:strCache>
                <c:ptCount val="1"/>
                <c:pt idx="0">
                  <c:v>без ГЛЖ</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095">
              <a:solidFill>
                <a:srgbClr val="000000"/>
              </a:solidFill>
              <a:prstDash val="solid"/>
            </a:ln>
          </c:spPr>
          <c:invertIfNegative val="0"/>
          <c:dLbls>
            <c:dLbl>
              <c:idx val="0"/>
              <c:layout>
                <c:manualLayout>
                  <c:xMode val="edge"/>
                  <c:yMode val="edge"/>
                  <c:x val="0.18936877076411959"/>
                  <c:y val="0.42148760330578511"/>
                </c:manualLayout>
              </c:layout>
              <c:showLegendKey val="0"/>
              <c:showVal val="1"/>
              <c:showCatName val="0"/>
              <c:showSerName val="0"/>
              <c:showPercent val="0"/>
              <c:showBubbleSize val="0"/>
            </c:dLbl>
            <c:dLbl>
              <c:idx val="1"/>
              <c:layout>
                <c:manualLayout>
                  <c:xMode val="edge"/>
                  <c:yMode val="edge"/>
                  <c:x val="0.56644518272425248"/>
                  <c:y val="0.43388429752066116"/>
                </c:manualLayout>
              </c:layout>
              <c:showLegendKey val="0"/>
              <c:showVal val="1"/>
              <c:showCatName val="0"/>
              <c:showSerName val="0"/>
              <c:showPercent val="0"/>
              <c:showBubbleSize val="0"/>
            </c:dLbl>
            <c:spPr>
              <a:noFill/>
              <a:ln w="24190">
                <a:noFill/>
              </a:ln>
            </c:spPr>
            <c:txPr>
              <a:bodyPr/>
              <a:lstStyle/>
              <a:p>
                <a:pPr>
                  <a:defRPr sz="1429"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Sheet1!$B$1:$C$1</c:f>
              <c:strCache>
                <c:ptCount val="2"/>
                <c:pt idx="0">
                  <c:v>жінки</c:v>
                </c:pt>
                <c:pt idx="1">
                  <c:v>чоловіки</c:v>
                </c:pt>
              </c:strCache>
            </c:strRef>
          </c:cat>
          <c:val>
            <c:numRef>
              <c:f>Sheet1!$B$2:$C$2</c:f>
              <c:numCache>
                <c:formatCode>General</c:formatCode>
                <c:ptCount val="2"/>
                <c:pt idx="0">
                  <c:v>3.7</c:v>
                </c:pt>
                <c:pt idx="1">
                  <c:v>4.5999999999999996</c:v>
                </c:pt>
              </c:numCache>
            </c:numRef>
          </c:val>
        </c:ser>
        <c:ser>
          <c:idx val="1"/>
          <c:order val="1"/>
          <c:tx>
            <c:strRef>
              <c:f>Sheet1!$A$3</c:f>
              <c:strCache>
                <c:ptCount val="1"/>
                <c:pt idx="0">
                  <c:v>ІМЛШ 1</c:v>
                </c:pt>
              </c:strCache>
            </c:strRef>
          </c:tx>
          <c:spPr>
            <a:pattFill prst="ltHorz">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095">
              <a:solidFill>
                <a:srgbClr val="000000"/>
              </a:solidFill>
              <a:prstDash val="solid"/>
            </a:ln>
          </c:spPr>
          <c:invertIfNegative val="0"/>
          <c:dLbls>
            <c:dLbl>
              <c:idx val="0"/>
              <c:layout>
                <c:manualLayout>
                  <c:xMode val="edge"/>
                  <c:yMode val="edge"/>
                  <c:x val="0.26744186046511625"/>
                  <c:y val="0.40909090909090912"/>
                </c:manualLayout>
              </c:layout>
              <c:showLegendKey val="0"/>
              <c:showVal val="1"/>
              <c:showCatName val="0"/>
              <c:showSerName val="0"/>
              <c:showPercent val="0"/>
              <c:showBubbleSize val="0"/>
            </c:dLbl>
            <c:dLbl>
              <c:idx val="1"/>
              <c:layout>
                <c:manualLayout>
                  <c:xMode val="edge"/>
                  <c:yMode val="edge"/>
                  <c:x val="0.64784053156146182"/>
                  <c:y val="0.42975206611570249"/>
                </c:manualLayout>
              </c:layout>
              <c:showLegendKey val="0"/>
              <c:showVal val="1"/>
              <c:showCatName val="0"/>
              <c:showSerName val="0"/>
              <c:showPercent val="0"/>
              <c:showBubbleSize val="0"/>
            </c:dLbl>
            <c:spPr>
              <a:noFill/>
              <a:ln w="24190">
                <a:noFill/>
              </a:ln>
            </c:spPr>
            <c:txPr>
              <a:bodyPr/>
              <a:lstStyle/>
              <a:p>
                <a:pPr>
                  <a:defRPr sz="1429"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Sheet1!$B$1:$C$1</c:f>
              <c:strCache>
                <c:ptCount val="2"/>
                <c:pt idx="0">
                  <c:v>жінки</c:v>
                </c:pt>
                <c:pt idx="1">
                  <c:v>чоловіки</c:v>
                </c:pt>
              </c:strCache>
            </c:strRef>
          </c:cat>
          <c:val>
            <c:numRef>
              <c:f>Sheet1!$B$3:$C$3</c:f>
              <c:numCache>
                <c:formatCode>General</c:formatCode>
                <c:ptCount val="2"/>
                <c:pt idx="0">
                  <c:v>5.8</c:v>
                </c:pt>
                <c:pt idx="1">
                  <c:v>6.6</c:v>
                </c:pt>
              </c:numCache>
            </c:numRef>
          </c:val>
        </c:ser>
        <c:ser>
          <c:idx val="2"/>
          <c:order val="2"/>
          <c:tx>
            <c:strRef>
              <c:f>Sheet1!$A$4</c:f>
              <c:strCache>
                <c:ptCount val="1"/>
                <c:pt idx="0">
                  <c:v>ІМЛШ 2</c:v>
                </c:pt>
              </c:strCache>
            </c:strRef>
          </c:tx>
          <c:spPr>
            <a:pattFill prst="wdDn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095">
              <a:solidFill>
                <a:srgbClr val="000000"/>
              </a:solidFill>
              <a:prstDash val="solid"/>
            </a:ln>
          </c:spPr>
          <c:invertIfNegative val="0"/>
          <c:dLbls>
            <c:dLbl>
              <c:idx val="0"/>
              <c:layout>
                <c:manualLayout>
                  <c:xMode val="edge"/>
                  <c:yMode val="edge"/>
                  <c:x val="0.3538205980066445"/>
                  <c:y val="0.41735537190082644"/>
                </c:manualLayout>
              </c:layout>
              <c:showLegendKey val="0"/>
              <c:showVal val="1"/>
              <c:showCatName val="0"/>
              <c:showSerName val="0"/>
              <c:showPercent val="0"/>
              <c:showBubbleSize val="0"/>
            </c:dLbl>
            <c:dLbl>
              <c:idx val="1"/>
              <c:layout>
                <c:manualLayout>
                  <c:xMode val="edge"/>
                  <c:yMode val="edge"/>
                  <c:x val="0.73255813953488369"/>
                  <c:y val="0.42148760330578511"/>
                </c:manualLayout>
              </c:layout>
              <c:showLegendKey val="0"/>
              <c:showVal val="1"/>
              <c:showCatName val="0"/>
              <c:showSerName val="0"/>
              <c:showPercent val="0"/>
              <c:showBubbleSize val="0"/>
            </c:dLbl>
            <c:spPr>
              <a:noFill/>
              <a:ln w="24190">
                <a:noFill/>
              </a:ln>
            </c:spPr>
            <c:txPr>
              <a:bodyPr/>
              <a:lstStyle/>
              <a:p>
                <a:pPr>
                  <a:defRPr sz="1429" b="1" i="0" u="none" strike="noStrike" baseline="0">
                    <a:solidFill>
                      <a:srgbClr val="000000"/>
                    </a:solidFill>
                    <a:latin typeface="Tahoma"/>
                    <a:ea typeface="Tahoma"/>
                    <a:cs typeface="Tahoma"/>
                  </a:defRPr>
                </a:pPr>
                <a:endParaRPr lang="ru-RU"/>
              </a:p>
            </c:txPr>
            <c:showLegendKey val="0"/>
            <c:showVal val="1"/>
            <c:showCatName val="0"/>
            <c:showSerName val="0"/>
            <c:showPercent val="0"/>
            <c:showBubbleSize val="0"/>
            <c:showLeaderLines val="0"/>
          </c:dLbls>
          <c:cat>
            <c:strRef>
              <c:f>Sheet1!$B$1:$C$1</c:f>
              <c:strCache>
                <c:ptCount val="2"/>
                <c:pt idx="0">
                  <c:v>жінки</c:v>
                </c:pt>
                <c:pt idx="1">
                  <c:v>чоловіки</c:v>
                </c:pt>
              </c:strCache>
            </c:strRef>
          </c:cat>
          <c:val>
            <c:numRef>
              <c:f>Sheet1!$B$4:$C$4</c:f>
              <c:numCache>
                <c:formatCode>General</c:formatCode>
                <c:ptCount val="2"/>
                <c:pt idx="0">
                  <c:v>5.3</c:v>
                </c:pt>
                <c:pt idx="1">
                  <c:v>6.8</c:v>
                </c:pt>
              </c:numCache>
            </c:numRef>
          </c:val>
        </c:ser>
        <c:dLbls>
          <c:showLegendKey val="0"/>
          <c:showVal val="0"/>
          <c:showCatName val="0"/>
          <c:showSerName val="0"/>
          <c:showPercent val="0"/>
          <c:showBubbleSize val="0"/>
        </c:dLbls>
        <c:gapWidth val="150"/>
        <c:gapDepth val="0"/>
        <c:shape val="box"/>
        <c:axId val="235122688"/>
        <c:axId val="235124224"/>
        <c:axId val="0"/>
      </c:bar3DChart>
      <c:catAx>
        <c:axId val="235122688"/>
        <c:scaling>
          <c:orientation val="minMax"/>
        </c:scaling>
        <c:delete val="0"/>
        <c:axPos val="b"/>
        <c:numFmt formatCode="General" sourceLinked="1"/>
        <c:majorTickMark val="out"/>
        <c:minorTickMark val="none"/>
        <c:tickLblPos val="low"/>
        <c:spPr>
          <a:ln w="3024">
            <a:solidFill>
              <a:srgbClr val="000000"/>
            </a:solidFill>
            <a:prstDash val="solid"/>
          </a:ln>
        </c:spPr>
        <c:txPr>
          <a:bodyPr rot="0" vert="horz"/>
          <a:lstStyle/>
          <a:p>
            <a:pPr>
              <a:defRPr sz="976" b="1" i="0" u="none" strike="noStrike" baseline="0">
                <a:solidFill>
                  <a:srgbClr val="000000"/>
                </a:solidFill>
                <a:latin typeface="Tahoma"/>
                <a:ea typeface="Tahoma"/>
                <a:cs typeface="Tahoma"/>
              </a:defRPr>
            </a:pPr>
            <a:endParaRPr lang="ru-RU"/>
          </a:p>
        </c:txPr>
        <c:crossAx val="235124224"/>
        <c:crosses val="autoZero"/>
        <c:auto val="1"/>
        <c:lblAlgn val="ctr"/>
        <c:lblOffset val="100"/>
        <c:tickLblSkip val="1"/>
        <c:tickMarkSkip val="1"/>
        <c:noMultiLvlLbl val="0"/>
      </c:catAx>
      <c:valAx>
        <c:axId val="235124224"/>
        <c:scaling>
          <c:orientation val="minMax"/>
        </c:scaling>
        <c:delete val="0"/>
        <c:axPos val="l"/>
        <c:majorGridlines>
          <c:spPr>
            <a:ln w="3024">
              <a:solidFill>
                <a:srgbClr val="000000"/>
              </a:solidFill>
              <a:prstDash val="solid"/>
            </a:ln>
          </c:spPr>
        </c:majorGridlines>
        <c:numFmt formatCode="General" sourceLinked="1"/>
        <c:majorTickMark val="out"/>
        <c:minorTickMark val="none"/>
        <c:tickLblPos val="none"/>
        <c:spPr>
          <a:ln w="3024">
            <a:solidFill>
              <a:srgbClr val="000000"/>
            </a:solidFill>
            <a:prstDash val="solid"/>
          </a:ln>
        </c:spPr>
        <c:crossAx val="235122688"/>
        <c:crosses val="autoZero"/>
        <c:crossBetween val="between"/>
      </c:valAx>
      <c:spPr>
        <a:noFill/>
        <a:ln w="24190">
          <a:noFill/>
        </a:ln>
      </c:spPr>
    </c:plotArea>
    <c:legend>
      <c:legendPos val="b"/>
      <c:layout>
        <c:manualLayout>
          <c:xMode val="edge"/>
          <c:yMode val="edge"/>
          <c:x val="0.28405315614617938"/>
          <c:y val="0.8801652892561983"/>
          <c:w val="0.43023255813953487"/>
          <c:h val="0.10743801652892562"/>
        </c:manualLayout>
      </c:layout>
      <c:overlay val="0"/>
      <c:spPr>
        <a:noFill/>
        <a:ln w="3024">
          <a:solidFill>
            <a:srgbClr val="000000"/>
          </a:solidFill>
          <a:prstDash val="solid"/>
        </a:ln>
      </c:spPr>
      <c:txPr>
        <a:bodyPr/>
        <a:lstStyle/>
        <a:p>
          <a:pPr>
            <a:defRPr sz="1005" b="1" i="0" u="none" strike="noStrike" baseline="0">
              <a:solidFill>
                <a:srgbClr val="000000"/>
              </a:solidFill>
              <a:latin typeface="Tahoma"/>
              <a:ea typeface="Tahoma"/>
              <a:cs typeface="Tahoma"/>
            </a:defRPr>
          </a:pPr>
          <a:endParaRPr lang="ru-RU"/>
        </a:p>
      </c:txPr>
    </c:legend>
    <c:plotVisOnly val="1"/>
    <c:dispBlanksAs val="gap"/>
    <c:showDLblsOverMax val="0"/>
  </c:chart>
  <c:spPr>
    <a:noFill/>
    <a:ln>
      <a:noFill/>
    </a:ln>
  </c:spPr>
  <c:txPr>
    <a:bodyPr/>
    <a:lstStyle/>
    <a:p>
      <a:pPr>
        <a:defRPr sz="976" b="1" i="0" u="none" strike="noStrike" baseline="0">
          <a:solidFill>
            <a:srgbClr val="000000"/>
          </a:solidFill>
          <a:latin typeface="Tahoma"/>
          <a:ea typeface="Tahoma"/>
          <a:cs typeface="Tahoma"/>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43DB-B667-4EFB-88D9-5356345A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5577</TotalTime>
  <Pages>25</Pages>
  <Words>7986</Words>
  <Characters>45525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1027</cp:revision>
  <cp:lastPrinted>2009-02-06T08:36:00Z</cp:lastPrinted>
  <dcterms:created xsi:type="dcterms:W3CDTF">2015-03-22T11:10:00Z</dcterms:created>
  <dcterms:modified xsi:type="dcterms:W3CDTF">2015-09-08T07:41:00Z</dcterms:modified>
</cp:coreProperties>
</file>