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AB01BA" w:rsidRDefault="00AB01BA" w:rsidP="00AB01BA">
      <w:pPr>
        <w:pStyle w:val="affffffffa"/>
        <w:rPr>
          <w:lang w:val="uk-UA"/>
        </w:rPr>
      </w:pPr>
      <w:r>
        <w:rPr>
          <w:lang w:val="uk-UA"/>
        </w:rPr>
        <w:t>ДЕРЖАВНА УСТАНОВА</w:t>
      </w:r>
    </w:p>
    <w:p w:rsidR="00AB01BA" w:rsidRDefault="00AB01BA" w:rsidP="00AB01BA">
      <w:pPr>
        <w:pStyle w:val="affffffffa"/>
        <w:rPr>
          <w:lang w:val="uk-UA"/>
        </w:rPr>
      </w:pPr>
      <w:r>
        <w:t>“</w:t>
      </w:r>
      <w:r>
        <w:rPr>
          <w:lang w:val="uk-UA"/>
        </w:rPr>
        <w:t xml:space="preserve">ІНСТИТУТ ЕПІДЕМІОЛОГІЇ ТА ІНФЕКЦІЙНИХ ХВОРОБ </w:t>
      </w:r>
    </w:p>
    <w:p w:rsidR="00AB01BA" w:rsidRDefault="00AB01BA" w:rsidP="00AB01BA">
      <w:pPr>
        <w:pStyle w:val="affffffffa"/>
      </w:pPr>
      <w:r>
        <w:rPr>
          <w:lang w:val="uk-UA"/>
        </w:rPr>
        <w:t>ІМ. Л.В. ГРОМАШЕВСЬКОГО</w:t>
      </w:r>
    </w:p>
    <w:p w:rsidR="00AB01BA" w:rsidRDefault="00AB01BA" w:rsidP="00AB01BA">
      <w:pPr>
        <w:pStyle w:val="affffffffa"/>
        <w:rPr>
          <w:lang w:val="uk-UA"/>
        </w:rPr>
      </w:pPr>
      <w:r>
        <w:rPr>
          <w:lang w:val="uk-UA"/>
        </w:rPr>
        <w:t>АКАДЕМІЇ МЕДИЧНИХ НАУК УКРАЇНИ</w:t>
      </w:r>
      <w:r>
        <w:t>”</w:t>
      </w:r>
    </w:p>
    <w:p w:rsidR="00AB01BA" w:rsidRDefault="00AB01BA" w:rsidP="00AB01BA">
      <w:pPr>
        <w:widowControl w:val="0"/>
        <w:spacing w:line="360" w:lineRule="auto"/>
        <w:jc w:val="right"/>
        <w:rPr>
          <w:i/>
          <w:iCs/>
          <w:color w:val="000000"/>
          <w:sz w:val="28"/>
          <w:szCs w:val="28"/>
          <w:lang w:val="uk-UA"/>
        </w:rPr>
      </w:pPr>
    </w:p>
    <w:p w:rsidR="00AB01BA" w:rsidRDefault="00AB01BA" w:rsidP="00AB01BA">
      <w:pPr>
        <w:widowControl w:val="0"/>
        <w:spacing w:line="360" w:lineRule="auto"/>
        <w:rPr>
          <w:color w:val="000000"/>
          <w:sz w:val="28"/>
          <w:szCs w:val="28"/>
          <w:lang w:val="uk-UA"/>
        </w:rPr>
      </w:pPr>
    </w:p>
    <w:p w:rsidR="00AB01BA" w:rsidRDefault="00AB01BA" w:rsidP="00AB01BA">
      <w:pPr>
        <w:widowControl w:val="0"/>
        <w:spacing w:line="360" w:lineRule="auto"/>
        <w:rPr>
          <w:color w:val="000000"/>
          <w:sz w:val="28"/>
          <w:szCs w:val="28"/>
          <w:lang w:val="uk-UA"/>
        </w:rPr>
      </w:pPr>
    </w:p>
    <w:p w:rsidR="00AB01BA" w:rsidRDefault="00AB01BA" w:rsidP="00AB01BA">
      <w:pPr>
        <w:pStyle w:val="1"/>
        <w:keepNext w:val="0"/>
        <w:widowControl w:val="0"/>
        <w:spacing w:line="360" w:lineRule="auto"/>
        <w:rPr>
          <w:color w:val="000000"/>
        </w:rPr>
      </w:pPr>
      <w:r>
        <w:rPr>
          <w:color w:val="000000"/>
        </w:rPr>
        <w:t>Сохань Антон Васильович</w:t>
      </w:r>
    </w:p>
    <w:p w:rsidR="00AB01BA" w:rsidRDefault="00AB01BA" w:rsidP="00AB01BA">
      <w:pPr>
        <w:widowControl w:val="0"/>
        <w:spacing w:line="360" w:lineRule="auto"/>
        <w:rPr>
          <w:color w:val="000000"/>
          <w:sz w:val="28"/>
          <w:szCs w:val="28"/>
          <w:lang w:val="uk-UA"/>
        </w:rPr>
      </w:pPr>
    </w:p>
    <w:p w:rsidR="00AB01BA" w:rsidRDefault="00AB01BA" w:rsidP="00AB01BA">
      <w:pPr>
        <w:widowControl w:val="0"/>
        <w:spacing w:line="360" w:lineRule="auto"/>
        <w:jc w:val="right"/>
        <w:rPr>
          <w:color w:val="000000"/>
          <w:sz w:val="28"/>
          <w:szCs w:val="28"/>
          <w:lang w:val="uk-UA"/>
        </w:rPr>
      </w:pPr>
      <w:r>
        <w:rPr>
          <w:color w:val="000000"/>
          <w:sz w:val="28"/>
          <w:szCs w:val="28"/>
          <w:lang w:val="uk-UA"/>
        </w:rPr>
        <w:t xml:space="preserve">УДК </w:t>
      </w:r>
      <w:r>
        <w:rPr>
          <w:color w:val="000000"/>
          <w:sz w:val="28"/>
          <w:szCs w:val="28"/>
          <w:lang w:val="en-US"/>
        </w:rPr>
        <w:t>616</w:t>
      </w:r>
      <w:r>
        <w:rPr>
          <w:color w:val="000000"/>
          <w:sz w:val="28"/>
          <w:szCs w:val="28"/>
          <w:lang w:val="uk-UA"/>
        </w:rPr>
        <w:t>.</w:t>
      </w:r>
      <w:r>
        <w:rPr>
          <w:color w:val="000000"/>
          <w:sz w:val="28"/>
          <w:szCs w:val="28"/>
          <w:lang w:val="en-US"/>
        </w:rPr>
        <w:t>98:578</w:t>
      </w:r>
      <w:r>
        <w:rPr>
          <w:color w:val="000000"/>
          <w:sz w:val="28"/>
          <w:szCs w:val="28"/>
          <w:lang w:val="uk-UA"/>
        </w:rPr>
        <w:t>.</w:t>
      </w:r>
      <w:r>
        <w:rPr>
          <w:color w:val="000000"/>
          <w:sz w:val="28"/>
          <w:szCs w:val="28"/>
          <w:lang w:val="en-US"/>
        </w:rPr>
        <w:t>825</w:t>
      </w:r>
      <w:r>
        <w:rPr>
          <w:color w:val="000000"/>
          <w:sz w:val="28"/>
          <w:szCs w:val="28"/>
          <w:lang w:val="uk-UA"/>
        </w:rPr>
        <w:t>.</w:t>
      </w:r>
      <w:r>
        <w:rPr>
          <w:color w:val="000000"/>
          <w:sz w:val="28"/>
          <w:szCs w:val="28"/>
          <w:lang w:val="en-US"/>
        </w:rPr>
        <w:t>1</w:t>
      </w:r>
      <w:r>
        <w:rPr>
          <w:color w:val="000000"/>
          <w:sz w:val="28"/>
          <w:szCs w:val="28"/>
          <w:lang w:val="uk-UA"/>
        </w:rPr>
        <w:t>:616.831.9-002.1:612.017.1</w:t>
      </w:r>
    </w:p>
    <w:p w:rsidR="00AB01BA" w:rsidRDefault="00AB01BA" w:rsidP="00AB01BA">
      <w:pPr>
        <w:widowControl w:val="0"/>
        <w:tabs>
          <w:tab w:val="left" w:pos="5190"/>
        </w:tabs>
        <w:spacing w:line="360" w:lineRule="auto"/>
        <w:rPr>
          <w:b/>
          <w:bCs/>
          <w:color w:val="000000"/>
          <w:sz w:val="28"/>
          <w:szCs w:val="28"/>
          <w:lang w:val="uk-UA"/>
        </w:rPr>
      </w:pPr>
    </w:p>
    <w:p w:rsidR="00AB01BA" w:rsidRDefault="00AB01BA" w:rsidP="00AB01BA">
      <w:pPr>
        <w:pStyle w:val="affffffff5"/>
        <w:widowControl w:val="0"/>
        <w:spacing w:line="360" w:lineRule="auto"/>
        <w:jc w:val="center"/>
        <w:rPr>
          <w:b/>
          <w:bCs/>
          <w:color w:val="000000"/>
          <w:sz w:val="36"/>
          <w:szCs w:val="36"/>
          <w:lang w:val="uk-UA"/>
        </w:rPr>
      </w:pPr>
      <w:r>
        <w:rPr>
          <w:b/>
          <w:bCs/>
          <w:color w:val="000000"/>
          <w:sz w:val="36"/>
          <w:szCs w:val="36"/>
          <w:lang w:val="uk-UA"/>
        </w:rPr>
        <w:t xml:space="preserve">Клініко-імунологічні показники та їх корекція </w:t>
      </w:r>
    </w:p>
    <w:p w:rsidR="00AB01BA" w:rsidRDefault="00AB01BA" w:rsidP="00AB01BA">
      <w:pPr>
        <w:pStyle w:val="affffffff5"/>
        <w:widowControl w:val="0"/>
        <w:spacing w:line="360" w:lineRule="auto"/>
        <w:jc w:val="center"/>
        <w:rPr>
          <w:b/>
          <w:bCs/>
          <w:color w:val="000000"/>
          <w:lang w:val="uk-UA"/>
        </w:rPr>
      </w:pPr>
      <w:r>
        <w:rPr>
          <w:b/>
          <w:bCs/>
          <w:color w:val="000000"/>
          <w:sz w:val="36"/>
          <w:szCs w:val="36"/>
          <w:lang w:val="uk-UA"/>
        </w:rPr>
        <w:t>у хворих на гострі герпесвірусні менінгоенцефаліти</w:t>
      </w:r>
    </w:p>
    <w:p w:rsidR="00AB01BA" w:rsidRDefault="00AB01BA" w:rsidP="00AB01BA">
      <w:pPr>
        <w:pStyle w:val="affffffff5"/>
        <w:widowControl w:val="0"/>
        <w:spacing w:line="360" w:lineRule="auto"/>
        <w:jc w:val="center"/>
        <w:rPr>
          <w:b/>
          <w:bCs/>
          <w:color w:val="000000"/>
          <w:lang w:val="uk-UA"/>
        </w:rPr>
      </w:pPr>
    </w:p>
    <w:p w:rsidR="00AB01BA" w:rsidRDefault="00AB01BA" w:rsidP="00AB01BA">
      <w:pPr>
        <w:pStyle w:val="affffffff5"/>
        <w:widowControl w:val="0"/>
        <w:spacing w:line="360" w:lineRule="auto"/>
        <w:jc w:val="center"/>
        <w:rPr>
          <w:b/>
          <w:bCs/>
          <w:color w:val="000000"/>
          <w:lang w:val="uk-UA"/>
        </w:rPr>
      </w:pPr>
    </w:p>
    <w:p w:rsidR="00AB01BA" w:rsidRDefault="00AB01BA" w:rsidP="00AB01BA">
      <w:pPr>
        <w:pStyle w:val="affffffff5"/>
        <w:widowControl w:val="0"/>
        <w:spacing w:line="360" w:lineRule="auto"/>
        <w:jc w:val="center"/>
        <w:rPr>
          <w:caps/>
          <w:color w:val="000000"/>
          <w:szCs w:val="28"/>
          <w:lang w:val="uk-UA"/>
        </w:rPr>
      </w:pPr>
      <w:r>
        <w:rPr>
          <w:caps/>
          <w:color w:val="000000"/>
          <w:szCs w:val="28"/>
          <w:lang w:val="uk-UA"/>
        </w:rPr>
        <w:t>14.01.13 – інфекційні хвороби</w:t>
      </w:r>
    </w:p>
    <w:p w:rsidR="00AB01BA" w:rsidRDefault="00AB01BA" w:rsidP="00AB01BA">
      <w:pPr>
        <w:pStyle w:val="affffffff5"/>
        <w:widowControl w:val="0"/>
        <w:spacing w:line="360" w:lineRule="auto"/>
        <w:jc w:val="center"/>
        <w:rPr>
          <w:caps/>
          <w:color w:val="000000"/>
          <w:szCs w:val="28"/>
          <w:lang w:val="uk-UA"/>
        </w:rPr>
      </w:pPr>
    </w:p>
    <w:p w:rsidR="00AB01BA" w:rsidRDefault="00AB01BA" w:rsidP="00AB01BA">
      <w:pPr>
        <w:pStyle w:val="affffffff5"/>
        <w:widowControl w:val="0"/>
        <w:spacing w:line="360" w:lineRule="auto"/>
        <w:jc w:val="center"/>
        <w:rPr>
          <w:caps/>
          <w:color w:val="000000"/>
          <w:szCs w:val="28"/>
          <w:lang w:val="uk-UA"/>
        </w:rPr>
      </w:pPr>
    </w:p>
    <w:p w:rsidR="00AB01BA" w:rsidRDefault="00AB01BA" w:rsidP="00AB01BA">
      <w:pPr>
        <w:pStyle w:val="affffffff5"/>
        <w:widowControl w:val="0"/>
        <w:spacing w:line="360" w:lineRule="auto"/>
        <w:jc w:val="center"/>
        <w:rPr>
          <w:caps/>
          <w:color w:val="000000"/>
          <w:szCs w:val="28"/>
          <w:lang w:val="uk-UA"/>
        </w:rPr>
      </w:pPr>
      <w:r>
        <w:rPr>
          <w:caps/>
          <w:color w:val="000000"/>
          <w:szCs w:val="28"/>
          <w:lang w:val="uk-UA"/>
        </w:rPr>
        <w:t xml:space="preserve">автореферат </w:t>
      </w:r>
    </w:p>
    <w:p w:rsidR="00AB01BA" w:rsidRDefault="00AB01BA" w:rsidP="00AB01BA">
      <w:pPr>
        <w:pStyle w:val="affffffff5"/>
        <w:widowControl w:val="0"/>
        <w:spacing w:line="360" w:lineRule="auto"/>
        <w:jc w:val="center"/>
        <w:rPr>
          <w:color w:val="000000"/>
          <w:szCs w:val="28"/>
          <w:lang w:val="uk-UA"/>
        </w:rPr>
      </w:pPr>
      <w:r>
        <w:rPr>
          <w:color w:val="000000"/>
          <w:szCs w:val="28"/>
          <w:lang w:val="uk-UA"/>
        </w:rPr>
        <w:t>дисертації на здобуття наукового ступеня</w:t>
      </w:r>
    </w:p>
    <w:p w:rsidR="00AB01BA" w:rsidRDefault="00AB01BA" w:rsidP="00AB01BA">
      <w:pPr>
        <w:pStyle w:val="affffffff5"/>
        <w:widowControl w:val="0"/>
        <w:spacing w:line="360" w:lineRule="auto"/>
        <w:jc w:val="center"/>
        <w:rPr>
          <w:szCs w:val="28"/>
          <w:lang w:val="uk-UA"/>
        </w:rPr>
      </w:pPr>
      <w:r>
        <w:rPr>
          <w:color w:val="000000"/>
          <w:szCs w:val="28"/>
          <w:lang w:val="uk-UA"/>
        </w:rPr>
        <w:t>кандидата медичних наук</w:t>
      </w:r>
      <w:r>
        <w:rPr>
          <w:szCs w:val="28"/>
          <w:lang w:val="uk-UA"/>
        </w:rPr>
        <w:t xml:space="preserve"> </w:t>
      </w:r>
    </w:p>
    <w:p w:rsidR="00AB01BA" w:rsidRDefault="00AB01BA" w:rsidP="00AB01BA">
      <w:pPr>
        <w:pStyle w:val="affffffff5"/>
        <w:widowControl w:val="0"/>
        <w:spacing w:line="360" w:lineRule="auto"/>
        <w:jc w:val="center"/>
        <w:rPr>
          <w:szCs w:val="28"/>
          <w:lang w:val="uk-UA"/>
        </w:rPr>
      </w:pPr>
    </w:p>
    <w:p w:rsidR="00AB01BA" w:rsidRDefault="00AB01BA" w:rsidP="00AB01BA">
      <w:pPr>
        <w:pStyle w:val="affffffff5"/>
        <w:widowControl w:val="0"/>
        <w:spacing w:line="360" w:lineRule="auto"/>
        <w:jc w:val="center"/>
        <w:rPr>
          <w:szCs w:val="28"/>
          <w:lang w:val="uk-UA"/>
        </w:rPr>
      </w:pPr>
    </w:p>
    <w:p w:rsidR="00AB01BA" w:rsidRDefault="00AB01BA" w:rsidP="00AB01BA">
      <w:pPr>
        <w:pStyle w:val="affffffff5"/>
        <w:widowControl w:val="0"/>
        <w:spacing w:line="360" w:lineRule="auto"/>
        <w:jc w:val="center"/>
        <w:rPr>
          <w:szCs w:val="28"/>
          <w:lang w:val="uk-UA"/>
        </w:rPr>
      </w:pPr>
    </w:p>
    <w:p w:rsidR="00AB01BA" w:rsidRDefault="00AB01BA" w:rsidP="00AB01BA">
      <w:pPr>
        <w:pStyle w:val="affffffff5"/>
        <w:widowControl w:val="0"/>
        <w:spacing w:line="360" w:lineRule="auto"/>
        <w:jc w:val="center"/>
        <w:rPr>
          <w:szCs w:val="28"/>
          <w:lang w:val="uk-UA"/>
        </w:rPr>
      </w:pPr>
    </w:p>
    <w:p w:rsidR="00AB01BA" w:rsidRDefault="00AB01BA" w:rsidP="00AB01BA">
      <w:pPr>
        <w:pStyle w:val="affffffff5"/>
        <w:widowControl w:val="0"/>
        <w:spacing w:line="360" w:lineRule="auto"/>
        <w:jc w:val="center"/>
        <w:rPr>
          <w:caps/>
          <w:color w:val="000000"/>
          <w:szCs w:val="28"/>
          <w:lang w:val="uk-UA"/>
        </w:rPr>
      </w:pPr>
      <w:r>
        <w:rPr>
          <w:szCs w:val="28"/>
          <w:lang w:val="uk-UA"/>
        </w:rPr>
        <w:t>Київ 2008</w:t>
      </w:r>
    </w:p>
    <w:p w:rsidR="00AB01BA" w:rsidRDefault="00AB01BA" w:rsidP="00AB01BA">
      <w:pPr>
        <w:spacing w:line="360" w:lineRule="atLeast"/>
        <w:rPr>
          <w:i/>
          <w:iCs/>
          <w:sz w:val="28"/>
          <w:szCs w:val="28"/>
          <w:lang w:val="uk-UA"/>
        </w:rPr>
      </w:pPr>
      <w:r>
        <w:rPr>
          <w:b/>
          <w:bCs/>
          <w:sz w:val="32"/>
          <w:szCs w:val="32"/>
          <w:lang w:val="uk-UA"/>
        </w:rPr>
        <w:br w:type="page"/>
      </w:r>
      <w:r>
        <w:rPr>
          <w:i/>
          <w:iCs/>
          <w:sz w:val="28"/>
          <w:szCs w:val="28"/>
          <w:lang w:val="uk-UA"/>
        </w:rPr>
        <w:lastRenderedPageBreak/>
        <w:t>Дисертацією є рукопис.</w:t>
      </w:r>
    </w:p>
    <w:p w:rsidR="00AB01BA" w:rsidRDefault="00AB01BA" w:rsidP="00AB01BA">
      <w:pPr>
        <w:spacing w:line="360" w:lineRule="atLeast"/>
        <w:jc w:val="center"/>
        <w:rPr>
          <w:b/>
          <w:bCs/>
          <w:sz w:val="32"/>
          <w:szCs w:val="32"/>
          <w:lang w:val="uk-UA"/>
        </w:rPr>
      </w:pPr>
    </w:p>
    <w:p w:rsidR="00AB01BA" w:rsidRDefault="00AB01BA" w:rsidP="00AB01BA">
      <w:pPr>
        <w:spacing w:line="360" w:lineRule="atLeast"/>
        <w:ind w:firstLine="900"/>
        <w:jc w:val="both"/>
        <w:rPr>
          <w:sz w:val="28"/>
          <w:szCs w:val="28"/>
          <w:lang w:val="uk-UA"/>
        </w:rPr>
      </w:pPr>
      <w:r>
        <w:rPr>
          <w:sz w:val="28"/>
          <w:szCs w:val="28"/>
          <w:lang w:val="uk-UA"/>
        </w:rPr>
        <w:t xml:space="preserve">Робота виконана в Харківському національному медичному університеті МОЗ України. </w:t>
      </w:r>
    </w:p>
    <w:p w:rsidR="00AB01BA" w:rsidRDefault="00AB01BA" w:rsidP="00AB01BA">
      <w:pPr>
        <w:spacing w:line="360" w:lineRule="atLeast"/>
        <w:jc w:val="both"/>
        <w:rPr>
          <w:sz w:val="28"/>
          <w:szCs w:val="28"/>
          <w:lang w:val="uk-UA"/>
        </w:rPr>
      </w:pPr>
    </w:p>
    <w:p w:rsidR="00AB01BA" w:rsidRDefault="00AB01BA" w:rsidP="00AB01BA">
      <w:pPr>
        <w:spacing w:line="360" w:lineRule="atLeast"/>
        <w:jc w:val="both"/>
        <w:rPr>
          <w:sz w:val="28"/>
          <w:szCs w:val="28"/>
          <w:lang w:val="uk-UA"/>
        </w:rPr>
      </w:pPr>
      <w:r>
        <w:rPr>
          <w:sz w:val="28"/>
          <w:szCs w:val="28"/>
          <w:lang w:val="uk-UA"/>
        </w:rPr>
        <w:t>Науковий керівник:</w:t>
      </w:r>
    </w:p>
    <w:p w:rsidR="00AB01BA" w:rsidRDefault="00AB01BA" w:rsidP="00AB01BA">
      <w:pPr>
        <w:spacing w:line="360" w:lineRule="atLeast"/>
        <w:ind w:firstLine="900"/>
        <w:jc w:val="both"/>
        <w:rPr>
          <w:sz w:val="28"/>
          <w:szCs w:val="28"/>
          <w:lang w:val="uk-UA"/>
        </w:rPr>
      </w:pPr>
      <w:r>
        <w:rPr>
          <w:sz w:val="28"/>
          <w:szCs w:val="28"/>
          <w:lang w:val="uk-UA"/>
        </w:rPr>
        <w:t>доктор медичних наук, професор Козько Володимир Миколайович, Харківський національний медичний університет МОЗ України, завідувач кафедри інфекційних хвороб.</w:t>
      </w:r>
    </w:p>
    <w:p w:rsidR="00AB01BA" w:rsidRDefault="00AB01BA" w:rsidP="00AB01BA">
      <w:pPr>
        <w:spacing w:line="360" w:lineRule="atLeast"/>
        <w:ind w:firstLine="708"/>
        <w:jc w:val="both"/>
        <w:rPr>
          <w:sz w:val="32"/>
          <w:szCs w:val="32"/>
          <w:lang w:val="uk-UA"/>
        </w:rPr>
      </w:pPr>
    </w:p>
    <w:p w:rsidR="00AB01BA" w:rsidRDefault="00AB01BA" w:rsidP="00AB01BA">
      <w:pPr>
        <w:spacing w:line="360" w:lineRule="atLeast"/>
        <w:rPr>
          <w:sz w:val="28"/>
          <w:szCs w:val="28"/>
          <w:lang w:val="uk-UA"/>
        </w:rPr>
      </w:pPr>
      <w:r>
        <w:rPr>
          <w:sz w:val="28"/>
          <w:szCs w:val="28"/>
          <w:lang w:val="uk-UA"/>
        </w:rPr>
        <w:t>Офіційні опоненти:</w:t>
      </w:r>
    </w:p>
    <w:p w:rsidR="00AB01BA" w:rsidRDefault="00AB01BA" w:rsidP="00AB01BA">
      <w:pPr>
        <w:spacing w:line="360" w:lineRule="atLeast"/>
        <w:ind w:firstLine="900"/>
        <w:jc w:val="both"/>
        <w:rPr>
          <w:sz w:val="28"/>
          <w:szCs w:val="28"/>
          <w:lang w:val="uk-UA"/>
        </w:rPr>
      </w:pPr>
      <w:r>
        <w:rPr>
          <w:sz w:val="28"/>
          <w:szCs w:val="28"/>
          <w:lang w:val="uk-UA"/>
        </w:rPr>
        <w:t>доктор медичних наук, професор Ярош Олег Олександрович, ДУ „Інститут епідеміології та інфекційних хвороб ім. Л.В. Громашевського АМН України”;</w:t>
      </w:r>
    </w:p>
    <w:p w:rsidR="00AB01BA" w:rsidRDefault="00AB01BA" w:rsidP="00AB01BA">
      <w:pPr>
        <w:spacing w:line="360" w:lineRule="atLeast"/>
        <w:rPr>
          <w:sz w:val="28"/>
          <w:szCs w:val="28"/>
          <w:lang w:val="uk-UA"/>
        </w:rPr>
      </w:pPr>
    </w:p>
    <w:p w:rsidR="00AB01BA" w:rsidRDefault="00AB01BA" w:rsidP="00AB01BA">
      <w:pPr>
        <w:spacing w:line="360" w:lineRule="atLeast"/>
        <w:ind w:firstLine="900"/>
        <w:jc w:val="both"/>
        <w:rPr>
          <w:sz w:val="28"/>
          <w:szCs w:val="28"/>
          <w:lang w:val="uk-UA"/>
        </w:rPr>
      </w:pPr>
      <w:r>
        <w:rPr>
          <w:sz w:val="28"/>
          <w:szCs w:val="28"/>
          <w:lang w:val="uk-UA"/>
        </w:rPr>
        <w:t>доктор медичних наук, професор Ходак Лариса Анатоліївна, Харківська медична академія післядипломної освіти МОЗ України, завідувач кафедри дитячих інфекційних хвороб.</w:t>
      </w:r>
    </w:p>
    <w:p w:rsidR="00AB01BA" w:rsidRDefault="00AB01BA" w:rsidP="00AB01BA">
      <w:pPr>
        <w:spacing w:line="360" w:lineRule="atLeast"/>
        <w:ind w:firstLine="708"/>
        <w:jc w:val="both"/>
        <w:rPr>
          <w:sz w:val="28"/>
          <w:szCs w:val="28"/>
          <w:lang w:val="uk-UA"/>
        </w:rPr>
      </w:pPr>
    </w:p>
    <w:p w:rsidR="00AB01BA" w:rsidRDefault="00AB01BA" w:rsidP="00AB01BA">
      <w:pPr>
        <w:spacing w:line="360" w:lineRule="atLeast"/>
        <w:ind w:firstLine="900"/>
        <w:jc w:val="both"/>
        <w:rPr>
          <w:sz w:val="28"/>
          <w:szCs w:val="28"/>
          <w:lang w:val="uk-UA"/>
        </w:rPr>
      </w:pPr>
      <w:r>
        <w:rPr>
          <w:sz w:val="28"/>
          <w:szCs w:val="28"/>
          <w:lang w:val="uk-UA"/>
        </w:rPr>
        <w:t xml:space="preserve">Захист відбудеться 23 жовтня 2008 року об 11:00 годині на засіданні спеціалізованої вченої ради Д 26.614.01 при ДУ „Інститут епідеміології та інфекційних хвороб ім. Л.В. Громашевського АМН України” за адресою: </w:t>
      </w:r>
    </w:p>
    <w:p w:rsidR="00AB01BA" w:rsidRDefault="00AB01BA" w:rsidP="00AB01BA">
      <w:pPr>
        <w:spacing w:line="360" w:lineRule="atLeast"/>
        <w:jc w:val="both"/>
        <w:rPr>
          <w:sz w:val="28"/>
          <w:szCs w:val="28"/>
          <w:lang w:val="uk-UA"/>
        </w:rPr>
      </w:pPr>
      <w:r>
        <w:rPr>
          <w:sz w:val="28"/>
          <w:szCs w:val="28"/>
          <w:lang w:val="uk-UA"/>
        </w:rPr>
        <w:t>01015, м. Київ, вул. Мазепи, 23.</w:t>
      </w:r>
    </w:p>
    <w:p w:rsidR="00AB01BA" w:rsidRDefault="00AB01BA" w:rsidP="00AB01BA">
      <w:pPr>
        <w:spacing w:line="360" w:lineRule="atLeast"/>
        <w:rPr>
          <w:b/>
          <w:bCs/>
          <w:sz w:val="32"/>
          <w:szCs w:val="32"/>
          <w:lang w:val="uk-UA"/>
        </w:rPr>
      </w:pPr>
    </w:p>
    <w:p w:rsidR="00AB01BA" w:rsidRDefault="00AB01BA" w:rsidP="00AB01BA">
      <w:pPr>
        <w:spacing w:line="360" w:lineRule="atLeast"/>
        <w:rPr>
          <w:b/>
          <w:bCs/>
          <w:sz w:val="32"/>
          <w:szCs w:val="32"/>
          <w:lang w:val="uk-UA"/>
        </w:rPr>
      </w:pPr>
    </w:p>
    <w:p w:rsidR="00AB01BA" w:rsidRDefault="00AB01BA" w:rsidP="00AB01BA">
      <w:pPr>
        <w:spacing w:line="360" w:lineRule="atLeast"/>
        <w:rPr>
          <w:b/>
          <w:bCs/>
          <w:sz w:val="32"/>
          <w:szCs w:val="32"/>
          <w:lang w:val="uk-UA"/>
        </w:rPr>
      </w:pPr>
    </w:p>
    <w:p w:rsidR="00AB01BA" w:rsidRDefault="00AB01BA" w:rsidP="00AB01BA">
      <w:pPr>
        <w:spacing w:line="360" w:lineRule="atLeast"/>
        <w:rPr>
          <w:b/>
          <w:bCs/>
          <w:sz w:val="32"/>
          <w:szCs w:val="32"/>
          <w:lang w:val="uk-UA"/>
        </w:rPr>
      </w:pPr>
    </w:p>
    <w:p w:rsidR="00AB01BA" w:rsidRDefault="00AB01BA" w:rsidP="00AB01BA">
      <w:pPr>
        <w:spacing w:line="360" w:lineRule="atLeast"/>
        <w:ind w:firstLine="900"/>
        <w:rPr>
          <w:sz w:val="28"/>
          <w:szCs w:val="28"/>
          <w:lang w:val="uk-UA"/>
        </w:rPr>
      </w:pPr>
      <w:r>
        <w:rPr>
          <w:sz w:val="28"/>
          <w:szCs w:val="28"/>
          <w:lang w:val="uk-UA"/>
        </w:rPr>
        <w:t>З дисертацією можна ознайомитись у бібліотеці ДУ „Інститут епідеміології та інфекційних хвороб ім. Л.В. Громашевського АМН України” за адресою:</w:t>
      </w:r>
    </w:p>
    <w:p w:rsidR="00AB01BA" w:rsidRDefault="00AB01BA" w:rsidP="00AB01BA">
      <w:pPr>
        <w:spacing w:line="360" w:lineRule="atLeast"/>
        <w:ind w:firstLine="900"/>
        <w:rPr>
          <w:sz w:val="28"/>
          <w:szCs w:val="28"/>
          <w:lang w:val="uk-UA"/>
        </w:rPr>
      </w:pPr>
      <w:r>
        <w:rPr>
          <w:sz w:val="28"/>
          <w:szCs w:val="28"/>
          <w:lang w:val="uk-UA"/>
        </w:rPr>
        <w:t>03038, м. Київ, вул. Миколи Амосова, 5.</w:t>
      </w:r>
    </w:p>
    <w:p w:rsidR="00AB01BA" w:rsidRDefault="00AB01BA" w:rsidP="00AB01BA">
      <w:pPr>
        <w:spacing w:line="360" w:lineRule="atLeast"/>
        <w:ind w:firstLine="900"/>
        <w:rPr>
          <w:sz w:val="28"/>
          <w:szCs w:val="28"/>
          <w:lang w:val="uk-UA"/>
        </w:rPr>
      </w:pPr>
      <w:r>
        <w:rPr>
          <w:sz w:val="28"/>
          <w:szCs w:val="28"/>
          <w:lang w:val="uk-UA"/>
        </w:rPr>
        <w:t>Автореферат розісланий „______”___________________ 2008 р.</w:t>
      </w:r>
    </w:p>
    <w:p w:rsidR="00AB01BA" w:rsidRDefault="00AB01BA" w:rsidP="00AB01BA">
      <w:pPr>
        <w:spacing w:line="360" w:lineRule="atLeast"/>
        <w:ind w:firstLine="708"/>
        <w:rPr>
          <w:sz w:val="28"/>
          <w:szCs w:val="28"/>
          <w:lang w:val="uk-UA"/>
        </w:rPr>
      </w:pPr>
    </w:p>
    <w:p w:rsidR="00AB01BA" w:rsidRDefault="00AB01BA" w:rsidP="00AB01BA">
      <w:pPr>
        <w:spacing w:line="360" w:lineRule="atLeast"/>
        <w:ind w:firstLine="708"/>
        <w:rPr>
          <w:sz w:val="28"/>
          <w:szCs w:val="28"/>
          <w:lang w:val="uk-UA"/>
        </w:rPr>
      </w:pPr>
    </w:p>
    <w:p w:rsidR="00AB01BA" w:rsidRDefault="00AB01BA" w:rsidP="00AB01BA">
      <w:pPr>
        <w:spacing w:line="360" w:lineRule="atLeast"/>
        <w:ind w:firstLine="708"/>
        <w:rPr>
          <w:sz w:val="28"/>
          <w:szCs w:val="28"/>
          <w:lang w:val="uk-UA"/>
        </w:rPr>
      </w:pPr>
    </w:p>
    <w:p w:rsidR="00AB01BA" w:rsidRDefault="00AB01BA" w:rsidP="00AB01BA">
      <w:pPr>
        <w:spacing w:line="360" w:lineRule="atLeast"/>
        <w:rPr>
          <w:sz w:val="28"/>
          <w:szCs w:val="28"/>
          <w:lang w:val="uk-UA"/>
        </w:rPr>
      </w:pPr>
      <w:r>
        <w:rPr>
          <w:sz w:val="28"/>
          <w:szCs w:val="28"/>
          <w:lang w:val="uk-UA"/>
        </w:rPr>
        <w:t>Вчений секретар</w:t>
      </w:r>
    </w:p>
    <w:p w:rsidR="00AB01BA" w:rsidRDefault="00AB01BA" w:rsidP="00AB01BA">
      <w:pPr>
        <w:spacing w:line="360" w:lineRule="atLeast"/>
        <w:rPr>
          <w:sz w:val="28"/>
          <w:szCs w:val="28"/>
          <w:lang w:val="uk-UA"/>
        </w:rPr>
      </w:pPr>
      <w:r>
        <w:rPr>
          <w:sz w:val="28"/>
          <w:szCs w:val="28"/>
          <w:lang w:val="uk-UA"/>
        </w:rPr>
        <w:t xml:space="preserve">Спеціалізованої вченої ради </w:t>
      </w:r>
    </w:p>
    <w:p w:rsidR="00AB01BA" w:rsidRDefault="00AB01BA" w:rsidP="00AB01BA">
      <w:pPr>
        <w:spacing w:line="360" w:lineRule="atLeast"/>
        <w:rPr>
          <w:sz w:val="28"/>
          <w:szCs w:val="28"/>
          <w:lang w:val="uk-UA"/>
        </w:rPr>
      </w:pPr>
      <w:r>
        <w:rPr>
          <w:sz w:val="28"/>
          <w:szCs w:val="28"/>
          <w:lang w:val="uk-UA"/>
        </w:rPr>
        <w:t>кандидат медичних наук</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О.Л. Панасюк</w:t>
      </w:r>
    </w:p>
    <w:p w:rsidR="00AB01BA" w:rsidRDefault="00AB01BA" w:rsidP="00AB01BA">
      <w:pPr>
        <w:jc w:val="center"/>
        <w:rPr>
          <w:b/>
          <w:bCs/>
          <w:sz w:val="32"/>
          <w:szCs w:val="32"/>
          <w:lang w:val="uk-UA"/>
        </w:rPr>
      </w:pPr>
      <w:r>
        <w:rPr>
          <w:b/>
          <w:bCs/>
          <w:sz w:val="32"/>
          <w:szCs w:val="32"/>
          <w:lang w:val="uk-UA"/>
        </w:rPr>
        <w:br w:type="page"/>
      </w:r>
      <w:r>
        <w:rPr>
          <w:b/>
          <w:bCs/>
          <w:sz w:val="32"/>
          <w:szCs w:val="32"/>
          <w:lang w:val="uk-UA"/>
        </w:rPr>
        <w:lastRenderedPageBreak/>
        <w:t>ЗАГАЛЬНА ХАРАКТЕРИСТИКА РОБОТИ</w:t>
      </w:r>
    </w:p>
    <w:p w:rsidR="00AB01BA" w:rsidRDefault="00AB01BA" w:rsidP="00AB01BA">
      <w:pPr>
        <w:spacing w:line="360" w:lineRule="atLeast"/>
        <w:jc w:val="center"/>
        <w:rPr>
          <w:b/>
          <w:bCs/>
          <w:sz w:val="32"/>
          <w:szCs w:val="32"/>
          <w:lang w:val="uk-UA"/>
        </w:rPr>
      </w:pPr>
    </w:p>
    <w:p w:rsidR="00AB01BA" w:rsidRDefault="00AB01BA" w:rsidP="00AB01BA">
      <w:pPr>
        <w:ind w:firstLine="900"/>
        <w:jc w:val="both"/>
        <w:rPr>
          <w:color w:val="000000"/>
          <w:sz w:val="28"/>
          <w:szCs w:val="28"/>
          <w:lang w:val="uk-UA"/>
        </w:rPr>
      </w:pPr>
      <w:r>
        <w:rPr>
          <w:b/>
          <w:bCs/>
          <w:color w:val="000000"/>
          <w:sz w:val="28"/>
          <w:szCs w:val="28"/>
          <w:lang w:val="uk-UA"/>
        </w:rPr>
        <w:t>Актуальність теми.</w:t>
      </w:r>
      <w:r>
        <w:rPr>
          <w:color w:val="000000"/>
          <w:sz w:val="28"/>
          <w:szCs w:val="28"/>
          <w:lang w:val="uk-UA"/>
        </w:rPr>
        <w:t xml:space="preserve"> Герпесвірусні інфекції належать до найбільш розповсюджених вірусних захворювань людини, інфікованість і захворюваність людства постійно зростає (Возіанова Ж.І., 2001; </w:t>
      </w:r>
      <w:r>
        <w:rPr>
          <w:color w:val="000000"/>
          <w:spacing w:val="-1"/>
          <w:sz w:val="28"/>
          <w:szCs w:val="28"/>
          <w:lang w:val="uk-UA"/>
        </w:rPr>
        <w:t xml:space="preserve">Руденко А.О., Муравська Л. В. та ін., 2003; </w:t>
      </w:r>
      <w:r>
        <w:rPr>
          <w:color w:val="000000"/>
          <w:sz w:val="28"/>
          <w:szCs w:val="28"/>
          <w:lang w:val="uk-UA"/>
        </w:rPr>
        <w:t xml:space="preserve">Amici C., Belardo G., 2004). </w:t>
      </w:r>
      <w:r>
        <w:rPr>
          <w:color w:val="000000"/>
          <w:spacing w:val="-1"/>
          <w:sz w:val="28"/>
          <w:szCs w:val="28"/>
          <w:lang w:val="uk-UA"/>
        </w:rPr>
        <w:t>Причинами такої несприятливої динаміки є зростання в структурі населення кількості осіб з імуно</w:t>
      </w:r>
      <w:r>
        <w:rPr>
          <w:color w:val="000000"/>
          <w:sz w:val="28"/>
          <w:szCs w:val="28"/>
          <w:lang w:val="uk-UA"/>
        </w:rPr>
        <w:t>логічними порушеннями, хронічними захворюваннями, несприятлива дія на людей низки екологічних чинників, поява ацикловірстійких форм і мутантів герпесвірусів (</w:t>
      </w:r>
      <w:r>
        <w:rPr>
          <w:color w:val="000000"/>
          <w:spacing w:val="-1"/>
          <w:sz w:val="28"/>
          <w:szCs w:val="28"/>
          <w:lang w:val="uk-UA"/>
        </w:rPr>
        <w:t>Барштейн Ю.А., та ін., 2002</w:t>
      </w:r>
      <w:r>
        <w:rPr>
          <w:color w:val="000000"/>
          <w:sz w:val="28"/>
          <w:szCs w:val="28"/>
          <w:lang w:val="uk-UA"/>
        </w:rPr>
        <w:t xml:space="preserve">). Герпесвіруси володіють природним тропізмом до нейронів головного мозку і викликають тяжкі форми нейроінфекцій з частими несприятливими наслідками (Деконенко Е. П., 2004; </w:t>
      </w:r>
      <w:r>
        <w:rPr>
          <w:color w:val="000000"/>
          <w:spacing w:val="-2"/>
          <w:sz w:val="28"/>
          <w:szCs w:val="28"/>
          <w:lang w:val="uk-UA"/>
        </w:rPr>
        <w:t xml:space="preserve">Stranska R. </w:t>
      </w:r>
      <w:r>
        <w:rPr>
          <w:color w:val="000000"/>
          <w:spacing w:val="-2"/>
          <w:sz w:val="28"/>
          <w:szCs w:val="28"/>
          <w:lang w:val="en-US"/>
        </w:rPr>
        <w:t>et</w:t>
      </w:r>
      <w:r>
        <w:rPr>
          <w:color w:val="000000"/>
          <w:spacing w:val="-2"/>
          <w:sz w:val="28"/>
          <w:szCs w:val="28"/>
          <w:lang w:val="uk-UA"/>
        </w:rPr>
        <w:t xml:space="preserve"> </w:t>
      </w:r>
      <w:r>
        <w:rPr>
          <w:color w:val="000000"/>
          <w:spacing w:val="-2"/>
          <w:sz w:val="28"/>
          <w:szCs w:val="28"/>
          <w:lang w:val="en-US"/>
        </w:rPr>
        <w:t>al</w:t>
      </w:r>
      <w:r>
        <w:rPr>
          <w:color w:val="000000"/>
          <w:spacing w:val="-2"/>
          <w:sz w:val="28"/>
          <w:szCs w:val="28"/>
          <w:lang w:val="uk-UA"/>
        </w:rPr>
        <w:t>. 2005</w:t>
      </w:r>
      <w:r>
        <w:rPr>
          <w:color w:val="000000"/>
          <w:sz w:val="28"/>
          <w:szCs w:val="28"/>
          <w:lang w:val="uk-UA"/>
        </w:rPr>
        <w:t xml:space="preserve">). </w:t>
      </w:r>
    </w:p>
    <w:p w:rsidR="00AB01BA" w:rsidRDefault="00AB01BA" w:rsidP="00AB01BA">
      <w:pPr>
        <w:ind w:firstLine="900"/>
        <w:jc w:val="both"/>
        <w:rPr>
          <w:color w:val="000000"/>
          <w:sz w:val="28"/>
          <w:szCs w:val="28"/>
          <w:lang w:val="uk-UA"/>
        </w:rPr>
      </w:pPr>
      <w:r>
        <w:rPr>
          <w:color w:val="000000"/>
          <w:sz w:val="28"/>
          <w:szCs w:val="28"/>
          <w:lang w:val="uk-UA"/>
        </w:rPr>
        <w:t>Відомо, що формування інфекційного процесу при герпесвірусному ураженні ЦНС залежить від імунного статусу пацієнта (Dennett С. et al., 2004), у той же час існують дані щодо самостійної імуносупресивної дії герпесвірусів (Inuzuka T. et al., 2005). Особливу увагу привертає зростання кількості герпесвірусних уражень ЦНС у імунокомпетентних пацієнтів (</w:t>
      </w:r>
      <w:r>
        <w:rPr>
          <w:color w:val="000000"/>
          <w:spacing w:val="-1"/>
          <w:sz w:val="28"/>
          <w:szCs w:val="28"/>
          <w:lang w:val="uk-UA"/>
        </w:rPr>
        <w:t>Ходак Л. А., 2003</w:t>
      </w:r>
      <w:r>
        <w:rPr>
          <w:color w:val="000000"/>
          <w:sz w:val="28"/>
          <w:szCs w:val="28"/>
          <w:lang w:val="uk-UA"/>
        </w:rPr>
        <w:t>), що потребує глибокого дослідження імунопатологічних механізмів розвитку захворювання.</w:t>
      </w:r>
    </w:p>
    <w:p w:rsidR="00AB01BA" w:rsidRDefault="00AB01BA" w:rsidP="00AB01BA">
      <w:pPr>
        <w:ind w:firstLine="900"/>
        <w:jc w:val="both"/>
        <w:rPr>
          <w:color w:val="000000"/>
          <w:sz w:val="28"/>
          <w:szCs w:val="28"/>
          <w:lang w:val="uk-UA"/>
        </w:rPr>
      </w:pPr>
      <w:r>
        <w:rPr>
          <w:color w:val="000000"/>
          <w:sz w:val="28"/>
          <w:szCs w:val="28"/>
          <w:lang w:val="uk-UA"/>
        </w:rPr>
        <w:t>За даними О.О. Яроша (2008), тяжкість клінічних проявів захворювання в першу чергу залежить від гостроти нейроінфекційного процесу, а не від кількості вогнищ запалення та їх локалізації. Тому важливим завданням є прогнозування клінічного перебігу та наслідків герпесвірусних уражень ЦНС шляхом комплексної оцінки показників як гуморальної, так і клітинної імунної відповіді хворих.</w:t>
      </w:r>
    </w:p>
    <w:p w:rsidR="00AB01BA" w:rsidRDefault="00AB01BA" w:rsidP="00AB01BA">
      <w:pPr>
        <w:ind w:firstLine="900"/>
        <w:jc w:val="both"/>
        <w:rPr>
          <w:color w:val="000000"/>
          <w:sz w:val="28"/>
          <w:szCs w:val="28"/>
          <w:lang w:val="uk-UA"/>
        </w:rPr>
      </w:pPr>
      <w:r>
        <w:rPr>
          <w:color w:val="000000"/>
          <w:sz w:val="28"/>
          <w:szCs w:val="28"/>
          <w:lang w:val="uk-UA"/>
        </w:rPr>
        <w:t xml:space="preserve">Попередні результати досліджень імунної відповіді у хворих на герпесвірусні інфекції свідчать про підвищення кількості </w:t>
      </w:r>
      <w:r>
        <w:rPr>
          <w:color w:val="000000"/>
          <w:sz w:val="28"/>
          <w:szCs w:val="28"/>
          <w:lang w:val="en-US"/>
        </w:rPr>
        <w:t>IL</w:t>
      </w:r>
      <w:r>
        <w:rPr>
          <w:color w:val="000000"/>
          <w:sz w:val="28"/>
          <w:szCs w:val="28"/>
          <w:lang w:val="uk-UA"/>
        </w:rPr>
        <w:t xml:space="preserve">-1, </w:t>
      </w:r>
      <w:r>
        <w:rPr>
          <w:color w:val="000000"/>
          <w:sz w:val="28"/>
          <w:szCs w:val="28"/>
          <w:lang w:val="en-US"/>
        </w:rPr>
        <w:t>TNF</w:t>
      </w:r>
      <w:r>
        <w:rPr>
          <w:color w:val="000000"/>
          <w:sz w:val="28"/>
          <w:szCs w:val="28"/>
          <w:lang w:val="uk-UA"/>
        </w:rPr>
        <w:t>-</w:t>
      </w:r>
      <w:r>
        <w:rPr>
          <w:color w:val="000000"/>
          <w:sz w:val="28"/>
          <w:szCs w:val="28"/>
          <w:lang w:val="en-US"/>
        </w:rPr>
        <w:t>α</w:t>
      </w:r>
      <w:r>
        <w:rPr>
          <w:color w:val="000000"/>
          <w:sz w:val="28"/>
          <w:szCs w:val="28"/>
          <w:lang w:val="uk-UA"/>
        </w:rPr>
        <w:t xml:space="preserve">, </w:t>
      </w:r>
      <w:r>
        <w:rPr>
          <w:color w:val="000000"/>
          <w:sz w:val="28"/>
          <w:szCs w:val="28"/>
          <w:lang w:val="en-US"/>
        </w:rPr>
        <w:t>INF</w:t>
      </w:r>
      <w:r>
        <w:rPr>
          <w:color w:val="000000"/>
          <w:sz w:val="28"/>
          <w:szCs w:val="28"/>
          <w:lang w:val="uk-UA"/>
        </w:rPr>
        <w:t>-</w:t>
      </w:r>
      <w:r>
        <w:rPr>
          <w:color w:val="000000"/>
          <w:sz w:val="28"/>
          <w:szCs w:val="28"/>
          <w:lang w:val="en-US"/>
        </w:rPr>
        <w:t>α</w:t>
      </w:r>
      <w:r>
        <w:rPr>
          <w:color w:val="000000"/>
          <w:sz w:val="28"/>
          <w:szCs w:val="28"/>
          <w:lang w:val="uk-UA"/>
        </w:rPr>
        <w:t xml:space="preserve">, зниження кількості </w:t>
      </w:r>
      <w:r>
        <w:rPr>
          <w:color w:val="000000"/>
          <w:sz w:val="28"/>
          <w:szCs w:val="28"/>
          <w:lang w:val="en-US"/>
        </w:rPr>
        <w:t>CD</w:t>
      </w:r>
      <w:r>
        <w:rPr>
          <w:color w:val="000000"/>
          <w:sz w:val="28"/>
          <w:szCs w:val="28"/>
          <w:lang w:val="uk-UA"/>
        </w:rPr>
        <w:t>4+ клітин (</w:t>
      </w:r>
      <w:r>
        <w:rPr>
          <w:color w:val="000000"/>
          <w:spacing w:val="-1"/>
          <w:sz w:val="28"/>
          <w:szCs w:val="28"/>
          <w:lang w:val="uk-UA"/>
        </w:rPr>
        <w:t>Руденко А.О., 2003; Жигарев Ю.О</w:t>
      </w:r>
      <w:r>
        <w:rPr>
          <w:color w:val="000000"/>
          <w:sz w:val="28"/>
          <w:szCs w:val="28"/>
          <w:lang w:val="uk-UA"/>
        </w:rPr>
        <w:t>., 2005; Панасюк О.Л., 2004; Bert R.J. et al., 2004). Але ці одиничні дослідження не дають змоги зробити комплексну оцінку стану імунної відповіді у хворих на герпесвірусні ураження ЦНС. Зараз більшість дослідників у своїх роботах приділяє увагу вивченню клінічної картини та стану імунної системи у хворих з хронічним перебігом захворювання та у дітей, у той час як гострі герпесвірусні ураження ЦНС залишаються недостатньо вивченими (Матяш В.І., 2002; Pavic M., Rabar D. et al., 2004).</w:t>
      </w:r>
    </w:p>
    <w:p w:rsidR="00AB01BA" w:rsidRDefault="00AB01BA" w:rsidP="00AB01BA">
      <w:pPr>
        <w:ind w:firstLine="900"/>
        <w:jc w:val="both"/>
        <w:rPr>
          <w:color w:val="000000"/>
          <w:sz w:val="28"/>
          <w:szCs w:val="28"/>
          <w:lang w:val="uk-UA"/>
        </w:rPr>
      </w:pPr>
      <w:r>
        <w:rPr>
          <w:color w:val="000000"/>
          <w:sz w:val="28"/>
          <w:szCs w:val="28"/>
          <w:lang w:val="uk-UA"/>
        </w:rPr>
        <w:t>Багато авторів відносять ЦНС до так званих «забар’єрних органів», ознаками яких вважають: наявність біологічних бар’єрів, що ізолюють систему-орган від імунної системи всього організму (Якобисяк М., 2004; Ройт А., 2006). Для ЦНС характерна відсутність лімфатичних судин і лімфоїдного дренажу, неможливість проникнення лімфоцитів із крові у мозок, відсутність у мозку відомих механізмів імунологічного нагляду (Барштейн Ю.А., Кононенко В.В., 1995). Приймаючи до уваги такі особливості імунної системи, необхідно дослідити характер імунопатологічних процесів у ЦНС.</w:t>
      </w:r>
    </w:p>
    <w:p w:rsidR="00AB01BA" w:rsidRDefault="00AB01BA" w:rsidP="00AB01BA">
      <w:pPr>
        <w:ind w:firstLine="900"/>
        <w:jc w:val="both"/>
        <w:rPr>
          <w:color w:val="000000"/>
          <w:sz w:val="28"/>
          <w:szCs w:val="28"/>
          <w:lang w:val="uk-UA"/>
        </w:rPr>
      </w:pPr>
      <w:r>
        <w:rPr>
          <w:color w:val="000000"/>
          <w:sz w:val="28"/>
          <w:szCs w:val="28"/>
          <w:lang w:val="uk-UA"/>
        </w:rPr>
        <w:t xml:space="preserve">І хоча існують противірусні препарати, продовжується пошук ефективних методів терапії, які впливають на імунопатогенез герпесвірусних інфекцій (Шульженко А. Е., 2002; Amici C., Belardo G., 2004; </w:t>
      </w:r>
      <w:r>
        <w:rPr>
          <w:color w:val="000000"/>
          <w:spacing w:val="-2"/>
          <w:sz w:val="28"/>
          <w:szCs w:val="28"/>
          <w:lang w:val="uk-UA"/>
        </w:rPr>
        <w:t>Stranska R., Schuurman R., 2005</w:t>
      </w:r>
      <w:r>
        <w:rPr>
          <w:color w:val="000000"/>
          <w:sz w:val="28"/>
          <w:szCs w:val="28"/>
          <w:lang w:val="uk-UA"/>
        </w:rPr>
        <w:t xml:space="preserve">). </w:t>
      </w:r>
    </w:p>
    <w:p w:rsidR="00AB01BA" w:rsidRDefault="00AB01BA" w:rsidP="00AB01BA">
      <w:pPr>
        <w:ind w:firstLine="900"/>
        <w:jc w:val="both"/>
        <w:rPr>
          <w:color w:val="000000"/>
          <w:sz w:val="28"/>
          <w:szCs w:val="28"/>
          <w:lang w:val="uk-UA"/>
        </w:rPr>
      </w:pPr>
      <w:r>
        <w:rPr>
          <w:color w:val="000000"/>
          <w:sz w:val="28"/>
          <w:szCs w:val="28"/>
          <w:lang w:val="uk-UA"/>
        </w:rPr>
        <w:lastRenderedPageBreak/>
        <w:t>Отже, комплексне вивчення стану імунної відповіді у хворих з гострими герпесвірусними ураженнями ЦНС є актуальним. Застосування комплексного підходу до вивчення як клітинної, так і гуморальної імунної відповіді в крові та лікворі дозволить отримати більш повне уявлення про процеси, які відбуваються в організмі хворих, уточнити патогенетичні аспекти, а відтак удосконалити методи діагностики і лікування цих тяжких захворювань.</w:t>
      </w:r>
    </w:p>
    <w:p w:rsidR="00AB01BA" w:rsidRDefault="00AB01BA" w:rsidP="00AB01BA">
      <w:pPr>
        <w:widowControl w:val="0"/>
        <w:ind w:firstLine="900"/>
        <w:jc w:val="both"/>
        <w:rPr>
          <w:b/>
          <w:bCs/>
          <w:color w:val="000000"/>
          <w:sz w:val="28"/>
          <w:szCs w:val="28"/>
          <w:lang w:val="uk-UA"/>
        </w:rPr>
      </w:pPr>
      <w:r>
        <w:rPr>
          <w:b/>
          <w:bCs/>
          <w:color w:val="000000"/>
          <w:sz w:val="28"/>
          <w:szCs w:val="28"/>
          <w:lang w:val="uk-UA"/>
        </w:rPr>
        <w:t>Зв'язок роботи з науковими програмами, планами, темами.</w:t>
      </w:r>
    </w:p>
    <w:p w:rsidR="00AB01BA" w:rsidRDefault="00AB01BA" w:rsidP="00AB01BA">
      <w:pPr>
        <w:widowControl w:val="0"/>
        <w:ind w:firstLine="900"/>
        <w:jc w:val="both"/>
        <w:rPr>
          <w:color w:val="000000"/>
          <w:sz w:val="28"/>
          <w:szCs w:val="28"/>
          <w:lang w:val="uk-UA"/>
        </w:rPr>
      </w:pPr>
      <w:r>
        <w:rPr>
          <w:color w:val="000000"/>
          <w:sz w:val="28"/>
          <w:szCs w:val="28"/>
          <w:lang w:val="uk-UA"/>
        </w:rPr>
        <w:t xml:space="preserve">Дисертація виконана згідно з НДР кафедри інфекційних хвороб Харківського національного медичного університету “Вивчення стану компенсаторних механізмів адаптації до інфекційного процесу, патогенетичне обґрунтування застосування, удосконалення медикаментозних і немедикаментозних засобів лікування хвороб, що викликаються бактеріями, вірусами, вірусно-бактеріальними та вірусними асоціаціями при їх гострому та затяжному перебігу” (номер державної реєстрації – 01980002614). </w:t>
      </w:r>
    </w:p>
    <w:p w:rsidR="00AB01BA" w:rsidRDefault="00AB01BA" w:rsidP="00AB01BA">
      <w:pPr>
        <w:widowControl w:val="0"/>
        <w:ind w:firstLine="900"/>
        <w:jc w:val="both"/>
        <w:rPr>
          <w:color w:val="000000"/>
          <w:sz w:val="28"/>
          <w:szCs w:val="28"/>
          <w:lang w:val="uk-UA"/>
        </w:rPr>
      </w:pPr>
      <w:r>
        <w:rPr>
          <w:b/>
          <w:bCs/>
          <w:color w:val="000000"/>
          <w:sz w:val="28"/>
          <w:szCs w:val="28"/>
          <w:lang w:val="uk-UA"/>
        </w:rPr>
        <w:t xml:space="preserve">Мета дослідження: </w:t>
      </w:r>
      <w:r>
        <w:rPr>
          <w:sz w:val="28"/>
          <w:szCs w:val="28"/>
          <w:lang w:val="uk-UA"/>
        </w:rPr>
        <w:t>удосконалення лікувально-діагностичних методів</w:t>
      </w:r>
      <w:r>
        <w:rPr>
          <w:color w:val="000000"/>
          <w:sz w:val="28"/>
          <w:szCs w:val="28"/>
          <w:lang w:val="uk-UA"/>
        </w:rPr>
        <w:t xml:space="preserve"> шляхом оптимізації оцінки діагностичної та прогностичної ролі клініко-лабораторних показників у хворих на гострі герпесвірусні менінгоенцефаліти.</w:t>
      </w:r>
    </w:p>
    <w:p w:rsidR="00AB01BA" w:rsidRDefault="00AB01BA" w:rsidP="00AB01BA">
      <w:pPr>
        <w:pStyle w:val="Normal1"/>
        <w:widowControl w:val="0"/>
        <w:ind w:firstLine="900"/>
        <w:jc w:val="both"/>
        <w:rPr>
          <w:b/>
          <w:bCs/>
          <w:color w:val="000000"/>
          <w:sz w:val="28"/>
          <w:szCs w:val="28"/>
          <w:lang w:val="uk-UA"/>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p>
    <w:p w:rsidR="00AB01BA" w:rsidRDefault="00AB01BA" w:rsidP="00542D35">
      <w:pPr>
        <w:pStyle w:val="38"/>
        <w:numPr>
          <w:ilvl w:val="0"/>
          <w:numId w:val="67"/>
        </w:numPr>
        <w:tabs>
          <w:tab w:val="clear" w:pos="720"/>
          <w:tab w:val="num" w:pos="360"/>
        </w:tabs>
        <w:suppressAutoHyphens w:val="0"/>
        <w:spacing w:after="0" w:line="240" w:lineRule="auto"/>
        <w:ind w:left="360"/>
        <w:rPr>
          <w:color w:val="000000"/>
          <w:sz w:val="28"/>
          <w:szCs w:val="28"/>
          <w:lang w:val="uk-UA"/>
        </w:rPr>
      </w:pPr>
      <w:r>
        <w:rPr>
          <w:color w:val="000000"/>
          <w:sz w:val="28"/>
          <w:szCs w:val="28"/>
          <w:lang w:val="uk-UA"/>
        </w:rPr>
        <w:t>Дослідити клінічну картину гострих герпесвірусних менінгоенцефалітів (ГГМЕ) у залежності від тяжкості захворювання;</w:t>
      </w:r>
    </w:p>
    <w:p w:rsidR="00AB01BA" w:rsidRDefault="00AB01BA" w:rsidP="00542D35">
      <w:pPr>
        <w:pStyle w:val="38"/>
        <w:numPr>
          <w:ilvl w:val="0"/>
          <w:numId w:val="67"/>
        </w:numPr>
        <w:tabs>
          <w:tab w:val="clear" w:pos="720"/>
          <w:tab w:val="num" w:pos="360"/>
        </w:tabs>
        <w:suppressAutoHyphens w:val="0"/>
        <w:spacing w:after="0" w:line="240" w:lineRule="auto"/>
        <w:ind w:left="360"/>
        <w:rPr>
          <w:color w:val="000000"/>
          <w:sz w:val="28"/>
          <w:szCs w:val="28"/>
          <w:lang w:val="uk-UA"/>
        </w:rPr>
      </w:pPr>
      <w:r>
        <w:rPr>
          <w:color w:val="000000"/>
          <w:sz w:val="28"/>
          <w:szCs w:val="28"/>
          <w:lang w:val="uk-UA"/>
        </w:rPr>
        <w:t xml:space="preserve">вивчити характер змін і порушень імунної системи в динаміці захворювання у хворих на ГГМЕ за допомогою комплексного дослідження клітинної та гуморальної ланок імунітету (CD3+, CD4+, CD8+, CD16+, CD19+ клітини, </w:t>
      </w:r>
      <w:r>
        <w:rPr>
          <w:color w:val="000000"/>
          <w:sz w:val="28"/>
          <w:szCs w:val="28"/>
        </w:rPr>
        <w:t>Ig</w:t>
      </w:r>
      <w:r>
        <w:rPr>
          <w:color w:val="000000"/>
          <w:sz w:val="28"/>
          <w:szCs w:val="28"/>
          <w:lang w:val="uk-UA"/>
        </w:rPr>
        <w:t xml:space="preserve"> класів А, </w:t>
      </w:r>
      <w:r>
        <w:rPr>
          <w:color w:val="000000"/>
          <w:sz w:val="28"/>
          <w:szCs w:val="28"/>
        </w:rPr>
        <w:t>G</w:t>
      </w:r>
      <w:r>
        <w:rPr>
          <w:color w:val="000000"/>
          <w:sz w:val="28"/>
          <w:szCs w:val="28"/>
          <w:lang w:val="uk-UA"/>
        </w:rPr>
        <w:t>, М, ЦІК, комплементу, показників фагоцитозу);</w:t>
      </w:r>
    </w:p>
    <w:p w:rsidR="00AB01BA" w:rsidRDefault="00AB01BA" w:rsidP="00542D35">
      <w:pPr>
        <w:pStyle w:val="38"/>
        <w:numPr>
          <w:ilvl w:val="0"/>
          <w:numId w:val="67"/>
        </w:numPr>
        <w:tabs>
          <w:tab w:val="clear" w:pos="720"/>
          <w:tab w:val="num" w:pos="360"/>
        </w:tabs>
        <w:suppressAutoHyphens w:val="0"/>
        <w:spacing w:after="0" w:line="240" w:lineRule="auto"/>
        <w:ind w:left="360"/>
        <w:rPr>
          <w:color w:val="000000"/>
          <w:sz w:val="28"/>
          <w:szCs w:val="28"/>
          <w:lang w:val="uk-UA"/>
        </w:rPr>
      </w:pPr>
      <w:r>
        <w:rPr>
          <w:color w:val="000000"/>
          <w:sz w:val="28"/>
          <w:szCs w:val="28"/>
          <w:lang w:val="uk-UA"/>
        </w:rPr>
        <w:t>вивчити в динаміці хвороби рівень IL-1, IL-4, IL-10, TNF-α, INF-γ у сироватці крові хворих на ГГМЕ в залежності від ступеня тяжкості;</w:t>
      </w:r>
    </w:p>
    <w:p w:rsidR="00AB01BA" w:rsidRDefault="00AB01BA" w:rsidP="00542D35">
      <w:pPr>
        <w:pStyle w:val="38"/>
        <w:numPr>
          <w:ilvl w:val="0"/>
          <w:numId w:val="67"/>
        </w:numPr>
        <w:tabs>
          <w:tab w:val="clear" w:pos="720"/>
          <w:tab w:val="num" w:pos="360"/>
        </w:tabs>
        <w:suppressAutoHyphens w:val="0"/>
        <w:spacing w:after="0" w:line="240" w:lineRule="auto"/>
        <w:ind w:left="360"/>
        <w:rPr>
          <w:color w:val="000000"/>
          <w:sz w:val="28"/>
          <w:szCs w:val="28"/>
          <w:lang w:val="uk-UA"/>
        </w:rPr>
      </w:pPr>
      <w:r>
        <w:rPr>
          <w:color w:val="000000"/>
          <w:sz w:val="28"/>
          <w:szCs w:val="28"/>
          <w:lang w:val="uk-UA"/>
        </w:rPr>
        <w:t>вивчити в динаміці хвороби рівень IL-1, IL-4, IL-10, TNF-α, INF-γ в лікворі хворих на гострі герпесвірусні менінгоенцефаліти в залежності від ступеня тяжкості;</w:t>
      </w:r>
    </w:p>
    <w:p w:rsidR="00AB01BA" w:rsidRDefault="00AB01BA" w:rsidP="00542D35">
      <w:pPr>
        <w:pStyle w:val="38"/>
        <w:numPr>
          <w:ilvl w:val="0"/>
          <w:numId w:val="67"/>
        </w:numPr>
        <w:tabs>
          <w:tab w:val="clear" w:pos="720"/>
          <w:tab w:val="num" w:pos="360"/>
        </w:tabs>
        <w:suppressAutoHyphens w:val="0"/>
        <w:spacing w:after="0" w:line="240" w:lineRule="auto"/>
        <w:ind w:left="360"/>
        <w:rPr>
          <w:color w:val="000000"/>
          <w:sz w:val="28"/>
          <w:szCs w:val="28"/>
          <w:lang w:val="uk-UA"/>
        </w:rPr>
      </w:pPr>
      <w:r>
        <w:rPr>
          <w:color w:val="000000"/>
          <w:sz w:val="28"/>
          <w:szCs w:val="28"/>
          <w:lang w:val="uk-UA"/>
        </w:rPr>
        <w:t>проаналізувати результати комплексного імунологічного дослідження хворих на гострі герпесвірусні менінгоенцефаліти в залежності від ступеня тяжкості в динаміці захворювання;</w:t>
      </w:r>
    </w:p>
    <w:p w:rsidR="00AB01BA" w:rsidRDefault="00AB01BA" w:rsidP="00542D35">
      <w:pPr>
        <w:pStyle w:val="38"/>
        <w:numPr>
          <w:ilvl w:val="0"/>
          <w:numId w:val="67"/>
        </w:numPr>
        <w:tabs>
          <w:tab w:val="clear" w:pos="720"/>
          <w:tab w:val="num" w:pos="360"/>
        </w:tabs>
        <w:suppressAutoHyphens w:val="0"/>
        <w:spacing w:after="0" w:line="240" w:lineRule="auto"/>
        <w:ind w:left="360"/>
        <w:rPr>
          <w:color w:val="000000"/>
          <w:sz w:val="28"/>
          <w:szCs w:val="28"/>
          <w:lang w:val="uk-UA"/>
        </w:rPr>
      </w:pPr>
      <w:r>
        <w:rPr>
          <w:sz w:val="28"/>
          <w:szCs w:val="28"/>
          <w:lang w:val="uk-UA"/>
        </w:rPr>
        <w:t>розробити прогностичні критерії тяжкості клінічного перебігу ГГМЕ на підставі комплексу імунологічних досліджень;</w:t>
      </w:r>
    </w:p>
    <w:p w:rsidR="00AB01BA" w:rsidRDefault="00AB01BA" w:rsidP="00542D35">
      <w:pPr>
        <w:pStyle w:val="38"/>
        <w:numPr>
          <w:ilvl w:val="0"/>
          <w:numId w:val="67"/>
        </w:numPr>
        <w:tabs>
          <w:tab w:val="clear" w:pos="720"/>
          <w:tab w:val="num" w:pos="360"/>
        </w:tabs>
        <w:suppressAutoHyphens w:val="0"/>
        <w:spacing w:after="0" w:line="240" w:lineRule="auto"/>
        <w:ind w:left="360"/>
        <w:rPr>
          <w:color w:val="000000"/>
          <w:sz w:val="28"/>
          <w:szCs w:val="28"/>
          <w:lang w:val="uk-UA"/>
        </w:rPr>
      </w:pPr>
      <w:r>
        <w:rPr>
          <w:color w:val="000000"/>
          <w:sz w:val="28"/>
          <w:szCs w:val="28"/>
          <w:lang w:val="uk-UA"/>
        </w:rPr>
        <w:t>визначити клінічну ефективність і зміни в показниках рівня імунокомпетентних клітин CD3+, CD4+, CD8+, CD16+, CD19+ та INF-γ у хворих на гострі герпесвірусні менінгоенцефаліти середньої тяжкості при використанні препаратів Аміксин ІС та циклоферон.</w:t>
      </w:r>
    </w:p>
    <w:p w:rsidR="00AB01BA" w:rsidRDefault="00AB01BA" w:rsidP="00AB01BA">
      <w:pPr>
        <w:pStyle w:val="Normal1"/>
        <w:widowControl w:val="0"/>
        <w:ind w:firstLine="900"/>
        <w:jc w:val="both"/>
        <w:rPr>
          <w:color w:val="000000"/>
          <w:sz w:val="28"/>
          <w:szCs w:val="28"/>
          <w:lang w:val="uk-UA"/>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AB01BA" w:rsidRDefault="00AB01BA" w:rsidP="00AB01BA">
      <w:pPr>
        <w:pStyle w:val="Normal1"/>
        <w:widowControl w:val="0"/>
        <w:ind w:firstLine="900"/>
        <w:jc w:val="both"/>
        <w:rPr>
          <w:color w:val="000000"/>
          <w:sz w:val="28"/>
          <w:szCs w:val="28"/>
          <w:lang w:val="uk-UA"/>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lastRenderedPageBreak/>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AB01BA" w:rsidRDefault="00AB01BA" w:rsidP="00AB01BA">
      <w:pPr>
        <w:pStyle w:val="Normal1"/>
        <w:widowControl w:val="0"/>
        <w:ind w:firstLine="900"/>
        <w:jc w:val="both"/>
        <w:rPr>
          <w:b/>
          <w:bCs/>
          <w:color w:val="000000"/>
          <w:lang w:val="uk-UA"/>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i w:val="0"/>
          <w:iCs/>
          <w:color w:val="000000"/>
          <w:sz w:val="28"/>
          <w:szCs w:val="28"/>
          <w:lang w:val="uk-UA"/>
        </w:rPr>
        <w:t></w:t>
      </w:r>
      <w:r>
        <w:rPr>
          <w:b/>
          <w:bCs/>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sym w:font="Symbol" w:char="F03B"/>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sym w:font="Symbol" w:char="F03B"/>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sym w:font="Symbol" w:char="F03B"/>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sym w:font="Symbol" w:char="F03B"/>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AB01BA" w:rsidRPr="00AB01BA" w:rsidRDefault="00AB01BA" w:rsidP="00AB01BA">
      <w:pPr>
        <w:pStyle w:val="1"/>
        <w:widowControl w:val="0"/>
        <w:ind w:firstLine="900"/>
        <w:jc w:val="both"/>
        <w:rPr>
          <w:b w:val="0"/>
          <w:bCs w:val="0"/>
          <w:lang w:val="uk-UA"/>
        </w:rPr>
      </w:pPr>
      <w:r w:rsidRPr="00AB01BA">
        <w:rPr>
          <w:lang w:val="uk-UA"/>
        </w:rPr>
        <w:lastRenderedPageBreak/>
        <w:t xml:space="preserve">Наукова новизна отриманих результатів. </w:t>
      </w:r>
      <w:r w:rsidRPr="00AB01BA">
        <w:rPr>
          <w:b w:val="0"/>
          <w:bCs w:val="0"/>
          <w:lang w:val="uk-UA"/>
        </w:rPr>
        <w:t xml:space="preserve">В роботі наведені дані, що характеризують стан показників клітинної та гуморальної ланок імунітету, системи інтерферону у хворих на ГГМЕ в залежності від тяжкості перебігу захворювання. Встановлено зв’язок між тяжкістю захворювання та рівнем </w:t>
      </w:r>
      <w:r>
        <w:rPr>
          <w:b w:val="0"/>
          <w:bCs w:val="0"/>
          <w:lang w:val="en-US"/>
        </w:rPr>
        <w:t>CD</w:t>
      </w:r>
      <w:r w:rsidRPr="00AB01BA">
        <w:rPr>
          <w:b w:val="0"/>
          <w:bCs w:val="0"/>
          <w:lang w:val="uk-UA"/>
        </w:rPr>
        <w:t xml:space="preserve">4+ </w:t>
      </w:r>
      <w:r>
        <w:rPr>
          <w:b w:val="0"/>
          <w:bCs w:val="0"/>
          <w:lang w:val="en-US"/>
        </w:rPr>
        <w:t>T</w:t>
      </w:r>
      <w:r w:rsidRPr="00AB01BA">
        <w:rPr>
          <w:b w:val="0"/>
          <w:bCs w:val="0"/>
          <w:lang w:val="uk-UA"/>
        </w:rPr>
        <w:t xml:space="preserve">-клітин, рівнем імунорегуляторного індексу </w:t>
      </w:r>
      <w:r>
        <w:rPr>
          <w:b w:val="0"/>
          <w:bCs w:val="0"/>
          <w:lang w:val="en-US"/>
        </w:rPr>
        <w:t>CD</w:t>
      </w:r>
      <w:r w:rsidRPr="00AB01BA">
        <w:rPr>
          <w:b w:val="0"/>
          <w:bCs w:val="0"/>
          <w:lang w:val="uk-UA"/>
        </w:rPr>
        <w:t>4+/</w:t>
      </w:r>
      <w:r>
        <w:rPr>
          <w:b w:val="0"/>
          <w:bCs w:val="0"/>
          <w:lang w:val="en-US"/>
        </w:rPr>
        <w:t>CD</w:t>
      </w:r>
      <w:r w:rsidRPr="00AB01BA">
        <w:rPr>
          <w:b w:val="0"/>
          <w:bCs w:val="0"/>
          <w:lang w:val="uk-UA"/>
        </w:rPr>
        <w:t xml:space="preserve">8+, концентрації </w:t>
      </w:r>
      <w:r>
        <w:rPr>
          <w:b w:val="0"/>
          <w:bCs w:val="0"/>
          <w:lang w:val="en-US"/>
        </w:rPr>
        <w:t>IL</w:t>
      </w:r>
      <w:r w:rsidRPr="00AB01BA">
        <w:rPr>
          <w:b w:val="0"/>
          <w:bCs w:val="0"/>
          <w:lang w:val="uk-UA"/>
        </w:rPr>
        <w:t xml:space="preserve">-1, </w:t>
      </w:r>
      <w:r>
        <w:rPr>
          <w:b w:val="0"/>
          <w:bCs w:val="0"/>
          <w:lang w:val="en-US"/>
        </w:rPr>
        <w:t>TNF</w:t>
      </w:r>
      <w:r w:rsidRPr="00AB01BA">
        <w:rPr>
          <w:b w:val="0"/>
          <w:bCs w:val="0"/>
          <w:lang w:val="uk-UA"/>
        </w:rPr>
        <w:t>-</w:t>
      </w:r>
      <w:r>
        <w:rPr>
          <w:b w:val="0"/>
          <w:bCs w:val="0"/>
        </w:rPr>
        <w:t>α</w:t>
      </w:r>
      <w:r w:rsidRPr="00AB01BA">
        <w:rPr>
          <w:b w:val="0"/>
          <w:bCs w:val="0"/>
          <w:lang w:val="uk-UA"/>
        </w:rPr>
        <w:t xml:space="preserve"> та </w:t>
      </w:r>
      <w:r>
        <w:rPr>
          <w:b w:val="0"/>
          <w:bCs w:val="0"/>
          <w:lang w:val="en-US"/>
        </w:rPr>
        <w:t>INF</w:t>
      </w:r>
      <w:r w:rsidRPr="00AB01BA">
        <w:rPr>
          <w:b w:val="0"/>
          <w:bCs w:val="0"/>
          <w:lang w:val="uk-UA"/>
        </w:rPr>
        <w:t>-</w:t>
      </w:r>
      <w:r>
        <w:rPr>
          <w:b w:val="0"/>
          <w:bCs w:val="0"/>
        </w:rPr>
        <w:t>γ</w:t>
      </w:r>
      <w:r w:rsidRPr="00AB01BA">
        <w:rPr>
          <w:b w:val="0"/>
          <w:bCs w:val="0"/>
          <w:lang w:val="uk-UA"/>
        </w:rPr>
        <w:t xml:space="preserve"> у крові хворих.</w:t>
      </w:r>
    </w:p>
    <w:p w:rsidR="00AB01BA" w:rsidRDefault="00AB01BA" w:rsidP="00AB01BA">
      <w:pPr>
        <w:pStyle w:val="affffffff8"/>
        <w:tabs>
          <w:tab w:val="clear" w:pos="4677"/>
          <w:tab w:val="clear" w:pos="9355"/>
          <w:tab w:val="center" w:pos="0"/>
          <w:tab w:val="right" w:pos="9180"/>
        </w:tabs>
        <w:ind w:firstLine="900"/>
        <w:rPr>
          <w:szCs w:val="28"/>
          <w:lang w:val="uk-UA"/>
        </w:rPr>
      </w:pPr>
      <w:r>
        <w:rPr>
          <w:szCs w:val="28"/>
          <w:lang w:val="uk-UA"/>
        </w:rPr>
        <w:t xml:space="preserve">Вперше встановлено взаємозв’язок між рівнем </w:t>
      </w:r>
      <w:r>
        <w:rPr>
          <w:szCs w:val="28"/>
          <w:lang w:val="en-US"/>
        </w:rPr>
        <w:t>IL</w:t>
      </w:r>
      <w:r>
        <w:rPr>
          <w:szCs w:val="28"/>
          <w:lang w:val="uk-UA"/>
        </w:rPr>
        <w:t xml:space="preserve">-10, </w:t>
      </w:r>
      <w:r>
        <w:rPr>
          <w:szCs w:val="28"/>
          <w:lang w:val="en-US"/>
        </w:rPr>
        <w:t>INF</w:t>
      </w:r>
      <w:r>
        <w:rPr>
          <w:szCs w:val="28"/>
          <w:lang w:val="uk-UA"/>
        </w:rPr>
        <w:t>-</w:t>
      </w:r>
      <w:r>
        <w:rPr>
          <w:szCs w:val="28"/>
        </w:rPr>
        <w:t>γ</w:t>
      </w:r>
      <w:r>
        <w:rPr>
          <w:szCs w:val="28"/>
          <w:lang w:val="uk-UA"/>
        </w:rPr>
        <w:t xml:space="preserve">, TNF-α в лікворі хворих на ГГМЕ і тяжкістю хвороби. </w:t>
      </w:r>
    </w:p>
    <w:p w:rsidR="00AB01BA" w:rsidRDefault="00AB01BA" w:rsidP="00AB01BA">
      <w:pPr>
        <w:ind w:firstLine="900"/>
        <w:jc w:val="both"/>
        <w:rPr>
          <w:sz w:val="28"/>
          <w:szCs w:val="28"/>
          <w:lang w:val="uk-UA"/>
        </w:rPr>
      </w:pPr>
      <w:r>
        <w:rPr>
          <w:sz w:val="28"/>
          <w:szCs w:val="28"/>
          <w:lang w:val="uk-UA"/>
        </w:rPr>
        <w:t xml:space="preserve">Проведені дослідження рівнів цитокінів, що синтезуються </w:t>
      </w:r>
      <w:r>
        <w:rPr>
          <w:sz w:val="28"/>
          <w:szCs w:val="28"/>
        </w:rPr>
        <w:t>T</w:t>
      </w:r>
      <w:r>
        <w:rPr>
          <w:sz w:val="28"/>
          <w:szCs w:val="28"/>
          <w:lang w:val="uk-UA"/>
        </w:rPr>
        <w:t xml:space="preserve">-хелперами 1-го типу – </w:t>
      </w:r>
      <w:r>
        <w:rPr>
          <w:sz w:val="28"/>
          <w:szCs w:val="28"/>
        </w:rPr>
        <w:t>IL</w:t>
      </w:r>
      <w:r>
        <w:rPr>
          <w:sz w:val="28"/>
          <w:szCs w:val="28"/>
          <w:lang w:val="uk-UA"/>
        </w:rPr>
        <w:t xml:space="preserve">-1, </w:t>
      </w:r>
      <w:r>
        <w:rPr>
          <w:sz w:val="28"/>
          <w:szCs w:val="28"/>
        </w:rPr>
        <w:t>TNF</w:t>
      </w:r>
      <w:r>
        <w:rPr>
          <w:sz w:val="28"/>
          <w:szCs w:val="28"/>
          <w:lang w:val="uk-UA"/>
        </w:rPr>
        <w:t>-</w:t>
      </w:r>
      <w:r>
        <w:rPr>
          <w:sz w:val="28"/>
          <w:szCs w:val="28"/>
        </w:rPr>
        <w:t>α</w:t>
      </w:r>
      <w:r>
        <w:rPr>
          <w:sz w:val="28"/>
          <w:szCs w:val="28"/>
          <w:lang w:val="uk-UA"/>
        </w:rPr>
        <w:t xml:space="preserve">, </w:t>
      </w:r>
      <w:r>
        <w:rPr>
          <w:sz w:val="28"/>
          <w:szCs w:val="28"/>
        </w:rPr>
        <w:t>INF</w:t>
      </w:r>
      <w:r>
        <w:rPr>
          <w:sz w:val="28"/>
          <w:szCs w:val="28"/>
          <w:lang w:val="uk-UA"/>
        </w:rPr>
        <w:t>-</w:t>
      </w:r>
      <w:r>
        <w:rPr>
          <w:sz w:val="28"/>
          <w:szCs w:val="28"/>
        </w:rPr>
        <w:t>γ</w:t>
      </w:r>
      <w:r>
        <w:rPr>
          <w:sz w:val="28"/>
          <w:szCs w:val="28"/>
          <w:lang w:val="uk-UA"/>
        </w:rPr>
        <w:t xml:space="preserve">, та їх природних антагоністів, що синтезуються </w:t>
      </w:r>
      <w:r>
        <w:rPr>
          <w:sz w:val="28"/>
          <w:szCs w:val="28"/>
        </w:rPr>
        <w:t>T</w:t>
      </w:r>
      <w:r>
        <w:rPr>
          <w:sz w:val="28"/>
          <w:szCs w:val="28"/>
          <w:lang w:val="uk-UA"/>
        </w:rPr>
        <w:t xml:space="preserve"> хелперами 2-го типу – </w:t>
      </w:r>
      <w:r>
        <w:rPr>
          <w:sz w:val="28"/>
          <w:szCs w:val="28"/>
        </w:rPr>
        <w:t>IL</w:t>
      </w:r>
      <w:r>
        <w:rPr>
          <w:sz w:val="28"/>
          <w:szCs w:val="28"/>
          <w:lang w:val="uk-UA"/>
        </w:rPr>
        <w:t xml:space="preserve">-4, </w:t>
      </w:r>
      <w:r>
        <w:rPr>
          <w:sz w:val="28"/>
          <w:szCs w:val="28"/>
        </w:rPr>
        <w:t>IL</w:t>
      </w:r>
      <w:r>
        <w:rPr>
          <w:sz w:val="28"/>
          <w:szCs w:val="28"/>
          <w:lang w:val="uk-UA"/>
        </w:rPr>
        <w:t>-10, показали, переважання прозапальних цитокінів (макрофагольно-моноцитарного походження) над регуляторними. Підвищення</w:t>
      </w:r>
      <w:r>
        <w:rPr>
          <w:sz w:val="28"/>
          <w:szCs w:val="28"/>
        </w:rPr>
        <w:t xml:space="preserve"> </w:t>
      </w:r>
      <w:r>
        <w:rPr>
          <w:sz w:val="28"/>
          <w:szCs w:val="28"/>
          <w:lang w:val="uk-UA"/>
        </w:rPr>
        <w:t>концентрації</w:t>
      </w:r>
      <w:r>
        <w:rPr>
          <w:sz w:val="28"/>
          <w:szCs w:val="28"/>
        </w:rPr>
        <w:t xml:space="preserve"> прозапальних цитокінів у пацієнтів на початку захворювання треба розглядати як реакцію клітин моноцитарно-макрофагальної ланки на антигенне </w:t>
      </w:r>
      <w:r>
        <w:rPr>
          <w:sz w:val="28"/>
          <w:szCs w:val="28"/>
          <w:lang w:val="uk-UA"/>
        </w:rPr>
        <w:t>подразнення</w:t>
      </w:r>
      <w:r>
        <w:rPr>
          <w:sz w:val="28"/>
          <w:szCs w:val="28"/>
        </w:rPr>
        <w:t>.</w:t>
      </w:r>
      <w:r>
        <w:rPr>
          <w:sz w:val="28"/>
          <w:szCs w:val="28"/>
          <w:lang w:val="uk-UA"/>
        </w:rPr>
        <w:t xml:space="preserve"> Доведено, що всі ці зміни до певною мірою мають саногенетичний характер у початковій фазі запального процесу, але відсутність підвищення рівнів прозапальних цитокінів, особливо </w:t>
      </w:r>
      <w:r>
        <w:rPr>
          <w:sz w:val="28"/>
          <w:szCs w:val="28"/>
        </w:rPr>
        <w:t>IL</w:t>
      </w:r>
      <w:r>
        <w:rPr>
          <w:sz w:val="28"/>
          <w:szCs w:val="28"/>
          <w:lang w:val="uk-UA"/>
        </w:rPr>
        <w:t xml:space="preserve">-1 та </w:t>
      </w:r>
      <w:r>
        <w:rPr>
          <w:sz w:val="28"/>
          <w:szCs w:val="28"/>
        </w:rPr>
        <w:t>TNF</w:t>
      </w:r>
      <w:r>
        <w:rPr>
          <w:sz w:val="28"/>
          <w:szCs w:val="28"/>
          <w:lang w:val="uk-UA"/>
        </w:rPr>
        <w:t>-</w:t>
      </w:r>
      <w:r>
        <w:rPr>
          <w:sz w:val="28"/>
          <w:szCs w:val="28"/>
        </w:rPr>
        <w:t>α</w:t>
      </w:r>
      <w:r>
        <w:rPr>
          <w:sz w:val="28"/>
          <w:szCs w:val="28"/>
          <w:lang w:val="uk-UA"/>
        </w:rPr>
        <w:t>, в гострому періоді хвороби є прогностично несприятливою ознакою.</w:t>
      </w:r>
    </w:p>
    <w:p w:rsidR="00AB01BA" w:rsidRDefault="00AB01BA" w:rsidP="00AB01BA">
      <w:pPr>
        <w:ind w:firstLine="900"/>
        <w:jc w:val="both"/>
        <w:rPr>
          <w:sz w:val="28"/>
          <w:szCs w:val="28"/>
          <w:lang w:val="uk-UA"/>
        </w:rPr>
      </w:pPr>
      <w:r>
        <w:rPr>
          <w:sz w:val="28"/>
          <w:szCs w:val="28"/>
          <w:lang w:val="uk-UA"/>
        </w:rPr>
        <w:t xml:space="preserve">Встановлено, що при середньотяжкому перебігу хвороби відзначається нормалізація, при тяжкому – поліпшення показників імунограми в періоді ранньої реконвалесценції. Доведено, що високий рівень </w:t>
      </w:r>
      <w:r>
        <w:rPr>
          <w:sz w:val="28"/>
          <w:szCs w:val="28"/>
        </w:rPr>
        <w:t>IL</w:t>
      </w:r>
      <w:r>
        <w:rPr>
          <w:sz w:val="28"/>
          <w:szCs w:val="28"/>
          <w:lang w:val="uk-UA"/>
        </w:rPr>
        <w:t>-10 в гострому періоді захворювання є свідченням надмірного пригнічення клітинної імунної відповіді, особливо реакцій, зв’язаних з Т-хелперами 1-го типу, що сприяє недостатності імунної відповіді та несприятливому перебігу захворювання.</w:t>
      </w:r>
    </w:p>
    <w:p w:rsidR="00AB01BA" w:rsidRDefault="00AB01BA" w:rsidP="00AB01BA">
      <w:pPr>
        <w:ind w:firstLine="900"/>
        <w:jc w:val="both"/>
        <w:rPr>
          <w:sz w:val="28"/>
          <w:szCs w:val="28"/>
          <w:lang w:val="uk-UA"/>
        </w:rPr>
      </w:pPr>
      <w:r>
        <w:rPr>
          <w:sz w:val="28"/>
          <w:szCs w:val="28"/>
          <w:lang w:val="uk-UA"/>
        </w:rPr>
        <w:t>Вперше показано, що застосування препарату Аміксин ІС в комплексному лікуванні хворих на гострі герпесвірусні менінгоенцефаліти середньої тяжкості сприяє скороченню тривалості клінічної симптоматики та нормалізації показників імунної відповіді.</w:t>
      </w:r>
    </w:p>
    <w:p w:rsidR="00AB01BA" w:rsidRDefault="00AB01BA" w:rsidP="00AB01BA">
      <w:pPr>
        <w:widowControl w:val="0"/>
        <w:ind w:firstLine="900"/>
        <w:jc w:val="both"/>
        <w:rPr>
          <w:color w:val="000000"/>
          <w:sz w:val="28"/>
          <w:szCs w:val="28"/>
          <w:lang w:val="uk-UA"/>
        </w:rPr>
      </w:pPr>
      <w:r>
        <w:rPr>
          <w:b/>
          <w:bCs/>
          <w:color w:val="000000"/>
          <w:sz w:val="28"/>
          <w:szCs w:val="28"/>
          <w:lang w:val="uk-UA"/>
        </w:rPr>
        <w:t>Практичне значення отриманих результатів.</w:t>
      </w:r>
      <w:r>
        <w:rPr>
          <w:color w:val="000000"/>
          <w:lang w:val="uk-UA"/>
        </w:rPr>
        <w:t xml:space="preserve"> </w:t>
      </w:r>
      <w:r>
        <w:rPr>
          <w:color w:val="000000"/>
          <w:sz w:val="28"/>
          <w:szCs w:val="28"/>
          <w:lang w:val="uk-UA"/>
        </w:rPr>
        <w:t>На підставі комплексного аналізу імунологічних показників основних популяцій та субпопуляцій Т- і В-</w:t>
      </w:r>
      <w:r>
        <w:rPr>
          <w:color w:val="000000"/>
          <w:sz w:val="28"/>
          <w:szCs w:val="28"/>
          <w:lang w:val="uk-UA"/>
        </w:rPr>
        <w:lastRenderedPageBreak/>
        <w:t>лімфоцитів (</w:t>
      </w:r>
      <w:r>
        <w:rPr>
          <w:color w:val="000000"/>
          <w:sz w:val="28"/>
          <w:szCs w:val="28"/>
          <w:lang w:val="en-US"/>
        </w:rPr>
        <w:t>CD</w:t>
      </w:r>
      <w:r>
        <w:rPr>
          <w:color w:val="000000"/>
          <w:sz w:val="28"/>
          <w:szCs w:val="28"/>
          <w:lang w:val="uk-UA"/>
        </w:rPr>
        <w:t xml:space="preserve">3+, </w:t>
      </w:r>
      <w:r>
        <w:rPr>
          <w:color w:val="000000"/>
          <w:sz w:val="28"/>
          <w:szCs w:val="28"/>
          <w:lang w:val="en-US"/>
        </w:rPr>
        <w:t>CD</w:t>
      </w:r>
      <w:r>
        <w:rPr>
          <w:color w:val="000000"/>
          <w:sz w:val="28"/>
          <w:szCs w:val="28"/>
          <w:lang w:val="uk-UA"/>
        </w:rPr>
        <w:t xml:space="preserve">4+, </w:t>
      </w:r>
      <w:r>
        <w:rPr>
          <w:color w:val="000000"/>
          <w:sz w:val="28"/>
          <w:szCs w:val="28"/>
          <w:lang w:val="en-US"/>
        </w:rPr>
        <w:t>CD</w:t>
      </w:r>
      <w:r>
        <w:rPr>
          <w:color w:val="000000"/>
          <w:sz w:val="28"/>
          <w:szCs w:val="28"/>
          <w:lang w:val="uk-UA"/>
        </w:rPr>
        <w:t xml:space="preserve">8+, </w:t>
      </w:r>
      <w:r>
        <w:rPr>
          <w:color w:val="000000"/>
          <w:sz w:val="28"/>
          <w:szCs w:val="28"/>
          <w:lang w:val="en-US"/>
        </w:rPr>
        <w:t>CD</w:t>
      </w:r>
      <w:r>
        <w:rPr>
          <w:color w:val="000000"/>
          <w:sz w:val="28"/>
          <w:szCs w:val="28"/>
          <w:lang w:val="uk-UA"/>
        </w:rPr>
        <w:t xml:space="preserve">16+, </w:t>
      </w:r>
      <w:r>
        <w:rPr>
          <w:color w:val="000000"/>
          <w:sz w:val="28"/>
          <w:szCs w:val="28"/>
          <w:lang w:val="en-US"/>
        </w:rPr>
        <w:t>CD</w:t>
      </w:r>
      <w:r>
        <w:rPr>
          <w:color w:val="000000"/>
          <w:sz w:val="28"/>
          <w:szCs w:val="28"/>
          <w:lang w:val="uk-UA"/>
        </w:rPr>
        <w:t xml:space="preserve">19+), </w:t>
      </w:r>
      <w:r>
        <w:rPr>
          <w:color w:val="000000"/>
          <w:sz w:val="28"/>
          <w:szCs w:val="28"/>
        </w:rPr>
        <w:t>Ig</w:t>
      </w:r>
      <w:r>
        <w:rPr>
          <w:color w:val="000000"/>
          <w:sz w:val="28"/>
          <w:szCs w:val="28"/>
          <w:lang w:val="uk-UA"/>
        </w:rPr>
        <w:t xml:space="preserve"> класів А, </w:t>
      </w:r>
      <w:r>
        <w:rPr>
          <w:color w:val="000000"/>
          <w:sz w:val="28"/>
          <w:szCs w:val="28"/>
        </w:rPr>
        <w:t>G</w:t>
      </w:r>
      <w:r>
        <w:rPr>
          <w:color w:val="000000"/>
          <w:sz w:val="28"/>
          <w:szCs w:val="28"/>
          <w:lang w:val="uk-UA"/>
        </w:rPr>
        <w:t>, М, ЦІК, комплементу, показників фагоцитозу, а також рівнів IL-1, IL-4, IL-10, TNF-α, INF-γ у лікворі та крові при госпіталізації та на 21-шу добу лікування запропоновані прогностичні критерії тяжкості перебігу гострих герпесвірусних менінгоенцефалітів.</w:t>
      </w:r>
    </w:p>
    <w:p w:rsidR="00AB01BA" w:rsidRDefault="00AB01BA" w:rsidP="00AB01BA">
      <w:pPr>
        <w:widowControl w:val="0"/>
        <w:ind w:firstLine="900"/>
        <w:jc w:val="both"/>
        <w:rPr>
          <w:color w:val="000000"/>
          <w:sz w:val="28"/>
          <w:szCs w:val="28"/>
          <w:lang w:val="uk-UA"/>
        </w:rPr>
      </w:pPr>
      <w:r>
        <w:rPr>
          <w:color w:val="000000"/>
          <w:sz w:val="28"/>
          <w:szCs w:val="28"/>
          <w:lang w:val="uk-UA"/>
        </w:rPr>
        <w:t xml:space="preserve">Рекомендовано в якості найбільш інформативних критеріїв використовувати в клінічній практиці вміст IL-10, </w:t>
      </w:r>
      <w:r>
        <w:rPr>
          <w:color w:val="000000"/>
          <w:sz w:val="28"/>
          <w:szCs w:val="28"/>
          <w:lang w:val="en-US"/>
        </w:rPr>
        <w:t>TNF</w:t>
      </w:r>
      <w:r>
        <w:rPr>
          <w:color w:val="000000"/>
          <w:sz w:val="28"/>
          <w:szCs w:val="28"/>
          <w:lang w:val="uk-UA"/>
        </w:rPr>
        <w:t xml:space="preserve">-α, </w:t>
      </w:r>
      <w:r>
        <w:rPr>
          <w:color w:val="000000"/>
          <w:sz w:val="28"/>
          <w:szCs w:val="28"/>
          <w:lang w:val="en-US"/>
        </w:rPr>
        <w:t>INF</w:t>
      </w:r>
      <w:r>
        <w:rPr>
          <w:color w:val="000000"/>
          <w:sz w:val="28"/>
          <w:szCs w:val="28"/>
          <w:lang w:val="uk-UA"/>
        </w:rPr>
        <w:t xml:space="preserve">-γ та </w:t>
      </w:r>
      <w:r>
        <w:rPr>
          <w:color w:val="000000"/>
          <w:sz w:val="28"/>
          <w:szCs w:val="28"/>
          <w:lang w:val="en-US"/>
        </w:rPr>
        <w:t>CD</w:t>
      </w:r>
      <w:r>
        <w:rPr>
          <w:color w:val="000000"/>
          <w:sz w:val="28"/>
          <w:szCs w:val="28"/>
          <w:lang w:val="uk-UA"/>
        </w:rPr>
        <w:t xml:space="preserve">4+, </w:t>
      </w:r>
      <w:r>
        <w:rPr>
          <w:color w:val="000000"/>
          <w:sz w:val="28"/>
          <w:szCs w:val="28"/>
          <w:lang w:val="en-US"/>
        </w:rPr>
        <w:t>CD</w:t>
      </w:r>
      <w:r>
        <w:rPr>
          <w:color w:val="000000"/>
          <w:sz w:val="28"/>
          <w:szCs w:val="28"/>
          <w:lang w:val="uk-UA"/>
        </w:rPr>
        <w:t xml:space="preserve">8+ Т-клітин в крові та вміст IL-10, INF-γ, TNF-α в лікворі хворих. </w:t>
      </w:r>
    </w:p>
    <w:p w:rsidR="00AB01BA" w:rsidRDefault="00AB01BA" w:rsidP="00AB01BA">
      <w:pPr>
        <w:widowControl w:val="0"/>
        <w:ind w:firstLine="900"/>
        <w:jc w:val="both"/>
        <w:rPr>
          <w:color w:val="000000"/>
          <w:sz w:val="28"/>
          <w:szCs w:val="28"/>
          <w:lang w:val="uk-UA"/>
        </w:rPr>
      </w:pPr>
      <w:r>
        <w:rPr>
          <w:color w:val="000000"/>
          <w:sz w:val="28"/>
          <w:szCs w:val="28"/>
          <w:lang w:val="uk-UA"/>
        </w:rPr>
        <w:t>Запропонована та патогенетично обґрунтована оригінальна схема застосування препарату Аміксин ІС в якості імуностимулюючого засобу в комплексному лікуванні ГГМЕ середньої тяжкості (Патент 29556 Україна. Спосіб лікування хворих на гострі вірусні менінгіти. В.М. Козько, А.В. Сохань, М.І. Краснов. 2008, Бюл. № 1. – 8.с.).</w:t>
      </w:r>
    </w:p>
    <w:p w:rsidR="00AB01BA" w:rsidRDefault="00AB01BA" w:rsidP="00AB01BA">
      <w:pPr>
        <w:ind w:firstLine="900"/>
        <w:jc w:val="both"/>
        <w:rPr>
          <w:color w:val="000000"/>
          <w:sz w:val="28"/>
          <w:szCs w:val="28"/>
          <w:lang w:val="uk-UA"/>
        </w:rPr>
      </w:pPr>
      <w:r>
        <w:rPr>
          <w:b/>
          <w:bCs/>
          <w:color w:val="000000"/>
          <w:sz w:val="28"/>
          <w:szCs w:val="28"/>
          <w:lang w:val="uk-UA"/>
        </w:rPr>
        <w:t xml:space="preserve">Особистий внесок здобувача. </w:t>
      </w:r>
      <w:r>
        <w:rPr>
          <w:color w:val="000000"/>
          <w:sz w:val="28"/>
          <w:szCs w:val="28"/>
          <w:lang w:val="uk-UA"/>
        </w:rPr>
        <w:t>Автором проаналізовано сучасну наукову літературу, проведено інформаційно-патентний пошук, клінічні спостереження, статистичну обробку, аналіз і інтерпретацію, узагальнення і викладення результатів дослідження. Переважний об'єм лабораторних досліджень (крім рутинних методів) виконаний за участю автора у відповідних лабораторіях. Ним особисто сформульовані висновки і практичні рекомендації.</w:t>
      </w:r>
    </w:p>
    <w:p w:rsidR="00AB01BA" w:rsidRDefault="00AB01BA" w:rsidP="00AB01BA">
      <w:pPr>
        <w:pStyle w:val="BodyText21"/>
        <w:widowControl w:val="0"/>
        <w:ind w:firstLine="900"/>
        <w:jc w:val="both"/>
        <w:rPr>
          <w:color w:val="000000"/>
          <w:sz w:val="28"/>
          <w:szCs w:val="28"/>
          <w:lang w:val="uk-UA"/>
        </w:rPr>
      </w:pPr>
      <w:r>
        <w:rPr>
          <w:b/>
          <w:bCs/>
          <w:color w:val="000000"/>
          <w:sz w:val="28"/>
          <w:szCs w:val="28"/>
          <w:lang w:val="uk-UA"/>
        </w:rPr>
        <w:t xml:space="preserve">Апробація результатів дисертації. </w:t>
      </w:r>
      <w:r>
        <w:rPr>
          <w:color w:val="000000"/>
          <w:sz w:val="28"/>
          <w:szCs w:val="28"/>
          <w:lang w:val="uk-UA"/>
        </w:rPr>
        <w:t>Основні положення результатів досліджень висвітлені й викладені у формі доповідей на VII з’їзді інфекціоністів України „Інфекційні хвороби – загально медична проблема” (Миргород, 2006 р.), 17-th European Students’ conference Charite (Berlin, Germany, 2006 р.), міжвузівській конференції молодих учених “Медицина третього тисячоліття” (Харків, 2008 р.), міжнародній науково-практичній конференції студентів, молодих вчених “Сучасні проблеми клінічної та теоретичної медицини” (Суми, 2007 р.), І</w:t>
      </w:r>
      <w:r>
        <w:rPr>
          <w:color w:val="000000"/>
          <w:sz w:val="28"/>
          <w:szCs w:val="28"/>
          <w:lang w:val="en-US"/>
        </w:rPr>
        <w:t>V</w:t>
      </w:r>
      <w:r>
        <w:rPr>
          <w:color w:val="000000"/>
          <w:sz w:val="28"/>
          <w:szCs w:val="28"/>
          <w:lang w:val="uk-UA"/>
        </w:rPr>
        <w:t xml:space="preserve"> міжнародній науково-практичній конференції молодих вчених (Чернівці, 2007 р.), науково-практичній конференції „Сучасні підходи до діагностики та лікування у клінічній інфектології” (Харків, 2007 р.).</w:t>
      </w:r>
    </w:p>
    <w:p w:rsidR="00AB01BA" w:rsidRDefault="00AB01BA" w:rsidP="00AB01BA">
      <w:pPr>
        <w:ind w:firstLine="900"/>
        <w:jc w:val="both"/>
        <w:rPr>
          <w:color w:val="000000"/>
          <w:sz w:val="28"/>
          <w:szCs w:val="28"/>
          <w:lang w:val="uk-UA"/>
        </w:rPr>
      </w:pPr>
      <w:r>
        <w:rPr>
          <w:b/>
          <w:bCs/>
          <w:color w:val="000000"/>
          <w:sz w:val="28"/>
          <w:szCs w:val="28"/>
          <w:lang w:val="uk-UA"/>
        </w:rPr>
        <w:t>Впровадження результатів досліджень.</w:t>
      </w:r>
      <w:r>
        <w:rPr>
          <w:color w:val="000000"/>
          <w:sz w:val="28"/>
          <w:szCs w:val="28"/>
          <w:lang w:val="uk-UA"/>
        </w:rPr>
        <w:t xml:space="preserve"> Результати роботи впроваджені в лікувально-діагностичний процес у відділеннях обласної клінічної інфекційної лікарні м. Харкова, обласній клінічній лікарні м. Полтави, обласній клінічній лікарні м. Луганськ, використовуються у навчальному процесі на кафедрі інфекційних хвороб Харківського національного медичного університету, Української медичної стоматологічної академії (м. Полтава), кафедрі клінічної імунології, алергології та медичної генетики Луганського державного медичного університету.</w:t>
      </w:r>
    </w:p>
    <w:p w:rsidR="00AB01BA" w:rsidRDefault="00AB01BA" w:rsidP="00AB01BA">
      <w:pPr>
        <w:pStyle w:val="BodyText21"/>
        <w:widowControl w:val="0"/>
        <w:ind w:firstLine="900"/>
        <w:jc w:val="both"/>
        <w:rPr>
          <w:color w:val="000000"/>
          <w:sz w:val="28"/>
          <w:szCs w:val="28"/>
          <w:lang w:val="uk-UA"/>
        </w:rPr>
      </w:pPr>
      <w:r>
        <w:rPr>
          <w:b/>
          <w:bCs/>
          <w:color w:val="000000"/>
          <w:sz w:val="28"/>
          <w:szCs w:val="28"/>
          <w:lang w:val="uk-UA"/>
        </w:rPr>
        <w:t xml:space="preserve">Публікації. </w:t>
      </w:r>
      <w:r>
        <w:rPr>
          <w:color w:val="000000"/>
          <w:sz w:val="28"/>
          <w:szCs w:val="28"/>
          <w:lang w:val="uk-UA"/>
        </w:rPr>
        <w:t>Основні положення роботи опубліковані в 11 наукових працях: 4 статтях, із них 4 у фахових журналах, затверджених ВАК України, у деклараційному патенті, та 6 тезах доповідей.</w:t>
      </w:r>
    </w:p>
    <w:p w:rsidR="00AB01BA" w:rsidRDefault="00AB01BA" w:rsidP="00AB01BA">
      <w:pPr>
        <w:ind w:firstLine="900"/>
        <w:jc w:val="both"/>
        <w:rPr>
          <w:color w:val="000000"/>
          <w:sz w:val="28"/>
          <w:szCs w:val="28"/>
          <w:lang w:val="uk-UA"/>
        </w:rPr>
      </w:pPr>
      <w:r>
        <w:rPr>
          <w:b/>
          <w:bCs/>
          <w:color w:val="000000"/>
          <w:sz w:val="28"/>
          <w:szCs w:val="28"/>
          <w:lang w:val="uk-UA"/>
        </w:rPr>
        <w:t>Обсяг і структура дисертації</w:t>
      </w:r>
      <w:r>
        <w:rPr>
          <w:color w:val="000000"/>
          <w:sz w:val="28"/>
          <w:szCs w:val="28"/>
          <w:lang w:val="uk-UA"/>
        </w:rPr>
        <w:t>. Дисертаційна робота викладена на 123 сторінках друкованого тексту і складається з вступу, огляду літератури, чотирьох розділів власних досліджень, висновків, практичних рекомендацій, списку літератури, який включає 275 джерел (160 кирилицею і 115 латиницею). Робота ілюстрована 20 таблицями та 1 рисунком.</w:t>
      </w:r>
    </w:p>
    <w:p w:rsidR="00AB01BA" w:rsidRDefault="00AB01BA" w:rsidP="00AB01BA">
      <w:pPr>
        <w:ind w:firstLine="708"/>
        <w:jc w:val="both"/>
        <w:rPr>
          <w:color w:val="000000"/>
          <w:sz w:val="28"/>
          <w:szCs w:val="28"/>
          <w:lang w:val="uk-UA"/>
        </w:rPr>
      </w:pPr>
    </w:p>
    <w:p w:rsidR="00AB01BA" w:rsidRDefault="00AB01BA" w:rsidP="00AB01BA">
      <w:pPr>
        <w:jc w:val="center"/>
        <w:rPr>
          <w:b/>
          <w:bCs/>
          <w:caps/>
          <w:color w:val="000000"/>
          <w:sz w:val="32"/>
          <w:szCs w:val="32"/>
          <w:lang w:val="uk-UA"/>
        </w:rPr>
      </w:pPr>
      <w:r>
        <w:rPr>
          <w:b/>
          <w:bCs/>
          <w:caps/>
          <w:color w:val="000000"/>
          <w:sz w:val="32"/>
          <w:szCs w:val="32"/>
          <w:lang w:val="uk-UA"/>
        </w:rPr>
        <w:lastRenderedPageBreak/>
        <w:t>Основний</w:t>
      </w:r>
      <w:r>
        <w:rPr>
          <w:caps/>
          <w:color w:val="000000"/>
          <w:sz w:val="32"/>
          <w:szCs w:val="32"/>
          <w:lang w:val="uk-UA"/>
        </w:rPr>
        <w:t xml:space="preserve"> </w:t>
      </w:r>
      <w:r>
        <w:rPr>
          <w:b/>
          <w:bCs/>
          <w:caps/>
          <w:color w:val="000000"/>
          <w:sz w:val="32"/>
          <w:szCs w:val="32"/>
          <w:lang w:val="uk-UA"/>
        </w:rPr>
        <w:t>зміст</w:t>
      </w:r>
      <w:r>
        <w:rPr>
          <w:caps/>
          <w:color w:val="000000"/>
          <w:sz w:val="32"/>
          <w:szCs w:val="32"/>
          <w:lang w:val="uk-UA"/>
        </w:rPr>
        <w:t xml:space="preserve"> </w:t>
      </w:r>
      <w:r>
        <w:rPr>
          <w:b/>
          <w:bCs/>
          <w:caps/>
          <w:color w:val="000000"/>
          <w:sz w:val="32"/>
          <w:szCs w:val="32"/>
          <w:lang w:val="uk-UA"/>
        </w:rPr>
        <w:t>роботи</w:t>
      </w:r>
    </w:p>
    <w:p w:rsidR="00AB01BA" w:rsidRDefault="00AB01BA" w:rsidP="00AB01BA">
      <w:pPr>
        <w:jc w:val="center"/>
        <w:rPr>
          <w:caps/>
          <w:color w:val="000000"/>
          <w:sz w:val="32"/>
          <w:szCs w:val="32"/>
          <w:lang w:val="uk-UA"/>
        </w:rPr>
      </w:pPr>
    </w:p>
    <w:p w:rsidR="00AB01BA" w:rsidRDefault="00AB01BA" w:rsidP="00AB01BA">
      <w:pPr>
        <w:ind w:firstLine="900"/>
        <w:jc w:val="both"/>
        <w:rPr>
          <w:sz w:val="28"/>
          <w:szCs w:val="28"/>
          <w:lang w:val="uk-UA"/>
        </w:rPr>
      </w:pPr>
      <w:r>
        <w:rPr>
          <w:b/>
          <w:bCs/>
          <w:sz w:val="28"/>
          <w:szCs w:val="28"/>
          <w:lang w:val="uk-UA"/>
        </w:rPr>
        <w:t>Об'єкт і методи дослідження</w:t>
      </w:r>
      <w:r>
        <w:rPr>
          <w:sz w:val="28"/>
          <w:szCs w:val="28"/>
          <w:lang w:val="uk-UA"/>
        </w:rPr>
        <w:t xml:space="preserve">. Дослідження проводились на кафедрі інфекційних хвороб Харківського національного медичного університету і клінічній базі кафедри – обласній клінічній інфекційній лікарні м. Харкова. Імунологічні дослідження виконувались у лабораторії клінічної імунології та алергології ДУ „Інститут імунології та мікробіології АМН України ім. І.І. Мечникова” під керівництвом доктора медичних наук, професора Т.І. Коляди. </w:t>
      </w:r>
    </w:p>
    <w:p w:rsidR="00AB01BA" w:rsidRDefault="00AB01BA" w:rsidP="00AB01BA">
      <w:pPr>
        <w:ind w:firstLine="900"/>
        <w:jc w:val="both"/>
        <w:rPr>
          <w:color w:val="000000"/>
          <w:sz w:val="28"/>
          <w:szCs w:val="28"/>
          <w:lang w:val="uk-UA"/>
        </w:rPr>
      </w:pPr>
      <w:r>
        <w:rPr>
          <w:sz w:val="28"/>
          <w:szCs w:val="28"/>
          <w:lang w:val="uk-UA"/>
        </w:rPr>
        <w:t>У роботі представлено результати дослідження 82 хворих на ГГМЕ.</w:t>
      </w:r>
      <w:r>
        <w:rPr>
          <w:color w:val="000000"/>
          <w:sz w:val="28"/>
          <w:szCs w:val="28"/>
          <w:lang w:val="uk-UA"/>
        </w:rPr>
        <w:t xml:space="preserve"> Вивчені та проаналізовані результати їх клінічного, лабораторного, інструментального обстеження та стаціонарного лікування.</w:t>
      </w:r>
    </w:p>
    <w:p w:rsidR="00AB01BA" w:rsidRDefault="00AB01BA" w:rsidP="00AB01BA">
      <w:pPr>
        <w:ind w:firstLine="900"/>
        <w:jc w:val="both"/>
        <w:rPr>
          <w:color w:val="000000"/>
          <w:sz w:val="28"/>
          <w:szCs w:val="28"/>
          <w:lang w:val="uk-UA"/>
        </w:rPr>
      </w:pPr>
      <w:r>
        <w:rPr>
          <w:color w:val="000000"/>
          <w:sz w:val="28"/>
          <w:szCs w:val="28"/>
          <w:lang w:val="uk-UA"/>
        </w:rPr>
        <w:t xml:space="preserve">Діагноз ставився на підставі даних анамнезу, об’єктивного обстеження соматичного і неврологічного статусу пацієнтів; етіологічний чинник встановлювався за результатів вірусологічних методів дослідження – маркерів реплікативної активності герпесвірусів у крові і лікворі (ПЛР, ІФА з метою визначення IgM та IgG до герпесвірусів). Проводились бактеріоскопічні та бактеріологічні методи дослідження крові та ліквору з метою виключення бактеріальної етіології захворювання, мікст-інфекції. </w:t>
      </w:r>
    </w:p>
    <w:p w:rsidR="00AB01BA" w:rsidRDefault="00AB01BA" w:rsidP="00AB01BA">
      <w:pPr>
        <w:ind w:firstLine="900"/>
        <w:jc w:val="both"/>
        <w:rPr>
          <w:color w:val="000000"/>
          <w:sz w:val="28"/>
          <w:szCs w:val="28"/>
          <w:lang w:val="uk-UA"/>
        </w:rPr>
      </w:pPr>
      <w:r>
        <w:rPr>
          <w:color w:val="000000"/>
          <w:sz w:val="28"/>
          <w:szCs w:val="28"/>
          <w:lang w:val="uk-UA"/>
        </w:rPr>
        <w:t>Для верифікації етіологічного чинника визначали наявність фрагментів ДНК ВПГ, ЦМВ, ВЕБ, ВЗВ у сироватці крові та лікворі методом ПЛР, також визначали рівень IgM і IgG до ВПГ, ЦМВ, ВЕБ, ВЗВ у сироватці крові та лікворі методом ІФА. Встановлення діагнозу проводилось згідно з методичними рекомендаціями МОЗ України „Герпетический энцефалит у взрослых (клиника, діагностика, лечение)” В.В. Кононенко 2003 р. До гострих менінгоенцефалітів належали випадки з тривалістю хвороби до 3 міс., до підгострих – 3 – 6 міс., до хронічних – понад 6 міс (Возіанова Ж.І., 2000).</w:t>
      </w:r>
    </w:p>
    <w:p w:rsidR="00AB01BA" w:rsidRDefault="00AB01BA" w:rsidP="00AB01BA">
      <w:pPr>
        <w:ind w:firstLine="900"/>
        <w:jc w:val="both"/>
        <w:rPr>
          <w:color w:val="000000"/>
          <w:sz w:val="28"/>
          <w:szCs w:val="28"/>
          <w:lang w:val="uk-UA"/>
        </w:rPr>
      </w:pPr>
      <w:r>
        <w:rPr>
          <w:sz w:val="28"/>
          <w:szCs w:val="28"/>
          <w:lang w:val="uk-UA"/>
        </w:rPr>
        <w:t>В етіологічній структурі домінував ВПГ (62,2%), роль ЦМВ і ВЗВ була значно меншою (23,2 та 14,6% відповідно). За віком хворі розподілилися таким чином: юнаки (14-18 років) – 6 (7,3%) чол., молоді (19 – 29 років) – 42 (51%), зрілі (30 – 44 роки) – 15 (18,3%), середнього віку (45 – 59 років) – 13 (15,9%), похилого віку (60 та старше) – 6 (7,3%) чол. У</w:t>
      </w:r>
      <w:r>
        <w:rPr>
          <w:color w:val="000000"/>
          <w:sz w:val="28"/>
          <w:szCs w:val="28"/>
          <w:lang w:val="uk-UA"/>
        </w:rPr>
        <w:t xml:space="preserve"> групі хворих з середньотяжким перебігом спостерігалась більша кількість осіб молодого віку </w:t>
      </w:r>
      <w:r>
        <w:rPr>
          <w:color w:val="000000"/>
          <w:sz w:val="28"/>
          <w:szCs w:val="28"/>
          <w:lang w:val="uk-UA"/>
        </w:rPr>
        <w:sym w:font="Symbol" w:char="F02D"/>
      </w:r>
      <w:r>
        <w:rPr>
          <w:color w:val="000000"/>
          <w:sz w:val="28"/>
          <w:szCs w:val="28"/>
          <w:lang w:val="uk-UA"/>
        </w:rPr>
        <w:t xml:space="preserve"> всього 78% хворих, в той час як у групі з тяжким перебігом переважали особи старше 45 років – всього 49,9% хворих (табл. 1).</w:t>
      </w:r>
    </w:p>
    <w:p w:rsidR="00AB01BA" w:rsidRDefault="00AB01BA" w:rsidP="00AB01BA">
      <w:pPr>
        <w:pStyle w:val="affffffffc"/>
        <w:ind w:firstLine="708"/>
        <w:jc w:val="right"/>
        <w:rPr>
          <w:b/>
          <w:bCs/>
          <w:szCs w:val="28"/>
          <w:lang w:val="uk-UA"/>
        </w:rPr>
      </w:pPr>
      <w:r>
        <w:rPr>
          <w:b/>
          <w:bCs/>
          <w:szCs w:val="28"/>
          <w:lang w:val="uk-UA"/>
        </w:rPr>
        <w:t>Таблиця 1</w:t>
      </w:r>
    </w:p>
    <w:p w:rsidR="00AB01BA" w:rsidRDefault="00AB01BA" w:rsidP="00AB01BA">
      <w:pPr>
        <w:pStyle w:val="affffffffc"/>
        <w:jc w:val="center"/>
        <w:rPr>
          <w:b/>
          <w:bCs/>
          <w:lang w:val="uk-UA"/>
        </w:rPr>
      </w:pPr>
      <w:r>
        <w:rPr>
          <w:b/>
          <w:bCs/>
          <w:szCs w:val="28"/>
          <w:lang w:val="uk-UA"/>
        </w:rPr>
        <w:t>Розподіл хворих за віком і статтю по групах</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20"/>
        <w:gridCol w:w="1080"/>
        <w:gridCol w:w="664"/>
        <w:gridCol w:w="596"/>
        <w:gridCol w:w="756"/>
        <w:gridCol w:w="756"/>
        <w:gridCol w:w="756"/>
        <w:gridCol w:w="756"/>
        <w:gridCol w:w="756"/>
        <w:gridCol w:w="1260"/>
      </w:tblGrid>
      <w:tr w:rsidR="00AB01BA" w:rsidTr="005F7006">
        <w:tblPrEx>
          <w:tblCellMar>
            <w:top w:w="0" w:type="dxa"/>
            <w:bottom w:w="0" w:type="dxa"/>
          </w:tblCellMar>
        </w:tblPrEx>
        <w:trPr>
          <w:cantSplit/>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Група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1"/>
              <w:keepNext w:val="0"/>
              <w:widowControl w:val="0"/>
              <w:rPr>
                <w:color w:val="000000"/>
                <w:sz w:val="24"/>
                <w:szCs w:val="24"/>
              </w:rPr>
            </w:pPr>
            <w:r>
              <w:rPr>
                <w:color w:val="000000"/>
                <w:sz w:val="24"/>
                <w:szCs w:val="24"/>
              </w:rPr>
              <w:t>Усього</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1"/>
              <w:keepNext w:val="0"/>
              <w:widowControl w:val="0"/>
              <w:rPr>
                <w:color w:val="000000"/>
                <w:sz w:val="24"/>
                <w:szCs w:val="24"/>
              </w:rPr>
            </w:pPr>
            <w:r>
              <w:rPr>
                <w:color w:val="000000"/>
                <w:sz w:val="24"/>
                <w:szCs w:val="24"/>
              </w:rPr>
              <w:t>Стать</w:t>
            </w:r>
          </w:p>
        </w:tc>
        <w:tc>
          <w:tcPr>
            <w:tcW w:w="5040" w:type="dxa"/>
            <w:gridSpan w:val="6"/>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Вік (роки)</w:t>
            </w:r>
          </w:p>
        </w:tc>
      </w:tr>
      <w:tr w:rsidR="00AB01BA" w:rsidTr="005F7006">
        <w:tblPrEx>
          <w:tblCellMar>
            <w:top w:w="0" w:type="dxa"/>
            <w:bottom w:w="0" w:type="dxa"/>
          </w:tblCellMar>
        </w:tblPrEx>
        <w:trPr>
          <w:cantSplit/>
        </w:trPr>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p>
        </w:tc>
        <w:tc>
          <w:tcPr>
            <w:tcW w:w="66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ч.</w:t>
            </w:r>
          </w:p>
        </w:tc>
        <w:tc>
          <w:tcPr>
            <w:tcW w:w="59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ж.</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14 –18</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19 –29</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30 –44</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45 –59</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60 &gt;</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середній показник</w:t>
            </w:r>
          </w:p>
        </w:tc>
      </w:tr>
      <w:tr w:rsidR="00AB01BA" w:rsidTr="005F7006">
        <w:tblPrEx>
          <w:tblCellMar>
            <w:top w:w="0" w:type="dxa"/>
            <w:bottom w:w="0" w:type="dxa"/>
          </w:tblCellMar>
        </w:tblPrEx>
        <w:trPr>
          <w:cantSplit/>
          <w:trHeight w:val="55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rPr>
                <w:b/>
                <w:bCs/>
                <w:color w:val="000000"/>
                <w:lang w:val="uk-UA"/>
              </w:rPr>
            </w:pPr>
            <w:r>
              <w:rPr>
                <w:b/>
                <w:bCs/>
                <w:color w:val="000000"/>
                <w:lang w:val="uk-UA"/>
              </w:rPr>
              <w:lastRenderedPageBreak/>
              <w:t xml:space="preserve">Перша група </w:t>
            </w:r>
          </w:p>
        </w:tc>
        <w:tc>
          <w:tcPr>
            <w:tcW w:w="72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абс. ч.</w:t>
            </w:r>
          </w:p>
        </w:tc>
        <w:tc>
          <w:tcPr>
            <w:tcW w:w="108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50</w:t>
            </w:r>
          </w:p>
        </w:tc>
        <w:tc>
          <w:tcPr>
            <w:tcW w:w="66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28</w:t>
            </w:r>
          </w:p>
        </w:tc>
        <w:tc>
          <w:tcPr>
            <w:tcW w:w="59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22</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4</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35</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8</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3</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24,2±1,1</w:t>
            </w:r>
          </w:p>
        </w:tc>
      </w:tr>
      <w:tr w:rsidR="00AB01BA" w:rsidTr="005F7006">
        <w:tblPrEx>
          <w:tblCellMar>
            <w:top w:w="0" w:type="dxa"/>
            <w:bottom w:w="0" w:type="dxa"/>
          </w:tblCellMar>
        </w:tblPrEx>
        <w:trPr>
          <w:cantSplit/>
          <w:trHeight w:val="555"/>
        </w:trPr>
        <w:tc>
          <w:tcPr>
            <w:tcW w:w="1080" w:type="dxa"/>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rPr>
                <w:b/>
                <w:bCs/>
                <w:color w:val="000000"/>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100</w:t>
            </w:r>
          </w:p>
        </w:tc>
        <w:tc>
          <w:tcPr>
            <w:tcW w:w="66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56,8</w:t>
            </w:r>
          </w:p>
        </w:tc>
        <w:tc>
          <w:tcPr>
            <w:tcW w:w="59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43,2</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7,84</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70,6</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15,7</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5,86</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w:t>
            </w:r>
          </w:p>
          <w:p w:rsidR="00AB01BA" w:rsidRDefault="00AB01BA" w:rsidP="005F7006">
            <w:pPr>
              <w:widowControl w:val="0"/>
              <w:jc w:val="center"/>
              <w:rPr>
                <w:b/>
                <w:bCs/>
                <w:color w:val="000000"/>
                <w:lang w:val="uk-UA"/>
              </w:rPr>
            </w:pPr>
          </w:p>
        </w:tc>
      </w:tr>
      <w:tr w:rsidR="00AB01BA" w:rsidTr="005F7006">
        <w:tblPrEx>
          <w:tblCellMar>
            <w:top w:w="0" w:type="dxa"/>
            <w:bottom w:w="0" w:type="dxa"/>
          </w:tblCellMar>
        </w:tblPrEx>
        <w:trPr>
          <w:cantSplit/>
          <w:trHeight w:val="55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rPr>
                <w:b/>
                <w:bCs/>
                <w:color w:val="000000"/>
                <w:lang w:val="uk-UA"/>
              </w:rPr>
            </w:pPr>
            <w:r>
              <w:rPr>
                <w:b/>
                <w:bCs/>
                <w:color w:val="000000"/>
                <w:lang w:val="uk-UA"/>
              </w:rPr>
              <w:t xml:space="preserve">Друга група </w:t>
            </w:r>
          </w:p>
        </w:tc>
        <w:tc>
          <w:tcPr>
            <w:tcW w:w="72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абс. ч.</w:t>
            </w:r>
          </w:p>
        </w:tc>
        <w:tc>
          <w:tcPr>
            <w:tcW w:w="108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32</w:t>
            </w:r>
          </w:p>
        </w:tc>
        <w:tc>
          <w:tcPr>
            <w:tcW w:w="66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17</w:t>
            </w:r>
          </w:p>
        </w:tc>
        <w:tc>
          <w:tcPr>
            <w:tcW w:w="59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15</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2</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7</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7</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10</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6</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44,9±2,4</w:t>
            </w:r>
          </w:p>
        </w:tc>
      </w:tr>
      <w:tr w:rsidR="00AB01BA" w:rsidTr="005F7006">
        <w:tblPrEx>
          <w:tblCellMar>
            <w:top w:w="0" w:type="dxa"/>
            <w:bottom w:w="0" w:type="dxa"/>
          </w:tblCellMar>
        </w:tblPrEx>
        <w:trPr>
          <w:cantSplit/>
          <w:trHeight w:val="555"/>
        </w:trPr>
        <w:tc>
          <w:tcPr>
            <w:tcW w:w="1080" w:type="dxa"/>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both"/>
              <w:rPr>
                <w:b/>
                <w:bCs/>
                <w:color w:val="000000"/>
                <w:sz w:val="28"/>
                <w:szCs w:val="28"/>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100</w:t>
            </w:r>
          </w:p>
        </w:tc>
        <w:tc>
          <w:tcPr>
            <w:tcW w:w="66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56</w:t>
            </w:r>
          </w:p>
        </w:tc>
        <w:tc>
          <w:tcPr>
            <w:tcW w:w="59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44</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6,25</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21,9</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21,9</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31,2</w:t>
            </w:r>
          </w:p>
        </w:tc>
        <w:tc>
          <w:tcPr>
            <w:tcW w:w="75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18,7</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widowControl w:val="0"/>
              <w:jc w:val="center"/>
              <w:rPr>
                <w:b/>
                <w:bCs/>
                <w:color w:val="000000"/>
                <w:lang w:val="uk-UA"/>
              </w:rPr>
            </w:pPr>
            <w:r>
              <w:rPr>
                <w:b/>
                <w:bCs/>
                <w:color w:val="000000"/>
                <w:lang w:val="uk-UA"/>
              </w:rPr>
              <w:t>–</w:t>
            </w:r>
          </w:p>
        </w:tc>
      </w:tr>
    </w:tbl>
    <w:p w:rsidR="00AB01BA" w:rsidRDefault="00AB01BA" w:rsidP="00AB01BA">
      <w:pPr>
        <w:widowControl w:val="0"/>
        <w:ind w:firstLine="900"/>
        <w:jc w:val="both"/>
        <w:rPr>
          <w:sz w:val="28"/>
          <w:szCs w:val="28"/>
          <w:lang w:val="uk-UA"/>
        </w:rPr>
      </w:pPr>
    </w:p>
    <w:p w:rsidR="00AB01BA" w:rsidRDefault="00AB01BA" w:rsidP="00AB01BA">
      <w:pPr>
        <w:widowControl w:val="0"/>
        <w:ind w:firstLine="900"/>
        <w:jc w:val="both"/>
        <w:rPr>
          <w:sz w:val="28"/>
          <w:szCs w:val="28"/>
          <w:lang w:val="uk-UA"/>
        </w:rPr>
      </w:pPr>
      <w:r>
        <w:rPr>
          <w:sz w:val="28"/>
          <w:szCs w:val="28"/>
          <w:lang w:val="uk-UA"/>
        </w:rPr>
        <w:t xml:space="preserve">Чоловіків серед хворих було 45 (54,9%), жінок – 37 (45,1%). Згідно завдань дослідження хворі були розподілені на 2 групи – хворі на гострий герпесвірусний менінгоенцефаліт середньої тяжкості – 50 (61%) хворих, та тяжкого перебігу – 32 (39%) хворих. Легкого перебігу хвороби зареєстровано не було. Статистично достовірної залежності тяжкості хвороби від етіологічного чинника не встановлено (р&gt;0,05). </w:t>
      </w:r>
    </w:p>
    <w:p w:rsidR="00AB01BA" w:rsidRDefault="00AB01BA" w:rsidP="00AB01BA">
      <w:pPr>
        <w:ind w:firstLine="900"/>
        <w:jc w:val="both"/>
        <w:rPr>
          <w:color w:val="000000"/>
          <w:sz w:val="28"/>
          <w:szCs w:val="28"/>
          <w:lang w:val="uk-UA"/>
        </w:rPr>
      </w:pPr>
      <w:r>
        <w:rPr>
          <w:color w:val="000000"/>
          <w:sz w:val="28"/>
          <w:szCs w:val="28"/>
          <w:lang w:val="uk-UA"/>
        </w:rPr>
        <w:t>Оцінку стану імунітету хворих на ГГМЕ проводили в 1-шу добу надходження до стаціонару та через 21 добу після початку лікування. Були обстежені 50 хворих із середньотяжким і 32 з тяжким перебігом захворювання. Групу контролю склали 20 практично здорових донорів у віці 25 – 67 (41,1±2,2) років.</w:t>
      </w:r>
    </w:p>
    <w:p w:rsidR="00AB01BA" w:rsidRDefault="00AB01BA" w:rsidP="00AB01BA">
      <w:pPr>
        <w:ind w:firstLine="900"/>
        <w:jc w:val="both"/>
        <w:rPr>
          <w:color w:val="000000"/>
          <w:sz w:val="28"/>
          <w:szCs w:val="28"/>
          <w:lang w:val="uk-UA"/>
        </w:rPr>
      </w:pPr>
      <w:r>
        <w:rPr>
          <w:color w:val="000000"/>
          <w:sz w:val="28"/>
          <w:szCs w:val="28"/>
          <w:lang w:val="uk-UA"/>
        </w:rPr>
        <w:t xml:space="preserve">Лейкоцитарну формулу оцінювали за загально прийнятими лабораторними методами. Матеріалом дослідження служили кров і ліквор. Імунологічні методи використовували згідно з рекомендаціями Першого національного конгресу імунологів і алергологів України. Вміст рівень цитокінів – IL-1, IL-4, IL-10, TNF-α, INF-γ у крові та лікворі визначали імуноферментним методом з використанням набору «Вектор ВЕСТ» (Новосибірськ, Росія) та імуноферментного аналізатора Stat Fax (CША). Вміст цитокінів виражали у пг/мл. </w:t>
      </w:r>
    </w:p>
    <w:p w:rsidR="00AB01BA" w:rsidRDefault="00AB01BA" w:rsidP="00AB01BA">
      <w:pPr>
        <w:ind w:firstLine="900"/>
        <w:jc w:val="both"/>
        <w:rPr>
          <w:color w:val="000000"/>
          <w:sz w:val="28"/>
          <w:szCs w:val="28"/>
          <w:lang w:val="uk-UA"/>
        </w:rPr>
      </w:pPr>
      <w:r>
        <w:rPr>
          <w:color w:val="000000"/>
          <w:sz w:val="28"/>
          <w:szCs w:val="28"/>
          <w:lang w:val="uk-UA"/>
        </w:rPr>
        <w:t>Рівень ЦІК у сироватці крові визначали в одиницях оптичної щільності.</w:t>
      </w:r>
    </w:p>
    <w:p w:rsidR="00AB01BA" w:rsidRDefault="00AB01BA" w:rsidP="00AB01BA">
      <w:pPr>
        <w:ind w:firstLine="900"/>
        <w:jc w:val="both"/>
        <w:rPr>
          <w:color w:val="000000"/>
          <w:sz w:val="28"/>
          <w:szCs w:val="28"/>
          <w:lang w:val="uk-UA"/>
        </w:rPr>
      </w:pPr>
      <w:r>
        <w:rPr>
          <w:color w:val="000000"/>
          <w:sz w:val="28"/>
          <w:szCs w:val="28"/>
          <w:lang w:val="uk-UA"/>
        </w:rPr>
        <w:t>Комплементарну</w:t>
      </w:r>
      <w:r>
        <w:rPr>
          <w:b/>
          <w:bCs/>
          <w:color w:val="000000"/>
          <w:sz w:val="28"/>
          <w:szCs w:val="28"/>
          <w:lang w:val="uk-UA"/>
        </w:rPr>
        <w:t xml:space="preserve"> </w:t>
      </w:r>
      <w:r>
        <w:rPr>
          <w:color w:val="000000"/>
          <w:sz w:val="28"/>
          <w:szCs w:val="28"/>
          <w:lang w:val="uk-UA"/>
        </w:rPr>
        <w:t>активність</w:t>
      </w:r>
      <w:r>
        <w:rPr>
          <w:b/>
          <w:bCs/>
          <w:color w:val="000000"/>
          <w:sz w:val="28"/>
          <w:szCs w:val="28"/>
          <w:lang w:val="uk-UA"/>
        </w:rPr>
        <w:t xml:space="preserve"> </w:t>
      </w:r>
      <w:r>
        <w:rPr>
          <w:color w:val="000000"/>
          <w:sz w:val="28"/>
          <w:szCs w:val="28"/>
          <w:lang w:val="uk-UA"/>
        </w:rPr>
        <w:t>сиворотки оцінювали за 50%-вим гемолізом еритроцитів барана в присутності гомологічних антитіл. Використовували класичний метод визначення фагоцитарної активності, що включає визначення фагоцитарного числа (кількість фагоцитуючих клітин до 100 лейкоцитів) і фагоцитарного індексу (кількість захоплених клітин цілей на один фагоцитуючий лімфоцит-моноцит), а також визначення інших фагоцитуючих клітин крові у тесті поглинання часток латексу. Як об’єкт фагоцитозу використовували чистинки латексу з діаметром 1,1 мкм (Serva, Німеччина). Використовували також і показник відносної активації фагоцитозу при визначенні кисневого вибуху, при активації фагоцитуючих клітин частками латексу та люмінолозалежної хемілюмінесценції до та після активації на хемілюмінометрі ХМЛЦ-0,1 (Україна). Визначали коефіцієнт активації фагоцитів.</w:t>
      </w:r>
    </w:p>
    <w:p w:rsidR="00AB01BA" w:rsidRDefault="00AB01BA" w:rsidP="00AB01BA">
      <w:pPr>
        <w:ind w:firstLine="907"/>
        <w:jc w:val="both"/>
        <w:rPr>
          <w:color w:val="000000"/>
          <w:sz w:val="28"/>
          <w:szCs w:val="28"/>
          <w:lang w:val="uk-UA"/>
        </w:rPr>
      </w:pPr>
      <w:r>
        <w:rPr>
          <w:color w:val="000000"/>
          <w:sz w:val="28"/>
          <w:szCs w:val="28"/>
          <w:lang w:val="uk-UA"/>
        </w:rPr>
        <w:t>Для кількісної характеристики популяції лімфоцитів використовували метод моноклональних антитіл і мікроскопічну люмінесцентну техніку. Використовували мікроскопічний люмінесцентний метод з моноклональними антитілами фірми «Медбиоспектр» (Москва, РФ). Кількісну характеристику субпопуляцій імунокомпетентних клітин оцінювали за поверхневими антигенами типу CD, при цьому визначали СD3+ (Т- лімфоцити), CD4+ (Т-лімфоцити-помічники), CD8+ (кілери/супресори), CD16+ (натуральні кілери), CD19+ (В-</w:t>
      </w:r>
      <w:r>
        <w:rPr>
          <w:color w:val="000000"/>
          <w:sz w:val="28"/>
          <w:szCs w:val="28"/>
          <w:lang w:val="uk-UA"/>
        </w:rPr>
        <w:lastRenderedPageBreak/>
        <w:t xml:space="preserve">лімфоцити). Вміст у сироватці крові імуноглобулінів класів М, G, A визначали методом радіальної імунодифузії в гелі за Mancini (1965) у модифікації Simmons (1971). Використовували реактиви російського виробництва. Концентрацію імуноглобулінів розраховували згідно з рекомендаціями О.Ф. Мельникова (1991) з урахуванням  методичних поправок для зони низьких концентрацій. </w:t>
      </w:r>
    </w:p>
    <w:p w:rsidR="00AB01BA" w:rsidRDefault="00AB01BA" w:rsidP="00AB01BA">
      <w:pPr>
        <w:ind w:firstLine="900"/>
        <w:jc w:val="both"/>
        <w:rPr>
          <w:sz w:val="28"/>
          <w:szCs w:val="28"/>
          <w:lang w:val="uk-UA"/>
        </w:rPr>
      </w:pPr>
      <w:r>
        <w:rPr>
          <w:sz w:val="28"/>
          <w:szCs w:val="28"/>
          <w:lang w:val="uk-UA"/>
        </w:rPr>
        <w:t xml:space="preserve">Клінічну ефективність комплексного лікування хворих визначали оцінюючи перебіг і наслідки інфекційного процесу, динаміку клінічних та лабораторних показників. </w:t>
      </w:r>
    </w:p>
    <w:p w:rsidR="00AB01BA" w:rsidRDefault="00AB01BA" w:rsidP="00AB01BA">
      <w:pPr>
        <w:ind w:firstLine="900"/>
        <w:jc w:val="both"/>
        <w:rPr>
          <w:sz w:val="28"/>
          <w:szCs w:val="28"/>
          <w:lang w:val="uk-UA"/>
        </w:rPr>
      </w:pPr>
      <w:r>
        <w:rPr>
          <w:sz w:val="28"/>
          <w:szCs w:val="28"/>
          <w:lang w:val="uk-UA"/>
        </w:rPr>
        <w:t>Обробку</w:t>
      </w:r>
      <w:r>
        <w:rPr>
          <w:sz w:val="28"/>
          <w:szCs w:val="28"/>
        </w:rPr>
        <w:t xml:space="preserve"> </w:t>
      </w:r>
      <w:r>
        <w:rPr>
          <w:sz w:val="28"/>
          <w:szCs w:val="28"/>
          <w:lang w:val="uk-UA"/>
        </w:rPr>
        <w:t>цифрових</w:t>
      </w:r>
      <w:r>
        <w:rPr>
          <w:sz w:val="28"/>
          <w:szCs w:val="28"/>
        </w:rPr>
        <w:t xml:space="preserve"> </w:t>
      </w:r>
      <w:r>
        <w:rPr>
          <w:sz w:val="28"/>
          <w:szCs w:val="28"/>
          <w:lang w:val="uk-UA"/>
        </w:rPr>
        <w:t>показників</w:t>
      </w:r>
      <w:r>
        <w:rPr>
          <w:sz w:val="28"/>
          <w:szCs w:val="28"/>
        </w:rPr>
        <w:t xml:space="preserve"> </w:t>
      </w:r>
      <w:r>
        <w:rPr>
          <w:sz w:val="28"/>
          <w:szCs w:val="28"/>
          <w:lang w:val="uk-UA"/>
        </w:rPr>
        <w:t>здійсню</w:t>
      </w:r>
      <w:r>
        <w:rPr>
          <w:sz w:val="28"/>
          <w:szCs w:val="28"/>
        </w:rPr>
        <w:t xml:space="preserve">вали </w:t>
      </w:r>
      <w:r>
        <w:rPr>
          <w:sz w:val="28"/>
          <w:szCs w:val="28"/>
          <w:lang w:val="uk-UA"/>
        </w:rPr>
        <w:t>варіаційно</w:t>
      </w:r>
      <w:r>
        <w:rPr>
          <w:sz w:val="28"/>
          <w:szCs w:val="28"/>
        </w:rPr>
        <w:t>-статистични</w:t>
      </w:r>
      <w:r>
        <w:rPr>
          <w:sz w:val="28"/>
          <w:szCs w:val="28"/>
          <w:lang w:val="uk-UA"/>
        </w:rPr>
        <w:t xml:space="preserve">м </w:t>
      </w:r>
      <w:r>
        <w:rPr>
          <w:sz w:val="28"/>
          <w:szCs w:val="28"/>
        </w:rPr>
        <w:t>метод</w:t>
      </w:r>
      <w:r>
        <w:rPr>
          <w:sz w:val="28"/>
          <w:szCs w:val="28"/>
          <w:lang w:val="uk-UA"/>
        </w:rPr>
        <w:t xml:space="preserve">ом з використанням </w:t>
      </w:r>
      <w:r>
        <w:rPr>
          <w:sz w:val="28"/>
          <w:szCs w:val="28"/>
          <w:lang w:val="en-US"/>
        </w:rPr>
        <w:t>t</w:t>
      </w:r>
      <w:r>
        <w:rPr>
          <w:sz w:val="28"/>
          <w:szCs w:val="28"/>
          <w:lang w:val="uk-UA"/>
        </w:rPr>
        <w:t xml:space="preserve">-критерію Ст’юдента. </w:t>
      </w:r>
    </w:p>
    <w:p w:rsidR="00AB01BA" w:rsidRDefault="00AB01BA" w:rsidP="00AB01BA">
      <w:pPr>
        <w:ind w:firstLine="900"/>
        <w:jc w:val="both"/>
        <w:rPr>
          <w:color w:val="000000"/>
          <w:sz w:val="28"/>
          <w:szCs w:val="28"/>
          <w:lang w:val="uk-UA"/>
        </w:rPr>
      </w:pPr>
      <w:r>
        <w:rPr>
          <w:b/>
          <w:bCs/>
          <w:color w:val="000000"/>
          <w:sz w:val="28"/>
          <w:szCs w:val="28"/>
          <w:lang w:val="uk-UA"/>
        </w:rPr>
        <w:t xml:space="preserve">Результати дослідження та їх обговорення. </w:t>
      </w:r>
      <w:r>
        <w:rPr>
          <w:color w:val="000000"/>
          <w:sz w:val="28"/>
          <w:szCs w:val="28"/>
          <w:lang w:val="uk-UA"/>
        </w:rPr>
        <w:t xml:space="preserve">Як показали спостереження, у 88,7% хворих на гострі герпесвірусні менінгоенцефаліти захворювання розвивалось гостро, іноді раптово (упродовж декількох годин). У 57,1% наших пацієнтів захворювання виникало після дії неспецифічного фактора (переохолодження, перевтома, гострі респіраторні захворювання, перенесені за 3 – 4 тижні до даної хвороби), що негативно впливало на загальну реактивність організму та пригнічувало імунну систему. У той же час у 42,9% хворих таких негативних факторів не було виявлено. </w:t>
      </w:r>
    </w:p>
    <w:p w:rsidR="00AB01BA" w:rsidRDefault="00AB01BA" w:rsidP="00AB01BA">
      <w:pPr>
        <w:tabs>
          <w:tab w:val="left" w:pos="720"/>
        </w:tabs>
        <w:ind w:firstLine="900"/>
        <w:jc w:val="both"/>
        <w:rPr>
          <w:color w:val="000000"/>
          <w:sz w:val="28"/>
          <w:szCs w:val="28"/>
        </w:rPr>
      </w:pPr>
      <w:r>
        <w:rPr>
          <w:color w:val="000000"/>
          <w:sz w:val="28"/>
          <w:szCs w:val="28"/>
          <w:lang w:val="uk-UA"/>
        </w:rPr>
        <w:t xml:space="preserve">Тяжкість захворювання була зумовлена ступенем інтоксикації, порушенням свідомості, вираженістю неврологічної симптоматики, розвитком ускладнень. Клінічні прояви гострих герпесвірусних менінгоенцефалітів характеризувалися проявами інтоксикації, незначною виразністю менінгеального синдрому і поліморфізмом неврологічної симптоматики з явищами ураження речовини головного мозку. У всіх хворих домінували симптоми ураження кіркового та субкортикального слоїв речовини головного мозку. Взаємозв'язку між наявністю типового герпетичного висипу і ураженням ЦНС виявлено не було. </w:t>
      </w:r>
    </w:p>
    <w:p w:rsidR="00AB01BA" w:rsidRDefault="00AB01BA" w:rsidP="00AB01BA">
      <w:pPr>
        <w:ind w:firstLine="900"/>
        <w:jc w:val="both"/>
        <w:rPr>
          <w:color w:val="000000"/>
          <w:sz w:val="28"/>
          <w:szCs w:val="28"/>
          <w:lang w:val="uk-UA"/>
        </w:rPr>
      </w:pPr>
      <w:r>
        <w:rPr>
          <w:color w:val="000000"/>
          <w:sz w:val="28"/>
          <w:szCs w:val="28"/>
          <w:lang w:val="uk-UA"/>
        </w:rPr>
        <w:t xml:space="preserve">При надходженні до стаціонару 68% хворих першої групи скаржилися на підвищення температури тіла до субфебрильних цифр, до фебрильних цифр температура тіла підвищувалась у 32% хворих; головний біль відмічався у 100% хворих, у 85% - головний біль локалізувався в лобно-скроневих ділянках. Нудота спостерігалась у 86 хворих, блювота – у 80%. </w:t>
      </w:r>
    </w:p>
    <w:p w:rsidR="00AB01BA" w:rsidRDefault="00AB01BA" w:rsidP="00AB01BA">
      <w:pPr>
        <w:pStyle w:val="1"/>
        <w:jc w:val="right"/>
        <w:rPr>
          <w:color w:val="000000"/>
        </w:rPr>
      </w:pPr>
      <w:r>
        <w:rPr>
          <w:color w:val="000000"/>
        </w:rPr>
        <w:t>Таблиця 2</w:t>
      </w:r>
    </w:p>
    <w:p w:rsidR="00AB01BA" w:rsidRDefault="00AB01BA" w:rsidP="00AB01BA">
      <w:pPr>
        <w:pStyle w:val="affffffffc"/>
        <w:jc w:val="center"/>
        <w:rPr>
          <w:b/>
          <w:bCs/>
          <w:color w:val="000000"/>
          <w:szCs w:val="28"/>
          <w:lang w:val="uk-UA"/>
        </w:rPr>
      </w:pPr>
      <w:r>
        <w:rPr>
          <w:b/>
          <w:bCs/>
          <w:color w:val="000000"/>
          <w:szCs w:val="28"/>
          <w:lang w:val="uk-UA"/>
        </w:rPr>
        <w:t>Основні симптоми і синдроми у хворих на гострі герпесвірусні менінгоенцефаліти в гострому періоді захворювання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260"/>
        <w:gridCol w:w="1191"/>
        <w:gridCol w:w="1224"/>
        <w:gridCol w:w="1575"/>
      </w:tblGrid>
      <w:tr w:rsidR="00AB01BA" w:rsidTr="005F7006">
        <w:trPr>
          <w:cantSplit/>
        </w:trPr>
        <w:tc>
          <w:tcPr>
            <w:tcW w:w="3960" w:type="dxa"/>
            <w:gridSpan w:val="2"/>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both"/>
              <w:rPr>
                <w:b/>
                <w:bCs/>
                <w:color w:val="000000"/>
                <w:lang w:val="uk-UA"/>
              </w:rPr>
            </w:pPr>
            <w:r>
              <w:rPr>
                <w:b/>
                <w:bCs/>
                <w:color w:val="000000"/>
                <w:lang w:val="uk-UA"/>
              </w:rPr>
              <w:t>Симптоми/синдроми</w:t>
            </w:r>
          </w:p>
        </w:tc>
        <w:tc>
          <w:tcPr>
            <w:tcW w:w="2451"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1-ша група</w:t>
            </w:r>
          </w:p>
          <w:p w:rsidR="00AB01BA" w:rsidRDefault="00AB01BA" w:rsidP="005F7006">
            <w:pPr>
              <w:jc w:val="both"/>
              <w:rPr>
                <w:b/>
                <w:bCs/>
                <w:color w:val="000000"/>
                <w:lang w:val="uk-UA"/>
              </w:rPr>
            </w:pPr>
            <w:r>
              <w:rPr>
                <w:b/>
                <w:bCs/>
                <w:color w:val="000000"/>
                <w:lang w:val="uk-UA"/>
              </w:rPr>
              <w:t>(Середньотяжкий</w:t>
            </w:r>
          </w:p>
          <w:p w:rsidR="00AB01BA" w:rsidRDefault="00AB01BA" w:rsidP="005F7006">
            <w:pPr>
              <w:pStyle w:val="38"/>
              <w:jc w:val="center"/>
              <w:rPr>
                <w:b/>
                <w:bCs/>
                <w:color w:val="000000"/>
                <w:szCs w:val="24"/>
                <w:lang w:val="uk-UA"/>
              </w:rPr>
            </w:pPr>
            <w:r>
              <w:rPr>
                <w:b/>
                <w:bCs/>
                <w:color w:val="000000"/>
                <w:szCs w:val="24"/>
                <w:lang w:val="uk-UA"/>
              </w:rPr>
              <w:t>перебіг, n=50)</w:t>
            </w:r>
          </w:p>
        </w:tc>
        <w:tc>
          <w:tcPr>
            <w:tcW w:w="2799"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2-га група</w:t>
            </w:r>
          </w:p>
          <w:p w:rsidR="00AB01BA" w:rsidRDefault="00AB01BA" w:rsidP="005F7006">
            <w:pPr>
              <w:jc w:val="center"/>
              <w:rPr>
                <w:b/>
                <w:bCs/>
                <w:color w:val="000000"/>
                <w:lang w:val="uk-UA"/>
              </w:rPr>
            </w:pPr>
            <w:r>
              <w:rPr>
                <w:b/>
                <w:bCs/>
                <w:color w:val="000000"/>
                <w:lang w:val="uk-UA"/>
              </w:rPr>
              <w:t>(Тяжкий</w:t>
            </w:r>
          </w:p>
          <w:p w:rsidR="00AB01BA" w:rsidRDefault="00AB01BA" w:rsidP="005F7006">
            <w:pPr>
              <w:pStyle w:val="38"/>
              <w:rPr>
                <w:b/>
                <w:bCs/>
                <w:color w:val="000000"/>
                <w:szCs w:val="24"/>
                <w:lang w:val="uk-UA"/>
              </w:rPr>
            </w:pPr>
            <w:r>
              <w:rPr>
                <w:b/>
                <w:bCs/>
                <w:color w:val="000000"/>
                <w:szCs w:val="24"/>
                <w:lang w:val="uk-UA"/>
              </w:rPr>
              <w:t>перебіг, n=32)</w:t>
            </w:r>
          </w:p>
        </w:tc>
      </w:tr>
      <w:tr w:rsidR="00AB01BA" w:rsidTr="005F7006">
        <w:trPr>
          <w:cantSplit/>
        </w:trPr>
        <w:tc>
          <w:tcPr>
            <w:tcW w:w="3960" w:type="dxa"/>
            <w:gridSpan w:val="2"/>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both"/>
              <w:rPr>
                <w:b/>
                <w:bCs/>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абс. ч.</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абс. ч.</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w:t>
            </w:r>
          </w:p>
        </w:tc>
      </w:tr>
      <w:tr w:rsidR="00AB01BA" w:rsidTr="005F7006">
        <w:tc>
          <w:tcPr>
            <w:tcW w:w="3960"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Астенічний синдром</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50</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100</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firstLine="11"/>
              <w:jc w:val="center"/>
              <w:rPr>
                <w:b/>
                <w:bCs/>
                <w:color w:val="000000"/>
              </w:rPr>
            </w:pPr>
            <w:r>
              <w:rPr>
                <w:b/>
                <w:bCs/>
                <w:color w:val="000000"/>
              </w:rPr>
              <w:t>50</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83" w:right="-109" w:firstLine="11"/>
              <w:jc w:val="center"/>
              <w:rPr>
                <w:b/>
                <w:bCs/>
                <w:color w:val="000000"/>
              </w:rPr>
            </w:pPr>
            <w:r>
              <w:rPr>
                <w:b/>
                <w:bCs/>
                <w:color w:val="000000"/>
              </w:rPr>
              <w:t>100</w:t>
            </w:r>
          </w:p>
        </w:tc>
      </w:tr>
      <w:tr w:rsidR="00AB01BA" w:rsidTr="005F7006">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Загально мозкові симптоми:</w:t>
            </w: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головний біль</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50</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100</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firstLine="11"/>
              <w:jc w:val="center"/>
              <w:rPr>
                <w:b/>
                <w:bCs/>
                <w:color w:val="000000"/>
              </w:rPr>
            </w:pPr>
            <w:r>
              <w:rPr>
                <w:b/>
                <w:bCs/>
                <w:color w:val="000000"/>
              </w:rPr>
              <w:t>32</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83" w:right="-109" w:firstLine="11"/>
              <w:jc w:val="center"/>
              <w:rPr>
                <w:b/>
                <w:bCs/>
                <w:color w:val="000000"/>
              </w:rPr>
            </w:pPr>
            <w:r>
              <w:rPr>
                <w:b/>
                <w:bCs/>
                <w:color w:val="000000"/>
              </w:rPr>
              <w:t>100</w:t>
            </w:r>
          </w:p>
        </w:tc>
      </w:tr>
      <w:tr w:rsidR="00AB01BA" w:rsidTr="005F7006">
        <w:trPr>
          <w:cantSplit/>
        </w:trPr>
        <w:tc>
          <w:tcPr>
            <w:tcW w:w="1980" w:type="dxa"/>
            <w:vMerge/>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гіперакузія</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5</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10</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39" w:right="-109" w:firstLine="11"/>
              <w:jc w:val="center"/>
              <w:rPr>
                <w:b/>
                <w:bCs/>
                <w:color w:val="000000"/>
                <w:szCs w:val="24"/>
                <w:lang w:val="uk-UA"/>
              </w:rPr>
            </w:pPr>
            <w:r>
              <w:rPr>
                <w:b/>
                <w:bCs/>
                <w:color w:val="000000"/>
                <w:szCs w:val="24"/>
                <w:lang w:val="uk-UA"/>
              </w:rPr>
              <w:t>3</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83" w:right="-109" w:firstLine="11"/>
              <w:jc w:val="center"/>
              <w:rPr>
                <w:b/>
                <w:bCs/>
                <w:color w:val="000000"/>
                <w:szCs w:val="24"/>
                <w:lang w:val="uk-UA"/>
              </w:rPr>
            </w:pPr>
            <w:r>
              <w:rPr>
                <w:b/>
                <w:bCs/>
                <w:color w:val="000000"/>
                <w:szCs w:val="24"/>
                <w:lang w:val="uk-UA"/>
              </w:rPr>
              <w:t>9,4</w:t>
            </w:r>
          </w:p>
        </w:tc>
      </w:tr>
      <w:tr w:rsidR="00AB01BA" w:rsidTr="005F7006">
        <w:trPr>
          <w:cantSplit/>
        </w:trPr>
        <w:tc>
          <w:tcPr>
            <w:tcW w:w="1980" w:type="dxa"/>
            <w:vMerge/>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світлобоязнь</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32</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64</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39" w:right="-109" w:firstLine="11"/>
              <w:jc w:val="center"/>
              <w:rPr>
                <w:b/>
                <w:bCs/>
                <w:color w:val="000000"/>
                <w:szCs w:val="24"/>
                <w:lang w:val="uk-UA"/>
              </w:rPr>
            </w:pPr>
            <w:r>
              <w:rPr>
                <w:b/>
                <w:bCs/>
                <w:color w:val="000000"/>
                <w:szCs w:val="24"/>
                <w:lang w:val="uk-UA"/>
              </w:rPr>
              <w:t>17</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83" w:right="-109" w:firstLine="11"/>
              <w:jc w:val="center"/>
              <w:rPr>
                <w:b/>
                <w:bCs/>
                <w:color w:val="000000"/>
                <w:szCs w:val="24"/>
                <w:lang w:val="uk-UA"/>
              </w:rPr>
            </w:pPr>
            <w:r>
              <w:rPr>
                <w:b/>
                <w:bCs/>
                <w:color w:val="000000"/>
                <w:szCs w:val="24"/>
                <w:lang w:val="uk-UA"/>
              </w:rPr>
              <w:t>53</w:t>
            </w:r>
          </w:p>
        </w:tc>
      </w:tr>
      <w:tr w:rsidR="00AB01BA" w:rsidTr="005F7006">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Порушення свідомості:</w:t>
            </w: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ступор</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10</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20</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39" w:right="-109" w:firstLine="11"/>
              <w:jc w:val="center"/>
              <w:rPr>
                <w:b/>
                <w:bCs/>
                <w:color w:val="000000"/>
                <w:szCs w:val="24"/>
                <w:lang w:val="uk-UA"/>
              </w:rPr>
            </w:pPr>
            <w:r>
              <w:rPr>
                <w:b/>
                <w:bCs/>
                <w:color w:val="000000"/>
                <w:szCs w:val="24"/>
                <w:lang w:val="uk-UA"/>
              </w:rPr>
              <w:t>10</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83" w:right="-109" w:firstLine="11"/>
              <w:jc w:val="center"/>
              <w:rPr>
                <w:b/>
                <w:bCs/>
                <w:color w:val="000000"/>
                <w:szCs w:val="24"/>
                <w:lang w:val="uk-UA"/>
              </w:rPr>
            </w:pPr>
            <w:r>
              <w:rPr>
                <w:b/>
                <w:bCs/>
                <w:color w:val="000000"/>
                <w:szCs w:val="24"/>
                <w:lang w:val="uk-UA"/>
              </w:rPr>
              <w:t>31,2</w:t>
            </w:r>
          </w:p>
        </w:tc>
      </w:tr>
      <w:tr w:rsidR="00AB01BA" w:rsidTr="005F7006">
        <w:trPr>
          <w:cantSplit/>
        </w:trPr>
        <w:tc>
          <w:tcPr>
            <w:tcW w:w="1980" w:type="dxa"/>
            <w:vMerge/>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сопор</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3</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6</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firstLine="11"/>
              <w:jc w:val="center"/>
              <w:rPr>
                <w:b/>
                <w:bCs/>
                <w:color w:val="000000"/>
              </w:rPr>
            </w:pPr>
            <w:r>
              <w:rPr>
                <w:b/>
                <w:bCs/>
                <w:color w:val="000000"/>
              </w:rPr>
              <w:t>16</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83" w:right="-109" w:firstLine="11"/>
              <w:jc w:val="center"/>
              <w:rPr>
                <w:b/>
                <w:bCs/>
                <w:color w:val="000000"/>
              </w:rPr>
            </w:pPr>
            <w:r>
              <w:rPr>
                <w:b/>
                <w:bCs/>
                <w:color w:val="000000"/>
              </w:rPr>
              <w:t>50</w:t>
            </w:r>
          </w:p>
        </w:tc>
      </w:tr>
      <w:tr w:rsidR="00AB01BA" w:rsidTr="005F7006">
        <w:trPr>
          <w:cantSplit/>
        </w:trPr>
        <w:tc>
          <w:tcPr>
            <w:tcW w:w="1980" w:type="dxa"/>
            <w:vMerge/>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кома</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firstLine="11"/>
              <w:jc w:val="center"/>
              <w:rPr>
                <w:b/>
                <w:bCs/>
                <w:color w:val="000000"/>
              </w:rPr>
            </w:pPr>
            <w:r>
              <w:rPr>
                <w:b/>
                <w:bCs/>
                <w:color w:val="000000"/>
              </w:rPr>
              <w:t>6</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 w:right="-109" w:firstLine="11"/>
              <w:jc w:val="center"/>
              <w:rPr>
                <w:b/>
                <w:bCs/>
                <w:color w:val="000000"/>
              </w:rPr>
            </w:pPr>
            <w:r>
              <w:rPr>
                <w:b/>
                <w:bCs/>
                <w:color w:val="000000"/>
              </w:rPr>
              <w:t>18,8</w:t>
            </w:r>
          </w:p>
        </w:tc>
      </w:tr>
      <w:tr w:rsidR="00AB01BA" w:rsidTr="005F7006">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Рухові порушення:</w:t>
            </w: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геміпарези</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4</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8</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firstLine="11"/>
              <w:jc w:val="center"/>
              <w:rPr>
                <w:b/>
                <w:bCs/>
                <w:color w:val="000000"/>
              </w:rPr>
            </w:pPr>
            <w:r>
              <w:rPr>
                <w:b/>
                <w:bCs/>
                <w:color w:val="000000"/>
              </w:rPr>
              <w:t>7</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 w:right="-109" w:firstLine="11"/>
              <w:jc w:val="center"/>
              <w:rPr>
                <w:b/>
                <w:bCs/>
                <w:color w:val="000000"/>
              </w:rPr>
            </w:pPr>
            <w:r>
              <w:rPr>
                <w:b/>
                <w:bCs/>
                <w:color w:val="000000"/>
              </w:rPr>
              <w:t>21,9</w:t>
            </w:r>
          </w:p>
        </w:tc>
      </w:tr>
      <w:tr w:rsidR="00AB01BA" w:rsidTr="005F7006">
        <w:trPr>
          <w:cantSplit/>
        </w:trPr>
        <w:tc>
          <w:tcPr>
            <w:tcW w:w="1980" w:type="dxa"/>
            <w:vMerge/>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парапарези</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1</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2</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firstLine="11"/>
              <w:jc w:val="center"/>
              <w:rPr>
                <w:b/>
                <w:bCs/>
                <w:color w:val="000000"/>
              </w:rPr>
            </w:pPr>
            <w:r>
              <w:rPr>
                <w:b/>
                <w:bCs/>
                <w:color w:val="000000"/>
              </w:rPr>
              <w:t>3</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 w:right="-109" w:firstLine="11"/>
              <w:jc w:val="center"/>
              <w:rPr>
                <w:b/>
                <w:bCs/>
                <w:color w:val="000000"/>
              </w:rPr>
            </w:pPr>
            <w:r>
              <w:rPr>
                <w:b/>
                <w:bCs/>
                <w:color w:val="000000"/>
              </w:rPr>
              <w:t>9,4</w:t>
            </w:r>
          </w:p>
        </w:tc>
      </w:tr>
      <w:tr w:rsidR="00AB01BA" w:rsidTr="005F7006">
        <w:trPr>
          <w:cantSplit/>
        </w:trPr>
        <w:tc>
          <w:tcPr>
            <w:tcW w:w="1980" w:type="dxa"/>
            <w:vMerge/>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тетрапарези</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firstLine="11"/>
              <w:jc w:val="center"/>
              <w:rPr>
                <w:b/>
                <w:bCs/>
                <w:color w:val="000000"/>
              </w:rPr>
            </w:pPr>
            <w:r>
              <w:rPr>
                <w:b/>
                <w:bCs/>
                <w:color w:val="000000"/>
              </w:rPr>
              <w:t>3</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 w:right="-109" w:firstLine="11"/>
              <w:jc w:val="center"/>
              <w:rPr>
                <w:b/>
                <w:bCs/>
                <w:color w:val="000000"/>
              </w:rPr>
            </w:pPr>
            <w:r>
              <w:rPr>
                <w:b/>
                <w:bCs/>
                <w:color w:val="000000"/>
              </w:rPr>
              <w:t>9,4</w:t>
            </w:r>
          </w:p>
        </w:tc>
      </w:tr>
      <w:tr w:rsidR="00AB01BA" w:rsidTr="005F7006">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Чутливі порушення:</w:t>
            </w: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гіпестезія</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firstLine="11"/>
              <w:jc w:val="center"/>
              <w:rPr>
                <w:b/>
                <w:bCs/>
                <w:color w:val="000000"/>
              </w:rPr>
            </w:pPr>
            <w:r>
              <w:rPr>
                <w:b/>
                <w:bCs/>
                <w:color w:val="000000"/>
              </w:rPr>
              <w:t>2</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 w:right="-109" w:firstLine="11"/>
              <w:jc w:val="center"/>
              <w:rPr>
                <w:b/>
                <w:bCs/>
                <w:color w:val="000000"/>
              </w:rPr>
            </w:pPr>
            <w:r>
              <w:rPr>
                <w:b/>
                <w:bCs/>
                <w:color w:val="000000"/>
              </w:rPr>
              <w:t>6,3</w:t>
            </w:r>
          </w:p>
        </w:tc>
      </w:tr>
      <w:tr w:rsidR="00AB01BA" w:rsidTr="005F7006">
        <w:trPr>
          <w:cantSplit/>
        </w:trPr>
        <w:tc>
          <w:tcPr>
            <w:tcW w:w="1980" w:type="dxa"/>
            <w:vMerge/>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гіперестезія</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7</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14</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39" w:right="-109" w:firstLine="11"/>
              <w:jc w:val="center"/>
              <w:rPr>
                <w:b/>
                <w:bCs/>
                <w:color w:val="000000"/>
                <w:szCs w:val="24"/>
                <w:lang w:val="uk-UA"/>
              </w:rPr>
            </w:pPr>
            <w:r>
              <w:rPr>
                <w:b/>
                <w:bCs/>
                <w:color w:val="000000"/>
                <w:szCs w:val="24"/>
                <w:lang w:val="uk-UA"/>
              </w:rPr>
              <w:t>18</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3" w:right="-109" w:firstLine="11"/>
              <w:jc w:val="center"/>
              <w:rPr>
                <w:b/>
                <w:bCs/>
                <w:color w:val="000000"/>
                <w:szCs w:val="24"/>
                <w:lang w:val="uk-UA"/>
              </w:rPr>
            </w:pPr>
            <w:r>
              <w:rPr>
                <w:b/>
                <w:bCs/>
                <w:color w:val="000000"/>
                <w:szCs w:val="24"/>
                <w:lang w:val="uk-UA"/>
              </w:rPr>
              <w:t>56,3</w:t>
            </w:r>
          </w:p>
        </w:tc>
      </w:tr>
      <w:tr w:rsidR="00AB01BA" w:rsidTr="005F7006">
        <w:trPr>
          <w:cantSplit/>
        </w:trPr>
        <w:tc>
          <w:tcPr>
            <w:tcW w:w="1980" w:type="dxa"/>
            <w:vMerge/>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парестезія</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12</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24</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firstLine="11"/>
              <w:jc w:val="center"/>
              <w:rPr>
                <w:b/>
                <w:bCs/>
                <w:color w:val="000000"/>
              </w:rPr>
            </w:pPr>
            <w:r>
              <w:rPr>
                <w:b/>
                <w:bCs/>
                <w:color w:val="000000"/>
              </w:rPr>
              <w:t>10</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83" w:right="-109" w:firstLine="11"/>
              <w:jc w:val="center"/>
              <w:rPr>
                <w:b/>
                <w:bCs/>
                <w:color w:val="000000"/>
              </w:rPr>
            </w:pPr>
            <w:r>
              <w:rPr>
                <w:b/>
                <w:bCs/>
                <w:color w:val="000000"/>
              </w:rPr>
              <w:t>31,3</w:t>
            </w:r>
          </w:p>
        </w:tc>
      </w:tr>
      <w:tr w:rsidR="00AB01BA" w:rsidTr="005F7006">
        <w:tc>
          <w:tcPr>
            <w:tcW w:w="3960"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Порушення функції черепних нервів (ІІІ-VIІ, IX, XII)</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37</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73</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firstLine="11"/>
              <w:jc w:val="center"/>
              <w:rPr>
                <w:b/>
                <w:bCs/>
                <w:color w:val="000000"/>
              </w:rPr>
            </w:pPr>
            <w:r>
              <w:rPr>
                <w:b/>
                <w:bCs/>
                <w:color w:val="000000"/>
              </w:rPr>
              <w:t>32</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83" w:right="-109" w:firstLine="11"/>
              <w:jc w:val="center"/>
              <w:rPr>
                <w:b/>
                <w:bCs/>
                <w:color w:val="000000"/>
              </w:rPr>
            </w:pPr>
            <w:r>
              <w:rPr>
                <w:b/>
                <w:bCs/>
                <w:color w:val="000000"/>
              </w:rPr>
              <w:t>100</w:t>
            </w:r>
          </w:p>
        </w:tc>
      </w:tr>
      <w:tr w:rsidR="00AB01BA" w:rsidTr="005F7006">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Епілептоформ-ний синдром:</w:t>
            </w: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фокальні судоми</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6</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08" w:right="-109" w:firstLine="11"/>
              <w:jc w:val="center"/>
              <w:rPr>
                <w:b/>
                <w:bCs/>
                <w:color w:val="000000"/>
              </w:rPr>
            </w:pPr>
            <w:r>
              <w:rPr>
                <w:b/>
                <w:bCs/>
                <w:color w:val="000000"/>
              </w:rPr>
              <w:t>12</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jc w:val="center"/>
              <w:rPr>
                <w:b/>
                <w:bCs/>
                <w:color w:val="000000"/>
              </w:rPr>
            </w:pPr>
            <w:r>
              <w:rPr>
                <w:b/>
                <w:bCs/>
                <w:color w:val="000000"/>
              </w:rPr>
              <w:t>10</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83" w:right="-109"/>
              <w:jc w:val="center"/>
              <w:rPr>
                <w:b/>
                <w:bCs/>
                <w:color w:val="000000"/>
              </w:rPr>
            </w:pPr>
            <w:r>
              <w:rPr>
                <w:b/>
                <w:bCs/>
                <w:color w:val="000000"/>
              </w:rPr>
              <w:t>31,2</w:t>
            </w:r>
          </w:p>
        </w:tc>
      </w:tr>
      <w:tr w:rsidR="00AB01BA" w:rsidTr="005F7006">
        <w:trPr>
          <w:cantSplit/>
        </w:trPr>
        <w:tc>
          <w:tcPr>
            <w:tcW w:w="1980" w:type="dxa"/>
            <w:vMerge/>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p>
        </w:tc>
        <w:tc>
          <w:tcPr>
            <w:tcW w:w="198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генералізовані судоми</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2</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4</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39" w:right="-109"/>
              <w:jc w:val="center"/>
              <w:rPr>
                <w:b/>
                <w:bCs/>
                <w:color w:val="000000"/>
                <w:szCs w:val="24"/>
                <w:lang w:val="uk-UA"/>
              </w:rPr>
            </w:pPr>
            <w:r>
              <w:rPr>
                <w:b/>
                <w:bCs/>
                <w:color w:val="000000"/>
                <w:szCs w:val="24"/>
                <w:lang w:val="uk-UA"/>
              </w:rPr>
              <w:t>19</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83" w:right="-109"/>
              <w:jc w:val="center"/>
              <w:rPr>
                <w:b/>
                <w:bCs/>
                <w:color w:val="000000"/>
                <w:szCs w:val="24"/>
                <w:lang w:val="uk-UA"/>
              </w:rPr>
            </w:pPr>
            <w:r>
              <w:rPr>
                <w:b/>
                <w:bCs/>
                <w:color w:val="000000"/>
                <w:szCs w:val="24"/>
                <w:lang w:val="uk-UA"/>
              </w:rPr>
              <w:t>59,4</w:t>
            </w:r>
          </w:p>
        </w:tc>
      </w:tr>
      <w:tr w:rsidR="00AB01BA" w:rsidTr="005F7006">
        <w:tc>
          <w:tcPr>
            <w:tcW w:w="3960"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Бульбарні розлади</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39" w:right="-109"/>
              <w:jc w:val="center"/>
              <w:rPr>
                <w:b/>
                <w:bCs/>
                <w:color w:val="000000"/>
                <w:szCs w:val="24"/>
                <w:lang w:val="uk-UA"/>
              </w:rPr>
            </w:pPr>
            <w:r>
              <w:rPr>
                <w:b/>
                <w:bCs/>
                <w:color w:val="000000"/>
                <w:szCs w:val="24"/>
              </w:rPr>
              <w:t>7</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83" w:right="-109"/>
              <w:jc w:val="center"/>
              <w:rPr>
                <w:b/>
                <w:bCs/>
                <w:color w:val="000000"/>
                <w:szCs w:val="24"/>
                <w:lang w:val="uk-UA"/>
              </w:rPr>
            </w:pPr>
            <w:r>
              <w:rPr>
                <w:b/>
                <w:bCs/>
                <w:color w:val="000000"/>
                <w:szCs w:val="24"/>
              </w:rPr>
              <w:t>21,9</w:t>
            </w:r>
          </w:p>
        </w:tc>
      </w:tr>
      <w:tr w:rsidR="00AB01BA" w:rsidTr="005F7006">
        <w:tc>
          <w:tcPr>
            <w:tcW w:w="3960"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Менінгеальний синдром</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43</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08" w:right="-109" w:firstLine="11"/>
              <w:jc w:val="center"/>
              <w:rPr>
                <w:b/>
                <w:bCs/>
                <w:color w:val="000000"/>
                <w:szCs w:val="24"/>
                <w:lang w:val="uk-UA"/>
              </w:rPr>
            </w:pPr>
            <w:r>
              <w:rPr>
                <w:b/>
                <w:bCs/>
                <w:color w:val="000000"/>
                <w:szCs w:val="24"/>
                <w:lang w:val="uk-UA"/>
              </w:rPr>
              <w:t>86</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39" w:right="-109"/>
              <w:jc w:val="center"/>
              <w:rPr>
                <w:b/>
                <w:bCs/>
                <w:color w:val="000000"/>
                <w:szCs w:val="24"/>
                <w:lang w:val="uk-UA"/>
              </w:rPr>
            </w:pPr>
            <w:r>
              <w:rPr>
                <w:b/>
                <w:bCs/>
                <w:color w:val="000000"/>
                <w:szCs w:val="24"/>
                <w:lang w:val="uk-UA"/>
              </w:rPr>
              <w:t>28</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38"/>
              <w:ind w:left="-183" w:right="-109"/>
              <w:jc w:val="center"/>
              <w:rPr>
                <w:b/>
                <w:bCs/>
                <w:color w:val="000000"/>
                <w:szCs w:val="24"/>
                <w:lang w:val="uk-UA"/>
              </w:rPr>
            </w:pPr>
            <w:r>
              <w:rPr>
                <w:b/>
                <w:bCs/>
                <w:color w:val="000000"/>
                <w:szCs w:val="24"/>
                <w:lang w:val="uk-UA"/>
              </w:rPr>
              <w:t>87,5</w:t>
            </w:r>
          </w:p>
        </w:tc>
      </w:tr>
      <w:tr w:rsidR="00AB01BA" w:rsidTr="005F7006">
        <w:tc>
          <w:tcPr>
            <w:tcW w:w="3960"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Порушення мови та письма</w:t>
            </w:r>
          </w:p>
        </w:tc>
        <w:tc>
          <w:tcPr>
            <w:tcW w:w="126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w:t>
            </w:r>
          </w:p>
        </w:tc>
        <w:tc>
          <w:tcPr>
            <w:tcW w:w="1191"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right="-109"/>
              <w:jc w:val="center"/>
              <w:rPr>
                <w:b/>
                <w:bCs/>
                <w:color w:val="000000"/>
              </w:rPr>
            </w:pPr>
            <w:r>
              <w:rPr>
                <w:b/>
                <w:bCs/>
                <w:color w:val="000000"/>
              </w:rPr>
              <w:t>-</w:t>
            </w:r>
          </w:p>
        </w:tc>
        <w:tc>
          <w:tcPr>
            <w:tcW w:w="1224"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39" w:right="-109"/>
              <w:jc w:val="center"/>
              <w:rPr>
                <w:b/>
                <w:bCs/>
                <w:color w:val="000000"/>
              </w:rPr>
            </w:pPr>
            <w:r>
              <w:rPr>
                <w:b/>
                <w:bCs/>
                <w:color w:val="000000"/>
              </w:rPr>
              <w:t>10</w:t>
            </w:r>
          </w:p>
        </w:tc>
        <w:tc>
          <w:tcPr>
            <w:tcW w:w="1575"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pStyle w:val="affffffffc"/>
              <w:ind w:left="-183" w:right="-109"/>
              <w:jc w:val="center"/>
              <w:rPr>
                <w:b/>
                <w:bCs/>
                <w:color w:val="000000"/>
              </w:rPr>
            </w:pPr>
            <w:r>
              <w:rPr>
                <w:b/>
                <w:bCs/>
                <w:color w:val="000000"/>
              </w:rPr>
              <w:t>31,3</w:t>
            </w:r>
          </w:p>
        </w:tc>
      </w:tr>
    </w:tbl>
    <w:p w:rsidR="00AB01BA" w:rsidRDefault="00AB01BA" w:rsidP="00AB01BA">
      <w:pPr>
        <w:ind w:firstLine="709"/>
        <w:jc w:val="both"/>
        <w:rPr>
          <w:color w:val="000000"/>
          <w:sz w:val="28"/>
          <w:szCs w:val="28"/>
          <w:lang w:val="uk-UA"/>
        </w:rPr>
      </w:pPr>
    </w:p>
    <w:p w:rsidR="00AB01BA" w:rsidRDefault="00AB01BA" w:rsidP="00AB01BA">
      <w:pPr>
        <w:ind w:firstLine="900"/>
        <w:jc w:val="both"/>
        <w:rPr>
          <w:color w:val="000000"/>
          <w:sz w:val="28"/>
          <w:szCs w:val="28"/>
          <w:lang w:val="uk-UA"/>
        </w:rPr>
      </w:pPr>
      <w:r>
        <w:rPr>
          <w:color w:val="000000"/>
          <w:sz w:val="28"/>
          <w:szCs w:val="28"/>
          <w:lang w:val="uk-UA"/>
        </w:rPr>
        <w:t>Хворі середньої тяжкості госпіталізувались на 4,7±0,2 добу захворювання. В гострому періоді хвороби для них характерними були помірно виражені менінгеальні симптоми та ознаки внутрішньочерепної гіпертензії. Менінгеальний синдром характеризувався слабко вираженими ригідністю потиличних м'язів у 86%, симптомом Керніга – у 36%, симптом Брудзинського не визначався у жодного хворого (табл. 2). Характерний герпетичний висип на слизових оболонках губ, порожнині рота спостерігався у 2 (4%) хворих, у 1 (2%) хворого висип локалізувався на шкірі сідниць та поперековій ділянці.</w:t>
      </w:r>
    </w:p>
    <w:p w:rsidR="00AB01BA" w:rsidRDefault="00AB01BA" w:rsidP="00AB01BA">
      <w:pPr>
        <w:ind w:firstLine="900"/>
        <w:jc w:val="both"/>
        <w:rPr>
          <w:color w:val="000000"/>
          <w:sz w:val="28"/>
          <w:szCs w:val="28"/>
          <w:lang w:val="uk-UA"/>
        </w:rPr>
      </w:pPr>
      <w:r>
        <w:rPr>
          <w:color w:val="000000"/>
          <w:sz w:val="28"/>
          <w:szCs w:val="28"/>
          <w:lang w:val="uk-UA"/>
        </w:rPr>
        <w:t>В динаміці захворювання у хворих з середньотяжким перебігом головний біль згасав на 8,8</w:t>
      </w:r>
      <w:r>
        <w:rPr>
          <w:color w:val="000000"/>
          <w:sz w:val="28"/>
          <w:szCs w:val="28"/>
          <w:lang w:val="uk-UA"/>
        </w:rPr>
        <w:sym w:font="Symbol" w:char="F0B1"/>
      </w:r>
      <w:r>
        <w:rPr>
          <w:color w:val="000000"/>
          <w:sz w:val="28"/>
          <w:szCs w:val="28"/>
          <w:lang w:val="uk-UA"/>
        </w:rPr>
        <w:t>0,3 добу з початку лікування, нудота – на 8,0±0,1, блювота – на 6,0±0,1 добу, менінгеальні симптоми нівелювалися на 9,1</w:t>
      </w:r>
      <w:r>
        <w:rPr>
          <w:color w:val="000000"/>
          <w:sz w:val="28"/>
          <w:szCs w:val="28"/>
          <w:lang w:val="uk-UA"/>
        </w:rPr>
        <w:sym w:font="Symbol" w:char="F0B1"/>
      </w:r>
      <w:r>
        <w:rPr>
          <w:color w:val="000000"/>
          <w:sz w:val="28"/>
          <w:szCs w:val="28"/>
          <w:lang w:val="uk-UA"/>
        </w:rPr>
        <w:t>0,2 добу, вогнищева неврологічна симптоматика – на 9,0</w:t>
      </w:r>
      <w:r>
        <w:rPr>
          <w:color w:val="000000"/>
          <w:sz w:val="28"/>
          <w:szCs w:val="28"/>
          <w:lang w:val="uk-UA"/>
        </w:rPr>
        <w:sym w:font="Symbol" w:char="F0B1"/>
      </w:r>
      <w:r>
        <w:rPr>
          <w:color w:val="000000"/>
          <w:sz w:val="28"/>
          <w:szCs w:val="28"/>
          <w:lang w:val="uk-UA"/>
        </w:rPr>
        <w:t>0,6 добу. Тривалість лихоманки складала 7,9</w:t>
      </w:r>
      <w:r>
        <w:rPr>
          <w:color w:val="000000"/>
          <w:sz w:val="28"/>
          <w:szCs w:val="28"/>
          <w:lang w:val="uk-UA"/>
        </w:rPr>
        <w:sym w:font="Symbol" w:char="F0B1"/>
      </w:r>
      <w:r>
        <w:rPr>
          <w:color w:val="000000"/>
          <w:sz w:val="28"/>
          <w:szCs w:val="28"/>
          <w:lang w:val="uk-UA"/>
        </w:rPr>
        <w:t>0,15 доби.</w:t>
      </w:r>
    </w:p>
    <w:p w:rsidR="00AB01BA" w:rsidRDefault="00AB01BA" w:rsidP="00AB01BA">
      <w:pPr>
        <w:ind w:firstLine="900"/>
        <w:jc w:val="both"/>
        <w:rPr>
          <w:color w:val="000000"/>
          <w:sz w:val="28"/>
          <w:szCs w:val="28"/>
          <w:lang w:val="uk-UA"/>
        </w:rPr>
      </w:pPr>
      <w:r>
        <w:rPr>
          <w:color w:val="000000"/>
          <w:sz w:val="28"/>
          <w:szCs w:val="28"/>
          <w:lang w:val="uk-UA"/>
        </w:rPr>
        <w:t xml:space="preserve">Аналізуючи клінічну картину хвороби при тяжкому перебігу, слід зазначити, що в клініці захворювання домінували симптоми ураження ЦНС, які були провідними і спостерігались у всіх хворих. </w:t>
      </w:r>
    </w:p>
    <w:p w:rsidR="00AB01BA" w:rsidRDefault="00AB01BA" w:rsidP="00AB01BA">
      <w:pPr>
        <w:ind w:firstLine="900"/>
        <w:jc w:val="both"/>
        <w:rPr>
          <w:color w:val="000000"/>
          <w:sz w:val="28"/>
          <w:szCs w:val="28"/>
          <w:lang w:val="uk-UA"/>
        </w:rPr>
      </w:pPr>
      <w:r>
        <w:rPr>
          <w:color w:val="000000"/>
          <w:sz w:val="28"/>
          <w:szCs w:val="28"/>
          <w:lang w:val="uk-UA"/>
        </w:rPr>
        <w:t xml:space="preserve">Захворювання починалось гостро у 55 % пацієнтів з підвищення температури тіла до 38,3±0,2 ºС, з`являлися головний біль (переважно у лобно-скроневій ділянці, 78%), нудота (85%), блювота (46,7%). На 3-тю – 4-ту добу </w:t>
      </w:r>
      <w:r>
        <w:rPr>
          <w:color w:val="000000"/>
          <w:sz w:val="28"/>
          <w:szCs w:val="28"/>
          <w:lang w:val="uk-UA"/>
        </w:rPr>
        <w:lastRenderedPageBreak/>
        <w:t>захворювання, головний біль посилювався, у хворих з’являлись психопатологічні розлади, марення, галюцинації. На 3-тю – 8-му добу порушувалась свідомість від ступору до коми різного ступеня з ознаками набряку-набухання головного мозку. У 3 (9,4%) хворих спостерігався герпетичний висип на слизових губ, носа, порожнині рота, шкірі обличчя. В перші 4 доби захворювання у 60% хворих з’являлась осередкова неврологічна симптоматика.</w:t>
      </w:r>
    </w:p>
    <w:p w:rsidR="00AB01BA" w:rsidRDefault="00AB01BA" w:rsidP="00AB01BA">
      <w:pPr>
        <w:ind w:firstLine="900"/>
        <w:jc w:val="both"/>
        <w:rPr>
          <w:color w:val="000000"/>
          <w:sz w:val="28"/>
          <w:szCs w:val="28"/>
          <w:lang w:val="uk-UA"/>
        </w:rPr>
      </w:pPr>
      <w:r>
        <w:rPr>
          <w:color w:val="000000"/>
          <w:sz w:val="28"/>
          <w:szCs w:val="28"/>
          <w:lang w:val="uk-UA"/>
        </w:rPr>
        <w:t>Провідними в клініці захворювання були ураження черепно-мозкових нервів, рухові, чутливі та психічні порушення. У 12 (37,5%) хворих спостерігалися фокальні епілептичні напади, які з плином часу трансформувались у вторинно-генералізовані, епіпароксизми (див. табл. 2).</w:t>
      </w:r>
    </w:p>
    <w:p w:rsidR="00AB01BA" w:rsidRDefault="00AB01BA" w:rsidP="00AB01BA">
      <w:pPr>
        <w:ind w:firstLine="900"/>
        <w:jc w:val="both"/>
        <w:rPr>
          <w:color w:val="000000"/>
          <w:sz w:val="28"/>
          <w:szCs w:val="28"/>
          <w:lang w:val="uk-UA"/>
        </w:rPr>
      </w:pPr>
      <w:r>
        <w:rPr>
          <w:color w:val="000000"/>
          <w:sz w:val="28"/>
          <w:szCs w:val="28"/>
          <w:lang w:val="uk-UA"/>
        </w:rPr>
        <w:t xml:space="preserve">На 1-й – 2-й тиждень захворювання у 43% хворих з тяжким перебігом розвивалися парези кінцівок, у той час як у хворих з середньотяжким перебігом – в 10% випадків. </w:t>
      </w:r>
    </w:p>
    <w:p w:rsidR="00AB01BA" w:rsidRDefault="00AB01BA" w:rsidP="00AB01BA">
      <w:pPr>
        <w:ind w:firstLine="900"/>
        <w:jc w:val="both"/>
        <w:rPr>
          <w:color w:val="000000"/>
          <w:sz w:val="28"/>
          <w:szCs w:val="28"/>
          <w:lang w:val="uk-UA"/>
        </w:rPr>
      </w:pPr>
      <w:r>
        <w:rPr>
          <w:color w:val="000000"/>
          <w:sz w:val="28"/>
          <w:szCs w:val="28"/>
          <w:lang w:val="uk-UA"/>
        </w:rPr>
        <w:t>У динаміці головний біль згасав на 1</w:t>
      </w:r>
      <w:r>
        <w:rPr>
          <w:color w:val="000000"/>
          <w:sz w:val="28"/>
          <w:szCs w:val="28"/>
        </w:rPr>
        <w:t>3</w:t>
      </w:r>
      <w:r>
        <w:rPr>
          <w:color w:val="000000"/>
          <w:sz w:val="28"/>
          <w:szCs w:val="28"/>
          <w:lang w:val="uk-UA"/>
        </w:rPr>
        <w:t>,5</w:t>
      </w:r>
      <w:r>
        <w:rPr>
          <w:color w:val="000000"/>
          <w:sz w:val="28"/>
          <w:szCs w:val="28"/>
          <w:lang w:val="uk-UA"/>
        </w:rPr>
        <w:sym w:font="Symbol" w:char="F0B1"/>
      </w:r>
      <w:r>
        <w:rPr>
          <w:color w:val="000000"/>
          <w:sz w:val="28"/>
          <w:szCs w:val="28"/>
          <w:lang w:val="uk-UA"/>
        </w:rPr>
        <w:t xml:space="preserve">0,4 добу з початку лікування; нудота – на 10,0±0,2, блювота – на 6,0±0,13, менінгеальні симптоми щезали упродовж </w:t>
      </w:r>
      <w:r>
        <w:rPr>
          <w:color w:val="000000"/>
          <w:sz w:val="28"/>
          <w:szCs w:val="28"/>
        </w:rPr>
        <w:t>8</w:t>
      </w:r>
      <w:r>
        <w:rPr>
          <w:color w:val="000000"/>
          <w:sz w:val="28"/>
          <w:szCs w:val="28"/>
          <w:lang w:val="uk-UA"/>
        </w:rPr>
        <w:t>,1</w:t>
      </w:r>
      <w:r>
        <w:rPr>
          <w:color w:val="000000"/>
          <w:sz w:val="28"/>
          <w:szCs w:val="28"/>
          <w:lang w:val="uk-UA"/>
        </w:rPr>
        <w:sym w:font="Symbol" w:char="F0B1"/>
      </w:r>
      <w:r>
        <w:rPr>
          <w:color w:val="000000"/>
          <w:sz w:val="28"/>
          <w:szCs w:val="28"/>
          <w:lang w:val="uk-UA"/>
        </w:rPr>
        <w:t>0,12 доби. Тривалість лихоманки складала 9,9</w:t>
      </w:r>
      <w:r>
        <w:rPr>
          <w:color w:val="000000"/>
          <w:sz w:val="28"/>
          <w:szCs w:val="28"/>
          <w:lang w:val="uk-UA"/>
        </w:rPr>
        <w:sym w:font="Symbol" w:char="F0B1"/>
      </w:r>
      <w:r>
        <w:rPr>
          <w:color w:val="000000"/>
          <w:sz w:val="28"/>
          <w:szCs w:val="28"/>
          <w:lang w:val="uk-UA"/>
        </w:rPr>
        <w:t>0,3 доби. Відновлення функції черепних нервів тривало до 18,1</w:t>
      </w:r>
      <w:r>
        <w:rPr>
          <w:color w:val="000000"/>
          <w:sz w:val="28"/>
          <w:szCs w:val="28"/>
          <w:lang w:val="uk-UA"/>
        </w:rPr>
        <w:sym w:font="Symbol" w:char="F0B1"/>
      </w:r>
      <w:r>
        <w:rPr>
          <w:color w:val="000000"/>
          <w:sz w:val="28"/>
          <w:szCs w:val="28"/>
          <w:lang w:val="uk-UA"/>
        </w:rPr>
        <w:t xml:space="preserve">0,2 доби, психомоторне збудження – </w:t>
      </w:r>
      <w:r>
        <w:rPr>
          <w:color w:val="000000"/>
          <w:sz w:val="28"/>
          <w:szCs w:val="28"/>
        </w:rPr>
        <w:t>6</w:t>
      </w:r>
      <w:r>
        <w:rPr>
          <w:color w:val="000000"/>
          <w:sz w:val="28"/>
          <w:szCs w:val="28"/>
          <w:lang w:val="uk-UA"/>
        </w:rPr>
        <w:t>,0</w:t>
      </w:r>
      <w:r>
        <w:rPr>
          <w:color w:val="000000"/>
          <w:sz w:val="28"/>
          <w:szCs w:val="28"/>
          <w:lang w:val="uk-UA"/>
        </w:rPr>
        <w:sym w:font="Symbol" w:char="F0B1"/>
      </w:r>
      <w:r>
        <w:rPr>
          <w:color w:val="000000"/>
          <w:sz w:val="28"/>
          <w:szCs w:val="28"/>
          <w:lang w:val="uk-UA"/>
        </w:rPr>
        <w:t>0,3 доби. Відновний період у пацієнтів даної групи тривав протягом 2 – 3 місяці. Слід зазначити, що найстійкішими були лікворно-гіпертензійний синдром, порушення функції черепних нервів і психопатологічна симптоматика, які часто спостерігались і на момент виписування із стаціонару.</w:t>
      </w:r>
    </w:p>
    <w:p w:rsidR="00AB01BA" w:rsidRDefault="00AB01BA" w:rsidP="00AB01BA">
      <w:pPr>
        <w:ind w:firstLine="900"/>
        <w:jc w:val="both"/>
        <w:rPr>
          <w:color w:val="000000"/>
          <w:sz w:val="28"/>
          <w:szCs w:val="28"/>
          <w:lang w:val="uk-UA"/>
        </w:rPr>
      </w:pPr>
      <w:r>
        <w:rPr>
          <w:color w:val="000000"/>
          <w:sz w:val="28"/>
          <w:szCs w:val="28"/>
          <w:lang w:val="uk-UA"/>
        </w:rPr>
        <w:t>У 100% хворих визначався серозний характер ліквору. У всіх хворих ліквор був безкольоровим і прозорим. Кількість лейкоцитів збільшувалася від 16</w:t>
      </w:r>
      <w:r>
        <w:rPr>
          <w:color w:val="000000"/>
          <w:sz w:val="28"/>
          <w:szCs w:val="28"/>
          <w:lang w:val="uk-UA"/>
        </w:rPr>
        <w:sym w:font="Symbol" w:char="F0B4"/>
      </w:r>
      <w:r>
        <w:rPr>
          <w:color w:val="000000"/>
          <w:sz w:val="28"/>
          <w:szCs w:val="28"/>
          <w:lang w:val="uk-UA"/>
        </w:rPr>
        <w:t>10</w:t>
      </w:r>
      <w:r>
        <w:rPr>
          <w:color w:val="000000"/>
          <w:sz w:val="28"/>
          <w:szCs w:val="28"/>
          <w:vertAlign w:val="superscript"/>
          <w:lang w:val="uk-UA"/>
        </w:rPr>
        <w:t>6</w:t>
      </w:r>
      <w:r>
        <w:rPr>
          <w:color w:val="000000"/>
          <w:sz w:val="28"/>
          <w:szCs w:val="28"/>
          <w:lang w:val="uk-UA"/>
        </w:rPr>
        <w:t>/л до 1500</w:t>
      </w:r>
      <w:r>
        <w:rPr>
          <w:color w:val="000000"/>
          <w:sz w:val="28"/>
          <w:szCs w:val="28"/>
          <w:lang w:val="uk-UA"/>
        </w:rPr>
        <w:sym w:font="Symbol" w:char="F0B4"/>
      </w:r>
      <w:r>
        <w:rPr>
          <w:color w:val="000000"/>
          <w:sz w:val="28"/>
          <w:szCs w:val="28"/>
          <w:lang w:val="uk-UA"/>
        </w:rPr>
        <w:t>10</w:t>
      </w:r>
      <w:r>
        <w:rPr>
          <w:color w:val="000000"/>
          <w:sz w:val="28"/>
          <w:szCs w:val="28"/>
          <w:vertAlign w:val="superscript"/>
          <w:lang w:val="uk-UA"/>
        </w:rPr>
        <w:t>6</w:t>
      </w:r>
      <w:r>
        <w:rPr>
          <w:color w:val="000000"/>
          <w:sz w:val="28"/>
          <w:szCs w:val="28"/>
          <w:lang w:val="uk-UA"/>
        </w:rPr>
        <w:t>/л. Кількість лімфоцитів складала 63 – 100%, вміст білка визначався в межах 0,23 – 3,53 г/л; концентрація глюкози та хлоридів практично не змінювалась. У хворих обох груп спостерігався високий рівень білка у лікворі – 0,34±0,03 г/л у 1-й групі, у 2-й групі – 0,6±0,3 г/л (р&lt;0,05), що, може бути свідоцтвом масивного цитолізу, що спостерігається при герпесвірусних ураженнях ЦНС.</w:t>
      </w:r>
    </w:p>
    <w:p w:rsidR="00AB01BA" w:rsidRDefault="00AB01BA" w:rsidP="00AB01BA">
      <w:pPr>
        <w:ind w:firstLine="900"/>
        <w:jc w:val="both"/>
        <w:rPr>
          <w:color w:val="000000"/>
          <w:sz w:val="28"/>
          <w:szCs w:val="28"/>
          <w:lang w:val="uk-UA"/>
        </w:rPr>
      </w:pPr>
      <w:r>
        <w:rPr>
          <w:color w:val="000000"/>
          <w:sz w:val="28"/>
          <w:szCs w:val="28"/>
          <w:lang w:val="uk-UA"/>
        </w:rPr>
        <w:t>Незалежно від ступеня тяжкості даної патології, спостерігалися як якісні, так і кількісні зміни в усіх ланках імунної системи.</w:t>
      </w:r>
    </w:p>
    <w:p w:rsidR="00AB01BA" w:rsidRDefault="00AB01BA" w:rsidP="00AB01BA">
      <w:pPr>
        <w:ind w:firstLine="900"/>
        <w:jc w:val="both"/>
        <w:rPr>
          <w:color w:val="000000"/>
          <w:sz w:val="28"/>
          <w:szCs w:val="28"/>
          <w:lang w:val="uk-UA"/>
        </w:rPr>
      </w:pPr>
      <w:r>
        <w:rPr>
          <w:color w:val="000000"/>
          <w:sz w:val="28"/>
          <w:szCs w:val="28"/>
          <w:lang w:val="uk-UA"/>
        </w:rPr>
        <w:t xml:space="preserve">У гострий період захворювання у пацієнтів з тяжким перебігом (2-га група) визначався статистично достовірний лейкоцитоз. Лімфо- та моноцитоз спостерігався у хворих обох груп (р&lt;0,05). У клініці захворювання між ступенем тяжкості захворювання та показниками лімфо- та моноцитозу відмічена пряма залежність. Фенотипування лімфоцитів виявило суттєву різницю в гострому періоді хвороби в обох групах (р&lt;0,05). </w:t>
      </w:r>
    </w:p>
    <w:p w:rsidR="00AB01BA" w:rsidRDefault="00AB01BA" w:rsidP="00AB01BA">
      <w:pPr>
        <w:ind w:firstLine="900"/>
        <w:jc w:val="both"/>
        <w:rPr>
          <w:color w:val="000000"/>
          <w:sz w:val="28"/>
          <w:szCs w:val="28"/>
          <w:lang w:val="uk-UA"/>
        </w:rPr>
      </w:pPr>
      <w:r>
        <w:rPr>
          <w:color w:val="000000"/>
          <w:sz w:val="28"/>
          <w:szCs w:val="28"/>
          <w:lang w:val="uk-UA"/>
        </w:rPr>
        <w:t>Загальна кількість Т-лімфоцитів, що визначалася за антигеном CD3+, в обох групах хворих не відрізнялася від такої у практично здорових донорів. Але аналіз абсолютної їх кількості у гострий період показав, що у хворих 2-ї групи спостерігалося вірогідне підвищення – 2190,2±50,1×10</w:t>
      </w:r>
      <w:r>
        <w:rPr>
          <w:color w:val="000000"/>
          <w:sz w:val="28"/>
          <w:szCs w:val="28"/>
          <w:vertAlign w:val="superscript"/>
          <w:lang w:val="uk-UA"/>
        </w:rPr>
        <w:t>6</w:t>
      </w:r>
      <w:r>
        <w:rPr>
          <w:color w:val="000000"/>
          <w:sz w:val="28"/>
          <w:szCs w:val="28"/>
          <w:lang w:val="uk-UA"/>
        </w:rPr>
        <w:t>/мл проти 908,8±125,8×10</w:t>
      </w:r>
      <w:r>
        <w:rPr>
          <w:color w:val="000000"/>
          <w:sz w:val="28"/>
          <w:szCs w:val="28"/>
          <w:vertAlign w:val="superscript"/>
          <w:lang w:val="uk-UA"/>
        </w:rPr>
        <w:t>6</w:t>
      </w:r>
      <w:r>
        <w:rPr>
          <w:color w:val="000000"/>
          <w:sz w:val="28"/>
          <w:szCs w:val="28"/>
          <w:lang w:val="uk-UA"/>
        </w:rPr>
        <w:t>/мл у контрольній групі (р&lt;0,05) за рахунок лейкоцитозу. У гострому періоді у хворих 2-ї групи спостерігається зниження кількості CD4+ клітин – 406,4±53,6×10</w:t>
      </w:r>
      <w:r>
        <w:rPr>
          <w:color w:val="000000"/>
          <w:sz w:val="28"/>
          <w:szCs w:val="28"/>
          <w:vertAlign w:val="superscript"/>
          <w:lang w:val="uk-UA"/>
        </w:rPr>
        <w:t>6</w:t>
      </w:r>
      <w:r>
        <w:rPr>
          <w:color w:val="000000"/>
          <w:sz w:val="28"/>
          <w:szCs w:val="28"/>
          <w:lang w:val="uk-UA"/>
        </w:rPr>
        <w:t>/мл проти 659,7±97,1×10</w:t>
      </w:r>
      <w:r>
        <w:rPr>
          <w:color w:val="000000"/>
          <w:sz w:val="28"/>
          <w:szCs w:val="28"/>
          <w:vertAlign w:val="superscript"/>
          <w:lang w:val="uk-UA"/>
        </w:rPr>
        <w:t>6</w:t>
      </w:r>
      <w:r>
        <w:rPr>
          <w:color w:val="000000"/>
          <w:sz w:val="28"/>
          <w:szCs w:val="28"/>
          <w:lang w:val="uk-UA"/>
        </w:rPr>
        <w:t xml:space="preserve">/мл у групі контролю (р&lt;0,05), </w:t>
      </w:r>
      <w:r>
        <w:rPr>
          <w:color w:val="000000"/>
          <w:sz w:val="28"/>
          <w:szCs w:val="28"/>
          <w:lang w:val="uk-UA"/>
        </w:rPr>
        <w:lastRenderedPageBreak/>
        <w:t xml:space="preserve">що вказує на кількісний дефіцит однієї з основних субпопуляцій лімфоцитів, що визначає подальшій рівень імуногенезу (табл. 3). </w:t>
      </w:r>
    </w:p>
    <w:p w:rsidR="00AB01BA" w:rsidRDefault="00AB01BA" w:rsidP="00AB01BA">
      <w:pPr>
        <w:ind w:firstLine="900"/>
        <w:jc w:val="both"/>
        <w:rPr>
          <w:color w:val="000000"/>
          <w:sz w:val="28"/>
          <w:szCs w:val="28"/>
          <w:lang w:val="uk-UA"/>
        </w:rPr>
      </w:pPr>
      <w:r>
        <w:rPr>
          <w:color w:val="000000"/>
          <w:sz w:val="28"/>
          <w:szCs w:val="28"/>
          <w:lang w:val="uk-UA"/>
        </w:rPr>
        <w:t>З початком періоду реконвалесценції збільшувалася кількість CD4+ лімфоцитів до 603,8±67,1×10</w:t>
      </w:r>
      <w:r>
        <w:rPr>
          <w:color w:val="000000"/>
          <w:sz w:val="28"/>
          <w:szCs w:val="28"/>
          <w:vertAlign w:val="superscript"/>
          <w:lang w:val="uk-UA"/>
        </w:rPr>
        <w:t>6</w:t>
      </w:r>
      <w:r>
        <w:rPr>
          <w:color w:val="000000"/>
          <w:sz w:val="28"/>
          <w:szCs w:val="28"/>
          <w:lang w:val="uk-UA"/>
        </w:rPr>
        <w:t xml:space="preserve">/мл. Основним механізмом імунного захисту вважають вірус-специфічні CD8+ цитотоксичні Т-лімфоцити. Проте значне зниження рівня клітин з антигеном CD8+ виявлено в групі хворих з середньотяжким перебігом – 14,4±0,37% проти 22,8±1,8% у групі контролю (р&lt;0,05), у той час як у групі хворих з тяжким перебігом захворювання рівень цих клітин не відрізнявся від практично здорових донорів (р&lt;0,05). У відносній кількості рівень клітин з антигеном CD8+ у другій групі склав 24,50±0,56% серед всіх лімфоцитів, у хворих першої групи – 14,4±0,37%, в той час як у групі контролю - 22,8±1,8% (р&lt;0,05). Парадоксально, що саме у групі з тяжким перебігом захворювання, рівень цитотоксичних лімфоцитів CD8+ – основних клітин, що виконують контроль проти вірусної інфекції, практично не змінювалась, пояснюється моделлю, згідно з якою недостатня допомога CD4+ клітин на тлі високого вірусного навантаження призводить до функціональної недостатності специфічних CD8+ клітин. Саме тому вірогідне зниження кількості CD4+ клітин спостерігалось у хворих з тяжким перебігом захворювання в гострому періоді. У визначенні реактивності Т-клітинної ланки імунітету важливе значення має індекс CD4+/CD8+ (табл. 3). У хворих з тяжким перебігом ГГМЕ спостерігалося зниження кількості CD4+ клітин, що знизило імунорегуляторний індекс CD4+/CD8+ до 0,43±0,04 проти 1,2±0,02 у групі контролю (р&lt;0,001). Зниження цього індексу свідчить, як правило, про дисбаланс імунологічного потенціалу організму в цілому. </w:t>
      </w:r>
    </w:p>
    <w:p w:rsidR="00AB01BA" w:rsidRDefault="00AB01BA" w:rsidP="00AB01BA">
      <w:pPr>
        <w:ind w:firstLine="900"/>
        <w:jc w:val="both"/>
        <w:rPr>
          <w:color w:val="000000"/>
          <w:sz w:val="28"/>
          <w:szCs w:val="28"/>
          <w:lang w:val="uk-UA"/>
        </w:rPr>
      </w:pPr>
      <w:r>
        <w:rPr>
          <w:color w:val="000000"/>
          <w:sz w:val="28"/>
          <w:szCs w:val="28"/>
          <w:lang w:val="uk-UA"/>
        </w:rPr>
        <w:t xml:space="preserve">Загальна кількість В-популяції лімфоцитів, у крові обстежених хворих за антигеном CD19+ у гострому періоді захворювання була вище, ніж у контрольній групі та залежала від тяжкості захворювання (р&lt;0,05) (див. табл. 3). </w:t>
      </w:r>
    </w:p>
    <w:p w:rsidR="00AB01BA" w:rsidRDefault="00AB01BA" w:rsidP="00AB01BA">
      <w:pPr>
        <w:ind w:firstLine="900"/>
        <w:jc w:val="both"/>
        <w:rPr>
          <w:color w:val="000000"/>
          <w:sz w:val="28"/>
          <w:szCs w:val="28"/>
          <w:lang w:val="uk-UA"/>
        </w:rPr>
      </w:pPr>
      <w:r>
        <w:rPr>
          <w:color w:val="000000"/>
          <w:sz w:val="28"/>
          <w:szCs w:val="28"/>
          <w:lang w:val="uk-UA"/>
        </w:rPr>
        <w:t xml:space="preserve">Рівень ЦІК у сироватці крові у хворих обох груп в гострому періоді гострого герпесвірусного менінгоенцефаліту був підвищеним в залежності від ступеня тяжкості захворювання як у 1-й так і у 2-й групі хворих (р&lt;0,05). </w:t>
      </w:r>
    </w:p>
    <w:p w:rsidR="00AB01BA" w:rsidRDefault="00AB01BA" w:rsidP="00AB01BA">
      <w:pPr>
        <w:ind w:firstLine="900"/>
        <w:jc w:val="both"/>
        <w:rPr>
          <w:color w:val="000000"/>
          <w:sz w:val="28"/>
          <w:szCs w:val="28"/>
          <w:lang w:val="uk-UA"/>
        </w:rPr>
      </w:pPr>
      <w:r>
        <w:rPr>
          <w:color w:val="000000"/>
          <w:sz w:val="28"/>
          <w:szCs w:val="28"/>
          <w:lang w:val="uk-UA"/>
        </w:rPr>
        <w:t xml:space="preserve">При вивченні гемолітичної активності комплементу було встановлено, що у хворих на ГГМЕ обох груп активність комплементу була зниженою у порівнянні з показниками контрольної групи (р&lt;0,05), що може свідчити або про дефіцит функціональної активності цієї ланки імунної відповіді, або про активне використання комплементу в процесі утворення ЦІК. У хворих з тяжким перебігом захворювання активність комплементу в гострому періоді була достовірно нижчою, ніж у групі хворих з середньотяжким перебігом (р&lt;0,05). </w:t>
      </w:r>
    </w:p>
    <w:p w:rsidR="00AB01BA" w:rsidRDefault="00AB01BA" w:rsidP="00AB01BA">
      <w:pPr>
        <w:ind w:firstLine="708"/>
        <w:jc w:val="right"/>
        <w:rPr>
          <w:b/>
          <w:bCs/>
          <w:color w:val="000000"/>
          <w:sz w:val="28"/>
          <w:szCs w:val="28"/>
          <w:lang w:val="uk-UA"/>
        </w:rPr>
      </w:pPr>
      <w:r>
        <w:rPr>
          <w:b/>
          <w:bCs/>
          <w:color w:val="000000"/>
          <w:sz w:val="28"/>
          <w:szCs w:val="28"/>
          <w:lang w:val="uk-UA"/>
        </w:rPr>
        <w:t>Таблиця 3</w:t>
      </w:r>
    </w:p>
    <w:p w:rsidR="00AB01BA" w:rsidRDefault="00AB01BA" w:rsidP="00AB01BA">
      <w:pPr>
        <w:ind w:firstLine="708"/>
        <w:jc w:val="center"/>
        <w:rPr>
          <w:b/>
          <w:bCs/>
          <w:color w:val="000000"/>
          <w:sz w:val="28"/>
          <w:szCs w:val="28"/>
          <w:lang w:val="uk-UA"/>
        </w:rPr>
      </w:pPr>
      <w:r>
        <w:rPr>
          <w:b/>
          <w:bCs/>
          <w:color w:val="000000"/>
          <w:sz w:val="28"/>
          <w:szCs w:val="28"/>
          <w:lang w:val="uk-UA"/>
        </w:rPr>
        <w:t xml:space="preserve">Субпопуляції Т- лімфоцитів у крові хворих на гострі герпесвірусні менінгоенцефаліти та в групі контролю </w:t>
      </w:r>
      <w:r>
        <w:rPr>
          <w:b/>
          <w:bCs/>
          <w:sz w:val="28"/>
          <w:szCs w:val="28"/>
          <w:lang w:val="uk-UA"/>
        </w:rPr>
        <w:t>(M</w:t>
      </w:r>
      <w:r>
        <w:rPr>
          <w:b/>
          <w:bCs/>
          <w:color w:val="000000"/>
          <w:sz w:val="28"/>
          <w:szCs w:val="28"/>
          <w:lang w:val="uk-UA"/>
        </w:rPr>
        <w:sym w:font="Symbol" w:char="F0B1"/>
      </w:r>
      <w:r>
        <w:rPr>
          <w:b/>
          <w:bCs/>
          <w:color w:val="000000"/>
          <w:sz w:val="28"/>
          <w:szCs w:val="28"/>
          <w:lang w:val="uk-UA"/>
        </w:rPr>
        <w:t>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530"/>
        <w:gridCol w:w="1530"/>
        <w:gridCol w:w="1620"/>
        <w:gridCol w:w="1620"/>
        <w:gridCol w:w="1260"/>
      </w:tblGrid>
      <w:tr w:rsidR="00AB01BA" w:rsidTr="005F7006">
        <w:trPr>
          <w:cantSplit/>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ind w:left="143"/>
              <w:jc w:val="center"/>
              <w:rPr>
                <w:b/>
                <w:bCs/>
                <w:color w:val="000000"/>
                <w:lang w:val="uk-UA"/>
              </w:rPr>
            </w:pPr>
            <w:r>
              <w:rPr>
                <w:b/>
                <w:bCs/>
                <w:color w:val="000000"/>
                <w:lang w:val="uk-UA"/>
              </w:rPr>
              <w:t>Показник</w:t>
            </w:r>
          </w:p>
        </w:tc>
        <w:tc>
          <w:tcPr>
            <w:tcW w:w="3060"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1-ша група</w:t>
            </w:r>
          </w:p>
          <w:p w:rsidR="00AB01BA" w:rsidRDefault="00AB01BA" w:rsidP="005F7006">
            <w:pPr>
              <w:jc w:val="center"/>
              <w:rPr>
                <w:b/>
                <w:bCs/>
                <w:color w:val="000000"/>
                <w:lang w:val="uk-UA"/>
              </w:rPr>
            </w:pPr>
            <w:r>
              <w:rPr>
                <w:b/>
                <w:bCs/>
                <w:color w:val="000000"/>
                <w:lang w:val="uk-UA"/>
              </w:rPr>
              <w:t xml:space="preserve">(середньотяжкий перебіг, </w:t>
            </w:r>
          </w:p>
          <w:p w:rsidR="00AB01BA" w:rsidRDefault="00AB01BA" w:rsidP="005F7006">
            <w:pPr>
              <w:jc w:val="center"/>
              <w:rPr>
                <w:b/>
                <w:bCs/>
                <w:color w:val="000000"/>
                <w:lang w:val="uk-UA"/>
              </w:rPr>
            </w:pPr>
            <w:r>
              <w:rPr>
                <w:b/>
                <w:bCs/>
                <w:color w:val="000000"/>
                <w:lang w:val="uk-UA"/>
              </w:rPr>
              <w:t>n=50)</w:t>
            </w:r>
          </w:p>
        </w:tc>
        <w:tc>
          <w:tcPr>
            <w:tcW w:w="3240"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2-га група</w:t>
            </w:r>
          </w:p>
          <w:p w:rsidR="00AB01BA" w:rsidRDefault="00AB01BA" w:rsidP="005F7006">
            <w:pPr>
              <w:jc w:val="center"/>
              <w:rPr>
                <w:b/>
                <w:bCs/>
                <w:color w:val="000000"/>
                <w:lang w:val="uk-UA"/>
              </w:rPr>
            </w:pPr>
            <w:r>
              <w:rPr>
                <w:b/>
                <w:bCs/>
                <w:color w:val="000000"/>
                <w:lang w:val="uk-UA"/>
              </w:rPr>
              <w:t xml:space="preserve">(тяжкий перебіг, </w:t>
            </w:r>
          </w:p>
          <w:p w:rsidR="00AB01BA" w:rsidRDefault="00AB01BA" w:rsidP="005F7006">
            <w:pPr>
              <w:jc w:val="center"/>
              <w:rPr>
                <w:b/>
                <w:bCs/>
                <w:color w:val="000000"/>
                <w:lang w:val="uk-UA"/>
              </w:rPr>
            </w:pPr>
            <w:r>
              <w:rPr>
                <w:b/>
                <w:bCs/>
                <w:color w:val="000000"/>
                <w:lang w:val="uk-UA"/>
              </w:rPr>
              <w:t>n=32)</w:t>
            </w:r>
          </w:p>
        </w:tc>
        <w:tc>
          <w:tcPr>
            <w:tcW w:w="1260" w:type="dxa"/>
            <w:vMerge w:val="restart"/>
            <w:tcBorders>
              <w:top w:val="single" w:sz="4" w:space="0" w:color="auto"/>
              <w:left w:val="single" w:sz="4" w:space="0" w:color="auto"/>
              <w:bottom w:val="single" w:sz="4" w:space="0" w:color="auto"/>
              <w:right w:val="single" w:sz="4" w:space="0" w:color="auto"/>
            </w:tcBorders>
          </w:tcPr>
          <w:p w:rsidR="00AB01BA" w:rsidRDefault="00AB01BA" w:rsidP="005F7006">
            <w:pPr>
              <w:pStyle w:val="affffffff9"/>
              <w:spacing w:line="240" w:lineRule="auto"/>
              <w:rPr>
                <w:b/>
                <w:bCs/>
                <w:color w:val="000000"/>
                <w:sz w:val="24"/>
                <w:szCs w:val="24"/>
              </w:rPr>
            </w:pPr>
            <w:r>
              <w:rPr>
                <w:b/>
                <w:bCs/>
                <w:color w:val="000000"/>
                <w:sz w:val="24"/>
                <w:szCs w:val="24"/>
              </w:rPr>
              <w:t>Група конт-ролю</w:t>
            </w:r>
          </w:p>
          <w:p w:rsidR="00AB01BA" w:rsidRDefault="00AB01BA" w:rsidP="005F7006">
            <w:pPr>
              <w:pStyle w:val="affffffff9"/>
              <w:spacing w:line="240" w:lineRule="auto"/>
              <w:rPr>
                <w:b/>
                <w:bCs/>
                <w:color w:val="000000"/>
                <w:sz w:val="24"/>
                <w:szCs w:val="24"/>
              </w:rPr>
            </w:pPr>
            <w:r>
              <w:rPr>
                <w:b/>
                <w:bCs/>
                <w:color w:val="000000"/>
                <w:sz w:val="24"/>
                <w:szCs w:val="24"/>
              </w:rPr>
              <w:t>(</w:t>
            </w:r>
            <w:r>
              <w:rPr>
                <w:b/>
                <w:bCs/>
                <w:color w:val="000000"/>
                <w:sz w:val="24"/>
                <w:szCs w:val="24"/>
                <w:lang w:val="en-US"/>
              </w:rPr>
              <w:t>n=20</w:t>
            </w:r>
            <w:r>
              <w:rPr>
                <w:b/>
                <w:bCs/>
                <w:color w:val="000000"/>
                <w:sz w:val="24"/>
                <w:szCs w:val="24"/>
              </w:rPr>
              <w:t>)</w:t>
            </w:r>
          </w:p>
        </w:tc>
      </w:tr>
      <w:tr w:rsidR="00AB01BA" w:rsidTr="005F7006">
        <w:trPr>
          <w:cantSplit/>
        </w:trPr>
        <w:tc>
          <w:tcPr>
            <w:tcW w:w="1800" w:type="dxa"/>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i/>
                <w:iCs/>
                <w:color w:val="000000"/>
                <w:lang w:val="uk-UA"/>
              </w:rPr>
            </w:pPr>
          </w:p>
        </w:tc>
        <w:tc>
          <w:tcPr>
            <w:tcW w:w="153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гострий період</w:t>
            </w:r>
          </w:p>
        </w:tc>
        <w:tc>
          <w:tcPr>
            <w:tcW w:w="153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21-ша доба лікування</w:t>
            </w:r>
          </w:p>
        </w:tc>
        <w:tc>
          <w:tcPr>
            <w:tcW w:w="162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гострий період</w:t>
            </w:r>
          </w:p>
        </w:tc>
        <w:tc>
          <w:tcPr>
            <w:tcW w:w="162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21-ша доба лікування</w:t>
            </w:r>
          </w:p>
        </w:tc>
        <w:tc>
          <w:tcPr>
            <w:tcW w:w="1260" w:type="dxa"/>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both"/>
              <w:rPr>
                <w:color w:val="000000"/>
                <w:sz w:val="28"/>
                <w:szCs w:val="28"/>
                <w:lang w:val="uk-UA"/>
              </w:rPr>
            </w:pPr>
          </w:p>
        </w:tc>
      </w:tr>
      <w:tr w:rsidR="00AB01BA" w:rsidTr="005F7006">
        <w:trPr>
          <w:trHeight w:val="305"/>
        </w:trPr>
        <w:tc>
          <w:tcPr>
            <w:tcW w:w="1800" w:type="dxa"/>
            <w:tcBorders>
              <w:top w:val="single" w:sz="4" w:space="0" w:color="auto"/>
              <w:left w:val="single" w:sz="4" w:space="0" w:color="auto"/>
              <w:bottom w:val="single" w:sz="4" w:space="0" w:color="auto"/>
              <w:right w:val="single" w:sz="4" w:space="0" w:color="auto"/>
            </w:tcBorders>
          </w:tcPr>
          <w:p w:rsidR="00AB01BA" w:rsidRDefault="00AB01BA" w:rsidP="005F7006">
            <w:pPr>
              <w:rPr>
                <w:b/>
                <w:bCs/>
                <w:color w:val="000000"/>
                <w:lang w:val="uk-UA"/>
              </w:rPr>
            </w:pPr>
            <w:r>
              <w:rPr>
                <w:b/>
                <w:bCs/>
                <w:color w:val="000000"/>
                <w:lang w:val="uk-UA"/>
              </w:rPr>
              <w:t>CD3+</w:t>
            </w:r>
          </w:p>
          <w:p w:rsidR="00AB01BA" w:rsidRDefault="00AB01BA" w:rsidP="005F7006">
            <w:pPr>
              <w:rPr>
                <w:b/>
                <w:bCs/>
                <w:color w:val="000000"/>
                <w:lang w:val="uk-UA"/>
              </w:rPr>
            </w:pPr>
            <w:r>
              <w:rPr>
                <w:b/>
                <w:bCs/>
                <w:color w:val="000000"/>
                <w:lang w:val="uk-UA"/>
              </w:rPr>
              <w:lastRenderedPageBreak/>
              <w:t>абс. число</w:t>
            </w:r>
          </w:p>
          <w:p w:rsidR="00AB01BA" w:rsidRDefault="00AB01BA" w:rsidP="005F7006">
            <w:pPr>
              <w:rPr>
                <w:b/>
                <w:bCs/>
                <w:color w:val="000000"/>
                <w:lang w:val="uk-UA"/>
              </w:rPr>
            </w:pPr>
            <w:r>
              <w:rPr>
                <w:b/>
                <w:bCs/>
                <w:color w:val="000000"/>
                <w:lang w:val="uk-UA"/>
              </w:rPr>
              <w:t>×10</w:t>
            </w:r>
            <w:r>
              <w:rPr>
                <w:b/>
                <w:bCs/>
                <w:color w:val="000000"/>
                <w:vertAlign w:val="superscript"/>
                <w:lang w:val="uk-UA"/>
              </w:rPr>
              <w:t>6</w:t>
            </w:r>
            <w:r>
              <w:rPr>
                <w:b/>
                <w:bCs/>
                <w:color w:val="000000"/>
                <w:lang w:val="uk-UA"/>
              </w:rPr>
              <w:t>/мл</w:t>
            </w:r>
          </w:p>
          <w:p w:rsidR="00AB01BA" w:rsidRDefault="00AB01BA" w:rsidP="005F7006">
            <w:pPr>
              <w:rPr>
                <w:b/>
                <w:bCs/>
                <w:color w:val="000000"/>
                <w:lang w:val="uk-UA"/>
              </w:rPr>
            </w:pPr>
            <w:r>
              <w:rPr>
                <w:b/>
                <w:bCs/>
                <w:color w:val="000000"/>
                <w:lang w:val="uk-UA"/>
              </w:rPr>
              <w:t>відносна кількість %</w:t>
            </w:r>
          </w:p>
        </w:tc>
        <w:tc>
          <w:tcPr>
            <w:tcW w:w="153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lastRenderedPageBreak/>
              <w:t>1290±165,7</w:t>
            </w:r>
            <w:r>
              <w:rPr>
                <w:b/>
                <w:bCs/>
                <w:color w:val="000000"/>
                <w:sz w:val="20"/>
                <w:vertAlign w:val="superscript"/>
              </w:rPr>
              <w:t>1,3,4</w:t>
            </w:r>
          </w:p>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51,7±3,1</w:t>
            </w:r>
          </w:p>
        </w:tc>
        <w:tc>
          <w:tcPr>
            <w:tcW w:w="153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lastRenderedPageBreak/>
              <w:t>946,6±51,5</w:t>
            </w:r>
            <w:r>
              <w:rPr>
                <w:b/>
                <w:bCs/>
                <w:color w:val="000000"/>
                <w:sz w:val="20"/>
                <w:vertAlign w:val="superscript"/>
              </w:rPr>
              <w:t>3,4</w:t>
            </w:r>
          </w:p>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52,3±2,8</w:t>
            </w:r>
            <w:r>
              <w:rPr>
                <w:b/>
                <w:bCs/>
                <w:color w:val="000000"/>
                <w:sz w:val="20"/>
                <w:vertAlign w:val="superscript"/>
              </w:rPr>
              <w:t>3</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lastRenderedPageBreak/>
              <w:t>2190±145,4</w:t>
            </w:r>
            <w:r>
              <w:rPr>
                <w:b/>
                <w:bCs/>
                <w:color w:val="000000"/>
                <w:sz w:val="20"/>
                <w:vertAlign w:val="superscript"/>
              </w:rPr>
              <w:t>1,3,4</w:t>
            </w:r>
          </w:p>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57,5±3,5</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vertAlign w:val="superscript"/>
              </w:rPr>
            </w:pPr>
            <w:r>
              <w:rPr>
                <w:b/>
                <w:bCs/>
                <w:color w:val="000000"/>
                <w:sz w:val="20"/>
              </w:rPr>
              <w:lastRenderedPageBreak/>
              <w:t>066,6±143,4</w:t>
            </w:r>
            <w:r>
              <w:rPr>
                <w:b/>
                <w:bCs/>
                <w:color w:val="000000"/>
                <w:sz w:val="20"/>
                <w:vertAlign w:val="superscript"/>
              </w:rPr>
              <w:t>2,3,4</w:t>
            </w:r>
          </w:p>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50,8±1,8</w:t>
            </w:r>
            <w:r>
              <w:rPr>
                <w:b/>
                <w:bCs/>
                <w:color w:val="000000"/>
                <w:sz w:val="20"/>
                <w:vertAlign w:val="superscript"/>
              </w:rPr>
              <w:t>3</w:t>
            </w:r>
          </w:p>
        </w:tc>
        <w:tc>
          <w:tcPr>
            <w:tcW w:w="126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lastRenderedPageBreak/>
              <w:t>908,8±125,8</w:t>
            </w:r>
          </w:p>
          <w:p w:rsidR="00AB01BA" w:rsidRDefault="00AB01BA" w:rsidP="005F7006">
            <w:pPr>
              <w:pStyle w:val="affffffff9"/>
              <w:rPr>
                <w:b/>
                <w:bCs/>
                <w:color w:val="000000"/>
                <w:sz w:val="20"/>
              </w:rPr>
            </w:pPr>
          </w:p>
          <w:p w:rsidR="00AB01BA" w:rsidRDefault="00AB01BA" w:rsidP="005F7006">
            <w:pPr>
              <w:pStyle w:val="affffffff9"/>
              <w:rPr>
                <w:b/>
                <w:bCs/>
                <w:i/>
                <w:iCs/>
                <w:color w:val="000000"/>
                <w:sz w:val="20"/>
              </w:rPr>
            </w:pPr>
            <w:r>
              <w:rPr>
                <w:b/>
                <w:bCs/>
                <w:color w:val="000000"/>
                <w:sz w:val="20"/>
              </w:rPr>
              <w:t>51,9±1,8</w:t>
            </w:r>
          </w:p>
        </w:tc>
      </w:tr>
      <w:tr w:rsidR="00AB01BA" w:rsidTr="005F7006">
        <w:tc>
          <w:tcPr>
            <w:tcW w:w="1800" w:type="dxa"/>
            <w:tcBorders>
              <w:top w:val="single" w:sz="4" w:space="0" w:color="auto"/>
              <w:left w:val="single" w:sz="4" w:space="0" w:color="auto"/>
              <w:bottom w:val="single" w:sz="4" w:space="0" w:color="auto"/>
              <w:right w:val="single" w:sz="4" w:space="0" w:color="auto"/>
            </w:tcBorders>
          </w:tcPr>
          <w:p w:rsidR="00AB01BA" w:rsidRDefault="00AB01BA" w:rsidP="005F7006">
            <w:pPr>
              <w:rPr>
                <w:b/>
                <w:bCs/>
                <w:color w:val="000000"/>
                <w:lang w:val="uk-UA"/>
              </w:rPr>
            </w:pPr>
            <w:r>
              <w:rPr>
                <w:b/>
                <w:bCs/>
                <w:color w:val="000000"/>
                <w:lang w:val="uk-UA"/>
              </w:rPr>
              <w:lastRenderedPageBreak/>
              <w:t>CD4+</w:t>
            </w:r>
          </w:p>
          <w:p w:rsidR="00AB01BA" w:rsidRDefault="00AB01BA" w:rsidP="005F7006">
            <w:pPr>
              <w:rPr>
                <w:b/>
                <w:bCs/>
                <w:color w:val="000000"/>
                <w:lang w:val="uk-UA"/>
              </w:rPr>
            </w:pPr>
            <w:r>
              <w:rPr>
                <w:b/>
                <w:bCs/>
                <w:color w:val="000000"/>
                <w:lang w:val="uk-UA"/>
              </w:rPr>
              <w:t>абс. число</w:t>
            </w:r>
          </w:p>
          <w:p w:rsidR="00AB01BA" w:rsidRDefault="00AB01BA" w:rsidP="005F7006">
            <w:pPr>
              <w:rPr>
                <w:b/>
                <w:bCs/>
                <w:color w:val="000000"/>
                <w:lang w:val="uk-UA"/>
              </w:rPr>
            </w:pPr>
            <w:r>
              <w:rPr>
                <w:b/>
                <w:bCs/>
                <w:color w:val="000000"/>
                <w:lang w:val="uk-UA"/>
              </w:rPr>
              <w:t>×10</w:t>
            </w:r>
            <w:r>
              <w:rPr>
                <w:b/>
                <w:bCs/>
                <w:color w:val="000000"/>
                <w:vertAlign w:val="superscript"/>
                <w:lang w:val="uk-UA"/>
              </w:rPr>
              <w:t>6</w:t>
            </w:r>
            <w:r>
              <w:rPr>
                <w:b/>
                <w:bCs/>
                <w:color w:val="000000"/>
                <w:lang w:val="uk-UA"/>
              </w:rPr>
              <w:t>/мл</w:t>
            </w:r>
          </w:p>
          <w:p w:rsidR="00AB01BA" w:rsidRDefault="00AB01BA" w:rsidP="005F7006">
            <w:pPr>
              <w:rPr>
                <w:b/>
                <w:bCs/>
                <w:color w:val="000000"/>
                <w:lang w:val="uk-UA"/>
              </w:rPr>
            </w:pPr>
            <w:r>
              <w:rPr>
                <w:b/>
                <w:bCs/>
                <w:color w:val="000000"/>
                <w:lang w:val="uk-UA"/>
              </w:rPr>
              <w:t>відносна кількість %</w:t>
            </w:r>
          </w:p>
        </w:tc>
        <w:tc>
          <w:tcPr>
            <w:tcW w:w="153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780,9±98,1</w:t>
            </w:r>
            <w:r>
              <w:rPr>
                <w:b/>
                <w:bCs/>
                <w:color w:val="000000"/>
                <w:sz w:val="20"/>
                <w:vertAlign w:val="superscript"/>
              </w:rPr>
              <w:t>1,3,4</w:t>
            </w:r>
          </w:p>
          <w:p w:rsidR="00AB01BA" w:rsidRDefault="00AB01BA" w:rsidP="005F7006">
            <w:pPr>
              <w:pStyle w:val="affffffff9"/>
              <w:rPr>
                <w:b/>
                <w:bCs/>
                <w:color w:val="000000"/>
                <w:sz w:val="20"/>
              </w:rPr>
            </w:pPr>
          </w:p>
          <w:p w:rsidR="00AB01BA" w:rsidRDefault="00AB01BA" w:rsidP="005F7006">
            <w:pPr>
              <w:pStyle w:val="affffffff9"/>
              <w:rPr>
                <w:b/>
                <w:bCs/>
                <w:i/>
                <w:iCs/>
                <w:color w:val="000000"/>
                <w:sz w:val="20"/>
              </w:rPr>
            </w:pPr>
            <w:r>
              <w:rPr>
                <w:b/>
                <w:bCs/>
                <w:color w:val="000000"/>
                <w:sz w:val="20"/>
              </w:rPr>
              <w:t>31,3±5,6</w:t>
            </w:r>
            <w:r>
              <w:rPr>
                <w:b/>
                <w:bCs/>
                <w:color w:val="000000"/>
                <w:sz w:val="20"/>
                <w:vertAlign w:val="superscript"/>
              </w:rPr>
              <w:t>1,3,4</w:t>
            </w:r>
          </w:p>
        </w:tc>
        <w:tc>
          <w:tcPr>
            <w:tcW w:w="153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695,3±61,5</w:t>
            </w:r>
            <w:r>
              <w:rPr>
                <w:b/>
                <w:bCs/>
                <w:color w:val="000000"/>
                <w:sz w:val="20"/>
                <w:vertAlign w:val="superscript"/>
              </w:rPr>
              <w:t>4</w:t>
            </w:r>
          </w:p>
          <w:p w:rsidR="00AB01BA" w:rsidRDefault="00AB01BA" w:rsidP="005F7006">
            <w:pPr>
              <w:pStyle w:val="affffffff9"/>
              <w:rPr>
                <w:b/>
                <w:bCs/>
                <w:color w:val="000000"/>
                <w:sz w:val="20"/>
              </w:rPr>
            </w:pPr>
          </w:p>
          <w:p w:rsidR="00AB01BA" w:rsidRDefault="00AB01BA" w:rsidP="005F7006">
            <w:pPr>
              <w:pStyle w:val="affffffff9"/>
              <w:rPr>
                <w:b/>
                <w:bCs/>
                <w:i/>
                <w:iCs/>
                <w:color w:val="000000"/>
                <w:sz w:val="20"/>
              </w:rPr>
            </w:pPr>
            <w:r>
              <w:rPr>
                <w:b/>
                <w:bCs/>
                <w:color w:val="000000"/>
                <w:sz w:val="20"/>
              </w:rPr>
              <w:t>38,1±7,1</w:t>
            </w:r>
            <w:r>
              <w:rPr>
                <w:b/>
                <w:bCs/>
                <w:color w:val="000000"/>
                <w:sz w:val="20"/>
                <w:vertAlign w:val="superscript"/>
              </w:rPr>
              <w:t>3,4</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406,4±53,6</w:t>
            </w:r>
            <w:r>
              <w:rPr>
                <w:b/>
                <w:bCs/>
                <w:color w:val="000000"/>
                <w:sz w:val="20"/>
                <w:vertAlign w:val="superscript"/>
              </w:rPr>
              <w:t>1,3,4</w:t>
            </w:r>
          </w:p>
          <w:p w:rsidR="00AB01BA" w:rsidRDefault="00AB01BA" w:rsidP="005F7006">
            <w:pPr>
              <w:pStyle w:val="affffffff9"/>
              <w:rPr>
                <w:b/>
                <w:bCs/>
                <w:color w:val="000000"/>
                <w:sz w:val="20"/>
              </w:rPr>
            </w:pPr>
          </w:p>
          <w:p w:rsidR="00AB01BA" w:rsidRDefault="00AB01BA" w:rsidP="005F7006">
            <w:pPr>
              <w:pStyle w:val="affffffff9"/>
              <w:rPr>
                <w:b/>
                <w:bCs/>
                <w:i/>
                <w:iCs/>
                <w:color w:val="000000"/>
                <w:sz w:val="20"/>
              </w:rPr>
            </w:pPr>
            <w:r>
              <w:rPr>
                <w:b/>
                <w:bCs/>
                <w:color w:val="000000"/>
                <w:sz w:val="20"/>
              </w:rPr>
              <w:t>10,7±3,9</w:t>
            </w:r>
            <w:r>
              <w:rPr>
                <w:b/>
                <w:bCs/>
                <w:color w:val="000000"/>
                <w:sz w:val="20"/>
                <w:vertAlign w:val="superscript"/>
              </w:rPr>
              <w:t>1,3,4</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603,8±67,1</w:t>
            </w:r>
            <w:r>
              <w:rPr>
                <w:b/>
                <w:bCs/>
                <w:color w:val="000000"/>
                <w:sz w:val="20"/>
                <w:vertAlign w:val="superscript"/>
              </w:rPr>
              <w:t>4</w:t>
            </w:r>
          </w:p>
          <w:p w:rsidR="00AB01BA" w:rsidRDefault="00AB01BA" w:rsidP="005F7006">
            <w:pPr>
              <w:pStyle w:val="affffffff9"/>
              <w:rPr>
                <w:b/>
                <w:bCs/>
                <w:color w:val="000000"/>
                <w:sz w:val="20"/>
              </w:rPr>
            </w:pPr>
          </w:p>
          <w:p w:rsidR="00AB01BA" w:rsidRDefault="00AB01BA" w:rsidP="005F7006">
            <w:pPr>
              <w:pStyle w:val="affffffff9"/>
              <w:rPr>
                <w:b/>
                <w:bCs/>
                <w:i/>
                <w:iCs/>
                <w:color w:val="000000"/>
                <w:sz w:val="20"/>
              </w:rPr>
            </w:pPr>
            <w:r>
              <w:rPr>
                <w:b/>
                <w:bCs/>
                <w:color w:val="000000"/>
                <w:sz w:val="20"/>
              </w:rPr>
              <w:t>28,75±3,6</w:t>
            </w:r>
            <w:r>
              <w:rPr>
                <w:b/>
                <w:bCs/>
                <w:color w:val="000000"/>
                <w:sz w:val="20"/>
                <w:vertAlign w:val="superscript"/>
              </w:rPr>
              <w:t>2,3,4</w:t>
            </w:r>
          </w:p>
        </w:tc>
        <w:tc>
          <w:tcPr>
            <w:tcW w:w="126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659,7±97</w:t>
            </w:r>
          </w:p>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37,5±1,5</w:t>
            </w:r>
          </w:p>
        </w:tc>
      </w:tr>
      <w:tr w:rsidR="00AB01BA" w:rsidTr="005F7006">
        <w:tc>
          <w:tcPr>
            <w:tcW w:w="1800" w:type="dxa"/>
            <w:tcBorders>
              <w:top w:val="single" w:sz="4" w:space="0" w:color="auto"/>
              <w:left w:val="single" w:sz="4" w:space="0" w:color="auto"/>
              <w:bottom w:val="single" w:sz="4" w:space="0" w:color="auto"/>
              <w:right w:val="single" w:sz="4" w:space="0" w:color="auto"/>
            </w:tcBorders>
          </w:tcPr>
          <w:p w:rsidR="00AB01BA" w:rsidRDefault="00AB01BA" w:rsidP="005F7006">
            <w:pPr>
              <w:jc w:val="both"/>
              <w:rPr>
                <w:b/>
                <w:bCs/>
                <w:color w:val="000000"/>
                <w:lang w:val="uk-UA"/>
              </w:rPr>
            </w:pPr>
            <w:r>
              <w:rPr>
                <w:b/>
                <w:bCs/>
                <w:color w:val="000000"/>
                <w:lang w:val="uk-UA"/>
              </w:rPr>
              <w:t>CD8+</w:t>
            </w:r>
          </w:p>
          <w:p w:rsidR="00AB01BA" w:rsidRDefault="00AB01BA" w:rsidP="005F7006">
            <w:pPr>
              <w:jc w:val="both"/>
              <w:rPr>
                <w:b/>
                <w:bCs/>
                <w:color w:val="000000"/>
                <w:lang w:val="uk-UA"/>
              </w:rPr>
            </w:pPr>
            <w:r>
              <w:rPr>
                <w:b/>
                <w:bCs/>
                <w:color w:val="000000"/>
                <w:lang w:val="uk-UA"/>
              </w:rPr>
              <w:t>абс. число</w:t>
            </w:r>
          </w:p>
          <w:p w:rsidR="00AB01BA" w:rsidRDefault="00AB01BA" w:rsidP="005F7006">
            <w:pPr>
              <w:jc w:val="both"/>
              <w:rPr>
                <w:b/>
                <w:bCs/>
                <w:color w:val="000000"/>
                <w:lang w:val="uk-UA"/>
              </w:rPr>
            </w:pPr>
            <w:r>
              <w:rPr>
                <w:b/>
                <w:bCs/>
                <w:color w:val="000000"/>
                <w:lang w:val="uk-UA"/>
              </w:rPr>
              <w:t>×10</w:t>
            </w:r>
            <w:r>
              <w:rPr>
                <w:b/>
                <w:bCs/>
                <w:color w:val="000000"/>
                <w:vertAlign w:val="superscript"/>
                <w:lang w:val="uk-UA"/>
              </w:rPr>
              <w:t>6</w:t>
            </w:r>
            <w:r>
              <w:rPr>
                <w:b/>
                <w:bCs/>
                <w:color w:val="000000"/>
                <w:lang w:val="uk-UA"/>
              </w:rPr>
              <w:t>/мл відносна кількість %</w:t>
            </w:r>
          </w:p>
        </w:tc>
        <w:tc>
          <w:tcPr>
            <w:tcW w:w="153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359,3±23,1</w:t>
            </w:r>
            <w:r>
              <w:rPr>
                <w:b/>
                <w:bCs/>
                <w:color w:val="000000"/>
                <w:sz w:val="20"/>
                <w:vertAlign w:val="superscript"/>
              </w:rPr>
              <w:t>1,3,4</w:t>
            </w:r>
          </w:p>
          <w:p w:rsidR="00AB01BA" w:rsidRDefault="00AB01BA" w:rsidP="005F7006">
            <w:pPr>
              <w:pStyle w:val="affffffff9"/>
              <w:rPr>
                <w:b/>
                <w:bCs/>
                <w:color w:val="000000"/>
                <w:sz w:val="20"/>
              </w:rPr>
            </w:pPr>
          </w:p>
          <w:p w:rsidR="00AB01BA" w:rsidRDefault="00AB01BA" w:rsidP="005F7006">
            <w:pPr>
              <w:pStyle w:val="affffffff9"/>
              <w:rPr>
                <w:b/>
                <w:bCs/>
                <w:i/>
                <w:iCs/>
                <w:color w:val="000000"/>
                <w:sz w:val="20"/>
              </w:rPr>
            </w:pPr>
            <w:r>
              <w:rPr>
                <w:b/>
                <w:bCs/>
                <w:color w:val="000000"/>
                <w:sz w:val="20"/>
              </w:rPr>
              <w:t>14,4±2,37</w:t>
            </w:r>
            <w:r>
              <w:rPr>
                <w:b/>
                <w:bCs/>
                <w:color w:val="000000"/>
                <w:sz w:val="20"/>
                <w:vertAlign w:val="superscript"/>
              </w:rPr>
              <w:t>1,3</w:t>
            </w:r>
          </w:p>
        </w:tc>
        <w:tc>
          <w:tcPr>
            <w:tcW w:w="153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393,5±25,6</w:t>
            </w:r>
            <w:r>
              <w:rPr>
                <w:b/>
                <w:bCs/>
                <w:color w:val="000000"/>
                <w:sz w:val="20"/>
                <w:vertAlign w:val="superscript"/>
              </w:rPr>
              <w:t>2,3,4</w:t>
            </w:r>
          </w:p>
          <w:p w:rsidR="00AB01BA" w:rsidRDefault="00AB01BA" w:rsidP="005F7006">
            <w:pPr>
              <w:pStyle w:val="affffffff9"/>
              <w:rPr>
                <w:b/>
                <w:bCs/>
                <w:color w:val="000000"/>
                <w:sz w:val="20"/>
              </w:rPr>
            </w:pPr>
          </w:p>
          <w:p w:rsidR="00AB01BA" w:rsidRDefault="00AB01BA" w:rsidP="005F7006">
            <w:pPr>
              <w:pStyle w:val="affffffff9"/>
              <w:rPr>
                <w:b/>
                <w:bCs/>
                <w:i/>
                <w:iCs/>
                <w:color w:val="000000"/>
                <w:sz w:val="20"/>
              </w:rPr>
            </w:pPr>
            <w:r>
              <w:rPr>
                <w:b/>
                <w:bCs/>
                <w:color w:val="000000"/>
                <w:sz w:val="20"/>
              </w:rPr>
              <w:t>21,5±4,51</w:t>
            </w:r>
            <w:r>
              <w:rPr>
                <w:b/>
                <w:bCs/>
                <w:color w:val="000000"/>
                <w:sz w:val="20"/>
                <w:vertAlign w:val="superscript"/>
              </w:rPr>
              <w:t>2,3</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930,50±37,53</w:t>
            </w:r>
            <w:r>
              <w:rPr>
                <w:b/>
                <w:bCs/>
                <w:color w:val="000000"/>
                <w:sz w:val="20"/>
                <w:vertAlign w:val="superscript"/>
              </w:rPr>
              <w:t>1,3,4</w:t>
            </w:r>
          </w:p>
          <w:p w:rsidR="00AB01BA" w:rsidRDefault="00AB01BA" w:rsidP="005F7006">
            <w:pPr>
              <w:pStyle w:val="affffffff9"/>
              <w:rPr>
                <w:b/>
                <w:bCs/>
                <w:color w:val="000000"/>
                <w:sz w:val="20"/>
              </w:rPr>
            </w:pPr>
          </w:p>
          <w:p w:rsidR="00AB01BA" w:rsidRDefault="00AB01BA" w:rsidP="005F7006">
            <w:pPr>
              <w:pStyle w:val="affffffff9"/>
              <w:rPr>
                <w:b/>
                <w:bCs/>
                <w:i/>
                <w:iCs/>
                <w:color w:val="000000"/>
                <w:sz w:val="20"/>
              </w:rPr>
            </w:pPr>
            <w:r>
              <w:rPr>
                <w:b/>
                <w:bCs/>
                <w:color w:val="000000"/>
                <w:sz w:val="20"/>
              </w:rPr>
              <w:t>24,50±1,56</w:t>
            </w:r>
            <w:r>
              <w:rPr>
                <w:b/>
                <w:bCs/>
                <w:color w:val="000000"/>
                <w:sz w:val="20"/>
                <w:vertAlign w:val="superscript"/>
              </w:rPr>
              <w:t>3</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560,7±27,4</w:t>
            </w:r>
            <w:r>
              <w:rPr>
                <w:b/>
                <w:bCs/>
                <w:color w:val="000000"/>
                <w:sz w:val="20"/>
                <w:vertAlign w:val="superscript"/>
              </w:rPr>
              <w:t>2,3,4</w:t>
            </w:r>
          </w:p>
          <w:p w:rsidR="00AB01BA" w:rsidRDefault="00AB01BA" w:rsidP="005F7006">
            <w:pPr>
              <w:pStyle w:val="affffffff9"/>
              <w:rPr>
                <w:b/>
                <w:bCs/>
                <w:color w:val="000000"/>
                <w:sz w:val="20"/>
              </w:rPr>
            </w:pPr>
          </w:p>
          <w:p w:rsidR="00AB01BA" w:rsidRDefault="00AB01BA" w:rsidP="005F7006">
            <w:pPr>
              <w:pStyle w:val="affffffff9"/>
              <w:rPr>
                <w:b/>
                <w:bCs/>
                <w:i/>
                <w:iCs/>
                <w:color w:val="000000"/>
                <w:sz w:val="20"/>
              </w:rPr>
            </w:pPr>
            <w:r>
              <w:rPr>
                <w:b/>
                <w:bCs/>
                <w:color w:val="000000"/>
                <w:sz w:val="20"/>
              </w:rPr>
              <w:t>26,7±1,08</w:t>
            </w:r>
            <w:r>
              <w:rPr>
                <w:b/>
                <w:bCs/>
                <w:color w:val="000000"/>
                <w:sz w:val="20"/>
                <w:vertAlign w:val="superscript"/>
              </w:rPr>
              <w:t>2,3</w:t>
            </w:r>
          </w:p>
        </w:tc>
        <w:tc>
          <w:tcPr>
            <w:tcW w:w="126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394,9±29,8</w:t>
            </w:r>
          </w:p>
          <w:p w:rsidR="00AB01BA" w:rsidRDefault="00AB01BA" w:rsidP="005F7006">
            <w:pPr>
              <w:pStyle w:val="affffffff9"/>
              <w:rPr>
                <w:b/>
                <w:bCs/>
                <w:color w:val="000000"/>
                <w:sz w:val="20"/>
              </w:rPr>
            </w:pPr>
          </w:p>
          <w:p w:rsidR="00AB01BA" w:rsidRDefault="00AB01BA" w:rsidP="005F7006">
            <w:pPr>
              <w:pStyle w:val="affffffff9"/>
              <w:rPr>
                <w:b/>
                <w:bCs/>
                <w:color w:val="000000"/>
                <w:sz w:val="20"/>
              </w:rPr>
            </w:pPr>
            <w:r>
              <w:rPr>
                <w:b/>
                <w:bCs/>
                <w:color w:val="000000"/>
                <w:sz w:val="20"/>
              </w:rPr>
              <w:t>22,8±1,8</w:t>
            </w:r>
          </w:p>
        </w:tc>
      </w:tr>
      <w:tr w:rsidR="00AB01BA" w:rsidTr="005F7006">
        <w:tc>
          <w:tcPr>
            <w:tcW w:w="180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b/>
                <w:bCs/>
                <w:color w:val="000000"/>
                <w:lang w:val="uk-UA"/>
              </w:rPr>
            </w:pPr>
            <w:r>
              <w:rPr>
                <w:b/>
                <w:bCs/>
                <w:color w:val="000000"/>
                <w:lang w:val="uk-UA"/>
              </w:rPr>
              <w:t>CD4+/CD8+</w:t>
            </w:r>
          </w:p>
        </w:tc>
        <w:tc>
          <w:tcPr>
            <w:tcW w:w="153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i/>
                <w:iCs/>
                <w:color w:val="000000"/>
                <w:sz w:val="20"/>
              </w:rPr>
            </w:pPr>
            <w:r>
              <w:rPr>
                <w:b/>
                <w:bCs/>
                <w:color w:val="000000"/>
                <w:sz w:val="20"/>
              </w:rPr>
              <w:t>2,17±0,03</w:t>
            </w:r>
            <w:r>
              <w:rPr>
                <w:b/>
                <w:bCs/>
                <w:color w:val="000000"/>
                <w:sz w:val="20"/>
                <w:vertAlign w:val="superscript"/>
              </w:rPr>
              <w:t>3,4</w:t>
            </w:r>
          </w:p>
        </w:tc>
        <w:tc>
          <w:tcPr>
            <w:tcW w:w="153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i/>
                <w:iCs/>
                <w:color w:val="000000"/>
                <w:sz w:val="20"/>
              </w:rPr>
            </w:pPr>
            <w:r>
              <w:rPr>
                <w:b/>
                <w:bCs/>
                <w:color w:val="000000"/>
                <w:sz w:val="20"/>
              </w:rPr>
              <w:t>1,77±0,07</w:t>
            </w:r>
            <w:r>
              <w:rPr>
                <w:b/>
                <w:bCs/>
                <w:color w:val="000000"/>
                <w:sz w:val="20"/>
                <w:vertAlign w:val="superscript"/>
              </w:rPr>
              <w:t>4</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i/>
                <w:iCs/>
                <w:color w:val="000000"/>
                <w:sz w:val="20"/>
              </w:rPr>
            </w:pPr>
            <w:r>
              <w:rPr>
                <w:b/>
                <w:bCs/>
                <w:color w:val="000000"/>
                <w:sz w:val="20"/>
              </w:rPr>
              <w:t>0,43±0,04</w:t>
            </w:r>
            <w:r>
              <w:rPr>
                <w:b/>
                <w:bCs/>
                <w:color w:val="000000"/>
                <w:sz w:val="20"/>
                <w:vertAlign w:val="superscript"/>
              </w:rPr>
              <w:t>1,3,4</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i/>
                <w:iCs/>
                <w:color w:val="000000"/>
                <w:sz w:val="20"/>
              </w:rPr>
            </w:pPr>
            <w:r>
              <w:rPr>
                <w:b/>
                <w:bCs/>
                <w:color w:val="000000"/>
                <w:sz w:val="20"/>
              </w:rPr>
              <w:t>1,07±0,04</w:t>
            </w:r>
            <w:r>
              <w:rPr>
                <w:b/>
                <w:bCs/>
                <w:color w:val="000000"/>
                <w:sz w:val="20"/>
                <w:vertAlign w:val="superscript"/>
              </w:rPr>
              <w:t>4</w:t>
            </w:r>
          </w:p>
        </w:tc>
        <w:tc>
          <w:tcPr>
            <w:tcW w:w="1260" w:type="dxa"/>
            <w:tcBorders>
              <w:top w:val="single" w:sz="4" w:space="0" w:color="auto"/>
              <w:left w:val="single" w:sz="4" w:space="0" w:color="auto"/>
              <w:bottom w:val="single" w:sz="4" w:space="0" w:color="auto"/>
              <w:right w:val="single" w:sz="4" w:space="0" w:color="auto"/>
            </w:tcBorders>
          </w:tcPr>
          <w:p w:rsidR="00AB01BA" w:rsidRDefault="00AB01BA" w:rsidP="005F7006">
            <w:pPr>
              <w:pStyle w:val="affffffff9"/>
              <w:rPr>
                <w:b/>
                <w:bCs/>
                <w:color w:val="000000"/>
                <w:sz w:val="20"/>
              </w:rPr>
            </w:pPr>
            <w:r>
              <w:rPr>
                <w:b/>
                <w:bCs/>
                <w:color w:val="000000"/>
                <w:sz w:val="20"/>
              </w:rPr>
              <w:t>1,2±0,02</w:t>
            </w:r>
          </w:p>
        </w:tc>
      </w:tr>
    </w:tbl>
    <w:p w:rsidR="00AB01BA" w:rsidRDefault="00AB01BA" w:rsidP="00AB01BA">
      <w:pPr>
        <w:pStyle w:val="affffffff8"/>
        <w:rPr>
          <w:b/>
          <w:bCs/>
          <w:color w:val="000000"/>
          <w:lang w:val="uk-UA"/>
        </w:rPr>
      </w:pPr>
      <w:r>
        <w:rPr>
          <w:b/>
          <w:bCs/>
          <w:color w:val="000000"/>
          <w:lang w:val="uk-UA"/>
        </w:rPr>
        <w:t>Примітка:</w:t>
      </w:r>
    </w:p>
    <w:p w:rsidR="00AB01BA" w:rsidRDefault="00AB01BA" w:rsidP="00AB01BA">
      <w:pPr>
        <w:jc w:val="both"/>
        <w:rPr>
          <w:color w:val="000000"/>
          <w:lang w:val="uk-UA"/>
        </w:rPr>
      </w:pPr>
      <w:r>
        <w:rPr>
          <w:color w:val="000000"/>
          <w:vertAlign w:val="superscript"/>
          <w:lang w:val="uk-UA"/>
        </w:rPr>
        <w:t>1</w:t>
      </w:r>
      <w:r>
        <w:rPr>
          <w:color w:val="000000"/>
          <w:lang w:val="uk-UA"/>
        </w:rPr>
        <w:t xml:space="preserve"> </w:t>
      </w:r>
      <w:r>
        <w:rPr>
          <w:color w:val="000000"/>
          <w:lang w:val="uk-UA"/>
        </w:rPr>
        <w:sym w:font="Symbol" w:char="F02D"/>
      </w:r>
      <w:r>
        <w:rPr>
          <w:color w:val="000000"/>
          <w:lang w:val="uk-UA"/>
        </w:rPr>
        <w:t xml:space="preserve"> достовірна (р&lt;0,05) різниця між показниками в групі контролю та періоді розпалу; </w:t>
      </w:r>
    </w:p>
    <w:p w:rsidR="00AB01BA" w:rsidRDefault="00AB01BA" w:rsidP="00AB01BA">
      <w:pPr>
        <w:jc w:val="both"/>
        <w:rPr>
          <w:color w:val="000000"/>
          <w:lang w:val="uk-UA"/>
        </w:rPr>
      </w:pPr>
      <w:r>
        <w:rPr>
          <w:color w:val="000000"/>
          <w:vertAlign w:val="superscript"/>
          <w:lang w:val="uk-UA"/>
        </w:rPr>
        <w:t>2</w:t>
      </w:r>
      <w:r>
        <w:rPr>
          <w:color w:val="000000"/>
          <w:lang w:val="uk-UA"/>
        </w:rPr>
        <w:t xml:space="preserve"> </w:t>
      </w:r>
      <w:r>
        <w:rPr>
          <w:color w:val="000000"/>
          <w:lang w:val="uk-UA"/>
        </w:rPr>
        <w:sym w:font="Symbol" w:char="F02D"/>
      </w:r>
      <w:r>
        <w:rPr>
          <w:color w:val="000000"/>
          <w:lang w:val="uk-UA"/>
        </w:rPr>
        <w:t xml:space="preserve"> достовірна (р&lt;0,05) різниця між показниками контролю та періоду реконвалесценції;</w:t>
      </w:r>
    </w:p>
    <w:p w:rsidR="00AB01BA" w:rsidRDefault="00AB01BA" w:rsidP="00AB01BA">
      <w:pPr>
        <w:jc w:val="both"/>
        <w:rPr>
          <w:color w:val="000000"/>
          <w:lang w:val="uk-UA"/>
        </w:rPr>
      </w:pPr>
      <w:r>
        <w:rPr>
          <w:color w:val="000000"/>
          <w:vertAlign w:val="superscript"/>
          <w:lang w:val="uk-UA"/>
        </w:rPr>
        <w:t>3</w:t>
      </w:r>
      <w:r>
        <w:rPr>
          <w:color w:val="000000"/>
          <w:lang w:val="uk-UA"/>
        </w:rPr>
        <w:t xml:space="preserve"> </w:t>
      </w:r>
      <w:r>
        <w:rPr>
          <w:color w:val="000000"/>
          <w:lang w:val="uk-UA"/>
        </w:rPr>
        <w:sym w:font="Symbol" w:char="F02D"/>
      </w:r>
      <w:r>
        <w:rPr>
          <w:color w:val="000000"/>
          <w:lang w:val="uk-UA"/>
        </w:rPr>
        <w:t xml:space="preserve"> достовірна (р&lt;0,05) різниця між показниками у 1-й та 2-й групі хворих; </w:t>
      </w:r>
    </w:p>
    <w:p w:rsidR="00AB01BA" w:rsidRDefault="00AB01BA" w:rsidP="00AB01BA">
      <w:pPr>
        <w:jc w:val="both"/>
        <w:rPr>
          <w:color w:val="000000"/>
          <w:lang w:val="uk-UA"/>
        </w:rPr>
      </w:pPr>
      <w:r>
        <w:rPr>
          <w:color w:val="000000"/>
          <w:vertAlign w:val="superscript"/>
          <w:lang w:val="uk-UA"/>
        </w:rPr>
        <w:t xml:space="preserve">4 </w:t>
      </w:r>
      <w:r>
        <w:rPr>
          <w:color w:val="000000"/>
          <w:lang w:val="uk-UA"/>
        </w:rPr>
        <w:sym w:font="Symbol" w:char="F02D"/>
      </w:r>
      <w:r>
        <w:rPr>
          <w:color w:val="000000"/>
          <w:lang w:val="uk-UA"/>
        </w:rPr>
        <w:t xml:space="preserve"> достовірна (р&lt;0,05) різниця між показниками в періоді розпалу та періоді реконвалесценції.</w:t>
      </w:r>
    </w:p>
    <w:p w:rsidR="00AB01BA" w:rsidRDefault="00AB01BA" w:rsidP="00AB01BA">
      <w:pPr>
        <w:ind w:firstLine="900"/>
        <w:jc w:val="both"/>
        <w:rPr>
          <w:color w:val="000000"/>
          <w:sz w:val="28"/>
          <w:szCs w:val="28"/>
          <w:lang w:val="uk-UA"/>
        </w:rPr>
      </w:pPr>
      <w:r>
        <w:rPr>
          <w:color w:val="000000"/>
          <w:sz w:val="28"/>
          <w:szCs w:val="28"/>
          <w:lang w:val="uk-UA"/>
        </w:rPr>
        <w:t xml:space="preserve">Фагоцитарний показник і фагоцитарний індекс у хворих обох груп був зниженим у порівнянні з групою контролю (р&lt;0,05). У динаміці захворювання не було відмічено достовірної різниці у значеннях фагоцитарного показника та фагоцитарного індексу при порівнянні цих показників у хворих 1-ї та 2-ї груп. </w:t>
      </w:r>
    </w:p>
    <w:p w:rsidR="00AB01BA" w:rsidRDefault="00AB01BA" w:rsidP="00AB01BA">
      <w:pPr>
        <w:ind w:firstLine="900"/>
        <w:jc w:val="both"/>
        <w:rPr>
          <w:color w:val="000000"/>
          <w:sz w:val="28"/>
          <w:szCs w:val="28"/>
          <w:lang w:val="uk-UA"/>
        </w:rPr>
      </w:pPr>
      <w:r>
        <w:rPr>
          <w:color w:val="000000"/>
          <w:sz w:val="28"/>
          <w:szCs w:val="28"/>
          <w:lang w:val="uk-UA"/>
        </w:rPr>
        <w:t xml:space="preserve">Дослідження рівнів цитокінів T-хелперів 1-го типу – IL-1, TNF-α, INF-γ, та їх природних антагоністів, що синтезуються T- хелперами 2-го типу – IL-4, IL-10, виявили, що має місце переважання прозапальних цитокінів (макрофагольно-моноцитарного походження) над регуляторними цитокінами. В ідеалі підвищення концентрації протизапальних цитокінів у пацієнтів на початку захворювання, на нашу думку, треба розглядати як реакцію клітин моноцитарно-макрофагальної ланки на антигенне подразнення. Всі ці зміни мають саногенетичний характер у початковій фазі запального процесу, а відсутність підвищення рівнів прозапальних цитокінів, особливо IL-1, є прогностично несприятливою ознакою. Отримані нами результати демонструють залежність концентрації цитокінів у сироватці крові хворих на ГГМЕ від ступеня тяжкості захворювання. </w:t>
      </w:r>
    </w:p>
    <w:p w:rsidR="00AB01BA" w:rsidRDefault="00AB01BA" w:rsidP="00AB01BA">
      <w:pPr>
        <w:ind w:firstLine="900"/>
        <w:jc w:val="both"/>
        <w:rPr>
          <w:color w:val="000000"/>
          <w:sz w:val="28"/>
          <w:szCs w:val="28"/>
          <w:lang w:val="uk-UA"/>
        </w:rPr>
      </w:pPr>
      <w:r>
        <w:rPr>
          <w:color w:val="000000"/>
          <w:sz w:val="28"/>
          <w:szCs w:val="28"/>
          <w:lang w:val="uk-UA"/>
        </w:rPr>
        <w:t xml:space="preserve">Найбільш виражені порушення спостерігались у гострому періоді захворювання, і вони вірогідно відрізнялися від значень, що отримані в групі практично здорових донорів. У хворих встановлена значна різниця показників цитокінового профілю порівняно з показниками практично здорових донорів як в гострому періоді захворювання, так і в період ранньої реконвалесценції. Особливо виражені порушення відзначені у пацієнтів в гострому періоді захворювання: рівень усіх цитокінів різко підвищений у порівнянні з групою контролю. Причому рівень цитокінів у групі з тяжким перебігом ГГМЕ достовірно вищий, ніж у групі з середньотяжким перебігом (р&lt;0,001). У крові особливо показовим було підвищення майже у 20 разів рівня IL-10 та IL-4 у хворих з тяжким перебігом захворювання (р&lt;0,001) (табл. 4). </w:t>
      </w:r>
    </w:p>
    <w:p w:rsidR="00AB01BA" w:rsidRDefault="00AB01BA" w:rsidP="00AB01BA">
      <w:pPr>
        <w:ind w:firstLine="900"/>
        <w:jc w:val="both"/>
        <w:rPr>
          <w:color w:val="000000"/>
          <w:sz w:val="28"/>
          <w:szCs w:val="28"/>
          <w:lang w:val="uk-UA"/>
        </w:rPr>
      </w:pPr>
      <w:r>
        <w:rPr>
          <w:color w:val="000000"/>
          <w:sz w:val="28"/>
          <w:szCs w:val="28"/>
          <w:lang w:val="uk-UA"/>
        </w:rPr>
        <w:lastRenderedPageBreak/>
        <w:t xml:space="preserve">У той же час рівень TNF-α у гострому періоді у хворих 1-ї групи був вищий, ніж у хворих 2-ї групи та групи контролю (р&lt;0,05). </w:t>
      </w:r>
      <w:r>
        <w:rPr>
          <w:color w:val="000000"/>
          <w:spacing w:val="-9"/>
          <w:sz w:val="28"/>
          <w:szCs w:val="28"/>
          <w:lang w:val="uk-UA"/>
        </w:rPr>
        <w:t xml:space="preserve">У патофізіологічних умовах генерація </w:t>
      </w:r>
      <w:r>
        <w:rPr>
          <w:color w:val="000000"/>
          <w:spacing w:val="-9"/>
          <w:sz w:val="28"/>
          <w:szCs w:val="28"/>
          <w:lang w:val="en-US"/>
        </w:rPr>
        <w:t>TNF</w:t>
      </w:r>
      <w:r>
        <w:rPr>
          <w:color w:val="000000"/>
          <w:spacing w:val="-9"/>
          <w:sz w:val="28"/>
          <w:szCs w:val="28"/>
          <w:lang w:val="uk-UA"/>
        </w:rPr>
        <w:t>-</w:t>
      </w:r>
      <w:r>
        <w:rPr>
          <w:color w:val="000000"/>
          <w:spacing w:val="-9"/>
          <w:sz w:val="28"/>
          <w:szCs w:val="28"/>
          <w:lang w:val="en-US"/>
        </w:rPr>
        <w:t>α</w:t>
      </w:r>
      <w:r>
        <w:rPr>
          <w:color w:val="000000"/>
          <w:spacing w:val="-9"/>
          <w:sz w:val="28"/>
          <w:szCs w:val="28"/>
          <w:lang w:val="uk-UA"/>
        </w:rPr>
        <w:t xml:space="preserve"> на високому рівні призводить до розвитку запальних реакцій, що є ознакою багатьох захворювань, таких як сепсис, ревматизм, хвороба Крона тощо. Крім того, з’являється все більше даних про участь цього цитокіну в реакціях цитотоксичності, що має велике значення у противірусній імунній відповіді. </w:t>
      </w:r>
    </w:p>
    <w:p w:rsidR="00AB01BA" w:rsidRDefault="00AB01BA" w:rsidP="00AB01BA">
      <w:pPr>
        <w:spacing w:line="360" w:lineRule="atLeast"/>
        <w:ind w:firstLine="709"/>
        <w:jc w:val="right"/>
        <w:rPr>
          <w:b/>
          <w:bCs/>
          <w:color w:val="000000"/>
          <w:sz w:val="28"/>
          <w:szCs w:val="28"/>
          <w:lang w:val="uk-UA"/>
        </w:rPr>
      </w:pPr>
      <w:r>
        <w:rPr>
          <w:b/>
          <w:bCs/>
          <w:color w:val="000000"/>
          <w:sz w:val="28"/>
          <w:szCs w:val="28"/>
          <w:lang w:val="uk-UA"/>
        </w:rPr>
        <w:t>Таблиця 4</w:t>
      </w:r>
    </w:p>
    <w:p w:rsidR="00AB01BA" w:rsidRDefault="00AB01BA" w:rsidP="00AB01BA">
      <w:pPr>
        <w:ind w:firstLine="708"/>
        <w:jc w:val="center"/>
        <w:rPr>
          <w:b/>
          <w:bCs/>
          <w:color w:val="000000"/>
          <w:sz w:val="28"/>
          <w:szCs w:val="28"/>
          <w:lang w:val="uk-UA"/>
        </w:rPr>
      </w:pPr>
      <w:r>
        <w:rPr>
          <w:b/>
          <w:bCs/>
          <w:color w:val="000000"/>
          <w:sz w:val="28"/>
          <w:szCs w:val="28"/>
          <w:lang w:val="uk-UA"/>
        </w:rPr>
        <w:t xml:space="preserve">Рівень IL-1, IL-4, IL-10, INF-γ та TNF-α у сироватці крові хворих на гострі герпесвірусні менінгоенцефаліти у динаміці захворювання </w:t>
      </w:r>
      <w:r>
        <w:rPr>
          <w:b/>
          <w:bCs/>
          <w:sz w:val="28"/>
          <w:szCs w:val="28"/>
          <w:lang w:val="uk-UA"/>
        </w:rPr>
        <w:t>(M</w:t>
      </w:r>
      <w:r>
        <w:rPr>
          <w:b/>
          <w:bCs/>
          <w:color w:val="000000"/>
          <w:lang w:val="uk-UA"/>
        </w:rPr>
        <w:sym w:font="Symbol" w:char="F0B1"/>
      </w:r>
      <w:r>
        <w:rPr>
          <w:b/>
          <w:bCs/>
          <w:color w:val="000000"/>
          <w:sz w:val="28"/>
          <w:szCs w:val="28"/>
          <w:lang w:val="uk-UA"/>
        </w:rPr>
        <w: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036"/>
        <w:gridCol w:w="1440"/>
        <w:gridCol w:w="1620"/>
        <w:gridCol w:w="1602"/>
        <w:gridCol w:w="1402"/>
      </w:tblGrid>
      <w:tr w:rsidR="00AB01BA" w:rsidTr="005F7006">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Показник</w:t>
            </w:r>
          </w:p>
          <w:p w:rsidR="00AB01BA" w:rsidRDefault="00AB01BA" w:rsidP="005F7006">
            <w:pPr>
              <w:jc w:val="center"/>
              <w:rPr>
                <w:b/>
                <w:bCs/>
                <w:color w:val="000000"/>
                <w:lang w:val="uk-UA"/>
              </w:rPr>
            </w:pPr>
            <w:r>
              <w:rPr>
                <w:b/>
                <w:bCs/>
                <w:color w:val="000000"/>
                <w:lang w:val="uk-UA"/>
              </w:rPr>
              <w:t>пг/мл</w:t>
            </w:r>
          </w:p>
        </w:tc>
        <w:tc>
          <w:tcPr>
            <w:tcW w:w="3476"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1-ша група</w:t>
            </w:r>
          </w:p>
          <w:p w:rsidR="00AB01BA" w:rsidRDefault="00AB01BA" w:rsidP="005F7006">
            <w:pPr>
              <w:jc w:val="center"/>
              <w:rPr>
                <w:b/>
                <w:bCs/>
                <w:color w:val="000000"/>
                <w:lang w:val="uk-UA"/>
              </w:rPr>
            </w:pPr>
            <w:r>
              <w:rPr>
                <w:b/>
                <w:bCs/>
                <w:color w:val="000000"/>
                <w:lang w:val="uk-UA"/>
              </w:rPr>
              <w:t>(Середньотяжкий перебіг, n=49)</w:t>
            </w:r>
          </w:p>
        </w:tc>
        <w:tc>
          <w:tcPr>
            <w:tcW w:w="3222"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 xml:space="preserve">2-га група </w:t>
            </w:r>
          </w:p>
          <w:p w:rsidR="00AB01BA" w:rsidRDefault="00AB01BA" w:rsidP="005F7006">
            <w:pPr>
              <w:jc w:val="center"/>
              <w:rPr>
                <w:b/>
                <w:bCs/>
                <w:color w:val="000000"/>
                <w:lang w:val="uk-UA"/>
              </w:rPr>
            </w:pPr>
            <w:r>
              <w:rPr>
                <w:b/>
                <w:bCs/>
                <w:color w:val="000000"/>
                <w:lang w:val="uk-UA"/>
              </w:rPr>
              <w:t>(тяжкий перебіг, n=32)</w:t>
            </w:r>
          </w:p>
        </w:tc>
        <w:tc>
          <w:tcPr>
            <w:tcW w:w="1402" w:type="dxa"/>
            <w:vMerge w:val="restart"/>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Група контролю</w:t>
            </w:r>
          </w:p>
          <w:p w:rsidR="00AB01BA" w:rsidRDefault="00AB01BA" w:rsidP="005F7006">
            <w:pPr>
              <w:spacing w:line="360" w:lineRule="auto"/>
              <w:ind w:right="477"/>
              <w:jc w:val="both"/>
              <w:rPr>
                <w:b/>
                <w:bCs/>
                <w:color w:val="000000"/>
                <w:lang w:val="uk-UA"/>
              </w:rPr>
            </w:pPr>
          </w:p>
        </w:tc>
      </w:tr>
      <w:tr w:rsidR="00AB01BA" w:rsidTr="005F7006">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both"/>
              <w:rPr>
                <w:b/>
                <w:bCs/>
                <w:i/>
                <w:iCs/>
                <w:color w:val="000000"/>
                <w:sz w:val="28"/>
                <w:szCs w:val="28"/>
                <w:lang w:val="uk-UA"/>
              </w:rPr>
            </w:pPr>
          </w:p>
        </w:tc>
        <w:tc>
          <w:tcPr>
            <w:tcW w:w="203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Гострий період</w:t>
            </w:r>
          </w:p>
        </w:tc>
        <w:tc>
          <w:tcPr>
            <w:tcW w:w="144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21-ша доба лікування</w:t>
            </w:r>
          </w:p>
        </w:tc>
        <w:tc>
          <w:tcPr>
            <w:tcW w:w="162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Гострий період</w:t>
            </w:r>
          </w:p>
        </w:tc>
        <w:tc>
          <w:tcPr>
            <w:tcW w:w="1602"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21-ша доба лікування</w:t>
            </w:r>
          </w:p>
        </w:tc>
        <w:tc>
          <w:tcPr>
            <w:tcW w:w="1402" w:type="dxa"/>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both"/>
              <w:rPr>
                <w:color w:val="000000"/>
                <w:lang w:val="uk-UA"/>
              </w:rPr>
            </w:pPr>
          </w:p>
        </w:tc>
      </w:tr>
      <w:tr w:rsidR="00AB01BA" w:rsidTr="005F7006">
        <w:trPr>
          <w:trHeight w:val="305"/>
        </w:trPr>
        <w:tc>
          <w:tcPr>
            <w:tcW w:w="144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both"/>
              <w:rPr>
                <w:color w:val="000000"/>
                <w:sz w:val="28"/>
                <w:szCs w:val="28"/>
                <w:lang w:val="uk-UA"/>
              </w:rPr>
            </w:pPr>
            <w:r>
              <w:rPr>
                <w:color w:val="000000"/>
                <w:sz w:val="28"/>
                <w:szCs w:val="28"/>
                <w:lang w:val="uk-UA"/>
              </w:rPr>
              <w:t>IL-1</w:t>
            </w:r>
          </w:p>
        </w:tc>
        <w:tc>
          <w:tcPr>
            <w:tcW w:w="20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274,0±13,7</w:t>
            </w:r>
            <w:r>
              <w:rPr>
                <w:color w:val="000000"/>
                <w:sz w:val="28"/>
                <w:szCs w:val="28"/>
                <w:vertAlign w:val="superscript"/>
                <w:lang w:val="uk-UA"/>
              </w:rPr>
              <w:t>1,3, 4</w:t>
            </w:r>
          </w:p>
        </w:tc>
        <w:tc>
          <w:tcPr>
            <w:tcW w:w="144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36±2</w:t>
            </w:r>
            <w:r>
              <w:rPr>
                <w:color w:val="000000"/>
                <w:sz w:val="28"/>
                <w:szCs w:val="28"/>
                <w:vertAlign w:val="superscript"/>
                <w:lang w:val="uk-UA"/>
              </w:rPr>
              <w:t>4</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316±9,1</w:t>
            </w:r>
            <w:r>
              <w:rPr>
                <w:color w:val="000000"/>
                <w:sz w:val="28"/>
                <w:szCs w:val="28"/>
                <w:vertAlign w:val="superscript"/>
                <w:lang w:val="uk-UA"/>
              </w:rPr>
              <w:t>1,3, 4</w:t>
            </w:r>
          </w:p>
        </w:tc>
        <w:tc>
          <w:tcPr>
            <w:tcW w:w="1602"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196±8,5</w:t>
            </w:r>
            <w:r>
              <w:rPr>
                <w:color w:val="000000"/>
                <w:sz w:val="28"/>
                <w:szCs w:val="28"/>
                <w:vertAlign w:val="superscript"/>
                <w:lang w:val="uk-UA"/>
              </w:rPr>
              <w:t>2,3</w:t>
            </w:r>
          </w:p>
        </w:tc>
        <w:tc>
          <w:tcPr>
            <w:tcW w:w="1402"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35.8±5.4</w:t>
            </w:r>
          </w:p>
        </w:tc>
      </w:tr>
      <w:tr w:rsidR="00AB01BA" w:rsidTr="005F7006">
        <w:tc>
          <w:tcPr>
            <w:tcW w:w="144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both"/>
              <w:rPr>
                <w:color w:val="000000"/>
                <w:sz w:val="28"/>
                <w:szCs w:val="28"/>
                <w:lang w:val="uk-UA"/>
              </w:rPr>
            </w:pPr>
            <w:r>
              <w:rPr>
                <w:color w:val="000000"/>
                <w:sz w:val="28"/>
                <w:szCs w:val="28"/>
                <w:lang w:val="uk-UA"/>
              </w:rPr>
              <w:t>IL-4</w:t>
            </w:r>
          </w:p>
        </w:tc>
        <w:tc>
          <w:tcPr>
            <w:tcW w:w="20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87,0±5,0</w:t>
            </w:r>
            <w:r>
              <w:rPr>
                <w:color w:val="000000"/>
                <w:sz w:val="28"/>
                <w:szCs w:val="28"/>
                <w:vertAlign w:val="superscript"/>
                <w:lang w:val="uk-UA"/>
              </w:rPr>
              <w:t>1,3,4</w:t>
            </w:r>
          </w:p>
        </w:tc>
        <w:tc>
          <w:tcPr>
            <w:tcW w:w="144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28±2,5</w:t>
            </w:r>
            <w:r>
              <w:rPr>
                <w:color w:val="000000"/>
                <w:sz w:val="28"/>
                <w:szCs w:val="28"/>
                <w:vertAlign w:val="superscript"/>
                <w:lang w:val="uk-UA"/>
              </w:rPr>
              <w:t>2, 4</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270±11</w:t>
            </w:r>
            <w:r>
              <w:rPr>
                <w:color w:val="000000"/>
                <w:sz w:val="28"/>
                <w:szCs w:val="28"/>
                <w:vertAlign w:val="superscript"/>
                <w:lang w:val="uk-UA"/>
              </w:rPr>
              <w:t>1,3, 4</w:t>
            </w:r>
          </w:p>
        </w:tc>
        <w:tc>
          <w:tcPr>
            <w:tcW w:w="1602"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49±3</w:t>
            </w:r>
            <w:r>
              <w:rPr>
                <w:color w:val="000000"/>
                <w:sz w:val="28"/>
                <w:szCs w:val="28"/>
                <w:vertAlign w:val="superscript"/>
                <w:lang w:val="uk-UA"/>
              </w:rPr>
              <w:t>2,3</w:t>
            </w:r>
          </w:p>
        </w:tc>
        <w:tc>
          <w:tcPr>
            <w:tcW w:w="1402"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14.3±1.2</w:t>
            </w:r>
          </w:p>
        </w:tc>
      </w:tr>
      <w:tr w:rsidR="00AB01BA" w:rsidTr="005F7006">
        <w:tc>
          <w:tcPr>
            <w:tcW w:w="144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both"/>
              <w:rPr>
                <w:color w:val="000000"/>
                <w:sz w:val="28"/>
                <w:szCs w:val="28"/>
                <w:lang w:val="uk-UA"/>
              </w:rPr>
            </w:pPr>
            <w:r>
              <w:rPr>
                <w:color w:val="000000"/>
                <w:sz w:val="28"/>
                <w:szCs w:val="28"/>
                <w:lang w:val="uk-UA"/>
              </w:rPr>
              <w:t>IL-10</w:t>
            </w:r>
          </w:p>
        </w:tc>
        <w:tc>
          <w:tcPr>
            <w:tcW w:w="20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131,0±12,1</w:t>
            </w:r>
            <w:r>
              <w:rPr>
                <w:color w:val="000000"/>
                <w:sz w:val="28"/>
                <w:szCs w:val="28"/>
                <w:vertAlign w:val="superscript"/>
                <w:lang w:val="uk-UA"/>
              </w:rPr>
              <w:t>1,3, 4</w:t>
            </w:r>
          </w:p>
        </w:tc>
        <w:tc>
          <w:tcPr>
            <w:tcW w:w="144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42±1,6</w:t>
            </w:r>
            <w:r>
              <w:rPr>
                <w:color w:val="000000"/>
                <w:sz w:val="28"/>
                <w:szCs w:val="28"/>
                <w:vertAlign w:val="superscript"/>
                <w:lang w:val="uk-UA"/>
              </w:rPr>
              <w:t>2, 4</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573±14</w:t>
            </w:r>
            <w:r>
              <w:rPr>
                <w:color w:val="000000"/>
                <w:sz w:val="28"/>
                <w:szCs w:val="28"/>
                <w:vertAlign w:val="superscript"/>
                <w:lang w:val="uk-UA"/>
              </w:rPr>
              <w:t>1,3, 4</w:t>
            </w:r>
          </w:p>
        </w:tc>
        <w:tc>
          <w:tcPr>
            <w:tcW w:w="1602"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64±5</w:t>
            </w:r>
            <w:r>
              <w:rPr>
                <w:color w:val="000000"/>
                <w:sz w:val="28"/>
                <w:szCs w:val="28"/>
                <w:vertAlign w:val="superscript"/>
                <w:lang w:val="uk-UA"/>
              </w:rPr>
              <w:t>2,3</w:t>
            </w:r>
          </w:p>
        </w:tc>
        <w:tc>
          <w:tcPr>
            <w:tcW w:w="1402"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25.8±2.1</w:t>
            </w:r>
          </w:p>
        </w:tc>
      </w:tr>
      <w:tr w:rsidR="00AB01BA" w:rsidTr="005F7006">
        <w:tc>
          <w:tcPr>
            <w:tcW w:w="1440"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both"/>
              <w:rPr>
                <w:color w:val="000000"/>
                <w:sz w:val="28"/>
                <w:szCs w:val="28"/>
                <w:lang w:val="uk-UA"/>
              </w:rPr>
            </w:pPr>
            <w:r>
              <w:rPr>
                <w:color w:val="000000"/>
                <w:sz w:val="28"/>
                <w:szCs w:val="28"/>
                <w:lang w:val="uk-UA"/>
              </w:rPr>
              <w:t>INF-γ</w:t>
            </w:r>
          </w:p>
        </w:tc>
        <w:tc>
          <w:tcPr>
            <w:tcW w:w="20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77,4±6,1</w:t>
            </w:r>
            <w:r>
              <w:rPr>
                <w:color w:val="000000"/>
                <w:sz w:val="28"/>
                <w:szCs w:val="28"/>
                <w:vertAlign w:val="superscript"/>
                <w:lang w:val="uk-UA"/>
              </w:rPr>
              <w:t>1,3, 4</w:t>
            </w:r>
          </w:p>
        </w:tc>
        <w:tc>
          <w:tcPr>
            <w:tcW w:w="144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67±4,3</w:t>
            </w:r>
            <w:r>
              <w:rPr>
                <w:color w:val="000000"/>
                <w:sz w:val="28"/>
                <w:szCs w:val="28"/>
                <w:vertAlign w:val="superscript"/>
                <w:lang w:val="uk-UA"/>
              </w:rPr>
              <w:t>2, 4</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133±10</w:t>
            </w:r>
            <w:r>
              <w:rPr>
                <w:color w:val="000000"/>
                <w:sz w:val="28"/>
                <w:szCs w:val="28"/>
                <w:vertAlign w:val="superscript"/>
                <w:lang w:val="uk-UA"/>
              </w:rPr>
              <w:t>1,3, 4</w:t>
            </w:r>
          </w:p>
        </w:tc>
        <w:tc>
          <w:tcPr>
            <w:tcW w:w="1602"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64±2,4</w:t>
            </w:r>
            <w:r>
              <w:rPr>
                <w:color w:val="000000"/>
                <w:sz w:val="28"/>
                <w:szCs w:val="28"/>
                <w:vertAlign w:val="superscript"/>
                <w:lang w:val="uk-UA"/>
              </w:rPr>
              <w:t>2</w:t>
            </w:r>
          </w:p>
        </w:tc>
        <w:tc>
          <w:tcPr>
            <w:tcW w:w="1402"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12.4±1.7</w:t>
            </w:r>
          </w:p>
        </w:tc>
      </w:tr>
      <w:tr w:rsidR="00AB01BA" w:rsidTr="005F7006">
        <w:tc>
          <w:tcPr>
            <w:tcW w:w="144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TNF-α</w:t>
            </w:r>
          </w:p>
        </w:tc>
        <w:tc>
          <w:tcPr>
            <w:tcW w:w="20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342,1±13,2</w:t>
            </w:r>
            <w:r>
              <w:rPr>
                <w:color w:val="000000"/>
                <w:sz w:val="28"/>
                <w:szCs w:val="28"/>
                <w:vertAlign w:val="superscript"/>
                <w:lang w:val="uk-UA"/>
              </w:rPr>
              <w:t>1,3, 4</w:t>
            </w:r>
          </w:p>
        </w:tc>
        <w:tc>
          <w:tcPr>
            <w:tcW w:w="144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227±9,4</w:t>
            </w:r>
            <w:r>
              <w:rPr>
                <w:color w:val="000000"/>
                <w:sz w:val="28"/>
                <w:szCs w:val="28"/>
                <w:vertAlign w:val="superscript"/>
                <w:lang w:val="uk-UA"/>
              </w:rPr>
              <w:t>2, 4</w:t>
            </w:r>
          </w:p>
        </w:tc>
        <w:tc>
          <w:tcPr>
            <w:tcW w:w="1620"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242±12</w:t>
            </w:r>
            <w:r>
              <w:rPr>
                <w:color w:val="000000"/>
                <w:sz w:val="28"/>
                <w:szCs w:val="28"/>
                <w:vertAlign w:val="superscript"/>
                <w:lang w:val="uk-UA"/>
              </w:rPr>
              <w:t>1,3, 4</w:t>
            </w:r>
          </w:p>
        </w:tc>
        <w:tc>
          <w:tcPr>
            <w:tcW w:w="1602"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106±3,5</w:t>
            </w:r>
            <w:r>
              <w:rPr>
                <w:color w:val="000000"/>
                <w:sz w:val="28"/>
                <w:szCs w:val="28"/>
                <w:vertAlign w:val="superscript"/>
                <w:lang w:val="uk-UA"/>
              </w:rPr>
              <w:t>2,3</w:t>
            </w:r>
          </w:p>
        </w:tc>
        <w:tc>
          <w:tcPr>
            <w:tcW w:w="1402"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both"/>
              <w:rPr>
                <w:color w:val="000000"/>
                <w:sz w:val="28"/>
                <w:szCs w:val="28"/>
                <w:lang w:val="uk-UA"/>
              </w:rPr>
            </w:pPr>
            <w:r>
              <w:rPr>
                <w:color w:val="000000"/>
                <w:sz w:val="28"/>
                <w:szCs w:val="28"/>
                <w:lang w:val="uk-UA"/>
              </w:rPr>
              <w:t>71.1±12.1</w:t>
            </w:r>
          </w:p>
        </w:tc>
      </w:tr>
    </w:tbl>
    <w:p w:rsidR="00AB01BA" w:rsidRDefault="00AB01BA" w:rsidP="00AB01BA">
      <w:pPr>
        <w:pStyle w:val="affffffff8"/>
        <w:rPr>
          <w:b/>
          <w:bCs/>
          <w:color w:val="000000"/>
          <w:lang w:val="uk-UA"/>
        </w:rPr>
      </w:pPr>
      <w:r>
        <w:rPr>
          <w:b/>
          <w:bCs/>
          <w:color w:val="000000"/>
          <w:lang w:val="uk-UA"/>
        </w:rPr>
        <w:t>Примітка:</w:t>
      </w:r>
    </w:p>
    <w:p w:rsidR="00AB01BA" w:rsidRDefault="00AB01BA" w:rsidP="00AB01BA">
      <w:pPr>
        <w:jc w:val="both"/>
        <w:rPr>
          <w:color w:val="000000"/>
          <w:lang w:val="uk-UA"/>
        </w:rPr>
      </w:pPr>
      <w:r>
        <w:rPr>
          <w:color w:val="000000"/>
          <w:vertAlign w:val="superscript"/>
          <w:lang w:val="uk-UA"/>
        </w:rPr>
        <w:t>1</w:t>
      </w:r>
      <w:r>
        <w:rPr>
          <w:color w:val="000000"/>
          <w:lang w:val="uk-UA"/>
        </w:rPr>
        <w:t xml:space="preserve"> </w:t>
      </w:r>
      <w:r>
        <w:rPr>
          <w:color w:val="000000"/>
          <w:lang w:val="uk-UA"/>
        </w:rPr>
        <w:sym w:font="Symbol" w:char="F02D"/>
      </w:r>
      <w:r>
        <w:rPr>
          <w:color w:val="000000"/>
          <w:lang w:val="uk-UA"/>
        </w:rPr>
        <w:t xml:space="preserve"> достовірна (р&lt;0,05) різниця між показниками в контрольній групі та періоді розпалу; </w:t>
      </w:r>
    </w:p>
    <w:p w:rsidR="00AB01BA" w:rsidRDefault="00AB01BA" w:rsidP="00AB01BA">
      <w:pPr>
        <w:jc w:val="both"/>
        <w:rPr>
          <w:color w:val="000000"/>
          <w:lang w:val="uk-UA"/>
        </w:rPr>
      </w:pPr>
      <w:r>
        <w:rPr>
          <w:color w:val="000000"/>
          <w:vertAlign w:val="superscript"/>
          <w:lang w:val="uk-UA"/>
        </w:rPr>
        <w:t>2</w:t>
      </w:r>
      <w:r>
        <w:rPr>
          <w:color w:val="000000"/>
          <w:lang w:val="uk-UA"/>
        </w:rPr>
        <w:t xml:space="preserve"> </w:t>
      </w:r>
      <w:r>
        <w:rPr>
          <w:color w:val="000000"/>
          <w:lang w:val="uk-UA"/>
        </w:rPr>
        <w:sym w:font="Symbol" w:char="F02D"/>
      </w:r>
      <w:r>
        <w:rPr>
          <w:color w:val="000000"/>
          <w:lang w:val="uk-UA"/>
        </w:rPr>
        <w:t xml:space="preserve"> достовірна (р&lt;0,05) різниця між показниками контролю та періоду реконвалесценції; </w:t>
      </w:r>
    </w:p>
    <w:p w:rsidR="00AB01BA" w:rsidRDefault="00AB01BA" w:rsidP="00AB01BA">
      <w:pPr>
        <w:jc w:val="both"/>
        <w:rPr>
          <w:color w:val="000000"/>
          <w:lang w:val="uk-UA"/>
        </w:rPr>
      </w:pPr>
      <w:r>
        <w:rPr>
          <w:color w:val="000000"/>
          <w:vertAlign w:val="superscript"/>
          <w:lang w:val="uk-UA"/>
        </w:rPr>
        <w:t>3</w:t>
      </w:r>
      <w:r>
        <w:rPr>
          <w:color w:val="000000"/>
          <w:lang w:val="uk-UA"/>
        </w:rPr>
        <w:t xml:space="preserve"> </w:t>
      </w:r>
      <w:r>
        <w:rPr>
          <w:color w:val="000000"/>
          <w:lang w:val="uk-UA"/>
        </w:rPr>
        <w:sym w:font="Symbol" w:char="F02D"/>
      </w:r>
      <w:r>
        <w:rPr>
          <w:color w:val="000000"/>
          <w:lang w:val="uk-UA"/>
        </w:rPr>
        <w:t xml:space="preserve"> достовірна (р&lt;0,05) різниця між показниками у 1-й та 2-й групі хворих; </w:t>
      </w:r>
    </w:p>
    <w:p w:rsidR="00AB01BA" w:rsidRDefault="00AB01BA" w:rsidP="00AB01BA">
      <w:pPr>
        <w:jc w:val="both"/>
        <w:rPr>
          <w:color w:val="000000"/>
          <w:lang w:val="uk-UA"/>
        </w:rPr>
      </w:pPr>
      <w:r>
        <w:rPr>
          <w:color w:val="000000"/>
          <w:vertAlign w:val="superscript"/>
          <w:lang w:val="uk-UA"/>
        </w:rPr>
        <w:t>4</w:t>
      </w:r>
      <w:r>
        <w:rPr>
          <w:color w:val="000000"/>
          <w:lang w:val="uk-UA"/>
        </w:rPr>
        <w:sym w:font="Symbol" w:char="F02D"/>
      </w:r>
      <w:r>
        <w:rPr>
          <w:color w:val="000000"/>
          <w:lang w:val="uk-UA"/>
        </w:rPr>
        <w:t xml:space="preserve"> достовірна (р&lt;0,05) різниця між показниками в періодах розпалу та реконвалесценції.</w:t>
      </w:r>
    </w:p>
    <w:p w:rsidR="00AB01BA" w:rsidRDefault="00AB01BA" w:rsidP="00AB01BA">
      <w:pPr>
        <w:jc w:val="both"/>
        <w:rPr>
          <w:color w:val="000000"/>
          <w:lang w:val="uk-UA"/>
        </w:rPr>
      </w:pPr>
    </w:p>
    <w:p w:rsidR="00AB01BA" w:rsidRDefault="00AB01BA" w:rsidP="00AB01BA">
      <w:pPr>
        <w:ind w:firstLine="900"/>
        <w:jc w:val="both"/>
        <w:rPr>
          <w:color w:val="000000"/>
          <w:sz w:val="28"/>
          <w:szCs w:val="28"/>
          <w:lang w:val="uk-UA"/>
        </w:rPr>
      </w:pPr>
      <w:r>
        <w:rPr>
          <w:color w:val="000000"/>
          <w:spacing w:val="-9"/>
          <w:sz w:val="28"/>
          <w:szCs w:val="28"/>
          <w:lang w:val="uk-UA"/>
        </w:rPr>
        <w:t xml:space="preserve">Вміст </w:t>
      </w:r>
      <w:r>
        <w:rPr>
          <w:color w:val="000000"/>
          <w:spacing w:val="-9"/>
          <w:sz w:val="28"/>
          <w:szCs w:val="28"/>
          <w:lang w:val="en-US"/>
        </w:rPr>
        <w:t>TNF</w:t>
      </w:r>
      <w:r>
        <w:rPr>
          <w:color w:val="000000"/>
          <w:spacing w:val="-9"/>
          <w:sz w:val="28"/>
          <w:szCs w:val="28"/>
          <w:lang w:val="uk-UA"/>
        </w:rPr>
        <w:t>-</w:t>
      </w:r>
      <w:r>
        <w:rPr>
          <w:color w:val="000000"/>
          <w:spacing w:val="-9"/>
          <w:sz w:val="28"/>
          <w:szCs w:val="28"/>
          <w:lang w:val="en-US"/>
        </w:rPr>
        <w:t>α</w:t>
      </w:r>
      <w:r>
        <w:rPr>
          <w:color w:val="000000"/>
          <w:spacing w:val="-9"/>
          <w:sz w:val="28"/>
          <w:szCs w:val="28"/>
          <w:lang w:val="uk-UA"/>
        </w:rPr>
        <w:t xml:space="preserve"> у крові в періоді реконвалесценції знижувався у порівнянні з гострим періодом</w:t>
      </w:r>
      <w:r>
        <w:rPr>
          <w:color w:val="000000"/>
          <w:sz w:val="28"/>
          <w:szCs w:val="28"/>
          <w:lang w:val="uk-UA"/>
        </w:rPr>
        <w:t xml:space="preserve">, однак залишався достовірно вищим, ніж у групі контролю. У періоді реконвалесценції вміст TNF-α знижувався, однак залишався вірогідно вищим в обох групах хворих порівняно з групою контролю. </w:t>
      </w:r>
    </w:p>
    <w:p w:rsidR="00AB01BA" w:rsidRDefault="00AB01BA" w:rsidP="00AB01BA">
      <w:pPr>
        <w:pStyle w:val="affffffff8"/>
        <w:tabs>
          <w:tab w:val="clear" w:pos="4677"/>
          <w:tab w:val="clear" w:pos="9355"/>
          <w:tab w:val="center" w:pos="0"/>
          <w:tab w:val="right" w:pos="9180"/>
        </w:tabs>
        <w:ind w:firstLine="900"/>
        <w:rPr>
          <w:color w:val="000000"/>
          <w:szCs w:val="28"/>
          <w:lang w:val="uk-UA"/>
        </w:rPr>
      </w:pPr>
      <w:r>
        <w:rPr>
          <w:color w:val="000000"/>
          <w:szCs w:val="28"/>
          <w:lang w:val="uk-UA"/>
        </w:rPr>
        <w:t xml:space="preserve">У періоді реконвалесценції вміст даних цитокінів у крові знижувався в усіх групах порівняння, однак залишався вищим (р&lt;0,05), ніж у групі контролю. Не знайдено достовірних розходжень у вмісті </w:t>
      </w:r>
      <w:r>
        <w:rPr>
          <w:color w:val="000000"/>
          <w:szCs w:val="28"/>
          <w:lang w:val="en-US"/>
        </w:rPr>
        <w:t>IL</w:t>
      </w:r>
      <w:r>
        <w:rPr>
          <w:color w:val="000000"/>
          <w:szCs w:val="28"/>
          <w:lang w:val="uk-UA"/>
        </w:rPr>
        <w:t>-1 у крові  пацієнтів 1-ї групи в стадії реконвалесценції та контрольної групи (табл. 4).</w:t>
      </w:r>
    </w:p>
    <w:p w:rsidR="00AB01BA" w:rsidRDefault="00AB01BA" w:rsidP="00AB01BA">
      <w:pPr>
        <w:ind w:firstLine="900"/>
        <w:jc w:val="both"/>
        <w:rPr>
          <w:spacing w:val="-2"/>
          <w:sz w:val="28"/>
          <w:szCs w:val="28"/>
          <w:lang w:val="uk-UA"/>
        </w:rPr>
      </w:pPr>
      <w:r>
        <w:rPr>
          <w:sz w:val="28"/>
          <w:szCs w:val="28"/>
          <w:lang w:val="uk-UA"/>
        </w:rPr>
        <w:t xml:space="preserve">Аналіз результатів дослідження рівнів цитокінів у лікворі хворих на </w:t>
      </w:r>
      <w:r>
        <w:rPr>
          <w:color w:val="000000"/>
          <w:sz w:val="28"/>
          <w:szCs w:val="28"/>
          <w:lang w:val="uk-UA"/>
        </w:rPr>
        <w:t>ГГМЕ</w:t>
      </w:r>
      <w:r>
        <w:rPr>
          <w:sz w:val="28"/>
          <w:szCs w:val="28"/>
          <w:lang w:val="uk-UA"/>
        </w:rPr>
        <w:t xml:space="preserve">, як і при дослідженні цих цитокінів у сироватці крові, показав залежність концентрації цитокінів від ступеня тяжкості захворювання. Особливо значним було підвищення рівнів TNF-α та </w:t>
      </w:r>
      <w:r>
        <w:rPr>
          <w:sz w:val="28"/>
          <w:szCs w:val="28"/>
          <w:lang w:val="en-US"/>
        </w:rPr>
        <w:t>INF</w:t>
      </w:r>
      <w:r>
        <w:rPr>
          <w:spacing w:val="-2"/>
          <w:sz w:val="28"/>
          <w:szCs w:val="28"/>
          <w:lang w:val="uk-UA"/>
        </w:rPr>
        <w:t>-</w:t>
      </w:r>
      <w:r>
        <w:rPr>
          <w:spacing w:val="-2"/>
          <w:sz w:val="28"/>
          <w:szCs w:val="28"/>
          <w:lang w:val="en-US"/>
        </w:rPr>
        <w:t>γ</w:t>
      </w:r>
      <w:r>
        <w:rPr>
          <w:spacing w:val="-2"/>
          <w:sz w:val="28"/>
          <w:szCs w:val="28"/>
          <w:lang w:val="uk-UA"/>
        </w:rPr>
        <w:t xml:space="preserve"> </w:t>
      </w:r>
      <w:r>
        <w:rPr>
          <w:sz w:val="28"/>
          <w:szCs w:val="28"/>
          <w:lang w:val="uk-UA"/>
        </w:rPr>
        <w:t>у лікворі хворих з тяжким перебігом у гострому періоді: 1253,2±35,8 пг/мл та 492,3±22,3 пг/мл відповідно, тоді як у хворих з середньотяжким перебігом до 793,1±18,9 пг/мл та 86,2±7,2 пг/мл (р&lt;0,001). Можна зробити висновок, що</w:t>
      </w:r>
      <w:r>
        <w:rPr>
          <w:spacing w:val="-2"/>
          <w:sz w:val="28"/>
          <w:szCs w:val="28"/>
          <w:lang w:val="uk-UA"/>
        </w:rPr>
        <w:t xml:space="preserve"> </w:t>
      </w:r>
      <w:r>
        <w:rPr>
          <w:sz w:val="28"/>
          <w:szCs w:val="28"/>
          <w:lang w:val="en-US"/>
        </w:rPr>
        <w:t>TNF</w:t>
      </w:r>
      <w:r>
        <w:rPr>
          <w:sz w:val="28"/>
          <w:szCs w:val="28"/>
          <w:lang w:val="uk-UA"/>
        </w:rPr>
        <w:t>-</w:t>
      </w:r>
      <w:r>
        <w:rPr>
          <w:sz w:val="28"/>
          <w:szCs w:val="28"/>
          <w:lang w:val="en-US"/>
        </w:rPr>
        <w:t>α</w:t>
      </w:r>
      <w:r>
        <w:rPr>
          <w:sz w:val="28"/>
          <w:szCs w:val="28"/>
          <w:lang w:val="uk-UA"/>
        </w:rPr>
        <w:t xml:space="preserve"> як і </w:t>
      </w:r>
      <w:r>
        <w:rPr>
          <w:sz w:val="28"/>
          <w:szCs w:val="28"/>
          <w:lang w:val="en-US"/>
        </w:rPr>
        <w:t>INF</w:t>
      </w:r>
      <w:r>
        <w:rPr>
          <w:spacing w:val="-2"/>
          <w:sz w:val="28"/>
          <w:szCs w:val="28"/>
          <w:lang w:val="uk-UA"/>
        </w:rPr>
        <w:t>-</w:t>
      </w:r>
      <w:r>
        <w:rPr>
          <w:spacing w:val="-2"/>
          <w:sz w:val="28"/>
          <w:szCs w:val="28"/>
          <w:lang w:val="en-US"/>
        </w:rPr>
        <w:t>γ</w:t>
      </w:r>
      <w:r>
        <w:rPr>
          <w:spacing w:val="-2"/>
          <w:sz w:val="28"/>
          <w:szCs w:val="28"/>
          <w:lang w:val="uk-UA"/>
        </w:rPr>
        <w:t xml:space="preserve"> синтезувався у ЦНС, тому що у спинномозковій рідині їх концентрації були завжди вище, ніж у сироватці крові </w:t>
      </w:r>
      <w:r>
        <w:rPr>
          <w:color w:val="000000"/>
          <w:sz w:val="28"/>
          <w:szCs w:val="28"/>
          <w:lang w:val="uk-UA"/>
        </w:rPr>
        <w:t>(табл. 4, 5)</w:t>
      </w:r>
      <w:r>
        <w:rPr>
          <w:spacing w:val="-2"/>
          <w:sz w:val="28"/>
          <w:szCs w:val="28"/>
          <w:lang w:val="uk-UA"/>
        </w:rPr>
        <w:t>.</w:t>
      </w:r>
    </w:p>
    <w:p w:rsidR="00AB01BA" w:rsidRDefault="00AB01BA" w:rsidP="00AB01BA">
      <w:pPr>
        <w:ind w:firstLine="708"/>
        <w:jc w:val="right"/>
        <w:rPr>
          <w:b/>
          <w:bCs/>
          <w:color w:val="000000"/>
          <w:sz w:val="28"/>
          <w:szCs w:val="28"/>
          <w:lang w:val="uk-UA"/>
        </w:rPr>
      </w:pPr>
      <w:r>
        <w:rPr>
          <w:b/>
          <w:bCs/>
          <w:color w:val="000000"/>
          <w:sz w:val="28"/>
          <w:szCs w:val="28"/>
          <w:lang w:val="uk-UA"/>
        </w:rPr>
        <w:t>Таблиця 5</w:t>
      </w:r>
    </w:p>
    <w:p w:rsidR="00AB01BA" w:rsidRDefault="00AB01BA" w:rsidP="00AB01BA">
      <w:pPr>
        <w:jc w:val="center"/>
        <w:rPr>
          <w:color w:val="000000"/>
          <w:sz w:val="28"/>
          <w:szCs w:val="28"/>
          <w:lang w:val="uk-UA"/>
        </w:rPr>
      </w:pPr>
      <w:r>
        <w:rPr>
          <w:b/>
          <w:bCs/>
          <w:color w:val="000000"/>
          <w:sz w:val="28"/>
          <w:szCs w:val="28"/>
          <w:lang w:val="uk-UA"/>
        </w:rPr>
        <w:lastRenderedPageBreak/>
        <w:t xml:space="preserve">Рівень IL-1, IL-4, IL-10, INF-γ та TNF-α у лікворі хворих на гострі герпесвірусні менінгоенцефаліти у динаміці захворювання </w:t>
      </w:r>
      <w:r>
        <w:rPr>
          <w:b/>
          <w:bCs/>
          <w:sz w:val="28"/>
          <w:szCs w:val="28"/>
          <w:lang w:val="uk-UA"/>
        </w:rPr>
        <w:t>(M</w:t>
      </w:r>
      <w:r>
        <w:rPr>
          <w:b/>
          <w:bCs/>
          <w:color w:val="000000"/>
          <w:lang w:val="uk-UA"/>
        </w:rPr>
        <w:sym w:font="Symbol" w:char="F0B1"/>
      </w:r>
      <w:r>
        <w:rPr>
          <w:b/>
          <w:bCs/>
          <w:color w:val="000000"/>
          <w:sz w:val="28"/>
          <w:szCs w:val="28"/>
          <w:lang w:val="uk-UA"/>
        </w:rPr>
        <w:t>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1836"/>
        <w:gridCol w:w="1836"/>
        <w:gridCol w:w="1836"/>
        <w:gridCol w:w="1836"/>
      </w:tblGrid>
      <w:tr w:rsidR="00AB01BA" w:rsidTr="005F7006">
        <w:trPr>
          <w:cantSplit/>
        </w:trPr>
        <w:tc>
          <w:tcPr>
            <w:tcW w:w="2016" w:type="dxa"/>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Показник,</w:t>
            </w:r>
          </w:p>
          <w:p w:rsidR="00AB01BA" w:rsidRDefault="00AB01BA" w:rsidP="005F7006">
            <w:pPr>
              <w:jc w:val="center"/>
              <w:rPr>
                <w:b/>
                <w:bCs/>
                <w:color w:val="000000"/>
                <w:sz w:val="28"/>
                <w:szCs w:val="28"/>
                <w:lang w:val="uk-UA"/>
              </w:rPr>
            </w:pPr>
            <w:r>
              <w:rPr>
                <w:b/>
                <w:bCs/>
                <w:color w:val="000000"/>
                <w:lang w:val="uk-UA"/>
              </w:rPr>
              <w:t>пг/мл</w:t>
            </w:r>
          </w:p>
        </w:tc>
        <w:tc>
          <w:tcPr>
            <w:tcW w:w="3672"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 xml:space="preserve">1-ша група </w:t>
            </w:r>
          </w:p>
          <w:p w:rsidR="00AB01BA" w:rsidRDefault="00AB01BA" w:rsidP="005F7006">
            <w:pPr>
              <w:jc w:val="center"/>
              <w:rPr>
                <w:b/>
                <w:bCs/>
                <w:color w:val="000000"/>
                <w:lang w:val="uk-UA"/>
              </w:rPr>
            </w:pPr>
            <w:r>
              <w:rPr>
                <w:b/>
                <w:bCs/>
                <w:color w:val="000000"/>
                <w:lang w:val="uk-UA"/>
              </w:rPr>
              <w:t>(середньотяжкий перебіг, n=47)</w:t>
            </w:r>
          </w:p>
        </w:tc>
        <w:tc>
          <w:tcPr>
            <w:tcW w:w="3672" w:type="dxa"/>
            <w:gridSpan w:val="2"/>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 xml:space="preserve">2-га група </w:t>
            </w:r>
          </w:p>
          <w:p w:rsidR="00AB01BA" w:rsidRDefault="00AB01BA" w:rsidP="005F7006">
            <w:pPr>
              <w:jc w:val="center"/>
              <w:rPr>
                <w:b/>
                <w:bCs/>
                <w:color w:val="000000"/>
                <w:lang w:val="uk-UA"/>
              </w:rPr>
            </w:pPr>
            <w:r>
              <w:rPr>
                <w:b/>
                <w:bCs/>
                <w:color w:val="000000"/>
                <w:lang w:val="uk-UA"/>
              </w:rPr>
              <w:t>(тяжкий перебіг, n=32)</w:t>
            </w:r>
          </w:p>
        </w:tc>
      </w:tr>
      <w:tr w:rsidR="00AB01BA" w:rsidTr="005F7006">
        <w:trPr>
          <w:cantSplit/>
        </w:trPr>
        <w:tc>
          <w:tcPr>
            <w:tcW w:w="2016" w:type="dxa"/>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i/>
                <w:iCs/>
                <w:color w:val="000000"/>
                <w:sz w:val="28"/>
                <w:szCs w:val="28"/>
                <w:lang w:val="uk-UA"/>
              </w:rPr>
            </w:pPr>
          </w:p>
        </w:tc>
        <w:tc>
          <w:tcPr>
            <w:tcW w:w="183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гострий період</w:t>
            </w:r>
          </w:p>
        </w:tc>
        <w:tc>
          <w:tcPr>
            <w:tcW w:w="183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21-ша доба лікування</w:t>
            </w:r>
          </w:p>
        </w:tc>
        <w:tc>
          <w:tcPr>
            <w:tcW w:w="183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гострий період</w:t>
            </w:r>
          </w:p>
        </w:tc>
        <w:tc>
          <w:tcPr>
            <w:tcW w:w="183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21-ша доба лікування</w:t>
            </w:r>
          </w:p>
        </w:tc>
      </w:tr>
      <w:tr w:rsidR="00AB01BA" w:rsidTr="005F7006">
        <w:trPr>
          <w:trHeight w:val="305"/>
        </w:trPr>
        <w:tc>
          <w:tcPr>
            <w:tcW w:w="201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center"/>
              <w:rPr>
                <w:color w:val="000000"/>
                <w:sz w:val="28"/>
                <w:szCs w:val="28"/>
                <w:lang w:val="uk-UA"/>
              </w:rPr>
            </w:pPr>
            <w:r>
              <w:rPr>
                <w:color w:val="000000"/>
                <w:sz w:val="28"/>
                <w:szCs w:val="28"/>
                <w:lang w:val="uk-UA"/>
              </w:rPr>
              <w:t>IL-1</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10±0,5</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184±4,5</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19±0,8</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11±0,8</w:t>
            </w:r>
            <w:r>
              <w:rPr>
                <w:color w:val="000000"/>
                <w:sz w:val="28"/>
                <w:szCs w:val="28"/>
                <w:vertAlign w:val="superscript"/>
                <w:lang w:val="uk-UA"/>
              </w:rPr>
              <w:t>1,2</w:t>
            </w:r>
          </w:p>
        </w:tc>
      </w:tr>
      <w:tr w:rsidR="00AB01BA" w:rsidTr="005F7006">
        <w:tc>
          <w:tcPr>
            <w:tcW w:w="201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center"/>
              <w:rPr>
                <w:color w:val="000000"/>
                <w:sz w:val="28"/>
                <w:szCs w:val="28"/>
                <w:lang w:val="uk-UA"/>
              </w:rPr>
            </w:pPr>
            <w:r>
              <w:rPr>
                <w:color w:val="000000"/>
                <w:sz w:val="28"/>
                <w:szCs w:val="28"/>
                <w:lang w:val="uk-UA"/>
              </w:rPr>
              <w:t>IL-4</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152±11,6</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58±2,3</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241±11</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138±9,1</w:t>
            </w:r>
            <w:r>
              <w:rPr>
                <w:color w:val="000000"/>
                <w:sz w:val="28"/>
                <w:szCs w:val="28"/>
                <w:vertAlign w:val="superscript"/>
                <w:lang w:val="uk-UA"/>
              </w:rPr>
              <w:t>1,2</w:t>
            </w:r>
          </w:p>
        </w:tc>
      </w:tr>
      <w:tr w:rsidR="00AB01BA" w:rsidTr="005F7006">
        <w:tc>
          <w:tcPr>
            <w:tcW w:w="201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center"/>
              <w:rPr>
                <w:color w:val="000000"/>
                <w:sz w:val="28"/>
                <w:szCs w:val="28"/>
                <w:lang w:val="uk-UA"/>
              </w:rPr>
            </w:pPr>
            <w:r>
              <w:rPr>
                <w:color w:val="000000"/>
                <w:sz w:val="28"/>
                <w:szCs w:val="28"/>
                <w:lang w:val="uk-UA"/>
              </w:rPr>
              <w:t>IL-10</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228±14</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88±5</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361±16,5</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207±10,7</w:t>
            </w:r>
            <w:r>
              <w:rPr>
                <w:color w:val="000000"/>
                <w:sz w:val="28"/>
                <w:szCs w:val="28"/>
                <w:vertAlign w:val="superscript"/>
                <w:lang w:val="uk-UA"/>
              </w:rPr>
              <w:t>1,2</w:t>
            </w:r>
          </w:p>
        </w:tc>
      </w:tr>
      <w:tr w:rsidR="00AB01BA" w:rsidTr="005F7006">
        <w:tc>
          <w:tcPr>
            <w:tcW w:w="201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spacing w:line="360" w:lineRule="auto"/>
              <w:jc w:val="center"/>
              <w:rPr>
                <w:color w:val="000000"/>
                <w:sz w:val="28"/>
                <w:szCs w:val="28"/>
                <w:lang w:val="uk-UA"/>
              </w:rPr>
            </w:pPr>
            <w:r>
              <w:rPr>
                <w:color w:val="000000"/>
                <w:sz w:val="28"/>
                <w:szCs w:val="28"/>
                <w:lang w:val="uk-UA"/>
              </w:rPr>
              <w:t>INF-γ</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86±7,2</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51±3,7</w:t>
            </w:r>
            <w:r>
              <w:rPr>
                <w:color w:val="000000"/>
                <w:sz w:val="28"/>
                <w:szCs w:val="28"/>
                <w:vertAlign w:val="superscript"/>
                <w:lang w:val="uk-UA"/>
              </w:rPr>
              <w:t>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492±22,3</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235±14</w:t>
            </w:r>
            <w:r>
              <w:rPr>
                <w:color w:val="000000"/>
                <w:sz w:val="28"/>
                <w:szCs w:val="28"/>
                <w:vertAlign w:val="superscript"/>
                <w:lang w:val="uk-UA"/>
              </w:rPr>
              <w:t>1,2</w:t>
            </w:r>
          </w:p>
        </w:tc>
      </w:tr>
      <w:tr w:rsidR="00AB01BA" w:rsidTr="005F7006">
        <w:tc>
          <w:tcPr>
            <w:tcW w:w="201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TNF-α</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793±18,9</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517±20,3</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1253±35,8</w:t>
            </w:r>
            <w:r>
              <w:rPr>
                <w:color w:val="000000"/>
                <w:sz w:val="28"/>
                <w:szCs w:val="28"/>
                <w:vertAlign w:val="superscript"/>
                <w:lang w:val="uk-UA"/>
              </w:rPr>
              <w:t>1,2</w:t>
            </w:r>
          </w:p>
        </w:tc>
        <w:tc>
          <w:tcPr>
            <w:tcW w:w="1836" w:type="dxa"/>
            <w:tcBorders>
              <w:top w:val="single" w:sz="4" w:space="0" w:color="auto"/>
              <w:left w:val="single" w:sz="4" w:space="0" w:color="auto"/>
              <w:bottom w:val="single" w:sz="4" w:space="0" w:color="auto"/>
              <w:right w:val="single" w:sz="4" w:space="0" w:color="auto"/>
            </w:tcBorders>
          </w:tcPr>
          <w:p w:rsidR="00AB01BA" w:rsidRDefault="00AB01BA" w:rsidP="005F7006">
            <w:pPr>
              <w:spacing w:line="360" w:lineRule="auto"/>
              <w:jc w:val="center"/>
              <w:rPr>
                <w:color w:val="000000"/>
                <w:sz w:val="28"/>
                <w:szCs w:val="28"/>
                <w:lang w:val="uk-UA"/>
              </w:rPr>
            </w:pPr>
            <w:r>
              <w:rPr>
                <w:color w:val="000000"/>
                <w:sz w:val="28"/>
                <w:szCs w:val="28"/>
                <w:lang w:val="uk-UA"/>
              </w:rPr>
              <w:t>315±18,5</w:t>
            </w:r>
            <w:r>
              <w:rPr>
                <w:color w:val="000000"/>
                <w:sz w:val="28"/>
                <w:szCs w:val="28"/>
                <w:vertAlign w:val="superscript"/>
                <w:lang w:val="uk-UA"/>
              </w:rPr>
              <w:t>1,2</w:t>
            </w:r>
          </w:p>
        </w:tc>
      </w:tr>
    </w:tbl>
    <w:p w:rsidR="00AB01BA" w:rsidRDefault="00AB01BA" w:rsidP="00AB01BA">
      <w:pPr>
        <w:pStyle w:val="affffffff8"/>
        <w:rPr>
          <w:b/>
          <w:bCs/>
          <w:color w:val="000000"/>
          <w:lang w:val="uk-UA"/>
        </w:rPr>
      </w:pPr>
      <w:r>
        <w:rPr>
          <w:b/>
          <w:bCs/>
          <w:color w:val="000000"/>
          <w:lang w:val="uk-UA"/>
        </w:rPr>
        <w:t>Примітка:</w:t>
      </w:r>
    </w:p>
    <w:p w:rsidR="00AB01BA" w:rsidRDefault="00AB01BA" w:rsidP="00AB01BA">
      <w:pPr>
        <w:ind w:firstLine="708"/>
        <w:jc w:val="both"/>
        <w:rPr>
          <w:color w:val="000000"/>
          <w:lang w:val="uk-UA"/>
        </w:rPr>
      </w:pPr>
      <w:r>
        <w:rPr>
          <w:color w:val="000000"/>
          <w:vertAlign w:val="superscript"/>
          <w:lang w:val="uk-UA"/>
        </w:rPr>
        <w:t>1</w:t>
      </w:r>
      <w:r>
        <w:rPr>
          <w:color w:val="000000"/>
          <w:lang w:val="uk-UA"/>
        </w:rPr>
        <w:t xml:space="preserve"> </w:t>
      </w:r>
      <w:r>
        <w:rPr>
          <w:color w:val="000000"/>
          <w:lang w:val="uk-UA"/>
        </w:rPr>
        <w:sym w:font="Symbol" w:char="F02D"/>
      </w:r>
      <w:r>
        <w:rPr>
          <w:color w:val="000000"/>
          <w:lang w:val="uk-UA"/>
        </w:rPr>
        <w:t xml:space="preserve"> достовірна (р&lt;0,05) різниця між показниками в періодах розпалу та реконвалесценції;</w:t>
      </w:r>
    </w:p>
    <w:p w:rsidR="00AB01BA" w:rsidRDefault="00AB01BA" w:rsidP="00AB01BA">
      <w:pPr>
        <w:ind w:firstLine="708"/>
        <w:jc w:val="both"/>
        <w:rPr>
          <w:color w:val="000000"/>
          <w:lang w:val="uk-UA"/>
        </w:rPr>
      </w:pPr>
      <w:r>
        <w:rPr>
          <w:color w:val="000000"/>
          <w:vertAlign w:val="superscript"/>
          <w:lang w:val="uk-UA"/>
        </w:rPr>
        <w:t>2</w:t>
      </w:r>
      <w:r>
        <w:rPr>
          <w:color w:val="000000"/>
          <w:lang w:val="uk-UA"/>
        </w:rPr>
        <w:t xml:space="preserve"> </w:t>
      </w:r>
      <w:r>
        <w:rPr>
          <w:color w:val="000000"/>
          <w:lang w:val="uk-UA"/>
        </w:rPr>
        <w:sym w:font="Symbol" w:char="F02D"/>
      </w:r>
      <w:r>
        <w:rPr>
          <w:color w:val="000000"/>
          <w:lang w:val="uk-UA"/>
        </w:rPr>
        <w:t xml:space="preserve"> достовірна (р&lt;0,05) різниця між показниками у 1-й та 2-й групах хворих.</w:t>
      </w:r>
    </w:p>
    <w:p w:rsidR="00AB01BA" w:rsidRDefault="00AB01BA" w:rsidP="00AB01BA">
      <w:pPr>
        <w:ind w:firstLine="900"/>
        <w:jc w:val="both"/>
        <w:rPr>
          <w:color w:val="000000"/>
          <w:sz w:val="28"/>
          <w:szCs w:val="28"/>
          <w:lang w:val="uk-UA"/>
        </w:rPr>
      </w:pPr>
      <w:r>
        <w:rPr>
          <w:color w:val="000000"/>
          <w:sz w:val="28"/>
          <w:szCs w:val="28"/>
          <w:lang w:val="uk-UA"/>
        </w:rPr>
        <w:t>У періоді реконвалесценції вміст цитокінів IL-4, IL-10, INF</w:t>
      </w:r>
      <w:r>
        <w:rPr>
          <w:color w:val="000000"/>
          <w:spacing w:val="-2"/>
          <w:sz w:val="28"/>
          <w:szCs w:val="28"/>
          <w:lang w:val="uk-UA"/>
        </w:rPr>
        <w:t>-</w:t>
      </w:r>
      <w:r>
        <w:rPr>
          <w:color w:val="000000"/>
          <w:spacing w:val="-2"/>
          <w:sz w:val="28"/>
          <w:szCs w:val="28"/>
          <w:lang w:val="en-US"/>
        </w:rPr>
        <w:t>γ</w:t>
      </w:r>
      <w:r>
        <w:rPr>
          <w:color w:val="000000"/>
          <w:sz w:val="28"/>
          <w:szCs w:val="28"/>
          <w:lang w:val="uk-UA"/>
        </w:rPr>
        <w:t xml:space="preserve">, TNF-α у лікворі знижувався в обох групах хворих (р&lt;0,05). Однак вміст </w:t>
      </w:r>
      <w:r>
        <w:rPr>
          <w:color w:val="000000"/>
          <w:sz w:val="28"/>
          <w:szCs w:val="28"/>
          <w:lang w:val="en-US"/>
        </w:rPr>
        <w:t>IL</w:t>
      </w:r>
      <w:r>
        <w:rPr>
          <w:color w:val="000000"/>
          <w:sz w:val="28"/>
          <w:szCs w:val="28"/>
          <w:lang w:val="uk-UA"/>
        </w:rPr>
        <w:t xml:space="preserve">-1 у групі з середньотяжким перебігом захворювання, навпаки, значно підвищувався і складав 184±4,5 пг/мл (р&lt;0,05), у той час як у групі з тяжким перебігом достовірно знижувався з 19±0,8 пг/мл у гострому періоді до 11±0,8 пг/мл у періоді реконвалесценції (див. табл. 5). </w:t>
      </w:r>
    </w:p>
    <w:p w:rsidR="00AB01BA" w:rsidRDefault="00AB01BA" w:rsidP="00AB01BA">
      <w:pPr>
        <w:ind w:firstLine="900"/>
        <w:jc w:val="both"/>
        <w:rPr>
          <w:sz w:val="28"/>
          <w:szCs w:val="28"/>
          <w:lang w:val="uk-UA"/>
        </w:rPr>
      </w:pPr>
      <w:r>
        <w:rPr>
          <w:sz w:val="28"/>
          <w:szCs w:val="28"/>
          <w:lang w:val="uk-UA"/>
        </w:rPr>
        <w:t xml:space="preserve">Отже, проведені дослідження свідчать про присутність різноманітних відхилень від норми в показниках як місцевого, так і системного імунітету у хворих на </w:t>
      </w:r>
      <w:r>
        <w:rPr>
          <w:color w:val="000000"/>
          <w:sz w:val="28"/>
          <w:szCs w:val="28"/>
          <w:lang w:val="uk-UA"/>
        </w:rPr>
        <w:t>ГГМЕ</w:t>
      </w:r>
      <w:r>
        <w:rPr>
          <w:sz w:val="28"/>
          <w:szCs w:val="28"/>
          <w:lang w:val="uk-UA"/>
        </w:rPr>
        <w:t>. Ці зміни можуть бути розцінені, як стан дисбалансу імунної системи, що є основою підтримки розвитку гострої запальної реакції.</w:t>
      </w:r>
    </w:p>
    <w:p w:rsidR="00AB01BA" w:rsidRDefault="00AB01BA" w:rsidP="00AB01BA">
      <w:pPr>
        <w:ind w:firstLine="900"/>
        <w:jc w:val="both"/>
        <w:rPr>
          <w:color w:val="000000"/>
          <w:sz w:val="28"/>
          <w:szCs w:val="28"/>
          <w:lang w:val="uk-UA"/>
        </w:rPr>
      </w:pPr>
      <w:r>
        <w:rPr>
          <w:sz w:val="28"/>
          <w:szCs w:val="28"/>
          <w:lang w:val="uk-UA"/>
        </w:rPr>
        <w:t xml:space="preserve">Якщо аналізувати вплив препаратів Аміксину ІС та циклоферону на рівні імунокомпетентних клітин </w:t>
      </w:r>
      <w:r>
        <w:rPr>
          <w:sz w:val="28"/>
          <w:szCs w:val="28"/>
          <w:lang w:val="en-US"/>
        </w:rPr>
        <w:t>CD</w:t>
      </w:r>
      <w:r>
        <w:rPr>
          <w:sz w:val="28"/>
          <w:szCs w:val="28"/>
          <w:lang w:val="uk-UA"/>
        </w:rPr>
        <w:t xml:space="preserve">3+, </w:t>
      </w:r>
      <w:r>
        <w:rPr>
          <w:sz w:val="28"/>
          <w:szCs w:val="28"/>
          <w:lang w:val="en-US"/>
        </w:rPr>
        <w:t>CD</w:t>
      </w:r>
      <w:r>
        <w:rPr>
          <w:sz w:val="28"/>
          <w:szCs w:val="28"/>
          <w:lang w:val="uk-UA"/>
        </w:rPr>
        <w:t xml:space="preserve">4+, </w:t>
      </w:r>
      <w:r>
        <w:rPr>
          <w:sz w:val="28"/>
          <w:szCs w:val="28"/>
          <w:lang w:val="en-US"/>
        </w:rPr>
        <w:t>CD</w:t>
      </w:r>
      <w:r>
        <w:rPr>
          <w:sz w:val="28"/>
          <w:szCs w:val="28"/>
          <w:lang w:val="uk-UA"/>
        </w:rPr>
        <w:t xml:space="preserve">8+, </w:t>
      </w:r>
      <w:r>
        <w:rPr>
          <w:sz w:val="28"/>
          <w:szCs w:val="28"/>
          <w:lang w:val="en-US"/>
        </w:rPr>
        <w:t>CD</w:t>
      </w:r>
      <w:r>
        <w:rPr>
          <w:sz w:val="28"/>
          <w:szCs w:val="28"/>
          <w:lang w:val="uk-UA"/>
        </w:rPr>
        <w:t xml:space="preserve">16+, </w:t>
      </w:r>
      <w:r>
        <w:rPr>
          <w:sz w:val="28"/>
          <w:szCs w:val="28"/>
          <w:lang w:val="en-US"/>
        </w:rPr>
        <w:t>CD</w:t>
      </w:r>
      <w:r>
        <w:rPr>
          <w:sz w:val="28"/>
          <w:szCs w:val="28"/>
          <w:lang w:val="uk-UA"/>
        </w:rPr>
        <w:t xml:space="preserve">19+ та </w:t>
      </w:r>
      <w:r>
        <w:rPr>
          <w:sz w:val="28"/>
          <w:szCs w:val="28"/>
          <w:lang w:val="en-US"/>
        </w:rPr>
        <w:t>INF</w:t>
      </w:r>
      <w:r>
        <w:rPr>
          <w:sz w:val="28"/>
          <w:szCs w:val="28"/>
          <w:lang w:val="uk-UA"/>
        </w:rPr>
        <w:t>-</w:t>
      </w:r>
      <w:r>
        <w:rPr>
          <w:sz w:val="28"/>
          <w:szCs w:val="28"/>
        </w:rPr>
        <w:t>γ</w:t>
      </w:r>
      <w:r>
        <w:rPr>
          <w:sz w:val="28"/>
          <w:szCs w:val="28"/>
          <w:lang w:val="uk-UA"/>
        </w:rPr>
        <w:t xml:space="preserve">, </w:t>
      </w:r>
      <w:r>
        <w:rPr>
          <w:color w:val="000000"/>
          <w:sz w:val="28"/>
          <w:szCs w:val="28"/>
          <w:lang w:val="uk-UA"/>
        </w:rPr>
        <w:t xml:space="preserve">слід зазначити, що в групі хворих, що приймали аміксин ІС спостерігалась достовірно вища кількість Т-лімфоцитів с антигеном </w:t>
      </w:r>
      <w:r>
        <w:rPr>
          <w:color w:val="000000"/>
          <w:sz w:val="28"/>
          <w:szCs w:val="28"/>
          <w:lang w:val="en-US"/>
        </w:rPr>
        <w:t>CD</w:t>
      </w:r>
      <w:r>
        <w:rPr>
          <w:color w:val="000000"/>
          <w:sz w:val="28"/>
          <w:szCs w:val="28"/>
          <w:lang w:val="uk-UA"/>
        </w:rPr>
        <w:t xml:space="preserve">4+, </w:t>
      </w:r>
      <w:r>
        <w:rPr>
          <w:color w:val="000000"/>
          <w:sz w:val="28"/>
          <w:szCs w:val="28"/>
          <w:lang w:val="en-US"/>
        </w:rPr>
        <w:t>CD</w:t>
      </w:r>
      <w:r>
        <w:rPr>
          <w:color w:val="000000"/>
          <w:sz w:val="28"/>
          <w:szCs w:val="28"/>
          <w:lang w:val="uk-UA"/>
        </w:rPr>
        <w:t xml:space="preserve">16+, вищий вміст </w:t>
      </w:r>
      <w:r>
        <w:rPr>
          <w:color w:val="000000"/>
          <w:sz w:val="28"/>
          <w:szCs w:val="28"/>
          <w:lang w:val="en-US"/>
        </w:rPr>
        <w:t>INF</w:t>
      </w:r>
      <w:r>
        <w:rPr>
          <w:color w:val="000000"/>
          <w:sz w:val="28"/>
          <w:szCs w:val="28"/>
          <w:lang w:val="uk-UA"/>
        </w:rPr>
        <w:t xml:space="preserve">-γ порівняно з хворими, що отримували циклоферон (р&lt;0,05). У той же час препарат не впливав на кількість Т-лімфоцитів с антигеном </w:t>
      </w:r>
      <w:r>
        <w:rPr>
          <w:color w:val="000000"/>
          <w:sz w:val="28"/>
          <w:szCs w:val="28"/>
          <w:lang w:val="en-US"/>
        </w:rPr>
        <w:t>CD</w:t>
      </w:r>
      <w:r>
        <w:rPr>
          <w:color w:val="000000"/>
          <w:sz w:val="28"/>
          <w:szCs w:val="28"/>
          <w:lang w:val="uk-UA"/>
        </w:rPr>
        <w:t>3+,</w:t>
      </w:r>
      <w:r>
        <w:rPr>
          <w:color w:val="000000"/>
          <w:sz w:val="28"/>
          <w:szCs w:val="28"/>
        </w:rPr>
        <w:t xml:space="preserve"> </w:t>
      </w:r>
      <w:r>
        <w:rPr>
          <w:color w:val="000000"/>
          <w:sz w:val="28"/>
          <w:szCs w:val="28"/>
          <w:lang w:val="en-US"/>
        </w:rPr>
        <w:t>CD</w:t>
      </w:r>
      <w:r>
        <w:rPr>
          <w:color w:val="000000"/>
          <w:sz w:val="28"/>
          <w:szCs w:val="28"/>
          <w:lang w:val="uk-UA"/>
        </w:rPr>
        <w:t>8+,</w:t>
      </w:r>
      <w:r>
        <w:rPr>
          <w:color w:val="000000"/>
          <w:sz w:val="28"/>
          <w:szCs w:val="28"/>
        </w:rPr>
        <w:t xml:space="preserve"> </w:t>
      </w:r>
      <w:r>
        <w:rPr>
          <w:color w:val="000000"/>
          <w:sz w:val="28"/>
          <w:szCs w:val="28"/>
          <w:lang w:val="en-US"/>
        </w:rPr>
        <w:t>CD</w:t>
      </w:r>
      <w:r>
        <w:rPr>
          <w:color w:val="000000"/>
          <w:sz w:val="28"/>
          <w:szCs w:val="28"/>
          <w:lang w:val="uk-UA"/>
        </w:rPr>
        <w:t xml:space="preserve">19+ (табл. 6). </w:t>
      </w:r>
    </w:p>
    <w:p w:rsidR="00AB01BA" w:rsidRDefault="00AB01BA" w:rsidP="00AB01BA">
      <w:pPr>
        <w:ind w:firstLine="900"/>
        <w:jc w:val="right"/>
        <w:rPr>
          <w:b/>
          <w:bCs/>
          <w:color w:val="000000"/>
          <w:sz w:val="28"/>
          <w:szCs w:val="28"/>
          <w:lang w:val="uk-UA"/>
        </w:rPr>
      </w:pPr>
      <w:r>
        <w:rPr>
          <w:b/>
          <w:bCs/>
          <w:color w:val="000000"/>
          <w:sz w:val="28"/>
          <w:szCs w:val="28"/>
          <w:lang w:val="uk-UA"/>
        </w:rPr>
        <w:t>Таблиця 6</w:t>
      </w:r>
    </w:p>
    <w:p w:rsidR="00AB01BA" w:rsidRDefault="00AB01BA" w:rsidP="00AB01BA">
      <w:pPr>
        <w:ind w:firstLine="708"/>
        <w:jc w:val="center"/>
        <w:rPr>
          <w:b/>
          <w:bCs/>
          <w:color w:val="000000"/>
          <w:sz w:val="28"/>
          <w:szCs w:val="28"/>
          <w:lang w:val="uk-UA"/>
        </w:rPr>
      </w:pPr>
      <w:r>
        <w:rPr>
          <w:b/>
          <w:bCs/>
          <w:color w:val="000000"/>
          <w:sz w:val="28"/>
          <w:szCs w:val="28"/>
          <w:lang w:val="uk-UA"/>
        </w:rPr>
        <w:t xml:space="preserve">Динаміка показників імунокомпетентних клітин та INF-γ у хворих на гострі герпесвірусні менінгоенцефаліти в залежності від варіанту лікування </w:t>
      </w:r>
      <w:r>
        <w:rPr>
          <w:b/>
          <w:bCs/>
          <w:sz w:val="28"/>
          <w:szCs w:val="28"/>
          <w:lang w:val="uk-UA"/>
        </w:rPr>
        <w:t>(M</w:t>
      </w:r>
      <w:r>
        <w:rPr>
          <w:b/>
          <w:bCs/>
          <w:color w:val="000000"/>
          <w:sz w:val="28"/>
          <w:szCs w:val="28"/>
          <w:lang w:val="uk-UA"/>
        </w:rPr>
        <w:sym w:font="Symbol" w:char="F0B1"/>
      </w:r>
      <w:r>
        <w:rPr>
          <w:b/>
          <w:bCs/>
          <w:color w:val="000000"/>
          <w:sz w:val="28"/>
          <w:szCs w:val="28"/>
          <w:lang w:val="uk-UA"/>
        </w:rPr>
        <w:t>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1689"/>
        <w:gridCol w:w="1791"/>
        <w:gridCol w:w="1955"/>
        <w:gridCol w:w="2204"/>
      </w:tblGrid>
      <w:tr w:rsidR="00AB01BA" w:rsidTr="005F7006">
        <w:trPr>
          <w:cantSplit/>
          <w:trHeight w:val="439"/>
        </w:trPr>
        <w:tc>
          <w:tcPr>
            <w:tcW w:w="1581" w:type="dxa"/>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Показник імунітету</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 xml:space="preserve">Група контролю </w:t>
            </w:r>
          </w:p>
          <w:p w:rsidR="00AB01BA" w:rsidRDefault="00AB01BA" w:rsidP="005F7006">
            <w:pPr>
              <w:jc w:val="center"/>
              <w:rPr>
                <w:b/>
                <w:bCs/>
                <w:color w:val="000000"/>
                <w:lang w:val="uk-UA"/>
              </w:rPr>
            </w:pPr>
            <w:r>
              <w:rPr>
                <w:b/>
                <w:bCs/>
                <w:color w:val="000000"/>
                <w:lang w:val="uk-UA"/>
              </w:rPr>
              <w:t>(</w:t>
            </w:r>
            <w:r>
              <w:rPr>
                <w:b/>
                <w:bCs/>
                <w:color w:val="000000"/>
                <w:lang w:val="en-US"/>
              </w:rPr>
              <w:t>n=20</w:t>
            </w:r>
            <w:r>
              <w:rPr>
                <w:b/>
                <w:bCs/>
                <w:color w:val="000000"/>
                <w:lang w:val="uk-UA"/>
              </w:rPr>
              <w:t>)</w:t>
            </w:r>
          </w:p>
        </w:tc>
        <w:tc>
          <w:tcPr>
            <w:tcW w:w="1794" w:type="dxa"/>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Розпал захворювання</w:t>
            </w:r>
          </w:p>
        </w:tc>
        <w:tc>
          <w:tcPr>
            <w:tcW w:w="4263" w:type="dxa"/>
            <w:gridSpan w:val="2"/>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Стадія реконвалесценції</w:t>
            </w:r>
          </w:p>
        </w:tc>
      </w:tr>
      <w:tr w:rsidR="00AB01BA" w:rsidTr="005F7006">
        <w:trPr>
          <w:cantSplit/>
          <w:trHeight w:val="825"/>
        </w:trPr>
        <w:tc>
          <w:tcPr>
            <w:tcW w:w="1581" w:type="dxa"/>
            <w:vMerge/>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p>
        </w:tc>
        <w:tc>
          <w:tcPr>
            <w:tcW w:w="1722" w:type="dxa"/>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p>
        </w:tc>
        <w:tc>
          <w:tcPr>
            <w:tcW w:w="1794" w:type="dxa"/>
            <w:vMerge/>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p>
        </w:tc>
        <w:tc>
          <w:tcPr>
            <w:tcW w:w="2006"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1-ша група</w:t>
            </w:r>
          </w:p>
          <w:p w:rsidR="00AB01BA" w:rsidRDefault="00AB01BA" w:rsidP="005F7006">
            <w:pPr>
              <w:jc w:val="center"/>
              <w:rPr>
                <w:b/>
                <w:bCs/>
                <w:color w:val="000000"/>
                <w:lang w:val="uk-UA"/>
              </w:rPr>
            </w:pPr>
            <w:r>
              <w:rPr>
                <w:b/>
                <w:bCs/>
                <w:color w:val="000000"/>
                <w:lang w:val="uk-UA"/>
              </w:rPr>
              <w:t>(аміксин ІС,</w:t>
            </w:r>
          </w:p>
          <w:p w:rsidR="00AB01BA" w:rsidRDefault="00AB01BA" w:rsidP="005F7006">
            <w:pPr>
              <w:jc w:val="center"/>
              <w:rPr>
                <w:b/>
                <w:bCs/>
                <w:color w:val="000000"/>
                <w:lang w:val="uk-UA"/>
              </w:rPr>
            </w:pPr>
            <w:r>
              <w:rPr>
                <w:b/>
                <w:bCs/>
                <w:color w:val="000000"/>
                <w:lang w:val="uk-UA"/>
              </w:rPr>
              <w:t>n=32)</w:t>
            </w:r>
          </w:p>
        </w:tc>
        <w:tc>
          <w:tcPr>
            <w:tcW w:w="2257"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jc w:val="center"/>
              <w:rPr>
                <w:b/>
                <w:bCs/>
                <w:color w:val="000000"/>
                <w:lang w:val="uk-UA"/>
              </w:rPr>
            </w:pPr>
            <w:r>
              <w:rPr>
                <w:b/>
                <w:bCs/>
                <w:color w:val="000000"/>
                <w:lang w:val="uk-UA"/>
              </w:rPr>
              <w:t>2-га група</w:t>
            </w:r>
          </w:p>
          <w:p w:rsidR="00AB01BA" w:rsidRDefault="00AB01BA" w:rsidP="005F7006">
            <w:pPr>
              <w:jc w:val="center"/>
              <w:rPr>
                <w:b/>
                <w:bCs/>
                <w:color w:val="000000"/>
                <w:lang w:val="uk-UA"/>
              </w:rPr>
            </w:pPr>
            <w:r>
              <w:rPr>
                <w:b/>
                <w:bCs/>
                <w:color w:val="000000"/>
                <w:lang w:val="uk-UA"/>
              </w:rPr>
              <w:t>(циклоферон,</w:t>
            </w:r>
          </w:p>
          <w:p w:rsidR="00AB01BA" w:rsidRDefault="00AB01BA" w:rsidP="005F7006">
            <w:pPr>
              <w:jc w:val="center"/>
              <w:rPr>
                <w:b/>
                <w:bCs/>
                <w:color w:val="000000"/>
                <w:lang w:val="uk-UA"/>
              </w:rPr>
            </w:pPr>
            <w:r>
              <w:rPr>
                <w:b/>
                <w:bCs/>
                <w:color w:val="000000"/>
                <w:lang w:val="uk-UA"/>
              </w:rPr>
              <w:t>n=17)</w:t>
            </w:r>
          </w:p>
        </w:tc>
      </w:tr>
      <w:tr w:rsidR="00AB01BA" w:rsidTr="005F7006">
        <w:trPr>
          <w:trHeight w:val="416"/>
        </w:trPr>
        <w:tc>
          <w:tcPr>
            <w:tcW w:w="1581"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CD3+х10</w:t>
            </w:r>
            <w:r>
              <w:rPr>
                <w:b/>
                <w:bCs/>
                <w:color w:val="000000"/>
                <w:vertAlign w:val="superscript"/>
                <w:lang w:val="uk-UA"/>
              </w:rPr>
              <w:t>6</w:t>
            </w:r>
            <w:r>
              <w:rPr>
                <w:b/>
                <w:bCs/>
                <w:color w:val="000000"/>
                <w:lang w:val="uk-UA"/>
              </w:rPr>
              <w:t>/мл</w:t>
            </w:r>
          </w:p>
        </w:tc>
        <w:tc>
          <w:tcPr>
            <w:tcW w:w="1722"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908,8±125,8</w:t>
            </w:r>
          </w:p>
        </w:tc>
        <w:tc>
          <w:tcPr>
            <w:tcW w:w="1794"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1290±165,7</w:t>
            </w:r>
            <w:r>
              <w:rPr>
                <w:b/>
                <w:bCs/>
                <w:color w:val="000000"/>
                <w:vertAlign w:val="superscript"/>
                <w:lang w:val="uk-UA"/>
              </w:rPr>
              <w:t>*1</w:t>
            </w:r>
          </w:p>
        </w:tc>
        <w:tc>
          <w:tcPr>
            <w:tcW w:w="2006"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946,6±51,5</w:t>
            </w:r>
          </w:p>
        </w:tc>
        <w:tc>
          <w:tcPr>
            <w:tcW w:w="2257"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923,6±42,8</w:t>
            </w:r>
          </w:p>
        </w:tc>
      </w:tr>
      <w:tr w:rsidR="00AB01BA" w:rsidTr="005F7006">
        <w:trPr>
          <w:trHeight w:val="286"/>
        </w:trPr>
        <w:tc>
          <w:tcPr>
            <w:tcW w:w="1581"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CD4+х10</w:t>
            </w:r>
            <w:r>
              <w:rPr>
                <w:b/>
                <w:bCs/>
                <w:color w:val="000000"/>
                <w:vertAlign w:val="superscript"/>
                <w:lang w:val="uk-UA"/>
              </w:rPr>
              <w:t>6</w:t>
            </w:r>
            <w:r>
              <w:rPr>
                <w:b/>
                <w:bCs/>
                <w:color w:val="000000"/>
                <w:lang w:val="uk-UA"/>
              </w:rPr>
              <w:t>/мл</w:t>
            </w:r>
          </w:p>
        </w:tc>
        <w:tc>
          <w:tcPr>
            <w:tcW w:w="1722"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659,7±97</w:t>
            </w:r>
          </w:p>
        </w:tc>
        <w:tc>
          <w:tcPr>
            <w:tcW w:w="1794"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780,9±98,1</w:t>
            </w:r>
            <w:r>
              <w:rPr>
                <w:b/>
                <w:bCs/>
                <w:color w:val="000000"/>
                <w:vertAlign w:val="superscript"/>
                <w:lang w:val="uk-UA"/>
              </w:rPr>
              <w:t>*1</w:t>
            </w:r>
          </w:p>
        </w:tc>
        <w:tc>
          <w:tcPr>
            <w:tcW w:w="2006"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695,3±41,5</w:t>
            </w:r>
            <w:r>
              <w:rPr>
                <w:b/>
                <w:bCs/>
                <w:color w:val="000000"/>
                <w:vertAlign w:val="superscript"/>
                <w:lang w:val="uk-UA"/>
              </w:rPr>
              <w:t>**2</w:t>
            </w:r>
          </w:p>
        </w:tc>
        <w:tc>
          <w:tcPr>
            <w:tcW w:w="2257"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608,3±52,3</w:t>
            </w:r>
            <w:r>
              <w:rPr>
                <w:b/>
                <w:bCs/>
                <w:color w:val="000000"/>
                <w:vertAlign w:val="superscript"/>
                <w:lang w:val="uk-UA"/>
              </w:rPr>
              <w:t>**2</w:t>
            </w:r>
          </w:p>
        </w:tc>
      </w:tr>
      <w:tr w:rsidR="00AB01BA" w:rsidTr="005F7006">
        <w:trPr>
          <w:trHeight w:val="322"/>
        </w:trPr>
        <w:tc>
          <w:tcPr>
            <w:tcW w:w="1581"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CD8+х10</w:t>
            </w:r>
            <w:r>
              <w:rPr>
                <w:b/>
                <w:bCs/>
                <w:color w:val="000000"/>
                <w:vertAlign w:val="superscript"/>
                <w:lang w:val="uk-UA"/>
              </w:rPr>
              <w:t>6</w:t>
            </w:r>
            <w:r>
              <w:rPr>
                <w:b/>
                <w:bCs/>
                <w:color w:val="000000"/>
                <w:lang w:val="uk-UA"/>
              </w:rPr>
              <w:t>/мл</w:t>
            </w:r>
          </w:p>
        </w:tc>
        <w:tc>
          <w:tcPr>
            <w:tcW w:w="1722"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394,9±29,8</w:t>
            </w:r>
          </w:p>
        </w:tc>
        <w:tc>
          <w:tcPr>
            <w:tcW w:w="1794"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359,3±23,1</w:t>
            </w:r>
          </w:p>
        </w:tc>
        <w:tc>
          <w:tcPr>
            <w:tcW w:w="2006"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393,5±25,6</w:t>
            </w:r>
          </w:p>
        </w:tc>
        <w:tc>
          <w:tcPr>
            <w:tcW w:w="2257"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375,5±22,3</w:t>
            </w:r>
          </w:p>
        </w:tc>
      </w:tr>
      <w:tr w:rsidR="00AB01BA" w:rsidTr="005F7006">
        <w:trPr>
          <w:trHeight w:val="302"/>
        </w:trPr>
        <w:tc>
          <w:tcPr>
            <w:tcW w:w="1581"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CD16+х10</w:t>
            </w:r>
            <w:r>
              <w:rPr>
                <w:b/>
                <w:bCs/>
                <w:color w:val="000000"/>
                <w:vertAlign w:val="superscript"/>
                <w:lang w:val="uk-UA"/>
              </w:rPr>
              <w:t>6</w:t>
            </w:r>
            <w:r>
              <w:rPr>
                <w:b/>
                <w:bCs/>
                <w:color w:val="000000"/>
                <w:lang w:val="uk-UA"/>
              </w:rPr>
              <w:t>/мл</w:t>
            </w:r>
          </w:p>
        </w:tc>
        <w:tc>
          <w:tcPr>
            <w:tcW w:w="1722"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321,1±34,2</w:t>
            </w:r>
          </w:p>
        </w:tc>
        <w:tc>
          <w:tcPr>
            <w:tcW w:w="1794"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301,9±25,1</w:t>
            </w:r>
          </w:p>
        </w:tc>
        <w:tc>
          <w:tcPr>
            <w:tcW w:w="2006"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333,1±15,1</w:t>
            </w:r>
            <w:r>
              <w:rPr>
                <w:b/>
                <w:bCs/>
                <w:color w:val="000000"/>
                <w:vertAlign w:val="superscript"/>
                <w:lang w:val="uk-UA"/>
              </w:rPr>
              <w:t>**2</w:t>
            </w:r>
          </w:p>
        </w:tc>
        <w:tc>
          <w:tcPr>
            <w:tcW w:w="2257"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298,1±17,2</w:t>
            </w:r>
            <w:r>
              <w:rPr>
                <w:b/>
                <w:bCs/>
                <w:color w:val="000000"/>
                <w:vertAlign w:val="superscript"/>
                <w:lang w:val="uk-UA"/>
              </w:rPr>
              <w:t>**2</w:t>
            </w:r>
          </w:p>
        </w:tc>
      </w:tr>
      <w:tr w:rsidR="00AB01BA" w:rsidTr="005F7006">
        <w:trPr>
          <w:trHeight w:val="365"/>
        </w:trPr>
        <w:tc>
          <w:tcPr>
            <w:tcW w:w="1581"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lastRenderedPageBreak/>
              <w:t>CD19+х10</w:t>
            </w:r>
            <w:r>
              <w:rPr>
                <w:b/>
                <w:bCs/>
                <w:color w:val="000000"/>
                <w:vertAlign w:val="superscript"/>
                <w:lang w:val="uk-UA"/>
              </w:rPr>
              <w:t>6</w:t>
            </w:r>
            <w:r>
              <w:rPr>
                <w:b/>
                <w:bCs/>
                <w:color w:val="000000"/>
                <w:lang w:val="uk-UA"/>
              </w:rPr>
              <w:t>/мл</w:t>
            </w:r>
          </w:p>
        </w:tc>
        <w:tc>
          <w:tcPr>
            <w:tcW w:w="1722"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243,4±42,4</w:t>
            </w:r>
          </w:p>
        </w:tc>
        <w:tc>
          <w:tcPr>
            <w:tcW w:w="1794"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319,4±24,3</w:t>
            </w:r>
            <w:r>
              <w:rPr>
                <w:b/>
                <w:bCs/>
                <w:color w:val="000000"/>
                <w:vertAlign w:val="superscript"/>
                <w:lang w:val="uk-UA"/>
              </w:rPr>
              <w:t>*1</w:t>
            </w:r>
          </w:p>
        </w:tc>
        <w:tc>
          <w:tcPr>
            <w:tcW w:w="2006"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435,5±21,7</w:t>
            </w:r>
          </w:p>
        </w:tc>
        <w:tc>
          <w:tcPr>
            <w:tcW w:w="2257"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415,5±22,8</w:t>
            </w:r>
          </w:p>
        </w:tc>
      </w:tr>
      <w:tr w:rsidR="00AB01BA" w:rsidTr="005F7006">
        <w:trPr>
          <w:trHeight w:val="348"/>
        </w:trPr>
        <w:tc>
          <w:tcPr>
            <w:tcW w:w="1581"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INF-γ пг/мл</w:t>
            </w:r>
          </w:p>
        </w:tc>
        <w:tc>
          <w:tcPr>
            <w:tcW w:w="1722"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12.4±1.7</w:t>
            </w:r>
          </w:p>
        </w:tc>
        <w:tc>
          <w:tcPr>
            <w:tcW w:w="1794"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77,4±6,1</w:t>
            </w:r>
            <w:r>
              <w:rPr>
                <w:b/>
                <w:bCs/>
                <w:color w:val="000000"/>
                <w:vertAlign w:val="superscript"/>
                <w:lang w:val="uk-UA"/>
              </w:rPr>
              <w:t>*1</w:t>
            </w:r>
          </w:p>
        </w:tc>
        <w:tc>
          <w:tcPr>
            <w:tcW w:w="2006"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67,2±4,3</w:t>
            </w:r>
            <w:r>
              <w:rPr>
                <w:b/>
                <w:bCs/>
                <w:color w:val="000000"/>
                <w:vertAlign w:val="superscript"/>
                <w:lang w:val="uk-UA"/>
              </w:rPr>
              <w:t>**2</w:t>
            </w:r>
          </w:p>
        </w:tc>
        <w:tc>
          <w:tcPr>
            <w:tcW w:w="2257" w:type="dxa"/>
            <w:tcBorders>
              <w:top w:val="single" w:sz="4" w:space="0" w:color="auto"/>
              <w:left w:val="single" w:sz="4" w:space="0" w:color="auto"/>
              <w:bottom w:val="single" w:sz="4" w:space="0" w:color="auto"/>
              <w:right w:val="single" w:sz="4" w:space="0" w:color="auto"/>
            </w:tcBorders>
          </w:tcPr>
          <w:p w:rsidR="00AB01BA" w:rsidRDefault="00AB01BA" w:rsidP="005F7006">
            <w:pPr>
              <w:jc w:val="center"/>
              <w:rPr>
                <w:b/>
                <w:bCs/>
                <w:color w:val="000000"/>
                <w:lang w:val="uk-UA"/>
              </w:rPr>
            </w:pPr>
            <w:r>
              <w:rPr>
                <w:b/>
                <w:bCs/>
                <w:color w:val="000000"/>
                <w:lang w:val="uk-UA"/>
              </w:rPr>
              <w:t>60,1±5,1</w:t>
            </w:r>
            <w:r>
              <w:rPr>
                <w:b/>
                <w:bCs/>
                <w:color w:val="000000"/>
                <w:vertAlign w:val="superscript"/>
                <w:lang w:val="uk-UA"/>
              </w:rPr>
              <w:t>**2</w:t>
            </w:r>
          </w:p>
        </w:tc>
      </w:tr>
    </w:tbl>
    <w:p w:rsidR="00AB01BA" w:rsidRDefault="00AB01BA" w:rsidP="00AB01BA">
      <w:pPr>
        <w:pStyle w:val="affffffff8"/>
        <w:rPr>
          <w:b/>
          <w:bCs/>
          <w:color w:val="000000"/>
          <w:lang w:val="uk-UA"/>
        </w:rPr>
      </w:pPr>
      <w:r>
        <w:rPr>
          <w:b/>
          <w:bCs/>
          <w:color w:val="000000"/>
          <w:lang w:val="uk-UA"/>
        </w:rPr>
        <w:t>Примітка:</w:t>
      </w:r>
    </w:p>
    <w:p w:rsidR="00AB01BA" w:rsidRDefault="00AB01BA" w:rsidP="00AB01BA">
      <w:pPr>
        <w:pStyle w:val="affffffff8"/>
        <w:rPr>
          <w:color w:val="000000"/>
          <w:lang w:val="uk-UA"/>
        </w:rPr>
      </w:pPr>
      <w:r>
        <w:rPr>
          <w:color w:val="000000"/>
          <w:vertAlign w:val="superscript"/>
          <w:lang w:val="uk-UA"/>
        </w:rPr>
        <w:t>1</w:t>
      </w:r>
      <w:r>
        <w:rPr>
          <w:color w:val="000000"/>
          <w:lang w:val="uk-UA"/>
        </w:rPr>
        <w:t xml:space="preserve"> </w:t>
      </w:r>
      <w:r>
        <w:rPr>
          <w:color w:val="000000"/>
          <w:lang w:val="uk-UA"/>
        </w:rPr>
        <w:sym w:font="Symbol" w:char="F02D"/>
      </w:r>
      <w:r>
        <w:rPr>
          <w:color w:val="000000"/>
          <w:lang w:val="uk-UA"/>
        </w:rPr>
        <w:t xml:space="preserve"> достовірна різниця між показниками в групах контролю та періоду розпалу </w:t>
      </w:r>
      <w:r>
        <w:rPr>
          <w:color w:val="000000"/>
          <w:lang w:val="uk-UA"/>
        </w:rPr>
        <w:sym w:font="Symbol" w:char="F02D"/>
      </w:r>
      <w:r>
        <w:rPr>
          <w:color w:val="000000"/>
          <w:lang w:val="uk-UA"/>
        </w:rPr>
        <w:t xml:space="preserve"> </w:t>
      </w:r>
      <w:r>
        <w:rPr>
          <w:color w:val="000000"/>
          <w:vertAlign w:val="superscript"/>
          <w:lang w:val="uk-UA"/>
        </w:rPr>
        <w:t>*</w:t>
      </w:r>
      <w:r>
        <w:rPr>
          <w:color w:val="000000"/>
          <w:lang w:val="uk-UA"/>
        </w:rPr>
        <w:t xml:space="preserve">р&lt;0,01, </w:t>
      </w:r>
      <w:r>
        <w:rPr>
          <w:color w:val="000000"/>
          <w:vertAlign w:val="superscript"/>
          <w:lang w:val="uk-UA"/>
        </w:rPr>
        <w:t>**</w:t>
      </w:r>
      <w:r>
        <w:rPr>
          <w:color w:val="000000"/>
          <w:lang w:val="uk-UA"/>
        </w:rPr>
        <w:t xml:space="preserve">р&lt;0,05; </w:t>
      </w:r>
    </w:p>
    <w:p w:rsidR="00AB01BA" w:rsidRDefault="00AB01BA" w:rsidP="00AB01BA">
      <w:pPr>
        <w:pStyle w:val="affffffff8"/>
        <w:rPr>
          <w:color w:val="000000"/>
          <w:lang w:val="uk-UA"/>
        </w:rPr>
      </w:pPr>
      <w:r>
        <w:rPr>
          <w:color w:val="000000"/>
          <w:vertAlign w:val="superscript"/>
          <w:lang w:val="uk-UA"/>
        </w:rPr>
        <w:t>2</w:t>
      </w:r>
      <w:r>
        <w:rPr>
          <w:color w:val="000000"/>
          <w:lang w:val="uk-UA"/>
        </w:rPr>
        <w:t xml:space="preserve"> </w:t>
      </w:r>
      <w:r>
        <w:rPr>
          <w:color w:val="000000"/>
          <w:lang w:val="uk-UA"/>
        </w:rPr>
        <w:sym w:font="Symbol" w:char="F02D"/>
      </w:r>
      <w:r>
        <w:rPr>
          <w:color w:val="000000"/>
          <w:lang w:val="uk-UA"/>
        </w:rPr>
        <w:t xml:space="preserve"> достовірна різниця між показниками періоду реконвалесценції у 1-й та 2-й групах </w:t>
      </w:r>
      <w:r>
        <w:rPr>
          <w:color w:val="000000"/>
          <w:lang w:val="uk-UA"/>
        </w:rPr>
        <w:sym w:font="Symbol" w:char="F02D"/>
      </w:r>
      <w:r>
        <w:rPr>
          <w:color w:val="000000"/>
          <w:lang w:val="uk-UA"/>
        </w:rPr>
        <w:t xml:space="preserve"> </w:t>
      </w:r>
      <w:r>
        <w:rPr>
          <w:color w:val="000000"/>
          <w:vertAlign w:val="superscript"/>
          <w:lang w:val="uk-UA"/>
        </w:rPr>
        <w:t>*</w:t>
      </w:r>
      <w:r>
        <w:rPr>
          <w:color w:val="000000"/>
          <w:lang w:val="uk-UA"/>
        </w:rPr>
        <w:t xml:space="preserve">р&lt;0,01, </w:t>
      </w:r>
      <w:r>
        <w:rPr>
          <w:color w:val="000000"/>
          <w:vertAlign w:val="superscript"/>
          <w:lang w:val="uk-UA"/>
        </w:rPr>
        <w:t>**</w:t>
      </w:r>
      <w:r>
        <w:rPr>
          <w:color w:val="000000"/>
          <w:lang w:val="uk-UA"/>
        </w:rPr>
        <w:t>р&lt;0,05.</w:t>
      </w:r>
    </w:p>
    <w:p w:rsidR="00AB01BA" w:rsidRDefault="00AB01BA" w:rsidP="00AB01BA">
      <w:pPr>
        <w:pStyle w:val="affffffff8"/>
        <w:rPr>
          <w:color w:val="000000"/>
          <w:lang w:val="uk-UA"/>
        </w:rPr>
      </w:pPr>
    </w:p>
    <w:p w:rsidR="00AB01BA" w:rsidRDefault="00AB01BA" w:rsidP="00AB01BA">
      <w:pPr>
        <w:autoSpaceDE w:val="0"/>
        <w:autoSpaceDN w:val="0"/>
        <w:adjustRightInd w:val="0"/>
        <w:ind w:firstLine="357"/>
        <w:jc w:val="right"/>
        <w:rPr>
          <w:b/>
          <w:bCs/>
          <w:color w:val="000000"/>
          <w:sz w:val="28"/>
          <w:szCs w:val="28"/>
          <w:lang w:val="uk-UA"/>
        </w:rPr>
      </w:pPr>
      <w:r>
        <w:rPr>
          <w:b/>
          <w:bCs/>
          <w:color w:val="000000"/>
          <w:sz w:val="28"/>
          <w:szCs w:val="28"/>
          <w:lang w:val="uk-UA"/>
        </w:rPr>
        <w:t>Таблиця 7</w:t>
      </w:r>
    </w:p>
    <w:p w:rsidR="00AB01BA" w:rsidRDefault="00AB01BA" w:rsidP="00AB01BA">
      <w:pPr>
        <w:autoSpaceDE w:val="0"/>
        <w:autoSpaceDN w:val="0"/>
        <w:adjustRightInd w:val="0"/>
        <w:ind w:firstLine="357"/>
        <w:jc w:val="center"/>
        <w:rPr>
          <w:b/>
          <w:bCs/>
          <w:color w:val="000000"/>
          <w:sz w:val="28"/>
          <w:szCs w:val="28"/>
          <w:lang w:val="uk-UA"/>
        </w:rPr>
      </w:pPr>
      <w:r>
        <w:rPr>
          <w:b/>
          <w:bCs/>
          <w:color w:val="000000"/>
          <w:sz w:val="28"/>
          <w:szCs w:val="28"/>
          <w:lang w:val="uk-UA"/>
        </w:rPr>
        <w:t xml:space="preserve">Тривалість провідних клінічних симптомів в залежності від способу лікування хворих на гострі герпесвірусні менінгоенцефаліти середньої тяжкості </w:t>
      </w:r>
      <w:r>
        <w:rPr>
          <w:b/>
          <w:bCs/>
          <w:sz w:val="28"/>
          <w:szCs w:val="28"/>
          <w:lang w:val="uk-UA"/>
        </w:rPr>
        <w:t>(M</w:t>
      </w:r>
      <w:r>
        <w:rPr>
          <w:b/>
          <w:bCs/>
          <w:color w:val="000000"/>
          <w:lang w:val="uk-UA"/>
        </w:rPr>
        <w:sym w:font="Symbol" w:char="F0B1"/>
      </w:r>
      <w:r>
        <w:rPr>
          <w:b/>
          <w:bCs/>
          <w:color w:val="000000"/>
          <w:sz w:val="28"/>
          <w:szCs w:val="28"/>
          <w:lang w:val="uk-UA"/>
        </w:rPr>
        <w: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2283"/>
        <w:gridCol w:w="2258"/>
      </w:tblGrid>
      <w:tr w:rsidR="00AB01BA" w:rsidTr="005F7006">
        <w:trPr>
          <w:cantSplit/>
          <w:trHeight w:val="411"/>
        </w:trPr>
        <w:tc>
          <w:tcPr>
            <w:tcW w:w="4819" w:type="dxa"/>
            <w:vMerge w:val="restart"/>
            <w:tcBorders>
              <w:top w:val="single" w:sz="4" w:space="0" w:color="auto"/>
              <w:left w:val="single" w:sz="4" w:space="0" w:color="auto"/>
              <w:bottom w:val="single" w:sz="4" w:space="0" w:color="auto"/>
              <w:right w:val="single" w:sz="4" w:space="0" w:color="auto"/>
            </w:tcBorders>
            <w:vAlign w:val="center"/>
          </w:tcPr>
          <w:p w:rsidR="00AB01BA" w:rsidRDefault="00AB01BA" w:rsidP="005F7006">
            <w:pPr>
              <w:autoSpaceDE w:val="0"/>
              <w:autoSpaceDN w:val="0"/>
              <w:adjustRightInd w:val="0"/>
              <w:jc w:val="center"/>
              <w:rPr>
                <w:b/>
                <w:bCs/>
                <w:color w:val="000000"/>
                <w:lang w:val="uk-UA"/>
              </w:rPr>
            </w:pPr>
            <w:r>
              <w:rPr>
                <w:b/>
                <w:bCs/>
                <w:color w:val="000000"/>
                <w:lang w:val="uk-UA"/>
              </w:rPr>
              <w:t>Провідні клінічні симптоми</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AB01BA" w:rsidRDefault="00AB01BA" w:rsidP="005F7006">
            <w:pPr>
              <w:autoSpaceDE w:val="0"/>
              <w:autoSpaceDN w:val="0"/>
              <w:adjustRightInd w:val="0"/>
              <w:jc w:val="center"/>
              <w:rPr>
                <w:b/>
                <w:bCs/>
                <w:color w:val="000000"/>
                <w:lang w:val="uk-UA"/>
              </w:rPr>
            </w:pPr>
            <w:r>
              <w:rPr>
                <w:b/>
                <w:bCs/>
                <w:color w:val="000000"/>
                <w:lang w:val="uk-UA"/>
              </w:rPr>
              <w:t>Тривалість симптомів (діб)</w:t>
            </w:r>
          </w:p>
        </w:tc>
      </w:tr>
      <w:tr w:rsidR="00AB01BA" w:rsidTr="005F7006">
        <w:trPr>
          <w:cantSplit/>
          <w:trHeight w:val="389"/>
        </w:trPr>
        <w:tc>
          <w:tcPr>
            <w:tcW w:w="4819" w:type="dxa"/>
            <w:vMerge/>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b/>
                <w:bCs/>
                <w:color w:val="000000"/>
                <w:lang w:val="uk-UA"/>
              </w:rPr>
            </w:pPr>
          </w:p>
        </w:tc>
        <w:tc>
          <w:tcPr>
            <w:tcW w:w="2283"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autoSpaceDE w:val="0"/>
              <w:autoSpaceDN w:val="0"/>
              <w:adjustRightInd w:val="0"/>
              <w:jc w:val="center"/>
              <w:rPr>
                <w:b/>
                <w:bCs/>
                <w:color w:val="000000"/>
                <w:lang w:val="uk-UA"/>
              </w:rPr>
            </w:pPr>
            <w:r>
              <w:rPr>
                <w:b/>
                <w:bCs/>
                <w:color w:val="000000"/>
                <w:lang w:val="uk-UA"/>
              </w:rPr>
              <w:t>1-ша група</w:t>
            </w:r>
          </w:p>
          <w:p w:rsidR="00AB01BA" w:rsidRDefault="00AB01BA" w:rsidP="005F7006">
            <w:pPr>
              <w:autoSpaceDE w:val="0"/>
              <w:autoSpaceDN w:val="0"/>
              <w:adjustRightInd w:val="0"/>
              <w:jc w:val="center"/>
              <w:rPr>
                <w:b/>
                <w:bCs/>
                <w:color w:val="000000"/>
              </w:rPr>
            </w:pPr>
            <w:r>
              <w:rPr>
                <w:b/>
                <w:bCs/>
                <w:color w:val="000000"/>
                <w:lang w:val="uk-UA"/>
              </w:rPr>
              <w:t>(аміксин ІС,</w:t>
            </w:r>
          </w:p>
          <w:p w:rsidR="00AB01BA" w:rsidRDefault="00AB01BA" w:rsidP="005F7006">
            <w:pPr>
              <w:autoSpaceDE w:val="0"/>
              <w:autoSpaceDN w:val="0"/>
              <w:adjustRightInd w:val="0"/>
              <w:jc w:val="center"/>
              <w:rPr>
                <w:b/>
                <w:bCs/>
                <w:color w:val="000000"/>
                <w:lang w:val="uk-UA"/>
              </w:rPr>
            </w:pPr>
            <w:r>
              <w:rPr>
                <w:b/>
                <w:bCs/>
                <w:color w:val="000000"/>
                <w:lang w:val="uk-UA"/>
              </w:rPr>
              <w:t>n=32)</w:t>
            </w:r>
          </w:p>
        </w:tc>
        <w:tc>
          <w:tcPr>
            <w:tcW w:w="2258" w:type="dxa"/>
            <w:tcBorders>
              <w:top w:val="single" w:sz="4" w:space="0" w:color="auto"/>
              <w:left w:val="single" w:sz="4" w:space="0" w:color="auto"/>
              <w:bottom w:val="single" w:sz="4" w:space="0" w:color="auto"/>
              <w:right w:val="single" w:sz="4" w:space="0" w:color="auto"/>
            </w:tcBorders>
            <w:vAlign w:val="center"/>
          </w:tcPr>
          <w:p w:rsidR="00AB01BA" w:rsidRDefault="00AB01BA" w:rsidP="005F7006">
            <w:pPr>
              <w:autoSpaceDE w:val="0"/>
              <w:autoSpaceDN w:val="0"/>
              <w:adjustRightInd w:val="0"/>
              <w:jc w:val="center"/>
              <w:rPr>
                <w:b/>
                <w:bCs/>
                <w:color w:val="000000"/>
                <w:lang w:val="uk-UA"/>
              </w:rPr>
            </w:pPr>
            <w:r>
              <w:rPr>
                <w:b/>
                <w:bCs/>
                <w:color w:val="000000"/>
                <w:lang w:val="uk-UA"/>
              </w:rPr>
              <w:t>2-га група (циклоферон, n=17)</w:t>
            </w:r>
          </w:p>
        </w:tc>
      </w:tr>
      <w:tr w:rsidR="00AB01BA" w:rsidTr="005F7006">
        <w:tc>
          <w:tcPr>
            <w:tcW w:w="4819"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both"/>
              <w:rPr>
                <w:color w:val="000000"/>
                <w:sz w:val="28"/>
                <w:szCs w:val="28"/>
                <w:lang w:val="uk-UA"/>
              </w:rPr>
            </w:pPr>
            <w:r>
              <w:rPr>
                <w:color w:val="000000"/>
                <w:sz w:val="28"/>
                <w:szCs w:val="28"/>
                <w:lang w:val="uk-UA"/>
              </w:rPr>
              <w:t>Головний біль</w:t>
            </w:r>
          </w:p>
        </w:tc>
        <w:tc>
          <w:tcPr>
            <w:tcW w:w="2283"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color w:val="000000"/>
                <w:sz w:val="28"/>
                <w:szCs w:val="28"/>
                <w:lang w:val="uk-UA"/>
              </w:rPr>
            </w:pPr>
            <w:r>
              <w:rPr>
                <w:color w:val="000000"/>
                <w:sz w:val="28"/>
                <w:szCs w:val="28"/>
                <w:lang w:val="uk-UA"/>
              </w:rPr>
              <w:t>9.2</w:t>
            </w:r>
            <w:r>
              <w:rPr>
                <w:color w:val="000000"/>
                <w:sz w:val="28"/>
                <w:szCs w:val="28"/>
                <w:lang w:val="uk-UA"/>
              </w:rPr>
              <w:sym w:font="Symbol" w:char="F0B1"/>
            </w:r>
            <w:r>
              <w:rPr>
                <w:color w:val="000000"/>
                <w:sz w:val="28"/>
                <w:szCs w:val="28"/>
                <w:lang w:val="uk-UA"/>
              </w:rPr>
              <w:t>2,8</w:t>
            </w:r>
            <w:r>
              <w:rPr>
                <w:color w:val="000000"/>
                <w:sz w:val="28"/>
                <w:szCs w:val="28"/>
                <w:vertAlign w:val="superscript"/>
                <w:lang w:val="uk-UA"/>
              </w:rPr>
              <w:t>1</w:t>
            </w:r>
          </w:p>
        </w:tc>
        <w:tc>
          <w:tcPr>
            <w:tcW w:w="2258"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color w:val="000000"/>
                <w:sz w:val="28"/>
                <w:szCs w:val="28"/>
                <w:lang w:val="uk-UA"/>
              </w:rPr>
            </w:pPr>
            <w:r>
              <w:rPr>
                <w:color w:val="000000"/>
                <w:sz w:val="28"/>
                <w:szCs w:val="28"/>
                <w:lang w:val="uk-UA"/>
              </w:rPr>
              <w:t>12,4</w:t>
            </w:r>
            <w:r>
              <w:rPr>
                <w:color w:val="000000"/>
                <w:sz w:val="28"/>
                <w:szCs w:val="28"/>
                <w:lang w:val="uk-UA"/>
              </w:rPr>
              <w:sym w:font="Symbol" w:char="F0B1"/>
            </w:r>
            <w:r>
              <w:rPr>
                <w:color w:val="000000"/>
                <w:sz w:val="28"/>
                <w:szCs w:val="28"/>
                <w:lang w:val="uk-UA"/>
              </w:rPr>
              <w:t>3,5</w:t>
            </w:r>
            <w:r>
              <w:rPr>
                <w:color w:val="000000"/>
                <w:sz w:val="28"/>
                <w:szCs w:val="28"/>
                <w:vertAlign w:val="superscript"/>
                <w:lang w:val="uk-UA"/>
              </w:rPr>
              <w:t>1</w:t>
            </w:r>
          </w:p>
        </w:tc>
      </w:tr>
      <w:tr w:rsidR="00AB01BA" w:rsidTr="005F7006">
        <w:tc>
          <w:tcPr>
            <w:tcW w:w="4819"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both"/>
              <w:rPr>
                <w:color w:val="000000"/>
                <w:sz w:val="28"/>
                <w:szCs w:val="28"/>
                <w:lang w:val="uk-UA"/>
              </w:rPr>
            </w:pPr>
            <w:r>
              <w:rPr>
                <w:color w:val="000000"/>
                <w:sz w:val="28"/>
                <w:szCs w:val="28"/>
                <w:lang w:val="uk-UA"/>
              </w:rPr>
              <w:t>Лихоманка</w:t>
            </w:r>
          </w:p>
        </w:tc>
        <w:tc>
          <w:tcPr>
            <w:tcW w:w="2283"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color w:val="000000"/>
                <w:sz w:val="28"/>
                <w:szCs w:val="28"/>
                <w:lang w:val="uk-UA"/>
              </w:rPr>
            </w:pPr>
            <w:r>
              <w:rPr>
                <w:color w:val="000000"/>
                <w:sz w:val="28"/>
                <w:szCs w:val="28"/>
                <w:lang w:val="uk-UA"/>
              </w:rPr>
              <w:t>9,5±2,5</w:t>
            </w:r>
            <w:r>
              <w:rPr>
                <w:color w:val="000000"/>
                <w:vertAlign w:val="superscript"/>
                <w:lang w:val="uk-UA"/>
              </w:rPr>
              <w:t>1</w:t>
            </w:r>
          </w:p>
        </w:tc>
        <w:tc>
          <w:tcPr>
            <w:tcW w:w="2258"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color w:val="000000"/>
                <w:sz w:val="28"/>
                <w:szCs w:val="28"/>
                <w:lang w:val="uk-UA"/>
              </w:rPr>
            </w:pPr>
            <w:r>
              <w:rPr>
                <w:color w:val="000000"/>
                <w:sz w:val="28"/>
                <w:szCs w:val="28"/>
                <w:lang w:val="uk-UA"/>
              </w:rPr>
              <w:t>11,2</w:t>
            </w:r>
            <w:r>
              <w:rPr>
                <w:color w:val="000000"/>
                <w:sz w:val="28"/>
                <w:szCs w:val="28"/>
                <w:lang w:val="uk-UA"/>
              </w:rPr>
              <w:sym w:font="Symbol" w:char="F0B1"/>
            </w:r>
            <w:r>
              <w:rPr>
                <w:color w:val="000000"/>
                <w:sz w:val="28"/>
                <w:szCs w:val="28"/>
                <w:lang w:val="uk-UA"/>
              </w:rPr>
              <w:t>2,7</w:t>
            </w:r>
            <w:r>
              <w:rPr>
                <w:color w:val="000000"/>
                <w:vertAlign w:val="superscript"/>
                <w:lang w:val="uk-UA"/>
              </w:rPr>
              <w:t>1</w:t>
            </w:r>
          </w:p>
        </w:tc>
      </w:tr>
      <w:tr w:rsidR="00AB01BA" w:rsidTr="005F7006">
        <w:tc>
          <w:tcPr>
            <w:tcW w:w="4819"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both"/>
              <w:rPr>
                <w:color w:val="000000"/>
                <w:sz w:val="28"/>
                <w:szCs w:val="28"/>
                <w:lang w:val="uk-UA"/>
              </w:rPr>
            </w:pPr>
            <w:r>
              <w:rPr>
                <w:color w:val="000000"/>
                <w:sz w:val="28"/>
                <w:szCs w:val="28"/>
                <w:lang w:val="uk-UA"/>
              </w:rPr>
              <w:t>Менінгеальні симптоми</w:t>
            </w:r>
          </w:p>
        </w:tc>
        <w:tc>
          <w:tcPr>
            <w:tcW w:w="2283"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color w:val="000000"/>
                <w:sz w:val="28"/>
                <w:szCs w:val="28"/>
                <w:lang w:val="uk-UA"/>
              </w:rPr>
            </w:pPr>
            <w:r>
              <w:rPr>
                <w:color w:val="000000"/>
                <w:sz w:val="28"/>
                <w:szCs w:val="28"/>
                <w:lang w:val="uk-UA"/>
              </w:rPr>
              <w:t>7,1</w:t>
            </w:r>
            <w:r>
              <w:rPr>
                <w:color w:val="000000"/>
                <w:sz w:val="28"/>
                <w:szCs w:val="28"/>
                <w:lang w:val="uk-UA"/>
              </w:rPr>
              <w:sym w:font="Symbol" w:char="F0B1"/>
            </w:r>
            <w:r>
              <w:rPr>
                <w:color w:val="000000"/>
                <w:sz w:val="28"/>
                <w:szCs w:val="28"/>
                <w:lang w:val="uk-UA"/>
              </w:rPr>
              <w:t>1,1</w:t>
            </w:r>
          </w:p>
        </w:tc>
        <w:tc>
          <w:tcPr>
            <w:tcW w:w="2258"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color w:val="000000"/>
                <w:sz w:val="28"/>
                <w:szCs w:val="28"/>
                <w:lang w:val="uk-UA"/>
              </w:rPr>
            </w:pPr>
            <w:r>
              <w:rPr>
                <w:color w:val="000000"/>
                <w:sz w:val="28"/>
                <w:szCs w:val="28"/>
                <w:lang w:val="uk-UA"/>
              </w:rPr>
              <w:t>7,3</w:t>
            </w:r>
            <w:r>
              <w:rPr>
                <w:color w:val="000000"/>
                <w:sz w:val="28"/>
                <w:szCs w:val="28"/>
                <w:lang w:val="uk-UA"/>
              </w:rPr>
              <w:sym w:font="Symbol" w:char="F0B1"/>
            </w:r>
            <w:r>
              <w:rPr>
                <w:color w:val="000000"/>
                <w:sz w:val="28"/>
                <w:szCs w:val="28"/>
                <w:lang w:val="uk-UA"/>
              </w:rPr>
              <w:t>1</w:t>
            </w:r>
          </w:p>
        </w:tc>
      </w:tr>
      <w:tr w:rsidR="00AB01BA" w:rsidTr="005F7006">
        <w:tc>
          <w:tcPr>
            <w:tcW w:w="4819"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both"/>
              <w:rPr>
                <w:color w:val="000000"/>
                <w:sz w:val="28"/>
                <w:szCs w:val="28"/>
                <w:lang w:val="uk-UA"/>
              </w:rPr>
            </w:pPr>
            <w:r>
              <w:rPr>
                <w:color w:val="000000"/>
                <w:sz w:val="28"/>
                <w:szCs w:val="28"/>
                <w:lang w:val="uk-UA"/>
              </w:rPr>
              <w:t>Слабкість</w:t>
            </w:r>
          </w:p>
        </w:tc>
        <w:tc>
          <w:tcPr>
            <w:tcW w:w="2283"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color w:val="000000"/>
                <w:sz w:val="28"/>
                <w:szCs w:val="28"/>
                <w:lang w:val="uk-UA"/>
              </w:rPr>
            </w:pPr>
            <w:r>
              <w:rPr>
                <w:color w:val="000000"/>
                <w:sz w:val="28"/>
                <w:szCs w:val="28"/>
                <w:lang w:val="uk-UA"/>
              </w:rPr>
              <w:t>25±3,2</w:t>
            </w:r>
            <w:r>
              <w:rPr>
                <w:color w:val="000000"/>
                <w:vertAlign w:val="superscript"/>
                <w:lang w:val="uk-UA"/>
              </w:rPr>
              <w:t>1</w:t>
            </w:r>
          </w:p>
        </w:tc>
        <w:tc>
          <w:tcPr>
            <w:tcW w:w="2258"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color w:val="000000"/>
                <w:sz w:val="28"/>
                <w:szCs w:val="28"/>
                <w:lang w:val="uk-UA"/>
              </w:rPr>
            </w:pPr>
            <w:r>
              <w:rPr>
                <w:color w:val="000000"/>
                <w:sz w:val="28"/>
                <w:szCs w:val="28"/>
                <w:lang w:val="uk-UA"/>
              </w:rPr>
              <w:t>32</w:t>
            </w:r>
            <w:r>
              <w:rPr>
                <w:color w:val="000000"/>
                <w:sz w:val="28"/>
                <w:szCs w:val="28"/>
                <w:lang w:val="uk-UA"/>
              </w:rPr>
              <w:sym w:font="Symbol" w:char="F0B1"/>
            </w:r>
            <w:r>
              <w:rPr>
                <w:color w:val="000000"/>
                <w:sz w:val="28"/>
                <w:szCs w:val="28"/>
                <w:lang w:val="uk-UA"/>
              </w:rPr>
              <w:t>3,1</w:t>
            </w:r>
            <w:r>
              <w:rPr>
                <w:color w:val="000000"/>
                <w:vertAlign w:val="superscript"/>
                <w:lang w:val="uk-UA"/>
              </w:rPr>
              <w:t>1</w:t>
            </w:r>
          </w:p>
        </w:tc>
      </w:tr>
      <w:tr w:rsidR="00AB01BA" w:rsidTr="005F7006">
        <w:tc>
          <w:tcPr>
            <w:tcW w:w="4819"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both"/>
              <w:rPr>
                <w:color w:val="000000"/>
                <w:sz w:val="28"/>
                <w:szCs w:val="28"/>
                <w:lang w:val="uk-UA"/>
              </w:rPr>
            </w:pPr>
            <w:r>
              <w:rPr>
                <w:color w:val="000000"/>
                <w:sz w:val="28"/>
                <w:szCs w:val="28"/>
                <w:lang w:val="uk-UA"/>
              </w:rPr>
              <w:t xml:space="preserve">Тривалість знаходження у стаціонарі </w:t>
            </w:r>
          </w:p>
        </w:tc>
        <w:tc>
          <w:tcPr>
            <w:tcW w:w="2283"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color w:val="000000"/>
                <w:sz w:val="28"/>
                <w:szCs w:val="28"/>
                <w:lang w:val="uk-UA"/>
              </w:rPr>
            </w:pPr>
            <w:r>
              <w:rPr>
                <w:color w:val="000000"/>
                <w:sz w:val="28"/>
                <w:szCs w:val="28"/>
                <w:lang w:val="uk-UA"/>
              </w:rPr>
              <w:t>18,8</w:t>
            </w:r>
            <w:r>
              <w:rPr>
                <w:color w:val="000000"/>
                <w:sz w:val="28"/>
                <w:szCs w:val="28"/>
                <w:lang w:val="uk-UA"/>
              </w:rPr>
              <w:sym w:font="Symbol" w:char="F0B1"/>
            </w:r>
            <w:r>
              <w:rPr>
                <w:color w:val="000000"/>
                <w:sz w:val="28"/>
                <w:szCs w:val="28"/>
                <w:lang w:val="uk-UA"/>
              </w:rPr>
              <w:t>4,5</w:t>
            </w:r>
          </w:p>
        </w:tc>
        <w:tc>
          <w:tcPr>
            <w:tcW w:w="2258" w:type="dxa"/>
            <w:tcBorders>
              <w:top w:val="single" w:sz="4" w:space="0" w:color="auto"/>
              <w:left w:val="single" w:sz="4" w:space="0" w:color="auto"/>
              <w:bottom w:val="single" w:sz="4" w:space="0" w:color="auto"/>
              <w:right w:val="single" w:sz="4" w:space="0" w:color="auto"/>
            </w:tcBorders>
          </w:tcPr>
          <w:p w:rsidR="00AB01BA" w:rsidRDefault="00AB01BA" w:rsidP="005F7006">
            <w:pPr>
              <w:autoSpaceDE w:val="0"/>
              <w:autoSpaceDN w:val="0"/>
              <w:adjustRightInd w:val="0"/>
              <w:jc w:val="center"/>
              <w:rPr>
                <w:color w:val="000000"/>
                <w:sz w:val="28"/>
                <w:szCs w:val="28"/>
                <w:lang w:val="uk-UA"/>
              </w:rPr>
            </w:pPr>
            <w:r>
              <w:rPr>
                <w:color w:val="000000"/>
                <w:sz w:val="28"/>
                <w:szCs w:val="28"/>
                <w:lang w:val="uk-UA"/>
              </w:rPr>
              <w:t>22,7</w:t>
            </w:r>
            <w:r>
              <w:rPr>
                <w:color w:val="000000"/>
                <w:sz w:val="28"/>
                <w:szCs w:val="28"/>
                <w:lang w:val="uk-UA"/>
              </w:rPr>
              <w:sym w:font="Symbol" w:char="F0B1"/>
            </w:r>
            <w:r>
              <w:rPr>
                <w:color w:val="000000"/>
                <w:sz w:val="28"/>
                <w:szCs w:val="28"/>
                <w:lang w:val="uk-UA"/>
              </w:rPr>
              <w:t>4,8</w:t>
            </w:r>
          </w:p>
        </w:tc>
      </w:tr>
    </w:tbl>
    <w:p w:rsidR="00AB01BA" w:rsidRDefault="00AB01BA" w:rsidP="00AB01BA">
      <w:pPr>
        <w:pStyle w:val="affffffff8"/>
        <w:rPr>
          <w:b/>
          <w:bCs/>
          <w:color w:val="000000"/>
          <w:lang w:val="uk-UA"/>
        </w:rPr>
      </w:pPr>
      <w:r>
        <w:rPr>
          <w:b/>
          <w:bCs/>
          <w:color w:val="000000"/>
          <w:lang w:val="uk-UA"/>
        </w:rPr>
        <w:t>Примітка:</w:t>
      </w:r>
    </w:p>
    <w:p w:rsidR="00AB01BA" w:rsidRDefault="00AB01BA" w:rsidP="00AB01BA">
      <w:pPr>
        <w:pStyle w:val="affffffff8"/>
        <w:rPr>
          <w:color w:val="000000"/>
          <w:lang w:val="uk-UA"/>
        </w:rPr>
      </w:pPr>
      <w:r>
        <w:rPr>
          <w:color w:val="000000"/>
          <w:vertAlign w:val="superscript"/>
          <w:lang w:val="uk-UA"/>
        </w:rPr>
        <w:t>1</w:t>
      </w:r>
      <w:r>
        <w:rPr>
          <w:color w:val="000000"/>
          <w:lang w:val="uk-UA"/>
        </w:rPr>
        <w:t xml:space="preserve"> </w:t>
      </w:r>
      <w:r>
        <w:rPr>
          <w:color w:val="000000"/>
          <w:lang w:val="uk-UA"/>
        </w:rPr>
        <w:sym w:font="Symbol" w:char="F02D"/>
      </w:r>
      <w:r>
        <w:rPr>
          <w:color w:val="000000"/>
          <w:lang w:val="uk-UA"/>
        </w:rPr>
        <w:t xml:space="preserve"> достовірна різниця між показниками у 1-й та 2-й групах. </w:t>
      </w:r>
    </w:p>
    <w:p w:rsidR="00AB01BA" w:rsidRDefault="00AB01BA" w:rsidP="00AB01BA">
      <w:pPr>
        <w:pStyle w:val="affffffff8"/>
        <w:ind w:firstLine="900"/>
        <w:rPr>
          <w:color w:val="000000"/>
          <w:lang w:val="uk-UA"/>
        </w:rPr>
      </w:pPr>
      <w:r>
        <w:rPr>
          <w:color w:val="000000"/>
          <w:szCs w:val="28"/>
          <w:lang w:val="uk-UA"/>
        </w:rPr>
        <w:t>Тривалість лихоманкового періоду та менінгеального синдрому була практично однаковою в обох групах хворих. Однак у групі хворих, що у комплексному лікуванні отримували аміксин ІС, раніше зникали вогнищеві симптоми ураження ЦНС і нормалізувались показники клінічного аналізу ліквору, головний біль, слабкість (табл. 7).</w:t>
      </w:r>
    </w:p>
    <w:p w:rsidR="00AB01BA" w:rsidRDefault="00AB01BA" w:rsidP="00AB01BA">
      <w:pPr>
        <w:ind w:firstLine="900"/>
        <w:jc w:val="both"/>
        <w:rPr>
          <w:color w:val="000000"/>
          <w:sz w:val="28"/>
          <w:szCs w:val="28"/>
          <w:lang w:val="uk-UA"/>
        </w:rPr>
      </w:pPr>
      <w:r>
        <w:rPr>
          <w:color w:val="000000"/>
          <w:sz w:val="28"/>
          <w:szCs w:val="28"/>
          <w:lang w:val="uk-UA"/>
        </w:rPr>
        <w:t xml:space="preserve">Порівняльний аналіз отриманих даних свідчить про те, що застосування аміксину ІС в комплексному лікуванні хворих на ГГМЕ середньої тяжкості сприяє більш швидкому усуненню вогнищевої симптоматики, швидшій нормалізації показників клінічного аналізу ліквору, зменшенню тривалості больового синдрому та знаходження хворих у стаціонарі. Застосування аміксину </w:t>
      </w:r>
      <w:r>
        <w:rPr>
          <w:color w:val="000000"/>
          <w:sz w:val="28"/>
          <w:szCs w:val="28"/>
          <w:lang w:val="en-US"/>
        </w:rPr>
        <w:t>I</w:t>
      </w:r>
      <w:r>
        <w:rPr>
          <w:color w:val="000000"/>
          <w:sz w:val="28"/>
          <w:szCs w:val="28"/>
          <w:lang w:val="uk-UA"/>
        </w:rPr>
        <w:t xml:space="preserve">С дозволяє скоротити обсяги і тривалість дезінтоксикаційної та патогенетичної терапії. </w:t>
      </w:r>
    </w:p>
    <w:p w:rsidR="00AB01BA" w:rsidRDefault="00AB01BA" w:rsidP="00AB01BA">
      <w:pPr>
        <w:ind w:firstLine="708"/>
        <w:jc w:val="center"/>
        <w:rPr>
          <w:b/>
          <w:bCs/>
          <w:sz w:val="28"/>
          <w:szCs w:val="28"/>
          <w:lang w:val="uk-UA"/>
        </w:rPr>
      </w:pPr>
    </w:p>
    <w:p w:rsidR="00AB01BA" w:rsidRDefault="00AB01BA" w:rsidP="00AB01BA">
      <w:pPr>
        <w:ind w:firstLine="708"/>
        <w:jc w:val="center"/>
        <w:rPr>
          <w:b/>
          <w:bCs/>
          <w:sz w:val="28"/>
          <w:szCs w:val="28"/>
          <w:lang w:val="uk-UA"/>
        </w:rPr>
      </w:pPr>
      <w:r>
        <w:rPr>
          <w:b/>
          <w:bCs/>
          <w:sz w:val="28"/>
          <w:szCs w:val="28"/>
          <w:lang w:val="uk-UA"/>
        </w:rPr>
        <w:t>ВИСНОВКИ</w:t>
      </w:r>
    </w:p>
    <w:p w:rsidR="00AB01BA" w:rsidRDefault="00AB01BA" w:rsidP="00AB01BA">
      <w:pPr>
        <w:ind w:firstLine="900"/>
        <w:jc w:val="both"/>
        <w:rPr>
          <w:sz w:val="28"/>
          <w:szCs w:val="28"/>
          <w:lang w:val="uk-UA"/>
        </w:rPr>
      </w:pPr>
      <w:r>
        <w:rPr>
          <w:color w:val="000000"/>
          <w:sz w:val="28"/>
          <w:szCs w:val="28"/>
          <w:lang w:val="uk-UA"/>
        </w:rPr>
        <w:t xml:space="preserve">Таким чином, у дисертації наведено теоретичне узагальнення і вирішення наукової задачі – вивчення стану імунної системи у хворих на гострі герпесвірусні менінгоенцефаліти. Отримано нові дані про стан як системної, так і місцевої імунної відповіді при гострих герпесвірусних менінгоенцефалітах в залежності від тяжкості перебігу запального процесу та нові дані щодо впливу імуномодуляторів на рівні імунокомпетентних клітин і </w:t>
      </w:r>
      <w:r>
        <w:rPr>
          <w:sz w:val="28"/>
          <w:szCs w:val="28"/>
          <w:lang w:val="en-US"/>
        </w:rPr>
        <w:t>INF</w:t>
      </w:r>
      <w:r>
        <w:rPr>
          <w:sz w:val="28"/>
          <w:szCs w:val="28"/>
          <w:lang w:val="uk-UA"/>
        </w:rPr>
        <w:t>-</w:t>
      </w:r>
      <w:r>
        <w:rPr>
          <w:sz w:val="28"/>
          <w:szCs w:val="28"/>
        </w:rPr>
        <w:t>γ</w:t>
      </w:r>
      <w:r>
        <w:rPr>
          <w:sz w:val="28"/>
          <w:szCs w:val="28"/>
          <w:lang w:val="uk-UA"/>
        </w:rPr>
        <w:t xml:space="preserve"> у хворих на гострі герпесвірусні менінгоенцефаліти. </w:t>
      </w:r>
    </w:p>
    <w:p w:rsidR="00AB01BA" w:rsidRDefault="00AB01BA" w:rsidP="00542D35">
      <w:pPr>
        <w:numPr>
          <w:ilvl w:val="0"/>
          <w:numId w:val="68"/>
        </w:numPr>
        <w:suppressAutoHyphens w:val="0"/>
        <w:jc w:val="both"/>
        <w:rPr>
          <w:color w:val="000000"/>
          <w:sz w:val="28"/>
          <w:szCs w:val="28"/>
          <w:lang w:val="uk-UA"/>
        </w:rPr>
      </w:pPr>
      <w:r>
        <w:rPr>
          <w:color w:val="000000"/>
          <w:sz w:val="28"/>
          <w:szCs w:val="28"/>
          <w:lang w:val="uk-UA"/>
        </w:rPr>
        <w:lastRenderedPageBreak/>
        <w:t>В етіологічній структурі гострих герпесвірусних енцефалітів переважає ВПГ – 62,5 % хворих. Найвища захворюваність спостерігається у віковій групі 19-29 років – 70,6 %. Незважаючи на відносно малу кількість хворих старше 45 років – 13,75 %, захворювання у цих хворих має тяжкий перебіг у 49,9 % випадків.</w:t>
      </w:r>
    </w:p>
    <w:p w:rsidR="00AB01BA" w:rsidRDefault="00AB01BA" w:rsidP="00542D35">
      <w:pPr>
        <w:numPr>
          <w:ilvl w:val="0"/>
          <w:numId w:val="68"/>
        </w:numPr>
        <w:suppressAutoHyphens w:val="0"/>
        <w:jc w:val="both"/>
        <w:rPr>
          <w:color w:val="000000"/>
          <w:sz w:val="28"/>
          <w:szCs w:val="28"/>
          <w:lang w:val="uk-UA"/>
        </w:rPr>
      </w:pPr>
      <w:r>
        <w:rPr>
          <w:color w:val="000000"/>
          <w:sz w:val="28"/>
          <w:szCs w:val="28"/>
          <w:lang w:val="uk-UA"/>
        </w:rPr>
        <w:t xml:space="preserve">Залежно від тяжкості гострих герпесвірусних менінгоенцефалітів, спостерігалися як якісні, так і кількісні зміни в усіх ланках імунної системи. У хворих з тяжким перебігом спостерігається значне пригнічення Т-клітинної ланки імунітету, що підтверджується зниженням вмісту </w:t>
      </w:r>
      <w:r>
        <w:rPr>
          <w:color w:val="000000"/>
          <w:sz w:val="28"/>
          <w:szCs w:val="28"/>
          <w:lang w:val="en-US"/>
        </w:rPr>
        <w:t>CD</w:t>
      </w:r>
      <w:r>
        <w:rPr>
          <w:color w:val="000000"/>
          <w:sz w:val="28"/>
          <w:szCs w:val="28"/>
          <w:lang w:val="uk-UA"/>
        </w:rPr>
        <w:t xml:space="preserve">4+ клітин і зменшенням імунорегуляторного індексу </w:t>
      </w:r>
      <w:r>
        <w:rPr>
          <w:color w:val="000000"/>
          <w:sz w:val="28"/>
          <w:szCs w:val="28"/>
          <w:lang w:val="en-US"/>
        </w:rPr>
        <w:t>CD</w:t>
      </w:r>
      <w:r>
        <w:rPr>
          <w:color w:val="000000"/>
          <w:sz w:val="28"/>
          <w:szCs w:val="28"/>
          <w:lang w:val="uk-UA"/>
        </w:rPr>
        <w:t>4+/</w:t>
      </w:r>
      <w:r>
        <w:rPr>
          <w:color w:val="000000"/>
          <w:sz w:val="28"/>
          <w:szCs w:val="28"/>
          <w:lang w:val="en-US"/>
        </w:rPr>
        <w:t>CD</w:t>
      </w:r>
      <w:r>
        <w:rPr>
          <w:color w:val="000000"/>
          <w:sz w:val="28"/>
          <w:szCs w:val="28"/>
          <w:lang w:val="uk-UA"/>
        </w:rPr>
        <w:t>8+, а також збільшенням ЦІК, зниженням комплементу та показників фагоцитозу (р&lt;0,05).</w:t>
      </w:r>
    </w:p>
    <w:p w:rsidR="00AB01BA" w:rsidRDefault="00AB01BA" w:rsidP="00542D35">
      <w:pPr>
        <w:numPr>
          <w:ilvl w:val="0"/>
          <w:numId w:val="68"/>
        </w:numPr>
        <w:suppressAutoHyphens w:val="0"/>
        <w:jc w:val="both"/>
        <w:rPr>
          <w:color w:val="000000"/>
          <w:sz w:val="28"/>
          <w:szCs w:val="28"/>
          <w:lang w:val="uk-UA"/>
        </w:rPr>
      </w:pPr>
      <w:r>
        <w:rPr>
          <w:color w:val="000000"/>
          <w:sz w:val="28"/>
          <w:szCs w:val="28"/>
          <w:lang w:val="uk-UA"/>
        </w:rPr>
        <w:t>В гострому періоді спостерігається достовірне підвищення концентрації IL-1, IL-4, IL-10, INF-γ та TNF-α у сироватці крові в залежності від тяжкості захворювання.</w:t>
      </w:r>
    </w:p>
    <w:p w:rsidR="00AB01BA" w:rsidRDefault="00AB01BA" w:rsidP="00542D35">
      <w:pPr>
        <w:numPr>
          <w:ilvl w:val="0"/>
          <w:numId w:val="68"/>
        </w:numPr>
        <w:suppressAutoHyphens w:val="0"/>
        <w:jc w:val="both"/>
        <w:rPr>
          <w:color w:val="000000"/>
          <w:sz w:val="28"/>
          <w:szCs w:val="28"/>
          <w:lang w:val="uk-UA"/>
        </w:rPr>
      </w:pPr>
      <w:r>
        <w:rPr>
          <w:color w:val="000000"/>
          <w:sz w:val="28"/>
          <w:szCs w:val="28"/>
          <w:lang w:val="uk-UA"/>
        </w:rPr>
        <w:t xml:space="preserve">Рівень </w:t>
      </w:r>
      <w:r>
        <w:rPr>
          <w:color w:val="000000"/>
          <w:sz w:val="28"/>
          <w:szCs w:val="28"/>
          <w:lang w:val="en-US"/>
        </w:rPr>
        <w:t>IL</w:t>
      </w:r>
      <w:r>
        <w:rPr>
          <w:color w:val="000000"/>
          <w:sz w:val="28"/>
          <w:szCs w:val="28"/>
          <w:lang w:val="uk-UA"/>
        </w:rPr>
        <w:t xml:space="preserve">-4, </w:t>
      </w:r>
      <w:r>
        <w:rPr>
          <w:color w:val="000000"/>
          <w:sz w:val="28"/>
          <w:szCs w:val="28"/>
          <w:lang w:val="en-US"/>
        </w:rPr>
        <w:t>IL</w:t>
      </w:r>
      <w:r>
        <w:rPr>
          <w:color w:val="000000"/>
          <w:sz w:val="28"/>
          <w:szCs w:val="28"/>
          <w:lang w:val="uk-UA"/>
        </w:rPr>
        <w:t>-10, TNF-α та INF-γ суттєво підвищується в залежності від тяжкості хвороби (р&lt;0,001). Рівень INF-γ та TNF-α у лікворі є об’єктивним показником гостроти запального процесу.</w:t>
      </w:r>
    </w:p>
    <w:p w:rsidR="00AB01BA" w:rsidRDefault="00AB01BA" w:rsidP="00542D35">
      <w:pPr>
        <w:numPr>
          <w:ilvl w:val="0"/>
          <w:numId w:val="68"/>
        </w:numPr>
        <w:suppressAutoHyphens w:val="0"/>
        <w:jc w:val="both"/>
        <w:rPr>
          <w:color w:val="000000"/>
          <w:sz w:val="28"/>
          <w:szCs w:val="28"/>
          <w:lang w:val="uk-UA"/>
        </w:rPr>
      </w:pPr>
      <w:r>
        <w:rPr>
          <w:color w:val="000000"/>
          <w:sz w:val="28"/>
          <w:szCs w:val="28"/>
          <w:lang w:val="uk-UA"/>
        </w:rPr>
        <w:t>Рівень INF-γ та TNF-α вищий (р&lt;0,001) у лікворі незалежно від тяжкості та періоду хвороби, що підтверджує синтез тканинами ЦНС цих цитокінів. Відсутність підвищення концентрації прозапальних цитокінів (</w:t>
      </w:r>
      <w:r>
        <w:rPr>
          <w:color w:val="000000"/>
          <w:sz w:val="28"/>
          <w:szCs w:val="28"/>
          <w:lang w:val="en-US"/>
        </w:rPr>
        <w:t>IL</w:t>
      </w:r>
      <w:r>
        <w:rPr>
          <w:color w:val="000000"/>
          <w:sz w:val="28"/>
          <w:szCs w:val="28"/>
          <w:lang w:val="uk-UA"/>
        </w:rPr>
        <w:t>-1, INF-γ та TNF-α) в гострому періоді є прогностично несприятливою ознакою для одужання. Високий рівень IL-10 в гострому періоді захворювання свідчить про надмірне пригнічення клітинної імунної відповіді, особливо реакцій зв’язаних з Т-хелперами першого типу, що сприяє недостатності імунної відповіді, є передумовою розвитку набряку головного мозку та несприятливому перебігу захворювання.</w:t>
      </w:r>
    </w:p>
    <w:p w:rsidR="00AB01BA" w:rsidRDefault="00AB01BA" w:rsidP="00542D35">
      <w:pPr>
        <w:numPr>
          <w:ilvl w:val="0"/>
          <w:numId w:val="68"/>
        </w:numPr>
        <w:suppressAutoHyphens w:val="0"/>
        <w:jc w:val="both"/>
        <w:rPr>
          <w:color w:val="000000"/>
          <w:sz w:val="28"/>
          <w:szCs w:val="28"/>
          <w:lang w:val="uk-UA"/>
        </w:rPr>
      </w:pPr>
      <w:r>
        <w:rPr>
          <w:color w:val="000000"/>
          <w:sz w:val="28"/>
          <w:szCs w:val="28"/>
          <w:lang w:val="uk-UA"/>
        </w:rPr>
        <w:t>Низький рівень CD4+ Т-клітин, і зниження імунорегуляторного індексу CD4+/CD8+, рівень IL-10, INF-γ та TNF-α у лікворі та крові хворих  можуть бути використані як об’єктивні показники у прогнозуванні перебігу захворювання.</w:t>
      </w:r>
    </w:p>
    <w:p w:rsidR="00AB01BA" w:rsidRDefault="00AB01BA" w:rsidP="00542D35">
      <w:pPr>
        <w:numPr>
          <w:ilvl w:val="0"/>
          <w:numId w:val="68"/>
        </w:numPr>
        <w:suppressAutoHyphens w:val="0"/>
        <w:jc w:val="both"/>
        <w:rPr>
          <w:color w:val="000000"/>
          <w:sz w:val="28"/>
          <w:szCs w:val="28"/>
          <w:lang w:val="uk-UA"/>
        </w:rPr>
      </w:pPr>
      <w:r>
        <w:rPr>
          <w:color w:val="000000"/>
          <w:sz w:val="28"/>
          <w:szCs w:val="28"/>
          <w:lang w:val="uk-UA"/>
        </w:rPr>
        <w:t xml:space="preserve">Використання препарату Аміксин ІС у комплексній терапії хворих на гострі герпесвірусні менінгоенцефаліти середньої тяжкості дозволяє скоротити тривалість захворювання. </w:t>
      </w:r>
    </w:p>
    <w:p w:rsidR="00AB01BA" w:rsidRDefault="00AB01BA" w:rsidP="00AB01BA">
      <w:pPr>
        <w:ind w:firstLine="708"/>
        <w:jc w:val="both"/>
        <w:rPr>
          <w:caps/>
          <w:color w:val="000000"/>
          <w:sz w:val="32"/>
          <w:szCs w:val="32"/>
          <w:lang w:val="uk-UA"/>
        </w:rPr>
      </w:pPr>
    </w:p>
    <w:p w:rsidR="00AB01BA" w:rsidRDefault="00AB01BA" w:rsidP="00AB01BA">
      <w:pPr>
        <w:ind w:firstLine="708"/>
        <w:jc w:val="center"/>
        <w:rPr>
          <w:b/>
          <w:bCs/>
          <w:caps/>
          <w:color w:val="000000"/>
          <w:sz w:val="32"/>
          <w:szCs w:val="32"/>
          <w:lang w:val="uk-UA"/>
        </w:rPr>
      </w:pPr>
      <w:r>
        <w:rPr>
          <w:b/>
          <w:bCs/>
          <w:caps/>
          <w:color w:val="000000"/>
          <w:sz w:val="32"/>
          <w:szCs w:val="32"/>
          <w:lang w:val="uk-UA"/>
        </w:rPr>
        <w:t>Практичні рекомендації</w:t>
      </w:r>
    </w:p>
    <w:p w:rsidR="00AB01BA" w:rsidRDefault="00AB01BA" w:rsidP="00AB01BA">
      <w:pPr>
        <w:ind w:firstLine="900"/>
        <w:jc w:val="both"/>
        <w:rPr>
          <w:color w:val="000000"/>
          <w:sz w:val="28"/>
          <w:szCs w:val="28"/>
          <w:lang w:val="uk-UA"/>
        </w:rPr>
      </w:pPr>
      <w:r>
        <w:rPr>
          <w:color w:val="000000"/>
          <w:sz w:val="28"/>
          <w:szCs w:val="28"/>
          <w:lang w:val="uk-UA"/>
        </w:rPr>
        <w:t xml:space="preserve">1. З метою прогнозування перебігу гострих герпесвірусних уражень ЦНС рекомендовано використовувати визначення вмісту </w:t>
      </w:r>
      <w:r>
        <w:rPr>
          <w:color w:val="000000"/>
          <w:sz w:val="28"/>
          <w:szCs w:val="28"/>
          <w:lang w:val="en-US"/>
        </w:rPr>
        <w:t>CD</w:t>
      </w:r>
      <w:r>
        <w:rPr>
          <w:color w:val="000000"/>
          <w:sz w:val="28"/>
          <w:szCs w:val="28"/>
          <w:lang w:val="uk-UA"/>
        </w:rPr>
        <w:t xml:space="preserve">4+, </w:t>
      </w:r>
      <w:r>
        <w:rPr>
          <w:color w:val="000000"/>
          <w:sz w:val="28"/>
          <w:szCs w:val="28"/>
          <w:lang w:val="en-US"/>
        </w:rPr>
        <w:t>CD</w:t>
      </w:r>
      <w:r>
        <w:rPr>
          <w:color w:val="000000"/>
          <w:sz w:val="28"/>
          <w:szCs w:val="28"/>
          <w:lang w:val="uk-UA"/>
        </w:rPr>
        <w:t xml:space="preserve">8+ клітин, </w:t>
      </w:r>
      <w:r>
        <w:rPr>
          <w:color w:val="000000"/>
          <w:sz w:val="28"/>
          <w:szCs w:val="28"/>
          <w:lang w:val="en-US"/>
        </w:rPr>
        <w:t>IL</w:t>
      </w:r>
      <w:r>
        <w:rPr>
          <w:color w:val="000000"/>
          <w:sz w:val="28"/>
          <w:szCs w:val="28"/>
          <w:lang w:val="uk-UA"/>
        </w:rPr>
        <w:t xml:space="preserve">-10, </w:t>
      </w:r>
      <w:r>
        <w:rPr>
          <w:color w:val="000000"/>
          <w:sz w:val="28"/>
          <w:szCs w:val="28"/>
          <w:lang w:val="en-US"/>
        </w:rPr>
        <w:t>TNF</w:t>
      </w:r>
      <w:r>
        <w:rPr>
          <w:color w:val="000000"/>
          <w:sz w:val="28"/>
          <w:szCs w:val="28"/>
          <w:lang w:val="uk-UA"/>
        </w:rPr>
        <w:t xml:space="preserve">-α та </w:t>
      </w:r>
      <w:r>
        <w:rPr>
          <w:color w:val="000000"/>
          <w:sz w:val="28"/>
          <w:szCs w:val="28"/>
          <w:lang w:val="en-US"/>
        </w:rPr>
        <w:t>INF</w:t>
      </w:r>
      <w:r>
        <w:rPr>
          <w:color w:val="000000"/>
          <w:sz w:val="28"/>
          <w:szCs w:val="28"/>
          <w:lang w:val="uk-UA"/>
        </w:rPr>
        <w:t xml:space="preserve">-γ як у лікворі, так і в крові. </w:t>
      </w:r>
    </w:p>
    <w:p w:rsidR="00AB01BA" w:rsidRDefault="00AB01BA" w:rsidP="00AB01BA">
      <w:pPr>
        <w:widowControl w:val="0"/>
        <w:ind w:firstLine="900"/>
        <w:jc w:val="both"/>
        <w:rPr>
          <w:color w:val="000000"/>
          <w:sz w:val="28"/>
          <w:szCs w:val="28"/>
          <w:lang w:val="uk-UA"/>
        </w:rPr>
      </w:pPr>
      <w:r>
        <w:rPr>
          <w:color w:val="000000"/>
          <w:sz w:val="28"/>
          <w:szCs w:val="28"/>
          <w:lang w:val="uk-UA"/>
        </w:rPr>
        <w:t>2. Проведені нами дослідження показали, що залежно від ступеня тяжкості даної патології спостерігаються як якісні, так і кількісні зміни в усіх ланках імунної системи. Рівень CD4+ Т-клітин нижче 520х10</w:t>
      </w:r>
      <w:r>
        <w:rPr>
          <w:color w:val="000000"/>
          <w:sz w:val="28"/>
          <w:szCs w:val="28"/>
          <w:vertAlign w:val="superscript"/>
          <w:lang w:val="uk-UA"/>
        </w:rPr>
        <w:t>6</w:t>
      </w:r>
      <w:r>
        <w:rPr>
          <w:color w:val="000000"/>
          <w:sz w:val="28"/>
          <w:szCs w:val="28"/>
          <w:lang w:val="uk-UA"/>
        </w:rPr>
        <w:t xml:space="preserve">/мл та зниження імунорегуляторного індексу CD4+/CD8+ нижче 0,63 в гострому періоді можуть бути використані як об’єктивний показник у прогнозуванні перебігу захворювання. </w:t>
      </w:r>
    </w:p>
    <w:p w:rsidR="00AB01BA" w:rsidRDefault="00AB01BA" w:rsidP="00AB01BA">
      <w:pPr>
        <w:widowControl w:val="0"/>
        <w:ind w:firstLine="900"/>
        <w:jc w:val="both"/>
        <w:rPr>
          <w:color w:val="000000"/>
          <w:sz w:val="28"/>
          <w:szCs w:val="28"/>
          <w:lang w:val="uk-UA"/>
        </w:rPr>
      </w:pPr>
      <w:r>
        <w:rPr>
          <w:color w:val="000000"/>
          <w:sz w:val="28"/>
          <w:szCs w:val="28"/>
          <w:lang w:val="uk-UA"/>
        </w:rPr>
        <w:t xml:space="preserve">3. На підставі аналізу вмісту досліджених цитокінів у лікворі та крові хворих в залежності від варіанта перебігу захворювання можна зробити висновок, що рівень IL-10 у лікворі вище 240 пг/мл чи у крові вище 200 пг/мл є </w:t>
      </w:r>
      <w:r>
        <w:rPr>
          <w:color w:val="000000"/>
          <w:sz w:val="28"/>
          <w:szCs w:val="28"/>
          <w:lang w:val="uk-UA"/>
        </w:rPr>
        <w:lastRenderedPageBreak/>
        <w:t>несприятливою прогностичною ознакою для одужання.</w:t>
      </w:r>
    </w:p>
    <w:p w:rsidR="00AB01BA" w:rsidRDefault="00AB01BA" w:rsidP="00AB01BA">
      <w:pPr>
        <w:ind w:firstLine="900"/>
        <w:jc w:val="both"/>
        <w:rPr>
          <w:color w:val="000000"/>
          <w:sz w:val="28"/>
          <w:szCs w:val="28"/>
          <w:lang w:val="uk-UA"/>
        </w:rPr>
      </w:pPr>
      <w:r>
        <w:rPr>
          <w:color w:val="000000"/>
          <w:sz w:val="28"/>
          <w:szCs w:val="28"/>
          <w:lang w:val="uk-UA"/>
        </w:rPr>
        <w:t>4. Хворим на гострі герпесвірусні ураження ЦНС доцільно призначати індуктори ендогенного інтерферону. Призначення вітчизняного індуктора інтерферону аміксин ІС згідно з запропонованою схемою: 1 доба 125 мг 2 рази внутрішньо, 2 – 8 доба – 125 мг 1 раз на добу внутрішньо, 8 – 22 доба – 125 мг через день внутрішньо, сприяє зменшенню тривалості основних клінічних симптомів і скороченню тривалості стаціонарного лікування.</w:t>
      </w:r>
    </w:p>
    <w:p w:rsidR="00AB01BA" w:rsidRDefault="00AB01BA" w:rsidP="00AB01BA">
      <w:pPr>
        <w:spacing w:line="360" w:lineRule="auto"/>
        <w:ind w:firstLine="708"/>
        <w:jc w:val="center"/>
        <w:rPr>
          <w:b/>
          <w:bCs/>
          <w:color w:val="000000"/>
          <w:sz w:val="28"/>
          <w:szCs w:val="28"/>
          <w:lang w:val="uk-UA"/>
        </w:rPr>
      </w:pPr>
    </w:p>
    <w:p w:rsidR="00AB01BA" w:rsidRDefault="00AB01BA" w:rsidP="00AB01BA">
      <w:pPr>
        <w:spacing w:line="360" w:lineRule="auto"/>
        <w:ind w:firstLine="708"/>
        <w:jc w:val="center"/>
        <w:rPr>
          <w:b/>
          <w:bCs/>
          <w:color w:val="000000"/>
          <w:sz w:val="28"/>
          <w:szCs w:val="28"/>
          <w:lang w:val="uk-UA"/>
        </w:rPr>
      </w:pPr>
      <w:r>
        <w:rPr>
          <w:b/>
          <w:bCs/>
          <w:color w:val="000000"/>
          <w:sz w:val="28"/>
          <w:szCs w:val="28"/>
          <w:lang w:val="uk-UA"/>
        </w:rPr>
        <w:t>СПИСОК РОБІТ, ОПУБЛІКОВАНИХ ЗА ТЕМОЮ ДИСЕРТАЦІЇ</w:t>
      </w:r>
    </w:p>
    <w:p w:rsidR="00AB01BA" w:rsidRDefault="00AB01BA" w:rsidP="00542D35">
      <w:pPr>
        <w:numPr>
          <w:ilvl w:val="0"/>
          <w:numId w:val="69"/>
        </w:numPr>
        <w:tabs>
          <w:tab w:val="clear" w:pos="1755"/>
          <w:tab w:val="num" w:pos="851"/>
        </w:tabs>
        <w:suppressAutoHyphens w:val="0"/>
        <w:ind w:left="851" w:hanging="851"/>
        <w:jc w:val="both"/>
        <w:rPr>
          <w:rFonts w:ascii="Times New Roman CYR" w:hAnsi="Times New Roman CYR"/>
          <w:sz w:val="28"/>
          <w:szCs w:val="28"/>
          <w:lang w:val="uk-UA"/>
        </w:rPr>
      </w:pPr>
      <w:r>
        <w:rPr>
          <w:rFonts w:ascii="Times New Roman CYR" w:hAnsi="Times New Roman CYR"/>
          <w:sz w:val="28"/>
          <w:szCs w:val="28"/>
          <w:lang w:val="uk-UA"/>
        </w:rPr>
        <w:t>В. М. Козько, Т. І. Коляда, А. В., Сохань, М. І. Краснов. Рівень деяких цитокінів у хворих на гострий герпетичний менінгоенцефаліт. // Сучасні інфекції. – 2007. – № 3. – С. 39</w:t>
      </w:r>
      <w:r>
        <w:rPr>
          <w:sz w:val="28"/>
          <w:szCs w:val="28"/>
          <w:lang w:val="uk-UA"/>
        </w:rPr>
        <w:t>–</w:t>
      </w:r>
      <w:r>
        <w:rPr>
          <w:rFonts w:ascii="Times New Roman CYR" w:hAnsi="Times New Roman CYR"/>
          <w:sz w:val="28"/>
          <w:szCs w:val="28"/>
          <w:lang w:val="uk-UA"/>
        </w:rPr>
        <w:t>43. (автором особисто проаналізовано літературу за темою, здійснено клінічні спостереження за хворими, статистична обробка даних, аналіз та узагальнення результатів дослідження).</w:t>
      </w:r>
    </w:p>
    <w:p w:rsidR="00AB01BA" w:rsidRDefault="00AB01BA" w:rsidP="00542D35">
      <w:pPr>
        <w:numPr>
          <w:ilvl w:val="0"/>
          <w:numId w:val="69"/>
        </w:numPr>
        <w:tabs>
          <w:tab w:val="clear" w:pos="1755"/>
          <w:tab w:val="num" w:pos="851"/>
        </w:tabs>
        <w:suppressAutoHyphens w:val="0"/>
        <w:ind w:left="851" w:hanging="851"/>
        <w:jc w:val="both"/>
        <w:rPr>
          <w:color w:val="000000"/>
          <w:sz w:val="28"/>
          <w:szCs w:val="28"/>
          <w:lang w:val="uk-UA"/>
        </w:rPr>
      </w:pPr>
      <w:r>
        <w:rPr>
          <w:color w:val="000000"/>
          <w:sz w:val="28"/>
          <w:szCs w:val="28"/>
          <w:lang w:val="uk-UA"/>
        </w:rPr>
        <w:t xml:space="preserve">Сохань А. В. Клініко-лабораторні аспекти герпетичної інфекції. // Медицина сьогодні та завтра. – 2007. № 1. – С. 88–91. </w:t>
      </w:r>
    </w:p>
    <w:p w:rsidR="00AB01BA" w:rsidRDefault="00AB01BA" w:rsidP="00542D35">
      <w:pPr>
        <w:numPr>
          <w:ilvl w:val="0"/>
          <w:numId w:val="69"/>
        </w:numPr>
        <w:tabs>
          <w:tab w:val="clear" w:pos="1755"/>
          <w:tab w:val="num" w:pos="851"/>
        </w:tabs>
        <w:suppressAutoHyphens w:val="0"/>
        <w:ind w:left="851" w:hanging="851"/>
        <w:jc w:val="both"/>
        <w:rPr>
          <w:rFonts w:ascii="Times New Roman CYR" w:hAnsi="Times New Roman CYR"/>
          <w:color w:val="000000"/>
          <w:sz w:val="28"/>
          <w:szCs w:val="28"/>
          <w:lang w:val="uk-UA"/>
        </w:rPr>
      </w:pPr>
      <w:r>
        <w:rPr>
          <w:color w:val="000000"/>
          <w:sz w:val="28"/>
          <w:szCs w:val="28"/>
          <w:lang w:val="uk-UA"/>
        </w:rPr>
        <w:t xml:space="preserve">Мотлохова О. В., Сохань А. В., Краснов М. І., Козько В. М. Досвід клінічного використання специфічних імуноглобулінів людини при лікуванні хворих на герпетичні менінгоенцефаліти. // Врачебная практика. – 2006. – № 1. – С. 39 – 42. </w:t>
      </w:r>
      <w:r>
        <w:rPr>
          <w:rFonts w:ascii="Times New Roman CYR" w:hAnsi="Times New Roman CYR"/>
          <w:sz w:val="28"/>
          <w:szCs w:val="28"/>
          <w:lang w:val="uk-UA"/>
        </w:rPr>
        <w:t>(автором особисто проаналізовано літературу за темою, здійснено клінічні спостереження за хворими, статистична обробка даних, аналіз та узагальнення результатів дослідження).</w:t>
      </w:r>
    </w:p>
    <w:p w:rsidR="00AB01BA" w:rsidRDefault="00AB01BA" w:rsidP="00542D35">
      <w:pPr>
        <w:numPr>
          <w:ilvl w:val="0"/>
          <w:numId w:val="69"/>
        </w:numPr>
        <w:tabs>
          <w:tab w:val="clear" w:pos="1755"/>
          <w:tab w:val="num" w:pos="851"/>
        </w:tabs>
        <w:suppressAutoHyphens w:val="0"/>
        <w:ind w:left="851" w:hanging="851"/>
        <w:jc w:val="both"/>
        <w:rPr>
          <w:sz w:val="28"/>
          <w:szCs w:val="28"/>
          <w:lang w:val="uk-UA"/>
        </w:rPr>
      </w:pPr>
      <w:r>
        <w:rPr>
          <w:sz w:val="28"/>
          <w:szCs w:val="28"/>
          <w:lang w:val="uk-UA"/>
        </w:rPr>
        <w:t xml:space="preserve">Сохань А. В., Краснов М. І., Юрко К. В., Гойденко А. А. Динаміка показників імунної відповіді у хворих на гострі герпесвірусні менінгоенцефаліти // Експериментальна і клінічна медицина. – 2008. – № 3. – С. 110–114. </w:t>
      </w:r>
      <w:r>
        <w:rPr>
          <w:rFonts w:ascii="Times New Roman CYR" w:hAnsi="Times New Roman CYR"/>
          <w:sz w:val="28"/>
          <w:szCs w:val="28"/>
          <w:lang w:val="uk-UA"/>
        </w:rPr>
        <w:t>(автором особисто проаналізовано літературу за темою, здійснено клінічні спостереження за хворими, статистична обробка даних, аналіз та узагальнення результатів дослідження, формулювання висновків).</w:t>
      </w:r>
    </w:p>
    <w:p w:rsidR="00AB01BA" w:rsidRDefault="00AB01BA" w:rsidP="00542D35">
      <w:pPr>
        <w:numPr>
          <w:ilvl w:val="0"/>
          <w:numId w:val="69"/>
        </w:numPr>
        <w:tabs>
          <w:tab w:val="clear" w:pos="1755"/>
          <w:tab w:val="num" w:pos="851"/>
        </w:tabs>
        <w:suppressAutoHyphens w:val="0"/>
        <w:ind w:left="851" w:hanging="851"/>
        <w:jc w:val="both"/>
        <w:rPr>
          <w:color w:val="000000"/>
          <w:sz w:val="28"/>
          <w:szCs w:val="28"/>
          <w:lang w:val="uk-UA"/>
        </w:rPr>
      </w:pPr>
      <w:r>
        <w:rPr>
          <w:color w:val="000000"/>
          <w:sz w:val="28"/>
          <w:szCs w:val="28"/>
          <w:lang w:val="uk-UA"/>
        </w:rPr>
        <w:t>Пат</w:t>
      </w:r>
      <w:r>
        <w:rPr>
          <w:color w:val="000000"/>
          <w:sz w:val="28"/>
          <w:szCs w:val="28"/>
          <w:lang w:val="en-US"/>
        </w:rPr>
        <w:t>.</w:t>
      </w:r>
      <w:r>
        <w:rPr>
          <w:color w:val="000000"/>
          <w:sz w:val="28"/>
          <w:szCs w:val="28"/>
          <w:lang w:val="uk-UA"/>
        </w:rPr>
        <w:t xml:space="preserve"> 29556 Україна, МПК</w:t>
      </w:r>
      <w:r>
        <w:rPr>
          <w:color w:val="000000"/>
          <w:sz w:val="28"/>
          <w:szCs w:val="28"/>
          <w:lang w:val="en-US"/>
        </w:rPr>
        <w:t xml:space="preserve"> A 61 K 31/00, A 61 K 47/00. </w:t>
      </w:r>
      <w:r>
        <w:rPr>
          <w:color w:val="000000"/>
          <w:sz w:val="28"/>
          <w:szCs w:val="28"/>
          <w:lang w:val="uk-UA"/>
        </w:rPr>
        <w:t xml:space="preserve">Спосіб лікування хворих на гострі вірусні менінгіти / В. М. Козько, А. В. Сохань, М. І. Краснов.; власник патенту Харк. нац. мед. ун-т. – № </w:t>
      </w:r>
      <w:r>
        <w:rPr>
          <w:color w:val="000000"/>
          <w:sz w:val="28"/>
          <w:szCs w:val="28"/>
          <w:lang w:val="en-US"/>
        </w:rPr>
        <w:t>u</w:t>
      </w:r>
      <w:r>
        <w:rPr>
          <w:color w:val="000000"/>
          <w:sz w:val="28"/>
          <w:szCs w:val="28"/>
          <w:lang w:val="uk-UA"/>
        </w:rPr>
        <w:t xml:space="preserve">2007712772; Заявл. 19.11.2007 ; Опубл. 10.01.2008, Бюл. № 1.–8. с. </w:t>
      </w:r>
      <w:r>
        <w:rPr>
          <w:rFonts w:ascii="Times New Roman CYR" w:hAnsi="Times New Roman CYR"/>
          <w:sz w:val="28"/>
          <w:szCs w:val="28"/>
          <w:lang w:val="uk-UA"/>
        </w:rPr>
        <w:t>(автором особисто проаналізовано літературу за темою, здійснено клінічні спостереження за хворими).</w:t>
      </w:r>
    </w:p>
    <w:p w:rsidR="00AB01BA" w:rsidRDefault="00AB01BA" w:rsidP="00542D35">
      <w:pPr>
        <w:numPr>
          <w:ilvl w:val="0"/>
          <w:numId w:val="69"/>
        </w:numPr>
        <w:tabs>
          <w:tab w:val="clear" w:pos="1755"/>
          <w:tab w:val="num" w:pos="851"/>
        </w:tabs>
        <w:suppressAutoHyphens w:val="0"/>
        <w:ind w:left="851" w:hanging="851"/>
        <w:jc w:val="both"/>
        <w:rPr>
          <w:rFonts w:ascii="Times New Roman CYR" w:hAnsi="Times New Roman CYR"/>
          <w:color w:val="000000"/>
          <w:sz w:val="28"/>
          <w:szCs w:val="28"/>
          <w:lang w:val="uk-UA"/>
        </w:rPr>
      </w:pPr>
      <w:r>
        <w:rPr>
          <w:color w:val="000000"/>
          <w:sz w:val="28"/>
          <w:szCs w:val="28"/>
          <w:lang w:val="en-US"/>
        </w:rPr>
        <w:t>Sokhan</w:t>
      </w:r>
      <w:r>
        <w:rPr>
          <w:color w:val="000000"/>
          <w:sz w:val="28"/>
          <w:szCs w:val="28"/>
          <w:lang w:val="uk-UA"/>
        </w:rPr>
        <w:t xml:space="preserve"> </w:t>
      </w:r>
      <w:r>
        <w:rPr>
          <w:color w:val="000000"/>
          <w:sz w:val="28"/>
          <w:szCs w:val="28"/>
          <w:lang w:val="en-US"/>
        </w:rPr>
        <w:t>A</w:t>
      </w:r>
      <w:r>
        <w:rPr>
          <w:color w:val="000000"/>
          <w:sz w:val="28"/>
          <w:szCs w:val="28"/>
          <w:lang w:val="uk-UA"/>
        </w:rPr>
        <w:t xml:space="preserve">., </w:t>
      </w:r>
      <w:r>
        <w:rPr>
          <w:color w:val="000000"/>
          <w:sz w:val="28"/>
          <w:szCs w:val="28"/>
          <w:lang w:val="en-US"/>
        </w:rPr>
        <w:t>Krasnov</w:t>
      </w:r>
      <w:r>
        <w:rPr>
          <w:color w:val="000000"/>
          <w:sz w:val="28"/>
          <w:szCs w:val="28"/>
          <w:lang w:val="uk-UA"/>
        </w:rPr>
        <w:t xml:space="preserve"> </w:t>
      </w:r>
      <w:r>
        <w:rPr>
          <w:color w:val="000000"/>
          <w:sz w:val="28"/>
          <w:szCs w:val="28"/>
          <w:lang w:val="en-US"/>
        </w:rPr>
        <w:t>M</w:t>
      </w:r>
      <w:r>
        <w:rPr>
          <w:color w:val="000000"/>
          <w:sz w:val="28"/>
          <w:szCs w:val="28"/>
          <w:lang w:val="uk-UA"/>
        </w:rPr>
        <w:t xml:space="preserve">., </w:t>
      </w:r>
      <w:r>
        <w:rPr>
          <w:color w:val="000000"/>
          <w:sz w:val="28"/>
          <w:szCs w:val="28"/>
          <w:lang w:val="en-US"/>
        </w:rPr>
        <w:t>Kozko</w:t>
      </w:r>
      <w:r>
        <w:rPr>
          <w:color w:val="000000"/>
          <w:sz w:val="28"/>
          <w:szCs w:val="28"/>
          <w:lang w:val="uk-UA"/>
        </w:rPr>
        <w:t xml:space="preserve"> </w:t>
      </w:r>
      <w:r>
        <w:rPr>
          <w:color w:val="000000"/>
          <w:sz w:val="28"/>
          <w:szCs w:val="28"/>
          <w:lang w:val="en-US"/>
        </w:rPr>
        <w:t>V</w:t>
      </w:r>
      <w:r>
        <w:rPr>
          <w:color w:val="000000"/>
          <w:sz w:val="28"/>
          <w:szCs w:val="28"/>
          <w:lang w:val="uk-UA"/>
        </w:rPr>
        <w:t xml:space="preserve">., </w:t>
      </w:r>
      <w:r>
        <w:rPr>
          <w:color w:val="000000"/>
          <w:sz w:val="28"/>
          <w:szCs w:val="28"/>
          <w:lang w:val="en-US"/>
        </w:rPr>
        <w:t>Motlohova</w:t>
      </w:r>
      <w:r>
        <w:rPr>
          <w:color w:val="000000"/>
          <w:sz w:val="28"/>
          <w:szCs w:val="28"/>
          <w:lang w:val="uk-UA"/>
        </w:rPr>
        <w:t xml:space="preserve"> </w:t>
      </w:r>
      <w:r>
        <w:rPr>
          <w:color w:val="000000"/>
          <w:sz w:val="28"/>
          <w:szCs w:val="28"/>
          <w:lang w:val="en-US"/>
        </w:rPr>
        <w:t>O</w:t>
      </w:r>
      <w:r>
        <w:rPr>
          <w:color w:val="000000"/>
          <w:sz w:val="28"/>
          <w:szCs w:val="28"/>
          <w:lang w:val="uk-UA"/>
        </w:rPr>
        <w:t xml:space="preserve">. </w:t>
      </w:r>
      <w:r>
        <w:rPr>
          <w:color w:val="000000"/>
          <w:sz w:val="28"/>
          <w:szCs w:val="28"/>
          <w:lang w:val="en-US"/>
        </w:rPr>
        <w:t>Immune</w:t>
      </w:r>
      <w:r>
        <w:rPr>
          <w:color w:val="000000"/>
          <w:sz w:val="28"/>
          <w:szCs w:val="28"/>
          <w:lang w:val="uk-UA"/>
        </w:rPr>
        <w:t xml:space="preserve"> </w:t>
      </w:r>
      <w:r>
        <w:rPr>
          <w:color w:val="000000"/>
          <w:sz w:val="28"/>
          <w:szCs w:val="28"/>
          <w:lang w:val="en-US"/>
        </w:rPr>
        <w:t>indexes</w:t>
      </w:r>
      <w:r>
        <w:rPr>
          <w:color w:val="000000"/>
          <w:sz w:val="28"/>
          <w:szCs w:val="28"/>
          <w:lang w:val="uk-UA"/>
        </w:rPr>
        <w:t xml:space="preserve"> </w:t>
      </w:r>
      <w:r>
        <w:rPr>
          <w:color w:val="000000"/>
          <w:sz w:val="28"/>
          <w:szCs w:val="28"/>
          <w:lang w:val="en-US"/>
        </w:rPr>
        <w:t>in</w:t>
      </w:r>
      <w:r>
        <w:rPr>
          <w:color w:val="000000"/>
          <w:sz w:val="28"/>
          <w:szCs w:val="28"/>
          <w:lang w:val="uk-UA"/>
        </w:rPr>
        <w:t xml:space="preserve"> </w:t>
      </w:r>
      <w:r>
        <w:rPr>
          <w:color w:val="000000"/>
          <w:sz w:val="28"/>
          <w:szCs w:val="28"/>
          <w:lang w:val="en-US"/>
        </w:rPr>
        <w:t>patients</w:t>
      </w:r>
      <w:r>
        <w:rPr>
          <w:color w:val="000000"/>
          <w:sz w:val="28"/>
          <w:szCs w:val="28"/>
          <w:lang w:val="uk-UA"/>
        </w:rPr>
        <w:t xml:space="preserve"> </w:t>
      </w:r>
      <w:r>
        <w:rPr>
          <w:color w:val="000000"/>
          <w:sz w:val="28"/>
          <w:szCs w:val="28"/>
          <w:lang w:val="en-US"/>
        </w:rPr>
        <w:t>with</w:t>
      </w:r>
      <w:r>
        <w:rPr>
          <w:color w:val="000000"/>
          <w:sz w:val="28"/>
          <w:szCs w:val="28"/>
          <w:lang w:val="uk-UA"/>
        </w:rPr>
        <w:t xml:space="preserve"> </w:t>
      </w:r>
      <w:r>
        <w:rPr>
          <w:color w:val="000000"/>
          <w:sz w:val="28"/>
          <w:szCs w:val="28"/>
          <w:lang w:val="en-US"/>
        </w:rPr>
        <w:t>meningoencephalitis</w:t>
      </w:r>
      <w:r>
        <w:rPr>
          <w:color w:val="000000"/>
          <w:sz w:val="28"/>
          <w:szCs w:val="28"/>
          <w:lang w:val="uk-UA"/>
        </w:rPr>
        <w:t xml:space="preserve"> </w:t>
      </w:r>
      <w:r>
        <w:rPr>
          <w:color w:val="000000"/>
          <w:sz w:val="28"/>
          <w:szCs w:val="28"/>
          <w:lang w:val="en-US"/>
        </w:rPr>
        <w:t>caused</w:t>
      </w:r>
      <w:r>
        <w:rPr>
          <w:color w:val="000000"/>
          <w:sz w:val="28"/>
          <w:szCs w:val="28"/>
          <w:lang w:val="uk-UA"/>
        </w:rPr>
        <w:t xml:space="preserve"> </w:t>
      </w:r>
      <w:r>
        <w:rPr>
          <w:color w:val="000000"/>
          <w:sz w:val="28"/>
          <w:szCs w:val="28"/>
          <w:lang w:val="en-US"/>
        </w:rPr>
        <w:t>by</w:t>
      </w:r>
      <w:r>
        <w:rPr>
          <w:color w:val="000000"/>
          <w:sz w:val="28"/>
          <w:szCs w:val="28"/>
          <w:lang w:val="uk-UA"/>
        </w:rPr>
        <w:t xml:space="preserve"> </w:t>
      </w:r>
      <w:r>
        <w:rPr>
          <w:color w:val="000000"/>
          <w:sz w:val="28"/>
          <w:szCs w:val="28"/>
          <w:lang w:val="en-US"/>
        </w:rPr>
        <w:t>herpes</w:t>
      </w:r>
      <w:r>
        <w:rPr>
          <w:color w:val="000000"/>
          <w:sz w:val="28"/>
          <w:szCs w:val="28"/>
          <w:lang w:val="uk-UA"/>
        </w:rPr>
        <w:t xml:space="preserve"> </w:t>
      </w:r>
      <w:r>
        <w:rPr>
          <w:color w:val="000000"/>
          <w:sz w:val="28"/>
          <w:szCs w:val="28"/>
          <w:lang w:val="en-US"/>
        </w:rPr>
        <w:t>viruses</w:t>
      </w:r>
      <w:r>
        <w:rPr>
          <w:color w:val="000000"/>
          <w:sz w:val="28"/>
          <w:szCs w:val="28"/>
          <w:lang w:val="uk-UA"/>
        </w:rPr>
        <w:t xml:space="preserve">. // </w:t>
      </w:r>
      <w:r>
        <w:rPr>
          <w:color w:val="000000"/>
          <w:sz w:val="28"/>
          <w:szCs w:val="28"/>
          <w:lang w:val="en-US"/>
        </w:rPr>
        <w:t>European</w:t>
      </w:r>
      <w:r>
        <w:rPr>
          <w:color w:val="000000"/>
          <w:sz w:val="28"/>
          <w:szCs w:val="28"/>
          <w:lang w:val="uk-UA"/>
        </w:rPr>
        <w:t xml:space="preserve"> </w:t>
      </w:r>
      <w:r>
        <w:rPr>
          <w:color w:val="000000"/>
          <w:sz w:val="28"/>
          <w:szCs w:val="28"/>
          <w:lang w:val="en-US"/>
        </w:rPr>
        <w:t>Journal</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Medical</w:t>
      </w:r>
      <w:r>
        <w:rPr>
          <w:color w:val="000000"/>
          <w:sz w:val="28"/>
          <w:szCs w:val="28"/>
          <w:lang w:val="uk-UA"/>
        </w:rPr>
        <w:t xml:space="preserve"> </w:t>
      </w:r>
      <w:r>
        <w:rPr>
          <w:color w:val="000000"/>
          <w:sz w:val="28"/>
          <w:szCs w:val="28"/>
          <w:lang w:val="en-US"/>
        </w:rPr>
        <w:t>research</w:t>
      </w:r>
      <w:r>
        <w:rPr>
          <w:color w:val="000000"/>
          <w:sz w:val="28"/>
          <w:szCs w:val="28"/>
          <w:lang w:val="uk-UA"/>
        </w:rPr>
        <w:t xml:space="preserve">. – 2006. – </w:t>
      </w:r>
      <w:r>
        <w:rPr>
          <w:color w:val="000000"/>
          <w:sz w:val="28"/>
          <w:szCs w:val="28"/>
          <w:lang w:val="en-US"/>
        </w:rPr>
        <w:t>vol</w:t>
      </w:r>
      <w:r>
        <w:rPr>
          <w:color w:val="000000"/>
          <w:sz w:val="28"/>
          <w:szCs w:val="28"/>
          <w:lang w:val="uk-UA"/>
        </w:rPr>
        <w:t xml:space="preserve">. 11. – </w:t>
      </w:r>
      <w:r>
        <w:rPr>
          <w:color w:val="000000"/>
          <w:sz w:val="28"/>
          <w:szCs w:val="28"/>
          <w:lang w:val="en-US"/>
        </w:rPr>
        <w:t>supl</w:t>
      </w:r>
      <w:r>
        <w:rPr>
          <w:color w:val="000000"/>
          <w:sz w:val="28"/>
          <w:szCs w:val="28"/>
          <w:lang w:val="uk-UA"/>
        </w:rPr>
        <w:t xml:space="preserve">. 11. – </w:t>
      </w:r>
      <w:r>
        <w:rPr>
          <w:color w:val="000000"/>
          <w:sz w:val="28"/>
          <w:szCs w:val="28"/>
          <w:lang w:val="en-US"/>
        </w:rPr>
        <w:t>P</w:t>
      </w:r>
      <w:r>
        <w:rPr>
          <w:color w:val="000000"/>
          <w:sz w:val="28"/>
          <w:szCs w:val="28"/>
          <w:lang w:val="uk-UA"/>
        </w:rPr>
        <w:t>. 83–84</w:t>
      </w:r>
      <w:r>
        <w:rPr>
          <w:color w:val="000000"/>
          <w:lang w:val="uk-UA"/>
        </w:rPr>
        <w:t xml:space="preserve">. </w:t>
      </w:r>
      <w:r>
        <w:rPr>
          <w:rFonts w:ascii="Times New Roman CYR" w:hAnsi="Times New Roman CYR"/>
          <w:sz w:val="28"/>
          <w:szCs w:val="28"/>
          <w:lang w:val="uk-UA"/>
        </w:rPr>
        <w:t>(автором особисто проаналізовано літературу за темою, здійснено клінічні спостереження за хворими, статистична обробка даних, аналіз та узагальнення результатів дослідження, формулювання висновків).</w:t>
      </w:r>
    </w:p>
    <w:p w:rsidR="00AB01BA" w:rsidRDefault="00AB01BA" w:rsidP="00542D35">
      <w:pPr>
        <w:numPr>
          <w:ilvl w:val="0"/>
          <w:numId w:val="69"/>
        </w:numPr>
        <w:tabs>
          <w:tab w:val="clear" w:pos="1755"/>
          <w:tab w:val="num" w:pos="851"/>
        </w:tabs>
        <w:suppressAutoHyphens w:val="0"/>
        <w:ind w:left="851" w:hanging="851"/>
        <w:jc w:val="both"/>
        <w:rPr>
          <w:rFonts w:ascii="Times New Roman CYR" w:hAnsi="Times New Roman CYR"/>
          <w:color w:val="000000"/>
          <w:sz w:val="28"/>
          <w:szCs w:val="28"/>
          <w:lang w:val="uk-UA"/>
        </w:rPr>
      </w:pPr>
      <w:r>
        <w:rPr>
          <w:color w:val="000000"/>
          <w:sz w:val="28"/>
          <w:szCs w:val="28"/>
          <w:lang w:val="uk-UA"/>
        </w:rPr>
        <w:t xml:space="preserve">В. М. Козько, М. І. Краснов, А. В. Сохань, О. В. Мотлохова. Імунологічні показники у хворих на герпетичні менінгоенцефаліти : матеріали </w:t>
      </w:r>
      <w:r>
        <w:rPr>
          <w:color w:val="000000"/>
          <w:sz w:val="28"/>
          <w:szCs w:val="28"/>
          <w:lang w:val="en-US"/>
        </w:rPr>
        <w:t>VII</w:t>
      </w:r>
      <w:r>
        <w:rPr>
          <w:color w:val="000000"/>
          <w:sz w:val="28"/>
          <w:szCs w:val="28"/>
          <w:lang w:val="uk-UA"/>
        </w:rPr>
        <w:t xml:space="preserve"> з’їзду </w:t>
      </w:r>
      <w:r>
        <w:rPr>
          <w:color w:val="000000"/>
          <w:sz w:val="28"/>
          <w:szCs w:val="28"/>
          <w:lang w:val="uk-UA"/>
        </w:rPr>
        <w:lastRenderedPageBreak/>
        <w:t xml:space="preserve">інфекціоністів України [„Інфекційні хвороби – загально медична проблема”], (Миргород, 26 – 29 вересня 2006 р.) : Асоц. інфекціоністів України, 2006. – С. 276–278. </w:t>
      </w:r>
      <w:r>
        <w:rPr>
          <w:rFonts w:ascii="Times New Roman CYR" w:hAnsi="Times New Roman CYR"/>
          <w:sz w:val="28"/>
          <w:szCs w:val="28"/>
          <w:lang w:val="uk-UA"/>
        </w:rPr>
        <w:t>(автором особисто проаналізовано літературу за темою, здійснено клінічні спостереження за хворими, статистична обробка даних, аналіз та узагальнення результатів дослідження).</w:t>
      </w:r>
    </w:p>
    <w:p w:rsidR="00AB01BA" w:rsidRDefault="00AB01BA" w:rsidP="00542D35">
      <w:pPr>
        <w:numPr>
          <w:ilvl w:val="0"/>
          <w:numId w:val="69"/>
        </w:numPr>
        <w:tabs>
          <w:tab w:val="clear" w:pos="1755"/>
          <w:tab w:val="num" w:pos="851"/>
        </w:tabs>
        <w:suppressAutoHyphens w:val="0"/>
        <w:ind w:left="851" w:hanging="851"/>
        <w:jc w:val="both"/>
        <w:rPr>
          <w:rFonts w:ascii="Times New Roman CYR" w:hAnsi="Times New Roman CYR"/>
          <w:color w:val="000000"/>
          <w:sz w:val="28"/>
          <w:szCs w:val="28"/>
          <w:lang w:val="uk-UA"/>
        </w:rPr>
      </w:pPr>
      <w:r>
        <w:rPr>
          <w:color w:val="000000"/>
          <w:sz w:val="28"/>
          <w:szCs w:val="28"/>
          <w:lang w:val="uk-UA"/>
        </w:rPr>
        <w:t xml:space="preserve">А. В. Сохань, М. І. Краснов, О. В. Мотлохова. Імунологічні показники у хворих на герпетичні менінгоенцефаліти : матеріали міжвузівської конференції молодих вчених [„Медицина третього тисячоліття”], (Харків, 16 – 17 січня 2007 р.) / М-во охорони здоров’я України, Харк. держ. мед. ун-т., 2007. – С. 115–116. </w:t>
      </w:r>
      <w:r>
        <w:rPr>
          <w:rFonts w:ascii="Times New Roman CYR" w:hAnsi="Times New Roman CYR"/>
          <w:sz w:val="28"/>
          <w:szCs w:val="28"/>
          <w:lang w:val="uk-UA"/>
        </w:rPr>
        <w:t>(автором особисто проаналізовано літературу за темою, здійснено клінічні спостереження за хворими, статистична обробка даних, аналіз та узагальнення результатів дослідження).</w:t>
      </w:r>
    </w:p>
    <w:p w:rsidR="00AB01BA" w:rsidRDefault="00AB01BA" w:rsidP="00542D35">
      <w:pPr>
        <w:numPr>
          <w:ilvl w:val="0"/>
          <w:numId w:val="69"/>
        </w:numPr>
        <w:tabs>
          <w:tab w:val="clear" w:pos="1755"/>
          <w:tab w:val="num" w:pos="851"/>
          <w:tab w:val="num" w:pos="1701"/>
        </w:tabs>
        <w:suppressAutoHyphens w:val="0"/>
        <w:ind w:left="851" w:hanging="851"/>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Козько В. М., Сохань А. В., Краснов М. І. Вміст деяких цитокінів у лікворі хворих на гострі герпесвірусні менінгоенцефаліти : матеріали науково-практичної конференції з участю міжнародних спеціалістів </w:t>
      </w:r>
      <w:r>
        <w:rPr>
          <w:color w:val="000000"/>
          <w:sz w:val="28"/>
          <w:szCs w:val="28"/>
          <w:lang w:val="uk-UA"/>
        </w:rPr>
        <w:t>[</w:t>
      </w:r>
      <w:r>
        <w:rPr>
          <w:rFonts w:ascii="Times New Roman CYR" w:hAnsi="Times New Roman CYR"/>
          <w:color w:val="000000"/>
          <w:sz w:val="28"/>
          <w:szCs w:val="28"/>
          <w:lang w:val="uk-UA"/>
        </w:rPr>
        <w:t>„Сучасні підходи до діагностики та лікування у клінічній інфектології”</w:t>
      </w:r>
      <w:r>
        <w:rPr>
          <w:color w:val="000000"/>
          <w:sz w:val="28"/>
          <w:szCs w:val="28"/>
          <w:lang w:val="uk-UA"/>
        </w:rPr>
        <w:t>],</w:t>
      </w:r>
      <w:r>
        <w:rPr>
          <w:rFonts w:ascii="Times New Roman CYR" w:hAnsi="Times New Roman CYR"/>
          <w:color w:val="000000"/>
          <w:sz w:val="28"/>
          <w:szCs w:val="28"/>
          <w:lang w:val="uk-UA"/>
        </w:rPr>
        <w:t xml:space="preserve"> (Харків, 14 листопада 2007 р.) </w:t>
      </w:r>
      <w:r>
        <w:rPr>
          <w:color w:val="000000"/>
          <w:sz w:val="28"/>
          <w:szCs w:val="28"/>
          <w:lang w:val="uk-UA"/>
        </w:rPr>
        <w:t xml:space="preserve">/ М-во охорони здоров’я України, Харківський держ. мед. ун-т., 2007. </w:t>
      </w:r>
      <w:r>
        <w:rPr>
          <w:rFonts w:ascii="Times New Roman CYR" w:hAnsi="Times New Roman CYR"/>
          <w:color w:val="000000"/>
          <w:sz w:val="28"/>
          <w:szCs w:val="28"/>
          <w:lang w:val="uk-UA"/>
        </w:rPr>
        <w:t xml:space="preserve">– </w:t>
      </w:r>
      <w:r>
        <w:rPr>
          <w:color w:val="000000"/>
          <w:sz w:val="28"/>
          <w:szCs w:val="28"/>
          <w:lang w:val="uk-UA"/>
        </w:rPr>
        <w:t>С.</w:t>
      </w:r>
      <w:r>
        <w:rPr>
          <w:rFonts w:ascii="Times New Roman CYR" w:hAnsi="Times New Roman CYR"/>
          <w:color w:val="000000"/>
          <w:sz w:val="28"/>
          <w:szCs w:val="28"/>
          <w:lang w:val="uk-UA"/>
        </w:rPr>
        <w:t xml:space="preserve"> 75</w:t>
      </w:r>
      <w:r>
        <w:rPr>
          <w:color w:val="000000"/>
          <w:sz w:val="28"/>
          <w:szCs w:val="28"/>
          <w:lang w:val="uk-UA"/>
        </w:rPr>
        <w:t>–</w:t>
      </w:r>
      <w:r>
        <w:rPr>
          <w:rFonts w:ascii="Times New Roman CYR" w:hAnsi="Times New Roman CYR"/>
          <w:color w:val="000000"/>
          <w:sz w:val="28"/>
          <w:szCs w:val="28"/>
          <w:lang w:val="uk-UA"/>
        </w:rPr>
        <w:t xml:space="preserve">76. </w:t>
      </w:r>
      <w:r>
        <w:rPr>
          <w:rFonts w:ascii="Times New Roman CYR" w:hAnsi="Times New Roman CYR"/>
          <w:sz w:val="28"/>
          <w:szCs w:val="28"/>
          <w:lang w:val="uk-UA"/>
        </w:rPr>
        <w:t>(автором особисто проаналізовано літературу за темою, здійснено клінічні спостереження за хворими, статистична обробка даних, аналіз та узагальнення результатів дослідження).</w:t>
      </w:r>
    </w:p>
    <w:p w:rsidR="00AB01BA" w:rsidRDefault="00AB01BA" w:rsidP="00542D35">
      <w:pPr>
        <w:numPr>
          <w:ilvl w:val="0"/>
          <w:numId w:val="69"/>
        </w:numPr>
        <w:tabs>
          <w:tab w:val="clear" w:pos="1755"/>
          <w:tab w:val="num" w:pos="851"/>
        </w:tabs>
        <w:suppressAutoHyphens w:val="0"/>
        <w:ind w:left="851" w:hanging="851"/>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Сохань А. В., Краснов М. І. Динаміка показників імунного статусу хворих на герпетичний менінгоенцефаліт : матеріали науково-практичної конференції молодих вчених </w:t>
      </w:r>
      <w:r>
        <w:rPr>
          <w:color w:val="000000"/>
          <w:sz w:val="28"/>
          <w:szCs w:val="28"/>
          <w:lang w:val="uk-UA"/>
        </w:rPr>
        <w:t>[</w:t>
      </w:r>
      <w:r>
        <w:rPr>
          <w:rFonts w:ascii="Times New Roman CYR" w:hAnsi="Times New Roman CYR"/>
          <w:color w:val="000000"/>
          <w:sz w:val="28"/>
          <w:szCs w:val="28"/>
          <w:lang w:val="uk-UA"/>
        </w:rPr>
        <w:t>„Актуальні питання експериментальної та клінічної медицини”</w:t>
      </w:r>
      <w:r>
        <w:rPr>
          <w:color w:val="000000"/>
          <w:sz w:val="28"/>
          <w:szCs w:val="28"/>
          <w:lang w:val="uk-UA"/>
        </w:rPr>
        <w:t>], (</w:t>
      </w:r>
      <w:r>
        <w:rPr>
          <w:rFonts w:ascii="Times New Roman CYR" w:hAnsi="Times New Roman CYR"/>
          <w:color w:val="000000"/>
          <w:sz w:val="28"/>
          <w:szCs w:val="28"/>
          <w:lang w:val="uk-UA"/>
        </w:rPr>
        <w:t xml:space="preserve">Суми, 25 – 26 квітня 2007 р.) </w:t>
      </w:r>
      <w:r>
        <w:rPr>
          <w:color w:val="000000"/>
          <w:sz w:val="28"/>
          <w:szCs w:val="28"/>
          <w:lang w:val="uk-UA"/>
        </w:rPr>
        <w:t xml:space="preserve">/ М-во охорони здоров’я України, Сумський держ. мед. ун-т., 2007. – </w:t>
      </w:r>
      <w:r>
        <w:rPr>
          <w:rFonts w:ascii="Times New Roman CYR" w:hAnsi="Times New Roman CYR"/>
          <w:color w:val="000000"/>
          <w:sz w:val="28"/>
          <w:szCs w:val="28"/>
          <w:lang w:val="uk-UA"/>
        </w:rPr>
        <w:t>С. 49</w:t>
      </w:r>
      <w:r>
        <w:rPr>
          <w:color w:val="000000"/>
          <w:sz w:val="28"/>
          <w:szCs w:val="28"/>
          <w:lang w:val="uk-UA"/>
        </w:rPr>
        <w:t>–</w:t>
      </w:r>
      <w:r>
        <w:rPr>
          <w:rFonts w:ascii="Times New Roman CYR" w:hAnsi="Times New Roman CYR"/>
          <w:color w:val="000000"/>
          <w:sz w:val="28"/>
          <w:szCs w:val="28"/>
          <w:lang w:val="uk-UA"/>
        </w:rPr>
        <w:t xml:space="preserve">50. </w:t>
      </w:r>
      <w:r>
        <w:rPr>
          <w:rFonts w:ascii="Times New Roman CYR" w:hAnsi="Times New Roman CYR"/>
          <w:sz w:val="28"/>
          <w:szCs w:val="28"/>
          <w:lang w:val="uk-UA"/>
        </w:rPr>
        <w:t>(автором особисто проаналізовано літературу за темою, здійснено клінічні спостереження за хворими, статистична обробка даних, аналіз та узагальнення результатів дослідження, формулювання висновків).</w:t>
      </w:r>
    </w:p>
    <w:p w:rsidR="00AB01BA" w:rsidRDefault="00AB01BA" w:rsidP="00542D35">
      <w:pPr>
        <w:numPr>
          <w:ilvl w:val="0"/>
          <w:numId w:val="69"/>
        </w:numPr>
        <w:tabs>
          <w:tab w:val="clear" w:pos="1755"/>
          <w:tab w:val="num" w:pos="851"/>
        </w:tabs>
        <w:suppressAutoHyphens w:val="0"/>
        <w:ind w:left="851" w:hanging="851"/>
        <w:jc w:val="both"/>
        <w:rPr>
          <w:b/>
          <w:bCs/>
          <w:color w:val="000000"/>
          <w:sz w:val="28"/>
          <w:szCs w:val="28"/>
          <w:lang w:val="uk-UA"/>
        </w:rPr>
      </w:pPr>
      <w:r>
        <w:rPr>
          <w:rFonts w:ascii="Times New Roman CYR" w:hAnsi="Times New Roman CYR"/>
          <w:color w:val="000000"/>
          <w:sz w:val="28"/>
          <w:szCs w:val="28"/>
          <w:lang w:val="uk-UA"/>
        </w:rPr>
        <w:t xml:space="preserve">Сохань А. В. Клінічні особливості та гематологічні показники при вірусних менінгоенцефалітах : матеріали всеукраїнської науково-практичної конференції молодих вчених та спеціалістів </w:t>
      </w:r>
      <w:r>
        <w:rPr>
          <w:color w:val="000000"/>
          <w:sz w:val="28"/>
          <w:szCs w:val="28"/>
          <w:lang w:val="uk-UA"/>
        </w:rPr>
        <w:t>[</w:t>
      </w:r>
      <w:r>
        <w:rPr>
          <w:rFonts w:ascii="Times New Roman CYR" w:hAnsi="Times New Roman CYR"/>
          <w:color w:val="000000"/>
          <w:sz w:val="28"/>
          <w:szCs w:val="28"/>
          <w:lang w:val="uk-UA"/>
        </w:rPr>
        <w:t>„Від фундаментальних досліджень до медичної практики”</w:t>
      </w:r>
      <w:r>
        <w:rPr>
          <w:color w:val="000000"/>
          <w:sz w:val="28"/>
          <w:szCs w:val="28"/>
          <w:lang w:val="uk-UA"/>
        </w:rPr>
        <w:t>], (</w:t>
      </w:r>
      <w:r>
        <w:rPr>
          <w:rFonts w:ascii="Times New Roman CYR" w:hAnsi="Times New Roman CYR"/>
          <w:color w:val="000000"/>
          <w:sz w:val="28"/>
          <w:szCs w:val="28"/>
          <w:lang w:val="uk-UA"/>
        </w:rPr>
        <w:t xml:space="preserve">Харків, 16 листопада 2005 р.) </w:t>
      </w:r>
      <w:r>
        <w:rPr>
          <w:color w:val="000000"/>
          <w:sz w:val="28"/>
          <w:szCs w:val="28"/>
          <w:lang w:val="uk-UA"/>
        </w:rPr>
        <w:t xml:space="preserve">/ М-во охорони здоров’я України, Харківський держ. мед. ун-т., 2005. – </w:t>
      </w:r>
      <w:r>
        <w:rPr>
          <w:rFonts w:ascii="Times New Roman CYR" w:hAnsi="Times New Roman CYR"/>
          <w:color w:val="000000"/>
          <w:sz w:val="28"/>
          <w:szCs w:val="28"/>
          <w:lang w:val="uk-UA"/>
        </w:rPr>
        <w:t xml:space="preserve">С. 154. </w:t>
      </w:r>
    </w:p>
    <w:p w:rsidR="00AB01BA" w:rsidRDefault="00AB01BA" w:rsidP="00AB01BA">
      <w:pPr>
        <w:spacing w:line="360" w:lineRule="auto"/>
        <w:ind w:firstLine="708"/>
        <w:jc w:val="center"/>
        <w:rPr>
          <w:b/>
          <w:bCs/>
          <w:color w:val="000000"/>
          <w:sz w:val="32"/>
          <w:szCs w:val="32"/>
          <w:lang w:val="uk-UA"/>
        </w:rPr>
      </w:pPr>
      <w:r>
        <w:rPr>
          <w:b/>
          <w:bCs/>
          <w:color w:val="000000"/>
          <w:sz w:val="32"/>
          <w:szCs w:val="32"/>
          <w:lang w:val="uk-UA"/>
        </w:rPr>
        <w:t>Анотація</w:t>
      </w:r>
    </w:p>
    <w:p w:rsidR="00AB01BA" w:rsidRDefault="00AB01BA" w:rsidP="00AB01BA">
      <w:pPr>
        <w:ind w:firstLine="900"/>
        <w:jc w:val="both"/>
        <w:rPr>
          <w:color w:val="000000"/>
          <w:sz w:val="28"/>
          <w:szCs w:val="28"/>
          <w:lang w:val="uk-UA"/>
        </w:rPr>
      </w:pPr>
      <w:r>
        <w:rPr>
          <w:b/>
          <w:bCs/>
          <w:color w:val="000000"/>
          <w:sz w:val="28"/>
          <w:szCs w:val="28"/>
          <w:lang w:val="uk-UA"/>
        </w:rPr>
        <w:t>Сохань А.В.</w:t>
      </w:r>
      <w:r>
        <w:rPr>
          <w:color w:val="000000"/>
          <w:sz w:val="28"/>
          <w:szCs w:val="28"/>
          <w:lang w:val="uk-UA"/>
        </w:rPr>
        <w:t xml:space="preserve"> Клініко-імунологічні показники та їх корекція у хворих на гострі герпесвірусні менінгоенцефаліти. – Рукопис.</w:t>
      </w:r>
    </w:p>
    <w:p w:rsidR="00AB01BA" w:rsidRDefault="00AB01BA" w:rsidP="00AB01BA">
      <w:pPr>
        <w:ind w:firstLine="900"/>
        <w:jc w:val="both"/>
        <w:rPr>
          <w:color w:val="000000"/>
          <w:sz w:val="28"/>
          <w:szCs w:val="28"/>
          <w:lang w:val="uk-UA"/>
        </w:rPr>
      </w:pPr>
      <w:r>
        <w:rPr>
          <w:color w:val="000000"/>
          <w:sz w:val="28"/>
          <w:szCs w:val="28"/>
          <w:lang w:val="uk-UA"/>
        </w:rPr>
        <w:t>Дисертація на здобуття наукового ступеня кандидата медичних наук за спеціальністю 14.01.13 – інфекційні хвороби. – ДУ „Інститут епідеміології та інфекційних хвороб ім. Л.В. Громашевського АМН України”. – Київ, 2008.</w:t>
      </w:r>
    </w:p>
    <w:p w:rsidR="00AB01BA" w:rsidRDefault="00AB01BA" w:rsidP="00AB01BA">
      <w:pPr>
        <w:ind w:firstLine="900"/>
        <w:jc w:val="both"/>
        <w:rPr>
          <w:color w:val="000000"/>
          <w:sz w:val="28"/>
          <w:szCs w:val="28"/>
          <w:lang w:val="uk-UA"/>
        </w:rPr>
      </w:pPr>
      <w:r>
        <w:rPr>
          <w:color w:val="000000"/>
          <w:sz w:val="28"/>
          <w:szCs w:val="28"/>
          <w:lang w:val="uk-UA"/>
        </w:rPr>
        <w:t>Вивчено стан клінічних, біохімічних, імунологічних показників, інтерфероногенезу у 82 хворих на гострі герпесвірусні менінгоенцефаліти з тяжким і середньотяжким перебігом у динаміці захворювання.</w:t>
      </w:r>
    </w:p>
    <w:p w:rsidR="00AB01BA" w:rsidRDefault="00AB01BA" w:rsidP="00AB01BA">
      <w:pPr>
        <w:ind w:firstLine="900"/>
        <w:jc w:val="both"/>
        <w:rPr>
          <w:sz w:val="28"/>
          <w:szCs w:val="28"/>
          <w:lang w:val="uk-UA"/>
        </w:rPr>
      </w:pPr>
      <w:r>
        <w:rPr>
          <w:color w:val="000000"/>
          <w:sz w:val="28"/>
          <w:szCs w:val="28"/>
          <w:lang w:val="uk-UA"/>
        </w:rPr>
        <w:lastRenderedPageBreak/>
        <w:t>Показано, що залежно від ступеня тяжкості даної патології спостерігалися як якісні, так і кількісні зміни в усіх ланках імунної системи. У гострому періоді у хворих з тяжким перебігом захворювання знижується кількість CD4+ клітин (р&lt;0,05).</w:t>
      </w:r>
    </w:p>
    <w:p w:rsidR="00AB01BA" w:rsidRDefault="00AB01BA" w:rsidP="00AB01BA">
      <w:pPr>
        <w:pStyle w:val="affffffff8"/>
        <w:tabs>
          <w:tab w:val="clear" w:pos="4677"/>
          <w:tab w:val="clear" w:pos="9355"/>
          <w:tab w:val="center" w:pos="900"/>
          <w:tab w:val="right" w:pos="9180"/>
        </w:tabs>
        <w:rPr>
          <w:color w:val="000000"/>
          <w:spacing w:val="-2"/>
          <w:szCs w:val="28"/>
          <w:lang w:val="uk-UA"/>
        </w:rPr>
      </w:pPr>
      <w:r>
        <w:rPr>
          <w:szCs w:val="28"/>
          <w:lang w:val="uk-UA"/>
        </w:rPr>
        <w:tab/>
      </w:r>
      <w:r>
        <w:rPr>
          <w:szCs w:val="28"/>
          <w:lang w:val="uk-UA"/>
        </w:rPr>
        <w:tab/>
        <w:t xml:space="preserve">Отримані нами результати демонструють залежність концентрації цитокінів у сироватці крові та лікворі хворих  на ГГМЕ від ступеня тяжкості захворювання. Найбільш виражені порушення спостерігались у гострому періоді ГГМЕ. Вміст </w:t>
      </w:r>
      <w:r>
        <w:rPr>
          <w:szCs w:val="28"/>
          <w:lang w:val="en-US"/>
        </w:rPr>
        <w:t>TNF</w:t>
      </w:r>
      <w:r>
        <w:rPr>
          <w:szCs w:val="28"/>
          <w:lang w:val="uk-UA"/>
        </w:rPr>
        <w:t xml:space="preserve">-α у крові вищий у хворих з середньотяжким перебігом </w:t>
      </w:r>
      <w:r>
        <w:rPr>
          <w:color w:val="000000"/>
          <w:szCs w:val="28"/>
          <w:lang w:val="uk-UA"/>
        </w:rPr>
        <w:t>(р&lt;0,05), у той час як</w:t>
      </w:r>
      <w:r>
        <w:rPr>
          <w:szCs w:val="28"/>
          <w:lang w:val="uk-UA"/>
        </w:rPr>
        <w:t xml:space="preserve"> рівень IL-4 і IL-10 вище у хворих з тяжким перебігом захворювання </w:t>
      </w:r>
      <w:r>
        <w:rPr>
          <w:color w:val="000000"/>
          <w:szCs w:val="28"/>
          <w:lang w:val="uk-UA"/>
        </w:rPr>
        <w:t>(р&lt;0,05)</w:t>
      </w:r>
      <w:r>
        <w:rPr>
          <w:szCs w:val="28"/>
          <w:lang w:val="uk-UA"/>
        </w:rPr>
        <w:t xml:space="preserve">. </w:t>
      </w:r>
      <w:r>
        <w:rPr>
          <w:color w:val="000000"/>
          <w:szCs w:val="28"/>
          <w:lang w:val="uk-UA"/>
        </w:rPr>
        <w:t xml:space="preserve">У періоді реконвалесценції вміст даних цитокінів у крові знижувався у всіх групах, однак залишався вище показників контрольної групи (р&lt;0,05). У лікворі особливо значним було підвищення рівнів TNF-α та ІNF-γ в гострому періоді захворювання у хворих з тяжким перебігом. У хворих з середньотяжким перебігом захворювання рівень досліджуваних цитокінів був нижчим (р&lt;0,05). </w:t>
      </w:r>
      <w:r>
        <w:rPr>
          <w:color w:val="000000"/>
          <w:spacing w:val="-2"/>
          <w:szCs w:val="28"/>
          <w:lang w:val="uk-UA"/>
        </w:rPr>
        <w:t xml:space="preserve">При ГГМЕ як </w:t>
      </w:r>
      <w:r>
        <w:rPr>
          <w:color w:val="000000"/>
          <w:szCs w:val="28"/>
          <w:lang w:val="uk-UA"/>
        </w:rPr>
        <w:t>TNF-α, так і INF</w:t>
      </w:r>
      <w:r>
        <w:rPr>
          <w:color w:val="000000"/>
          <w:spacing w:val="-2"/>
          <w:szCs w:val="28"/>
          <w:lang w:val="uk-UA"/>
        </w:rPr>
        <w:t xml:space="preserve">-γ синтезувався у ЦНС, тому що в лікворі їх концентрації були завжди вище, ніж у сироватці крові. </w:t>
      </w:r>
    </w:p>
    <w:p w:rsidR="00AB01BA" w:rsidRDefault="00AB01BA" w:rsidP="00AB01BA">
      <w:pPr>
        <w:pStyle w:val="affffffff8"/>
        <w:tabs>
          <w:tab w:val="clear" w:pos="4677"/>
          <w:tab w:val="clear" w:pos="9355"/>
          <w:tab w:val="center" w:pos="900"/>
          <w:tab w:val="right" w:pos="9180"/>
        </w:tabs>
        <w:rPr>
          <w:szCs w:val="28"/>
          <w:lang w:val="uk-UA"/>
        </w:rPr>
      </w:pPr>
      <w:r>
        <w:rPr>
          <w:color w:val="000000"/>
          <w:spacing w:val="-2"/>
          <w:szCs w:val="28"/>
          <w:lang w:val="uk-UA"/>
        </w:rPr>
        <w:tab/>
      </w:r>
      <w:r>
        <w:rPr>
          <w:color w:val="000000"/>
          <w:spacing w:val="-2"/>
          <w:szCs w:val="28"/>
          <w:lang w:val="uk-UA"/>
        </w:rPr>
        <w:tab/>
      </w:r>
      <w:r>
        <w:rPr>
          <w:szCs w:val="28"/>
          <w:lang w:val="uk-UA"/>
        </w:rPr>
        <w:t xml:space="preserve">Проведені дослідження рівнів цитокінів, що виробляються T хелперами 1-го типу – IL-1, TNF-α, INF-γ, та їх природних антагоністів, що синтезуються T хелперами 2-го типу – IL-4, IL-10, виявили наявність переважання протизапальних цитокінів (макрофагольно-моноцитарного походження) над регуляторними. </w:t>
      </w:r>
    </w:p>
    <w:p w:rsidR="00AB01BA" w:rsidRDefault="00AB01BA" w:rsidP="00AB01BA">
      <w:pPr>
        <w:pStyle w:val="affffffff8"/>
        <w:tabs>
          <w:tab w:val="clear" w:pos="4677"/>
          <w:tab w:val="clear" w:pos="9355"/>
          <w:tab w:val="center" w:pos="900"/>
          <w:tab w:val="right" w:pos="9180"/>
        </w:tabs>
        <w:rPr>
          <w:szCs w:val="28"/>
          <w:lang w:val="uk-UA"/>
        </w:rPr>
      </w:pPr>
      <w:r>
        <w:rPr>
          <w:szCs w:val="28"/>
          <w:lang w:val="uk-UA"/>
        </w:rPr>
        <w:tab/>
      </w:r>
      <w:r>
        <w:rPr>
          <w:szCs w:val="28"/>
          <w:lang w:val="uk-UA"/>
        </w:rPr>
        <w:tab/>
        <w:t>Дані про стан імунної відповіді та інтерфероногенезу можуть застосовуватися для прогнозування перебігу герпесвірусних уражень ЦНС.</w:t>
      </w:r>
    </w:p>
    <w:p w:rsidR="00AB01BA" w:rsidRDefault="00AB01BA" w:rsidP="00AB01BA">
      <w:pPr>
        <w:pStyle w:val="affffffff8"/>
        <w:tabs>
          <w:tab w:val="clear" w:pos="4677"/>
          <w:tab w:val="clear" w:pos="9355"/>
          <w:tab w:val="center" w:pos="0"/>
          <w:tab w:val="right" w:pos="9180"/>
        </w:tabs>
        <w:ind w:firstLine="900"/>
        <w:rPr>
          <w:szCs w:val="28"/>
          <w:lang w:val="uk-UA"/>
        </w:rPr>
      </w:pPr>
      <w:r>
        <w:rPr>
          <w:szCs w:val="28"/>
          <w:lang w:val="uk-UA"/>
        </w:rPr>
        <w:tab/>
        <w:t xml:space="preserve">Оцінені терапевтична ефективність і вплив на показники імунної відповіді вітчизняного препарату Аміксин ІС при застосуванні у комплексному лікуванні хворих на гострі герпесвірусні менінгоенцефаліти середньої тяжкості. </w:t>
      </w:r>
    </w:p>
    <w:p w:rsidR="00AB01BA" w:rsidRDefault="00AB01BA" w:rsidP="00AB01BA">
      <w:pPr>
        <w:pStyle w:val="affffffff8"/>
        <w:tabs>
          <w:tab w:val="clear" w:pos="4677"/>
          <w:tab w:val="clear" w:pos="9355"/>
          <w:tab w:val="center" w:pos="0"/>
          <w:tab w:val="right" w:pos="9180"/>
        </w:tabs>
        <w:ind w:firstLine="900"/>
        <w:rPr>
          <w:szCs w:val="28"/>
          <w:lang w:val="uk-UA"/>
        </w:rPr>
      </w:pPr>
      <w:r>
        <w:rPr>
          <w:b/>
          <w:bCs/>
          <w:szCs w:val="28"/>
          <w:lang w:val="uk-UA"/>
        </w:rPr>
        <w:t xml:space="preserve">Ключові слова: </w:t>
      </w:r>
      <w:r>
        <w:rPr>
          <w:szCs w:val="28"/>
          <w:lang w:val="uk-UA"/>
        </w:rPr>
        <w:t>герпесвірусна інфекція, менінгоенцефаліт, імунна відповідь, цитокіни, аміксин.</w:t>
      </w:r>
    </w:p>
    <w:p w:rsidR="00AB01BA" w:rsidRDefault="00AB01BA" w:rsidP="00AB01BA">
      <w:pPr>
        <w:pStyle w:val="affffffff8"/>
        <w:tabs>
          <w:tab w:val="clear" w:pos="4677"/>
          <w:tab w:val="clear" w:pos="9355"/>
          <w:tab w:val="center" w:pos="0"/>
          <w:tab w:val="right" w:pos="9180"/>
        </w:tabs>
        <w:ind w:firstLine="900"/>
        <w:rPr>
          <w:szCs w:val="28"/>
          <w:lang w:val="uk-UA"/>
        </w:rPr>
      </w:pPr>
    </w:p>
    <w:p w:rsidR="00AB01BA" w:rsidRDefault="00AB01BA" w:rsidP="00AB01BA">
      <w:pPr>
        <w:spacing w:line="360" w:lineRule="auto"/>
        <w:ind w:firstLine="708"/>
        <w:jc w:val="center"/>
        <w:rPr>
          <w:b/>
          <w:bCs/>
          <w:color w:val="000000"/>
          <w:sz w:val="32"/>
          <w:szCs w:val="32"/>
        </w:rPr>
      </w:pPr>
      <w:r>
        <w:rPr>
          <w:b/>
          <w:bCs/>
          <w:color w:val="000000"/>
          <w:sz w:val="32"/>
          <w:szCs w:val="32"/>
        </w:rPr>
        <w:t>Аннотация</w:t>
      </w:r>
    </w:p>
    <w:p w:rsidR="00AB01BA" w:rsidRDefault="00AB01BA" w:rsidP="00AB01BA">
      <w:pPr>
        <w:ind w:firstLine="900"/>
        <w:jc w:val="both"/>
        <w:rPr>
          <w:color w:val="000000"/>
          <w:sz w:val="28"/>
          <w:szCs w:val="28"/>
        </w:rPr>
      </w:pPr>
      <w:r>
        <w:rPr>
          <w:b/>
          <w:bCs/>
          <w:color w:val="000000"/>
          <w:sz w:val="28"/>
          <w:szCs w:val="28"/>
        </w:rPr>
        <w:t>Сохань А.В.</w:t>
      </w:r>
      <w:r>
        <w:rPr>
          <w:color w:val="000000"/>
          <w:sz w:val="28"/>
          <w:szCs w:val="28"/>
        </w:rPr>
        <w:t xml:space="preserve"> Клинико-иммунологические показатели и их коррекция у больных с острыми герпесвирусными менингоэнцефалитами. – Рукопись.</w:t>
      </w:r>
    </w:p>
    <w:p w:rsidR="00AB01BA" w:rsidRDefault="00AB01BA" w:rsidP="00AB01BA">
      <w:pPr>
        <w:ind w:firstLine="900"/>
        <w:jc w:val="both"/>
        <w:rPr>
          <w:color w:val="000000"/>
          <w:sz w:val="28"/>
          <w:szCs w:val="28"/>
        </w:rPr>
      </w:pPr>
      <w:r>
        <w:rPr>
          <w:color w:val="000000"/>
          <w:sz w:val="28"/>
          <w:szCs w:val="28"/>
        </w:rPr>
        <w:t xml:space="preserve">Диссертация на соискание научной степени кандидата медицинских наук по специальности 14.01.13 – инфекционные болезни. – </w:t>
      </w:r>
      <w:r>
        <w:rPr>
          <w:color w:val="000000"/>
          <w:sz w:val="28"/>
          <w:szCs w:val="28"/>
          <w:lang w:val="uk-UA"/>
        </w:rPr>
        <w:t>ГУ „</w:t>
      </w:r>
      <w:r>
        <w:rPr>
          <w:color w:val="000000"/>
          <w:sz w:val="28"/>
          <w:szCs w:val="28"/>
        </w:rPr>
        <w:t>Институт эпидемиологии и инфекционных болезней им. Л.В. Громашевского АМН Украины</w:t>
      </w:r>
      <w:r>
        <w:rPr>
          <w:color w:val="000000"/>
          <w:sz w:val="28"/>
          <w:szCs w:val="28"/>
          <w:lang w:val="uk-UA"/>
        </w:rPr>
        <w:t>”</w:t>
      </w:r>
      <w:r>
        <w:rPr>
          <w:color w:val="000000"/>
          <w:sz w:val="28"/>
          <w:szCs w:val="28"/>
        </w:rPr>
        <w:t>. – Киев, 2008.</w:t>
      </w:r>
    </w:p>
    <w:p w:rsidR="00AB01BA" w:rsidRDefault="00AB01BA" w:rsidP="00AB01BA">
      <w:pPr>
        <w:ind w:firstLine="900"/>
        <w:jc w:val="both"/>
        <w:rPr>
          <w:color w:val="000000"/>
          <w:sz w:val="28"/>
          <w:szCs w:val="28"/>
        </w:rPr>
      </w:pPr>
      <w:r>
        <w:rPr>
          <w:color w:val="000000"/>
          <w:sz w:val="28"/>
          <w:szCs w:val="28"/>
        </w:rPr>
        <w:t>Изучено состояние клинических, биохимических и иммунологических показателей у 82 пациентов с острыми герпесвирусными менингоэнцефалитами среднетяжелой и тяжелой степени тяжести в динамике заболевания</w:t>
      </w:r>
    </w:p>
    <w:p w:rsidR="00AB01BA" w:rsidRDefault="00AB01BA" w:rsidP="00AB01BA">
      <w:pPr>
        <w:ind w:firstLine="900"/>
        <w:jc w:val="both"/>
        <w:rPr>
          <w:sz w:val="28"/>
          <w:szCs w:val="28"/>
        </w:rPr>
      </w:pPr>
      <w:r>
        <w:rPr>
          <w:color w:val="000000"/>
          <w:sz w:val="28"/>
          <w:szCs w:val="28"/>
        </w:rPr>
        <w:t>Проведенное исследование показало, что в зависимости от степени тяжести данного заболевания определяются как качественные</w:t>
      </w:r>
      <w:r>
        <w:rPr>
          <w:color w:val="000000"/>
          <w:sz w:val="28"/>
          <w:szCs w:val="28"/>
          <w:lang w:val="uk-UA"/>
        </w:rPr>
        <w:t>,</w:t>
      </w:r>
      <w:r>
        <w:rPr>
          <w:color w:val="000000"/>
          <w:sz w:val="28"/>
          <w:szCs w:val="28"/>
        </w:rPr>
        <w:t xml:space="preserve"> так и количественные изменения во всех звеньях иммунной системы. В остром периоде у больных с тяжелым течением заболевания снижается количество CD4+ клеток (р&lt;0,05).</w:t>
      </w:r>
    </w:p>
    <w:p w:rsidR="00AB01BA" w:rsidRDefault="00AB01BA" w:rsidP="00AB01BA">
      <w:pPr>
        <w:pStyle w:val="affffffff8"/>
        <w:tabs>
          <w:tab w:val="clear" w:pos="4677"/>
          <w:tab w:val="clear" w:pos="9355"/>
          <w:tab w:val="center" w:pos="900"/>
          <w:tab w:val="right" w:pos="9180"/>
        </w:tabs>
        <w:rPr>
          <w:szCs w:val="28"/>
        </w:rPr>
      </w:pPr>
      <w:r>
        <w:rPr>
          <w:szCs w:val="28"/>
        </w:rPr>
        <w:tab/>
      </w:r>
      <w:r>
        <w:rPr>
          <w:szCs w:val="28"/>
          <w:lang w:val="uk-UA"/>
        </w:rPr>
        <w:tab/>
      </w:r>
      <w:r>
        <w:rPr>
          <w:szCs w:val="28"/>
        </w:rPr>
        <w:t xml:space="preserve">Полученные нами результаты демонстрируют зависимость концентрации цитокинов в сыворотке крови и ликворе больных острыми герпесвирусными </w:t>
      </w:r>
      <w:r>
        <w:rPr>
          <w:szCs w:val="28"/>
        </w:rPr>
        <w:lastRenderedPageBreak/>
        <w:t xml:space="preserve">менингоэнцефалитами от степени тяжести заболевания. Наиболее выраженные нарушения наблюдаются в остром периоде заболевания. </w:t>
      </w:r>
    </w:p>
    <w:p w:rsidR="00AB01BA" w:rsidRDefault="00AB01BA" w:rsidP="00AB01BA">
      <w:pPr>
        <w:pStyle w:val="affffffff8"/>
        <w:tabs>
          <w:tab w:val="clear" w:pos="4677"/>
          <w:tab w:val="clear" w:pos="9355"/>
          <w:tab w:val="center" w:pos="900"/>
          <w:tab w:val="right" w:pos="9180"/>
        </w:tabs>
        <w:rPr>
          <w:color w:val="000000"/>
          <w:spacing w:val="-2"/>
          <w:szCs w:val="28"/>
        </w:rPr>
      </w:pPr>
      <w:r>
        <w:rPr>
          <w:szCs w:val="28"/>
        </w:rPr>
        <w:tab/>
      </w:r>
      <w:r>
        <w:rPr>
          <w:szCs w:val="28"/>
        </w:rPr>
        <w:tab/>
        <w:t xml:space="preserve">Концентрация TNF-α в крови выше у пациентов средней тяжести </w:t>
      </w:r>
      <w:r>
        <w:rPr>
          <w:color w:val="000000"/>
          <w:szCs w:val="28"/>
        </w:rPr>
        <w:t>(р&lt;0,05), в то время как концентрация</w:t>
      </w:r>
      <w:r>
        <w:rPr>
          <w:szCs w:val="28"/>
        </w:rPr>
        <w:t xml:space="preserve"> IL-4 и IL-10 в крови выше у больных</w:t>
      </w:r>
      <w:r>
        <w:rPr>
          <w:szCs w:val="28"/>
          <w:lang w:val="uk-UA"/>
        </w:rPr>
        <w:t xml:space="preserve"> </w:t>
      </w:r>
      <w:r>
        <w:rPr>
          <w:szCs w:val="28"/>
        </w:rPr>
        <w:t xml:space="preserve">с тяжелым течением заболевания </w:t>
      </w:r>
      <w:r>
        <w:rPr>
          <w:color w:val="000000"/>
          <w:szCs w:val="28"/>
        </w:rPr>
        <w:t>(р&lt;0,05)</w:t>
      </w:r>
      <w:r>
        <w:rPr>
          <w:szCs w:val="28"/>
        </w:rPr>
        <w:t xml:space="preserve">. В периоде реконвалесценции содержание данных цитокинов в крови снижалось во всех группах, однако сохранялось выше показателей контрольной группы </w:t>
      </w:r>
      <w:r>
        <w:rPr>
          <w:color w:val="000000"/>
          <w:szCs w:val="28"/>
        </w:rPr>
        <w:t xml:space="preserve">(р&lt;0,05). В ликворе особенно выраженным было повышение TNF-α и ІNF-γ в остром периоде заболевания у больных с тяжелым течением заболевания. В группе средней тяжести уровень исследуемых цитокинов был ниже (р&lt;0,05). </w:t>
      </w:r>
      <w:r>
        <w:rPr>
          <w:color w:val="000000"/>
          <w:spacing w:val="-2"/>
          <w:szCs w:val="28"/>
        </w:rPr>
        <w:t xml:space="preserve">При остром герпесвирусном менингоэнцефалите как </w:t>
      </w:r>
      <w:r>
        <w:rPr>
          <w:color w:val="000000"/>
          <w:szCs w:val="28"/>
        </w:rPr>
        <w:t>TNF-α</w:t>
      </w:r>
      <w:r>
        <w:rPr>
          <w:color w:val="000000"/>
          <w:szCs w:val="28"/>
          <w:lang w:val="uk-UA"/>
        </w:rPr>
        <w:t>,</w:t>
      </w:r>
      <w:r>
        <w:rPr>
          <w:color w:val="000000"/>
          <w:szCs w:val="28"/>
        </w:rPr>
        <w:t xml:space="preserve"> так и INF</w:t>
      </w:r>
      <w:r>
        <w:rPr>
          <w:color w:val="000000"/>
          <w:spacing w:val="-2"/>
          <w:szCs w:val="28"/>
        </w:rPr>
        <w:t xml:space="preserve">-γ синтезировался в ЦНС, так как в ликворе их концентрации были всегда выше, чем в сыворотке крови. </w:t>
      </w:r>
    </w:p>
    <w:p w:rsidR="00AB01BA" w:rsidRDefault="00AB01BA" w:rsidP="00AB01BA">
      <w:pPr>
        <w:pStyle w:val="affffffff8"/>
        <w:tabs>
          <w:tab w:val="clear" w:pos="4677"/>
          <w:tab w:val="clear" w:pos="9355"/>
          <w:tab w:val="center" w:pos="900"/>
          <w:tab w:val="right" w:pos="9180"/>
        </w:tabs>
        <w:rPr>
          <w:szCs w:val="28"/>
        </w:rPr>
      </w:pPr>
      <w:r>
        <w:rPr>
          <w:color w:val="000000"/>
          <w:spacing w:val="-2"/>
          <w:szCs w:val="28"/>
        </w:rPr>
        <w:tab/>
      </w:r>
      <w:r>
        <w:rPr>
          <w:color w:val="000000"/>
          <w:spacing w:val="-2"/>
          <w:szCs w:val="28"/>
        </w:rPr>
        <w:tab/>
      </w:r>
      <w:r>
        <w:rPr>
          <w:szCs w:val="28"/>
        </w:rPr>
        <w:t>Поведенные</w:t>
      </w:r>
      <w:r>
        <w:rPr>
          <w:szCs w:val="28"/>
          <w:lang w:val="uk-UA"/>
        </w:rPr>
        <w:t xml:space="preserve"> нами </w:t>
      </w:r>
      <w:r>
        <w:rPr>
          <w:szCs w:val="28"/>
        </w:rPr>
        <w:t>исследования</w:t>
      </w:r>
      <w:r>
        <w:rPr>
          <w:szCs w:val="28"/>
          <w:lang w:val="uk-UA"/>
        </w:rPr>
        <w:t xml:space="preserve"> </w:t>
      </w:r>
      <w:r>
        <w:rPr>
          <w:szCs w:val="28"/>
        </w:rPr>
        <w:t>уровней</w:t>
      </w:r>
      <w:r>
        <w:rPr>
          <w:szCs w:val="28"/>
          <w:lang w:val="uk-UA"/>
        </w:rPr>
        <w:t xml:space="preserve"> </w:t>
      </w:r>
      <w:r>
        <w:rPr>
          <w:szCs w:val="28"/>
        </w:rPr>
        <w:t>цитокинов</w:t>
      </w:r>
      <w:r>
        <w:rPr>
          <w:szCs w:val="28"/>
          <w:lang w:val="uk-UA"/>
        </w:rPr>
        <w:t xml:space="preserve"> </w:t>
      </w:r>
      <w:r>
        <w:rPr>
          <w:szCs w:val="28"/>
        </w:rPr>
        <w:t xml:space="preserve">которые синтезируются T хелперами 1-го типа – IL-1, TNF-α, INF-γ, и их природных антагонистов, синтезируемых T хелперами 2-го типа – IL-4, IL-10, выявили преобладание провоспалительных цитокинов (макрофагально-моноцитарного происхождения) над регуляторными. </w:t>
      </w:r>
    </w:p>
    <w:p w:rsidR="00AB01BA" w:rsidRDefault="00AB01BA" w:rsidP="00AB01BA">
      <w:pPr>
        <w:pStyle w:val="affffffff8"/>
        <w:tabs>
          <w:tab w:val="clear" w:pos="4677"/>
          <w:tab w:val="clear" w:pos="9355"/>
          <w:tab w:val="center" w:pos="900"/>
          <w:tab w:val="right" w:pos="9180"/>
        </w:tabs>
        <w:rPr>
          <w:szCs w:val="28"/>
          <w:lang w:val="uk-UA"/>
        </w:rPr>
      </w:pPr>
      <w:r>
        <w:rPr>
          <w:szCs w:val="28"/>
          <w:lang w:val="uk-UA"/>
        </w:rPr>
        <w:tab/>
      </w:r>
      <w:r>
        <w:rPr>
          <w:szCs w:val="28"/>
          <w:lang w:val="uk-UA"/>
        </w:rPr>
        <w:tab/>
      </w:r>
      <w:r>
        <w:rPr>
          <w:szCs w:val="28"/>
        </w:rPr>
        <w:t>Данные</w:t>
      </w:r>
      <w:r>
        <w:rPr>
          <w:szCs w:val="28"/>
          <w:lang w:val="uk-UA"/>
        </w:rPr>
        <w:t xml:space="preserve"> про </w:t>
      </w:r>
      <w:r>
        <w:rPr>
          <w:szCs w:val="28"/>
        </w:rPr>
        <w:t>состояние</w:t>
      </w:r>
      <w:r>
        <w:rPr>
          <w:szCs w:val="28"/>
          <w:lang w:val="uk-UA"/>
        </w:rPr>
        <w:t xml:space="preserve"> </w:t>
      </w:r>
      <w:r>
        <w:rPr>
          <w:szCs w:val="28"/>
        </w:rPr>
        <w:t>иммунного</w:t>
      </w:r>
      <w:r>
        <w:rPr>
          <w:szCs w:val="28"/>
          <w:lang w:val="uk-UA"/>
        </w:rPr>
        <w:t xml:space="preserve"> </w:t>
      </w:r>
      <w:r>
        <w:rPr>
          <w:szCs w:val="28"/>
        </w:rPr>
        <w:t>ответа</w:t>
      </w:r>
      <w:r>
        <w:rPr>
          <w:szCs w:val="28"/>
          <w:lang w:val="uk-UA"/>
        </w:rPr>
        <w:t xml:space="preserve"> и </w:t>
      </w:r>
      <w:r>
        <w:rPr>
          <w:szCs w:val="28"/>
        </w:rPr>
        <w:t>интерфероногенеза</w:t>
      </w:r>
      <w:r>
        <w:rPr>
          <w:szCs w:val="28"/>
          <w:lang w:val="uk-UA"/>
        </w:rPr>
        <w:t xml:space="preserve"> </w:t>
      </w:r>
      <w:r>
        <w:rPr>
          <w:szCs w:val="28"/>
        </w:rPr>
        <w:t>могут</w:t>
      </w:r>
      <w:r>
        <w:rPr>
          <w:szCs w:val="28"/>
          <w:lang w:val="uk-UA"/>
        </w:rPr>
        <w:t xml:space="preserve"> быть </w:t>
      </w:r>
      <w:r>
        <w:rPr>
          <w:szCs w:val="28"/>
        </w:rPr>
        <w:t>использованы</w:t>
      </w:r>
      <w:r>
        <w:rPr>
          <w:szCs w:val="28"/>
          <w:lang w:val="uk-UA"/>
        </w:rPr>
        <w:t xml:space="preserve"> для </w:t>
      </w:r>
      <w:r>
        <w:rPr>
          <w:szCs w:val="28"/>
        </w:rPr>
        <w:t>прогнозирования</w:t>
      </w:r>
      <w:r>
        <w:rPr>
          <w:szCs w:val="28"/>
          <w:lang w:val="uk-UA"/>
        </w:rPr>
        <w:t xml:space="preserve"> </w:t>
      </w:r>
      <w:r>
        <w:rPr>
          <w:szCs w:val="28"/>
        </w:rPr>
        <w:t>течения</w:t>
      </w:r>
      <w:r>
        <w:rPr>
          <w:szCs w:val="28"/>
          <w:lang w:val="uk-UA"/>
        </w:rPr>
        <w:t xml:space="preserve"> герпесвирусных поражений ЦНС. </w:t>
      </w:r>
    </w:p>
    <w:p w:rsidR="00AB01BA" w:rsidRDefault="00AB01BA" w:rsidP="00AB01BA">
      <w:pPr>
        <w:pStyle w:val="affffffff8"/>
        <w:tabs>
          <w:tab w:val="clear" w:pos="4677"/>
          <w:tab w:val="clear" w:pos="9355"/>
          <w:tab w:val="center" w:pos="0"/>
          <w:tab w:val="right" w:pos="9180"/>
        </w:tabs>
        <w:ind w:firstLine="900"/>
        <w:rPr>
          <w:szCs w:val="28"/>
          <w:lang w:val="uk-UA"/>
        </w:rPr>
      </w:pPr>
      <w:r>
        <w:rPr>
          <w:szCs w:val="28"/>
          <w:lang w:val="uk-UA"/>
        </w:rPr>
        <w:tab/>
        <w:t>Оценены терапевтическая эфективность и влияние на показатели иммунного ответа препарата Аміксин ІС</w:t>
      </w:r>
      <w:r>
        <w:rPr>
          <w:szCs w:val="28"/>
        </w:rPr>
        <w:t xml:space="preserve"> при использовании в комплексном лечении больных с острыми герпесвирусными менингоэнцефалитами средней тяжести.</w:t>
      </w:r>
      <w:r>
        <w:rPr>
          <w:szCs w:val="28"/>
          <w:lang w:val="uk-UA"/>
        </w:rPr>
        <w:t xml:space="preserve"> </w:t>
      </w:r>
    </w:p>
    <w:p w:rsidR="00AB01BA" w:rsidRDefault="00AB01BA" w:rsidP="00AB01BA">
      <w:pPr>
        <w:pStyle w:val="affffffff8"/>
        <w:tabs>
          <w:tab w:val="clear" w:pos="4677"/>
          <w:tab w:val="clear" w:pos="9355"/>
          <w:tab w:val="center" w:pos="0"/>
          <w:tab w:val="right" w:pos="9180"/>
        </w:tabs>
        <w:ind w:firstLine="900"/>
        <w:rPr>
          <w:szCs w:val="28"/>
          <w:lang w:val="uk-UA"/>
        </w:rPr>
      </w:pPr>
      <w:r>
        <w:rPr>
          <w:b/>
          <w:bCs/>
          <w:szCs w:val="28"/>
          <w:lang w:val="uk-UA"/>
        </w:rPr>
        <w:t xml:space="preserve">Ключевые слова: </w:t>
      </w:r>
      <w:r>
        <w:rPr>
          <w:szCs w:val="28"/>
          <w:lang w:val="uk-UA"/>
        </w:rPr>
        <w:t xml:space="preserve">герпесвирусная инфекция, менингоэнцефалит, </w:t>
      </w:r>
      <w:r>
        <w:rPr>
          <w:szCs w:val="28"/>
        </w:rPr>
        <w:t>иммунный</w:t>
      </w:r>
      <w:r>
        <w:rPr>
          <w:szCs w:val="28"/>
          <w:lang w:val="uk-UA"/>
        </w:rPr>
        <w:t xml:space="preserve"> </w:t>
      </w:r>
      <w:r>
        <w:rPr>
          <w:szCs w:val="28"/>
        </w:rPr>
        <w:t>ответ</w:t>
      </w:r>
      <w:r>
        <w:rPr>
          <w:szCs w:val="28"/>
          <w:lang w:val="uk-UA"/>
        </w:rPr>
        <w:t xml:space="preserve">, </w:t>
      </w:r>
      <w:r>
        <w:rPr>
          <w:szCs w:val="28"/>
        </w:rPr>
        <w:t>цитокины</w:t>
      </w:r>
      <w:r>
        <w:rPr>
          <w:szCs w:val="28"/>
          <w:lang w:val="uk-UA"/>
        </w:rPr>
        <w:t>, амиксин.</w:t>
      </w:r>
    </w:p>
    <w:p w:rsidR="00AB01BA" w:rsidRDefault="00AB01BA" w:rsidP="00AB01BA">
      <w:pPr>
        <w:pStyle w:val="50"/>
        <w:spacing w:line="360" w:lineRule="atLeast"/>
        <w:jc w:val="center"/>
        <w:rPr>
          <w:sz w:val="32"/>
          <w:szCs w:val="32"/>
        </w:rPr>
      </w:pPr>
    </w:p>
    <w:p w:rsidR="00AB01BA" w:rsidRDefault="00AB01BA" w:rsidP="00AB01BA">
      <w:pPr>
        <w:pStyle w:val="50"/>
        <w:spacing w:line="360" w:lineRule="atLeast"/>
        <w:jc w:val="center"/>
        <w:rPr>
          <w:sz w:val="32"/>
          <w:szCs w:val="32"/>
          <w:lang w:val="uk-UA"/>
        </w:rPr>
      </w:pPr>
      <w:r>
        <w:rPr>
          <w:sz w:val="32"/>
          <w:szCs w:val="32"/>
          <w:lang w:val="en-US"/>
        </w:rPr>
        <w:t>Summary</w:t>
      </w:r>
    </w:p>
    <w:p w:rsidR="00AB01BA" w:rsidRDefault="00AB01BA" w:rsidP="00AB01BA">
      <w:pPr>
        <w:spacing w:line="360" w:lineRule="atLeast"/>
        <w:ind w:firstLine="900"/>
        <w:rPr>
          <w:sz w:val="28"/>
          <w:szCs w:val="28"/>
          <w:lang w:val="en-US"/>
        </w:rPr>
      </w:pPr>
      <w:r>
        <w:rPr>
          <w:b/>
          <w:bCs/>
          <w:sz w:val="28"/>
          <w:szCs w:val="28"/>
          <w:lang w:val="en-US"/>
        </w:rPr>
        <w:t>Sokhan A.V.</w:t>
      </w:r>
      <w:r>
        <w:rPr>
          <w:sz w:val="28"/>
          <w:szCs w:val="28"/>
          <w:lang w:val="en-US"/>
        </w:rPr>
        <w:t xml:space="preserve"> Clinic immunologic data and their correction in patients with herpesviral meningoencephalitis</w:t>
      </w:r>
      <w:r>
        <w:rPr>
          <w:sz w:val="28"/>
          <w:szCs w:val="28"/>
          <w:lang w:val="en-GB"/>
        </w:rPr>
        <w:t xml:space="preserve">. – </w:t>
      </w:r>
      <w:r>
        <w:rPr>
          <w:sz w:val="28"/>
          <w:szCs w:val="28"/>
          <w:lang w:val="en-US"/>
        </w:rPr>
        <w:t>Manuscript.</w:t>
      </w:r>
    </w:p>
    <w:p w:rsidR="00AB01BA" w:rsidRDefault="00AB01BA" w:rsidP="00AB01BA">
      <w:pPr>
        <w:spacing w:line="360" w:lineRule="atLeast"/>
        <w:ind w:firstLine="900"/>
        <w:rPr>
          <w:sz w:val="28"/>
          <w:szCs w:val="28"/>
          <w:lang w:val="en-US"/>
        </w:rPr>
      </w:pPr>
      <w:r>
        <w:rPr>
          <w:sz w:val="28"/>
          <w:szCs w:val="28"/>
          <w:lang w:val="en-US"/>
        </w:rPr>
        <w:t xml:space="preserve">The dissertation for the academic degree of Candidate of Medical Sciences in field 14.01.13 – Infectious Diseases. – CD </w:t>
      </w:r>
      <w:r>
        <w:rPr>
          <w:sz w:val="28"/>
          <w:szCs w:val="28"/>
          <w:lang w:val="uk-UA"/>
        </w:rPr>
        <w:t>„</w:t>
      </w:r>
      <w:r>
        <w:rPr>
          <w:sz w:val="28"/>
          <w:szCs w:val="28"/>
          <w:lang w:val="en-US"/>
        </w:rPr>
        <w:t>Institute of Epidemiology and Infectious Diseases named after L.V. Gromashevsky</w:t>
      </w:r>
      <w:r>
        <w:rPr>
          <w:sz w:val="28"/>
          <w:szCs w:val="28"/>
          <w:lang w:val="uk-UA"/>
        </w:rPr>
        <w:t>”</w:t>
      </w:r>
      <w:r>
        <w:rPr>
          <w:sz w:val="28"/>
          <w:szCs w:val="28"/>
          <w:lang w:val="en-US"/>
        </w:rPr>
        <w:t xml:space="preserve"> of Academy of Medical Sciences of Ukraine</w:t>
      </w:r>
      <w:r>
        <w:rPr>
          <w:sz w:val="28"/>
          <w:szCs w:val="28"/>
          <w:lang w:val="uk-UA"/>
        </w:rPr>
        <w:t>. –</w:t>
      </w:r>
      <w:r>
        <w:rPr>
          <w:sz w:val="28"/>
          <w:szCs w:val="28"/>
          <w:lang w:val="en-US"/>
        </w:rPr>
        <w:t xml:space="preserve"> Kyiv, 200</w:t>
      </w:r>
      <w:r>
        <w:rPr>
          <w:sz w:val="28"/>
          <w:szCs w:val="28"/>
          <w:lang w:val="en-GB"/>
        </w:rPr>
        <w:t>8</w:t>
      </w:r>
      <w:r>
        <w:rPr>
          <w:sz w:val="28"/>
          <w:szCs w:val="28"/>
          <w:lang w:val="en-US"/>
        </w:rPr>
        <w:t>.</w:t>
      </w:r>
    </w:p>
    <w:p w:rsidR="00AB01BA" w:rsidRDefault="00AB01BA" w:rsidP="00AB01BA">
      <w:pPr>
        <w:spacing w:line="360" w:lineRule="atLeast"/>
        <w:ind w:firstLine="900"/>
        <w:rPr>
          <w:sz w:val="28"/>
          <w:szCs w:val="28"/>
          <w:lang w:val="en-US"/>
        </w:rPr>
      </w:pPr>
      <w:r>
        <w:rPr>
          <w:sz w:val="28"/>
          <w:szCs w:val="28"/>
          <w:lang w:val="en-US"/>
        </w:rPr>
        <w:t>Condition of clinical, biochemical, immunologic data and interferonogenesis in 82 patients with herpesvirus meningoencephalitis of severe and moderate course in dynamic disease was studied.</w:t>
      </w:r>
    </w:p>
    <w:p w:rsidR="00AB01BA" w:rsidRDefault="00AB01BA" w:rsidP="00AB01BA">
      <w:pPr>
        <w:spacing w:line="360" w:lineRule="atLeast"/>
        <w:rPr>
          <w:sz w:val="28"/>
          <w:szCs w:val="28"/>
          <w:lang w:val="en-US"/>
        </w:rPr>
      </w:pPr>
      <w:r>
        <w:rPr>
          <w:sz w:val="28"/>
          <w:szCs w:val="28"/>
          <w:lang w:val="en-US"/>
        </w:rPr>
        <w:t xml:space="preserve">Performed research showed quantitative and qualitative changes in different parts of immune system dependently from level of severity. </w:t>
      </w:r>
    </w:p>
    <w:p w:rsidR="00AB01BA" w:rsidRDefault="00AB01BA" w:rsidP="00AB01BA">
      <w:pPr>
        <w:spacing w:line="360" w:lineRule="atLeast"/>
        <w:jc w:val="both"/>
        <w:rPr>
          <w:sz w:val="28"/>
          <w:szCs w:val="28"/>
          <w:lang w:val="en-US"/>
        </w:rPr>
      </w:pPr>
      <w:r>
        <w:rPr>
          <w:sz w:val="28"/>
          <w:szCs w:val="28"/>
          <w:lang w:val="en-US"/>
        </w:rPr>
        <w:tab/>
        <w:t xml:space="preserve">Significant decreased quantity CD4+ cell was revealed in patents with severe clinical course in acute period. Significant dependence of interleukins concentration in blood serum and cerebra-spinal liquid of patients with disease severity was proved. More pronounced disturbances observed in acute period of herpesvirus meningoencephalitis. </w:t>
      </w:r>
      <w:r>
        <w:rPr>
          <w:sz w:val="28"/>
          <w:szCs w:val="28"/>
          <w:lang w:val="en-US"/>
        </w:rPr>
        <w:lastRenderedPageBreak/>
        <w:t>Concentration TNF-α was in blood in patients with moderate course. Level of IL-4 and IL-10 more increased in patients with severe course (p&lt;0.05). In recovery period content of these cytokines in blood decreased in all groups but increased in comparison with indexes of control group (p&lt;0.05).</w:t>
      </w:r>
    </w:p>
    <w:p w:rsidR="00AB01BA" w:rsidRDefault="00AB01BA" w:rsidP="00AB01BA">
      <w:pPr>
        <w:spacing w:line="360" w:lineRule="atLeast"/>
        <w:ind w:firstLine="900"/>
        <w:jc w:val="both"/>
        <w:rPr>
          <w:sz w:val="28"/>
          <w:szCs w:val="28"/>
          <w:lang w:val="en-US"/>
        </w:rPr>
      </w:pPr>
      <w:r>
        <w:rPr>
          <w:sz w:val="28"/>
          <w:szCs w:val="28"/>
          <w:lang w:val="en-US"/>
        </w:rPr>
        <w:t xml:space="preserve">Increased level of TNF-α and INF-γ was the most significant in liquor of patient with severe disease course (p&lt;0.05). In acute herpesvirus meningoencephalitis TNF-α and INF-γ synthesized in CNS due to level of these cytokines higher in liquor then in blood serum (p&lt;0.05). </w:t>
      </w:r>
    </w:p>
    <w:p w:rsidR="00AB01BA" w:rsidRDefault="00AB01BA" w:rsidP="00AB01BA">
      <w:pPr>
        <w:spacing w:line="360" w:lineRule="atLeast"/>
        <w:ind w:firstLine="900"/>
        <w:jc w:val="both"/>
        <w:rPr>
          <w:sz w:val="28"/>
          <w:szCs w:val="28"/>
          <w:lang w:val="en-US"/>
        </w:rPr>
      </w:pPr>
      <w:r>
        <w:rPr>
          <w:sz w:val="28"/>
          <w:szCs w:val="28"/>
          <w:lang w:val="en-US"/>
        </w:rPr>
        <w:t>Investigation of cytokines level IL-1, TNF- α, INF- γ, which are produced by Th</w:t>
      </w:r>
      <w:r>
        <w:rPr>
          <w:sz w:val="28"/>
          <w:szCs w:val="28"/>
          <w:lang w:val="uk-UA"/>
        </w:rPr>
        <w:t>-</w:t>
      </w:r>
      <w:r>
        <w:rPr>
          <w:sz w:val="28"/>
          <w:szCs w:val="28"/>
          <w:lang w:val="en-US"/>
        </w:rPr>
        <w:t>1 lymphocytes and natural antagonists IL-4, IL-10 synthesized by Th</w:t>
      </w:r>
      <w:r>
        <w:rPr>
          <w:sz w:val="28"/>
          <w:szCs w:val="28"/>
          <w:lang w:val="uk-UA"/>
        </w:rPr>
        <w:t>-</w:t>
      </w:r>
      <w:r>
        <w:rPr>
          <w:sz w:val="28"/>
          <w:szCs w:val="28"/>
          <w:lang w:val="en-US"/>
        </w:rPr>
        <w:t xml:space="preserve">2 lymphocytes showed prevalence of anti-inflammatory cytokines (macrophage’s and monocyte’s origin) under regulatory cytokines. </w:t>
      </w:r>
    </w:p>
    <w:p w:rsidR="00AB01BA" w:rsidRDefault="00AB01BA" w:rsidP="00AB01BA">
      <w:pPr>
        <w:spacing w:line="360" w:lineRule="atLeast"/>
        <w:ind w:firstLine="900"/>
        <w:jc w:val="both"/>
        <w:rPr>
          <w:sz w:val="28"/>
          <w:szCs w:val="28"/>
          <w:lang w:val="en-US"/>
        </w:rPr>
      </w:pPr>
      <w:r>
        <w:rPr>
          <w:sz w:val="28"/>
          <w:szCs w:val="28"/>
          <w:lang w:val="en-US"/>
        </w:rPr>
        <w:t>Results of condition of immune response and interferonogenesis can be use as prognostic criteria of course in case of herpesvirus lesion of CNS.</w:t>
      </w:r>
    </w:p>
    <w:p w:rsidR="00AB01BA" w:rsidRDefault="00AB01BA" w:rsidP="00AB01BA">
      <w:pPr>
        <w:spacing w:line="360" w:lineRule="atLeast"/>
        <w:ind w:firstLine="900"/>
        <w:jc w:val="both"/>
        <w:rPr>
          <w:sz w:val="28"/>
          <w:szCs w:val="28"/>
          <w:lang w:val="en-US"/>
        </w:rPr>
      </w:pPr>
      <w:r>
        <w:rPr>
          <w:sz w:val="28"/>
          <w:szCs w:val="28"/>
          <w:lang w:val="en-US"/>
        </w:rPr>
        <w:t xml:space="preserve">Therapeutic efficacy and influence on immune response indexes medication Amixin IC in application in complex treatment of patients with moderate course of herpesvirus meningoencephalitis was estimated. </w:t>
      </w:r>
    </w:p>
    <w:p w:rsidR="00AB01BA" w:rsidRDefault="00AB01BA" w:rsidP="00AB01BA">
      <w:pPr>
        <w:pStyle w:val="affffffffc"/>
        <w:spacing w:line="360" w:lineRule="atLeast"/>
        <w:ind w:firstLine="900"/>
        <w:rPr>
          <w:lang w:val="uk-UA"/>
        </w:rPr>
      </w:pPr>
      <w:r>
        <w:rPr>
          <w:b/>
          <w:bCs/>
          <w:szCs w:val="28"/>
          <w:lang w:val="en-US"/>
        </w:rPr>
        <w:t>Key words:</w:t>
      </w:r>
      <w:r>
        <w:rPr>
          <w:lang w:val="en-US"/>
        </w:rPr>
        <w:t xml:space="preserve"> </w:t>
      </w:r>
      <w:r>
        <w:rPr>
          <w:szCs w:val="28"/>
          <w:lang w:val="en-US"/>
        </w:rPr>
        <w:t>herpes viral infection, meningoencephalitis, immune responses, cytokines, amiksin.</w:t>
      </w:r>
    </w:p>
    <w:p w:rsidR="00AB01BA" w:rsidRDefault="00AB01BA" w:rsidP="00AB01BA">
      <w:pPr>
        <w:pStyle w:val="affffffff8"/>
        <w:tabs>
          <w:tab w:val="clear" w:pos="4677"/>
          <w:tab w:val="clear" w:pos="9355"/>
          <w:tab w:val="center" w:pos="0"/>
          <w:tab w:val="right" w:pos="9180"/>
        </w:tabs>
        <w:ind w:firstLine="900"/>
        <w:jc w:val="center"/>
        <w:rPr>
          <w:b/>
          <w:bCs/>
          <w:lang w:val="uk-UA"/>
        </w:rPr>
      </w:pPr>
      <w:r>
        <w:rPr>
          <w:b/>
          <w:bCs/>
          <w:lang w:val="uk-UA"/>
        </w:rPr>
        <w:br w:type="page"/>
      </w:r>
      <w:r>
        <w:rPr>
          <w:b/>
          <w:bCs/>
          <w:lang w:val="uk-UA"/>
        </w:rPr>
        <w:lastRenderedPageBreak/>
        <w:t>ПЕРЕЛІК УМОВНИХ СКОРОЧЕНЬ</w:t>
      </w:r>
    </w:p>
    <w:p w:rsidR="00AB01BA" w:rsidRDefault="00AB01BA" w:rsidP="00AB01BA">
      <w:pPr>
        <w:spacing w:line="360" w:lineRule="auto"/>
        <w:ind w:firstLine="708"/>
        <w:jc w:val="both"/>
        <w:rPr>
          <w:color w:val="000000"/>
          <w:sz w:val="28"/>
          <w:szCs w:val="28"/>
          <w:lang w:val="uk-UA"/>
        </w:rPr>
      </w:pPr>
    </w:p>
    <w:p w:rsidR="00AB01BA" w:rsidRDefault="00AB01BA" w:rsidP="00AB01BA">
      <w:pPr>
        <w:spacing w:line="360" w:lineRule="auto"/>
        <w:ind w:firstLine="900"/>
        <w:jc w:val="both"/>
        <w:rPr>
          <w:color w:val="000000"/>
          <w:sz w:val="28"/>
          <w:szCs w:val="28"/>
          <w:lang w:val="uk-UA"/>
        </w:rPr>
      </w:pPr>
      <w:r>
        <w:rPr>
          <w:color w:val="000000"/>
          <w:sz w:val="28"/>
          <w:szCs w:val="28"/>
          <w:lang w:val="uk-UA"/>
        </w:rPr>
        <w:t>ВЗВ</w:t>
      </w:r>
      <w:r>
        <w:rPr>
          <w:color w:val="000000"/>
          <w:sz w:val="28"/>
          <w:szCs w:val="28"/>
          <w:lang w:val="uk-UA"/>
        </w:rPr>
        <w:tab/>
      </w:r>
      <w:r>
        <w:rPr>
          <w:color w:val="000000"/>
          <w:sz w:val="28"/>
          <w:szCs w:val="28"/>
          <w:lang w:val="uk-UA"/>
        </w:rPr>
        <w:tab/>
        <w:t xml:space="preserve"> – вірус варицела-зостер</w:t>
      </w:r>
    </w:p>
    <w:p w:rsidR="00AB01BA" w:rsidRDefault="00AB01BA" w:rsidP="00AB01BA">
      <w:pPr>
        <w:spacing w:line="360" w:lineRule="auto"/>
        <w:ind w:firstLine="900"/>
        <w:jc w:val="both"/>
        <w:rPr>
          <w:color w:val="000000"/>
          <w:sz w:val="28"/>
          <w:szCs w:val="28"/>
          <w:lang w:val="uk-UA"/>
        </w:rPr>
      </w:pPr>
      <w:r>
        <w:rPr>
          <w:color w:val="000000"/>
          <w:sz w:val="28"/>
          <w:szCs w:val="28"/>
          <w:lang w:val="uk-UA"/>
        </w:rPr>
        <w:t>ВПГ</w:t>
      </w:r>
      <w:r>
        <w:rPr>
          <w:color w:val="000000"/>
          <w:sz w:val="28"/>
          <w:szCs w:val="28"/>
          <w:lang w:val="uk-UA"/>
        </w:rPr>
        <w:tab/>
        <w:t xml:space="preserve"> – вірус простого герпесу</w:t>
      </w:r>
    </w:p>
    <w:p w:rsidR="00AB01BA" w:rsidRDefault="00AB01BA" w:rsidP="00AB01BA">
      <w:pPr>
        <w:spacing w:line="360" w:lineRule="auto"/>
        <w:ind w:firstLine="900"/>
        <w:jc w:val="both"/>
        <w:rPr>
          <w:color w:val="000000"/>
          <w:sz w:val="28"/>
          <w:szCs w:val="28"/>
          <w:lang w:val="uk-UA"/>
        </w:rPr>
      </w:pPr>
      <w:r>
        <w:rPr>
          <w:color w:val="000000"/>
          <w:sz w:val="28"/>
          <w:szCs w:val="28"/>
          <w:lang w:val="uk-UA"/>
        </w:rPr>
        <w:t>ВЕБ</w:t>
      </w:r>
      <w:r>
        <w:rPr>
          <w:color w:val="000000"/>
          <w:sz w:val="28"/>
          <w:szCs w:val="28"/>
          <w:lang w:val="uk-UA"/>
        </w:rPr>
        <w:tab/>
        <w:t xml:space="preserve"> – вірус Епштейна-Барр</w:t>
      </w:r>
    </w:p>
    <w:p w:rsidR="00AB01BA" w:rsidRDefault="00AB01BA" w:rsidP="00AB01BA">
      <w:pPr>
        <w:spacing w:line="360" w:lineRule="auto"/>
        <w:ind w:firstLine="900"/>
        <w:jc w:val="both"/>
        <w:rPr>
          <w:color w:val="000000"/>
          <w:sz w:val="28"/>
          <w:szCs w:val="28"/>
          <w:lang w:val="uk-UA"/>
        </w:rPr>
      </w:pPr>
      <w:r>
        <w:rPr>
          <w:color w:val="000000"/>
          <w:sz w:val="28"/>
          <w:szCs w:val="28"/>
          <w:lang w:val="uk-UA"/>
        </w:rPr>
        <w:t xml:space="preserve">ГГМЕ </w:t>
      </w:r>
      <w:r>
        <w:rPr>
          <w:color w:val="000000"/>
          <w:sz w:val="28"/>
          <w:szCs w:val="28"/>
          <w:lang w:val="uk-UA"/>
        </w:rPr>
        <w:tab/>
        <w:t>– гострий герпесвірусний менінгоенцефаліт</w:t>
      </w:r>
    </w:p>
    <w:p w:rsidR="00AB01BA" w:rsidRDefault="00AB01BA" w:rsidP="00AB01BA">
      <w:pPr>
        <w:spacing w:line="360" w:lineRule="auto"/>
        <w:ind w:firstLine="900"/>
        <w:jc w:val="both"/>
        <w:rPr>
          <w:color w:val="000000"/>
          <w:sz w:val="28"/>
          <w:szCs w:val="28"/>
          <w:lang w:val="uk-UA"/>
        </w:rPr>
      </w:pPr>
      <w:r>
        <w:rPr>
          <w:color w:val="000000"/>
          <w:sz w:val="28"/>
          <w:szCs w:val="28"/>
          <w:lang w:val="uk-UA"/>
        </w:rPr>
        <w:t>ДНК</w:t>
      </w:r>
      <w:r>
        <w:rPr>
          <w:color w:val="000000"/>
          <w:sz w:val="28"/>
          <w:szCs w:val="28"/>
          <w:lang w:val="uk-UA"/>
        </w:rPr>
        <w:tab/>
        <w:t xml:space="preserve"> – дезоксирибонуклеїнова кислота </w:t>
      </w:r>
    </w:p>
    <w:p w:rsidR="00AB01BA" w:rsidRDefault="00AB01BA" w:rsidP="00AB01BA">
      <w:pPr>
        <w:spacing w:line="360" w:lineRule="auto"/>
        <w:ind w:firstLine="900"/>
        <w:jc w:val="both"/>
        <w:rPr>
          <w:color w:val="000000"/>
          <w:sz w:val="28"/>
          <w:szCs w:val="28"/>
          <w:lang w:val="en-US"/>
        </w:rPr>
      </w:pPr>
      <w:r>
        <w:rPr>
          <w:color w:val="000000"/>
          <w:sz w:val="28"/>
          <w:szCs w:val="28"/>
          <w:lang w:val="uk-UA"/>
        </w:rPr>
        <w:t>ІФА</w:t>
      </w:r>
      <w:r>
        <w:rPr>
          <w:color w:val="000000"/>
          <w:sz w:val="28"/>
          <w:szCs w:val="28"/>
          <w:lang w:val="uk-UA"/>
        </w:rPr>
        <w:tab/>
        <w:t xml:space="preserve"> – імуноферментний аналіз</w:t>
      </w:r>
    </w:p>
    <w:p w:rsidR="00AB01BA" w:rsidRDefault="00AB01BA" w:rsidP="00AB01BA">
      <w:pPr>
        <w:spacing w:line="360" w:lineRule="auto"/>
        <w:ind w:firstLine="900"/>
        <w:jc w:val="both"/>
        <w:rPr>
          <w:color w:val="000000"/>
          <w:sz w:val="28"/>
          <w:szCs w:val="28"/>
          <w:lang w:val="uk-UA"/>
        </w:rPr>
      </w:pPr>
      <w:r>
        <w:rPr>
          <w:color w:val="000000"/>
          <w:sz w:val="28"/>
          <w:szCs w:val="28"/>
          <w:lang w:val="uk-UA"/>
        </w:rPr>
        <w:t>МКА</w:t>
      </w:r>
      <w:r>
        <w:rPr>
          <w:color w:val="000000"/>
          <w:sz w:val="28"/>
          <w:szCs w:val="28"/>
          <w:lang w:val="uk-UA"/>
        </w:rPr>
        <w:tab/>
        <w:t xml:space="preserve"> – моноклональні антитіла </w:t>
      </w:r>
    </w:p>
    <w:p w:rsidR="00AB01BA" w:rsidRDefault="00AB01BA" w:rsidP="00AB01BA">
      <w:pPr>
        <w:spacing w:line="360" w:lineRule="auto"/>
        <w:ind w:firstLine="900"/>
        <w:jc w:val="both"/>
        <w:rPr>
          <w:color w:val="000000"/>
          <w:sz w:val="28"/>
          <w:szCs w:val="28"/>
          <w:lang w:val="uk-UA"/>
        </w:rPr>
      </w:pPr>
      <w:r>
        <w:rPr>
          <w:color w:val="000000"/>
          <w:sz w:val="28"/>
          <w:szCs w:val="28"/>
          <w:lang w:val="uk-UA"/>
        </w:rPr>
        <w:t>ПЛР</w:t>
      </w:r>
      <w:r>
        <w:rPr>
          <w:color w:val="000000"/>
          <w:sz w:val="28"/>
          <w:szCs w:val="28"/>
          <w:lang w:val="uk-UA"/>
        </w:rPr>
        <w:tab/>
        <w:t xml:space="preserve"> – полімеразно-ланцюгова реакція </w:t>
      </w:r>
    </w:p>
    <w:p w:rsidR="00AB01BA" w:rsidRDefault="00AB01BA" w:rsidP="00AB01BA">
      <w:pPr>
        <w:spacing w:line="360" w:lineRule="auto"/>
        <w:ind w:firstLine="900"/>
        <w:jc w:val="both"/>
        <w:rPr>
          <w:color w:val="000000"/>
          <w:sz w:val="28"/>
          <w:szCs w:val="28"/>
          <w:lang w:val="uk-UA"/>
        </w:rPr>
      </w:pPr>
      <w:r>
        <w:rPr>
          <w:color w:val="000000"/>
          <w:sz w:val="28"/>
          <w:szCs w:val="28"/>
          <w:lang w:val="uk-UA"/>
        </w:rPr>
        <w:t>СЯН</w:t>
      </w:r>
      <w:r>
        <w:rPr>
          <w:color w:val="000000"/>
          <w:sz w:val="28"/>
          <w:szCs w:val="28"/>
          <w:lang w:val="uk-UA"/>
        </w:rPr>
        <w:tab/>
        <w:t xml:space="preserve"> – сегментоядерні нейтрофіли</w:t>
      </w:r>
    </w:p>
    <w:p w:rsidR="00AB01BA" w:rsidRDefault="00AB01BA" w:rsidP="00AB01BA">
      <w:pPr>
        <w:spacing w:line="360" w:lineRule="auto"/>
        <w:ind w:firstLine="900"/>
        <w:jc w:val="both"/>
        <w:rPr>
          <w:color w:val="000000"/>
          <w:sz w:val="28"/>
          <w:szCs w:val="28"/>
          <w:lang w:val="uk-UA"/>
        </w:rPr>
      </w:pPr>
      <w:r>
        <w:rPr>
          <w:color w:val="000000"/>
          <w:sz w:val="28"/>
          <w:szCs w:val="28"/>
          <w:lang w:val="uk-UA"/>
        </w:rPr>
        <w:t>ЦМВ</w:t>
      </w:r>
      <w:r>
        <w:rPr>
          <w:color w:val="000000"/>
          <w:sz w:val="28"/>
          <w:szCs w:val="28"/>
          <w:lang w:val="uk-UA"/>
        </w:rPr>
        <w:tab/>
        <w:t xml:space="preserve"> – цитомегаловірус</w:t>
      </w:r>
    </w:p>
    <w:p w:rsidR="00AB01BA" w:rsidRDefault="00AB01BA" w:rsidP="00AB01BA">
      <w:pPr>
        <w:spacing w:line="360" w:lineRule="auto"/>
        <w:ind w:firstLine="900"/>
        <w:jc w:val="both"/>
        <w:rPr>
          <w:color w:val="000000"/>
          <w:sz w:val="28"/>
          <w:szCs w:val="28"/>
          <w:lang w:val="uk-UA"/>
        </w:rPr>
      </w:pPr>
      <w:r>
        <w:rPr>
          <w:color w:val="000000"/>
          <w:sz w:val="28"/>
          <w:szCs w:val="28"/>
          <w:lang w:val="uk-UA"/>
        </w:rPr>
        <w:t>ЦІК</w:t>
      </w:r>
      <w:r>
        <w:rPr>
          <w:color w:val="000000"/>
          <w:sz w:val="28"/>
          <w:szCs w:val="28"/>
          <w:lang w:val="uk-UA"/>
        </w:rPr>
        <w:tab/>
      </w:r>
      <w:r>
        <w:rPr>
          <w:color w:val="000000"/>
          <w:sz w:val="28"/>
          <w:szCs w:val="28"/>
          <w:lang w:val="uk-UA"/>
        </w:rPr>
        <w:tab/>
        <w:t xml:space="preserve"> – циркулюючі імунні комплекси</w:t>
      </w:r>
    </w:p>
    <w:p w:rsidR="00AB01BA" w:rsidRDefault="00AB01BA" w:rsidP="00AB01BA">
      <w:pPr>
        <w:spacing w:line="360" w:lineRule="auto"/>
        <w:ind w:firstLine="900"/>
        <w:jc w:val="both"/>
        <w:rPr>
          <w:color w:val="000000"/>
          <w:sz w:val="28"/>
          <w:szCs w:val="28"/>
          <w:lang w:val="uk-UA"/>
        </w:rPr>
      </w:pPr>
      <w:r>
        <w:rPr>
          <w:color w:val="000000"/>
          <w:sz w:val="28"/>
          <w:szCs w:val="28"/>
          <w:lang w:val="it-IT"/>
        </w:rPr>
        <w:t>Ig</w:t>
      </w:r>
      <w:r>
        <w:rPr>
          <w:color w:val="000000"/>
          <w:sz w:val="28"/>
          <w:szCs w:val="28"/>
          <w:lang w:val="uk-UA"/>
        </w:rPr>
        <w:tab/>
      </w:r>
      <w:r>
        <w:rPr>
          <w:color w:val="000000"/>
          <w:sz w:val="28"/>
          <w:szCs w:val="28"/>
          <w:lang w:val="uk-UA"/>
        </w:rPr>
        <w:tab/>
        <w:t xml:space="preserve"> – імуноглобулін</w:t>
      </w:r>
    </w:p>
    <w:p w:rsidR="00AB01BA" w:rsidRDefault="00AB01BA" w:rsidP="00AB01BA">
      <w:pPr>
        <w:spacing w:line="360" w:lineRule="auto"/>
        <w:ind w:firstLine="900"/>
        <w:jc w:val="both"/>
        <w:rPr>
          <w:color w:val="000000"/>
          <w:sz w:val="28"/>
          <w:szCs w:val="28"/>
          <w:lang w:val="uk-UA"/>
        </w:rPr>
      </w:pPr>
      <w:r>
        <w:rPr>
          <w:color w:val="000000"/>
          <w:sz w:val="28"/>
          <w:szCs w:val="28"/>
          <w:lang w:val="it-IT"/>
        </w:rPr>
        <w:t>INF</w:t>
      </w:r>
      <w:r>
        <w:rPr>
          <w:color w:val="000000"/>
          <w:sz w:val="28"/>
          <w:szCs w:val="28"/>
          <w:lang w:val="uk-UA"/>
        </w:rPr>
        <w:t>-</w:t>
      </w:r>
      <w:r>
        <w:rPr>
          <w:color w:val="000000"/>
          <w:sz w:val="28"/>
          <w:szCs w:val="28"/>
          <w:lang w:val="it-IT"/>
        </w:rPr>
        <w:t>γ</w:t>
      </w:r>
      <w:r>
        <w:rPr>
          <w:color w:val="000000"/>
          <w:sz w:val="28"/>
          <w:szCs w:val="28"/>
          <w:lang w:val="uk-UA"/>
        </w:rPr>
        <w:tab/>
        <w:t xml:space="preserve"> – інтерферон-</w:t>
      </w:r>
      <w:r>
        <w:rPr>
          <w:color w:val="000000"/>
          <w:sz w:val="28"/>
          <w:szCs w:val="28"/>
          <w:lang w:val="it-IT"/>
        </w:rPr>
        <w:t>γ</w:t>
      </w:r>
      <w:r>
        <w:rPr>
          <w:color w:val="000000"/>
          <w:sz w:val="28"/>
          <w:szCs w:val="28"/>
          <w:lang w:val="uk-UA"/>
        </w:rPr>
        <w:t xml:space="preserve"> </w:t>
      </w:r>
    </w:p>
    <w:p w:rsidR="00AB01BA" w:rsidRDefault="00AB01BA" w:rsidP="00AB01BA">
      <w:pPr>
        <w:spacing w:line="360" w:lineRule="auto"/>
        <w:ind w:firstLine="900"/>
        <w:jc w:val="both"/>
        <w:rPr>
          <w:color w:val="000000"/>
          <w:sz w:val="28"/>
          <w:szCs w:val="28"/>
          <w:lang w:val="uk-UA"/>
        </w:rPr>
      </w:pPr>
      <w:r>
        <w:rPr>
          <w:color w:val="000000"/>
          <w:sz w:val="28"/>
          <w:szCs w:val="28"/>
          <w:lang w:val="it-IT"/>
        </w:rPr>
        <w:t>IL</w:t>
      </w:r>
      <w:r>
        <w:rPr>
          <w:color w:val="000000"/>
          <w:sz w:val="28"/>
          <w:szCs w:val="28"/>
          <w:lang w:val="uk-UA"/>
        </w:rPr>
        <w:tab/>
      </w:r>
      <w:r>
        <w:rPr>
          <w:color w:val="000000"/>
          <w:sz w:val="28"/>
          <w:szCs w:val="28"/>
          <w:lang w:val="uk-UA"/>
        </w:rPr>
        <w:tab/>
        <w:t xml:space="preserve"> – інтерлейкін</w:t>
      </w:r>
    </w:p>
    <w:p w:rsidR="00AB01BA" w:rsidRDefault="00AB01BA" w:rsidP="00AB01BA">
      <w:pPr>
        <w:spacing w:line="360" w:lineRule="auto"/>
        <w:ind w:firstLine="900"/>
        <w:jc w:val="both"/>
        <w:rPr>
          <w:color w:val="000000"/>
          <w:sz w:val="28"/>
          <w:szCs w:val="28"/>
          <w:lang w:val="uk-UA"/>
        </w:rPr>
      </w:pPr>
      <w:r>
        <w:rPr>
          <w:color w:val="000000"/>
          <w:sz w:val="28"/>
          <w:szCs w:val="28"/>
          <w:lang w:val="uk-UA"/>
        </w:rPr>
        <w:t xml:space="preserve">М ± </w:t>
      </w:r>
      <w:r>
        <w:rPr>
          <w:color w:val="000000"/>
          <w:sz w:val="28"/>
          <w:szCs w:val="28"/>
          <w:lang w:val="it-IT"/>
        </w:rPr>
        <w:t>m</w:t>
      </w:r>
      <w:r>
        <w:rPr>
          <w:color w:val="000000"/>
          <w:sz w:val="28"/>
          <w:szCs w:val="28"/>
        </w:rPr>
        <w:tab/>
      </w:r>
      <w:r>
        <w:rPr>
          <w:color w:val="000000"/>
          <w:sz w:val="28"/>
          <w:szCs w:val="28"/>
          <w:lang w:val="uk-UA"/>
        </w:rPr>
        <w:t xml:space="preserve"> – середнє значення ± помилка</w:t>
      </w:r>
    </w:p>
    <w:p w:rsidR="00AB01BA" w:rsidRDefault="00AB01BA" w:rsidP="00AB01BA">
      <w:pPr>
        <w:spacing w:line="360" w:lineRule="auto"/>
        <w:ind w:firstLine="900"/>
        <w:jc w:val="both"/>
        <w:rPr>
          <w:color w:val="000000"/>
          <w:sz w:val="28"/>
          <w:szCs w:val="28"/>
          <w:lang w:val="uk-UA"/>
        </w:rPr>
      </w:pPr>
      <w:r>
        <w:rPr>
          <w:color w:val="000000"/>
          <w:sz w:val="28"/>
          <w:szCs w:val="28"/>
          <w:lang w:val="it-IT"/>
        </w:rPr>
        <w:t>TNF</w:t>
      </w:r>
      <w:r>
        <w:rPr>
          <w:color w:val="000000"/>
          <w:sz w:val="28"/>
          <w:szCs w:val="28"/>
          <w:lang w:val="uk-UA"/>
        </w:rPr>
        <w:t>-</w:t>
      </w:r>
      <w:r>
        <w:rPr>
          <w:color w:val="000000"/>
          <w:sz w:val="28"/>
          <w:szCs w:val="28"/>
          <w:lang w:val="it-IT"/>
        </w:rPr>
        <w:t>α</w:t>
      </w:r>
      <w:r>
        <w:rPr>
          <w:color w:val="000000"/>
          <w:sz w:val="28"/>
          <w:szCs w:val="28"/>
        </w:rPr>
        <w:tab/>
      </w:r>
      <w:r>
        <w:rPr>
          <w:color w:val="000000"/>
          <w:sz w:val="28"/>
          <w:szCs w:val="28"/>
          <w:lang w:val="uk-UA"/>
        </w:rPr>
        <w:t xml:space="preserve"> – фактор некрозу пухлини-</w:t>
      </w:r>
      <w:r>
        <w:rPr>
          <w:color w:val="000000"/>
          <w:sz w:val="28"/>
          <w:szCs w:val="28"/>
          <w:lang w:val="it-IT"/>
        </w:rPr>
        <w:t>α</w:t>
      </w:r>
    </w:p>
    <w:p w:rsidR="0068362D" w:rsidRPr="00031E5A" w:rsidRDefault="0068362D" w:rsidP="00C0438A">
      <w:pPr>
        <w:jc w:val="center"/>
      </w:pPr>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35" w:rsidRDefault="00542D35">
      <w:r>
        <w:separator/>
      </w:r>
    </w:p>
  </w:endnote>
  <w:endnote w:type="continuationSeparator" w:id="0">
    <w:p w:rsidR="00542D35" w:rsidRDefault="0054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35" w:rsidRDefault="00542D35">
      <w:r>
        <w:separator/>
      </w:r>
    </w:p>
  </w:footnote>
  <w:footnote w:type="continuationSeparator" w:id="0">
    <w:p w:rsidR="00542D35" w:rsidRDefault="00542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C870D9C"/>
    <w:multiLevelType w:val="hybridMultilevel"/>
    <w:tmpl w:val="864478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4F58161B"/>
    <w:multiLevelType w:val="hybridMultilevel"/>
    <w:tmpl w:val="578C12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E547782"/>
    <w:multiLevelType w:val="hybridMultilevel"/>
    <w:tmpl w:val="F8F2EF32"/>
    <w:lvl w:ilvl="0" w:tplc="DBA276EC">
      <w:start w:val="1"/>
      <w:numFmt w:val="decimal"/>
      <w:lvlText w:val="%1."/>
      <w:lvlJc w:val="left"/>
      <w:pPr>
        <w:tabs>
          <w:tab w:val="num" w:pos="1755"/>
        </w:tabs>
        <w:ind w:left="1755" w:hanging="1035"/>
      </w:pPr>
      <w:rPr>
        <w:rFonts w:hint="default"/>
        <w:b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8"/>
  </w:num>
  <w:num w:numId="50">
    <w:abstractNumId w:val="47"/>
  </w:num>
  <w:num w:numId="51">
    <w:abstractNumId w:val="63"/>
  </w:num>
  <w:num w:numId="52">
    <w:abstractNumId w:val="52"/>
  </w:num>
  <w:num w:numId="53">
    <w:abstractNumId w:val="48"/>
  </w:num>
  <w:num w:numId="54">
    <w:abstractNumId w:val="54"/>
  </w:num>
  <w:num w:numId="55">
    <w:abstractNumId w:val="46"/>
  </w:num>
  <w:num w:numId="56">
    <w:abstractNumId w:val="44"/>
  </w:num>
  <w:num w:numId="57">
    <w:abstractNumId w:val="64"/>
  </w:num>
  <w:num w:numId="58">
    <w:abstractNumId w:val="58"/>
  </w:num>
  <w:num w:numId="59">
    <w:abstractNumId w:val="61"/>
  </w:num>
  <w:num w:numId="60">
    <w:abstractNumId w:val="67"/>
  </w:num>
  <w:num w:numId="61">
    <w:abstractNumId w:val="53"/>
  </w:num>
  <w:num w:numId="62">
    <w:abstractNumId w:val="69"/>
  </w:num>
  <w:num w:numId="63">
    <w:abstractNumId w:val="45"/>
  </w:num>
  <w:num w:numId="64">
    <w:abstractNumId w:val="62"/>
  </w:num>
  <w:num w:numId="65">
    <w:abstractNumId w:val="65"/>
  </w:num>
  <w:num w:numId="66">
    <w:abstractNumId w:val="6"/>
  </w:num>
  <w:num w:numId="67">
    <w:abstractNumId w:val="60"/>
  </w:num>
  <w:num w:numId="68">
    <w:abstractNumId w:val="59"/>
  </w:num>
  <w:num w:numId="69">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5"/>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876"/>
    <w:rsid w:val="00937AFD"/>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064C-3AEC-425F-B0A1-0FC646FF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5807</TotalTime>
  <Pages>24</Pages>
  <Words>8219</Words>
  <Characters>46852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1146</cp:revision>
  <cp:lastPrinted>2009-02-06T08:36:00Z</cp:lastPrinted>
  <dcterms:created xsi:type="dcterms:W3CDTF">2015-03-22T11:10:00Z</dcterms:created>
  <dcterms:modified xsi:type="dcterms:W3CDTF">2015-09-09T06:14:00Z</dcterms:modified>
</cp:coreProperties>
</file>