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CF5A29" w:rsidRPr="005E4A73" w:rsidRDefault="00CF5A29" w:rsidP="00CF5A29">
      <w:pPr>
        <w:spacing w:line="360" w:lineRule="auto"/>
        <w:jc w:val="center"/>
        <w:rPr>
          <w:b/>
        </w:rPr>
      </w:pPr>
      <w:bookmarkStart w:id="0" w:name="_Hlt522973996"/>
      <w:bookmarkEnd w:id="0"/>
      <w:r w:rsidRPr="005E4A73">
        <w:rPr>
          <w:b/>
        </w:rPr>
        <w:t>Державна установа</w:t>
      </w:r>
    </w:p>
    <w:p w:rsidR="00CF5A29" w:rsidRPr="005E4A73" w:rsidRDefault="00CF5A29" w:rsidP="00CF5A29">
      <w:pPr>
        <w:spacing w:line="360" w:lineRule="auto"/>
        <w:jc w:val="center"/>
        <w:rPr>
          <w:b/>
        </w:rPr>
      </w:pPr>
      <w:r>
        <w:rPr>
          <w:b/>
        </w:rPr>
        <w:t>“Національний і</w:t>
      </w:r>
      <w:r w:rsidRPr="005E4A73">
        <w:rPr>
          <w:b/>
        </w:rPr>
        <w:t>нститут раку ”</w:t>
      </w:r>
    </w:p>
    <w:p w:rsidR="00CF5A29" w:rsidRPr="005E4A73" w:rsidRDefault="00CF5A29" w:rsidP="00CF5A29">
      <w:pPr>
        <w:spacing w:line="360" w:lineRule="auto"/>
        <w:jc w:val="center"/>
        <w:rPr>
          <w:b/>
          <w:bCs/>
        </w:rPr>
      </w:pPr>
    </w:p>
    <w:p w:rsidR="00CF5A29" w:rsidRPr="005E4A73" w:rsidRDefault="00CF5A29" w:rsidP="00CF5A29">
      <w:pPr>
        <w:spacing w:line="360" w:lineRule="auto"/>
        <w:jc w:val="center"/>
        <w:rPr>
          <w:b/>
          <w:bCs/>
        </w:rPr>
      </w:pPr>
    </w:p>
    <w:p w:rsidR="00CF5A29" w:rsidRPr="005E4A73" w:rsidRDefault="00CF5A29" w:rsidP="00CF5A29">
      <w:pPr>
        <w:spacing w:line="360" w:lineRule="auto"/>
        <w:jc w:val="center"/>
        <w:rPr>
          <w:b/>
          <w:bCs/>
        </w:rPr>
      </w:pPr>
    </w:p>
    <w:p w:rsidR="00CF5A29" w:rsidRPr="005E4A73" w:rsidRDefault="00CF5A29" w:rsidP="00CF5A29">
      <w:pPr>
        <w:pStyle w:val="15"/>
        <w:spacing w:line="360" w:lineRule="auto"/>
        <w:rPr>
          <w:sz w:val="24"/>
        </w:rPr>
      </w:pPr>
      <w:r w:rsidRPr="005E4A73">
        <w:rPr>
          <w:sz w:val="24"/>
        </w:rPr>
        <w:t>ГЕРАСИМОВА ЛЮБОВ МИХАЙЛІВНА</w:t>
      </w:r>
    </w:p>
    <w:p w:rsidR="00CF5A29" w:rsidRPr="005E4A73" w:rsidRDefault="00CF5A29" w:rsidP="00CF5A29">
      <w:pPr>
        <w:spacing w:line="360" w:lineRule="auto"/>
        <w:jc w:val="center"/>
      </w:pPr>
    </w:p>
    <w:p w:rsidR="00CF5A29" w:rsidRPr="005E4A73" w:rsidRDefault="00CF5A29" w:rsidP="00CF5A29">
      <w:pPr>
        <w:spacing w:line="360" w:lineRule="auto"/>
        <w:jc w:val="center"/>
      </w:pPr>
    </w:p>
    <w:p w:rsidR="00CF5A29" w:rsidRPr="005E4A73" w:rsidRDefault="00CF5A29" w:rsidP="00CF5A29">
      <w:pPr>
        <w:spacing w:line="360" w:lineRule="auto"/>
        <w:jc w:val="center"/>
      </w:pPr>
    </w:p>
    <w:p w:rsidR="00CF5A29" w:rsidRPr="005E4A73" w:rsidRDefault="00CF5A29" w:rsidP="00CF5A29">
      <w:pPr>
        <w:spacing w:line="360" w:lineRule="auto"/>
        <w:jc w:val="center"/>
      </w:pPr>
    </w:p>
    <w:p w:rsidR="00CF5A29" w:rsidRPr="005E4A73" w:rsidRDefault="00CF5A29" w:rsidP="00CF5A29">
      <w:pPr>
        <w:pStyle w:val="af4"/>
        <w:spacing w:line="360" w:lineRule="auto"/>
        <w:jc w:val="right"/>
        <w:rPr>
          <w:bCs/>
          <w:sz w:val="24"/>
          <w:lang w:val="uk-UA"/>
        </w:rPr>
      </w:pPr>
      <w:r w:rsidRPr="005E4A73">
        <w:rPr>
          <w:bCs/>
          <w:sz w:val="24"/>
          <w:lang w:val="uk-UA"/>
        </w:rPr>
        <w:t>УДК 616.33 – 006. 6 – 037</w:t>
      </w: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
          <w:sz w:val="24"/>
          <w:lang w:val="uk-UA"/>
        </w:rPr>
      </w:pPr>
      <w:r w:rsidRPr="005E4A73">
        <w:rPr>
          <w:b/>
          <w:sz w:val="24"/>
          <w:lang w:val="uk-UA"/>
        </w:rPr>
        <w:t>ОЦІНКА ФАКТОРІВ РИЗИКУ РАКУ ШЛУНКА В СИСТЕМІ СКРИНІНГУ</w:t>
      </w:r>
    </w:p>
    <w:p w:rsidR="00CF5A29" w:rsidRPr="005E4A73" w:rsidRDefault="00CF5A29" w:rsidP="00CF5A29">
      <w:pPr>
        <w:pStyle w:val="af4"/>
        <w:spacing w:line="360" w:lineRule="auto"/>
        <w:jc w:val="center"/>
        <w:rPr>
          <w:sz w:val="24"/>
          <w:lang w:val="uk-UA"/>
        </w:rPr>
      </w:pPr>
      <w:r w:rsidRPr="005E4A73">
        <w:rPr>
          <w:sz w:val="24"/>
          <w:lang w:val="uk-UA"/>
        </w:rPr>
        <w:t>Онкологія ─ 14.01.07</w:t>
      </w: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r w:rsidRPr="005E4A73">
        <w:rPr>
          <w:b/>
          <w:sz w:val="24"/>
          <w:lang w:val="uk-UA"/>
        </w:rPr>
        <w:t>АВТОРЕФЕРАТ</w:t>
      </w:r>
    </w:p>
    <w:p w:rsidR="00CF5A29" w:rsidRPr="005E4A73" w:rsidRDefault="00CF5A29" w:rsidP="00CF5A29">
      <w:pPr>
        <w:pStyle w:val="af4"/>
        <w:spacing w:line="360" w:lineRule="auto"/>
        <w:jc w:val="center"/>
        <w:rPr>
          <w:bCs/>
          <w:sz w:val="24"/>
          <w:lang w:val="uk-UA"/>
        </w:rPr>
      </w:pPr>
      <w:r w:rsidRPr="005E4A73">
        <w:rPr>
          <w:bCs/>
          <w:sz w:val="24"/>
          <w:lang w:val="uk-UA"/>
        </w:rPr>
        <w:t>дисертації на здобуття наукового ступеня</w:t>
      </w:r>
    </w:p>
    <w:p w:rsidR="00CF5A29" w:rsidRPr="005E4A73" w:rsidRDefault="00CF5A29" w:rsidP="00CF5A29">
      <w:pPr>
        <w:pStyle w:val="af4"/>
        <w:spacing w:line="360" w:lineRule="auto"/>
        <w:jc w:val="center"/>
        <w:rPr>
          <w:bCs/>
          <w:sz w:val="24"/>
          <w:lang w:val="uk-UA"/>
        </w:rPr>
      </w:pPr>
      <w:r w:rsidRPr="005E4A73">
        <w:rPr>
          <w:bCs/>
          <w:sz w:val="24"/>
          <w:lang w:val="uk-UA"/>
        </w:rPr>
        <w:t>кандидата медичних наук</w:t>
      </w: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r w:rsidRPr="005E4A73">
        <w:rPr>
          <w:b/>
          <w:sz w:val="24"/>
          <w:lang w:val="uk-UA"/>
        </w:rPr>
        <w:t>Київ – 2008</w:t>
      </w:r>
    </w:p>
    <w:p w:rsidR="00CF5A29" w:rsidRDefault="00CF5A29" w:rsidP="00CF5A29">
      <w:pPr>
        <w:pStyle w:val="af4"/>
        <w:spacing w:line="360" w:lineRule="auto"/>
        <w:jc w:val="center"/>
        <w:rPr>
          <w:bCs/>
          <w:sz w:val="24"/>
          <w:lang w:val="uk-UA"/>
        </w:rPr>
      </w:pPr>
    </w:p>
    <w:p w:rsidR="00CF5A29"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jc w:val="center"/>
        <w:rPr>
          <w:bCs/>
          <w:sz w:val="24"/>
          <w:lang w:val="uk-UA"/>
        </w:rPr>
      </w:pPr>
    </w:p>
    <w:p w:rsidR="00CF5A29" w:rsidRPr="005E4A73" w:rsidRDefault="00CF5A29" w:rsidP="00CF5A29">
      <w:pPr>
        <w:pStyle w:val="af4"/>
        <w:spacing w:line="360" w:lineRule="auto"/>
        <w:rPr>
          <w:bCs/>
          <w:sz w:val="24"/>
          <w:lang w:val="uk-UA"/>
        </w:rPr>
      </w:pPr>
      <w:r w:rsidRPr="005E4A73">
        <w:rPr>
          <w:bCs/>
          <w:sz w:val="24"/>
          <w:lang w:val="uk-UA"/>
        </w:rPr>
        <w:t>Дисертацією є рукопис.</w:t>
      </w:r>
    </w:p>
    <w:p w:rsidR="00CF5A29" w:rsidRPr="005E4A73" w:rsidRDefault="00CF5A29" w:rsidP="00CF5A29">
      <w:pPr>
        <w:pStyle w:val="af4"/>
        <w:spacing w:line="360" w:lineRule="auto"/>
        <w:rPr>
          <w:bCs/>
          <w:sz w:val="24"/>
          <w:lang w:val="uk-UA"/>
        </w:rPr>
      </w:pPr>
    </w:p>
    <w:p w:rsidR="00CF5A29" w:rsidRPr="005E4A73" w:rsidRDefault="00CF5A29" w:rsidP="00CF5A29">
      <w:pPr>
        <w:pStyle w:val="af4"/>
        <w:spacing w:line="360" w:lineRule="auto"/>
        <w:rPr>
          <w:b/>
          <w:sz w:val="24"/>
          <w:lang w:val="uk-UA"/>
        </w:rPr>
      </w:pPr>
      <w:r w:rsidRPr="005E4A73">
        <w:rPr>
          <w:bCs/>
          <w:sz w:val="24"/>
          <w:lang w:val="uk-UA"/>
        </w:rPr>
        <w:t>Робота виконана в Харківській медичній академії післядипломної освіти МОЗ</w:t>
      </w:r>
      <w:r w:rsidRPr="005E4A73">
        <w:rPr>
          <w:b/>
          <w:sz w:val="24"/>
          <w:lang w:val="uk-UA"/>
        </w:rPr>
        <w:t xml:space="preserve"> </w:t>
      </w:r>
      <w:r w:rsidRPr="005E4A73">
        <w:rPr>
          <w:bCs/>
          <w:sz w:val="24"/>
          <w:lang w:val="uk-UA"/>
        </w:rPr>
        <w:t>України</w:t>
      </w:r>
    </w:p>
    <w:p w:rsidR="00CF5A29" w:rsidRPr="005E4A73" w:rsidRDefault="00CF5A29" w:rsidP="00CF5A29">
      <w:pPr>
        <w:pStyle w:val="af4"/>
        <w:spacing w:line="360" w:lineRule="auto"/>
        <w:rPr>
          <w:bCs/>
          <w:sz w:val="24"/>
          <w:lang w:val="uk-UA"/>
        </w:rPr>
      </w:pPr>
    </w:p>
    <w:p w:rsidR="00CF5A29" w:rsidRPr="005E4A73" w:rsidRDefault="00CF5A29" w:rsidP="00CF5A29">
      <w:pPr>
        <w:pStyle w:val="af4"/>
        <w:spacing w:line="360" w:lineRule="auto"/>
        <w:ind w:left="2700" w:hanging="2700"/>
        <w:rPr>
          <w:bCs/>
          <w:sz w:val="24"/>
          <w:lang w:val="uk-UA"/>
        </w:rPr>
      </w:pPr>
      <w:r>
        <w:rPr>
          <w:b/>
          <w:sz w:val="24"/>
          <w:lang w:val="uk-UA"/>
        </w:rPr>
        <w:t>Науковий керівник</w:t>
      </w:r>
      <w:r w:rsidRPr="005E4A73">
        <w:rPr>
          <w:b/>
          <w:sz w:val="24"/>
          <w:lang w:val="uk-UA"/>
        </w:rPr>
        <w:t xml:space="preserve">: </w:t>
      </w:r>
      <w:r w:rsidRPr="005E4A73">
        <w:rPr>
          <w:bCs/>
          <w:sz w:val="24"/>
          <w:lang w:val="uk-UA"/>
        </w:rPr>
        <w:t>доктор медичних наук, професор</w:t>
      </w:r>
    </w:p>
    <w:p w:rsidR="00CF5A29" w:rsidRPr="005E4A73" w:rsidRDefault="00CF5A29" w:rsidP="00CF5A29">
      <w:pPr>
        <w:pStyle w:val="af4"/>
        <w:spacing w:line="360" w:lineRule="auto"/>
        <w:ind w:left="2700" w:hanging="540"/>
        <w:rPr>
          <w:bCs/>
          <w:sz w:val="24"/>
          <w:lang w:val="uk-UA"/>
        </w:rPr>
      </w:pPr>
      <w:r w:rsidRPr="005E4A73">
        <w:rPr>
          <w:bCs/>
          <w:sz w:val="24"/>
          <w:lang w:val="uk-UA"/>
        </w:rPr>
        <w:t>ШАЛЬКОВ Юлій Леонідович,</w:t>
      </w:r>
    </w:p>
    <w:p w:rsidR="00CF5A29" w:rsidRPr="005E4A73" w:rsidRDefault="00CF5A29" w:rsidP="00CF5A29">
      <w:pPr>
        <w:pStyle w:val="af4"/>
        <w:spacing w:line="360" w:lineRule="auto"/>
        <w:ind w:left="2700" w:hanging="540"/>
        <w:rPr>
          <w:bCs/>
          <w:sz w:val="24"/>
          <w:lang w:val="uk-UA"/>
        </w:rPr>
      </w:pPr>
      <w:r w:rsidRPr="005E4A73">
        <w:rPr>
          <w:bCs/>
          <w:sz w:val="24"/>
          <w:lang w:val="uk-UA"/>
        </w:rPr>
        <w:t>Харківська медична академія післядипломної освіти</w:t>
      </w:r>
    </w:p>
    <w:p w:rsidR="00CF5A29" w:rsidRPr="005E4A73" w:rsidRDefault="00CF5A29" w:rsidP="00CF5A29">
      <w:pPr>
        <w:pStyle w:val="af4"/>
        <w:spacing w:line="360" w:lineRule="auto"/>
        <w:ind w:left="2700" w:hanging="540"/>
        <w:rPr>
          <w:bCs/>
          <w:sz w:val="24"/>
          <w:lang w:val="uk-UA"/>
        </w:rPr>
      </w:pPr>
      <w:r w:rsidRPr="005E4A73">
        <w:rPr>
          <w:bCs/>
          <w:sz w:val="24"/>
          <w:lang w:val="uk-UA"/>
        </w:rPr>
        <w:t>МОЗ України</w:t>
      </w:r>
      <w:r>
        <w:rPr>
          <w:bCs/>
          <w:sz w:val="24"/>
          <w:lang w:val="uk-UA"/>
        </w:rPr>
        <w:t>,</w:t>
      </w:r>
    </w:p>
    <w:p w:rsidR="00CF5A29" w:rsidRPr="005E4A73" w:rsidRDefault="00CF5A29" w:rsidP="00CF5A29">
      <w:pPr>
        <w:pStyle w:val="af4"/>
        <w:spacing w:line="360" w:lineRule="auto"/>
        <w:ind w:left="2700" w:hanging="540"/>
        <w:rPr>
          <w:sz w:val="24"/>
          <w:lang w:val="uk-UA"/>
        </w:rPr>
      </w:pPr>
      <w:r>
        <w:rPr>
          <w:sz w:val="24"/>
          <w:lang w:val="uk-UA"/>
        </w:rPr>
        <w:t>з</w:t>
      </w:r>
      <w:r w:rsidRPr="005E4A73">
        <w:rPr>
          <w:sz w:val="24"/>
          <w:lang w:val="uk-UA"/>
        </w:rPr>
        <w:t>авідувач кафедри онкохірургії та онкогінекології</w:t>
      </w:r>
    </w:p>
    <w:p w:rsidR="00CF5A29" w:rsidRPr="005E4A73" w:rsidRDefault="00CF5A29" w:rsidP="00CF5A29">
      <w:pPr>
        <w:pStyle w:val="af4"/>
        <w:spacing w:line="360" w:lineRule="auto"/>
        <w:ind w:left="2700" w:hanging="2700"/>
        <w:rPr>
          <w:sz w:val="24"/>
          <w:lang w:val="uk-UA"/>
        </w:rPr>
      </w:pPr>
    </w:p>
    <w:p w:rsidR="00CF5A29" w:rsidRDefault="00CF5A29" w:rsidP="00CF5A29">
      <w:pPr>
        <w:pStyle w:val="af4"/>
        <w:spacing w:line="360" w:lineRule="auto"/>
        <w:ind w:left="2700" w:hanging="2700"/>
        <w:rPr>
          <w:bCs/>
          <w:sz w:val="24"/>
          <w:lang w:val="uk-UA"/>
        </w:rPr>
      </w:pPr>
      <w:r w:rsidRPr="005E4A73">
        <w:rPr>
          <w:b/>
          <w:bCs/>
          <w:sz w:val="24"/>
          <w:lang w:val="uk-UA"/>
        </w:rPr>
        <w:t>Офіційні опоненти:</w:t>
      </w:r>
      <w:r w:rsidRPr="005E4A73">
        <w:rPr>
          <w:b/>
          <w:sz w:val="24"/>
          <w:lang w:val="uk-UA"/>
        </w:rPr>
        <w:t xml:space="preserve"> </w:t>
      </w:r>
      <w:r w:rsidRPr="005E4A73">
        <w:rPr>
          <w:sz w:val="24"/>
          <w:lang w:val="uk-UA"/>
        </w:rPr>
        <w:t>доктор медичних наук,</w:t>
      </w:r>
    </w:p>
    <w:p w:rsidR="00CF5A29" w:rsidRPr="00E81058" w:rsidRDefault="00CF5A29" w:rsidP="00CF5A29">
      <w:pPr>
        <w:pStyle w:val="af4"/>
        <w:spacing w:line="360" w:lineRule="auto"/>
        <w:ind w:left="2700" w:hanging="540"/>
        <w:rPr>
          <w:sz w:val="24"/>
        </w:rPr>
      </w:pPr>
      <w:r w:rsidRPr="005E4A73">
        <w:rPr>
          <w:sz w:val="24"/>
          <w:lang w:val="uk-UA"/>
        </w:rPr>
        <w:t xml:space="preserve">КОЛЕСНІК Олена Олександрівна, </w:t>
      </w:r>
    </w:p>
    <w:p w:rsidR="00CF5A29" w:rsidRPr="00EF76D6" w:rsidRDefault="00CF5A29" w:rsidP="00CF5A29">
      <w:pPr>
        <w:pStyle w:val="af4"/>
        <w:spacing w:line="360" w:lineRule="auto"/>
        <w:ind w:left="2700" w:hanging="540"/>
        <w:rPr>
          <w:sz w:val="24"/>
        </w:rPr>
      </w:pPr>
      <w:r w:rsidRPr="005E4A73">
        <w:rPr>
          <w:sz w:val="24"/>
          <w:lang w:val="uk-UA"/>
        </w:rPr>
        <w:t>Державна установа</w:t>
      </w:r>
      <w:r>
        <w:rPr>
          <w:sz w:val="24"/>
          <w:lang w:val="uk-UA"/>
        </w:rPr>
        <w:t xml:space="preserve"> “Національний і</w:t>
      </w:r>
      <w:r w:rsidRPr="005E4A73">
        <w:rPr>
          <w:sz w:val="24"/>
          <w:lang w:val="uk-UA"/>
        </w:rPr>
        <w:t xml:space="preserve">нститут раку ”, </w:t>
      </w:r>
    </w:p>
    <w:p w:rsidR="00CF5A29" w:rsidRPr="005E4A73" w:rsidRDefault="00CF5A29" w:rsidP="00CF5A29">
      <w:pPr>
        <w:pStyle w:val="af4"/>
        <w:spacing w:line="360" w:lineRule="auto"/>
        <w:ind w:left="2700" w:hanging="540"/>
        <w:rPr>
          <w:sz w:val="24"/>
          <w:lang w:val="uk-UA"/>
        </w:rPr>
      </w:pPr>
      <w:r w:rsidRPr="005E4A73">
        <w:rPr>
          <w:sz w:val="24"/>
          <w:lang w:val="uk-UA"/>
        </w:rPr>
        <w:t>провідний науковий співробітник відділу абдомінальної онкології</w:t>
      </w:r>
    </w:p>
    <w:p w:rsidR="00CF5A29" w:rsidRPr="005E4A73" w:rsidRDefault="00CF5A29" w:rsidP="00CF5A29">
      <w:pPr>
        <w:pStyle w:val="af4"/>
        <w:spacing w:line="360" w:lineRule="auto"/>
        <w:ind w:left="2700" w:hanging="540"/>
        <w:rPr>
          <w:sz w:val="24"/>
          <w:lang w:val="uk-UA"/>
        </w:rPr>
      </w:pPr>
    </w:p>
    <w:p w:rsidR="00CF5A29" w:rsidRDefault="00CF5A29" w:rsidP="00CF5A29">
      <w:pPr>
        <w:pStyle w:val="af4"/>
        <w:spacing w:line="360" w:lineRule="auto"/>
        <w:ind w:left="2700" w:hanging="540"/>
        <w:rPr>
          <w:color w:val="000000"/>
          <w:spacing w:val="1"/>
          <w:sz w:val="24"/>
          <w:lang w:val="uk-UA"/>
        </w:rPr>
      </w:pPr>
      <w:r w:rsidRPr="005E4A73">
        <w:rPr>
          <w:color w:val="000000"/>
          <w:spacing w:val="1"/>
          <w:sz w:val="24"/>
          <w:lang w:val="uk-UA"/>
        </w:rPr>
        <w:t>д</w:t>
      </w:r>
      <w:r>
        <w:rPr>
          <w:color w:val="000000"/>
          <w:spacing w:val="1"/>
          <w:sz w:val="24"/>
          <w:lang w:val="uk-UA"/>
        </w:rPr>
        <w:t>октор медичних наук, професор</w:t>
      </w:r>
    </w:p>
    <w:p w:rsidR="00CF5A29" w:rsidRPr="00E81058" w:rsidRDefault="00CF5A29" w:rsidP="00CF5A29">
      <w:pPr>
        <w:pStyle w:val="af4"/>
        <w:spacing w:line="360" w:lineRule="auto"/>
        <w:ind w:left="2700" w:hanging="540"/>
        <w:rPr>
          <w:color w:val="000000"/>
          <w:spacing w:val="1"/>
          <w:sz w:val="24"/>
        </w:rPr>
      </w:pPr>
      <w:r w:rsidRPr="005E4A73">
        <w:rPr>
          <w:color w:val="000000"/>
          <w:spacing w:val="1"/>
          <w:sz w:val="24"/>
          <w:lang w:val="uk-UA"/>
        </w:rPr>
        <w:t xml:space="preserve">БАШТАН Володимир Петрович, </w:t>
      </w:r>
    </w:p>
    <w:p w:rsidR="00CF5A29" w:rsidRPr="005E4A73" w:rsidRDefault="00CF5A29" w:rsidP="00CF5A29">
      <w:pPr>
        <w:pStyle w:val="af4"/>
        <w:spacing w:line="360" w:lineRule="auto"/>
        <w:ind w:left="2700" w:hanging="540"/>
        <w:rPr>
          <w:color w:val="000000"/>
          <w:spacing w:val="1"/>
          <w:sz w:val="24"/>
          <w:lang w:val="uk-UA"/>
        </w:rPr>
      </w:pPr>
      <w:r w:rsidRPr="005E4A73">
        <w:rPr>
          <w:color w:val="000000"/>
          <w:spacing w:val="1"/>
          <w:sz w:val="24"/>
          <w:lang w:val="uk-UA"/>
        </w:rPr>
        <w:t>Українська стоматологічна академія, м. Полтава,</w:t>
      </w:r>
    </w:p>
    <w:p w:rsidR="00CF5A29" w:rsidRPr="005E4A73" w:rsidRDefault="00CF5A29" w:rsidP="00CF5A29">
      <w:pPr>
        <w:pStyle w:val="af4"/>
        <w:spacing w:line="360" w:lineRule="auto"/>
        <w:ind w:left="2700" w:hanging="540"/>
        <w:rPr>
          <w:color w:val="000000"/>
          <w:spacing w:val="1"/>
          <w:sz w:val="24"/>
          <w:lang w:val="uk-UA"/>
        </w:rPr>
      </w:pPr>
      <w:r w:rsidRPr="005E4A73">
        <w:rPr>
          <w:color w:val="000000"/>
          <w:spacing w:val="1"/>
          <w:sz w:val="24"/>
          <w:lang w:val="uk-UA"/>
        </w:rPr>
        <w:lastRenderedPageBreak/>
        <w:t xml:space="preserve">завідувач кафедри онкології </w:t>
      </w:r>
    </w:p>
    <w:p w:rsidR="00CF5A29" w:rsidRPr="005E4A73" w:rsidRDefault="00CF5A29" w:rsidP="00CF5A29">
      <w:pPr>
        <w:pStyle w:val="af4"/>
        <w:spacing w:line="360" w:lineRule="auto"/>
        <w:ind w:left="2700" w:hanging="2700"/>
        <w:rPr>
          <w:color w:val="000000"/>
          <w:spacing w:val="1"/>
          <w:sz w:val="24"/>
          <w:lang w:val="uk-UA"/>
        </w:rPr>
      </w:pPr>
    </w:p>
    <w:p w:rsidR="00CF5A29" w:rsidRPr="005E4A73" w:rsidRDefault="00CF5A29" w:rsidP="00CF5A29">
      <w:pPr>
        <w:spacing w:line="360" w:lineRule="auto"/>
        <w:jc w:val="both"/>
      </w:pPr>
      <w:r w:rsidRPr="00CF5A29">
        <w:rPr>
          <w:lang w:val="uk-UA"/>
        </w:rPr>
        <w:t>Захист дисертації відбудеться “</w:t>
      </w:r>
      <w:r w:rsidRPr="00CF5A29">
        <w:rPr>
          <w:u w:val="single"/>
          <w:lang w:val="uk-UA"/>
        </w:rPr>
        <w:t xml:space="preserve"> </w:t>
      </w:r>
      <w:smartTag w:uri="urn:schemas-microsoft-com:office:smarttags" w:element="metricconverter">
        <w:smartTagPr>
          <w:attr w:name="ProductID" w:val="16 ”"/>
        </w:smartTagPr>
        <w:r w:rsidRPr="00CF5A29">
          <w:rPr>
            <w:u w:val="single"/>
            <w:lang w:val="uk-UA"/>
          </w:rPr>
          <w:t xml:space="preserve">16 </w:t>
        </w:r>
        <w:r w:rsidRPr="00CF5A29">
          <w:rPr>
            <w:lang w:val="uk-UA"/>
          </w:rPr>
          <w:t>”</w:t>
        </w:r>
      </w:smartTag>
      <w:r w:rsidRPr="00CF5A29">
        <w:rPr>
          <w:lang w:val="uk-UA"/>
        </w:rPr>
        <w:t xml:space="preserve"> квітня 2008 р. о 13 00   годині   на  засіданні   спеціалізованої вченої ради  Д 26.560.01 Державної установи “Національний інститут раку”, (</w:t>
      </w:r>
      <w:smartTag w:uri="urn:schemas-microsoft-com:office:smarttags" w:element="metricconverter">
        <w:smartTagPr>
          <w:attr w:name="ProductID" w:val="03222, м"/>
        </w:smartTagPr>
        <w:r w:rsidRPr="00CF5A29">
          <w:rPr>
            <w:lang w:val="uk-UA"/>
          </w:rPr>
          <w:t>03222, м</w:t>
        </w:r>
      </w:smartTag>
      <w:r w:rsidRPr="00CF5A29">
        <w:rPr>
          <w:lang w:val="uk-UA"/>
        </w:rPr>
        <w:t xml:space="preserve">. Київ, вул. </w:t>
      </w:r>
      <w:r w:rsidRPr="005E4A73">
        <w:t>Ломоносова, 33/43).</w:t>
      </w:r>
    </w:p>
    <w:p w:rsidR="00CF5A29" w:rsidRPr="005E4A73" w:rsidRDefault="00CF5A29" w:rsidP="00CF5A29">
      <w:pPr>
        <w:pStyle w:val="af4"/>
        <w:spacing w:line="360" w:lineRule="auto"/>
        <w:rPr>
          <w:sz w:val="24"/>
          <w:lang w:val="uk-UA"/>
        </w:rPr>
      </w:pPr>
    </w:p>
    <w:p w:rsidR="00CF5A29" w:rsidRPr="005E4A73" w:rsidRDefault="00CF5A29" w:rsidP="00CF5A29">
      <w:pPr>
        <w:pStyle w:val="af4"/>
        <w:spacing w:line="360" w:lineRule="auto"/>
        <w:rPr>
          <w:sz w:val="24"/>
          <w:lang w:val="uk-UA"/>
        </w:rPr>
      </w:pPr>
    </w:p>
    <w:p w:rsidR="00CF5A29" w:rsidRPr="005E4A73" w:rsidRDefault="00CF5A29" w:rsidP="00CF5A29">
      <w:pPr>
        <w:spacing w:line="360" w:lineRule="auto"/>
        <w:jc w:val="both"/>
      </w:pPr>
      <w:r w:rsidRPr="005E4A73">
        <w:t>З дисертацією можна ознайомитись у бібліотеці Державної установи</w:t>
      </w:r>
      <w:r>
        <w:t xml:space="preserve"> “Національний і</w:t>
      </w:r>
      <w:r w:rsidRPr="005E4A73">
        <w:t>нститут раку”, (</w:t>
      </w:r>
      <w:smartTag w:uri="urn:schemas-microsoft-com:office:smarttags" w:element="metricconverter">
        <w:smartTagPr>
          <w:attr w:name="ProductID" w:val="03222, м"/>
        </w:smartTagPr>
        <w:r w:rsidRPr="005E4A73">
          <w:t>03222,</w:t>
        </w:r>
        <w:r>
          <w:t xml:space="preserve"> </w:t>
        </w:r>
        <w:r w:rsidRPr="005E4A73">
          <w:t>м</w:t>
        </w:r>
      </w:smartTag>
      <w:r w:rsidRPr="005E4A73">
        <w:t>. Київ, вул. Ломоносова 33/43).</w:t>
      </w:r>
    </w:p>
    <w:p w:rsidR="00CF5A29" w:rsidRPr="005E4A73" w:rsidRDefault="00CF5A29" w:rsidP="00CF5A29">
      <w:pPr>
        <w:spacing w:line="360" w:lineRule="auto"/>
        <w:jc w:val="both"/>
      </w:pPr>
    </w:p>
    <w:p w:rsidR="00CF5A29" w:rsidRPr="005E4A73" w:rsidRDefault="00CF5A29" w:rsidP="00CF5A29">
      <w:pPr>
        <w:pStyle w:val="af4"/>
        <w:spacing w:line="360" w:lineRule="auto"/>
        <w:rPr>
          <w:sz w:val="24"/>
          <w:lang w:val="uk-UA"/>
        </w:rPr>
      </w:pPr>
    </w:p>
    <w:p w:rsidR="00CF5A29" w:rsidRPr="005E4A73" w:rsidRDefault="00CF5A29" w:rsidP="00CF5A29">
      <w:pPr>
        <w:pStyle w:val="af4"/>
        <w:spacing w:line="360" w:lineRule="auto"/>
        <w:rPr>
          <w:sz w:val="24"/>
          <w:lang w:val="uk-UA"/>
        </w:rPr>
      </w:pPr>
      <w:r>
        <w:rPr>
          <w:sz w:val="24"/>
          <w:lang w:val="uk-UA"/>
        </w:rPr>
        <w:t xml:space="preserve">Автореферат розісланий </w:t>
      </w:r>
      <w:r w:rsidRPr="00E81058">
        <w:rPr>
          <w:sz w:val="24"/>
          <w:u w:val="single"/>
          <w:lang w:val="uk-UA"/>
        </w:rPr>
        <w:t xml:space="preserve">“ </w:t>
      </w:r>
      <w:smartTag w:uri="urn:schemas-microsoft-com:office:smarttags" w:element="metricconverter">
        <w:smartTagPr>
          <w:attr w:name="ProductID" w:val="16 ”"/>
        </w:smartTagPr>
        <w:r>
          <w:rPr>
            <w:sz w:val="24"/>
            <w:u w:val="single"/>
            <w:lang w:val="uk-UA"/>
          </w:rPr>
          <w:t>16</w:t>
        </w:r>
        <w:r w:rsidRPr="00E81058">
          <w:rPr>
            <w:sz w:val="24"/>
            <w:u w:val="single"/>
            <w:lang w:val="uk-UA"/>
          </w:rPr>
          <w:t xml:space="preserve"> ”</w:t>
        </w:r>
      </w:smartTag>
      <w:r w:rsidRPr="005E4A73">
        <w:rPr>
          <w:sz w:val="24"/>
          <w:lang w:val="uk-UA"/>
        </w:rPr>
        <w:t xml:space="preserve"> березня 2008 р.</w:t>
      </w:r>
    </w:p>
    <w:p w:rsidR="00CF5A29" w:rsidRPr="005E4A73" w:rsidRDefault="00CF5A29" w:rsidP="00CF5A29">
      <w:pPr>
        <w:pStyle w:val="af4"/>
        <w:spacing w:line="360" w:lineRule="auto"/>
        <w:rPr>
          <w:sz w:val="24"/>
          <w:lang w:val="uk-UA"/>
        </w:rPr>
      </w:pPr>
    </w:p>
    <w:p w:rsidR="00CF5A29" w:rsidRPr="005E4A73" w:rsidRDefault="00CF5A29" w:rsidP="00CF5A29">
      <w:pPr>
        <w:pStyle w:val="af4"/>
        <w:spacing w:line="360" w:lineRule="auto"/>
        <w:rPr>
          <w:sz w:val="24"/>
          <w:lang w:val="uk-UA"/>
        </w:rPr>
      </w:pPr>
    </w:p>
    <w:p w:rsidR="00CF5A29" w:rsidRPr="005E4A73" w:rsidRDefault="00CF5A29" w:rsidP="00CF5A29">
      <w:pPr>
        <w:pStyle w:val="af4"/>
        <w:spacing w:line="360" w:lineRule="auto"/>
        <w:rPr>
          <w:sz w:val="24"/>
          <w:lang w:val="uk-UA"/>
        </w:rPr>
      </w:pPr>
    </w:p>
    <w:p w:rsidR="00CF5A29" w:rsidRPr="005E4A73" w:rsidRDefault="00CF5A29" w:rsidP="00CF5A29">
      <w:pPr>
        <w:pStyle w:val="af4"/>
        <w:spacing w:line="360" w:lineRule="auto"/>
        <w:rPr>
          <w:sz w:val="24"/>
          <w:lang w:val="uk-UA"/>
        </w:rPr>
      </w:pPr>
      <w:r w:rsidRPr="005E4A73">
        <w:rPr>
          <w:sz w:val="24"/>
          <w:lang w:val="uk-UA"/>
        </w:rPr>
        <w:t>Вчений секретар спеціалізованої</w:t>
      </w:r>
    </w:p>
    <w:p w:rsidR="00CF5A29" w:rsidRPr="005E4A73" w:rsidRDefault="00CF5A29" w:rsidP="00CF5A29">
      <w:pPr>
        <w:pStyle w:val="af4"/>
        <w:spacing w:line="360" w:lineRule="auto"/>
        <w:rPr>
          <w:sz w:val="24"/>
          <w:lang w:val="uk-UA"/>
        </w:rPr>
      </w:pPr>
      <w:r w:rsidRPr="005E4A73">
        <w:rPr>
          <w:sz w:val="24"/>
          <w:lang w:val="uk-UA"/>
        </w:rPr>
        <w:t>вченої ради</w:t>
      </w:r>
      <w:r w:rsidRPr="005E4A73">
        <w:rPr>
          <w:sz w:val="24"/>
          <w:lang w:val="uk-UA"/>
        </w:rPr>
        <w:tab/>
      </w:r>
      <w:r w:rsidRPr="005E4A73">
        <w:rPr>
          <w:sz w:val="24"/>
          <w:lang w:val="uk-UA"/>
        </w:rPr>
        <w:tab/>
      </w:r>
      <w:r w:rsidRPr="005E4A73">
        <w:rPr>
          <w:sz w:val="24"/>
          <w:lang w:val="uk-UA"/>
        </w:rPr>
        <w:tab/>
      </w:r>
      <w:r w:rsidRPr="005E4A73">
        <w:rPr>
          <w:sz w:val="24"/>
          <w:lang w:val="uk-UA"/>
        </w:rPr>
        <w:tab/>
      </w:r>
      <w:r w:rsidRPr="005E4A73">
        <w:rPr>
          <w:sz w:val="24"/>
          <w:lang w:val="uk-UA"/>
        </w:rPr>
        <w:tab/>
      </w:r>
      <w:r w:rsidRPr="005E4A73">
        <w:rPr>
          <w:sz w:val="24"/>
          <w:lang w:val="uk-UA"/>
        </w:rPr>
        <w:tab/>
      </w:r>
      <w:r w:rsidRPr="005E4A73">
        <w:rPr>
          <w:sz w:val="24"/>
          <w:lang w:val="uk-UA"/>
        </w:rPr>
        <w:tab/>
      </w:r>
      <w:r w:rsidRPr="005E4A73">
        <w:rPr>
          <w:sz w:val="24"/>
          <w:lang w:val="uk-UA"/>
        </w:rPr>
        <w:tab/>
        <w:t>С.О. Родзаєвський.</w:t>
      </w:r>
    </w:p>
    <w:p w:rsidR="00CF5A29" w:rsidRPr="005E4A73" w:rsidRDefault="00CF5A29" w:rsidP="00CF5A29">
      <w:pPr>
        <w:pStyle w:val="af4"/>
        <w:spacing w:line="360" w:lineRule="auto"/>
        <w:jc w:val="center"/>
        <w:rPr>
          <w:sz w:val="24"/>
          <w:lang w:val="uk-UA"/>
        </w:rPr>
      </w:pPr>
      <w:r>
        <w:rPr>
          <w:sz w:val="24"/>
          <w:lang w:val="uk-UA"/>
        </w:rPr>
        <w:t>1</w:t>
      </w:r>
    </w:p>
    <w:p w:rsidR="00CF5A29" w:rsidRDefault="00CF5A29" w:rsidP="00CF5A29">
      <w:pPr>
        <w:pStyle w:val="af4"/>
        <w:spacing w:line="360" w:lineRule="auto"/>
        <w:ind w:firstLine="540"/>
        <w:jc w:val="center"/>
        <w:rPr>
          <w:b/>
          <w:bCs/>
          <w:sz w:val="24"/>
          <w:lang w:val="uk-UA"/>
        </w:rPr>
      </w:pPr>
      <w:r w:rsidRPr="005E4A73">
        <w:rPr>
          <w:b/>
          <w:bCs/>
          <w:sz w:val="24"/>
          <w:lang w:val="uk-UA"/>
        </w:rPr>
        <w:t>ЗАГАЛЬНА ХАРАКТЕРИСТИКА РОБОТИ</w:t>
      </w:r>
    </w:p>
    <w:p w:rsidR="00CF5A29" w:rsidRPr="005E4A73" w:rsidRDefault="00CF5A29" w:rsidP="00CF5A29">
      <w:pPr>
        <w:pStyle w:val="af4"/>
        <w:spacing w:line="360" w:lineRule="auto"/>
        <w:ind w:firstLine="540"/>
        <w:jc w:val="center"/>
        <w:rPr>
          <w:b/>
          <w:bCs/>
          <w:sz w:val="24"/>
          <w:lang w:val="uk-UA"/>
        </w:rPr>
      </w:pPr>
    </w:p>
    <w:p w:rsidR="00CF5A29" w:rsidRPr="000539E1" w:rsidRDefault="00CF5A29" w:rsidP="00CF5A29">
      <w:pPr>
        <w:pStyle w:val="24"/>
        <w:jc w:val="both"/>
        <w:rPr>
          <w:b/>
          <w:bCs/>
        </w:rPr>
      </w:pPr>
      <w:r w:rsidRPr="005E4A73">
        <w:rPr>
          <w:b/>
          <w:bCs/>
        </w:rPr>
        <w:t>Актуальність теми.</w:t>
      </w:r>
      <w:r>
        <w:rPr>
          <w:b/>
          <w:bCs/>
        </w:rPr>
        <w:t xml:space="preserve"> </w:t>
      </w:r>
      <w:r w:rsidRPr="005E4A73">
        <w:rPr>
          <w:bCs/>
        </w:rPr>
        <w:t xml:space="preserve">Захворюваність на </w:t>
      </w:r>
      <w:r>
        <w:rPr>
          <w:bCs/>
        </w:rPr>
        <w:t>рак шлунка (</w:t>
      </w:r>
      <w:r w:rsidRPr="005E4A73">
        <w:rPr>
          <w:bCs/>
        </w:rPr>
        <w:t>РШ</w:t>
      </w:r>
      <w:r>
        <w:rPr>
          <w:bCs/>
        </w:rPr>
        <w:t>)</w:t>
      </w:r>
      <w:r w:rsidRPr="005E4A73">
        <w:rPr>
          <w:bCs/>
        </w:rPr>
        <w:t xml:space="preserve"> залишається традиційно високою у більшості країн, </w:t>
      </w:r>
      <w:r>
        <w:rPr>
          <w:bCs/>
        </w:rPr>
        <w:t>з тенденцією</w:t>
      </w:r>
      <w:r w:rsidRPr="005E4A73">
        <w:rPr>
          <w:bCs/>
        </w:rPr>
        <w:t xml:space="preserve"> до зниження показників виживаності. Захворюваність чоловіків у двічі вища ніж у жінок, за даними останнього видання МАІР «Рак на п’яти континентах», мінімальний</w:t>
      </w:r>
      <w:r>
        <w:rPr>
          <w:bCs/>
        </w:rPr>
        <w:t xml:space="preserve"> рівень захворюваності</w:t>
      </w:r>
      <w:r w:rsidRPr="005E4A73">
        <w:rPr>
          <w:bCs/>
        </w:rPr>
        <w:t xml:space="preserve"> у білих жінок США (3,1), а максимальний рівень захворювання на РШ виявле</w:t>
      </w:r>
      <w:r>
        <w:rPr>
          <w:bCs/>
        </w:rPr>
        <w:t>но у чоловіків Японії (114,7)</w:t>
      </w:r>
      <w:r w:rsidRPr="006C34C4">
        <w:rPr>
          <w:bCs/>
        </w:rPr>
        <w:t xml:space="preserve"> (</w:t>
      </w:r>
      <w:r>
        <w:rPr>
          <w:bCs/>
          <w:lang w:val="en-US"/>
        </w:rPr>
        <w:t>W</w:t>
      </w:r>
      <w:r w:rsidRPr="00757666">
        <w:rPr>
          <w:bCs/>
        </w:rPr>
        <w:t>.</w:t>
      </w:r>
      <w:r>
        <w:rPr>
          <w:bCs/>
          <w:lang w:val="en-US"/>
        </w:rPr>
        <w:t>H</w:t>
      </w:r>
      <w:r w:rsidRPr="00757666">
        <w:rPr>
          <w:bCs/>
        </w:rPr>
        <w:t>.</w:t>
      </w:r>
      <w:r w:rsidRPr="006C34C4">
        <w:rPr>
          <w:bCs/>
        </w:rPr>
        <w:t xml:space="preserve"> </w:t>
      </w:r>
      <w:r>
        <w:rPr>
          <w:bCs/>
          <w:lang w:val="en-US"/>
        </w:rPr>
        <w:t>Allum</w:t>
      </w:r>
      <w:r w:rsidRPr="006C34C4">
        <w:rPr>
          <w:bCs/>
        </w:rPr>
        <w:t xml:space="preserve">, 2008). </w:t>
      </w:r>
      <w:r w:rsidRPr="005E4A73">
        <w:rPr>
          <w:bCs/>
        </w:rPr>
        <w:t xml:space="preserve">У структурі онкологічної захворюваності населення України у 2006 році РШ </w:t>
      </w:r>
      <w:r>
        <w:t>посіда</w:t>
      </w:r>
      <w:r w:rsidRPr="005E4A73">
        <w:t>в у чоловіків третє (9,8 %),</w:t>
      </w:r>
      <w:r>
        <w:t xml:space="preserve"> у</w:t>
      </w:r>
      <w:r w:rsidRPr="005E4A73">
        <w:t xml:space="preserve"> жіно</w:t>
      </w:r>
      <w:r>
        <w:t>к −</w:t>
      </w:r>
      <w:r w:rsidRPr="005E4A73">
        <w:t xml:space="preserve"> п’яте (6,4 %) місце. За дани</w:t>
      </w:r>
      <w:r>
        <w:t>ми Н</w:t>
      </w:r>
      <w:r w:rsidRPr="005E4A73">
        <w:t>аціонального канцер</w:t>
      </w:r>
      <w:r>
        <w:t xml:space="preserve"> </w:t>
      </w:r>
      <w:r w:rsidRPr="005E4A73">
        <w:t xml:space="preserve">реєстру України, у 2006 році захворюваність на РШ склала 28 </w:t>
      </w:r>
      <w:r>
        <w:lastRenderedPageBreak/>
        <w:t>випадків на 100 тис. населення,</w:t>
      </w:r>
      <w:r w:rsidRPr="005E4A73">
        <w:t xml:space="preserve"> з них 62% хворих померло, не проживши і року з моменту встановлення діагнозу. </w:t>
      </w:r>
      <w:r>
        <w:t>У</w:t>
      </w:r>
      <w:r w:rsidRPr="005E4A73">
        <w:t xml:space="preserve"> структурі смертності від зло</w:t>
      </w:r>
      <w:r>
        <w:t>якісних новоутворень РШ посід</w:t>
      </w:r>
      <w:r w:rsidRPr="005E4A73">
        <w:t>ає друге місце (12,7%) у чоловіків після раку легені</w:t>
      </w:r>
      <w:r>
        <w:t>,</w:t>
      </w:r>
      <w:r w:rsidRPr="005E4A73">
        <w:t xml:space="preserve"> </w:t>
      </w:r>
      <w:r>
        <w:t>а</w:t>
      </w:r>
      <w:r w:rsidRPr="005E4A73">
        <w:t xml:space="preserve"> </w:t>
      </w:r>
      <w:r>
        <w:t>у жінок (10,1%) −</w:t>
      </w:r>
      <w:r w:rsidRPr="005E4A73">
        <w:t xml:space="preserve"> </w:t>
      </w:r>
      <w:r>
        <w:t>після раку молочної залози</w:t>
      </w:r>
      <w:r w:rsidRPr="005E4A73">
        <w:t xml:space="preserve"> (С. О Шалімов</w:t>
      </w:r>
      <w:r>
        <w:t>, 2007</w:t>
      </w:r>
      <w:r w:rsidRPr="005E4A73">
        <w:t xml:space="preserve">). </w:t>
      </w:r>
    </w:p>
    <w:p w:rsidR="00CF5A29" w:rsidRPr="005E4A73" w:rsidRDefault="00CF5A29" w:rsidP="00CF5A29">
      <w:pPr>
        <w:pStyle w:val="24"/>
        <w:jc w:val="both"/>
      </w:pPr>
      <w:r w:rsidRPr="005E4A73">
        <w:t>Проблема ранньої діагностики і л</w:t>
      </w:r>
      <w:r>
        <w:t>ікування РШ далека від розв’яз</w:t>
      </w:r>
      <w:r w:rsidRPr="005E4A73">
        <w:t xml:space="preserve">ання і є однією з основних в онкології. Головною причиною </w:t>
      </w:r>
      <w:r>
        <w:t xml:space="preserve">занедбаності </w:t>
      </w:r>
      <w:r w:rsidRPr="00CD487B">
        <w:t>РШ</w:t>
      </w:r>
      <w:r w:rsidRPr="005E4A73">
        <w:t xml:space="preserve"> </w:t>
      </w:r>
      <w:r>
        <w:t>є за</w:t>
      </w:r>
      <w:r w:rsidRPr="005E4A73">
        <w:t>пізніла діагностика. Питома</w:t>
      </w:r>
      <w:r>
        <w:t xml:space="preserve"> вага РШ I</w:t>
      </w:r>
      <w:r w:rsidRPr="005E4A73">
        <w:t>–II стадії</w:t>
      </w:r>
      <w:r>
        <w:t xml:space="preserve"> складає лише 5%, а</w:t>
      </w:r>
      <w:r w:rsidRPr="005E4A73">
        <w:t xml:space="preserve"> III стадії – 40</w:t>
      </w:r>
      <w:r>
        <w:t>%, IV стадії – 55% (О.М. Лищишина</w:t>
      </w:r>
      <w:r w:rsidRPr="005E4A73">
        <w:t xml:space="preserve">,1998).  Тільки у </w:t>
      </w:r>
      <w:r>
        <w:t>20−</w:t>
      </w:r>
      <w:r w:rsidRPr="005E4A73">
        <w:t>30% хворих</w:t>
      </w:r>
      <w:r>
        <w:t xml:space="preserve"> з уперше виявленим РШ</w:t>
      </w:r>
      <w:r w:rsidRPr="005E4A73">
        <w:t xml:space="preserve"> можливо виконати радикальну операці</w:t>
      </w:r>
      <w:r>
        <w:t>ю, з них лише 3−</w:t>
      </w:r>
      <w:r w:rsidRPr="005E4A73">
        <w:t>5 хворих з 100 живуть більш ніж 5 років. Виживаність хворих з локалізованими пухлинами значно краща, ніж з розповсюдженими. Тому одним з найважливіших завдань діагностики</w:t>
      </w:r>
      <w:r>
        <w:t xml:space="preserve"> РШ є виявлення пухлини на до кліні</w:t>
      </w:r>
      <w:r w:rsidRPr="005E4A73">
        <w:t>чних стадіях, коли можливо виконати радикальну операцію (</w:t>
      </w:r>
      <w:r>
        <w:t>И.Б. Щепотин</w:t>
      </w:r>
      <w:r w:rsidRPr="005E4A73">
        <w:t xml:space="preserve">, </w:t>
      </w:r>
      <w:smartTag w:uri="urn:schemas-microsoft-com:office:smarttags" w:element="metricconverter">
        <w:smartTagPr>
          <w:attr w:name="ProductID" w:val="2006, C"/>
        </w:smartTagPr>
        <w:r w:rsidRPr="005E4A73">
          <w:t>2006</w:t>
        </w:r>
        <w:r>
          <w:t>,</w:t>
        </w:r>
        <w:r w:rsidRPr="00EB5BE5">
          <w:t xml:space="preserve"> </w:t>
        </w:r>
        <w:r>
          <w:rPr>
            <w:lang w:val="en-US"/>
          </w:rPr>
          <w:t>C</w:t>
        </w:r>
      </w:smartTag>
      <w:r w:rsidRPr="00EB5BE5">
        <w:t xml:space="preserve">. </w:t>
      </w:r>
      <w:r>
        <w:rPr>
          <w:lang w:val="en-US"/>
        </w:rPr>
        <w:t>Liu</w:t>
      </w:r>
      <w:r w:rsidRPr="00EB5BE5">
        <w:t xml:space="preserve">, 2007, </w:t>
      </w:r>
      <w:r>
        <w:rPr>
          <w:lang w:val="en-US"/>
        </w:rPr>
        <w:t>K</w:t>
      </w:r>
      <w:r w:rsidRPr="00CF5A29">
        <w:t>.</w:t>
      </w:r>
      <w:r>
        <w:rPr>
          <w:lang w:val="en-US"/>
        </w:rPr>
        <w:t>Minami</w:t>
      </w:r>
      <w:r w:rsidRPr="00CF5A29">
        <w:t>, 2008</w:t>
      </w:r>
      <w:r w:rsidRPr="00EB5BE5">
        <w:t xml:space="preserve"> </w:t>
      </w:r>
      <w:r w:rsidRPr="005E4A73">
        <w:t>).</w:t>
      </w:r>
    </w:p>
    <w:p w:rsidR="00CF5A29" w:rsidRPr="005E4A73" w:rsidRDefault="00CF5A29" w:rsidP="00CF5A29">
      <w:pPr>
        <w:tabs>
          <w:tab w:val="left" w:pos="0"/>
        </w:tabs>
        <w:spacing w:line="360" w:lineRule="auto"/>
        <w:ind w:firstLine="540"/>
        <w:jc w:val="both"/>
      </w:pPr>
      <w:r w:rsidRPr="005E4A73">
        <w:t>РШ</w:t>
      </w:r>
      <w:r>
        <w:t xml:space="preserve"> є складним</w:t>
      </w:r>
      <w:r w:rsidRPr="005E4A73">
        <w:t xml:space="preserve"> у діагностичному і лікувальному </w:t>
      </w:r>
      <w:r>
        <w:t>плані</w:t>
      </w:r>
      <w:r w:rsidRPr="005E4A73">
        <w:t>. Однією з причин пізньої діагностики пухлин шлунка є те, що початок захворювання без</w:t>
      </w:r>
      <w:r>
        <w:t>симптомний</w:t>
      </w:r>
      <w:r w:rsidRPr="005E4A73">
        <w:t>, або</w:t>
      </w:r>
      <w:r>
        <w:t xml:space="preserve"> з симптоматикою, що</w:t>
      </w:r>
      <w:r w:rsidRPr="005E4A73">
        <w:t xml:space="preserve"> відповідає</w:t>
      </w:r>
      <w:r>
        <w:t xml:space="preserve"> клінічним проявам фонових</w:t>
      </w:r>
      <w:r w:rsidRPr="005E4A73">
        <w:t xml:space="preserve"> захворювань (хронічний гастрит, виразкова хвороба, поліпи</w:t>
      </w:r>
      <w:r>
        <w:t xml:space="preserve"> шлунка)</w:t>
      </w:r>
      <w:r w:rsidRPr="005E4A73">
        <w:t>. Тому, виправдані зусилля фахівців</w:t>
      </w:r>
      <w:r>
        <w:t>, які спрямовані</w:t>
      </w:r>
      <w:r w:rsidRPr="005E4A73">
        <w:t xml:space="preserve"> на пошук критеріїв ранньої діагностики </w:t>
      </w:r>
      <w:r>
        <w:t>РШ</w:t>
      </w:r>
      <w:r w:rsidRPr="005E4A73">
        <w:t xml:space="preserve">. При такому положенні тільки активні масові профілактичні огляди і диспансеризація пацієнтів можуть привести хворого вчасно до лікаря. </w:t>
      </w:r>
      <w:r>
        <w:t xml:space="preserve">На сьогодні </w:t>
      </w:r>
      <w:r w:rsidRPr="005E4A73">
        <w:t xml:space="preserve">проблема ранньої діагностики РШ може вирішуватись методом скринінгу, який містить цілу систему організаційних закладів. </w:t>
      </w:r>
    </w:p>
    <w:p w:rsidR="00CF5A29" w:rsidRDefault="00CF5A29" w:rsidP="00CF5A29">
      <w:pPr>
        <w:tabs>
          <w:tab w:val="left" w:pos="0"/>
        </w:tabs>
        <w:spacing w:line="360" w:lineRule="auto"/>
        <w:ind w:firstLine="540"/>
        <w:jc w:val="both"/>
      </w:pPr>
      <w:r w:rsidRPr="005E4A73">
        <w:t>Важлива перевага будь-якої програми скринінгу ─ зниження смертності від діагностуємого захворювання. Програма скринінгу  РШ, яка багато років існує в Японії, привела до</w:t>
      </w:r>
      <w:r>
        <w:t xml:space="preserve"> позитивних</w:t>
      </w:r>
      <w:r w:rsidRPr="005E4A73">
        <w:t xml:space="preserve"> вражаючих результатів. Ризик смертності внаслідок використання скринінгу знизився на 68% у чоловіків і на 37% у жінок (</w:t>
      </w:r>
      <w:r>
        <w:rPr>
          <w:lang w:val="en-US"/>
        </w:rPr>
        <w:t>P</w:t>
      </w:r>
      <w:r w:rsidRPr="00757666">
        <w:t>.</w:t>
      </w:r>
      <w:r>
        <w:rPr>
          <w:lang w:val="en-US"/>
        </w:rPr>
        <w:t>L</w:t>
      </w:r>
      <w:r w:rsidRPr="00757666">
        <w:t xml:space="preserve">. </w:t>
      </w:r>
      <w:r w:rsidRPr="005E4A73">
        <w:rPr>
          <w:lang w:val="en-US"/>
        </w:rPr>
        <w:t>Landrigan</w:t>
      </w:r>
      <w:r>
        <w:t>,</w:t>
      </w:r>
      <w:r w:rsidRPr="00757666">
        <w:t xml:space="preserve"> </w:t>
      </w:r>
      <w:smartTag w:uri="urn:schemas-microsoft-com:office:smarttags" w:element="metricconverter">
        <w:smartTagPr>
          <w:attr w:name="ProductID" w:val="1995, C"/>
        </w:smartTagPr>
        <w:r w:rsidRPr="005E4A73">
          <w:t>1995</w:t>
        </w:r>
        <w:r w:rsidRPr="00757666">
          <w:t xml:space="preserve">, </w:t>
        </w:r>
        <w:r>
          <w:rPr>
            <w:lang w:val="en-US"/>
          </w:rPr>
          <w:t>C</w:t>
        </w:r>
      </w:smartTag>
      <w:r w:rsidRPr="00757666">
        <w:t xml:space="preserve">. </w:t>
      </w:r>
      <w:r>
        <w:rPr>
          <w:lang w:val="en-US"/>
        </w:rPr>
        <w:t>Hamashima</w:t>
      </w:r>
      <w:r w:rsidRPr="00757666">
        <w:t>, 2008</w:t>
      </w:r>
      <w:r w:rsidRPr="005E4A73">
        <w:t>) На жаль, програми скринінгу РШ не працюють майже ніде, окрім Японії. По-перше,</w:t>
      </w:r>
    </w:p>
    <w:p w:rsidR="00CF5A29" w:rsidRDefault="00CF5A29" w:rsidP="00CF5A29">
      <w:pPr>
        <w:tabs>
          <w:tab w:val="left" w:pos="0"/>
        </w:tabs>
        <w:spacing w:line="360" w:lineRule="auto"/>
        <w:ind w:firstLine="540"/>
        <w:jc w:val="center"/>
      </w:pPr>
      <w:r>
        <w:t>2</w:t>
      </w:r>
    </w:p>
    <w:p w:rsidR="00CF5A29" w:rsidRPr="005E4A73" w:rsidRDefault="00CF5A29" w:rsidP="00CF5A29">
      <w:pPr>
        <w:tabs>
          <w:tab w:val="left" w:pos="0"/>
        </w:tabs>
        <w:spacing w:line="360" w:lineRule="auto"/>
        <w:jc w:val="both"/>
      </w:pPr>
      <w:r w:rsidRPr="005E4A73">
        <w:t>первинній профілактиці РШ заважає відсутність чіткого</w:t>
      </w:r>
      <w:r>
        <w:t xml:space="preserve"> специфічного причинного фактора</w:t>
      </w:r>
      <w:r w:rsidRPr="005E4A73">
        <w:t xml:space="preserve">. По-друге, застосування масового скринінгу є економічно невиправданим у країнах з </w:t>
      </w:r>
      <w:r>
        <w:t>нижчою</w:t>
      </w:r>
      <w:r w:rsidRPr="005E4A73">
        <w:t xml:space="preserve">, </w:t>
      </w:r>
      <w:r>
        <w:t xml:space="preserve">ніж </w:t>
      </w:r>
      <w:r w:rsidRPr="005E4A73">
        <w:t xml:space="preserve">у </w:t>
      </w:r>
      <w:r w:rsidRPr="005E4A73">
        <w:lastRenderedPageBreak/>
        <w:t>Японії, захворюваністю. Тому в більшості країн використовується не масовий скринінг, а скринінг спеціально визначених груп ризику.</w:t>
      </w:r>
    </w:p>
    <w:p w:rsidR="00CF5A29" w:rsidRPr="005E4A73" w:rsidRDefault="00CF5A29" w:rsidP="00CF5A29">
      <w:pPr>
        <w:pStyle w:val="24"/>
        <w:jc w:val="both"/>
      </w:pPr>
      <w:r w:rsidRPr="005E4A73">
        <w:t xml:space="preserve">Подібний скринінг  РШ  по  групах  ризику  існує  у деяких країнах   </w:t>
      </w:r>
      <w:r w:rsidRPr="006C34C4">
        <w:t xml:space="preserve">(І.О. Пономарьов, 2001, </w:t>
      </w:r>
      <w:r w:rsidRPr="006C34C4">
        <w:rPr>
          <w:lang w:val="en-US"/>
        </w:rPr>
        <w:t>Fock</w:t>
      </w:r>
      <w:r w:rsidRPr="006C34C4">
        <w:t xml:space="preserve"> </w:t>
      </w:r>
      <w:r w:rsidRPr="006C34C4">
        <w:rPr>
          <w:lang w:val="en-US"/>
        </w:rPr>
        <w:t>KM</w:t>
      </w:r>
      <w:r w:rsidRPr="006C34C4">
        <w:t>, 2008</w:t>
      </w:r>
      <w:r w:rsidRPr="005E4A73">
        <w:t xml:space="preserve">). Порівнювати їх складно, тому що критерії формування груп ризику істотно відрізняються. Але якщо порівнювати ефективність виявлення РШ при різних варіантах скринінгу, то скринінг груп ризику </w:t>
      </w:r>
      <w:r>
        <w:t>більш</w:t>
      </w:r>
      <w:r w:rsidRPr="005E4A73">
        <w:t xml:space="preserve"> ефективний. Частота виявлення раннього РШ в програмах скринінгу </w:t>
      </w:r>
      <w:r>
        <w:t xml:space="preserve">груп ризику </w:t>
      </w:r>
      <w:r w:rsidRPr="005E4A73">
        <w:t xml:space="preserve">перевищує 50 %, а в програмах </w:t>
      </w:r>
      <w:r>
        <w:t xml:space="preserve">масового </w:t>
      </w:r>
      <w:r w:rsidRPr="005E4A73">
        <w:t>скринінгу</w:t>
      </w:r>
      <w:r>
        <w:t xml:space="preserve"> вона мінімум у двіч</w:t>
      </w:r>
      <w:r w:rsidRPr="005E4A73">
        <w:t>і нижча  (В. А.</w:t>
      </w:r>
      <w:r>
        <w:t xml:space="preserve"> </w:t>
      </w:r>
      <w:r w:rsidRPr="005E4A73">
        <w:t>Ісаков</w:t>
      </w:r>
      <w:r>
        <w:t>,</w:t>
      </w:r>
      <w:r w:rsidRPr="005E4A73">
        <w:t xml:space="preserve"> </w:t>
      </w:r>
      <w:r>
        <w:t>2002</w:t>
      </w:r>
      <w:r w:rsidRPr="005E4A73">
        <w:t>).</w:t>
      </w:r>
    </w:p>
    <w:p w:rsidR="00CF5A29" w:rsidRPr="005E4A73" w:rsidRDefault="00CF5A29" w:rsidP="00CF5A29">
      <w:pPr>
        <w:pStyle w:val="af4"/>
        <w:spacing w:line="360" w:lineRule="auto"/>
        <w:ind w:firstLine="540"/>
        <w:rPr>
          <w:sz w:val="24"/>
          <w:lang w:val="uk-UA"/>
        </w:rPr>
      </w:pPr>
      <w:r w:rsidRPr="005E4A73">
        <w:rPr>
          <w:sz w:val="24"/>
          <w:lang w:val="uk-UA"/>
        </w:rPr>
        <w:t xml:space="preserve">За даними літератури, можна відзначити наявність факторів ризику виникнення РШ, що відносяться до ендогенного або до екзогенного впливу на організм, а також виділити з них як основні так і другорядні </w:t>
      </w:r>
      <w:r>
        <w:rPr>
          <w:sz w:val="24"/>
          <w:lang w:val="uk-UA"/>
        </w:rPr>
        <w:t xml:space="preserve">(І.В. Василенко, </w:t>
      </w:r>
      <w:smartTag w:uri="urn:schemas-microsoft-com:office:smarttags" w:element="metricconverter">
        <w:smartTagPr>
          <w:attr w:name="ProductID" w:val="2001, M"/>
        </w:smartTagPr>
        <w:r w:rsidRPr="005E4A73">
          <w:rPr>
            <w:sz w:val="24"/>
            <w:lang w:val="uk-UA"/>
          </w:rPr>
          <w:t>2001</w:t>
        </w:r>
        <w:r w:rsidRPr="00757666">
          <w:rPr>
            <w:sz w:val="24"/>
            <w:lang w:val="uk-UA"/>
          </w:rPr>
          <w:t xml:space="preserve">, </w:t>
        </w:r>
        <w:r>
          <w:rPr>
            <w:sz w:val="24"/>
            <w:lang w:val="en-US"/>
          </w:rPr>
          <w:t>M</w:t>
        </w:r>
      </w:smartTag>
      <w:r w:rsidRPr="00757666">
        <w:rPr>
          <w:sz w:val="24"/>
          <w:lang w:val="uk-UA"/>
        </w:rPr>
        <w:t xml:space="preserve">. </w:t>
      </w:r>
      <w:r>
        <w:rPr>
          <w:sz w:val="24"/>
          <w:lang w:val="en-US"/>
        </w:rPr>
        <w:t>Popescu</w:t>
      </w:r>
      <w:r w:rsidRPr="00757666">
        <w:rPr>
          <w:sz w:val="24"/>
          <w:lang w:val="uk-UA"/>
        </w:rPr>
        <w:t xml:space="preserve">, 2007, </w:t>
      </w:r>
      <w:r>
        <w:rPr>
          <w:sz w:val="24"/>
          <w:lang w:val="en-US"/>
        </w:rPr>
        <w:t>NJ</w:t>
      </w:r>
      <w:r w:rsidRPr="00757666">
        <w:rPr>
          <w:sz w:val="24"/>
          <w:lang w:val="uk-UA"/>
        </w:rPr>
        <w:t xml:space="preserve">. </w:t>
      </w:r>
      <w:r>
        <w:rPr>
          <w:sz w:val="24"/>
          <w:lang w:val="en-US"/>
        </w:rPr>
        <w:t>Talley</w:t>
      </w:r>
      <w:r w:rsidRPr="00754019">
        <w:rPr>
          <w:sz w:val="24"/>
          <w:lang w:val="uk-UA"/>
        </w:rPr>
        <w:t>, 2008</w:t>
      </w:r>
      <w:r w:rsidRPr="005E4A73">
        <w:rPr>
          <w:sz w:val="24"/>
          <w:lang w:val="uk-UA"/>
        </w:rPr>
        <w:t>).</w:t>
      </w:r>
    </w:p>
    <w:p w:rsidR="00CF5A29" w:rsidRPr="005E4A73" w:rsidRDefault="00CF5A29" w:rsidP="00CF5A29">
      <w:pPr>
        <w:pStyle w:val="af4"/>
        <w:spacing w:line="360" w:lineRule="auto"/>
        <w:ind w:firstLine="540"/>
        <w:rPr>
          <w:sz w:val="24"/>
          <w:lang w:val="uk-UA"/>
        </w:rPr>
      </w:pPr>
      <w:r w:rsidRPr="005E4A73">
        <w:rPr>
          <w:sz w:val="24"/>
          <w:lang w:val="uk-UA"/>
        </w:rPr>
        <w:t>Слід вказати, що</w:t>
      </w:r>
      <w:r>
        <w:rPr>
          <w:sz w:val="24"/>
          <w:lang w:val="uk-UA"/>
        </w:rPr>
        <w:t xml:space="preserve"> сучасні</w:t>
      </w:r>
      <w:r w:rsidRPr="005E4A73">
        <w:rPr>
          <w:sz w:val="24"/>
          <w:lang w:val="uk-UA"/>
        </w:rPr>
        <w:t xml:space="preserve"> скринінгові системи, не завжди ґрунтуються на об’єктивних даних, чітких</w:t>
      </w:r>
      <w:r>
        <w:rPr>
          <w:sz w:val="24"/>
          <w:lang w:val="uk-UA"/>
        </w:rPr>
        <w:t xml:space="preserve"> цифрових зоб</w:t>
      </w:r>
      <w:r w:rsidRPr="005E4A73">
        <w:rPr>
          <w:sz w:val="24"/>
          <w:lang w:val="uk-UA"/>
        </w:rPr>
        <w:t xml:space="preserve">раженнях і </w:t>
      </w:r>
      <w:r>
        <w:rPr>
          <w:sz w:val="24"/>
          <w:lang w:val="uk-UA"/>
        </w:rPr>
        <w:t xml:space="preserve">тому </w:t>
      </w:r>
      <w:r w:rsidRPr="005E4A73">
        <w:rPr>
          <w:sz w:val="24"/>
          <w:lang w:val="uk-UA"/>
        </w:rPr>
        <w:t>не позбавлені суб</w:t>
      </w:r>
      <w:r>
        <w:rPr>
          <w:sz w:val="24"/>
          <w:lang w:val="uk-UA"/>
        </w:rPr>
        <w:t>‘єктивності. Сучасний напрямок наукових досліджень</w:t>
      </w:r>
      <w:r w:rsidRPr="005E4A73">
        <w:rPr>
          <w:sz w:val="24"/>
          <w:lang w:val="uk-UA"/>
        </w:rPr>
        <w:t xml:space="preserve"> </w:t>
      </w:r>
      <w:r>
        <w:rPr>
          <w:sz w:val="24"/>
          <w:lang w:val="uk-UA"/>
        </w:rPr>
        <w:t>− доказовість</w:t>
      </w:r>
      <w:r w:rsidRPr="005E4A73">
        <w:rPr>
          <w:sz w:val="24"/>
          <w:lang w:val="uk-UA"/>
        </w:rPr>
        <w:t>. Тому вважаємо за доцільне висвітлити питання формування рангу факторів</w:t>
      </w:r>
      <w:r>
        <w:rPr>
          <w:sz w:val="24"/>
          <w:lang w:val="uk-UA"/>
        </w:rPr>
        <w:t xml:space="preserve"> груп низьк</w:t>
      </w:r>
      <w:r w:rsidRPr="005E4A73">
        <w:rPr>
          <w:sz w:val="24"/>
          <w:lang w:val="uk-UA"/>
        </w:rPr>
        <w:t>ого, середнього і високого ризику розвитку РШ, тобто</w:t>
      </w:r>
      <w:r>
        <w:rPr>
          <w:sz w:val="24"/>
          <w:lang w:val="uk-UA"/>
        </w:rPr>
        <w:t xml:space="preserve"> визначити алгоритм</w:t>
      </w:r>
      <w:r w:rsidRPr="005E4A73">
        <w:rPr>
          <w:sz w:val="24"/>
          <w:lang w:val="uk-UA"/>
        </w:rPr>
        <w:t xml:space="preserve"> скринінгу даного захворювання. </w:t>
      </w:r>
    </w:p>
    <w:p w:rsidR="00CF5A29" w:rsidRPr="005E4A73" w:rsidRDefault="00CF5A29" w:rsidP="00CF5A29">
      <w:pPr>
        <w:pStyle w:val="24"/>
        <w:jc w:val="both"/>
      </w:pPr>
      <w:r w:rsidRPr="005E4A73">
        <w:t>В останні роки проводяться активні пошуки шляхів підвищення ефективності та розвитку методів скринінгу РШ з одночасним здешевленням його використання. Одним з таких шляхів має стати скринінг передпухлинних станів.</w:t>
      </w:r>
    </w:p>
    <w:p w:rsidR="00CF5A29" w:rsidRPr="005E4A73" w:rsidRDefault="00CF5A29" w:rsidP="00CF5A29">
      <w:pPr>
        <w:tabs>
          <w:tab w:val="left" w:pos="0"/>
        </w:tabs>
        <w:spacing w:line="360" w:lineRule="auto"/>
        <w:ind w:firstLine="540"/>
        <w:jc w:val="both"/>
      </w:pPr>
      <w:r w:rsidRPr="005E4A73">
        <w:t>Таким чином, розробка досту</w:t>
      </w:r>
      <w:r>
        <w:t>пної та</w:t>
      </w:r>
      <w:r w:rsidRPr="005E4A73">
        <w:t xml:space="preserve"> ефективної системи скринінгу з урахуванням об’єктивних факторів ризику виникнення РШ є важливим і актуальним завданн</w:t>
      </w:r>
      <w:r>
        <w:t>ям клінічної онкології, спрямова</w:t>
      </w:r>
      <w:r w:rsidRPr="005E4A73">
        <w:t>ним на підвищення ефективності лікування цього захворювання.</w:t>
      </w:r>
    </w:p>
    <w:p w:rsidR="00CF5A29" w:rsidRPr="005E4A73" w:rsidRDefault="00CF5A29" w:rsidP="00CF5A29">
      <w:pPr>
        <w:pStyle w:val="24"/>
        <w:jc w:val="both"/>
      </w:pPr>
      <w:r w:rsidRPr="005E4A73">
        <w:rPr>
          <w:b/>
          <w:bCs/>
        </w:rPr>
        <w:t>Зв’язок роботи з науковими програмами, планами, темами.</w:t>
      </w:r>
      <w:r w:rsidRPr="005E4A73">
        <w:t xml:space="preserve"> Дисертація виконана відповідно до плану НДР Харківської медичної академії післядипломної освіти МОЗ України “Комбіноване лікування хворих з пухлинними захворюваннями шлунково-кишкового тракту </w:t>
      </w:r>
      <w:r>
        <w:t>з використанням до</w:t>
      </w:r>
      <w:r w:rsidRPr="005E4A73">
        <w:t>операційної внутрішньочеревної хіміотерапії”</w:t>
      </w:r>
      <w:r>
        <w:t xml:space="preserve"> (номер</w:t>
      </w:r>
      <w:r w:rsidRPr="005E4A73">
        <w:t xml:space="preserve"> держреєстрації 0198 U 002285).</w:t>
      </w:r>
    </w:p>
    <w:p w:rsidR="00CF5A29" w:rsidRPr="005E4A73" w:rsidRDefault="00CF5A29" w:rsidP="00CF5A29">
      <w:pPr>
        <w:spacing w:line="360" w:lineRule="auto"/>
        <w:ind w:firstLine="540"/>
        <w:jc w:val="both"/>
      </w:pPr>
      <w:r w:rsidRPr="005E4A73">
        <w:rPr>
          <w:b/>
          <w:bCs/>
        </w:rPr>
        <w:lastRenderedPageBreak/>
        <w:t>Мета дослідження.</w:t>
      </w:r>
      <w:r w:rsidRPr="005E4A73">
        <w:t xml:space="preserve"> Розробити програму скринінгу груп ризику раку шлунка, яка дозволить підвищити ефективність лікування шляхом виявлення захворювання на ранніх стадіях його розвитку.</w:t>
      </w:r>
    </w:p>
    <w:p w:rsidR="00CF5A29" w:rsidRPr="005E4A73" w:rsidRDefault="00CF5A29" w:rsidP="00CF5A29">
      <w:pPr>
        <w:pStyle w:val="24"/>
        <w:jc w:val="both"/>
        <w:rPr>
          <w:b/>
          <w:bCs/>
        </w:rPr>
      </w:pPr>
      <w:r w:rsidRPr="005E4A73">
        <w:rPr>
          <w:b/>
          <w:bCs/>
        </w:rPr>
        <w:t>Задачі дослідження.</w:t>
      </w:r>
    </w:p>
    <w:p w:rsidR="00CF5A29" w:rsidRPr="005E4A73" w:rsidRDefault="00CF5A29" w:rsidP="00ED3F47">
      <w:pPr>
        <w:numPr>
          <w:ilvl w:val="0"/>
          <w:numId w:val="39"/>
        </w:numPr>
        <w:tabs>
          <w:tab w:val="clear" w:pos="720"/>
          <w:tab w:val="num" w:pos="-1980"/>
        </w:tabs>
        <w:spacing w:after="0" w:line="360" w:lineRule="auto"/>
        <w:ind w:left="540" w:right="97" w:hanging="540"/>
        <w:jc w:val="both"/>
      </w:pPr>
      <w:r w:rsidRPr="005E4A73">
        <w:t xml:space="preserve">Провести ретроспективний аналіз існуючих скринінгових програм </w:t>
      </w:r>
      <w:r>
        <w:t>РШ</w:t>
      </w:r>
      <w:r w:rsidRPr="005E4A73">
        <w:t>.</w:t>
      </w:r>
    </w:p>
    <w:p w:rsidR="00CF5A29" w:rsidRDefault="00CF5A29" w:rsidP="00CF5A29">
      <w:pPr>
        <w:spacing w:line="360" w:lineRule="auto"/>
        <w:ind w:right="97"/>
        <w:jc w:val="center"/>
      </w:pPr>
      <w:r>
        <w:t>3</w:t>
      </w:r>
    </w:p>
    <w:p w:rsidR="00CF5A29" w:rsidRPr="005E4A73" w:rsidRDefault="00CF5A29" w:rsidP="00ED3F47">
      <w:pPr>
        <w:numPr>
          <w:ilvl w:val="0"/>
          <w:numId w:val="39"/>
        </w:numPr>
        <w:tabs>
          <w:tab w:val="clear" w:pos="720"/>
          <w:tab w:val="num" w:pos="-1980"/>
        </w:tabs>
        <w:spacing w:after="0" w:line="360" w:lineRule="auto"/>
        <w:ind w:left="540" w:right="97" w:hanging="540"/>
        <w:jc w:val="both"/>
      </w:pPr>
      <w:r w:rsidRPr="005E4A73">
        <w:t>Виділити фактори, які сприяють виникненню РШ, ви</w:t>
      </w:r>
      <w:r>
        <w:t>разити їх</w:t>
      </w:r>
      <w:r w:rsidRPr="005E4A73">
        <w:t xml:space="preserve"> кількісно й визначити рангове місце кожного фактора.</w:t>
      </w:r>
    </w:p>
    <w:p w:rsidR="00CF5A29" w:rsidRPr="005E4A73" w:rsidRDefault="00CF5A29" w:rsidP="00ED3F47">
      <w:pPr>
        <w:numPr>
          <w:ilvl w:val="0"/>
          <w:numId w:val="39"/>
        </w:numPr>
        <w:tabs>
          <w:tab w:val="clear" w:pos="720"/>
          <w:tab w:val="num" w:pos="-1980"/>
        </w:tabs>
        <w:spacing w:after="0" w:line="360" w:lineRule="auto"/>
        <w:ind w:left="540" w:right="97" w:hanging="540"/>
        <w:jc w:val="both"/>
      </w:pPr>
      <w:r w:rsidRPr="005E4A73">
        <w:t xml:space="preserve">Вивчити фактори ризику </w:t>
      </w:r>
      <w:r>
        <w:t>РШ</w:t>
      </w:r>
      <w:r w:rsidRPr="005E4A73">
        <w:t xml:space="preserve"> з урахуванням статевих відмінностей.</w:t>
      </w:r>
    </w:p>
    <w:p w:rsidR="00CF5A29" w:rsidRPr="005E4A73" w:rsidRDefault="00CF5A29" w:rsidP="00ED3F47">
      <w:pPr>
        <w:numPr>
          <w:ilvl w:val="0"/>
          <w:numId w:val="39"/>
        </w:numPr>
        <w:tabs>
          <w:tab w:val="clear" w:pos="720"/>
          <w:tab w:val="num" w:pos="-1980"/>
        </w:tabs>
        <w:spacing w:after="0" w:line="360" w:lineRule="auto"/>
        <w:ind w:left="540" w:right="97" w:hanging="540"/>
        <w:jc w:val="both"/>
      </w:pPr>
      <w:r w:rsidRPr="005E4A73">
        <w:t>Обґрунтувати доцільність розподілення контингенту на груп</w:t>
      </w:r>
      <w:r>
        <w:t>и ризику виникнення РШ</w:t>
      </w:r>
      <w:r w:rsidRPr="005E4A73">
        <w:t xml:space="preserve"> на рівні поліклінічної ланки.</w:t>
      </w:r>
    </w:p>
    <w:p w:rsidR="00CF5A29" w:rsidRPr="005E4A73" w:rsidRDefault="00CF5A29" w:rsidP="00ED3F47">
      <w:pPr>
        <w:numPr>
          <w:ilvl w:val="0"/>
          <w:numId w:val="39"/>
        </w:numPr>
        <w:tabs>
          <w:tab w:val="clear" w:pos="720"/>
          <w:tab w:val="num" w:pos="-1980"/>
        </w:tabs>
        <w:spacing w:after="0" w:line="360" w:lineRule="auto"/>
        <w:ind w:left="540" w:right="97" w:hanging="540"/>
        <w:jc w:val="both"/>
      </w:pPr>
      <w:r w:rsidRPr="005E4A73">
        <w:t>Розробити анк</w:t>
      </w:r>
      <w:r>
        <w:t>ету −</w:t>
      </w:r>
      <w:r w:rsidRPr="005E4A73">
        <w:t xml:space="preserve"> опитувальник для використання на першому етапі скринінгу з метою раннього розпізнав</w:t>
      </w:r>
      <w:r>
        <w:t>ання РШ</w:t>
      </w:r>
      <w:r w:rsidRPr="005E4A73">
        <w:t>.</w:t>
      </w:r>
    </w:p>
    <w:p w:rsidR="00CF5A29" w:rsidRPr="005E4A73" w:rsidRDefault="00CF5A29" w:rsidP="00ED3F47">
      <w:pPr>
        <w:numPr>
          <w:ilvl w:val="0"/>
          <w:numId w:val="39"/>
        </w:numPr>
        <w:tabs>
          <w:tab w:val="clear" w:pos="720"/>
          <w:tab w:val="num" w:pos="-1980"/>
        </w:tabs>
        <w:spacing w:after="0" w:line="360" w:lineRule="auto"/>
        <w:ind w:left="540" w:right="97" w:hanging="540"/>
        <w:jc w:val="both"/>
      </w:pPr>
      <w:r w:rsidRPr="005E4A73">
        <w:t>Проаналізувати результати апробації розробленої анкети-опитувальника з мето</w:t>
      </w:r>
      <w:r>
        <w:t>ю раннього виявлення РШ</w:t>
      </w:r>
      <w:r w:rsidRPr="005E4A73">
        <w:t xml:space="preserve"> на рівні поліклінічної ланки.</w:t>
      </w:r>
    </w:p>
    <w:p w:rsidR="00CF5A29" w:rsidRPr="00B36E4E" w:rsidRDefault="00CF5A29" w:rsidP="00CF5A29">
      <w:pPr>
        <w:spacing w:line="360" w:lineRule="auto"/>
        <w:ind w:firstLine="540"/>
        <w:jc w:val="both"/>
      </w:pPr>
      <w:r w:rsidRPr="005E4A73">
        <w:rPr>
          <w:i/>
        </w:rPr>
        <w:t xml:space="preserve">Об’єкт дослідження: </w:t>
      </w:r>
      <w:r>
        <w:t>х</w:t>
      </w:r>
      <w:r w:rsidRPr="005E4A73">
        <w:t>ворі на РШ, та хворі без злоякісного захворювання шлунка.</w:t>
      </w:r>
    </w:p>
    <w:p w:rsidR="00CF5A29" w:rsidRPr="00B36E4E" w:rsidRDefault="00CF5A29" w:rsidP="00CF5A29">
      <w:pPr>
        <w:pStyle w:val="af6"/>
        <w:ind w:firstLine="540"/>
        <w:rPr>
          <w:bCs/>
        </w:rPr>
      </w:pPr>
      <w:r w:rsidRPr="005E4A73">
        <w:rPr>
          <w:i/>
          <w:iCs/>
        </w:rPr>
        <w:t>Предмет дослідження</w:t>
      </w:r>
      <w:r>
        <w:rPr>
          <w:i/>
          <w:iCs/>
        </w:rPr>
        <w:t>:</w:t>
      </w:r>
      <w:r>
        <w:t xml:space="preserve"> фактори ризику розвитку раку</w:t>
      </w:r>
      <w:r w:rsidRPr="005E4A73">
        <w:t xml:space="preserve"> шлунка, статистичний аналіз інформативності факторів ризику РШ, система скринінгу РШ.</w:t>
      </w:r>
    </w:p>
    <w:p w:rsidR="00CF5A29" w:rsidRPr="003E53E3" w:rsidRDefault="00CF5A29" w:rsidP="00CF5A29">
      <w:pPr>
        <w:spacing w:line="360" w:lineRule="auto"/>
        <w:ind w:right="-2" w:firstLine="567"/>
        <w:jc w:val="both"/>
        <w:rPr>
          <w:bCs/>
        </w:rPr>
      </w:pPr>
      <w:r w:rsidRPr="005E4A73">
        <w:rPr>
          <w:i/>
          <w:iCs/>
        </w:rPr>
        <w:t>Методи дослідження</w:t>
      </w:r>
      <w:r>
        <w:rPr>
          <w:i/>
          <w:iCs/>
        </w:rPr>
        <w:t>:</w:t>
      </w:r>
      <w:r>
        <w:t xml:space="preserve"> в</w:t>
      </w:r>
      <w:r w:rsidRPr="005E4A73">
        <w:t>икористана якісна і кіл</w:t>
      </w:r>
      <w:r>
        <w:t xml:space="preserve">ькісна інформація, що включала </w:t>
      </w:r>
      <w:r w:rsidRPr="005E4A73">
        <w:t>стандартні клінічні і лабораторні дослідження, імунологічні дослідження, методи променевої діагностики (рентгенологічні, УЗД, КТ)</w:t>
      </w:r>
      <w:r w:rsidRPr="005E4A73">
        <w:rPr>
          <w:bCs/>
        </w:rPr>
        <w:t xml:space="preserve">, </w:t>
      </w:r>
      <w:r w:rsidRPr="005E4A73">
        <w:t>ендоскопічні дослідження (езофагогастродуоденоскопія), цитологічні і гістологічні дослідження (морфологічна верифікація пухлини), методи статистичного аналізу (в тому числі метод кореляційної оцінки за критерієм Спірмана і метод рангової оцінки Неймана-Пірсона).</w:t>
      </w:r>
    </w:p>
    <w:p w:rsidR="00CF5A29" w:rsidRPr="000539E1" w:rsidRDefault="00CF5A29" w:rsidP="00CF5A29">
      <w:pPr>
        <w:spacing w:line="360" w:lineRule="auto"/>
        <w:ind w:firstLine="540"/>
        <w:jc w:val="both"/>
        <w:rPr>
          <w:b/>
          <w:bCs/>
        </w:rPr>
      </w:pPr>
      <w:r w:rsidRPr="005E4A73">
        <w:rPr>
          <w:b/>
          <w:bCs/>
        </w:rPr>
        <w:t xml:space="preserve">Наукова новизна одержаних результатів. </w:t>
      </w:r>
      <w:r w:rsidRPr="005E4A73">
        <w:t xml:space="preserve">Встановлено, що метод рангової правдоподібності здатний об’єктивно надати кількісну оцінку факторам виникнення РШ. </w:t>
      </w:r>
    </w:p>
    <w:p w:rsidR="00CF5A29" w:rsidRDefault="00CF5A29" w:rsidP="00CF5A29">
      <w:pPr>
        <w:spacing w:line="360" w:lineRule="auto"/>
        <w:ind w:firstLine="540"/>
        <w:jc w:val="both"/>
      </w:pPr>
      <w:r w:rsidRPr="005E4A73">
        <w:t xml:space="preserve">За допомогою проведеного багатофакторного аналізу виявлено негативні фактори, що викликають розвиток РШ і можуть бути використані в розробці профілактичних заходів для запобігання захворювання. </w:t>
      </w:r>
    </w:p>
    <w:p w:rsidR="00CF5A29" w:rsidRPr="008D7FA1" w:rsidRDefault="00CF5A29" w:rsidP="00CF5A29">
      <w:pPr>
        <w:spacing w:line="360" w:lineRule="auto"/>
        <w:ind w:firstLine="540"/>
        <w:jc w:val="both"/>
      </w:pPr>
      <w:r w:rsidRPr="005E4A73">
        <w:t>Встановлено фактори ризику РШ</w:t>
      </w:r>
      <w:r>
        <w:t xml:space="preserve"> з урахуванням статевих відмінностей</w:t>
      </w:r>
      <w:r w:rsidRPr="005E4A73">
        <w:t>.</w:t>
      </w:r>
    </w:p>
    <w:p w:rsidR="00CF5A29" w:rsidRPr="005E4A73" w:rsidRDefault="00CF5A29" w:rsidP="00CF5A29">
      <w:pPr>
        <w:spacing w:line="360" w:lineRule="auto"/>
        <w:ind w:firstLine="540"/>
        <w:jc w:val="both"/>
      </w:pPr>
      <w:r>
        <w:t>Доведена і науково обґрунтована доцільність</w:t>
      </w:r>
      <w:r w:rsidRPr="005E4A73">
        <w:t xml:space="preserve"> розподілу контингенту пацієнтів поліклінічної ланки на малий, середній і високий ризик розвитку РШ, що дозволило оптимізувати скринінговий підхід раннього розпізнавання захворювання.</w:t>
      </w:r>
    </w:p>
    <w:p w:rsidR="00CF5A29" w:rsidRDefault="00CF5A29" w:rsidP="00CF5A29">
      <w:pPr>
        <w:spacing w:line="360" w:lineRule="auto"/>
        <w:ind w:firstLine="540"/>
        <w:jc w:val="both"/>
      </w:pPr>
      <w:r w:rsidRPr="005E4A73">
        <w:rPr>
          <w:b/>
          <w:bCs/>
        </w:rPr>
        <w:lastRenderedPageBreak/>
        <w:t>Практичне значення одержаних результатів.</w:t>
      </w:r>
      <w:r w:rsidRPr="005E4A73">
        <w:t xml:space="preserve"> Розроблено спосіб скринінгу РШ з формуванням груп хворих по ступенях ризику, з метою наступного їхнього обстеження</w:t>
      </w:r>
      <w:r>
        <w:t xml:space="preserve">. </w:t>
      </w:r>
    </w:p>
    <w:p w:rsidR="00CF5A29" w:rsidRDefault="00CF5A29" w:rsidP="00CF5A29">
      <w:pPr>
        <w:spacing w:line="360" w:lineRule="auto"/>
        <w:ind w:firstLine="540"/>
        <w:jc w:val="both"/>
      </w:pPr>
      <w:r>
        <w:t>Запропонована програма скринінгу, яка дозволила</w:t>
      </w:r>
      <w:r w:rsidRPr="00D135DA">
        <w:t xml:space="preserve"> поліпшити розпізнавання РШ </w:t>
      </w:r>
      <w:r>
        <w:t>на ранніх стадіях захворювання і таким чином поліпшити результати лікування.</w:t>
      </w:r>
      <w:r w:rsidRPr="00206F25">
        <w:t xml:space="preserve"> </w:t>
      </w:r>
      <w:r w:rsidRPr="005E4A73">
        <w:t>Аналіз попередньої оцінки результатів скринінгу показав можливість вірогідного підвищення діагностики РШ на 8% на ранніх (</w:t>
      </w:r>
      <w:r w:rsidRPr="005E4A73">
        <w:rPr>
          <w:lang w:val="en-US"/>
        </w:rPr>
        <w:t>I</w:t>
      </w:r>
      <w:r w:rsidRPr="00AF4180">
        <w:t>−</w:t>
      </w:r>
      <w:r w:rsidRPr="005E4A73">
        <w:rPr>
          <w:lang w:val="en-US"/>
        </w:rPr>
        <w:t>II</w:t>
      </w:r>
      <w:r w:rsidRPr="005E4A73">
        <w:t>) стадіях.</w:t>
      </w:r>
      <w:r w:rsidRPr="004E6565">
        <w:t xml:space="preserve"> </w:t>
      </w:r>
    </w:p>
    <w:p w:rsidR="00CF5A29" w:rsidRDefault="00CF5A29" w:rsidP="00CF5A29">
      <w:pPr>
        <w:spacing w:line="360" w:lineRule="auto"/>
        <w:ind w:right="97" w:firstLine="540"/>
        <w:jc w:val="both"/>
      </w:pPr>
    </w:p>
    <w:p w:rsidR="00CF5A29" w:rsidRDefault="00CF5A29" w:rsidP="00CF5A29">
      <w:pPr>
        <w:spacing w:line="360" w:lineRule="auto"/>
        <w:ind w:right="97" w:firstLine="540"/>
        <w:jc w:val="center"/>
      </w:pPr>
      <w:r>
        <w:t>4</w:t>
      </w:r>
    </w:p>
    <w:p w:rsidR="00CF5A29" w:rsidRPr="00D135DA" w:rsidRDefault="00CF5A29" w:rsidP="00CF5A29">
      <w:pPr>
        <w:spacing w:line="360" w:lineRule="auto"/>
        <w:ind w:right="97" w:firstLine="540"/>
        <w:jc w:val="both"/>
      </w:pPr>
      <w:r>
        <w:t>Обґрунтовано</w:t>
      </w:r>
      <w:r w:rsidRPr="005E4A73">
        <w:t xml:space="preserve"> причини захворювання у групі хворих підв</w:t>
      </w:r>
      <w:r>
        <w:t xml:space="preserve">ищеного ризику, </w:t>
      </w:r>
      <w:r w:rsidRPr="005E4A73">
        <w:t>виявлені найважливіші фактори в ранній стадії захворюван</w:t>
      </w:r>
      <w:r>
        <w:t>ня. П</w:t>
      </w:r>
      <w:r w:rsidRPr="005E4A73">
        <w:t xml:space="preserve">редставлена можливість проведення індивідуальних профілактичних заходів для зниження захворювання на </w:t>
      </w:r>
      <w:r>
        <w:t>РШ</w:t>
      </w:r>
      <w:r w:rsidRPr="005E4A73">
        <w:t>.</w:t>
      </w:r>
    </w:p>
    <w:p w:rsidR="00CF5A29" w:rsidRPr="005E4A73" w:rsidRDefault="00CF5A29" w:rsidP="00CF5A29">
      <w:pPr>
        <w:spacing w:line="360" w:lineRule="auto"/>
        <w:ind w:firstLine="540"/>
        <w:jc w:val="both"/>
      </w:pPr>
      <w:r>
        <w:t xml:space="preserve">Результати дослідження впроваджені у практику роботи </w:t>
      </w:r>
      <w:r w:rsidRPr="005E4A73">
        <w:t>поліклінік, лікувально-профілактичних установ, санаторно-курортних закладів.</w:t>
      </w:r>
      <w:r w:rsidRPr="00802BA1">
        <w:t xml:space="preserve"> </w:t>
      </w:r>
    </w:p>
    <w:p w:rsidR="00CF5A29" w:rsidRDefault="00CF5A29" w:rsidP="00CF5A29">
      <w:pPr>
        <w:shd w:val="clear" w:color="auto" w:fill="FFFFFF"/>
        <w:spacing w:line="360" w:lineRule="auto"/>
        <w:ind w:right="29" w:firstLine="560"/>
        <w:jc w:val="both"/>
      </w:pPr>
      <w:r w:rsidRPr="005E4A73">
        <w:rPr>
          <w:b/>
          <w:bCs/>
        </w:rPr>
        <w:t>Особистий внесок здобувача.</w:t>
      </w:r>
      <w:r w:rsidRPr="005E4A73">
        <w:t xml:space="preserve"> Спільно з науковим керівником визначено тему дисертаційної роботи і, на підставі самостійно проведеного інформаційно-патентного пошуку та аналізу наукової літератури за темою, сформульована мета і завдання дослідження, обрані об’єм та необхідні методи дослідження. </w:t>
      </w:r>
    </w:p>
    <w:p w:rsidR="00CF5A29" w:rsidRDefault="00CF5A29" w:rsidP="00CF5A29">
      <w:pPr>
        <w:shd w:val="clear" w:color="auto" w:fill="FFFFFF"/>
        <w:spacing w:line="360" w:lineRule="auto"/>
        <w:ind w:right="29" w:firstLine="560"/>
        <w:jc w:val="both"/>
      </w:pPr>
      <w:r w:rsidRPr="005E4A73">
        <w:t xml:space="preserve">Дисертант самостійно провела аналіз архівних даних факторів ризику раку шлунка на різних стадіях його розвитку. Здобувачем особисто розроблено анкету–опитувальник для пацієнтів по виявленню груп ризику </w:t>
      </w:r>
      <w:r>
        <w:t>на ранніх стадіях розвитку РШ, р</w:t>
      </w:r>
      <w:r w:rsidRPr="005E4A73">
        <w:t>озроблено оригінальний спосіб скринінгу РШ груп ризику</w:t>
      </w:r>
      <w:r>
        <w:t xml:space="preserve"> </w:t>
      </w:r>
      <w:r w:rsidRPr="005E4A73">
        <w:t xml:space="preserve">(деклараційний патент </w:t>
      </w:r>
      <w:r>
        <w:t>України №</w:t>
      </w:r>
      <w:r w:rsidRPr="005E4A73">
        <w:t>17027).</w:t>
      </w:r>
      <w:r>
        <w:t xml:space="preserve"> </w:t>
      </w:r>
    </w:p>
    <w:p w:rsidR="00CF5A29" w:rsidRPr="005E4A73" w:rsidRDefault="00CF5A29" w:rsidP="00CF5A29">
      <w:pPr>
        <w:shd w:val="clear" w:color="auto" w:fill="FFFFFF"/>
        <w:spacing w:line="360" w:lineRule="auto"/>
        <w:ind w:right="29" w:firstLine="560"/>
        <w:jc w:val="both"/>
      </w:pPr>
      <w:r w:rsidRPr="005E4A73">
        <w:t>Автор особисто проаналізувала та узагальнила одержані результати досліджень, провела статистичну обробку отриманих результатів. Дисертантом самостійно написано всі розділи дисертації, сформульовано висновки, запропоновано практичні рекомендації. Автор самостійно підготувала наукові матеріали, які відображують дисертаційну роботу, до публікації.</w:t>
      </w:r>
    </w:p>
    <w:p w:rsidR="00CF5A29" w:rsidRPr="005D79BB" w:rsidRDefault="00CF5A29" w:rsidP="00CF5A29">
      <w:pPr>
        <w:spacing w:line="360" w:lineRule="auto"/>
        <w:ind w:firstLine="540"/>
        <w:jc w:val="both"/>
      </w:pPr>
      <w:r w:rsidRPr="005E4A73">
        <w:rPr>
          <w:b/>
          <w:bCs/>
        </w:rPr>
        <w:t>Апробація роботи.</w:t>
      </w:r>
      <w:r w:rsidRPr="005E4A73">
        <w:rPr>
          <w:i/>
        </w:rPr>
        <w:t xml:space="preserve"> </w:t>
      </w:r>
      <w:r w:rsidRPr="005D79BB">
        <w:t>Основні положення й результати наукової праці представлені у вигляді доповідей на міжнародному н</w:t>
      </w:r>
      <w:r>
        <w:t>ауковому форумі (</w:t>
      </w:r>
      <w:r w:rsidRPr="005D79BB">
        <w:t xml:space="preserve">Москва </w:t>
      </w:r>
      <w:r>
        <w:t>1999</w:t>
      </w:r>
      <w:r w:rsidRPr="005D79BB">
        <w:t>), на III з'їзді онкологів</w:t>
      </w:r>
      <w:r>
        <w:t xml:space="preserve"> і радіологів СНД (</w:t>
      </w:r>
      <w:r w:rsidRPr="005D79BB">
        <w:t>Мінськ</w:t>
      </w:r>
      <w:r>
        <w:t xml:space="preserve"> 2004</w:t>
      </w:r>
      <w:r w:rsidRPr="005D79BB">
        <w:t xml:space="preserve">), на IY з'їзді Українського товариства терапевтичних радіологів і радіаційних </w:t>
      </w:r>
      <w:r>
        <w:t>онкологів (</w:t>
      </w:r>
      <w:r w:rsidRPr="005D79BB">
        <w:t xml:space="preserve"> Алушта</w:t>
      </w:r>
      <w:r>
        <w:t xml:space="preserve"> 2005</w:t>
      </w:r>
      <w:r w:rsidRPr="005D79BB">
        <w:t>), на IX з'їзді онкологі</w:t>
      </w:r>
      <w:r>
        <w:t>в України (</w:t>
      </w:r>
      <w:r w:rsidRPr="005D79BB">
        <w:t>Судак, АР Крим</w:t>
      </w:r>
      <w:r>
        <w:t xml:space="preserve"> 2006</w:t>
      </w:r>
      <w:r w:rsidRPr="005D79BB">
        <w:t>). Результати роботи повідомлені на сусп</w:t>
      </w:r>
      <w:r>
        <w:t xml:space="preserve">ільстві онкологів у ХОКОД, </w:t>
      </w:r>
      <w:r w:rsidRPr="005D79BB">
        <w:t>на хірургічній конференції в ХНИИОНХ, а так само на засіданнях наукових онкологічних і хірургічних товариств Харківської області</w:t>
      </w:r>
      <w:r>
        <w:t xml:space="preserve"> (2003-2006)</w:t>
      </w:r>
      <w:r w:rsidRPr="005D79BB">
        <w:t>.</w:t>
      </w:r>
    </w:p>
    <w:p w:rsidR="00CF5A29" w:rsidRPr="005E4A73" w:rsidRDefault="00CF5A29" w:rsidP="00CF5A29">
      <w:pPr>
        <w:shd w:val="clear" w:color="auto" w:fill="FFFFFF"/>
        <w:spacing w:line="360" w:lineRule="auto"/>
        <w:ind w:left="-5" w:right="29" w:firstLine="545"/>
        <w:jc w:val="both"/>
      </w:pPr>
      <w:r w:rsidRPr="005E4A73">
        <w:rPr>
          <w:b/>
          <w:bCs/>
        </w:rPr>
        <w:lastRenderedPageBreak/>
        <w:t>Публікації за темою дисертації.</w:t>
      </w:r>
      <w:r w:rsidRPr="005E4A73">
        <w:t xml:space="preserve"> За темою дисертації опубліковано 12 наукових праць, у тому числі 3 у вигляді статей у профільних наукових журналах, включених до переліку видань, рекомендованих ВАК України, у збірниках наукових праць, тезах доповідей на конференціях і з’їздах, одержано 1 патент України на винахід. </w:t>
      </w:r>
    </w:p>
    <w:p w:rsidR="00CF5A29" w:rsidRPr="00427E87" w:rsidRDefault="00CF5A29" w:rsidP="00CF5A29">
      <w:pPr>
        <w:shd w:val="clear" w:color="auto" w:fill="FFFFFF"/>
        <w:spacing w:line="360" w:lineRule="auto"/>
        <w:ind w:left="-5" w:right="29" w:firstLine="545"/>
        <w:jc w:val="both"/>
      </w:pPr>
      <w:r w:rsidRPr="005E4A73">
        <w:rPr>
          <w:b/>
          <w:bCs/>
        </w:rPr>
        <w:t>Структура та обсяг дисертації</w:t>
      </w:r>
      <w:r w:rsidRPr="005E4A73">
        <w:t xml:space="preserve">. Дисертація викладена на 173 сторінках друкованого тексту, складається з вступу, огляду літератури, 4 розділів власних досліджень, обговорення результатів, висновків, практичних рекомендацій і списку використаних джерел, який містить 182 посилання, у тому числі 121 вітчизняних авторів та країн СНД, 61 - іноземних авторів. Матеріали дисертації </w:t>
      </w:r>
      <w:r w:rsidRPr="00427E87">
        <w:t>ілюстровані 31 таблицею, 1 графіком та 2 діаграмами.</w:t>
      </w:r>
    </w:p>
    <w:p w:rsidR="00CF5A29" w:rsidRPr="00427E87" w:rsidRDefault="00CF5A29" w:rsidP="00CF5A29">
      <w:pPr>
        <w:shd w:val="clear" w:color="auto" w:fill="FFFFFF"/>
        <w:spacing w:line="360" w:lineRule="auto"/>
        <w:ind w:left="-5" w:right="29" w:firstLine="545"/>
        <w:jc w:val="center"/>
      </w:pPr>
      <w:r>
        <w:t>5</w:t>
      </w:r>
    </w:p>
    <w:p w:rsidR="00CF5A29" w:rsidRPr="00427E87" w:rsidRDefault="00CF5A29" w:rsidP="00CF5A29">
      <w:pPr>
        <w:pStyle w:val="30"/>
        <w:spacing w:line="360" w:lineRule="auto"/>
      </w:pPr>
      <w:r w:rsidRPr="00427E87">
        <w:t>ОСНОВНИЙ ЗМІСТ РОБОТИ</w:t>
      </w:r>
    </w:p>
    <w:p w:rsidR="00CF5A29" w:rsidRPr="005E4A73" w:rsidRDefault="00CF5A29" w:rsidP="00CF5A29">
      <w:pPr>
        <w:spacing w:line="360" w:lineRule="auto"/>
        <w:ind w:firstLine="540"/>
        <w:jc w:val="both"/>
      </w:pPr>
      <w:r>
        <w:rPr>
          <w:b/>
          <w:bCs/>
        </w:rPr>
        <w:t>Матеріал</w:t>
      </w:r>
      <w:r w:rsidRPr="00427E87">
        <w:rPr>
          <w:b/>
          <w:bCs/>
        </w:rPr>
        <w:t xml:space="preserve"> та методи дослідження.</w:t>
      </w:r>
      <w:r w:rsidRPr="00427E87">
        <w:t xml:space="preserve"> Для досягнення поставленої мети досліджено 614 пацієнтів. Заплановане дослідження передбачало порівняльну оцінку</w:t>
      </w:r>
      <w:r w:rsidRPr="005E4A73">
        <w:t xml:space="preserve"> відповідних параметрів (факторів) у двох альтернативних рандогрупах</w:t>
      </w:r>
      <w:r>
        <w:t xml:space="preserve">  </w:t>
      </w:r>
      <w:r w:rsidRPr="005E4A73">
        <w:t>пацієнтів</w:t>
      </w:r>
      <w:r w:rsidRPr="005E4A73">
        <w:rPr>
          <w:b/>
          <w:bCs/>
        </w:rPr>
        <w:t>:</w:t>
      </w:r>
      <w:r w:rsidRPr="005E4A73">
        <w:t xml:space="preserve"> контрольна </w:t>
      </w:r>
      <w:r>
        <w:t>група - «умовно здорові» ─ це пацієнти</w:t>
      </w:r>
      <w:r w:rsidRPr="005E4A73">
        <w:t xml:space="preserve"> з різними захворюваннями шлункового тракту або іншою соматичною патологією, з вірогідним виключенн</w:t>
      </w:r>
      <w:r>
        <w:t>ям злоякісного процесу (</w:t>
      </w:r>
      <w:r w:rsidRPr="005E4A73">
        <w:t>312 осіб</w:t>
      </w:r>
      <w:r>
        <w:t>), і</w:t>
      </w:r>
      <w:r w:rsidRPr="005E4A73">
        <w:t xml:space="preserve"> основна група хворих, з наявністю вірогідно встановленого </w:t>
      </w:r>
      <w:r>
        <w:t>РШ (</w:t>
      </w:r>
      <w:r w:rsidRPr="005E4A73">
        <w:t>302 особи</w:t>
      </w:r>
      <w:r>
        <w:t>)</w:t>
      </w:r>
      <w:r w:rsidRPr="005E4A73">
        <w:t>.</w:t>
      </w:r>
    </w:p>
    <w:p w:rsidR="00CF5A29" w:rsidRDefault="00CF5A29" w:rsidP="00CF5A29">
      <w:pPr>
        <w:spacing w:line="360" w:lineRule="auto"/>
        <w:ind w:firstLine="540"/>
        <w:jc w:val="both"/>
      </w:pPr>
      <w:r w:rsidRPr="005E4A73">
        <w:t>Основна група хвори</w:t>
      </w:r>
      <w:r>
        <w:t>х (РШ) сформована</w:t>
      </w:r>
      <w:r w:rsidRPr="005E4A73">
        <w:t xml:space="preserve"> у Харківському обласному клінічному онкологічному диспан</w:t>
      </w:r>
      <w:r>
        <w:t xml:space="preserve">сері. Хворі </w:t>
      </w:r>
      <w:r w:rsidRPr="005E4A73">
        <w:t>одержували різні види лікування від радикального до паліативного. Однак з урахуванням поставлених задач нашого дослідження, результати лікування аналізові не підлягали.</w:t>
      </w:r>
      <w:r w:rsidRPr="00427E87">
        <w:t xml:space="preserve"> </w:t>
      </w:r>
      <w:r>
        <w:t>Контрольна</w:t>
      </w:r>
      <w:r w:rsidRPr="005E4A73">
        <w:t xml:space="preserve"> група перебувала на диспансерному спостереженні в районній поліклініці № 26, зі щорічним обстеженням, амбулаторним чи стаціонарним лікуванням</w:t>
      </w:r>
      <w:r>
        <w:t>.</w:t>
      </w:r>
    </w:p>
    <w:p w:rsidR="00CF5A29" w:rsidRPr="005E4A73" w:rsidRDefault="00CF5A29" w:rsidP="00CF5A29">
      <w:pPr>
        <w:spacing w:line="360" w:lineRule="auto"/>
        <w:ind w:firstLine="540"/>
        <w:jc w:val="both"/>
      </w:pPr>
      <w:r w:rsidRPr="005E4A73">
        <w:t xml:space="preserve">Згідно </w:t>
      </w:r>
      <w:r>
        <w:t xml:space="preserve">досліджених нами даних літератури, </w:t>
      </w:r>
      <w:r w:rsidRPr="005E4A73">
        <w:t>було</w:t>
      </w:r>
      <w:r>
        <w:t xml:space="preserve"> виділено 22 </w:t>
      </w:r>
      <w:r w:rsidRPr="005E4A73">
        <w:t xml:space="preserve">фактора ризику виникнення </w:t>
      </w:r>
      <w:r>
        <w:t>РШ</w:t>
      </w:r>
      <w:r w:rsidRPr="005E4A73">
        <w:t xml:space="preserve"> по 117 параметрах. Шляхом порівняння частоти відібраних </w:t>
      </w:r>
      <w:r>
        <w:t xml:space="preserve">факторів </w:t>
      </w:r>
      <w:r w:rsidRPr="005E4A73">
        <w:t xml:space="preserve">визначали інформативну цінність кожного </w:t>
      </w:r>
      <w:r>
        <w:t>з них</w:t>
      </w:r>
      <w:r w:rsidRPr="005E4A73">
        <w:t>, що й було основою для подальшого аналізу і формування груп за ступенем ризику.</w:t>
      </w:r>
      <w:r>
        <w:t xml:space="preserve"> </w:t>
      </w:r>
      <w:r w:rsidRPr="005E4A73">
        <w:t>Отримані в такий спосіб результати</w:t>
      </w:r>
      <w:r>
        <w:t>,</w:t>
      </w:r>
      <w:r w:rsidRPr="005E4A73">
        <w:t xml:space="preserve"> після відповідної обробки, покладені в основу нової скринінгової системи для раннього розпізнавання </w:t>
      </w:r>
      <w:r>
        <w:t>РШ.</w:t>
      </w:r>
    </w:p>
    <w:p w:rsidR="00CF5A29" w:rsidRPr="005E4A73" w:rsidRDefault="00CF5A29" w:rsidP="00CF5A29">
      <w:pPr>
        <w:pStyle w:val="af4"/>
        <w:spacing w:line="360" w:lineRule="auto"/>
        <w:ind w:firstLine="540"/>
        <w:rPr>
          <w:sz w:val="24"/>
          <w:lang w:val="uk-UA"/>
        </w:rPr>
      </w:pPr>
      <w:r>
        <w:rPr>
          <w:sz w:val="24"/>
          <w:lang w:val="uk-UA"/>
        </w:rPr>
        <w:t>Ф</w:t>
      </w:r>
      <w:r w:rsidRPr="005E4A73">
        <w:rPr>
          <w:sz w:val="24"/>
          <w:lang w:val="uk-UA"/>
        </w:rPr>
        <w:t xml:space="preserve">актори </w:t>
      </w:r>
      <w:r>
        <w:rPr>
          <w:sz w:val="24"/>
          <w:lang w:val="uk-UA"/>
        </w:rPr>
        <w:t xml:space="preserve">ризику РШ </w:t>
      </w:r>
      <w:r w:rsidRPr="005E4A73">
        <w:rPr>
          <w:sz w:val="24"/>
          <w:lang w:val="uk-UA"/>
        </w:rPr>
        <w:t>були розподілені на дві групи:</w:t>
      </w:r>
    </w:p>
    <w:p w:rsidR="00CF5A29" w:rsidRPr="005E4A73" w:rsidRDefault="00CF5A29" w:rsidP="00CF5A29">
      <w:pPr>
        <w:spacing w:line="360" w:lineRule="auto"/>
        <w:jc w:val="both"/>
      </w:pPr>
      <w:r w:rsidRPr="005E4A73">
        <w:t>1) група ендогенних факторі</w:t>
      </w:r>
      <w:r>
        <w:t>в за демографічними показниками;</w:t>
      </w:r>
    </w:p>
    <w:p w:rsidR="00CF5A29" w:rsidRPr="005E4A73" w:rsidRDefault="00CF5A29" w:rsidP="00CF5A29">
      <w:pPr>
        <w:spacing w:line="360" w:lineRule="auto"/>
        <w:jc w:val="both"/>
      </w:pPr>
      <w:r w:rsidRPr="005E4A73">
        <w:t>2) група екзогенних факторів - параметри середовища, у якому перебуває пацієнт, спосіб його життя і харчування.</w:t>
      </w:r>
    </w:p>
    <w:p w:rsidR="00CF5A29" w:rsidRPr="005E4A73" w:rsidRDefault="00CF5A29" w:rsidP="00CF5A29">
      <w:pPr>
        <w:spacing w:line="360" w:lineRule="auto"/>
        <w:ind w:firstLine="540"/>
        <w:jc w:val="both"/>
      </w:pPr>
      <w:r>
        <w:lastRenderedPageBreak/>
        <w:t>РШ</w:t>
      </w:r>
      <w:r w:rsidRPr="005E4A73">
        <w:t xml:space="preserve">, як відомо, характеризується значною частотою захворювання серед чоловічого населення. Це стало підставою для вивчення найбільш характерних факторів захворювання з урахуванням статевих відмінностей. У цьому випадку були так само вивчені ендогенні й екзогенні параметри, характерні для хворих чоловіків і жінок. Роль факторів харчування і способи життя, відповідно до статевих відмінностей, а також особливості впливу факторів ризику виникнення </w:t>
      </w:r>
      <w:r>
        <w:t>РШ</w:t>
      </w:r>
      <w:r w:rsidRPr="005E4A73">
        <w:t xml:space="preserve"> на пацієнтів чоловічої і жіночої статі за основними параметрами (локалізація раку, морфологічна будова, стадія, терміни звертання за медичною допомогою, особливості розпочатого лікування, найближчі і віддалені наслідки).</w:t>
      </w:r>
      <w:r>
        <w:t xml:space="preserve"> Проведено оцінку</w:t>
      </w:r>
      <w:r w:rsidRPr="005E4A73">
        <w:t xml:space="preserve"> гормонального статусу </w:t>
      </w:r>
      <w:r w:rsidRPr="005E4A73">
        <w:rPr>
          <w:b/>
        </w:rPr>
        <w:t xml:space="preserve">: </w:t>
      </w:r>
      <w:r w:rsidRPr="005E4A73">
        <w:rPr>
          <w:bCs/>
        </w:rPr>
        <w:t>а)</w:t>
      </w:r>
      <w:r w:rsidRPr="005E4A73">
        <w:t xml:space="preserve"> тиреотропний гормон (ТТГ) – гормон гіпофіза; б) естрогени; в) андрогени, г) трийодотироні</w:t>
      </w:r>
      <w:r>
        <w:t xml:space="preserve">н </w:t>
      </w:r>
      <w:r w:rsidRPr="005E4A73">
        <w:t>(Т</w:t>
      </w:r>
      <w:r w:rsidRPr="005E4A73">
        <w:rPr>
          <w:vertAlign w:val="subscript"/>
        </w:rPr>
        <w:t>3</w:t>
      </w:r>
      <w:r w:rsidRPr="005E4A73">
        <w:t>) і д)тироксин (Т</w:t>
      </w:r>
      <w:r w:rsidRPr="005E4A73">
        <w:rPr>
          <w:vertAlign w:val="subscript"/>
        </w:rPr>
        <w:t>4</w:t>
      </w:r>
      <w:r w:rsidRPr="005E4A73">
        <w:t>) - гормони щитоподібної залози</w:t>
      </w:r>
      <w:r>
        <w:rPr>
          <w:b/>
        </w:rPr>
        <w:t>.</w:t>
      </w:r>
    </w:p>
    <w:p w:rsidR="00CF5A29" w:rsidRDefault="00CF5A29" w:rsidP="00CF5A29">
      <w:pPr>
        <w:pStyle w:val="32"/>
        <w:spacing w:line="360" w:lineRule="auto"/>
      </w:pPr>
      <w:r w:rsidRPr="005E4A73">
        <w:t xml:space="preserve">Особливого значення при проведенні дослідження надавали статистичним методам оцінки, що дозволило порівнювану інформацію факторів ризику </w:t>
      </w:r>
      <w:r>
        <w:t>РШ</w:t>
      </w:r>
      <w:r w:rsidRPr="005E4A73">
        <w:t xml:space="preserve"> перевести в кількісну.</w:t>
      </w:r>
    </w:p>
    <w:p w:rsidR="00CF5A29" w:rsidRDefault="00CF5A29" w:rsidP="00CF5A29">
      <w:pPr>
        <w:pStyle w:val="32"/>
        <w:spacing w:line="360" w:lineRule="auto"/>
        <w:jc w:val="center"/>
      </w:pPr>
      <w:r>
        <w:t>6</w:t>
      </w:r>
    </w:p>
    <w:p w:rsidR="00CF5A29" w:rsidRDefault="00CF5A29" w:rsidP="00CF5A29">
      <w:pPr>
        <w:tabs>
          <w:tab w:val="num" w:pos="-2340"/>
        </w:tabs>
        <w:spacing w:line="360" w:lineRule="auto"/>
        <w:jc w:val="both"/>
      </w:pPr>
      <w:r>
        <w:tab/>
        <w:t xml:space="preserve">Методи статистичного аналізу включали: </w:t>
      </w:r>
    </w:p>
    <w:p w:rsidR="00CF5A29" w:rsidRDefault="00CF5A29" w:rsidP="00ED3F47">
      <w:pPr>
        <w:numPr>
          <w:ilvl w:val="0"/>
          <w:numId w:val="44"/>
        </w:numPr>
        <w:spacing w:after="0" w:line="360" w:lineRule="auto"/>
        <w:jc w:val="both"/>
      </w:pPr>
      <w:r>
        <w:t>метод кореляційної оцінки за критерієм Спирмана,</w:t>
      </w:r>
    </w:p>
    <w:p w:rsidR="00CF5A29" w:rsidRDefault="00CF5A29" w:rsidP="00ED3F47">
      <w:pPr>
        <w:numPr>
          <w:ilvl w:val="0"/>
          <w:numId w:val="44"/>
        </w:numPr>
        <w:spacing w:after="0" w:line="360" w:lineRule="auto"/>
        <w:jc w:val="both"/>
      </w:pPr>
      <w:r>
        <w:t>оцінку вірогідності розходжень показників у групах за критерієм Стьюдента,</w:t>
      </w:r>
    </w:p>
    <w:p w:rsidR="00CF5A29" w:rsidRPr="00D75BBA" w:rsidRDefault="00CF5A29" w:rsidP="00ED3F47">
      <w:pPr>
        <w:numPr>
          <w:ilvl w:val="0"/>
          <w:numId w:val="44"/>
        </w:numPr>
        <w:spacing w:after="0" w:line="360" w:lineRule="auto"/>
        <w:jc w:val="both"/>
      </w:pPr>
      <w:r>
        <w:t>показник величини відповідності розходжень за критерієм (хі-квадрат),</w:t>
      </w:r>
    </w:p>
    <w:p w:rsidR="00CF5A29" w:rsidRDefault="00CF5A29" w:rsidP="00ED3F47">
      <w:pPr>
        <w:numPr>
          <w:ilvl w:val="0"/>
          <w:numId w:val="44"/>
        </w:numPr>
        <w:spacing w:after="0" w:line="360" w:lineRule="auto"/>
        <w:jc w:val="both"/>
      </w:pPr>
      <w:r>
        <w:t>метод рангової оцінки Неймана-Пирсона,</w:t>
      </w:r>
    </w:p>
    <w:p w:rsidR="00CF5A29" w:rsidRPr="00D75BBA" w:rsidRDefault="00CF5A29" w:rsidP="00ED3F47">
      <w:pPr>
        <w:numPr>
          <w:ilvl w:val="0"/>
          <w:numId w:val="44"/>
        </w:numPr>
        <w:spacing w:after="0" w:line="360" w:lineRule="auto"/>
        <w:jc w:val="both"/>
      </w:pPr>
      <w:r>
        <w:t>визначення критерію частоти зустрічання фактора</w:t>
      </w:r>
      <w:r>
        <w:rPr>
          <w:bCs/>
        </w:rPr>
        <w:t>.</w:t>
      </w:r>
    </w:p>
    <w:p w:rsidR="00CF5A29" w:rsidRPr="005E4A73" w:rsidRDefault="00CF5A29" w:rsidP="00CF5A29">
      <w:pPr>
        <w:pStyle w:val="32"/>
        <w:spacing w:line="360" w:lineRule="auto"/>
      </w:pPr>
    </w:p>
    <w:p w:rsidR="00CF5A29" w:rsidRDefault="00CF5A29" w:rsidP="00CF5A29">
      <w:pPr>
        <w:pStyle w:val="40"/>
        <w:ind w:firstLine="5"/>
      </w:pPr>
      <w:r w:rsidRPr="005E4A73">
        <w:t>РЕЗУЛЬТ</w:t>
      </w:r>
      <w:r>
        <w:t xml:space="preserve">АТИ ДОСЛІДЖЕНЬ І ЇХ ОБГОВОРЕННЯ </w:t>
      </w:r>
    </w:p>
    <w:p w:rsidR="00CF5A29" w:rsidRPr="00D515FB" w:rsidRDefault="00CF5A29" w:rsidP="00CF5A29"/>
    <w:p w:rsidR="00CF5A29" w:rsidRPr="005E4A73" w:rsidRDefault="00CF5A29" w:rsidP="00CF5A29">
      <w:pPr>
        <w:spacing w:line="360" w:lineRule="auto"/>
        <w:ind w:right="97" w:firstLine="540"/>
        <w:jc w:val="both"/>
      </w:pPr>
      <w:r w:rsidRPr="005E4A73">
        <w:t xml:space="preserve">Проведеним дослідженням виділено найбільш чіткі причини передпухлинного стану, що у більшій або в меншій ступінь впливають на процес виникнення </w:t>
      </w:r>
      <w:r>
        <w:t>РШ</w:t>
      </w:r>
      <w:r w:rsidRPr="005E4A73">
        <w:t xml:space="preserve">. </w:t>
      </w:r>
    </w:p>
    <w:p w:rsidR="00CF5A29" w:rsidRPr="000251C7" w:rsidRDefault="00CF5A29" w:rsidP="00CF5A29">
      <w:pPr>
        <w:pStyle w:val="af6"/>
        <w:ind w:firstLine="540"/>
        <w:rPr>
          <w:bCs/>
        </w:rPr>
      </w:pPr>
      <w:r>
        <w:t>Усі 22 фактори ризику РШ</w:t>
      </w:r>
      <w:r w:rsidRPr="005E4A73">
        <w:t xml:space="preserve">, що були виділені за вивченням огляду літератури, розподілені на 2 групи </w:t>
      </w:r>
      <w:r w:rsidRPr="005E4A73">
        <w:rPr>
          <w:b/>
          <w:bCs/>
        </w:rPr>
        <w:t>:</w:t>
      </w:r>
      <w:r w:rsidRPr="005E4A73">
        <w:t xml:space="preserve"> 10 ендогенних і 12 екзогенних факторів.</w:t>
      </w:r>
      <w:r>
        <w:t xml:space="preserve"> </w:t>
      </w:r>
    </w:p>
    <w:p w:rsidR="00CF5A29" w:rsidRPr="005E4A73" w:rsidRDefault="00CF5A29" w:rsidP="00CF5A29">
      <w:pPr>
        <w:pStyle w:val="af4"/>
        <w:spacing w:line="360" w:lineRule="auto"/>
        <w:ind w:firstLine="540"/>
        <w:rPr>
          <w:sz w:val="24"/>
          <w:lang w:val="uk-UA"/>
        </w:rPr>
      </w:pPr>
      <w:r w:rsidRPr="005E4A73">
        <w:rPr>
          <w:sz w:val="24"/>
          <w:lang w:val="uk-UA"/>
        </w:rPr>
        <w:t>Як виявилося, з ендогенних факторів ризику, найбільшу негативну</w:t>
      </w:r>
      <w:r>
        <w:rPr>
          <w:sz w:val="24"/>
          <w:lang w:val="uk-UA"/>
        </w:rPr>
        <w:t xml:space="preserve"> роль у виникненні РШ</w:t>
      </w:r>
      <w:r w:rsidRPr="005E4A73">
        <w:rPr>
          <w:sz w:val="24"/>
          <w:lang w:val="uk-UA"/>
        </w:rPr>
        <w:t xml:space="preserve"> відіграли</w:t>
      </w:r>
      <w:r w:rsidRPr="005E4A73">
        <w:rPr>
          <w:b/>
          <w:bCs/>
          <w:sz w:val="24"/>
          <w:lang w:val="uk-UA"/>
        </w:rPr>
        <w:t>:</w:t>
      </w:r>
      <w:r w:rsidRPr="005E4A73">
        <w:rPr>
          <w:sz w:val="24"/>
          <w:lang w:val="uk-UA"/>
        </w:rPr>
        <w:t xml:space="preserve"> вік, сімейна схильність, наявність </w:t>
      </w:r>
      <w:r>
        <w:rPr>
          <w:sz w:val="24"/>
          <w:lang w:val="en-US"/>
        </w:rPr>
        <w:t>Helicobacter</w:t>
      </w:r>
      <w:r w:rsidRPr="000251C7">
        <w:rPr>
          <w:sz w:val="24"/>
          <w:lang w:val="uk-UA"/>
        </w:rPr>
        <w:t xml:space="preserve"> </w:t>
      </w:r>
      <w:r>
        <w:rPr>
          <w:sz w:val="24"/>
          <w:lang w:val="en-US"/>
        </w:rPr>
        <w:t>P</w:t>
      </w:r>
      <w:r>
        <w:rPr>
          <w:sz w:val="24"/>
          <w:lang w:val="uk-UA"/>
        </w:rPr>
        <w:t>.</w:t>
      </w:r>
      <w:r w:rsidRPr="000251C7">
        <w:rPr>
          <w:sz w:val="24"/>
          <w:lang w:val="uk-UA"/>
        </w:rPr>
        <w:t xml:space="preserve"> (</w:t>
      </w:r>
      <w:r w:rsidRPr="005E4A73">
        <w:rPr>
          <w:sz w:val="24"/>
          <w:lang w:val="uk-UA"/>
        </w:rPr>
        <w:t>НР</w:t>
      </w:r>
      <w:r w:rsidRPr="000251C7">
        <w:rPr>
          <w:sz w:val="24"/>
          <w:lang w:val="uk-UA"/>
        </w:rPr>
        <w:t>)</w:t>
      </w:r>
      <w:r w:rsidRPr="005E4A73">
        <w:rPr>
          <w:sz w:val="24"/>
          <w:lang w:val="uk-UA"/>
        </w:rPr>
        <w:t xml:space="preserve"> інфекції, передпухлинна патологія шлунка. Серед екзогенних факторів найбільше значення мали</w:t>
      </w:r>
      <w:r w:rsidRPr="005E4A73">
        <w:rPr>
          <w:b/>
          <w:bCs/>
          <w:sz w:val="24"/>
          <w:lang w:val="uk-UA"/>
        </w:rPr>
        <w:t>:</w:t>
      </w:r>
      <w:r w:rsidRPr="005E4A73">
        <w:rPr>
          <w:sz w:val="24"/>
          <w:lang w:val="uk-UA"/>
        </w:rPr>
        <w:t xml:space="preserve"> аліментарний фактор, шкідливі звички, робота в умовах шкідливого виробництва.</w:t>
      </w:r>
    </w:p>
    <w:p w:rsidR="00CF5A29" w:rsidRPr="005E4A73" w:rsidRDefault="00CF5A29" w:rsidP="00CF5A29">
      <w:pPr>
        <w:pStyle w:val="af4"/>
        <w:spacing w:line="360" w:lineRule="auto"/>
        <w:ind w:firstLine="540"/>
        <w:rPr>
          <w:sz w:val="24"/>
          <w:lang w:val="uk-UA"/>
        </w:rPr>
      </w:pPr>
      <w:r w:rsidRPr="005E4A73">
        <w:rPr>
          <w:sz w:val="24"/>
          <w:lang w:val="uk-UA"/>
        </w:rPr>
        <w:t xml:space="preserve">Не вдалося встановити ролі імунологічних відхилень як </w:t>
      </w:r>
      <w:r>
        <w:rPr>
          <w:sz w:val="24"/>
          <w:lang w:val="uk-UA"/>
        </w:rPr>
        <w:t>фактора ризику у виникненні РШ</w:t>
      </w:r>
      <w:r w:rsidRPr="005E4A73">
        <w:rPr>
          <w:sz w:val="24"/>
          <w:lang w:val="uk-UA"/>
        </w:rPr>
        <w:t>.</w:t>
      </w:r>
    </w:p>
    <w:p w:rsidR="00CF5A29" w:rsidRPr="005E4A73" w:rsidRDefault="00CF5A29" w:rsidP="00CF5A29">
      <w:pPr>
        <w:pStyle w:val="af4"/>
        <w:spacing w:line="360" w:lineRule="auto"/>
        <w:ind w:firstLine="540"/>
        <w:rPr>
          <w:sz w:val="24"/>
          <w:lang w:val="uk-UA"/>
        </w:rPr>
      </w:pPr>
      <w:r w:rsidRPr="005E4A73">
        <w:rPr>
          <w:sz w:val="24"/>
          <w:lang w:val="uk-UA"/>
        </w:rPr>
        <w:t xml:space="preserve">Одним з факторів ризику </w:t>
      </w:r>
      <w:r>
        <w:rPr>
          <w:sz w:val="24"/>
          <w:lang w:val="uk-UA"/>
        </w:rPr>
        <w:t>РШ,</w:t>
      </w:r>
      <w:r w:rsidRPr="005E4A73">
        <w:rPr>
          <w:sz w:val="24"/>
          <w:lang w:val="uk-UA"/>
        </w:rPr>
        <w:t xml:space="preserve"> </w:t>
      </w:r>
      <w:r>
        <w:rPr>
          <w:sz w:val="24"/>
          <w:lang w:val="uk-UA"/>
        </w:rPr>
        <w:t xml:space="preserve">за даними літератури, </w:t>
      </w:r>
      <w:r w:rsidRPr="005E4A73">
        <w:rPr>
          <w:sz w:val="24"/>
          <w:lang w:val="uk-UA"/>
        </w:rPr>
        <w:t>є перніціозна анемія. У наших спостереженнях цей фактор не відбитий, оскільки серед пацієнтів контроль</w:t>
      </w:r>
      <w:r>
        <w:rPr>
          <w:sz w:val="24"/>
          <w:lang w:val="uk-UA"/>
        </w:rPr>
        <w:t xml:space="preserve">ної </w:t>
      </w:r>
      <w:r w:rsidRPr="005E4A73">
        <w:rPr>
          <w:sz w:val="24"/>
          <w:lang w:val="uk-UA"/>
        </w:rPr>
        <w:t xml:space="preserve">групи не було </w:t>
      </w:r>
      <w:r w:rsidRPr="005E4A73">
        <w:rPr>
          <w:sz w:val="24"/>
          <w:lang w:val="uk-UA"/>
        </w:rPr>
        <w:lastRenderedPageBreak/>
        <w:t>жодного хворого з перніціозною анемією. Аналогічна ситуація була і серед хворих</w:t>
      </w:r>
      <w:r>
        <w:rPr>
          <w:sz w:val="24"/>
          <w:lang w:val="uk-UA"/>
        </w:rPr>
        <w:t xml:space="preserve"> на РШ</w:t>
      </w:r>
      <w:r w:rsidRPr="005E4A73">
        <w:rPr>
          <w:sz w:val="24"/>
          <w:lang w:val="uk-UA"/>
        </w:rPr>
        <w:t>. Тому цей фактор не розраховувався у вигляді його нульового значення.</w:t>
      </w:r>
    </w:p>
    <w:p w:rsidR="00CF5A29" w:rsidRPr="005E4A73" w:rsidRDefault="00CF5A29" w:rsidP="00CF5A29">
      <w:pPr>
        <w:pStyle w:val="32"/>
        <w:spacing w:line="360" w:lineRule="auto"/>
        <w:ind w:right="97"/>
      </w:pPr>
      <w:r w:rsidRPr="005E4A73">
        <w:t>Використовуючи методику індивідуального прогнозу Неймана-Пірсона, визначили питому вагу кожного з вивчених факторів (</w:t>
      </w:r>
      <w:r w:rsidRPr="005E4A73">
        <w:rPr>
          <w:b/>
          <w:bCs/>
        </w:rPr>
        <w:t>Ј</w:t>
      </w:r>
      <w:r>
        <w:t>),</w:t>
      </w:r>
      <w:r w:rsidRPr="005E4A73">
        <w:t xml:space="preserve"> і розподілили усі фактори за рангом.</w:t>
      </w:r>
    </w:p>
    <w:p w:rsidR="00CF5A29" w:rsidRPr="009063A4" w:rsidRDefault="00CF5A29" w:rsidP="00CF5A29">
      <w:pPr>
        <w:pStyle w:val="32"/>
        <w:spacing w:line="360" w:lineRule="auto"/>
        <w:ind w:right="97"/>
      </w:pPr>
      <w:r w:rsidRPr="009063A4">
        <w:t>Найбільш істотними факторами виникнення РШ були поліпи і виразка шлунка, погрішності в їжі і режимі харчування, шкідливі звички і злоякісні процеси шлунка у кровних родичів. НР інфекція посіла проміжне ─ 9-те місце.</w:t>
      </w:r>
    </w:p>
    <w:p w:rsidR="00CF5A29" w:rsidRDefault="00CF5A29" w:rsidP="00CF5A29">
      <w:pPr>
        <w:pStyle w:val="af4"/>
        <w:spacing w:line="360" w:lineRule="auto"/>
        <w:ind w:firstLine="540"/>
        <w:rPr>
          <w:sz w:val="24"/>
          <w:lang w:val="uk-UA"/>
        </w:rPr>
      </w:pPr>
      <w:r w:rsidRPr="005E4A73">
        <w:rPr>
          <w:sz w:val="24"/>
          <w:lang w:val="uk-UA"/>
        </w:rPr>
        <w:t>Кількісне значення негативних факто</w:t>
      </w:r>
      <w:r>
        <w:rPr>
          <w:sz w:val="24"/>
          <w:lang w:val="uk-UA"/>
        </w:rPr>
        <w:t>рів розвитку РШ</w:t>
      </w:r>
      <w:r w:rsidRPr="005E4A73">
        <w:rPr>
          <w:sz w:val="24"/>
          <w:lang w:val="uk-UA"/>
        </w:rPr>
        <w:t xml:space="preserve"> стало новим підходом до розподілу пацієнтів на групи</w:t>
      </w:r>
      <w:r w:rsidRPr="005E4A73">
        <w:rPr>
          <w:b/>
          <w:bCs/>
          <w:sz w:val="24"/>
          <w:lang w:val="uk-UA"/>
        </w:rPr>
        <w:t>:</w:t>
      </w:r>
      <w:r w:rsidRPr="005E4A73">
        <w:rPr>
          <w:sz w:val="24"/>
          <w:lang w:val="uk-UA"/>
        </w:rPr>
        <w:t xml:space="preserve"> низького, середнього і високого ризику виникнення захворювання. Визнано обґрунтованим, віднесення до групи </w:t>
      </w:r>
      <w:r>
        <w:rPr>
          <w:sz w:val="24"/>
          <w:lang w:val="uk-UA"/>
        </w:rPr>
        <w:t>низького ризику розвитку РШ</w:t>
      </w:r>
      <w:r w:rsidRPr="005E4A73">
        <w:rPr>
          <w:sz w:val="24"/>
          <w:lang w:val="uk-UA"/>
        </w:rPr>
        <w:t xml:space="preserve"> пацієнтів, що набрали від 0 до 30 % негативних факторів; до групи середнього ризику − від 30,1 % до 70 %; до групи високого ризику − понад 70,0 % набраних негативних значень усіх факторів. Пацієнтам з підвищеним ризиком показане детальне, цілеспрямоване обстеження, можливо, включаючи стаціонарне, з ретельною візуальною оцінкою слизової оболонки шлунка і біопсією.</w:t>
      </w:r>
    </w:p>
    <w:p w:rsidR="00CF5A29" w:rsidRPr="005E4A73" w:rsidRDefault="00CF5A29" w:rsidP="00CF5A29">
      <w:pPr>
        <w:pStyle w:val="af4"/>
        <w:spacing w:line="360" w:lineRule="auto"/>
        <w:ind w:firstLine="540"/>
        <w:jc w:val="center"/>
        <w:rPr>
          <w:sz w:val="24"/>
          <w:lang w:val="uk-UA"/>
        </w:rPr>
      </w:pPr>
      <w:r>
        <w:rPr>
          <w:sz w:val="24"/>
          <w:lang w:val="uk-UA"/>
        </w:rPr>
        <w:t>7</w:t>
      </w:r>
    </w:p>
    <w:p w:rsidR="00CF5A29" w:rsidRPr="005E4A73" w:rsidRDefault="00CF5A29" w:rsidP="00CF5A29">
      <w:pPr>
        <w:pStyle w:val="34"/>
        <w:spacing w:line="360" w:lineRule="auto"/>
        <w:ind w:right="-55" w:firstLine="540"/>
      </w:pPr>
      <w:r w:rsidRPr="005E4A73">
        <w:t xml:space="preserve">Взявши за основу таблицю-матрицю факторів ризику </w:t>
      </w:r>
      <w:r>
        <w:t>РШ</w:t>
      </w:r>
      <w:r w:rsidRPr="005E4A73">
        <w:t xml:space="preserve"> (таблиця 1), і підставивши значення відзначених фактор</w:t>
      </w:r>
      <w:r>
        <w:t>ів у конкретного пацієнта, стало можливим</w:t>
      </w:r>
      <w:r w:rsidRPr="005E4A73">
        <w:t xml:space="preserve"> віднести його до п</w:t>
      </w:r>
      <w:r>
        <w:t>евної групи ризику розвитку РШ</w:t>
      </w:r>
      <w:r w:rsidRPr="005E4A73">
        <w:t>. Порівняльна оцінка частоти вивчених факторів ризику виникнення злоякісного процесу шлунка в групах «здорових» пацієнтів (</w:t>
      </w:r>
      <w:r w:rsidRPr="005E4A73">
        <w:rPr>
          <w:i/>
          <w:iCs/>
        </w:rPr>
        <w:t>п=312</w:t>
      </w:r>
      <w:r w:rsidRPr="005E4A73">
        <w:t xml:space="preserve">) і хворих на </w:t>
      </w:r>
      <w:r>
        <w:t>РШ</w:t>
      </w:r>
      <w:r w:rsidRPr="005E4A73">
        <w:t xml:space="preserve"> (</w:t>
      </w:r>
      <w:r w:rsidRPr="005E4A73">
        <w:rPr>
          <w:i/>
          <w:iCs/>
        </w:rPr>
        <w:t>п=302</w:t>
      </w:r>
      <w:r w:rsidRPr="005E4A73">
        <w:t>) виявила наступне значення питомої ваги прогностичного коефіцієнта.</w:t>
      </w:r>
      <w:r>
        <w:t xml:space="preserve"> Н</w:t>
      </w:r>
      <w:r w:rsidRPr="005E4A73">
        <w:t>изькому ризикові відповідає − 7,7 бала суми, набраних негативних значень прогностичного коефіцієнта (</w:t>
      </w:r>
      <w:r w:rsidRPr="005E4A73">
        <w:rPr>
          <w:b/>
          <w:bCs/>
        </w:rPr>
        <w:t>Ј</w:t>
      </w:r>
      <w:r w:rsidRPr="005E4A73">
        <w:t>)</w:t>
      </w:r>
      <w:r>
        <w:t>;</w:t>
      </w:r>
      <w:r w:rsidRPr="005E4A73">
        <w:t xml:space="preserve"> середньому ризикові </w:t>
      </w:r>
      <w:r w:rsidRPr="005E4A73">
        <w:sym w:font="Symbol" w:char="F0BE"/>
      </w:r>
      <w:r w:rsidRPr="005E4A73">
        <w:t xml:space="preserve"> 15,3 бала; високому ризикові </w:t>
      </w:r>
      <w:r w:rsidRPr="005E4A73">
        <w:sym w:font="Symbol" w:char="F0BE"/>
      </w:r>
      <w:r w:rsidRPr="005E4A73">
        <w:t xml:space="preserve"> 23,8 бала.</w:t>
      </w:r>
    </w:p>
    <w:p w:rsidR="00CF5A29" w:rsidRDefault="00CF5A29" w:rsidP="00CF5A29">
      <w:pPr>
        <w:pStyle w:val="34"/>
        <w:spacing w:line="360" w:lineRule="auto"/>
        <w:jc w:val="right"/>
      </w:pPr>
    </w:p>
    <w:p w:rsidR="00CF5A29" w:rsidRPr="005E4A73" w:rsidRDefault="00CF5A29" w:rsidP="00CF5A29">
      <w:pPr>
        <w:pStyle w:val="34"/>
        <w:spacing w:line="360" w:lineRule="auto"/>
        <w:jc w:val="right"/>
      </w:pPr>
      <w:r w:rsidRPr="005E4A73">
        <w:t>Таблиця 1</w:t>
      </w:r>
    </w:p>
    <w:p w:rsidR="00CF5A29" w:rsidRPr="005E4A73" w:rsidRDefault="00CF5A29" w:rsidP="00CF5A29">
      <w:pPr>
        <w:pStyle w:val="34"/>
        <w:spacing w:line="360" w:lineRule="auto"/>
        <w:rPr>
          <w:bCs/>
        </w:rPr>
      </w:pPr>
      <w:r w:rsidRPr="005E4A73">
        <w:rPr>
          <w:b/>
          <w:bCs/>
        </w:rPr>
        <w:t> Матриця формування факторів ризику виникнення раку шлунка серед хворих і «умовно здорових»</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1080"/>
        <w:gridCol w:w="1260"/>
        <w:gridCol w:w="1080"/>
        <w:gridCol w:w="1080"/>
        <w:gridCol w:w="1260"/>
        <w:gridCol w:w="900"/>
      </w:tblGrid>
      <w:tr w:rsidR="00CF5A29" w:rsidRPr="005E4A73" w:rsidTr="00485B54">
        <w:tblPrEx>
          <w:tblCellMar>
            <w:top w:w="0" w:type="dxa"/>
            <w:bottom w:w="0" w:type="dxa"/>
          </w:tblCellMar>
        </w:tblPrEx>
        <w:trPr>
          <w:cantSplit/>
        </w:trPr>
        <w:tc>
          <w:tcPr>
            <w:tcW w:w="720" w:type="dxa"/>
            <w:vMerge w:val="restart"/>
            <w:vAlign w:val="center"/>
          </w:tcPr>
          <w:p w:rsidR="00CF5A29" w:rsidRPr="005E4A73" w:rsidRDefault="00CF5A29" w:rsidP="00485B54">
            <w:pPr>
              <w:jc w:val="center"/>
              <w:rPr>
                <w:b/>
              </w:rPr>
            </w:pPr>
            <w:r w:rsidRPr="005E4A73">
              <w:rPr>
                <w:b/>
              </w:rPr>
              <w:t>Х</w:t>
            </w:r>
          </w:p>
        </w:tc>
        <w:tc>
          <w:tcPr>
            <w:tcW w:w="2880" w:type="dxa"/>
            <w:vMerge w:val="restart"/>
            <w:tcBorders>
              <w:tl2br w:val="single" w:sz="4" w:space="0" w:color="auto"/>
            </w:tcBorders>
          </w:tcPr>
          <w:p w:rsidR="00CF5A29" w:rsidRPr="005E4A73" w:rsidRDefault="00CF5A29" w:rsidP="00485B54">
            <w:pPr>
              <w:pStyle w:val="40"/>
              <w:ind w:left="0" w:right="252"/>
            </w:pPr>
            <w:r w:rsidRPr="005E4A73">
              <w:t>Групи спостереження</w:t>
            </w:r>
          </w:p>
          <w:p w:rsidR="00CF5A29" w:rsidRPr="005E4A73" w:rsidRDefault="00CF5A29" w:rsidP="00485B54">
            <w:pPr>
              <w:pStyle w:val="2"/>
              <w:ind w:firstLine="0"/>
              <w:rPr>
                <w:b/>
              </w:rPr>
            </w:pPr>
          </w:p>
          <w:p w:rsidR="00CF5A29" w:rsidRPr="005E4A73" w:rsidRDefault="00CF5A29" w:rsidP="00485B54"/>
          <w:p w:rsidR="00CF5A29" w:rsidRPr="005E4A73" w:rsidRDefault="00CF5A29" w:rsidP="00485B54">
            <w:pPr>
              <w:pStyle w:val="2"/>
              <w:ind w:firstLine="0"/>
              <w:rPr>
                <w:b/>
              </w:rPr>
            </w:pPr>
            <w:r w:rsidRPr="005E4A73">
              <w:rPr>
                <w:b/>
              </w:rPr>
              <w:t>Фактори ризику</w:t>
            </w:r>
          </w:p>
        </w:tc>
        <w:tc>
          <w:tcPr>
            <w:tcW w:w="2340" w:type="dxa"/>
            <w:gridSpan w:val="2"/>
            <w:vAlign w:val="center"/>
          </w:tcPr>
          <w:p w:rsidR="00CF5A29" w:rsidRPr="005E4A73" w:rsidRDefault="00CF5A29" w:rsidP="00485B54">
            <w:pPr>
              <w:jc w:val="center"/>
              <w:rPr>
                <w:b/>
              </w:rPr>
            </w:pPr>
            <w:r w:rsidRPr="005E4A73">
              <w:rPr>
                <w:b/>
              </w:rPr>
              <w:t xml:space="preserve">Здорові, </w:t>
            </w:r>
            <w:r w:rsidRPr="005E4A73">
              <w:rPr>
                <w:b/>
                <w:i/>
              </w:rPr>
              <w:t xml:space="preserve">п </w:t>
            </w:r>
            <w:r w:rsidRPr="005E4A73">
              <w:rPr>
                <w:b/>
              </w:rPr>
              <w:t>312</w:t>
            </w:r>
          </w:p>
        </w:tc>
        <w:tc>
          <w:tcPr>
            <w:tcW w:w="2160" w:type="dxa"/>
            <w:gridSpan w:val="2"/>
            <w:vAlign w:val="center"/>
          </w:tcPr>
          <w:p w:rsidR="00CF5A29" w:rsidRPr="005E4A73" w:rsidRDefault="00CF5A29" w:rsidP="00485B54">
            <w:pPr>
              <w:jc w:val="center"/>
              <w:rPr>
                <w:b/>
              </w:rPr>
            </w:pPr>
            <w:r w:rsidRPr="005E4A73">
              <w:rPr>
                <w:b/>
              </w:rPr>
              <w:t xml:space="preserve">Хворі, </w:t>
            </w:r>
            <w:r w:rsidRPr="005E4A73">
              <w:rPr>
                <w:b/>
                <w:i/>
              </w:rPr>
              <w:t>п</w:t>
            </w:r>
            <w:r w:rsidRPr="005E4A73">
              <w:rPr>
                <w:b/>
              </w:rPr>
              <w:t xml:space="preserve"> 302</w:t>
            </w:r>
          </w:p>
        </w:tc>
        <w:tc>
          <w:tcPr>
            <w:tcW w:w="1260" w:type="dxa"/>
            <w:vAlign w:val="center"/>
          </w:tcPr>
          <w:p w:rsidR="00CF5A29" w:rsidRPr="005E4A73" w:rsidRDefault="00CF5A29" w:rsidP="00485B54">
            <w:pPr>
              <w:jc w:val="center"/>
              <w:rPr>
                <w:b/>
              </w:rPr>
            </w:pPr>
            <w:r w:rsidRPr="005E4A73">
              <w:rPr>
                <w:b/>
              </w:rPr>
              <w:t>J</w:t>
            </w:r>
          </w:p>
        </w:tc>
        <w:tc>
          <w:tcPr>
            <w:tcW w:w="900" w:type="dxa"/>
            <w:vMerge w:val="restart"/>
            <w:vAlign w:val="center"/>
          </w:tcPr>
          <w:p w:rsidR="00CF5A29" w:rsidRPr="005E4A73" w:rsidRDefault="00CF5A29" w:rsidP="00485B54">
            <w:pPr>
              <w:pStyle w:val="7"/>
              <w:rPr>
                <w:sz w:val="24"/>
              </w:rPr>
            </w:pPr>
            <w:r w:rsidRPr="005E4A73">
              <w:rPr>
                <w:sz w:val="24"/>
              </w:rPr>
              <w:t>Ранг</w:t>
            </w:r>
          </w:p>
          <w:p w:rsidR="00CF5A29" w:rsidRPr="005E4A73" w:rsidRDefault="00CF5A29" w:rsidP="00485B54">
            <w:pPr>
              <w:rPr>
                <w:b/>
              </w:rPr>
            </w:pPr>
            <w:r w:rsidRPr="005E4A73">
              <w:rPr>
                <w:b/>
              </w:rPr>
              <w:t>фак-тора.</w:t>
            </w:r>
          </w:p>
        </w:tc>
      </w:tr>
      <w:tr w:rsidR="00CF5A29" w:rsidRPr="005E4A73" w:rsidTr="00485B54">
        <w:tblPrEx>
          <w:tblCellMar>
            <w:top w:w="0" w:type="dxa"/>
            <w:bottom w:w="0" w:type="dxa"/>
          </w:tblCellMar>
        </w:tblPrEx>
        <w:trPr>
          <w:cantSplit/>
        </w:trPr>
        <w:tc>
          <w:tcPr>
            <w:tcW w:w="720" w:type="dxa"/>
            <w:vMerge/>
            <w:vAlign w:val="center"/>
          </w:tcPr>
          <w:p w:rsidR="00CF5A29" w:rsidRPr="005E4A73" w:rsidRDefault="00CF5A29" w:rsidP="00485B54">
            <w:pPr>
              <w:jc w:val="center"/>
              <w:rPr>
                <w:b/>
              </w:rPr>
            </w:pPr>
          </w:p>
        </w:tc>
        <w:tc>
          <w:tcPr>
            <w:tcW w:w="2880" w:type="dxa"/>
            <w:vMerge/>
            <w:vAlign w:val="center"/>
          </w:tcPr>
          <w:p w:rsidR="00CF5A29" w:rsidRPr="005E4A73" w:rsidRDefault="00CF5A29" w:rsidP="00485B54">
            <w:pPr>
              <w:ind w:right="-108"/>
              <w:jc w:val="center"/>
              <w:rPr>
                <w:b/>
              </w:rPr>
            </w:pPr>
          </w:p>
        </w:tc>
        <w:tc>
          <w:tcPr>
            <w:tcW w:w="1080" w:type="dxa"/>
            <w:vAlign w:val="center"/>
          </w:tcPr>
          <w:p w:rsidR="00CF5A29" w:rsidRPr="005E4A73" w:rsidRDefault="00CF5A29" w:rsidP="00485B54">
            <w:pPr>
              <w:jc w:val="center"/>
            </w:pPr>
            <w:r w:rsidRPr="005E4A73">
              <w:t>Частота призна-ка</w:t>
            </w:r>
          </w:p>
        </w:tc>
        <w:tc>
          <w:tcPr>
            <w:tcW w:w="1260" w:type="dxa"/>
            <w:vAlign w:val="center"/>
          </w:tcPr>
          <w:p w:rsidR="00CF5A29" w:rsidRPr="005E4A73" w:rsidRDefault="00CF5A29" w:rsidP="00485B54">
            <w:pPr>
              <w:ind w:right="-108"/>
            </w:pPr>
            <w:r>
              <w:t>Імовір-ність</w:t>
            </w:r>
            <w:r w:rsidRPr="005E4A73">
              <w:t xml:space="preserve"> виникнен</w:t>
            </w:r>
            <w:r>
              <w:t>-</w:t>
            </w:r>
            <w:r w:rsidRPr="005E4A73">
              <w:t>ня ознаки</w:t>
            </w:r>
          </w:p>
        </w:tc>
        <w:tc>
          <w:tcPr>
            <w:tcW w:w="1080" w:type="dxa"/>
            <w:vAlign w:val="center"/>
          </w:tcPr>
          <w:p w:rsidR="00CF5A29" w:rsidRDefault="00CF5A29" w:rsidP="00485B54">
            <w:pPr>
              <w:jc w:val="center"/>
            </w:pPr>
            <w:r w:rsidRPr="005E4A73">
              <w:t>Часто</w:t>
            </w:r>
            <w:r>
              <w:t>-та</w:t>
            </w:r>
          </w:p>
          <w:p w:rsidR="00CF5A29" w:rsidRPr="005E4A73" w:rsidRDefault="00CF5A29" w:rsidP="00485B54">
            <w:pPr>
              <w:jc w:val="center"/>
            </w:pPr>
            <w:r w:rsidRPr="005E4A73">
              <w:t>ознаки</w:t>
            </w:r>
          </w:p>
        </w:tc>
        <w:tc>
          <w:tcPr>
            <w:tcW w:w="1080" w:type="dxa"/>
            <w:vAlign w:val="center"/>
          </w:tcPr>
          <w:p w:rsidR="00CF5A29" w:rsidRPr="005E4A73" w:rsidRDefault="00CF5A29" w:rsidP="00485B54">
            <w:pPr>
              <w:ind w:right="-108"/>
              <w:jc w:val="center"/>
            </w:pPr>
            <w:r w:rsidRPr="005E4A73">
              <w:t>Імовір</w:t>
            </w:r>
            <w:r>
              <w:t>-</w:t>
            </w:r>
            <w:r w:rsidRPr="005E4A73">
              <w:t>ність виник</w:t>
            </w:r>
            <w:r>
              <w:t>-</w:t>
            </w:r>
            <w:r w:rsidRPr="005E4A73">
              <w:t>нення ознаки</w:t>
            </w:r>
          </w:p>
        </w:tc>
        <w:tc>
          <w:tcPr>
            <w:tcW w:w="1260" w:type="dxa"/>
            <w:vAlign w:val="center"/>
          </w:tcPr>
          <w:p w:rsidR="00CF5A29" w:rsidRPr="005E4A73" w:rsidRDefault="00CF5A29" w:rsidP="00485B54">
            <w:pPr>
              <w:ind w:right="-108"/>
            </w:pPr>
            <w:r w:rsidRPr="005E4A73">
              <w:t xml:space="preserve">Питома вага прогностичного </w:t>
            </w:r>
            <w:r>
              <w:t>коеф.</w:t>
            </w:r>
          </w:p>
        </w:tc>
        <w:tc>
          <w:tcPr>
            <w:tcW w:w="900" w:type="dxa"/>
            <w:vMerge/>
            <w:vAlign w:val="center"/>
          </w:tcPr>
          <w:p w:rsidR="00CF5A29" w:rsidRPr="005E4A73" w:rsidRDefault="00CF5A29" w:rsidP="00485B54"/>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w:t>
            </w:r>
          </w:p>
        </w:tc>
        <w:tc>
          <w:tcPr>
            <w:tcW w:w="2880" w:type="dxa"/>
            <w:vAlign w:val="center"/>
          </w:tcPr>
          <w:p w:rsidR="00CF5A29" w:rsidRPr="005E4A73" w:rsidRDefault="00CF5A29" w:rsidP="00485B54">
            <w:r w:rsidRPr="005E4A73">
              <w:t>Тривале тютюнопаління</w:t>
            </w:r>
          </w:p>
        </w:tc>
        <w:tc>
          <w:tcPr>
            <w:tcW w:w="1080" w:type="dxa"/>
            <w:vAlign w:val="center"/>
          </w:tcPr>
          <w:p w:rsidR="00CF5A29" w:rsidRPr="005E4A73" w:rsidRDefault="00CF5A29" w:rsidP="00485B54">
            <w:pPr>
              <w:jc w:val="center"/>
            </w:pPr>
            <w:r w:rsidRPr="005E4A73">
              <w:t>48</w:t>
            </w:r>
          </w:p>
        </w:tc>
        <w:tc>
          <w:tcPr>
            <w:tcW w:w="1260" w:type="dxa"/>
            <w:vAlign w:val="center"/>
          </w:tcPr>
          <w:p w:rsidR="00CF5A29" w:rsidRPr="005E4A73" w:rsidRDefault="00CF5A29" w:rsidP="00485B54">
            <w:pPr>
              <w:jc w:val="center"/>
            </w:pPr>
            <w:r w:rsidRPr="005E4A73">
              <w:t>1,5</w:t>
            </w:r>
          </w:p>
        </w:tc>
        <w:tc>
          <w:tcPr>
            <w:tcW w:w="1080" w:type="dxa"/>
            <w:vAlign w:val="center"/>
          </w:tcPr>
          <w:p w:rsidR="00CF5A29" w:rsidRPr="005E4A73" w:rsidRDefault="00CF5A29" w:rsidP="00485B54">
            <w:pPr>
              <w:jc w:val="center"/>
            </w:pPr>
            <w:r w:rsidRPr="005E4A73">
              <w:t>105</w:t>
            </w:r>
          </w:p>
        </w:tc>
        <w:tc>
          <w:tcPr>
            <w:tcW w:w="1080" w:type="dxa"/>
            <w:vAlign w:val="center"/>
          </w:tcPr>
          <w:p w:rsidR="00CF5A29" w:rsidRPr="005E4A73" w:rsidRDefault="00CF5A29" w:rsidP="00485B54">
            <w:pPr>
              <w:jc w:val="center"/>
            </w:pPr>
            <w:r w:rsidRPr="005E4A73">
              <w:t>3,4</w:t>
            </w:r>
          </w:p>
        </w:tc>
        <w:tc>
          <w:tcPr>
            <w:tcW w:w="1260" w:type="dxa"/>
            <w:vAlign w:val="center"/>
          </w:tcPr>
          <w:p w:rsidR="00CF5A29" w:rsidRPr="005E4A73" w:rsidRDefault="00CF5A29" w:rsidP="00485B54">
            <w:r w:rsidRPr="005E4A73">
              <w:t>─ 0,81</w:t>
            </w:r>
          </w:p>
        </w:tc>
        <w:tc>
          <w:tcPr>
            <w:tcW w:w="900" w:type="dxa"/>
            <w:vAlign w:val="center"/>
          </w:tcPr>
          <w:p w:rsidR="00CF5A29" w:rsidRPr="005E4A73" w:rsidRDefault="00CF5A29" w:rsidP="00485B54">
            <w:pPr>
              <w:jc w:val="center"/>
              <w:rPr>
                <w:b/>
                <w:bCs/>
              </w:rPr>
            </w:pPr>
            <w:r w:rsidRPr="005E4A73">
              <w:rPr>
                <w:b/>
                <w:bCs/>
              </w:rPr>
              <w:t>15</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2</w:t>
            </w:r>
          </w:p>
        </w:tc>
        <w:tc>
          <w:tcPr>
            <w:tcW w:w="2880" w:type="dxa"/>
            <w:vAlign w:val="center"/>
          </w:tcPr>
          <w:p w:rsidR="00CF5A29" w:rsidRPr="005E4A73" w:rsidRDefault="00CF5A29" w:rsidP="00485B54">
            <w:pPr>
              <w:ind w:right="432"/>
            </w:pPr>
            <w:r w:rsidRPr="005E4A73">
              <w:t>Алкоголь і тютюнопаління одночасно</w:t>
            </w:r>
          </w:p>
        </w:tc>
        <w:tc>
          <w:tcPr>
            <w:tcW w:w="1080" w:type="dxa"/>
            <w:vAlign w:val="center"/>
          </w:tcPr>
          <w:p w:rsidR="00CF5A29" w:rsidRPr="005E4A73" w:rsidRDefault="00CF5A29" w:rsidP="00485B54">
            <w:pPr>
              <w:jc w:val="center"/>
            </w:pPr>
            <w:r w:rsidRPr="005E4A73">
              <w:t>4</w:t>
            </w:r>
          </w:p>
        </w:tc>
        <w:tc>
          <w:tcPr>
            <w:tcW w:w="1260" w:type="dxa"/>
            <w:vAlign w:val="center"/>
          </w:tcPr>
          <w:p w:rsidR="00CF5A29" w:rsidRPr="005E4A73" w:rsidRDefault="00CF5A29" w:rsidP="00485B54">
            <w:pPr>
              <w:jc w:val="center"/>
            </w:pPr>
            <w:r w:rsidRPr="005E4A73">
              <w:t>0,1</w:t>
            </w:r>
          </w:p>
        </w:tc>
        <w:tc>
          <w:tcPr>
            <w:tcW w:w="1080" w:type="dxa"/>
            <w:vAlign w:val="center"/>
          </w:tcPr>
          <w:p w:rsidR="00CF5A29" w:rsidRPr="005E4A73" w:rsidRDefault="00CF5A29" w:rsidP="00485B54">
            <w:pPr>
              <w:jc w:val="center"/>
            </w:pPr>
            <w:r w:rsidRPr="005E4A73">
              <w:t>15</w:t>
            </w:r>
          </w:p>
        </w:tc>
        <w:tc>
          <w:tcPr>
            <w:tcW w:w="1080" w:type="dxa"/>
            <w:vAlign w:val="center"/>
          </w:tcPr>
          <w:p w:rsidR="00CF5A29" w:rsidRPr="005E4A73" w:rsidRDefault="00CF5A29" w:rsidP="00485B54">
            <w:pPr>
              <w:jc w:val="center"/>
            </w:pPr>
            <w:r w:rsidRPr="005E4A73">
              <w:t>0,5</w:t>
            </w:r>
          </w:p>
        </w:tc>
        <w:tc>
          <w:tcPr>
            <w:tcW w:w="1260" w:type="dxa"/>
            <w:vAlign w:val="center"/>
          </w:tcPr>
          <w:p w:rsidR="00CF5A29" w:rsidRPr="005E4A73" w:rsidRDefault="00CF5A29" w:rsidP="00485B54">
            <w:r w:rsidRPr="005E4A73">
              <w:t>─ 1,60</w:t>
            </w:r>
          </w:p>
        </w:tc>
        <w:tc>
          <w:tcPr>
            <w:tcW w:w="900" w:type="dxa"/>
            <w:vAlign w:val="center"/>
          </w:tcPr>
          <w:p w:rsidR="00CF5A29" w:rsidRPr="005E4A73" w:rsidRDefault="00CF5A29" w:rsidP="00485B54">
            <w:pPr>
              <w:jc w:val="center"/>
              <w:rPr>
                <w:b/>
                <w:bCs/>
              </w:rPr>
            </w:pPr>
            <w:r w:rsidRPr="005E4A73">
              <w:rPr>
                <w:b/>
                <w:bCs/>
              </w:rPr>
              <w:t>4</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lastRenderedPageBreak/>
              <w:t>Х</w:t>
            </w:r>
            <w:r w:rsidRPr="005E4A73">
              <w:rPr>
                <w:b/>
                <w:vertAlign w:val="subscript"/>
              </w:rPr>
              <w:t>3</w:t>
            </w:r>
          </w:p>
        </w:tc>
        <w:tc>
          <w:tcPr>
            <w:tcW w:w="2880" w:type="dxa"/>
            <w:vAlign w:val="center"/>
          </w:tcPr>
          <w:p w:rsidR="00CF5A29" w:rsidRPr="005E4A73" w:rsidRDefault="00CF5A29" w:rsidP="00485B54">
            <w:r w:rsidRPr="005E4A73">
              <w:t>Вживання дуже гарячих рідин і продуктів харчування</w:t>
            </w:r>
          </w:p>
        </w:tc>
        <w:tc>
          <w:tcPr>
            <w:tcW w:w="1080" w:type="dxa"/>
            <w:vAlign w:val="center"/>
          </w:tcPr>
          <w:p w:rsidR="00CF5A29" w:rsidRPr="005E4A73" w:rsidRDefault="00CF5A29" w:rsidP="00485B54">
            <w:pPr>
              <w:jc w:val="center"/>
            </w:pPr>
            <w:r w:rsidRPr="005E4A73">
              <w:t>32</w:t>
            </w:r>
          </w:p>
        </w:tc>
        <w:tc>
          <w:tcPr>
            <w:tcW w:w="1260" w:type="dxa"/>
            <w:vAlign w:val="center"/>
          </w:tcPr>
          <w:p w:rsidR="00CF5A29" w:rsidRPr="005E4A73" w:rsidRDefault="00CF5A29" w:rsidP="00485B54">
            <w:pPr>
              <w:jc w:val="center"/>
            </w:pPr>
            <w:r w:rsidRPr="005E4A73">
              <w:t>1,0</w:t>
            </w:r>
          </w:p>
        </w:tc>
        <w:tc>
          <w:tcPr>
            <w:tcW w:w="1080" w:type="dxa"/>
            <w:vAlign w:val="center"/>
          </w:tcPr>
          <w:p w:rsidR="00CF5A29" w:rsidRPr="005E4A73" w:rsidRDefault="00CF5A29" w:rsidP="00485B54">
            <w:pPr>
              <w:jc w:val="center"/>
            </w:pPr>
            <w:r w:rsidRPr="005E4A73">
              <w:t>140</w:t>
            </w:r>
          </w:p>
        </w:tc>
        <w:tc>
          <w:tcPr>
            <w:tcW w:w="1080" w:type="dxa"/>
            <w:vAlign w:val="center"/>
          </w:tcPr>
          <w:p w:rsidR="00CF5A29" w:rsidRPr="005E4A73" w:rsidRDefault="00CF5A29" w:rsidP="00485B54">
            <w:pPr>
              <w:jc w:val="center"/>
            </w:pPr>
            <w:r w:rsidRPr="005E4A73">
              <w:t>4,6</w:t>
            </w:r>
          </w:p>
        </w:tc>
        <w:tc>
          <w:tcPr>
            <w:tcW w:w="1260" w:type="dxa"/>
            <w:vAlign w:val="center"/>
          </w:tcPr>
          <w:p w:rsidR="00CF5A29" w:rsidRPr="005E4A73" w:rsidRDefault="00CF5A29" w:rsidP="00485B54">
            <w:r w:rsidRPr="005E4A73">
              <w:t>─ 1,52</w:t>
            </w:r>
          </w:p>
        </w:tc>
        <w:tc>
          <w:tcPr>
            <w:tcW w:w="900" w:type="dxa"/>
            <w:vAlign w:val="center"/>
          </w:tcPr>
          <w:p w:rsidR="00CF5A29" w:rsidRPr="005E4A73" w:rsidRDefault="00CF5A29" w:rsidP="00485B54">
            <w:pPr>
              <w:jc w:val="center"/>
              <w:rPr>
                <w:b/>
                <w:bCs/>
              </w:rPr>
            </w:pPr>
            <w:r w:rsidRPr="005E4A73">
              <w:rPr>
                <w:b/>
                <w:bCs/>
              </w:rPr>
              <w:t>5</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4</w:t>
            </w:r>
          </w:p>
        </w:tc>
        <w:tc>
          <w:tcPr>
            <w:tcW w:w="2880" w:type="dxa"/>
            <w:vAlign w:val="center"/>
          </w:tcPr>
          <w:p w:rsidR="00CF5A29" w:rsidRPr="005E4A73" w:rsidRDefault="00CF5A29" w:rsidP="00485B54">
            <w:r w:rsidRPr="005E4A73">
              <w:t>Їжа в сухом’ятку</w:t>
            </w:r>
          </w:p>
        </w:tc>
        <w:tc>
          <w:tcPr>
            <w:tcW w:w="1080" w:type="dxa"/>
            <w:vAlign w:val="center"/>
          </w:tcPr>
          <w:p w:rsidR="00CF5A29" w:rsidRPr="005E4A73" w:rsidRDefault="00CF5A29" w:rsidP="00485B54">
            <w:pPr>
              <w:jc w:val="center"/>
            </w:pPr>
            <w:r w:rsidRPr="005E4A73">
              <w:t>27</w:t>
            </w:r>
          </w:p>
        </w:tc>
        <w:tc>
          <w:tcPr>
            <w:tcW w:w="1260" w:type="dxa"/>
            <w:vAlign w:val="center"/>
          </w:tcPr>
          <w:p w:rsidR="00CF5A29" w:rsidRPr="005E4A73" w:rsidRDefault="00CF5A29" w:rsidP="00485B54">
            <w:pPr>
              <w:jc w:val="center"/>
            </w:pPr>
            <w:r w:rsidRPr="005E4A73">
              <w:t>0,8</w:t>
            </w:r>
          </w:p>
        </w:tc>
        <w:tc>
          <w:tcPr>
            <w:tcW w:w="1080" w:type="dxa"/>
            <w:vAlign w:val="center"/>
          </w:tcPr>
          <w:p w:rsidR="00CF5A29" w:rsidRPr="005E4A73" w:rsidRDefault="00CF5A29" w:rsidP="00485B54">
            <w:pPr>
              <w:jc w:val="center"/>
            </w:pPr>
            <w:r w:rsidRPr="005E4A73">
              <w:t>133</w:t>
            </w:r>
          </w:p>
        </w:tc>
        <w:tc>
          <w:tcPr>
            <w:tcW w:w="1080" w:type="dxa"/>
            <w:vAlign w:val="center"/>
          </w:tcPr>
          <w:p w:rsidR="00CF5A29" w:rsidRPr="005E4A73" w:rsidRDefault="00CF5A29" w:rsidP="00485B54">
            <w:pPr>
              <w:jc w:val="center"/>
            </w:pPr>
            <w:r w:rsidRPr="005E4A73">
              <w:t>4,4</w:t>
            </w:r>
          </w:p>
        </w:tc>
        <w:tc>
          <w:tcPr>
            <w:tcW w:w="1260" w:type="dxa"/>
            <w:vAlign w:val="center"/>
          </w:tcPr>
          <w:p w:rsidR="00CF5A29" w:rsidRPr="005E4A73" w:rsidRDefault="00CF5A29" w:rsidP="00485B54">
            <w:r w:rsidRPr="005E4A73">
              <w:t>─ 1,70</w:t>
            </w:r>
          </w:p>
        </w:tc>
        <w:tc>
          <w:tcPr>
            <w:tcW w:w="900" w:type="dxa"/>
            <w:vAlign w:val="center"/>
          </w:tcPr>
          <w:p w:rsidR="00CF5A29" w:rsidRPr="005E4A73" w:rsidRDefault="00CF5A29" w:rsidP="00485B54">
            <w:pPr>
              <w:jc w:val="center"/>
              <w:rPr>
                <w:b/>
                <w:bCs/>
              </w:rPr>
            </w:pPr>
            <w:r w:rsidRPr="005E4A73">
              <w:rPr>
                <w:b/>
                <w:bCs/>
              </w:rPr>
              <w:t>3</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5</w:t>
            </w:r>
          </w:p>
        </w:tc>
        <w:tc>
          <w:tcPr>
            <w:tcW w:w="2880" w:type="dxa"/>
            <w:vAlign w:val="center"/>
          </w:tcPr>
          <w:p w:rsidR="00CF5A29" w:rsidRPr="005E4A73" w:rsidRDefault="00CF5A29" w:rsidP="00485B54">
            <w:r w:rsidRPr="005E4A73">
              <w:t>Захоплення копченостями і гострими приправами</w:t>
            </w:r>
          </w:p>
        </w:tc>
        <w:tc>
          <w:tcPr>
            <w:tcW w:w="1080" w:type="dxa"/>
            <w:vAlign w:val="center"/>
          </w:tcPr>
          <w:p w:rsidR="00CF5A29" w:rsidRPr="005E4A73" w:rsidRDefault="00CF5A29" w:rsidP="00485B54">
            <w:pPr>
              <w:jc w:val="center"/>
            </w:pPr>
            <w:r w:rsidRPr="005E4A73">
              <w:t>99</w:t>
            </w:r>
          </w:p>
        </w:tc>
        <w:tc>
          <w:tcPr>
            <w:tcW w:w="1260" w:type="dxa"/>
            <w:vAlign w:val="center"/>
          </w:tcPr>
          <w:p w:rsidR="00CF5A29" w:rsidRPr="005E4A73" w:rsidRDefault="00CF5A29" w:rsidP="00485B54">
            <w:pPr>
              <w:jc w:val="center"/>
            </w:pPr>
            <w:r w:rsidRPr="005E4A73">
              <w:t>3,1</w:t>
            </w:r>
          </w:p>
        </w:tc>
        <w:tc>
          <w:tcPr>
            <w:tcW w:w="1080" w:type="dxa"/>
            <w:vAlign w:val="center"/>
          </w:tcPr>
          <w:p w:rsidR="00CF5A29" w:rsidRPr="005E4A73" w:rsidRDefault="00CF5A29" w:rsidP="00485B54">
            <w:pPr>
              <w:jc w:val="center"/>
            </w:pPr>
            <w:r w:rsidRPr="005E4A73">
              <w:t>271</w:t>
            </w:r>
          </w:p>
        </w:tc>
        <w:tc>
          <w:tcPr>
            <w:tcW w:w="1080" w:type="dxa"/>
            <w:vAlign w:val="center"/>
          </w:tcPr>
          <w:p w:rsidR="00CF5A29" w:rsidRPr="005E4A73" w:rsidRDefault="00CF5A29" w:rsidP="00485B54">
            <w:pPr>
              <w:jc w:val="center"/>
            </w:pPr>
            <w:r w:rsidRPr="005E4A73">
              <w:t>9,0</w:t>
            </w:r>
          </w:p>
        </w:tc>
        <w:tc>
          <w:tcPr>
            <w:tcW w:w="1260" w:type="dxa"/>
            <w:vAlign w:val="center"/>
          </w:tcPr>
          <w:p w:rsidR="00CF5A29" w:rsidRPr="005E4A73" w:rsidRDefault="00CF5A29" w:rsidP="00485B54">
            <w:r w:rsidRPr="005E4A73">
              <w:t>─ 1,06</w:t>
            </w:r>
          </w:p>
        </w:tc>
        <w:tc>
          <w:tcPr>
            <w:tcW w:w="900" w:type="dxa"/>
            <w:vAlign w:val="center"/>
          </w:tcPr>
          <w:p w:rsidR="00CF5A29" w:rsidRPr="005E4A73" w:rsidRDefault="00CF5A29" w:rsidP="00485B54">
            <w:pPr>
              <w:jc w:val="center"/>
              <w:rPr>
                <w:b/>
                <w:bCs/>
              </w:rPr>
            </w:pPr>
            <w:r w:rsidRPr="005E4A73">
              <w:rPr>
                <w:b/>
                <w:bCs/>
              </w:rPr>
              <w:t>12</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6</w:t>
            </w:r>
          </w:p>
        </w:tc>
        <w:tc>
          <w:tcPr>
            <w:tcW w:w="2880" w:type="dxa"/>
            <w:vAlign w:val="center"/>
          </w:tcPr>
          <w:p w:rsidR="00CF5A29" w:rsidRPr="005E4A73" w:rsidRDefault="00CF5A29" w:rsidP="00485B54">
            <w:r w:rsidRPr="005E4A73">
              <w:t>Перевага солоних продуктів</w:t>
            </w:r>
          </w:p>
        </w:tc>
        <w:tc>
          <w:tcPr>
            <w:tcW w:w="1080" w:type="dxa"/>
            <w:vAlign w:val="center"/>
          </w:tcPr>
          <w:p w:rsidR="00CF5A29" w:rsidRPr="005E4A73" w:rsidRDefault="00CF5A29" w:rsidP="00485B54">
            <w:pPr>
              <w:jc w:val="center"/>
            </w:pPr>
            <w:r w:rsidRPr="005E4A73">
              <w:t>84</w:t>
            </w:r>
          </w:p>
        </w:tc>
        <w:tc>
          <w:tcPr>
            <w:tcW w:w="1260" w:type="dxa"/>
            <w:vAlign w:val="center"/>
          </w:tcPr>
          <w:p w:rsidR="00CF5A29" w:rsidRPr="005E4A73" w:rsidRDefault="00CF5A29" w:rsidP="00485B54">
            <w:pPr>
              <w:jc w:val="center"/>
            </w:pPr>
            <w:r w:rsidRPr="005E4A73">
              <w:t>2,7</w:t>
            </w:r>
          </w:p>
        </w:tc>
        <w:tc>
          <w:tcPr>
            <w:tcW w:w="1080" w:type="dxa"/>
            <w:vAlign w:val="center"/>
          </w:tcPr>
          <w:p w:rsidR="00CF5A29" w:rsidRPr="005E4A73" w:rsidRDefault="00CF5A29" w:rsidP="00485B54">
            <w:pPr>
              <w:jc w:val="center"/>
            </w:pPr>
            <w:r w:rsidRPr="005E4A73">
              <w:t>289</w:t>
            </w:r>
          </w:p>
        </w:tc>
        <w:tc>
          <w:tcPr>
            <w:tcW w:w="1080" w:type="dxa"/>
            <w:vAlign w:val="center"/>
          </w:tcPr>
          <w:p w:rsidR="00CF5A29" w:rsidRPr="005E4A73" w:rsidRDefault="00CF5A29" w:rsidP="00485B54">
            <w:pPr>
              <w:jc w:val="center"/>
            </w:pPr>
            <w:r w:rsidRPr="005E4A73">
              <w:t>9,5</w:t>
            </w:r>
          </w:p>
        </w:tc>
        <w:tc>
          <w:tcPr>
            <w:tcW w:w="1260" w:type="dxa"/>
            <w:vAlign w:val="center"/>
          </w:tcPr>
          <w:p w:rsidR="00CF5A29" w:rsidRPr="005E4A73" w:rsidRDefault="00CF5A29" w:rsidP="00485B54">
            <w:r w:rsidRPr="005E4A73">
              <w:t>─ 1,25</w:t>
            </w:r>
          </w:p>
        </w:tc>
        <w:tc>
          <w:tcPr>
            <w:tcW w:w="900" w:type="dxa"/>
            <w:vAlign w:val="center"/>
          </w:tcPr>
          <w:p w:rsidR="00CF5A29" w:rsidRPr="005E4A73" w:rsidRDefault="00CF5A29" w:rsidP="00485B54">
            <w:pPr>
              <w:jc w:val="center"/>
              <w:rPr>
                <w:b/>
                <w:bCs/>
              </w:rPr>
            </w:pPr>
            <w:r w:rsidRPr="005E4A73">
              <w:rPr>
                <w:b/>
                <w:bCs/>
              </w:rPr>
              <w:t>7</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7</w:t>
            </w:r>
          </w:p>
        </w:tc>
        <w:tc>
          <w:tcPr>
            <w:tcW w:w="2880" w:type="dxa"/>
            <w:vAlign w:val="center"/>
          </w:tcPr>
          <w:p w:rsidR="00CF5A29" w:rsidRPr="005E4A73" w:rsidRDefault="00CF5A29" w:rsidP="00485B54">
            <w:r w:rsidRPr="005E4A73">
              <w:t>Нерегулярність прийому їжі</w:t>
            </w:r>
          </w:p>
        </w:tc>
        <w:tc>
          <w:tcPr>
            <w:tcW w:w="1080" w:type="dxa"/>
            <w:vAlign w:val="center"/>
          </w:tcPr>
          <w:p w:rsidR="00CF5A29" w:rsidRPr="005E4A73" w:rsidRDefault="00CF5A29" w:rsidP="00485B54">
            <w:pPr>
              <w:jc w:val="center"/>
            </w:pPr>
            <w:r w:rsidRPr="005E4A73">
              <w:t>112</w:t>
            </w:r>
          </w:p>
        </w:tc>
        <w:tc>
          <w:tcPr>
            <w:tcW w:w="1260" w:type="dxa"/>
            <w:vAlign w:val="center"/>
          </w:tcPr>
          <w:p w:rsidR="00CF5A29" w:rsidRPr="005E4A73" w:rsidRDefault="00CF5A29" w:rsidP="00485B54">
            <w:pPr>
              <w:jc w:val="center"/>
            </w:pPr>
            <w:r w:rsidRPr="005E4A73">
              <w:t>3,5</w:t>
            </w:r>
          </w:p>
        </w:tc>
        <w:tc>
          <w:tcPr>
            <w:tcW w:w="1080" w:type="dxa"/>
            <w:vAlign w:val="center"/>
          </w:tcPr>
          <w:p w:rsidR="00CF5A29" w:rsidRPr="005E4A73" w:rsidRDefault="00CF5A29" w:rsidP="00485B54">
            <w:pPr>
              <w:jc w:val="center"/>
            </w:pPr>
            <w:r w:rsidRPr="005E4A73">
              <w:t>265</w:t>
            </w:r>
          </w:p>
        </w:tc>
        <w:tc>
          <w:tcPr>
            <w:tcW w:w="1080" w:type="dxa"/>
            <w:vAlign w:val="center"/>
          </w:tcPr>
          <w:p w:rsidR="00CF5A29" w:rsidRPr="005E4A73" w:rsidRDefault="00CF5A29" w:rsidP="00485B54">
            <w:pPr>
              <w:jc w:val="center"/>
            </w:pPr>
            <w:r w:rsidRPr="005E4A73">
              <w:t>8,7</w:t>
            </w:r>
          </w:p>
        </w:tc>
        <w:tc>
          <w:tcPr>
            <w:tcW w:w="1260" w:type="dxa"/>
            <w:vAlign w:val="center"/>
          </w:tcPr>
          <w:p w:rsidR="00CF5A29" w:rsidRPr="005E4A73" w:rsidRDefault="00CF5A29" w:rsidP="00485B54">
            <w:r w:rsidRPr="005E4A73">
              <w:t>─ 0,91</w:t>
            </w:r>
          </w:p>
        </w:tc>
        <w:tc>
          <w:tcPr>
            <w:tcW w:w="900" w:type="dxa"/>
            <w:vAlign w:val="center"/>
          </w:tcPr>
          <w:p w:rsidR="00CF5A29" w:rsidRPr="005E4A73" w:rsidRDefault="00CF5A29" w:rsidP="00485B54">
            <w:pPr>
              <w:jc w:val="center"/>
              <w:rPr>
                <w:b/>
                <w:bCs/>
              </w:rPr>
            </w:pPr>
            <w:r w:rsidRPr="005E4A73">
              <w:rPr>
                <w:b/>
                <w:bCs/>
              </w:rPr>
              <w:t>13</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8</w:t>
            </w:r>
          </w:p>
        </w:tc>
        <w:tc>
          <w:tcPr>
            <w:tcW w:w="2880" w:type="dxa"/>
            <w:vAlign w:val="center"/>
          </w:tcPr>
          <w:p w:rsidR="00CF5A29" w:rsidRPr="005E4A73" w:rsidRDefault="00CF5A29" w:rsidP="00485B54">
            <w:r w:rsidRPr="005E4A73">
              <w:t>Виразка шлунка</w:t>
            </w:r>
          </w:p>
        </w:tc>
        <w:tc>
          <w:tcPr>
            <w:tcW w:w="1080" w:type="dxa"/>
            <w:vAlign w:val="center"/>
          </w:tcPr>
          <w:p w:rsidR="00CF5A29" w:rsidRPr="005E4A73" w:rsidRDefault="00CF5A29" w:rsidP="00485B54">
            <w:pPr>
              <w:jc w:val="center"/>
            </w:pPr>
            <w:r w:rsidRPr="005E4A73">
              <w:t>16</w:t>
            </w:r>
          </w:p>
        </w:tc>
        <w:tc>
          <w:tcPr>
            <w:tcW w:w="1260" w:type="dxa"/>
            <w:vAlign w:val="center"/>
          </w:tcPr>
          <w:p w:rsidR="00CF5A29" w:rsidRPr="005E4A73" w:rsidRDefault="00CF5A29" w:rsidP="00485B54">
            <w:pPr>
              <w:jc w:val="center"/>
            </w:pPr>
            <w:r w:rsidRPr="005E4A73">
              <w:t>0,5</w:t>
            </w:r>
          </w:p>
        </w:tc>
        <w:tc>
          <w:tcPr>
            <w:tcW w:w="1080" w:type="dxa"/>
            <w:vAlign w:val="center"/>
          </w:tcPr>
          <w:p w:rsidR="00CF5A29" w:rsidRPr="005E4A73" w:rsidRDefault="00CF5A29" w:rsidP="00485B54">
            <w:pPr>
              <w:jc w:val="center"/>
            </w:pPr>
            <w:r w:rsidRPr="005E4A73">
              <w:t>92</w:t>
            </w:r>
          </w:p>
        </w:tc>
        <w:tc>
          <w:tcPr>
            <w:tcW w:w="1080" w:type="dxa"/>
            <w:vAlign w:val="center"/>
          </w:tcPr>
          <w:p w:rsidR="00CF5A29" w:rsidRPr="005E4A73" w:rsidRDefault="00CF5A29" w:rsidP="00485B54">
            <w:pPr>
              <w:jc w:val="center"/>
            </w:pPr>
            <w:r w:rsidRPr="005E4A73">
              <w:t>3,0</w:t>
            </w:r>
          </w:p>
        </w:tc>
        <w:tc>
          <w:tcPr>
            <w:tcW w:w="1260" w:type="dxa"/>
            <w:vAlign w:val="center"/>
          </w:tcPr>
          <w:p w:rsidR="00CF5A29" w:rsidRPr="005E4A73" w:rsidRDefault="00CF5A29" w:rsidP="00485B54">
            <w:r w:rsidRPr="005E4A73">
              <w:t>─ 1,79</w:t>
            </w:r>
          </w:p>
        </w:tc>
        <w:tc>
          <w:tcPr>
            <w:tcW w:w="900" w:type="dxa"/>
            <w:vAlign w:val="center"/>
          </w:tcPr>
          <w:p w:rsidR="00CF5A29" w:rsidRPr="005E4A73" w:rsidRDefault="00CF5A29" w:rsidP="00485B54">
            <w:pPr>
              <w:jc w:val="center"/>
              <w:rPr>
                <w:b/>
                <w:bCs/>
              </w:rPr>
            </w:pPr>
            <w:r w:rsidRPr="005E4A73">
              <w:rPr>
                <w:b/>
                <w:bCs/>
              </w:rPr>
              <w:t>2</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9</w:t>
            </w:r>
          </w:p>
        </w:tc>
        <w:tc>
          <w:tcPr>
            <w:tcW w:w="2880" w:type="dxa"/>
            <w:vAlign w:val="center"/>
          </w:tcPr>
          <w:p w:rsidR="00CF5A29" w:rsidRPr="005E4A73" w:rsidRDefault="00CF5A29" w:rsidP="00485B54">
            <w:r w:rsidRPr="005E4A73">
              <w:t xml:space="preserve">Підвищене вживання м'яса тваринних жирів </w:t>
            </w:r>
            <w:r w:rsidRPr="005E4A73">
              <w:rPr>
                <w:bCs/>
              </w:rPr>
              <w:t>і борошняних виробів</w:t>
            </w:r>
          </w:p>
        </w:tc>
        <w:tc>
          <w:tcPr>
            <w:tcW w:w="1080" w:type="dxa"/>
            <w:vAlign w:val="center"/>
          </w:tcPr>
          <w:p w:rsidR="00CF5A29" w:rsidRPr="005E4A73" w:rsidRDefault="00CF5A29" w:rsidP="00485B54">
            <w:pPr>
              <w:jc w:val="center"/>
            </w:pPr>
            <w:r w:rsidRPr="005E4A73">
              <w:t>125</w:t>
            </w:r>
          </w:p>
        </w:tc>
        <w:tc>
          <w:tcPr>
            <w:tcW w:w="1260" w:type="dxa"/>
            <w:vAlign w:val="center"/>
          </w:tcPr>
          <w:p w:rsidR="00CF5A29" w:rsidRPr="005E4A73" w:rsidRDefault="00CF5A29" w:rsidP="00485B54">
            <w:pPr>
              <w:jc w:val="center"/>
            </w:pPr>
            <w:r w:rsidRPr="005E4A73">
              <w:t>4,0</w:t>
            </w:r>
          </w:p>
        </w:tc>
        <w:tc>
          <w:tcPr>
            <w:tcW w:w="1080" w:type="dxa"/>
            <w:vAlign w:val="center"/>
          </w:tcPr>
          <w:p w:rsidR="00CF5A29" w:rsidRPr="005E4A73" w:rsidRDefault="00CF5A29" w:rsidP="00485B54">
            <w:pPr>
              <w:jc w:val="center"/>
            </w:pPr>
            <w:r w:rsidRPr="005E4A73">
              <w:t>277</w:t>
            </w:r>
          </w:p>
        </w:tc>
        <w:tc>
          <w:tcPr>
            <w:tcW w:w="1080" w:type="dxa"/>
            <w:vAlign w:val="center"/>
          </w:tcPr>
          <w:p w:rsidR="00CF5A29" w:rsidRPr="005E4A73" w:rsidRDefault="00CF5A29" w:rsidP="00485B54">
            <w:pPr>
              <w:jc w:val="center"/>
            </w:pPr>
            <w:r w:rsidRPr="005E4A73">
              <w:t>9,1</w:t>
            </w:r>
          </w:p>
        </w:tc>
        <w:tc>
          <w:tcPr>
            <w:tcW w:w="1260" w:type="dxa"/>
            <w:vAlign w:val="center"/>
          </w:tcPr>
          <w:p w:rsidR="00CF5A29" w:rsidRPr="005E4A73" w:rsidRDefault="00CF5A29" w:rsidP="00485B54">
            <w:r w:rsidRPr="005E4A73">
              <w:t>─ 0,82</w:t>
            </w:r>
          </w:p>
        </w:tc>
        <w:tc>
          <w:tcPr>
            <w:tcW w:w="900" w:type="dxa"/>
            <w:vAlign w:val="center"/>
          </w:tcPr>
          <w:p w:rsidR="00CF5A29" w:rsidRPr="005E4A73" w:rsidRDefault="00CF5A29" w:rsidP="00485B54">
            <w:pPr>
              <w:jc w:val="center"/>
              <w:rPr>
                <w:b/>
                <w:bCs/>
              </w:rPr>
            </w:pPr>
            <w:r w:rsidRPr="005E4A73">
              <w:rPr>
                <w:b/>
                <w:bCs/>
              </w:rPr>
              <w:t>14</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Χ</w:t>
            </w:r>
            <w:r w:rsidRPr="005E4A73">
              <w:rPr>
                <w:b/>
                <w:vertAlign w:val="subscript"/>
              </w:rPr>
              <w:t>10</w:t>
            </w:r>
          </w:p>
        </w:tc>
        <w:tc>
          <w:tcPr>
            <w:tcW w:w="2880" w:type="dxa"/>
            <w:vAlign w:val="center"/>
          </w:tcPr>
          <w:p w:rsidR="00CF5A29" w:rsidRPr="005E4A73" w:rsidRDefault="00CF5A29" w:rsidP="00485B54">
            <w:r w:rsidRPr="005E4A73">
              <w:t>Операції на шлунку (раніше)</w:t>
            </w:r>
          </w:p>
        </w:tc>
        <w:tc>
          <w:tcPr>
            <w:tcW w:w="1080" w:type="dxa"/>
            <w:vAlign w:val="center"/>
          </w:tcPr>
          <w:p w:rsidR="00CF5A29" w:rsidRPr="005E4A73" w:rsidRDefault="00CF5A29" w:rsidP="00485B54">
            <w:pPr>
              <w:jc w:val="center"/>
            </w:pPr>
            <w:r w:rsidRPr="005E4A73">
              <w:t>8</w:t>
            </w:r>
          </w:p>
        </w:tc>
        <w:tc>
          <w:tcPr>
            <w:tcW w:w="1260" w:type="dxa"/>
            <w:vAlign w:val="center"/>
          </w:tcPr>
          <w:p w:rsidR="00CF5A29" w:rsidRPr="005E4A73" w:rsidRDefault="00CF5A29" w:rsidP="00485B54">
            <w:pPr>
              <w:jc w:val="center"/>
            </w:pPr>
            <w:r w:rsidRPr="005E4A73">
              <w:t>0,2</w:t>
            </w:r>
          </w:p>
        </w:tc>
        <w:tc>
          <w:tcPr>
            <w:tcW w:w="1080" w:type="dxa"/>
            <w:vAlign w:val="center"/>
          </w:tcPr>
          <w:p w:rsidR="00CF5A29" w:rsidRPr="005E4A73" w:rsidRDefault="00CF5A29" w:rsidP="00485B54">
            <w:pPr>
              <w:jc w:val="center"/>
            </w:pPr>
            <w:r w:rsidRPr="005E4A73">
              <w:t>23</w:t>
            </w:r>
          </w:p>
        </w:tc>
        <w:tc>
          <w:tcPr>
            <w:tcW w:w="1080" w:type="dxa"/>
            <w:vAlign w:val="center"/>
          </w:tcPr>
          <w:p w:rsidR="00CF5A29" w:rsidRPr="005E4A73" w:rsidRDefault="00CF5A29" w:rsidP="00485B54">
            <w:pPr>
              <w:jc w:val="center"/>
            </w:pPr>
            <w:r w:rsidRPr="005E4A73">
              <w:t>0,7</w:t>
            </w:r>
          </w:p>
        </w:tc>
        <w:tc>
          <w:tcPr>
            <w:tcW w:w="1260" w:type="dxa"/>
            <w:vAlign w:val="center"/>
          </w:tcPr>
          <w:p w:rsidR="00CF5A29" w:rsidRPr="005E4A73" w:rsidRDefault="00CF5A29" w:rsidP="00485B54">
            <w:r w:rsidRPr="005E4A73">
              <w:t>─ 1,25</w:t>
            </w:r>
          </w:p>
        </w:tc>
        <w:tc>
          <w:tcPr>
            <w:tcW w:w="900" w:type="dxa"/>
            <w:vAlign w:val="center"/>
          </w:tcPr>
          <w:p w:rsidR="00CF5A29" w:rsidRPr="005E4A73" w:rsidRDefault="00CF5A29" w:rsidP="00485B54">
            <w:pPr>
              <w:jc w:val="center"/>
              <w:rPr>
                <w:b/>
                <w:bCs/>
              </w:rPr>
            </w:pPr>
            <w:r w:rsidRPr="005E4A73">
              <w:rPr>
                <w:b/>
                <w:bCs/>
              </w:rPr>
              <w:t>8</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11</w:t>
            </w:r>
          </w:p>
        </w:tc>
        <w:tc>
          <w:tcPr>
            <w:tcW w:w="2880" w:type="dxa"/>
            <w:vAlign w:val="center"/>
          </w:tcPr>
          <w:p w:rsidR="00CF5A29" w:rsidRPr="005E4A73" w:rsidRDefault="00CF5A29" w:rsidP="00485B54">
            <w:r w:rsidRPr="005E4A73">
              <w:t>Вік пацієнтів 60 років і більше</w:t>
            </w:r>
          </w:p>
        </w:tc>
        <w:tc>
          <w:tcPr>
            <w:tcW w:w="1080" w:type="dxa"/>
            <w:vAlign w:val="center"/>
          </w:tcPr>
          <w:p w:rsidR="00CF5A29" w:rsidRPr="005E4A73" w:rsidRDefault="00CF5A29" w:rsidP="00485B54">
            <w:pPr>
              <w:jc w:val="center"/>
            </w:pPr>
            <w:r w:rsidRPr="005E4A73">
              <w:t>140</w:t>
            </w:r>
          </w:p>
        </w:tc>
        <w:tc>
          <w:tcPr>
            <w:tcW w:w="1260" w:type="dxa"/>
            <w:vAlign w:val="center"/>
          </w:tcPr>
          <w:p w:rsidR="00CF5A29" w:rsidRPr="005E4A73" w:rsidRDefault="00CF5A29" w:rsidP="00485B54">
            <w:pPr>
              <w:jc w:val="center"/>
            </w:pPr>
            <w:r w:rsidRPr="005E4A73">
              <w:t>4,4</w:t>
            </w:r>
          </w:p>
        </w:tc>
        <w:tc>
          <w:tcPr>
            <w:tcW w:w="1080" w:type="dxa"/>
            <w:vAlign w:val="center"/>
          </w:tcPr>
          <w:p w:rsidR="00CF5A29" w:rsidRPr="005E4A73" w:rsidRDefault="00CF5A29" w:rsidP="00485B54">
            <w:pPr>
              <w:jc w:val="center"/>
            </w:pPr>
            <w:r w:rsidRPr="005E4A73">
              <w:t>189</w:t>
            </w:r>
          </w:p>
        </w:tc>
        <w:tc>
          <w:tcPr>
            <w:tcW w:w="1080" w:type="dxa"/>
            <w:vAlign w:val="center"/>
          </w:tcPr>
          <w:p w:rsidR="00CF5A29" w:rsidRPr="005E4A73" w:rsidRDefault="00CF5A29" w:rsidP="00485B54">
            <w:pPr>
              <w:jc w:val="center"/>
            </w:pPr>
            <w:r w:rsidRPr="005E4A73">
              <w:t>6,2</w:t>
            </w:r>
          </w:p>
        </w:tc>
        <w:tc>
          <w:tcPr>
            <w:tcW w:w="1260" w:type="dxa"/>
            <w:vAlign w:val="center"/>
          </w:tcPr>
          <w:p w:rsidR="00CF5A29" w:rsidRPr="005E4A73" w:rsidRDefault="00CF5A29" w:rsidP="00485B54">
            <w:r w:rsidRPr="005E4A73">
              <w:t>─ 0,34</w:t>
            </w:r>
          </w:p>
        </w:tc>
        <w:tc>
          <w:tcPr>
            <w:tcW w:w="900" w:type="dxa"/>
            <w:vAlign w:val="center"/>
          </w:tcPr>
          <w:p w:rsidR="00CF5A29" w:rsidRPr="005E4A73" w:rsidRDefault="00CF5A29" w:rsidP="00485B54">
            <w:pPr>
              <w:jc w:val="center"/>
              <w:rPr>
                <w:b/>
                <w:bCs/>
              </w:rPr>
            </w:pPr>
            <w:r w:rsidRPr="005E4A73">
              <w:rPr>
                <w:b/>
                <w:bCs/>
              </w:rPr>
              <w:t>21</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12</w:t>
            </w:r>
          </w:p>
        </w:tc>
        <w:tc>
          <w:tcPr>
            <w:tcW w:w="2880" w:type="dxa"/>
            <w:vAlign w:val="center"/>
          </w:tcPr>
          <w:p w:rsidR="00CF5A29" w:rsidRPr="005E4A73" w:rsidRDefault="00CF5A29" w:rsidP="00485B54">
            <w:r w:rsidRPr="005E4A73">
              <w:t>Стать (чоловіча або жіноча)</w:t>
            </w:r>
          </w:p>
        </w:tc>
        <w:tc>
          <w:tcPr>
            <w:tcW w:w="1080" w:type="dxa"/>
            <w:vAlign w:val="center"/>
          </w:tcPr>
          <w:p w:rsidR="00CF5A29" w:rsidRPr="005E4A73" w:rsidRDefault="00CF5A29" w:rsidP="00485B54">
            <w:pPr>
              <w:jc w:val="center"/>
            </w:pPr>
            <w:r w:rsidRPr="005E4A73">
              <w:t>144</w:t>
            </w:r>
          </w:p>
        </w:tc>
        <w:tc>
          <w:tcPr>
            <w:tcW w:w="1260" w:type="dxa"/>
            <w:vAlign w:val="center"/>
          </w:tcPr>
          <w:p w:rsidR="00CF5A29" w:rsidRPr="005E4A73" w:rsidRDefault="00CF5A29" w:rsidP="00485B54">
            <w:pPr>
              <w:jc w:val="center"/>
            </w:pPr>
            <w:r w:rsidRPr="005E4A73">
              <w:t>4,6</w:t>
            </w:r>
          </w:p>
        </w:tc>
        <w:tc>
          <w:tcPr>
            <w:tcW w:w="1080" w:type="dxa"/>
            <w:vAlign w:val="center"/>
          </w:tcPr>
          <w:p w:rsidR="00CF5A29" w:rsidRPr="005E4A73" w:rsidRDefault="00CF5A29" w:rsidP="00485B54">
            <w:pPr>
              <w:jc w:val="center"/>
            </w:pPr>
            <w:r w:rsidRPr="005E4A73">
              <w:t>196</w:t>
            </w:r>
          </w:p>
        </w:tc>
        <w:tc>
          <w:tcPr>
            <w:tcW w:w="1080" w:type="dxa"/>
            <w:vAlign w:val="center"/>
          </w:tcPr>
          <w:p w:rsidR="00CF5A29" w:rsidRPr="005E4A73" w:rsidRDefault="00CF5A29" w:rsidP="00485B54">
            <w:pPr>
              <w:jc w:val="center"/>
            </w:pPr>
            <w:r w:rsidRPr="005E4A73">
              <w:t>6,5</w:t>
            </w:r>
          </w:p>
        </w:tc>
        <w:tc>
          <w:tcPr>
            <w:tcW w:w="1260" w:type="dxa"/>
            <w:vAlign w:val="center"/>
          </w:tcPr>
          <w:p w:rsidR="00CF5A29" w:rsidRPr="005E4A73" w:rsidRDefault="00CF5A29" w:rsidP="00485B54">
            <w:r w:rsidRPr="005E4A73">
              <w:t>─ 0,34</w:t>
            </w:r>
          </w:p>
        </w:tc>
        <w:tc>
          <w:tcPr>
            <w:tcW w:w="900" w:type="dxa"/>
            <w:vAlign w:val="center"/>
          </w:tcPr>
          <w:p w:rsidR="00CF5A29" w:rsidRPr="005E4A73" w:rsidRDefault="00CF5A29" w:rsidP="00485B54">
            <w:pPr>
              <w:jc w:val="center"/>
              <w:rPr>
                <w:b/>
                <w:bCs/>
              </w:rPr>
            </w:pPr>
            <w:r w:rsidRPr="005E4A73">
              <w:rPr>
                <w:b/>
                <w:bCs/>
              </w:rPr>
              <w:t>22</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13</w:t>
            </w:r>
          </w:p>
        </w:tc>
        <w:tc>
          <w:tcPr>
            <w:tcW w:w="2880" w:type="dxa"/>
            <w:vAlign w:val="center"/>
          </w:tcPr>
          <w:p w:rsidR="00CF5A29" w:rsidRPr="005E4A73" w:rsidRDefault="00CF5A29" w:rsidP="00485B54">
            <w:r w:rsidRPr="005E4A73">
              <w:t>Цукровий діабет</w:t>
            </w:r>
          </w:p>
        </w:tc>
        <w:tc>
          <w:tcPr>
            <w:tcW w:w="1080" w:type="dxa"/>
            <w:vAlign w:val="center"/>
          </w:tcPr>
          <w:p w:rsidR="00CF5A29" w:rsidRPr="005E4A73" w:rsidRDefault="00CF5A29" w:rsidP="00485B54">
            <w:pPr>
              <w:jc w:val="center"/>
            </w:pPr>
            <w:r w:rsidRPr="005E4A73">
              <w:t>39</w:t>
            </w:r>
          </w:p>
        </w:tc>
        <w:tc>
          <w:tcPr>
            <w:tcW w:w="1260" w:type="dxa"/>
            <w:vAlign w:val="center"/>
          </w:tcPr>
          <w:p w:rsidR="00CF5A29" w:rsidRPr="005E4A73" w:rsidRDefault="00CF5A29" w:rsidP="00485B54">
            <w:pPr>
              <w:jc w:val="center"/>
            </w:pPr>
            <w:r w:rsidRPr="005E4A73">
              <w:t>1,2</w:t>
            </w:r>
          </w:p>
        </w:tc>
        <w:tc>
          <w:tcPr>
            <w:tcW w:w="1080" w:type="dxa"/>
            <w:vAlign w:val="center"/>
          </w:tcPr>
          <w:p w:rsidR="00CF5A29" w:rsidRPr="005E4A73" w:rsidRDefault="00CF5A29" w:rsidP="00485B54">
            <w:pPr>
              <w:jc w:val="center"/>
            </w:pPr>
            <w:r w:rsidRPr="005E4A73">
              <w:t>76</w:t>
            </w:r>
          </w:p>
        </w:tc>
        <w:tc>
          <w:tcPr>
            <w:tcW w:w="1080" w:type="dxa"/>
            <w:vAlign w:val="center"/>
          </w:tcPr>
          <w:p w:rsidR="00CF5A29" w:rsidRPr="005E4A73" w:rsidRDefault="00CF5A29" w:rsidP="00485B54">
            <w:pPr>
              <w:jc w:val="center"/>
            </w:pPr>
            <w:r w:rsidRPr="005E4A73">
              <w:t>2,5</w:t>
            </w:r>
          </w:p>
        </w:tc>
        <w:tc>
          <w:tcPr>
            <w:tcW w:w="1260" w:type="dxa"/>
            <w:vAlign w:val="center"/>
          </w:tcPr>
          <w:p w:rsidR="00CF5A29" w:rsidRPr="005E4A73" w:rsidRDefault="00CF5A29" w:rsidP="00485B54">
            <w:r w:rsidRPr="005E4A73">
              <w:t>─ 0,69</w:t>
            </w:r>
          </w:p>
        </w:tc>
        <w:tc>
          <w:tcPr>
            <w:tcW w:w="900" w:type="dxa"/>
            <w:vAlign w:val="center"/>
          </w:tcPr>
          <w:p w:rsidR="00CF5A29" w:rsidRPr="005E4A73" w:rsidRDefault="00CF5A29" w:rsidP="00485B54">
            <w:pPr>
              <w:jc w:val="center"/>
              <w:rPr>
                <w:b/>
                <w:bCs/>
              </w:rPr>
            </w:pPr>
            <w:r w:rsidRPr="005E4A73">
              <w:rPr>
                <w:b/>
                <w:bCs/>
              </w:rPr>
              <w:t>16</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14</w:t>
            </w:r>
          </w:p>
        </w:tc>
        <w:tc>
          <w:tcPr>
            <w:tcW w:w="2880" w:type="dxa"/>
            <w:vAlign w:val="center"/>
          </w:tcPr>
          <w:p w:rsidR="00CF5A29" w:rsidRPr="005E4A73" w:rsidRDefault="00CF5A29" w:rsidP="00485B54">
            <w:r w:rsidRPr="005E4A73">
              <w:t>Група крові А (II)</w:t>
            </w:r>
          </w:p>
        </w:tc>
        <w:tc>
          <w:tcPr>
            <w:tcW w:w="1080" w:type="dxa"/>
            <w:vAlign w:val="center"/>
          </w:tcPr>
          <w:p w:rsidR="00CF5A29" w:rsidRPr="005E4A73" w:rsidRDefault="00CF5A29" w:rsidP="00485B54">
            <w:pPr>
              <w:jc w:val="center"/>
            </w:pPr>
            <w:r w:rsidRPr="005E4A73">
              <w:t>79</w:t>
            </w:r>
          </w:p>
        </w:tc>
        <w:tc>
          <w:tcPr>
            <w:tcW w:w="1260" w:type="dxa"/>
            <w:vAlign w:val="center"/>
          </w:tcPr>
          <w:p w:rsidR="00CF5A29" w:rsidRPr="005E4A73" w:rsidRDefault="00CF5A29" w:rsidP="00485B54">
            <w:pPr>
              <w:jc w:val="center"/>
            </w:pPr>
            <w:r w:rsidRPr="005E4A73">
              <w:t>2,5</w:t>
            </w:r>
          </w:p>
        </w:tc>
        <w:tc>
          <w:tcPr>
            <w:tcW w:w="1080" w:type="dxa"/>
            <w:vAlign w:val="center"/>
          </w:tcPr>
          <w:p w:rsidR="00CF5A29" w:rsidRPr="005E4A73" w:rsidRDefault="00CF5A29" w:rsidP="00485B54">
            <w:pPr>
              <w:jc w:val="center"/>
            </w:pPr>
            <w:r w:rsidRPr="005E4A73">
              <w:t>122</w:t>
            </w:r>
          </w:p>
        </w:tc>
        <w:tc>
          <w:tcPr>
            <w:tcW w:w="1080" w:type="dxa"/>
            <w:vAlign w:val="center"/>
          </w:tcPr>
          <w:p w:rsidR="00CF5A29" w:rsidRPr="005E4A73" w:rsidRDefault="00CF5A29" w:rsidP="00485B54">
            <w:pPr>
              <w:jc w:val="center"/>
            </w:pPr>
            <w:r w:rsidRPr="005E4A73">
              <w:t>4,0</w:t>
            </w:r>
          </w:p>
        </w:tc>
        <w:tc>
          <w:tcPr>
            <w:tcW w:w="1260" w:type="dxa"/>
            <w:vAlign w:val="center"/>
          </w:tcPr>
          <w:p w:rsidR="00CF5A29" w:rsidRPr="005E4A73" w:rsidRDefault="00CF5A29" w:rsidP="00485B54">
            <w:r w:rsidRPr="005E4A73">
              <w:t>─ 0,47</w:t>
            </w:r>
          </w:p>
        </w:tc>
        <w:tc>
          <w:tcPr>
            <w:tcW w:w="900" w:type="dxa"/>
            <w:vAlign w:val="center"/>
          </w:tcPr>
          <w:p w:rsidR="00CF5A29" w:rsidRPr="005E4A73" w:rsidRDefault="00CF5A29" w:rsidP="00485B54">
            <w:pPr>
              <w:jc w:val="center"/>
              <w:rPr>
                <w:b/>
                <w:bCs/>
              </w:rPr>
            </w:pPr>
            <w:r w:rsidRPr="005E4A73">
              <w:rPr>
                <w:b/>
                <w:bCs/>
              </w:rPr>
              <w:t>20</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15</w:t>
            </w:r>
          </w:p>
        </w:tc>
        <w:tc>
          <w:tcPr>
            <w:tcW w:w="2880" w:type="dxa"/>
            <w:vAlign w:val="center"/>
          </w:tcPr>
          <w:p w:rsidR="00CF5A29" w:rsidRPr="005E4A73" w:rsidRDefault="00CF5A29" w:rsidP="00485B54">
            <w:r w:rsidRPr="005E4A73">
              <w:t>Поліпи шлунка</w:t>
            </w:r>
          </w:p>
        </w:tc>
        <w:tc>
          <w:tcPr>
            <w:tcW w:w="1080" w:type="dxa"/>
            <w:vAlign w:val="center"/>
          </w:tcPr>
          <w:p w:rsidR="00CF5A29" w:rsidRPr="005E4A73" w:rsidRDefault="00CF5A29" w:rsidP="00485B54">
            <w:pPr>
              <w:jc w:val="center"/>
            </w:pPr>
            <w:r w:rsidRPr="005E4A73">
              <w:t>2</w:t>
            </w:r>
          </w:p>
        </w:tc>
        <w:tc>
          <w:tcPr>
            <w:tcW w:w="1260" w:type="dxa"/>
            <w:vAlign w:val="center"/>
          </w:tcPr>
          <w:p w:rsidR="00CF5A29" w:rsidRPr="005E4A73" w:rsidRDefault="00CF5A29" w:rsidP="00485B54">
            <w:pPr>
              <w:jc w:val="center"/>
            </w:pPr>
            <w:r w:rsidRPr="005E4A73">
              <w:t>0,06</w:t>
            </w:r>
          </w:p>
        </w:tc>
        <w:tc>
          <w:tcPr>
            <w:tcW w:w="1080" w:type="dxa"/>
            <w:vAlign w:val="center"/>
          </w:tcPr>
          <w:p w:rsidR="00CF5A29" w:rsidRPr="005E4A73" w:rsidRDefault="00CF5A29" w:rsidP="00485B54">
            <w:pPr>
              <w:jc w:val="center"/>
            </w:pPr>
            <w:r w:rsidRPr="005E4A73">
              <w:t>12</w:t>
            </w:r>
          </w:p>
        </w:tc>
        <w:tc>
          <w:tcPr>
            <w:tcW w:w="1080" w:type="dxa"/>
            <w:vAlign w:val="center"/>
          </w:tcPr>
          <w:p w:rsidR="00CF5A29" w:rsidRPr="005E4A73" w:rsidRDefault="00CF5A29" w:rsidP="00485B54">
            <w:pPr>
              <w:jc w:val="center"/>
            </w:pPr>
            <w:r w:rsidRPr="005E4A73">
              <w:t>0,4</w:t>
            </w:r>
          </w:p>
        </w:tc>
        <w:tc>
          <w:tcPr>
            <w:tcW w:w="1260" w:type="dxa"/>
            <w:vAlign w:val="center"/>
          </w:tcPr>
          <w:p w:rsidR="00CF5A29" w:rsidRPr="005E4A73" w:rsidRDefault="00CF5A29" w:rsidP="00485B54">
            <w:r w:rsidRPr="005E4A73">
              <w:t>─ 1,89</w:t>
            </w:r>
          </w:p>
        </w:tc>
        <w:tc>
          <w:tcPr>
            <w:tcW w:w="900" w:type="dxa"/>
            <w:vAlign w:val="center"/>
          </w:tcPr>
          <w:p w:rsidR="00CF5A29" w:rsidRPr="005E4A73" w:rsidRDefault="00CF5A29" w:rsidP="00485B54">
            <w:pPr>
              <w:jc w:val="center"/>
              <w:rPr>
                <w:b/>
                <w:bCs/>
              </w:rPr>
            </w:pPr>
            <w:r w:rsidRPr="005E4A73">
              <w:rPr>
                <w:b/>
                <w:bCs/>
              </w:rPr>
              <w:t>1</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16</w:t>
            </w:r>
          </w:p>
        </w:tc>
        <w:tc>
          <w:tcPr>
            <w:tcW w:w="2880" w:type="dxa"/>
            <w:vAlign w:val="center"/>
          </w:tcPr>
          <w:p w:rsidR="00CF5A29" w:rsidRPr="005E4A73" w:rsidRDefault="00CF5A29" w:rsidP="00485B54">
            <w:r w:rsidRPr="005E4A73">
              <w:t>Гастрити різного походження</w:t>
            </w:r>
          </w:p>
        </w:tc>
        <w:tc>
          <w:tcPr>
            <w:tcW w:w="1080" w:type="dxa"/>
            <w:vAlign w:val="center"/>
          </w:tcPr>
          <w:p w:rsidR="00CF5A29" w:rsidRPr="005E4A73" w:rsidRDefault="00CF5A29" w:rsidP="00485B54">
            <w:pPr>
              <w:jc w:val="center"/>
            </w:pPr>
            <w:r w:rsidRPr="005E4A73">
              <w:t>67</w:t>
            </w:r>
          </w:p>
        </w:tc>
        <w:tc>
          <w:tcPr>
            <w:tcW w:w="1260" w:type="dxa"/>
            <w:vAlign w:val="center"/>
          </w:tcPr>
          <w:p w:rsidR="00CF5A29" w:rsidRPr="005E4A73" w:rsidRDefault="00CF5A29" w:rsidP="00485B54">
            <w:pPr>
              <w:jc w:val="center"/>
            </w:pPr>
            <w:r w:rsidRPr="005E4A73">
              <w:t>2,1</w:t>
            </w:r>
          </w:p>
        </w:tc>
        <w:tc>
          <w:tcPr>
            <w:tcW w:w="1080" w:type="dxa"/>
            <w:vAlign w:val="center"/>
          </w:tcPr>
          <w:p w:rsidR="00CF5A29" w:rsidRPr="005E4A73" w:rsidRDefault="00CF5A29" w:rsidP="00485B54">
            <w:pPr>
              <w:jc w:val="center"/>
            </w:pPr>
            <w:r w:rsidRPr="005E4A73">
              <w:t>111</w:t>
            </w:r>
          </w:p>
        </w:tc>
        <w:tc>
          <w:tcPr>
            <w:tcW w:w="1080" w:type="dxa"/>
            <w:vAlign w:val="center"/>
          </w:tcPr>
          <w:p w:rsidR="00CF5A29" w:rsidRPr="005E4A73" w:rsidRDefault="00CF5A29" w:rsidP="00485B54">
            <w:pPr>
              <w:jc w:val="center"/>
            </w:pPr>
            <w:r w:rsidRPr="005E4A73">
              <w:t>3,6</w:t>
            </w:r>
          </w:p>
        </w:tc>
        <w:tc>
          <w:tcPr>
            <w:tcW w:w="1260" w:type="dxa"/>
            <w:vAlign w:val="center"/>
          </w:tcPr>
          <w:p w:rsidR="00CF5A29" w:rsidRPr="005E4A73" w:rsidRDefault="00CF5A29" w:rsidP="00485B54">
            <w:r w:rsidRPr="005E4A73">
              <w:t>─ 0,53</w:t>
            </w:r>
          </w:p>
        </w:tc>
        <w:tc>
          <w:tcPr>
            <w:tcW w:w="900" w:type="dxa"/>
            <w:vAlign w:val="center"/>
          </w:tcPr>
          <w:p w:rsidR="00CF5A29" w:rsidRPr="005E4A73" w:rsidRDefault="00CF5A29" w:rsidP="00485B54">
            <w:pPr>
              <w:jc w:val="center"/>
              <w:rPr>
                <w:b/>
                <w:bCs/>
              </w:rPr>
            </w:pPr>
            <w:r w:rsidRPr="005E4A73">
              <w:rPr>
                <w:b/>
                <w:bCs/>
              </w:rPr>
              <w:t>19</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17</w:t>
            </w:r>
          </w:p>
        </w:tc>
        <w:tc>
          <w:tcPr>
            <w:tcW w:w="2880" w:type="dxa"/>
            <w:vAlign w:val="center"/>
          </w:tcPr>
          <w:p w:rsidR="00CF5A29" w:rsidRPr="005E4A73" w:rsidRDefault="00CF5A29" w:rsidP="00485B54">
            <w:r w:rsidRPr="005E4A73">
              <w:t>Спадкові хвороби шлунка в найближчих родичів</w:t>
            </w:r>
          </w:p>
        </w:tc>
        <w:tc>
          <w:tcPr>
            <w:tcW w:w="1080" w:type="dxa"/>
            <w:vAlign w:val="center"/>
          </w:tcPr>
          <w:p w:rsidR="00CF5A29" w:rsidRPr="005E4A73" w:rsidRDefault="00CF5A29" w:rsidP="00485B54">
            <w:pPr>
              <w:jc w:val="center"/>
            </w:pPr>
            <w:r w:rsidRPr="005E4A73">
              <w:t>77</w:t>
            </w:r>
          </w:p>
        </w:tc>
        <w:tc>
          <w:tcPr>
            <w:tcW w:w="1260" w:type="dxa"/>
            <w:vAlign w:val="center"/>
          </w:tcPr>
          <w:p w:rsidR="00CF5A29" w:rsidRPr="005E4A73" w:rsidRDefault="00CF5A29" w:rsidP="00485B54">
            <w:pPr>
              <w:jc w:val="center"/>
            </w:pPr>
            <w:r w:rsidRPr="005E4A73">
              <w:t>2,4</w:t>
            </w:r>
          </w:p>
        </w:tc>
        <w:tc>
          <w:tcPr>
            <w:tcW w:w="1080" w:type="dxa"/>
            <w:vAlign w:val="center"/>
          </w:tcPr>
          <w:p w:rsidR="00CF5A29" w:rsidRPr="005E4A73" w:rsidRDefault="00CF5A29" w:rsidP="00485B54">
            <w:pPr>
              <w:jc w:val="center"/>
            </w:pPr>
            <w:r w:rsidRPr="005E4A73">
              <w:t>273</w:t>
            </w:r>
          </w:p>
        </w:tc>
        <w:tc>
          <w:tcPr>
            <w:tcW w:w="1080" w:type="dxa"/>
            <w:vAlign w:val="center"/>
          </w:tcPr>
          <w:p w:rsidR="00CF5A29" w:rsidRPr="005E4A73" w:rsidRDefault="00CF5A29" w:rsidP="00485B54">
            <w:pPr>
              <w:jc w:val="center"/>
            </w:pPr>
            <w:r w:rsidRPr="005E4A73">
              <w:t>9,0</w:t>
            </w:r>
          </w:p>
        </w:tc>
        <w:tc>
          <w:tcPr>
            <w:tcW w:w="1260" w:type="dxa"/>
            <w:vAlign w:val="center"/>
          </w:tcPr>
          <w:p w:rsidR="00CF5A29" w:rsidRPr="005E4A73" w:rsidRDefault="00CF5A29" w:rsidP="00485B54">
            <w:r w:rsidRPr="005E4A73">
              <w:t>─ 1,32</w:t>
            </w:r>
          </w:p>
        </w:tc>
        <w:tc>
          <w:tcPr>
            <w:tcW w:w="900" w:type="dxa"/>
            <w:vAlign w:val="center"/>
          </w:tcPr>
          <w:p w:rsidR="00CF5A29" w:rsidRPr="005E4A73" w:rsidRDefault="00CF5A29" w:rsidP="00485B54">
            <w:pPr>
              <w:jc w:val="center"/>
              <w:rPr>
                <w:b/>
                <w:bCs/>
              </w:rPr>
            </w:pPr>
            <w:r w:rsidRPr="005E4A73">
              <w:rPr>
                <w:b/>
                <w:bCs/>
              </w:rPr>
              <w:t>6</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18</w:t>
            </w:r>
          </w:p>
        </w:tc>
        <w:tc>
          <w:tcPr>
            <w:tcW w:w="2880" w:type="dxa"/>
            <w:vAlign w:val="center"/>
          </w:tcPr>
          <w:p w:rsidR="00CF5A29" w:rsidRPr="005E4A73" w:rsidRDefault="00CF5A29" w:rsidP="00485B54">
            <w:r w:rsidRPr="005E4A73">
              <w:t>Прийом їжі після 22-ї години</w:t>
            </w:r>
          </w:p>
        </w:tc>
        <w:tc>
          <w:tcPr>
            <w:tcW w:w="1080" w:type="dxa"/>
            <w:vAlign w:val="center"/>
          </w:tcPr>
          <w:p w:rsidR="00CF5A29" w:rsidRPr="005E4A73" w:rsidRDefault="00CF5A29" w:rsidP="00485B54">
            <w:pPr>
              <w:jc w:val="center"/>
            </w:pPr>
            <w:r w:rsidRPr="005E4A73">
              <w:t>152</w:t>
            </w:r>
          </w:p>
        </w:tc>
        <w:tc>
          <w:tcPr>
            <w:tcW w:w="1260" w:type="dxa"/>
            <w:vAlign w:val="center"/>
          </w:tcPr>
          <w:p w:rsidR="00CF5A29" w:rsidRPr="005E4A73" w:rsidRDefault="00CF5A29" w:rsidP="00485B54">
            <w:pPr>
              <w:jc w:val="center"/>
            </w:pPr>
            <w:r w:rsidRPr="005E4A73">
              <w:t>4,8</w:t>
            </w:r>
          </w:p>
        </w:tc>
        <w:tc>
          <w:tcPr>
            <w:tcW w:w="1080" w:type="dxa"/>
            <w:vAlign w:val="center"/>
          </w:tcPr>
          <w:p w:rsidR="00CF5A29" w:rsidRPr="005E4A73" w:rsidRDefault="00CF5A29" w:rsidP="00485B54">
            <w:pPr>
              <w:jc w:val="center"/>
            </w:pPr>
            <w:r w:rsidRPr="005E4A73">
              <w:t>255</w:t>
            </w:r>
          </w:p>
        </w:tc>
        <w:tc>
          <w:tcPr>
            <w:tcW w:w="1080" w:type="dxa"/>
            <w:vAlign w:val="center"/>
          </w:tcPr>
          <w:p w:rsidR="00CF5A29" w:rsidRPr="005E4A73" w:rsidRDefault="00CF5A29" w:rsidP="00485B54">
            <w:pPr>
              <w:jc w:val="center"/>
            </w:pPr>
            <w:r w:rsidRPr="005E4A73">
              <w:t>8,4</w:t>
            </w:r>
          </w:p>
        </w:tc>
        <w:tc>
          <w:tcPr>
            <w:tcW w:w="1260" w:type="dxa"/>
            <w:vAlign w:val="center"/>
          </w:tcPr>
          <w:p w:rsidR="00CF5A29" w:rsidRPr="005E4A73" w:rsidRDefault="00CF5A29" w:rsidP="00485B54">
            <w:r w:rsidRPr="005E4A73">
              <w:t>─ 0,55</w:t>
            </w:r>
          </w:p>
        </w:tc>
        <w:tc>
          <w:tcPr>
            <w:tcW w:w="900" w:type="dxa"/>
            <w:vAlign w:val="center"/>
          </w:tcPr>
          <w:p w:rsidR="00CF5A29" w:rsidRPr="005E4A73" w:rsidRDefault="00CF5A29" w:rsidP="00485B54">
            <w:pPr>
              <w:jc w:val="center"/>
              <w:rPr>
                <w:b/>
                <w:bCs/>
              </w:rPr>
            </w:pPr>
            <w:r w:rsidRPr="005E4A73">
              <w:rPr>
                <w:b/>
                <w:bCs/>
              </w:rPr>
              <w:t>18</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19</w:t>
            </w:r>
          </w:p>
        </w:tc>
        <w:tc>
          <w:tcPr>
            <w:tcW w:w="2880" w:type="dxa"/>
            <w:vAlign w:val="center"/>
          </w:tcPr>
          <w:p w:rsidR="00CF5A29" w:rsidRPr="005E4A73" w:rsidRDefault="00CF5A29" w:rsidP="00485B54">
            <w:r w:rsidRPr="005E4A73">
              <w:t>Гелікобактерна інфекція</w:t>
            </w:r>
          </w:p>
        </w:tc>
        <w:tc>
          <w:tcPr>
            <w:tcW w:w="1080" w:type="dxa"/>
            <w:vAlign w:val="center"/>
          </w:tcPr>
          <w:p w:rsidR="00CF5A29" w:rsidRPr="005E4A73" w:rsidRDefault="00CF5A29" w:rsidP="00485B54">
            <w:pPr>
              <w:jc w:val="center"/>
            </w:pPr>
            <w:r w:rsidRPr="005E4A73">
              <w:t>58</w:t>
            </w:r>
          </w:p>
        </w:tc>
        <w:tc>
          <w:tcPr>
            <w:tcW w:w="1260" w:type="dxa"/>
            <w:vAlign w:val="center"/>
          </w:tcPr>
          <w:p w:rsidR="00CF5A29" w:rsidRPr="005E4A73" w:rsidRDefault="00CF5A29" w:rsidP="00485B54">
            <w:pPr>
              <w:jc w:val="center"/>
            </w:pPr>
            <w:r w:rsidRPr="005E4A73">
              <w:t>1,8</w:t>
            </w:r>
          </w:p>
        </w:tc>
        <w:tc>
          <w:tcPr>
            <w:tcW w:w="1080" w:type="dxa"/>
            <w:vAlign w:val="center"/>
          </w:tcPr>
          <w:p w:rsidR="00CF5A29" w:rsidRPr="005E4A73" w:rsidRDefault="00CF5A29" w:rsidP="00485B54">
            <w:pPr>
              <w:jc w:val="center"/>
            </w:pPr>
            <w:r w:rsidRPr="005E4A73">
              <w:t>182</w:t>
            </w:r>
          </w:p>
        </w:tc>
        <w:tc>
          <w:tcPr>
            <w:tcW w:w="1080" w:type="dxa"/>
            <w:vAlign w:val="center"/>
          </w:tcPr>
          <w:p w:rsidR="00CF5A29" w:rsidRPr="005E4A73" w:rsidRDefault="00CF5A29" w:rsidP="00485B54">
            <w:pPr>
              <w:jc w:val="center"/>
            </w:pPr>
            <w:r w:rsidRPr="005E4A73">
              <w:t>6,0</w:t>
            </w:r>
          </w:p>
        </w:tc>
        <w:tc>
          <w:tcPr>
            <w:tcW w:w="1260" w:type="dxa"/>
            <w:vAlign w:val="center"/>
          </w:tcPr>
          <w:p w:rsidR="00CF5A29" w:rsidRPr="005E4A73" w:rsidRDefault="00CF5A29" w:rsidP="00485B54">
            <w:r w:rsidRPr="005E4A73">
              <w:t>─ 1,20</w:t>
            </w:r>
          </w:p>
        </w:tc>
        <w:tc>
          <w:tcPr>
            <w:tcW w:w="900" w:type="dxa"/>
            <w:vAlign w:val="center"/>
          </w:tcPr>
          <w:p w:rsidR="00CF5A29" w:rsidRPr="005E4A73" w:rsidRDefault="00CF5A29" w:rsidP="00485B54">
            <w:pPr>
              <w:jc w:val="center"/>
              <w:rPr>
                <w:b/>
                <w:bCs/>
              </w:rPr>
            </w:pPr>
            <w:r w:rsidRPr="005E4A73">
              <w:rPr>
                <w:b/>
                <w:bCs/>
              </w:rPr>
              <w:t>9</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20</w:t>
            </w:r>
          </w:p>
        </w:tc>
        <w:tc>
          <w:tcPr>
            <w:tcW w:w="2880" w:type="dxa"/>
            <w:vAlign w:val="center"/>
          </w:tcPr>
          <w:p w:rsidR="00CF5A29" w:rsidRPr="005E4A73" w:rsidRDefault="00CF5A29" w:rsidP="00485B54">
            <w:r w:rsidRPr="005E4A73">
              <w:t>Нульова і знижена кислотність шлункового соку</w:t>
            </w:r>
          </w:p>
        </w:tc>
        <w:tc>
          <w:tcPr>
            <w:tcW w:w="1080" w:type="dxa"/>
            <w:vAlign w:val="center"/>
          </w:tcPr>
          <w:p w:rsidR="00CF5A29" w:rsidRPr="005E4A73" w:rsidRDefault="00CF5A29" w:rsidP="00485B54">
            <w:pPr>
              <w:jc w:val="center"/>
            </w:pPr>
            <w:r w:rsidRPr="005E4A73">
              <w:t>39</w:t>
            </w:r>
          </w:p>
        </w:tc>
        <w:tc>
          <w:tcPr>
            <w:tcW w:w="1260" w:type="dxa"/>
            <w:vAlign w:val="center"/>
          </w:tcPr>
          <w:p w:rsidR="00CF5A29" w:rsidRPr="005E4A73" w:rsidRDefault="00CF5A29" w:rsidP="00485B54">
            <w:pPr>
              <w:jc w:val="center"/>
            </w:pPr>
            <w:r w:rsidRPr="005E4A73">
              <w:t>1,25</w:t>
            </w:r>
          </w:p>
        </w:tc>
        <w:tc>
          <w:tcPr>
            <w:tcW w:w="1080" w:type="dxa"/>
            <w:vAlign w:val="center"/>
          </w:tcPr>
          <w:p w:rsidR="00CF5A29" w:rsidRPr="005E4A73" w:rsidRDefault="00CF5A29" w:rsidP="00485B54">
            <w:pPr>
              <w:jc w:val="center"/>
            </w:pPr>
            <w:r w:rsidRPr="005E4A73">
              <w:t>127</w:t>
            </w:r>
          </w:p>
        </w:tc>
        <w:tc>
          <w:tcPr>
            <w:tcW w:w="1080" w:type="dxa"/>
            <w:vAlign w:val="center"/>
          </w:tcPr>
          <w:p w:rsidR="00CF5A29" w:rsidRPr="005E4A73" w:rsidRDefault="00CF5A29" w:rsidP="00485B54">
            <w:pPr>
              <w:jc w:val="center"/>
            </w:pPr>
            <w:r w:rsidRPr="005E4A73">
              <w:t>4,2</w:t>
            </w:r>
          </w:p>
        </w:tc>
        <w:tc>
          <w:tcPr>
            <w:tcW w:w="1260" w:type="dxa"/>
            <w:vAlign w:val="center"/>
          </w:tcPr>
          <w:p w:rsidR="00CF5A29" w:rsidRPr="005E4A73" w:rsidRDefault="00CF5A29" w:rsidP="00485B54">
            <w:r w:rsidRPr="005E4A73">
              <w:t>─ 1,21</w:t>
            </w:r>
          </w:p>
        </w:tc>
        <w:tc>
          <w:tcPr>
            <w:tcW w:w="900" w:type="dxa"/>
            <w:vAlign w:val="center"/>
          </w:tcPr>
          <w:p w:rsidR="00CF5A29" w:rsidRPr="005E4A73" w:rsidRDefault="00CF5A29" w:rsidP="00485B54">
            <w:pPr>
              <w:jc w:val="center"/>
              <w:rPr>
                <w:b/>
                <w:bCs/>
              </w:rPr>
            </w:pPr>
            <w:r w:rsidRPr="005E4A73">
              <w:rPr>
                <w:b/>
                <w:bCs/>
              </w:rPr>
              <w:t>10</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21</w:t>
            </w:r>
          </w:p>
        </w:tc>
        <w:tc>
          <w:tcPr>
            <w:tcW w:w="2880" w:type="dxa"/>
            <w:vAlign w:val="center"/>
          </w:tcPr>
          <w:p w:rsidR="00CF5A29" w:rsidRPr="005E4A73" w:rsidRDefault="00CF5A29" w:rsidP="00485B54">
            <w:r w:rsidRPr="005E4A73">
              <w:t>Робота в умовах шкідливого виробництва</w:t>
            </w:r>
          </w:p>
        </w:tc>
        <w:tc>
          <w:tcPr>
            <w:tcW w:w="1080" w:type="dxa"/>
            <w:vAlign w:val="center"/>
          </w:tcPr>
          <w:p w:rsidR="00CF5A29" w:rsidRPr="005E4A73" w:rsidRDefault="00CF5A29" w:rsidP="00485B54">
            <w:pPr>
              <w:jc w:val="center"/>
            </w:pPr>
            <w:r w:rsidRPr="005E4A73">
              <w:t>23</w:t>
            </w:r>
          </w:p>
        </w:tc>
        <w:tc>
          <w:tcPr>
            <w:tcW w:w="1260" w:type="dxa"/>
            <w:vAlign w:val="center"/>
          </w:tcPr>
          <w:p w:rsidR="00CF5A29" w:rsidRPr="005E4A73" w:rsidRDefault="00CF5A29" w:rsidP="00485B54">
            <w:pPr>
              <w:jc w:val="center"/>
            </w:pPr>
            <w:r w:rsidRPr="005E4A73">
              <w:t>0,7</w:t>
            </w:r>
          </w:p>
        </w:tc>
        <w:tc>
          <w:tcPr>
            <w:tcW w:w="1080" w:type="dxa"/>
            <w:vAlign w:val="center"/>
          </w:tcPr>
          <w:p w:rsidR="00CF5A29" w:rsidRPr="005E4A73" w:rsidRDefault="00CF5A29" w:rsidP="00485B54">
            <w:pPr>
              <w:jc w:val="center"/>
            </w:pPr>
            <w:r w:rsidRPr="005E4A73">
              <w:t>67</w:t>
            </w:r>
          </w:p>
        </w:tc>
        <w:tc>
          <w:tcPr>
            <w:tcW w:w="1080" w:type="dxa"/>
            <w:vAlign w:val="center"/>
          </w:tcPr>
          <w:p w:rsidR="00CF5A29" w:rsidRPr="005E4A73" w:rsidRDefault="00CF5A29" w:rsidP="00485B54">
            <w:pPr>
              <w:jc w:val="center"/>
            </w:pPr>
            <w:r w:rsidRPr="005E4A73">
              <w:t>2,2</w:t>
            </w:r>
          </w:p>
        </w:tc>
        <w:tc>
          <w:tcPr>
            <w:tcW w:w="1260" w:type="dxa"/>
            <w:vAlign w:val="center"/>
          </w:tcPr>
          <w:p w:rsidR="00CF5A29" w:rsidRPr="005E4A73" w:rsidRDefault="00CF5A29" w:rsidP="00485B54">
            <w:r w:rsidRPr="005E4A73">
              <w:t>─ 1,14</w:t>
            </w:r>
          </w:p>
        </w:tc>
        <w:tc>
          <w:tcPr>
            <w:tcW w:w="900" w:type="dxa"/>
            <w:vAlign w:val="center"/>
          </w:tcPr>
          <w:p w:rsidR="00CF5A29" w:rsidRPr="005E4A73" w:rsidRDefault="00CF5A29" w:rsidP="00485B54">
            <w:pPr>
              <w:jc w:val="center"/>
              <w:rPr>
                <w:b/>
                <w:bCs/>
              </w:rPr>
            </w:pPr>
            <w:r w:rsidRPr="005E4A73">
              <w:rPr>
                <w:b/>
                <w:bCs/>
              </w:rPr>
              <w:t>11</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22</w:t>
            </w:r>
          </w:p>
        </w:tc>
        <w:tc>
          <w:tcPr>
            <w:tcW w:w="2880" w:type="dxa"/>
            <w:vAlign w:val="center"/>
          </w:tcPr>
          <w:p w:rsidR="00CF5A29" w:rsidRPr="005E4A73" w:rsidRDefault="00CF5A29" w:rsidP="00485B54">
            <w:r w:rsidRPr="005E4A73">
              <w:t>Щоденне вживання смажених продуктів</w:t>
            </w:r>
          </w:p>
        </w:tc>
        <w:tc>
          <w:tcPr>
            <w:tcW w:w="1080" w:type="dxa"/>
            <w:vAlign w:val="center"/>
          </w:tcPr>
          <w:p w:rsidR="00CF5A29" w:rsidRPr="005E4A73" w:rsidRDefault="00CF5A29" w:rsidP="00485B54">
            <w:pPr>
              <w:jc w:val="center"/>
            </w:pPr>
            <w:r w:rsidRPr="005E4A73">
              <w:t>72</w:t>
            </w:r>
          </w:p>
        </w:tc>
        <w:tc>
          <w:tcPr>
            <w:tcW w:w="1260" w:type="dxa"/>
            <w:vAlign w:val="center"/>
          </w:tcPr>
          <w:p w:rsidR="00CF5A29" w:rsidRPr="005E4A73" w:rsidRDefault="00CF5A29" w:rsidP="00485B54">
            <w:pPr>
              <w:jc w:val="center"/>
            </w:pPr>
            <w:r w:rsidRPr="005E4A73">
              <w:t>2,3</w:t>
            </w:r>
          </w:p>
        </w:tc>
        <w:tc>
          <w:tcPr>
            <w:tcW w:w="1080" w:type="dxa"/>
            <w:vAlign w:val="center"/>
          </w:tcPr>
          <w:p w:rsidR="00CF5A29" w:rsidRPr="005E4A73" w:rsidRDefault="00CF5A29" w:rsidP="00485B54">
            <w:pPr>
              <w:jc w:val="center"/>
            </w:pPr>
            <w:r w:rsidRPr="005E4A73">
              <w:t>139</w:t>
            </w:r>
          </w:p>
        </w:tc>
        <w:tc>
          <w:tcPr>
            <w:tcW w:w="1080" w:type="dxa"/>
            <w:vAlign w:val="center"/>
          </w:tcPr>
          <w:p w:rsidR="00CF5A29" w:rsidRPr="005E4A73" w:rsidRDefault="00CF5A29" w:rsidP="00485B54">
            <w:pPr>
              <w:jc w:val="center"/>
            </w:pPr>
            <w:r w:rsidRPr="005E4A73">
              <w:t>4,6</w:t>
            </w:r>
          </w:p>
        </w:tc>
        <w:tc>
          <w:tcPr>
            <w:tcW w:w="1260" w:type="dxa"/>
            <w:vAlign w:val="center"/>
          </w:tcPr>
          <w:p w:rsidR="00CF5A29" w:rsidRPr="005E4A73" w:rsidRDefault="00CF5A29" w:rsidP="00485B54">
            <w:r w:rsidRPr="005E4A73">
              <w:t>─ 0,69</w:t>
            </w:r>
          </w:p>
        </w:tc>
        <w:tc>
          <w:tcPr>
            <w:tcW w:w="900" w:type="dxa"/>
            <w:vAlign w:val="center"/>
          </w:tcPr>
          <w:p w:rsidR="00CF5A29" w:rsidRPr="005E4A73" w:rsidRDefault="00CF5A29" w:rsidP="00485B54">
            <w:pPr>
              <w:jc w:val="center"/>
              <w:rPr>
                <w:b/>
                <w:bCs/>
              </w:rPr>
            </w:pPr>
            <w:r w:rsidRPr="005E4A73">
              <w:rPr>
                <w:b/>
                <w:bCs/>
              </w:rPr>
              <w:t>17</w:t>
            </w:r>
          </w:p>
        </w:tc>
      </w:tr>
      <w:tr w:rsidR="00CF5A29" w:rsidRPr="005E4A73" w:rsidTr="00485B54">
        <w:tblPrEx>
          <w:tblCellMar>
            <w:top w:w="0" w:type="dxa"/>
            <w:bottom w:w="0" w:type="dxa"/>
          </w:tblCellMar>
        </w:tblPrEx>
        <w:trPr>
          <w:cantSplit/>
        </w:trPr>
        <w:tc>
          <w:tcPr>
            <w:tcW w:w="720" w:type="dxa"/>
            <w:vAlign w:val="center"/>
          </w:tcPr>
          <w:p w:rsidR="00CF5A29" w:rsidRPr="005E4A73" w:rsidRDefault="00CF5A29" w:rsidP="00485B54">
            <w:pPr>
              <w:jc w:val="center"/>
              <w:rPr>
                <w:b/>
              </w:rPr>
            </w:pPr>
          </w:p>
        </w:tc>
        <w:tc>
          <w:tcPr>
            <w:tcW w:w="2880" w:type="dxa"/>
            <w:vAlign w:val="center"/>
          </w:tcPr>
          <w:p w:rsidR="00CF5A29" w:rsidRPr="005E4A73" w:rsidRDefault="00CF5A29" w:rsidP="00485B54"/>
        </w:tc>
        <w:tc>
          <w:tcPr>
            <w:tcW w:w="6660" w:type="dxa"/>
            <w:gridSpan w:val="6"/>
            <w:vAlign w:val="center"/>
          </w:tcPr>
          <w:p w:rsidR="00CF5A29" w:rsidRPr="005E4A73" w:rsidRDefault="00CF5A29" w:rsidP="00485B54">
            <w:pPr>
              <w:pStyle w:val="15"/>
              <w:rPr>
                <w:sz w:val="24"/>
              </w:rPr>
            </w:pPr>
            <w:r w:rsidRPr="005E4A73">
              <w:rPr>
                <w:sz w:val="24"/>
              </w:rPr>
              <w:t>N = 22       ∑ = ─ 23,08      М = ─ 1,04</w:t>
            </w:r>
          </w:p>
        </w:tc>
      </w:tr>
    </w:tbl>
    <w:p w:rsidR="00CF5A29" w:rsidRDefault="00CF5A29" w:rsidP="00CF5A29">
      <w:pPr>
        <w:spacing w:line="360" w:lineRule="auto"/>
        <w:ind w:firstLine="540"/>
        <w:jc w:val="both"/>
      </w:pPr>
    </w:p>
    <w:p w:rsidR="00CF5A29" w:rsidRPr="005E4A73" w:rsidRDefault="00CF5A29" w:rsidP="00CF5A29">
      <w:pPr>
        <w:spacing w:line="360" w:lineRule="auto"/>
        <w:ind w:firstLine="540"/>
        <w:jc w:val="both"/>
      </w:pPr>
      <w:r w:rsidRPr="005E4A73">
        <w:lastRenderedPageBreak/>
        <w:t xml:space="preserve">За отриманими кількісними результатами визначили фактори ризику виникнення </w:t>
      </w:r>
      <w:r>
        <w:t>РШ</w:t>
      </w:r>
      <w:r w:rsidRPr="005E4A73">
        <w:t>за рангом.</w:t>
      </w:r>
      <w:r>
        <w:t xml:space="preserve"> </w:t>
      </w:r>
      <w:r w:rsidRPr="005E4A73">
        <w:t>Сума негативних значень прогностичного коефіцієнта дорівнює J= ─ 23,08, а середнє значення фактора складає J= ─ 1,04.</w:t>
      </w:r>
    </w:p>
    <w:p w:rsidR="00CF5A29" w:rsidRPr="00252B29" w:rsidRDefault="00CF5A29" w:rsidP="00CF5A29">
      <w:pPr>
        <w:spacing w:line="360" w:lineRule="auto"/>
        <w:ind w:firstLine="540"/>
        <w:jc w:val="both"/>
      </w:pPr>
      <w:r w:rsidRPr="005E4A73">
        <w:rPr>
          <w:b/>
          <w:bCs/>
        </w:rPr>
        <w:t>Найбільш високим</w:t>
      </w:r>
      <w:r w:rsidRPr="005E4A73">
        <w:t xml:space="preserve"> негативним фактором ризику виникнення </w:t>
      </w:r>
      <w:r>
        <w:t>РШ</w:t>
      </w:r>
      <w:r w:rsidRPr="005E4A73">
        <w:t xml:space="preserve">, що посів </w:t>
      </w:r>
      <w:r w:rsidRPr="005E4A73">
        <w:rPr>
          <w:b/>
          <w:bCs/>
        </w:rPr>
        <w:t>перше</w:t>
      </w:r>
      <w:r w:rsidRPr="005E4A73">
        <w:t xml:space="preserve"> місце в нашій таблиці, був фактор передпухлинної патології шлунка, а саме − поліпи шлунка. Питома вага фактора (Х</w:t>
      </w:r>
      <w:r w:rsidRPr="005E4A73">
        <w:rPr>
          <w:vertAlign w:val="subscript"/>
        </w:rPr>
        <w:t>15</w:t>
      </w:r>
      <w:r w:rsidRPr="005E4A73">
        <w:t>) J =</w:t>
      </w:r>
      <w:r w:rsidRPr="005E4A73">
        <w:rPr>
          <w:vertAlign w:val="subscript"/>
        </w:rPr>
        <w:t xml:space="preserve"> </w:t>
      </w:r>
      <w:r w:rsidRPr="005E4A73">
        <w:t>─. 1,89. Імовірність фактора Х</w:t>
      </w:r>
      <w:r w:rsidRPr="005E4A73">
        <w:rPr>
          <w:vertAlign w:val="subscript"/>
        </w:rPr>
        <w:t xml:space="preserve">15 </w:t>
      </w:r>
      <w:r w:rsidRPr="005E4A73">
        <w:t xml:space="preserve">у групі «умовно здорових» пацієнтів, було тільки 0,06 од., а у хворих на </w:t>
      </w:r>
      <w:r>
        <w:t>РШ</w:t>
      </w:r>
      <w:r w:rsidRPr="005E4A73">
        <w:t xml:space="preserve"> імовірність фактора склала 0,4 од.</w:t>
      </w:r>
    </w:p>
    <w:p w:rsidR="00CF5A29" w:rsidRPr="005E4A73" w:rsidRDefault="00CF5A29" w:rsidP="00CF5A29">
      <w:pPr>
        <w:spacing w:line="360" w:lineRule="auto"/>
        <w:ind w:firstLine="540"/>
        <w:jc w:val="both"/>
      </w:pPr>
      <w:r w:rsidRPr="005E4A73">
        <w:t xml:space="preserve">Наступний фактор ризику виникнення </w:t>
      </w:r>
      <w:r>
        <w:t>РШ</w:t>
      </w:r>
      <w:r w:rsidRPr="005E4A73">
        <w:t xml:space="preserve">, що посів </w:t>
      </w:r>
      <w:r w:rsidRPr="005E4A73">
        <w:rPr>
          <w:b/>
          <w:bCs/>
        </w:rPr>
        <w:t>друге</w:t>
      </w:r>
      <w:r w:rsidRPr="005E4A73">
        <w:t xml:space="preserve"> рангове місце ─ «Наявність в анамнезі виразкової хвороби шлунка» (Х</w:t>
      </w:r>
      <w:r w:rsidRPr="005E4A73">
        <w:rPr>
          <w:vertAlign w:val="subscript"/>
        </w:rPr>
        <w:t>8</w:t>
      </w:r>
      <w:r w:rsidRPr="005E4A73">
        <w:t xml:space="preserve">) </w:t>
      </w:r>
      <w:r w:rsidRPr="005E4A73">
        <w:rPr>
          <w:b/>
        </w:rPr>
        <w:t>Ј=</w:t>
      </w:r>
      <w:r w:rsidRPr="005E4A73">
        <w:t>─. 1,79. Імовірність фактора (Р) Х</w:t>
      </w:r>
      <w:r w:rsidRPr="005E4A73">
        <w:rPr>
          <w:vertAlign w:val="subscript"/>
        </w:rPr>
        <w:t xml:space="preserve">8 </w:t>
      </w:r>
      <w:r w:rsidRPr="005E4A73">
        <w:t xml:space="preserve">у групі «умовно здорових» осіб була рівної 0,5 од., а в групі хворих на </w:t>
      </w:r>
      <w:r>
        <w:t>РШ</w:t>
      </w:r>
      <w:r w:rsidRPr="005E4A73">
        <w:t xml:space="preserve"> імовірність виникнення фактора (Р) дорівнювала 3,0.</w:t>
      </w:r>
    </w:p>
    <w:p w:rsidR="00CF5A29" w:rsidRPr="005E4A73" w:rsidRDefault="00CF5A29" w:rsidP="00CF5A29">
      <w:pPr>
        <w:spacing w:line="360" w:lineRule="auto"/>
        <w:ind w:firstLine="540"/>
        <w:jc w:val="both"/>
      </w:pPr>
      <w:r w:rsidRPr="005E4A73">
        <w:rPr>
          <w:b/>
          <w:bCs/>
        </w:rPr>
        <w:t>Третім</w:t>
      </w:r>
      <w:r w:rsidRPr="005E4A73">
        <w:t xml:space="preserve"> за рангом фактором ризику розвитку </w:t>
      </w:r>
      <w:r>
        <w:t>РШ</w:t>
      </w:r>
      <w:r w:rsidRPr="005E4A73">
        <w:t xml:space="preserve"> був фактор прийому їжі, як ми його позначили «їжа усухом’ятку», величина фактора (Х</w:t>
      </w:r>
      <w:r w:rsidRPr="005E4A73">
        <w:rPr>
          <w:vertAlign w:val="subscript"/>
        </w:rPr>
        <w:t>4</w:t>
      </w:r>
      <w:r w:rsidRPr="005E4A73">
        <w:t>)</w:t>
      </w:r>
      <w:r>
        <w:t xml:space="preserve"> </w:t>
      </w:r>
      <w:r w:rsidRPr="005E4A73">
        <w:t xml:space="preserve">виявилась також досить високою </w:t>
      </w:r>
      <w:r w:rsidRPr="005E4A73">
        <w:rPr>
          <w:b/>
        </w:rPr>
        <w:t>Ј=</w:t>
      </w:r>
      <w:r w:rsidRPr="005E4A73">
        <w:t>─.1,70.</w:t>
      </w:r>
    </w:p>
    <w:p w:rsidR="00CF5A29" w:rsidRPr="005E4A73" w:rsidRDefault="00CF5A29" w:rsidP="00CF5A29">
      <w:pPr>
        <w:spacing w:line="360" w:lineRule="auto"/>
        <w:ind w:firstLine="540"/>
        <w:jc w:val="both"/>
      </w:pPr>
      <w:r w:rsidRPr="005E4A73">
        <w:t xml:space="preserve">Високе </w:t>
      </w:r>
      <w:r w:rsidRPr="005E4A73">
        <w:rPr>
          <w:b/>
          <w:bCs/>
        </w:rPr>
        <w:t>четверте місце</w:t>
      </w:r>
      <w:r w:rsidRPr="005E4A73">
        <w:t xml:space="preserve"> посідає також, аліментарний фактор Х</w:t>
      </w:r>
      <w:r w:rsidRPr="005E4A73">
        <w:rPr>
          <w:vertAlign w:val="subscript"/>
        </w:rPr>
        <w:t>2</w:t>
      </w:r>
      <w:r w:rsidRPr="005E4A73">
        <w:t xml:space="preserve"> ─ це фактор шкідливих звичок ─ тютюнопаління на тлі зловживання алкоголем. Його значення </w:t>
      </w:r>
      <w:r w:rsidRPr="005E4A73">
        <w:rPr>
          <w:b/>
        </w:rPr>
        <w:t xml:space="preserve">Ј= </w:t>
      </w:r>
      <w:r w:rsidRPr="005E4A73">
        <w:t>─ 1,60.</w:t>
      </w:r>
    </w:p>
    <w:p w:rsidR="00CF5A29" w:rsidRPr="005E4A73" w:rsidRDefault="00CF5A29" w:rsidP="00CF5A29">
      <w:pPr>
        <w:spacing w:line="360" w:lineRule="auto"/>
        <w:ind w:firstLine="540"/>
        <w:jc w:val="both"/>
      </w:pPr>
      <w:r w:rsidRPr="005E4A73">
        <w:rPr>
          <w:b/>
          <w:bCs/>
        </w:rPr>
        <w:t xml:space="preserve">П'ятим </w:t>
      </w:r>
      <w:r w:rsidRPr="005E4A73">
        <w:t xml:space="preserve">за значенням негативним фактором виникнення </w:t>
      </w:r>
      <w:r>
        <w:t>РШ</w:t>
      </w:r>
      <w:r w:rsidRPr="005E4A73">
        <w:t xml:space="preserve"> також був аліментарний фактор (Х</w:t>
      </w:r>
      <w:r w:rsidRPr="005E4A73">
        <w:rPr>
          <w:vertAlign w:val="subscript"/>
        </w:rPr>
        <w:t>3</w:t>
      </w:r>
      <w:r w:rsidRPr="005E4A73">
        <w:t xml:space="preserve">) ─ фактор вживання в їжу досить гарячих продуктів </w:t>
      </w:r>
      <w:r w:rsidRPr="005E4A73">
        <w:rPr>
          <w:b/>
        </w:rPr>
        <w:t xml:space="preserve">Ј= </w:t>
      </w:r>
      <w:r w:rsidRPr="005E4A73">
        <w:t xml:space="preserve">─ 1,52. </w:t>
      </w:r>
    </w:p>
    <w:p w:rsidR="00CF5A29" w:rsidRPr="005E4A73" w:rsidRDefault="00CF5A29" w:rsidP="00CF5A29">
      <w:pPr>
        <w:spacing w:line="360" w:lineRule="auto"/>
        <w:ind w:firstLine="540"/>
        <w:jc w:val="both"/>
      </w:pPr>
      <w:r w:rsidRPr="005E4A73">
        <w:t>А Х</w:t>
      </w:r>
      <w:r w:rsidRPr="005E4A73">
        <w:rPr>
          <w:vertAlign w:val="subscript"/>
        </w:rPr>
        <w:t>17</w:t>
      </w:r>
      <w:r w:rsidRPr="005E4A73">
        <w:t xml:space="preserve"> ─ фактор «Спадкові хвороби шлунка в найближчих родичів», посів </w:t>
      </w:r>
      <w:r w:rsidRPr="005E4A73">
        <w:rPr>
          <w:b/>
          <w:bCs/>
        </w:rPr>
        <w:t>шосте рангове місце</w:t>
      </w:r>
      <w:r w:rsidRPr="005E4A73">
        <w:t xml:space="preserve"> </w:t>
      </w:r>
      <w:r w:rsidRPr="005E4A73">
        <w:rPr>
          <w:b/>
        </w:rPr>
        <w:t xml:space="preserve">Ј= </w:t>
      </w:r>
      <w:r w:rsidRPr="005E4A73">
        <w:t xml:space="preserve">─ 1,32, </w:t>
      </w:r>
    </w:p>
    <w:p w:rsidR="00CF5A29" w:rsidRDefault="00CF5A29" w:rsidP="00CF5A29">
      <w:pPr>
        <w:spacing w:line="360" w:lineRule="auto"/>
        <w:ind w:firstLine="540"/>
        <w:jc w:val="both"/>
      </w:pPr>
      <w:r w:rsidRPr="005E4A73">
        <w:t>Фактори ризику Х</w:t>
      </w:r>
      <w:r w:rsidRPr="005E4A73">
        <w:rPr>
          <w:vertAlign w:val="subscript"/>
        </w:rPr>
        <w:t xml:space="preserve">6 </w:t>
      </w:r>
      <w:r w:rsidRPr="005E4A73">
        <w:t xml:space="preserve"> і </w:t>
      </w:r>
      <w:r w:rsidRPr="005E4A73">
        <w:rPr>
          <w:vertAlign w:val="subscript"/>
        </w:rPr>
        <w:t xml:space="preserve"> </w:t>
      </w:r>
      <w:r w:rsidRPr="005E4A73">
        <w:t>Х</w:t>
      </w:r>
      <w:r w:rsidRPr="005E4A73">
        <w:rPr>
          <w:vertAlign w:val="subscript"/>
        </w:rPr>
        <w:t xml:space="preserve">10 </w:t>
      </w:r>
      <w:r w:rsidRPr="005E4A73">
        <w:t xml:space="preserve"> посіли </w:t>
      </w:r>
      <w:r w:rsidRPr="005E4A73">
        <w:rPr>
          <w:b/>
          <w:bCs/>
        </w:rPr>
        <w:t>сьоме і восьме</w:t>
      </w:r>
      <w:r w:rsidRPr="005E4A73">
        <w:t xml:space="preserve"> рангові місця. Фактор Х</w:t>
      </w:r>
      <w:r w:rsidRPr="005E4A73">
        <w:rPr>
          <w:vertAlign w:val="subscript"/>
        </w:rPr>
        <w:t>6</w:t>
      </w:r>
      <w:r w:rsidRPr="005E4A73">
        <w:t xml:space="preserve"> характеризує характер харчування ─ це надлишкове вживання солоних продуктів </w:t>
      </w:r>
      <w:r w:rsidRPr="005E4A73">
        <w:rPr>
          <w:b/>
        </w:rPr>
        <w:t xml:space="preserve">Ј= </w:t>
      </w:r>
      <w:r w:rsidRPr="005E4A73">
        <w:t>─ 1,25; а Х</w:t>
      </w:r>
      <w:r w:rsidRPr="005E4A73">
        <w:rPr>
          <w:vertAlign w:val="subscript"/>
        </w:rPr>
        <w:t xml:space="preserve">10 </w:t>
      </w:r>
      <w:r w:rsidRPr="005E4A73">
        <w:t xml:space="preserve"> ─ фактор перенесених операцій на шлунку (в анамнезі) у минулому </w:t>
      </w:r>
      <w:r w:rsidRPr="005E4A73">
        <w:rPr>
          <w:b/>
        </w:rPr>
        <w:t xml:space="preserve">Ј= </w:t>
      </w:r>
      <w:r w:rsidRPr="005E4A73">
        <w:t>─ 1,25.</w:t>
      </w:r>
    </w:p>
    <w:p w:rsidR="00CF5A29" w:rsidRPr="005E4A73" w:rsidRDefault="00CF5A29" w:rsidP="00CF5A29">
      <w:pPr>
        <w:spacing w:line="360" w:lineRule="auto"/>
        <w:ind w:firstLine="540"/>
        <w:jc w:val="center"/>
      </w:pPr>
      <w:r>
        <w:t>9</w:t>
      </w:r>
    </w:p>
    <w:p w:rsidR="00CF5A29" w:rsidRPr="005E4A73" w:rsidRDefault="00CF5A29" w:rsidP="00CF5A29">
      <w:pPr>
        <w:spacing w:line="360" w:lineRule="auto"/>
        <w:ind w:firstLine="540"/>
        <w:jc w:val="both"/>
      </w:pPr>
      <w:r w:rsidRPr="005E4A73">
        <w:rPr>
          <w:b/>
          <w:bCs/>
        </w:rPr>
        <w:t>Дев'ятим і десятим</w:t>
      </w:r>
      <w:r w:rsidRPr="005E4A73">
        <w:t xml:space="preserve"> за значенням негативними факторами виникнення </w:t>
      </w:r>
      <w:r>
        <w:t>РШ</w:t>
      </w:r>
      <w:r w:rsidRPr="005E4A73">
        <w:t xml:space="preserve"> стали фактори Х</w:t>
      </w:r>
      <w:r w:rsidRPr="005E4A73">
        <w:rPr>
          <w:vertAlign w:val="subscript"/>
        </w:rPr>
        <w:t xml:space="preserve">20 </w:t>
      </w:r>
      <w:r w:rsidRPr="005E4A73">
        <w:t xml:space="preserve"> ─ нульова і знижена кислотність шлункової секреції </w:t>
      </w:r>
      <w:r w:rsidRPr="005E4A73">
        <w:rPr>
          <w:b/>
        </w:rPr>
        <w:t xml:space="preserve">Ј= </w:t>
      </w:r>
      <w:r w:rsidRPr="005E4A73">
        <w:t xml:space="preserve">─ 1,21 і </w:t>
      </w:r>
      <w:r w:rsidRPr="005E4A73">
        <w:rPr>
          <w:vertAlign w:val="subscript"/>
        </w:rPr>
        <w:t xml:space="preserve"> </w:t>
      </w:r>
      <w:r w:rsidRPr="005E4A73">
        <w:t>Х</w:t>
      </w:r>
      <w:r w:rsidRPr="005E4A73">
        <w:rPr>
          <w:vertAlign w:val="subscript"/>
        </w:rPr>
        <w:t xml:space="preserve">19 </w:t>
      </w:r>
      <w:r w:rsidRPr="005E4A73">
        <w:t xml:space="preserve"> ─ наявність гелікобактерної інфекції </w:t>
      </w:r>
      <w:r w:rsidRPr="005E4A73">
        <w:rPr>
          <w:b/>
        </w:rPr>
        <w:t xml:space="preserve">Ј= </w:t>
      </w:r>
      <w:r w:rsidRPr="005E4A73">
        <w:t>─ 1,20. Значення цих факторів досить добре описано в літературі і в наших спостереженнях.</w:t>
      </w:r>
    </w:p>
    <w:p w:rsidR="00CF5A29" w:rsidRPr="005E4A73" w:rsidRDefault="00CF5A29" w:rsidP="00CF5A29">
      <w:pPr>
        <w:spacing w:line="360" w:lineRule="auto"/>
        <w:ind w:firstLine="540"/>
        <w:jc w:val="both"/>
      </w:pPr>
      <w:r w:rsidRPr="005E4A73">
        <w:rPr>
          <w:b/>
          <w:bCs/>
        </w:rPr>
        <w:t>На одинадцятому</w:t>
      </w:r>
      <w:r w:rsidRPr="005E4A73">
        <w:t xml:space="preserve"> місці фактор Х</w:t>
      </w:r>
      <w:r w:rsidRPr="005E4A73">
        <w:rPr>
          <w:vertAlign w:val="subscript"/>
        </w:rPr>
        <w:t>21</w:t>
      </w:r>
      <w:r w:rsidRPr="005E4A73">
        <w:t xml:space="preserve"> ─ робота в умовах шкідливого виробництва (пайка кольорових металів, виробництво гуми, бітуму). Прогностичний коефіцієнт його склав </w:t>
      </w:r>
      <w:r w:rsidRPr="005E4A73">
        <w:rPr>
          <w:b/>
        </w:rPr>
        <w:t xml:space="preserve">Ј= </w:t>
      </w:r>
      <w:r w:rsidRPr="005E4A73">
        <w:t>─ 1,14.</w:t>
      </w:r>
    </w:p>
    <w:p w:rsidR="00CF5A29" w:rsidRPr="005E4A73" w:rsidRDefault="00CF5A29" w:rsidP="00CF5A29">
      <w:pPr>
        <w:spacing w:line="360" w:lineRule="auto"/>
        <w:ind w:firstLine="540"/>
        <w:jc w:val="both"/>
      </w:pPr>
      <w:r w:rsidRPr="005E4A73">
        <w:t>Фактор (Х</w:t>
      </w:r>
      <w:r w:rsidRPr="005E4A73">
        <w:rPr>
          <w:vertAlign w:val="subscript"/>
        </w:rPr>
        <w:t>5</w:t>
      </w:r>
      <w:r w:rsidRPr="005E4A73">
        <w:t xml:space="preserve">) Захоплення копченостями і гострими приправами посів </w:t>
      </w:r>
      <w:r w:rsidRPr="005E4A73">
        <w:rPr>
          <w:b/>
          <w:bCs/>
        </w:rPr>
        <w:t>дванадцяте</w:t>
      </w:r>
      <w:r w:rsidRPr="005E4A73">
        <w:t xml:space="preserve"> рангове місце ─ </w:t>
      </w:r>
      <w:r w:rsidRPr="005E4A73">
        <w:rPr>
          <w:b/>
        </w:rPr>
        <w:t>Ј=</w:t>
      </w:r>
      <w:r w:rsidRPr="005E4A73">
        <w:t>─1,06.</w:t>
      </w:r>
    </w:p>
    <w:p w:rsidR="00CF5A29" w:rsidRPr="005E4A73" w:rsidRDefault="00CF5A29" w:rsidP="00CF5A29">
      <w:pPr>
        <w:spacing w:line="360" w:lineRule="auto"/>
        <w:ind w:firstLine="540"/>
        <w:jc w:val="both"/>
      </w:pPr>
      <w:r w:rsidRPr="005E4A73">
        <w:lastRenderedPageBreak/>
        <w:t>Фактор (Х</w:t>
      </w:r>
      <w:r w:rsidRPr="005E4A73">
        <w:rPr>
          <w:vertAlign w:val="subscript"/>
        </w:rPr>
        <w:t>7</w:t>
      </w:r>
      <w:r w:rsidRPr="005E4A73">
        <w:t>) − нерегулярність прийому їжі не перевищував середнього значення прогностичного коефіцієнта (</w:t>
      </w:r>
      <w:r w:rsidRPr="005E4A73">
        <w:rPr>
          <w:b/>
        </w:rPr>
        <w:t xml:space="preserve">Ј середн. = </w:t>
      </w:r>
      <w:r w:rsidRPr="005E4A73">
        <w:t xml:space="preserve">─ 1,04) і перебуває на </w:t>
      </w:r>
      <w:r w:rsidRPr="005E4A73">
        <w:rPr>
          <w:b/>
          <w:bCs/>
        </w:rPr>
        <w:t xml:space="preserve">тринадцятому </w:t>
      </w:r>
      <w:r w:rsidRPr="005E4A73">
        <w:t xml:space="preserve">місці за рангом </w:t>
      </w:r>
      <w:r w:rsidRPr="005E4A73">
        <w:rPr>
          <w:b/>
        </w:rPr>
        <w:t xml:space="preserve">Ј= </w:t>
      </w:r>
      <w:r w:rsidRPr="005E4A73">
        <w:t>─ 0,91.</w:t>
      </w:r>
    </w:p>
    <w:p w:rsidR="00CF5A29" w:rsidRPr="005E4A73" w:rsidRDefault="00CF5A29" w:rsidP="00CF5A29">
      <w:pPr>
        <w:spacing w:line="360" w:lineRule="auto"/>
        <w:ind w:firstLine="540"/>
        <w:jc w:val="both"/>
      </w:pPr>
      <w:r w:rsidRPr="005E4A73">
        <w:t>Фактор ризику (Х</w:t>
      </w:r>
      <w:r w:rsidRPr="005E4A73">
        <w:rPr>
          <w:vertAlign w:val="subscript"/>
        </w:rPr>
        <w:t>9</w:t>
      </w:r>
      <w:r w:rsidRPr="005E4A73">
        <w:t xml:space="preserve">), що був </w:t>
      </w:r>
      <w:r w:rsidRPr="005E4A73">
        <w:rPr>
          <w:b/>
          <w:bCs/>
        </w:rPr>
        <w:t>чотирнадцятим</w:t>
      </w:r>
      <w:r w:rsidRPr="005E4A73">
        <w:t xml:space="preserve"> за негативним значенням, так само не перевищував середнього значення питомої ваги прогностичного коефіцієнта (</w:t>
      </w:r>
      <w:r w:rsidRPr="005E4A73">
        <w:rPr>
          <w:b/>
        </w:rPr>
        <w:t xml:space="preserve">Ј середн. = </w:t>
      </w:r>
      <w:r w:rsidRPr="005E4A73">
        <w:t xml:space="preserve">─ 1,04), ─ це підвищене вживання в їжу м'яса, тваринних жирів </w:t>
      </w:r>
      <w:r w:rsidRPr="005E4A73">
        <w:rPr>
          <w:bCs/>
        </w:rPr>
        <w:t>і борошняних виробів</w:t>
      </w:r>
      <w:r w:rsidRPr="005E4A73">
        <w:t xml:space="preserve"> (</w:t>
      </w:r>
      <w:r w:rsidRPr="005E4A73">
        <w:rPr>
          <w:b/>
        </w:rPr>
        <w:t xml:space="preserve">Ј = </w:t>
      </w:r>
      <w:r w:rsidRPr="005E4A73">
        <w:t>─ 0,82).</w:t>
      </w:r>
    </w:p>
    <w:p w:rsidR="00CF5A29" w:rsidRPr="005E4A73" w:rsidRDefault="00CF5A29" w:rsidP="00CF5A29">
      <w:pPr>
        <w:spacing w:line="360" w:lineRule="auto"/>
        <w:ind w:firstLine="540"/>
        <w:jc w:val="both"/>
      </w:pPr>
      <w:r w:rsidRPr="005E4A73">
        <w:t xml:space="preserve">Наступним, </w:t>
      </w:r>
      <w:r w:rsidRPr="005E4A73">
        <w:rPr>
          <w:b/>
          <w:bCs/>
        </w:rPr>
        <w:t>п'ятнадцятим</w:t>
      </w:r>
      <w:r w:rsidRPr="005E4A73">
        <w:t xml:space="preserve"> фактором у групі виникнення </w:t>
      </w:r>
      <w:r>
        <w:t>РШ</w:t>
      </w:r>
      <w:r w:rsidRPr="005E4A73">
        <w:t>, був фактор ─ Х</w:t>
      </w:r>
      <w:r w:rsidRPr="005E4A73">
        <w:rPr>
          <w:vertAlign w:val="subscript"/>
        </w:rPr>
        <w:t>1,</w:t>
      </w:r>
      <w:r w:rsidRPr="005E4A73">
        <w:t xml:space="preserve"> а саме наявність шкідливої звички, як «тривале тютюнопаління», прогностичний коефіцієнт (</w:t>
      </w:r>
      <w:r w:rsidRPr="005E4A73">
        <w:rPr>
          <w:b/>
        </w:rPr>
        <w:t>Ј</w:t>
      </w:r>
      <w:r w:rsidRPr="005E4A73">
        <w:rPr>
          <w:bCs/>
        </w:rPr>
        <w:t xml:space="preserve">) </w:t>
      </w:r>
      <w:r w:rsidRPr="005E4A73">
        <w:rPr>
          <w:b/>
        </w:rPr>
        <w:t xml:space="preserve">= </w:t>
      </w:r>
      <w:r w:rsidRPr="005E4A73">
        <w:t>─ 0,80.</w:t>
      </w:r>
    </w:p>
    <w:p w:rsidR="00CF5A29" w:rsidRPr="005E4A73" w:rsidRDefault="00CF5A29" w:rsidP="00CF5A29">
      <w:pPr>
        <w:spacing w:line="360" w:lineRule="auto"/>
        <w:ind w:firstLine="540"/>
        <w:jc w:val="both"/>
      </w:pPr>
      <w:r w:rsidRPr="005E4A73">
        <w:t>Фактор супутнього захворювання Х</w:t>
      </w:r>
      <w:r w:rsidRPr="005E4A73">
        <w:rPr>
          <w:vertAlign w:val="subscript"/>
        </w:rPr>
        <w:t>13</w:t>
      </w:r>
      <w:r w:rsidRPr="005E4A73">
        <w:t>, зокрема ─ цукрового діабету, як і фактор «щоденне вживання смажених продуктів» ─ Х</w:t>
      </w:r>
      <w:r w:rsidRPr="005E4A73">
        <w:rPr>
          <w:vertAlign w:val="subscript"/>
        </w:rPr>
        <w:t>22</w:t>
      </w:r>
      <w:r w:rsidRPr="005E4A73">
        <w:t xml:space="preserve">, зіграли негативну роль у виникненні </w:t>
      </w:r>
      <w:r>
        <w:t>РШ</w:t>
      </w:r>
      <w:r w:rsidRPr="005E4A73">
        <w:t>. Питома вага їх склала (</w:t>
      </w:r>
      <w:r w:rsidRPr="005E4A73">
        <w:rPr>
          <w:b/>
        </w:rPr>
        <w:t>Ј</w:t>
      </w:r>
      <w:r w:rsidRPr="005E4A73">
        <w:rPr>
          <w:bCs/>
        </w:rPr>
        <w:t xml:space="preserve">) </w:t>
      </w:r>
      <w:r w:rsidRPr="005E4A73">
        <w:rPr>
          <w:b/>
        </w:rPr>
        <w:t xml:space="preserve">= </w:t>
      </w:r>
      <w:r w:rsidRPr="005E4A73">
        <w:t xml:space="preserve">─ 0,69, займаючи </w:t>
      </w:r>
      <w:r w:rsidRPr="005E4A73">
        <w:rPr>
          <w:b/>
          <w:bCs/>
        </w:rPr>
        <w:t>шістнадцяте і сімнадцяте</w:t>
      </w:r>
      <w:r w:rsidRPr="005E4A73">
        <w:t xml:space="preserve"> рангові місця.</w:t>
      </w:r>
    </w:p>
    <w:p w:rsidR="00CF5A29" w:rsidRPr="005E4A73" w:rsidRDefault="00CF5A29" w:rsidP="00CF5A29">
      <w:pPr>
        <w:spacing w:line="360" w:lineRule="auto"/>
        <w:ind w:firstLine="540"/>
        <w:jc w:val="both"/>
      </w:pPr>
      <w:r w:rsidRPr="005E4A73">
        <w:t xml:space="preserve">Інші фактори ризику виникнення </w:t>
      </w:r>
      <w:r>
        <w:t>РШ</w:t>
      </w:r>
      <w:r w:rsidRPr="005E4A73">
        <w:t xml:space="preserve"> не перевищують середнього значення питомої ваги (</w:t>
      </w:r>
      <w:r w:rsidRPr="005E4A73">
        <w:rPr>
          <w:b/>
        </w:rPr>
        <w:t xml:space="preserve">Ј середн. = </w:t>
      </w:r>
      <w:r w:rsidRPr="005E4A73">
        <w:t>─ 1,04), що за зменшенням розподілились у такий спосіб:</w:t>
      </w:r>
    </w:p>
    <w:p w:rsidR="00CF5A29" w:rsidRPr="005E4A73" w:rsidRDefault="00CF5A29" w:rsidP="00CF5A29">
      <w:pPr>
        <w:spacing w:line="360" w:lineRule="auto"/>
        <w:ind w:firstLine="540"/>
        <w:jc w:val="both"/>
      </w:pPr>
      <w:r w:rsidRPr="005E4A73">
        <w:rPr>
          <w:b/>
          <w:bCs/>
        </w:rPr>
        <w:t>вісімнадцяте</w:t>
      </w:r>
      <w:r w:rsidRPr="005E4A73">
        <w:t xml:space="preserve"> Х</w:t>
      </w:r>
      <w:r w:rsidRPr="005E4A73">
        <w:rPr>
          <w:vertAlign w:val="subscript"/>
        </w:rPr>
        <w:t xml:space="preserve">18  </w:t>
      </w:r>
      <w:r w:rsidRPr="005E4A73">
        <w:t xml:space="preserve">─ прийом їжі після 22-ї години </w:t>
      </w:r>
      <w:r w:rsidRPr="005E4A73">
        <w:rPr>
          <w:b/>
        </w:rPr>
        <w:t xml:space="preserve">Ј= </w:t>
      </w:r>
      <w:r w:rsidRPr="005E4A73">
        <w:t>─ 0,55;</w:t>
      </w:r>
    </w:p>
    <w:p w:rsidR="00CF5A29" w:rsidRPr="005E4A73" w:rsidRDefault="00CF5A29" w:rsidP="00CF5A29">
      <w:pPr>
        <w:spacing w:line="360" w:lineRule="auto"/>
        <w:ind w:right="-180" w:firstLine="540"/>
        <w:jc w:val="both"/>
      </w:pPr>
      <w:r w:rsidRPr="005E4A73">
        <w:rPr>
          <w:b/>
          <w:bCs/>
        </w:rPr>
        <w:t>дев'ятнадцяте</w:t>
      </w:r>
      <w:r w:rsidRPr="005E4A73">
        <w:t xml:space="preserve"> місце посів фактор Х</w:t>
      </w:r>
      <w:r w:rsidRPr="005E4A73">
        <w:rPr>
          <w:vertAlign w:val="subscript"/>
        </w:rPr>
        <w:t>16</w:t>
      </w:r>
      <w:r w:rsidRPr="005E4A73">
        <w:t xml:space="preserve"> ─ гастрити різної етіології </w:t>
      </w:r>
      <w:r w:rsidRPr="005E4A73">
        <w:rPr>
          <w:b/>
        </w:rPr>
        <w:t xml:space="preserve">Ј= </w:t>
      </w:r>
      <w:r w:rsidRPr="005E4A73">
        <w:t>─ 0,53;</w:t>
      </w:r>
    </w:p>
    <w:p w:rsidR="00CF5A29" w:rsidRPr="005E4A73" w:rsidRDefault="00CF5A29" w:rsidP="00CF5A29">
      <w:pPr>
        <w:spacing w:line="360" w:lineRule="auto"/>
        <w:ind w:firstLine="540"/>
        <w:jc w:val="both"/>
      </w:pPr>
      <w:r w:rsidRPr="005E4A73">
        <w:rPr>
          <w:b/>
          <w:bCs/>
        </w:rPr>
        <w:t>на двадцятому</w:t>
      </w:r>
      <w:r w:rsidRPr="005E4A73">
        <w:t xml:space="preserve"> розмістився фактор Х</w:t>
      </w:r>
      <w:r w:rsidRPr="005E4A73">
        <w:rPr>
          <w:vertAlign w:val="subscript"/>
        </w:rPr>
        <w:t xml:space="preserve">14 </w:t>
      </w:r>
      <w:r w:rsidRPr="005E4A73">
        <w:t xml:space="preserve">─ група крові А (II) </w:t>
      </w:r>
      <w:r w:rsidRPr="005E4A73">
        <w:rPr>
          <w:b/>
        </w:rPr>
        <w:t xml:space="preserve">Ј= </w:t>
      </w:r>
      <w:r w:rsidRPr="005E4A73">
        <w:t>─ 0,47;</w:t>
      </w:r>
    </w:p>
    <w:p w:rsidR="00CF5A29" w:rsidRPr="005E4A73" w:rsidRDefault="00CF5A29" w:rsidP="00CF5A29">
      <w:pPr>
        <w:spacing w:line="360" w:lineRule="auto"/>
        <w:ind w:firstLine="540"/>
        <w:jc w:val="both"/>
      </w:pPr>
      <w:r w:rsidRPr="005E4A73">
        <w:t>І насамкінець останніх два негативних фактори ─ це Х</w:t>
      </w:r>
      <w:r w:rsidRPr="005E4A73">
        <w:rPr>
          <w:vertAlign w:val="subscript"/>
        </w:rPr>
        <w:t xml:space="preserve">11 </w:t>
      </w:r>
      <w:r w:rsidRPr="005E4A73">
        <w:t xml:space="preserve"> ─ вік пацієнтів 60 років і більше е </w:t>
      </w:r>
      <w:r w:rsidRPr="005E4A73">
        <w:rPr>
          <w:b/>
        </w:rPr>
        <w:t xml:space="preserve">Ј= </w:t>
      </w:r>
      <w:r w:rsidRPr="005E4A73">
        <w:t>─ 0,34 і ─ Х</w:t>
      </w:r>
      <w:r w:rsidRPr="005E4A73">
        <w:rPr>
          <w:vertAlign w:val="subscript"/>
        </w:rPr>
        <w:t xml:space="preserve">12 </w:t>
      </w:r>
      <w:r w:rsidRPr="005E4A73">
        <w:t xml:space="preserve"> ─ стать пацієнтів (чоловіча) </w:t>
      </w:r>
      <w:r w:rsidRPr="005E4A73">
        <w:rPr>
          <w:b/>
        </w:rPr>
        <w:t>Ј=</w:t>
      </w:r>
      <w:r w:rsidRPr="005E4A73">
        <w:t xml:space="preserve">─0,34, так само мали значення у виникненні раку шлунка, посідаючи </w:t>
      </w:r>
      <w:r w:rsidRPr="005E4A73">
        <w:rPr>
          <w:b/>
          <w:bCs/>
        </w:rPr>
        <w:t xml:space="preserve">двадцять перше і двадцять друге </w:t>
      </w:r>
      <w:r w:rsidRPr="005E4A73">
        <w:t>рангові місця в таблиці.</w:t>
      </w:r>
    </w:p>
    <w:p w:rsidR="00CF5A29" w:rsidRPr="00252B29" w:rsidRDefault="00CF5A29" w:rsidP="00CF5A29">
      <w:pPr>
        <w:pStyle w:val="32"/>
        <w:tabs>
          <w:tab w:val="left" w:pos="-1800"/>
        </w:tabs>
        <w:spacing w:line="360" w:lineRule="auto"/>
      </w:pPr>
      <w:r w:rsidRPr="005E4A73">
        <w:t xml:space="preserve">Значний інтерес виявило порівняння факторів ризику </w:t>
      </w:r>
      <w:r>
        <w:t>РШ</w:t>
      </w:r>
      <w:r w:rsidRPr="005E4A73">
        <w:t xml:space="preserve"> за рангом і з'ясування їхньої інформативної цінності безпосередньо у хворих на </w:t>
      </w:r>
      <w:r>
        <w:t>РШ</w:t>
      </w:r>
      <w:r w:rsidRPr="005E4A73">
        <w:t xml:space="preserve"> осіб жіночої і чоловічої статей.</w:t>
      </w:r>
    </w:p>
    <w:p w:rsidR="00CF5A29" w:rsidRDefault="00CF5A29" w:rsidP="00CF5A29">
      <w:pPr>
        <w:pStyle w:val="32"/>
        <w:spacing w:line="360" w:lineRule="auto"/>
        <w:jc w:val="right"/>
      </w:pPr>
      <w:r w:rsidRPr="005E4A73">
        <w:t>Таблиця. 2</w:t>
      </w:r>
    </w:p>
    <w:p w:rsidR="00CF5A29" w:rsidRDefault="00CF5A29" w:rsidP="00CF5A29">
      <w:pPr>
        <w:pStyle w:val="32"/>
        <w:spacing w:line="360" w:lineRule="auto"/>
        <w:jc w:val="right"/>
      </w:pPr>
    </w:p>
    <w:p w:rsidR="00CF5A29" w:rsidRPr="005E4A73" w:rsidRDefault="00CF5A29" w:rsidP="00CF5A29">
      <w:pPr>
        <w:pStyle w:val="32"/>
        <w:spacing w:line="360" w:lineRule="auto"/>
        <w:jc w:val="center"/>
      </w:pPr>
      <w:r>
        <w:t>10</w:t>
      </w:r>
    </w:p>
    <w:p w:rsidR="00CF5A29" w:rsidRPr="00BC08D0" w:rsidRDefault="00CF5A29" w:rsidP="00CF5A29">
      <w:pPr>
        <w:pStyle w:val="af4"/>
        <w:spacing w:line="360" w:lineRule="auto"/>
        <w:ind w:firstLine="540"/>
        <w:jc w:val="center"/>
        <w:rPr>
          <w:b/>
          <w:bCs/>
          <w:sz w:val="24"/>
        </w:rPr>
      </w:pPr>
      <w:r w:rsidRPr="00BC08D0">
        <w:rPr>
          <w:b/>
          <w:sz w:val="24"/>
        </w:rPr>
        <w:t>Матриця формування факторів ризику виникнення раку шлунка у жінок і чоловіків хворих на рак шлунка.</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1080"/>
        <w:gridCol w:w="1080"/>
        <w:gridCol w:w="1080"/>
        <w:gridCol w:w="1080"/>
        <w:gridCol w:w="1440"/>
        <w:gridCol w:w="900"/>
      </w:tblGrid>
      <w:tr w:rsidR="00CF5A29" w:rsidRPr="005E4A73" w:rsidTr="00485B54">
        <w:tblPrEx>
          <w:tblCellMar>
            <w:top w:w="0" w:type="dxa"/>
            <w:bottom w:w="0" w:type="dxa"/>
          </w:tblCellMar>
        </w:tblPrEx>
        <w:trPr>
          <w:cantSplit/>
        </w:trPr>
        <w:tc>
          <w:tcPr>
            <w:tcW w:w="720" w:type="dxa"/>
            <w:vMerge w:val="restart"/>
            <w:vAlign w:val="center"/>
          </w:tcPr>
          <w:p w:rsidR="00CF5A29" w:rsidRPr="005E4A73" w:rsidRDefault="00CF5A29" w:rsidP="00485B54">
            <w:pPr>
              <w:jc w:val="center"/>
              <w:rPr>
                <w:b/>
              </w:rPr>
            </w:pPr>
            <w:r w:rsidRPr="005E4A73">
              <w:rPr>
                <w:b/>
              </w:rPr>
              <w:t>Х</w:t>
            </w:r>
          </w:p>
        </w:tc>
        <w:tc>
          <w:tcPr>
            <w:tcW w:w="3060" w:type="dxa"/>
            <w:vMerge w:val="restart"/>
            <w:tcBorders>
              <w:tl2br w:val="single" w:sz="4" w:space="0" w:color="auto"/>
            </w:tcBorders>
          </w:tcPr>
          <w:p w:rsidR="00CF5A29" w:rsidRPr="005E4A73" w:rsidRDefault="00CF5A29" w:rsidP="00485B54">
            <w:pPr>
              <w:pStyle w:val="40"/>
              <w:ind w:left="0"/>
            </w:pPr>
            <w:r w:rsidRPr="005E4A73">
              <w:t>Групи спостереження</w:t>
            </w:r>
          </w:p>
          <w:p w:rsidR="00CF5A29" w:rsidRPr="005E4A73" w:rsidRDefault="00CF5A29" w:rsidP="00485B54">
            <w:pPr>
              <w:pStyle w:val="aff"/>
              <w:rPr>
                <w:bCs/>
                <w:lang w:val="uk-UA"/>
              </w:rPr>
            </w:pPr>
          </w:p>
          <w:p w:rsidR="00CF5A29" w:rsidRPr="005E4A73" w:rsidRDefault="00CF5A29" w:rsidP="00485B54">
            <w:pPr>
              <w:pStyle w:val="2"/>
              <w:ind w:firstLine="0"/>
              <w:rPr>
                <w:b/>
              </w:rPr>
            </w:pPr>
          </w:p>
          <w:p w:rsidR="00CF5A29" w:rsidRPr="005E4A73" w:rsidRDefault="00CF5A29" w:rsidP="00485B54">
            <w:pPr>
              <w:pStyle w:val="aff"/>
              <w:rPr>
                <w:lang w:val="uk-UA"/>
              </w:rPr>
            </w:pPr>
          </w:p>
          <w:p w:rsidR="00CF5A29" w:rsidRPr="005E4A73" w:rsidRDefault="00CF5A29" w:rsidP="00485B54">
            <w:pPr>
              <w:pStyle w:val="2"/>
              <w:ind w:firstLine="0"/>
              <w:rPr>
                <w:bCs/>
              </w:rPr>
            </w:pPr>
            <w:r w:rsidRPr="005E4A73">
              <w:rPr>
                <w:bCs/>
              </w:rPr>
              <w:t>Фактори ризику</w:t>
            </w:r>
          </w:p>
        </w:tc>
        <w:tc>
          <w:tcPr>
            <w:tcW w:w="2160" w:type="dxa"/>
            <w:gridSpan w:val="2"/>
            <w:vAlign w:val="center"/>
          </w:tcPr>
          <w:p w:rsidR="00CF5A29" w:rsidRPr="005E4A73" w:rsidRDefault="00CF5A29" w:rsidP="00485B54">
            <w:pPr>
              <w:jc w:val="center"/>
              <w:rPr>
                <w:b/>
              </w:rPr>
            </w:pPr>
            <w:r w:rsidRPr="005E4A73">
              <w:rPr>
                <w:b/>
              </w:rPr>
              <w:lastRenderedPageBreak/>
              <w:t xml:space="preserve">Рак шлунка у жінок, </w:t>
            </w:r>
            <w:r w:rsidRPr="005E4A73">
              <w:rPr>
                <w:b/>
                <w:i/>
              </w:rPr>
              <w:t>п</w:t>
            </w:r>
            <w:r w:rsidRPr="005E4A73">
              <w:rPr>
                <w:b/>
              </w:rPr>
              <w:t xml:space="preserve"> 106</w:t>
            </w:r>
          </w:p>
        </w:tc>
        <w:tc>
          <w:tcPr>
            <w:tcW w:w="2160" w:type="dxa"/>
            <w:gridSpan w:val="2"/>
            <w:vAlign w:val="center"/>
          </w:tcPr>
          <w:p w:rsidR="00CF5A29" w:rsidRPr="005E4A73" w:rsidRDefault="00CF5A29" w:rsidP="00485B54">
            <w:pPr>
              <w:jc w:val="center"/>
              <w:rPr>
                <w:b/>
              </w:rPr>
            </w:pPr>
            <w:r w:rsidRPr="005E4A73">
              <w:rPr>
                <w:b/>
              </w:rPr>
              <w:t xml:space="preserve">Рак шлунка у чоловіків, </w:t>
            </w:r>
            <w:r w:rsidRPr="005E4A73">
              <w:rPr>
                <w:b/>
                <w:i/>
              </w:rPr>
              <w:t>п</w:t>
            </w:r>
            <w:r w:rsidRPr="005E4A73">
              <w:rPr>
                <w:b/>
              </w:rPr>
              <w:t xml:space="preserve"> 196</w:t>
            </w:r>
          </w:p>
        </w:tc>
        <w:tc>
          <w:tcPr>
            <w:tcW w:w="1440" w:type="dxa"/>
            <w:vMerge w:val="restart"/>
            <w:vAlign w:val="center"/>
          </w:tcPr>
          <w:p w:rsidR="00CF5A29" w:rsidRPr="005E4A73" w:rsidRDefault="00CF5A29" w:rsidP="00485B54">
            <w:pPr>
              <w:rPr>
                <w:b/>
              </w:rPr>
            </w:pPr>
            <w:r w:rsidRPr="005E4A73">
              <w:rPr>
                <w:b/>
              </w:rPr>
              <w:t>J</w:t>
            </w:r>
          </w:p>
          <w:p w:rsidR="00CF5A29" w:rsidRPr="005E4A73" w:rsidRDefault="00CF5A29" w:rsidP="00485B54">
            <w:pPr>
              <w:ind w:right="-108"/>
              <w:rPr>
                <w:b/>
              </w:rPr>
            </w:pPr>
            <w:r w:rsidRPr="005E4A73">
              <w:rPr>
                <w:bCs/>
              </w:rPr>
              <w:lastRenderedPageBreak/>
              <w:t xml:space="preserve">Питома вага </w:t>
            </w:r>
            <w:r>
              <w:rPr>
                <w:bCs/>
              </w:rPr>
              <w:t>прогностик-</w:t>
            </w:r>
            <w:r w:rsidRPr="005E4A73">
              <w:rPr>
                <w:bCs/>
              </w:rPr>
              <w:t>ного коефіцієнта</w:t>
            </w:r>
          </w:p>
        </w:tc>
        <w:tc>
          <w:tcPr>
            <w:tcW w:w="900" w:type="dxa"/>
            <w:vMerge w:val="restart"/>
            <w:vAlign w:val="center"/>
          </w:tcPr>
          <w:p w:rsidR="00CF5A29" w:rsidRPr="005E4A73" w:rsidRDefault="00CF5A29" w:rsidP="00485B54">
            <w:pPr>
              <w:pStyle w:val="7"/>
              <w:rPr>
                <w:sz w:val="24"/>
              </w:rPr>
            </w:pPr>
            <w:r w:rsidRPr="005E4A73">
              <w:rPr>
                <w:sz w:val="24"/>
              </w:rPr>
              <w:lastRenderedPageBreak/>
              <w:t>Ранг</w:t>
            </w:r>
          </w:p>
          <w:p w:rsidR="00CF5A29" w:rsidRDefault="00CF5A29" w:rsidP="00485B54">
            <w:pPr>
              <w:rPr>
                <w:b/>
              </w:rPr>
            </w:pPr>
            <w:r w:rsidRPr="005E4A73">
              <w:rPr>
                <w:b/>
              </w:rPr>
              <w:t>Фак</w:t>
            </w:r>
            <w:r>
              <w:rPr>
                <w:b/>
              </w:rPr>
              <w:t>-</w:t>
            </w:r>
          </w:p>
          <w:p w:rsidR="00CF5A29" w:rsidRPr="005E4A73" w:rsidRDefault="00CF5A29" w:rsidP="00485B54">
            <w:pPr>
              <w:rPr>
                <w:b/>
              </w:rPr>
            </w:pPr>
            <w:r w:rsidRPr="005E4A73">
              <w:rPr>
                <w:b/>
              </w:rPr>
              <w:t>т</w:t>
            </w:r>
            <w:r>
              <w:rPr>
                <w:b/>
              </w:rPr>
              <w:t>о</w:t>
            </w:r>
            <w:r w:rsidRPr="005E4A73">
              <w:rPr>
                <w:b/>
              </w:rPr>
              <w:t>ра</w:t>
            </w:r>
          </w:p>
        </w:tc>
      </w:tr>
      <w:tr w:rsidR="00CF5A29" w:rsidRPr="005E4A73" w:rsidTr="00485B54">
        <w:tblPrEx>
          <w:tblCellMar>
            <w:top w:w="0" w:type="dxa"/>
            <w:bottom w:w="0" w:type="dxa"/>
          </w:tblCellMar>
        </w:tblPrEx>
        <w:trPr>
          <w:cantSplit/>
        </w:trPr>
        <w:tc>
          <w:tcPr>
            <w:tcW w:w="720" w:type="dxa"/>
            <w:vMerge/>
            <w:vAlign w:val="center"/>
          </w:tcPr>
          <w:p w:rsidR="00CF5A29" w:rsidRPr="005E4A73" w:rsidRDefault="00CF5A29" w:rsidP="00485B54">
            <w:pPr>
              <w:jc w:val="center"/>
              <w:rPr>
                <w:b/>
              </w:rPr>
            </w:pPr>
          </w:p>
        </w:tc>
        <w:tc>
          <w:tcPr>
            <w:tcW w:w="3060" w:type="dxa"/>
            <w:vMerge/>
            <w:vAlign w:val="center"/>
          </w:tcPr>
          <w:p w:rsidR="00CF5A29" w:rsidRPr="005E4A73" w:rsidRDefault="00CF5A29" w:rsidP="00485B54">
            <w:pPr>
              <w:ind w:right="-108"/>
              <w:jc w:val="center"/>
              <w:rPr>
                <w:b/>
              </w:rPr>
            </w:pPr>
          </w:p>
        </w:tc>
        <w:tc>
          <w:tcPr>
            <w:tcW w:w="1080" w:type="dxa"/>
            <w:vAlign w:val="center"/>
          </w:tcPr>
          <w:p w:rsidR="00CF5A29" w:rsidRPr="005E4A73" w:rsidRDefault="00CF5A29" w:rsidP="00485B54">
            <w:pPr>
              <w:ind w:right="-108"/>
              <w:rPr>
                <w:bCs/>
                <w:iCs/>
              </w:rPr>
            </w:pPr>
            <w:r w:rsidRPr="005E4A73">
              <w:rPr>
                <w:bCs/>
                <w:iCs/>
              </w:rPr>
              <w:t>Частота ознаки</w:t>
            </w:r>
          </w:p>
        </w:tc>
        <w:tc>
          <w:tcPr>
            <w:tcW w:w="1080" w:type="dxa"/>
            <w:vAlign w:val="center"/>
          </w:tcPr>
          <w:p w:rsidR="00CF5A29" w:rsidRPr="005E4A73" w:rsidRDefault="00CF5A29" w:rsidP="00485B54">
            <w:pPr>
              <w:ind w:left="-48" w:right="-108"/>
              <w:rPr>
                <w:bCs/>
              </w:rPr>
            </w:pPr>
            <w:r w:rsidRPr="005E4A73">
              <w:rPr>
                <w:bCs/>
              </w:rPr>
              <w:t>Імовір</w:t>
            </w:r>
            <w:r>
              <w:rPr>
                <w:bCs/>
              </w:rPr>
              <w:t>-</w:t>
            </w:r>
            <w:r w:rsidRPr="005E4A73">
              <w:rPr>
                <w:bCs/>
              </w:rPr>
              <w:t>ність виник</w:t>
            </w:r>
            <w:r>
              <w:rPr>
                <w:bCs/>
              </w:rPr>
              <w:t>-</w:t>
            </w:r>
            <w:r w:rsidRPr="005E4A73">
              <w:rPr>
                <w:bCs/>
              </w:rPr>
              <w:t>нення ознаки</w:t>
            </w:r>
          </w:p>
        </w:tc>
        <w:tc>
          <w:tcPr>
            <w:tcW w:w="1080" w:type="dxa"/>
            <w:vAlign w:val="center"/>
          </w:tcPr>
          <w:p w:rsidR="00CF5A29" w:rsidRPr="005E4A73" w:rsidRDefault="00CF5A29" w:rsidP="00485B54">
            <w:pPr>
              <w:ind w:right="-108"/>
              <w:rPr>
                <w:bCs/>
                <w:iCs/>
              </w:rPr>
            </w:pPr>
            <w:r w:rsidRPr="005E4A73">
              <w:rPr>
                <w:bCs/>
                <w:iCs/>
              </w:rPr>
              <w:t>Частота ознаки</w:t>
            </w:r>
          </w:p>
        </w:tc>
        <w:tc>
          <w:tcPr>
            <w:tcW w:w="1080" w:type="dxa"/>
            <w:vAlign w:val="center"/>
          </w:tcPr>
          <w:p w:rsidR="00CF5A29" w:rsidRPr="005E4A73" w:rsidRDefault="00CF5A29" w:rsidP="00485B54">
            <w:pPr>
              <w:ind w:left="-48" w:right="-108"/>
              <w:rPr>
                <w:bCs/>
              </w:rPr>
            </w:pPr>
            <w:r w:rsidRPr="005E4A73">
              <w:rPr>
                <w:bCs/>
              </w:rPr>
              <w:t>Імовір</w:t>
            </w:r>
            <w:r>
              <w:rPr>
                <w:bCs/>
              </w:rPr>
              <w:t>-</w:t>
            </w:r>
            <w:r w:rsidRPr="005E4A73">
              <w:rPr>
                <w:bCs/>
              </w:rPr>
              <w:t>ність виник</w:t>
            </w:r>
            <w:r>
              <w:rPr>
                <w:bCs/>
              </w:rPr>
              <w:t>-</w:t>
            </w:r>
            <w:r w:rsidRPr="005E4A73">
              <w:rPr>
                <w:bCs/>
              </w:rPr>
              <w:t>нення ознаки</w:t>
            </w:r>
          </w:p>
        </w:tc>
        <w:tc>
          <w:tcPr>
            <w:tcW w:w="1440" w:type="dxa"/>
            <w:vMerge/>
            <w:vAlign w:val="center"/>
          </w:tcPr>
          <w:p w:rsidR="00CF5A29" w:rsidRPr="005E4A73" w:rsidRDefault="00CF5A29" w:rsidP="00485B54"/>
        </w:tc>
        <w:tc>
          <w:tcPr>
            <w:tcW w:w="900" w:type="dxa"/>
            <w:vMerge/>
            <w:vAlign w:val="center"/>
          </w:tcPr>
          <w:p w:rsidR="00CF5A29" w:rsidRPr="005E4A73" w:rsidRDefault="00CF5A29" w:rsidP="00485B54"/>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lastRenderedPageBreak/>
              <w:t>Х</w:t>
            </w:r>
            <w:r w:rsidRPr="005E4A73">
              <w:rPr>
                <w:b/>
                <w:vertAlign w:val="subscript"/>
              </w:rPr>
              <w:t>1</w:t>
            </w:r>
          </w:p>
        </w:tc>
        <w:tc>
          <w:tcPr>
            <w:tcW w:w="3060" w:type="dxa"/>
            <w:vAlign w:val="center"/>
          </w:tcPr>
          <w:p w:rsidR="00CF5A29" w:rsidRPr="005E4A73" w:rsidRDefault="00CF5A29" w:rsidP="00485B54">
            <w:r w:rsidRPr="005E4A73">
              <w:t>Тривале тютюнопаління</w:t>
            </w:r>
          </w:p>
        </w:tc>
        <w:tc>
          <w:tcPr>
            <w:tcW w:w="1080" w:type="dxa"/>
            <w:vAlign w:val="center"/>
          </w:tcPr>
          <w:p w:rsidR="00CF5A29" w:rsidRPr="005E4A73" w:rsidRDefault="00CF5A29" w:rsidP="00485B54">
            <w:pPr>
              <w:jc w:val="center"/>
            </w:pPr>
            <w:r w:rsidRPr="005E4A73">
              <w:t>5</w:t>
            </w:r>
          </w:p>
        </w:tc>
        <w:tc>
          <w:tcPr>
            <w:tcW w:w="1080" w:type="dxa"/>
            <w:vAlign w:val="center"/>
          </w:tcPr>
          <w:p w:rsidR="00CF5A29" w:rsidRPr="005E4A73" w:rsidRDefault="00CF5A29" w:rsidP="00485B54">
            <w:pPr>
              <w:jc w:val="center"/>
            </w:pPr>
            <w:r w:rsidRPr="005E4A73">
              <w:t>0,4</w:t>
            </w:r>
          </w:p>
        </w:tc>
        <w:tc>
          <w:tcPr>
            <w:tcW w:w="1080" w:type="dxa"/>
            <w:vAlign w:val="center"/>
          </w:tcPr>
          <w:p w:rsidR="00CF5A29" w:rsidRPr="005E4A73" w:rsidRDefault="00CF5A29" w:rsidP="00485B54">
            <w:pPr>
              <w:jc w:val="center"/>
            </w:pPr>
            <w:r w:rsidRPr="005E4A73">
              <w:t>100</w:t>
            </w:r>
          </w:p>
        </w:tc>
        <w:tc>
          <w:tcPr>
            <w:tcW w:w="1080" w:type="dxa"/>
            <w:vAlign w:val="center"/>
          </w:tcPr>
          <w:p w:rsidR="00CF5A29" w:rsidRPr="005E4A73" w:rsidRDefault="00CF5A29" w:rsidP="00485B54">
            <w:pPr>
              <w:jc w:val="center"/>
            </w:pPr>
            <w:r w:rsidRPr="005E4A73">
              <w:t>5,1</w:t>
            </w:r>
          </w:p>
        </w:tc>
        <w:tc>
          <w:tcPr>
            <w:tcW w:w="1440" w:type="dxa"/>
            <w:vAlign w:val="center"/>
          </w:tcPr>
          <w:p w:rsidR="00CF5A29" w:rsidRPr="005E4A73" w:rsidRDefault="00CF5A29" w:rsidP="00485B54">
            <w:pPr>
              <w:jc w:val="center"/>
            </w:pPr>
            <w:r w:rsidRPr="005E4A73">
              <w:t>─ 2,54</w:t>
            </w:r>
          </w:p>
        </w:tc>
        <w:tc>
          <w:tcPr>
            <w:tcW w:w="900" w:type="dxa"/>
            <w:vAlign w:val="center"/>
          </w:tcPr>
          <w:p w:rsidR="00CF5A29" w:rsidRPr="005E4A73" w:rsidRDefault="00CF5A29" w:rsidP="00485B54">
            <w:pPr>
              <w:jc w:val="center"/>
              <w:rPr>
                <w:b/>
              </w:rPr>
            </w:pPr>
            <w:r w:rsidRPr="005E4A73">
              <w:rPr>
                <w:b/>
              </w:rPr>
              <w:t>2</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2</w:t>
            </w:r>
          </w:p>
        </w:tc>
        <w:tc>
          <w:tcPr>
            <w:tcW w:w="3060" w:type="dxa"/>
            <w:vAlign w:val="center"/>
          </w:tcPr>
          <w:p w:rsidR="00CF5A29" w:rsidRPr="005E4A73" w:rsidRDefault="00CF5A29" w:rsidP="00485B54">
            <w:pPr>
              <w:ind w:right="432"/>
            </w:pPr>
            <w:r w:rsidRPr="005E4A73">
              <w:t>Алкоголь і тютюнопаління (одночасно)</w:t>
            </w:r>
          </w:p>
        </w:tc>
        <w:tc>
          <w:tcPr>
            <w:tcW w:w="1080" w:type="dxa"/>
            <w:vAlign w:val="center"/>
          </w:tcPr>
          <w:p w:rsidR="00CF5A29" w:rsidRPr="005E4A73" w:rsidRDefault="00CF5A29" w:rsidP="00485B54">
            <w:pPr>
              <w:jc w:val="center"/>
            </w:pPr>
            <w:r w:rsidRPr="005E4A73">
              <w:t>3</w:t>
            </w:r>
          </w:p>
        </w:tc>
        <w:tc>
          <w:tcPr>
            <w:tcW w:w="1080" w:type="dxa"/>
            <w:vAlign w:val="center"/>
          </w:tcPr>
          <w:p w:rsidR="00CF5A29" w:rsidRPr="005E4A73" w:rsidRDefault="00CF5A29" w:rsidP="00485B54">
            <w:pPr>
              <w:jc w:val="center"/>
            </w:pPr>
            <w:r w:rsidRPr="005E4A73">
              <w:t>0,2</w:t>
            </w:r>
          </w:p>
        </w:tc>
        <w:tc>
          <w:tcPr>
            <w:tcW w:w="1080" w:type="dxa"/>
            <w:vAlign w:val="center"/>
          </w:tcPr>
          <w:p w:rsidR="00CF5A29" w:rsidRPr="005E4A73" w:rsidRDefault="00CF5A29" w:rsidP="00485B54">
            <w:pPr>
              <w:jc w:val="center"/>
            </w:pPr>
            <w:r w:rsidRPr="005E4A73">
              <w:t>12</w:t>
            </w:r>
          </w:p>
        </w:tc>
        <w:tc>
          <w:tcPr>
            <w:tcW w:w="1080" w:type="dxa"/>
            <w:vAlign w:val="center"/>
          </w:tcPr>
          <w:p w:rsidR="00CF5A29" w:rsidRPr="005E4A73" w:rsidRDefault="00CF5A29" w:rsidP="00485B54">
            <w:pPr>
              <w:jc w:val="center"/>
            </w:pPr>
            <w:r w:rsidRPr="005E4A73">
              <w:t>0,6</w:t>
            </w:r>
          </w:p>
        </w:tc>
        <w:tc>
          <w:tcPr>
            <w:tcW w:w="1440" w:type="dxa"/>
            <w:vAlign w:val="center"/>
          </w:tcPr>
          <w:p w:rsidR="00CF5A29" w:rsidRPr="005E4A73" w:rsidRDefault="00CF5A29" w:rsidP="00485B54">
            <w:pPr>
              <w:jc w:val="center"/>
            </w:pPr>
            <w:r w:rsidRPr="005E4A73">
              <w:t>─ 1,09</w:t>
            </w:r>
          </w:p>
        </w:tc>
        <w:tc>
          <w:tcPr>
            <w:tcW w:w="900" w:type="dxa"/>
            <w:vAlign w:val="center"/>
          </w:tcPr>
          <w:p w:rsidR="00CF5A29" w:rsidRPr="005E4A73" w:rsidRDefault="00CF5A29" w:rsidP="00485B54">
            <w:pPr>
              <w:jc w:val="center"/>
              <w:rPr>
                <w:b/>
              </w:rPr>
            </w:pPr>
            <w:r w:rsidRPr="005E4A73">
              <w:rPr>
                <w:b/>
              </w:rPr>
              <w:t>4</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3</w:t>
            </w:r>
          </w:p>
        </w:tc>
        <w:tc>
          <w:tcPr>
            <w:tcW w:w="3060" w:type="dxa"/>
            <w:vAlign w:val="center"/>
          </w:tcPr>
          <w:p w:rsidR="00CF5A29" w:rsidRPr="005E4A73" w:rsidRDefault="00CF5A29" w:rsidP="00485B54">
            <w:r w:rsidRPr="005E4A73">
              <w:t>Вживання дуже гарячих рідин і продуктів</w:t>
            </w:r>
          </w:p>
        </w:tc>
        <w:tc>
          <w:tcPr>
            <w:tcW w:w="1080" w:type="dxa"/>
            <w:vAlign w:val="center"/>
          </w:tcPr>
          <w:p w:rsidR="00CF5A29" w:rsidRPr="005E4A73" w:rsidRDefault="00CF5A29" w:rsidP="00485B54">
            <w:pPr>
              <w:jc w:val="center"/>
            </w:pPr>
            <w:r w:rsidRPr="005E4A73">
              <w:t>48</w:t>
            </w:r>
          </w:p>
        </w:tc>
        <w:tc>
          <w:tcPr>
            <w:tcW w:w="1080" w:type="dxa"/>
            <w:vAlign w:val="center"/>
          </w:tcPr>
          <w:p w:rsidR="00CF5A29" w:rsidRPr="005E4A73" w:rsidRDefault="00CF5A29" w:rsidP="00485B54">
            <w:pPr>
              <w:jc w:val="center"/>
            </w:pPr>
            <w:r w:rsidRPr="005E4A73">
              <w:t>4,5</w:t>
            </w:r>
          </w:p>
        </w:tc>
        <w:tc>
          <w:tcPr>
            <w:tcW w:w="1080" w:type="dxa"/>
            <w:vAlign w:val="center"/>
          </w:tcPr>
          <w:p w:rsidR="00CF5A29" w:rsidRPr="005E4A73" w:rsidRDefault="00CF5A29" w:rsidP="00485B54">
            <w:pPr>
              <w:jc w:val="center"/>
            </w:pPr>
            <w:r w:rsidRPr="005E4A73">
              <w:t>92</w:t>
            </w:r>
          </w:p>
        </w:tc>
        <w:tc>
          <w:tcPr>
            <w:tcW w:w="1080" w:type="dxa"/>
            <w:vAlign w:val="center"/>
          </w:tcPr>
          <w:p w:rsidR="00CF5A29" w:rsidRPr="005E4A73" w:rsidRDefault="00CF5A29" w:rsidP="00485B54">
            <w:pPr>
              <w:jc w:val="center"/>
            </w:pPr>
            <w:r w:rsidRPr="005E4A73">
              <w:t>4,6</w:t>
            </w:r>
          </w:p>
        </w:tc>
        <w:tc>
          <w:tcPr>
            <w:tcW w:w="1440" w:type="dxa"/>
            <w:vAlign w:val="center"/>
          </w:tcPr>
          <w:p w:rsidR="00CF5A29" w:rsidRPr="005E4A73" w:rsidRDefault="00CF5A29" w:rsidP="00485B54">
            <w:pPr>
              <w:jc w:val="center"/>
            </w:pPr>
            <w:r w:rsidRPr="005E4A73">
              <w:t>─ 0,02</w:t>
            </w:r>
          </w:p>
        </w:tc>
        <w:tc>
          <w:tcPr>
            <w:tcW w:w="900" w:type="dxa"/>
            <w:vAlign w:val="center"/>
          </w:tcPr>
          <w:p w:rsidR="00CF5A29" w:rsidRPr="005E4A73" w:rsidRDefault="00CF5A29" w:rsidP="00485B54">
            <w:pPr>
              <w:jc w:val="center"/>
              <w:rPr>
                <w:b/>
              </w:rPr>
            </w:pPr>
            <w:r w:rsidRPr="005E4A73">
              <w:rPr>
                <w:b/>
              </w:rPr>
              <w:t>17</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4</w:t>
            </w:r>
          </w:p>
        </w:tc>
        <w:tc>
          <w:tcPr>
            <w:tcW w:w="3060" w:type="dxa"/>
            <w:vAlign w:val="center"/>
          </w:tcPr>
          <w:p w:rsidR="00CF5A29" w:rsidRPr="005E4A73" w:rsidRDefault="00CF5A29" w:rsidP="00485B54">
            <w:r w:rsidRPr="005E4A73">
              <w:t>Їжа всухом’ятку</w:t>
            </w:r>
          </w:p>
        </w:tc>
        <w:tc>
          <w:tcPr>
            <w:tcW w:w="1080" w:type="dxa"/>
            <w:vAlign w:val="center"/>
          </w:tcPr>
          <w:p w:rsidR="00CF5A29" w:rsidRPr="005E4A73" w:rsidRDefault="00CF5A29" w:rsidP="00485B54">
            <w:pPr>
              <w:jc w:val="center"/>
            </w:pPr>
            <w:r w:rsidRPr="005E4A73">
              <w:t>42</w:t>
            </w:r>
          </w:p>
        </w:tc>
        <w:tc>
          <w:tcPr>
            <w:tcW w:w="1080" w:type="dxa"/>
            <w:vAlign w:val="center"/>
          </w:tcPr>
          <w:p w:rsidR="00CF5A29" w:rsidRPr="005E4A73" w:rsidRDefault="00CF5A29" w:rsidP="00485B54">
            <w:pPr>
              <w:jc w:val="center"/>
            </w:pPr>
            <w:r w:rsidRPr="005E4A73">
              <w:t>3,9</w:t>
            </w:r>
          </w:p>
        </w:tc>
        <w:tc>
          <w:tcPr>
            <w:tcW w:w="1080" w:type="dxa"/>
            <w:vAlign w:val="center"/>
          </w:tcPr>
          <w:p w:rsidR="00CF5A29" w:rsidRPr="005E4A73" w:rsidRDefault="00CF5A29" w:rsidP="00485B54">
            <w:pPr>
              <w:jc w:val="center"/>
            </w:pPr>
            <w:r w:rsidRPr="005E4A73">
              <w:t>91</w:t>
            </w:r>
          </w:p>
        </w:tc>
        <w:tc>
          <w:tcPr>
            <w:tcW w:w="1080" w:type="dxa"/>
            <w:vAlign w:val="center"/>
          </w:tcPr>
          <w:p w:rsidR="00CF5A29" w:rsidRPr="005E4A73" w:rsidRDefault="00CF5A29" w:rsidP="00485B54">
            <w:pPr>
              <w:jc w:val="center"/>
            </w:pPr>
            <w:r w:rsidRPr="005E4A73">
              <w:t>4,6</w:t>
            </w:r>
          </w:p>
        </w:tc>
        <w:tc>
          <w:tcPr>
            <w:tcW w:w="1440" w:type="dxa"/>
            <w:vAlign w:val="center"/>
          </w:tcPr>
          <w:p w:rsidR="00CF5A29" w:rsidRPr="005E4A73" w:rsidRDefault="00CF5A29" w:rsidP="00485B54">
            <w:pPr>
              <w:jc w:val="center"/>
            </w:pPr>
            <w:r w:rsidRPr="005E4A73">
              <w:t>─ 0,16</w:t>
            </w:r>
          </w:p>
        </w:tc>
        <w:tc>
          <w:tcPr>
            <w:tcW w:w="900" w:type="dxa"/>
            <w:vAlign w:val="center"/>
          </w:tcPr>
          <w:p w:rsidR="00CF5A29" w:rsidRPr="005E4A73" w:rsidRDefault="00CF5A29" w:rsidP="00485B54">
            <w:pPr>
              <w:jc w:val="center"/>
              <w:rPr>
                <w:b/>
              </w:rPr>
            </w:pPr>
            <w:r w:rsidRPr="005E4A73">
              <w:rPr>
                <w:b/>
              </w:rPr>
              <w:t>9</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5</w:t>
            </w:r>
          </w:p>
        </w:tc>
        <w:tc>
          <w:tcPr>
            <w:tcW w:w="3060" w:type="dxa"/>
            <w:vAlign w:val="center"/>
          </w:tcPr>
          <w:p w:rsidR="00CF5A29" w:rsidRPr="005E4A73" w:rsidRDefault="00CF5A29" w:rsidP="00485B54">
            <w:r w:rsidRPr="005E4A73">
              <w:t>Захоплення копченостями і гострими приправами</w:t>
            </w:r>
          </w:p>
        </w:tc>
        <w:tc>
          <w:tcPr>
            <w:tcW w:w="1080" w:type="dxa"/>
            <w:vAlign w:val="center"/>
          </w:tcPr>
          <w:p w:rsidR="00CF5A29" w:rsidRPr="005E4A73" w:rsidRDefault="00CF5A29" w:rsidP="00485B54">
            <w:pPr>
              <w:jc w:val="center"/>
            </w:pPr>
            <w:r w:rsidRPr="005E4A73">
              <w:t>95</w:t>
            </w:r>
          </w:p>
        </w:tc>
        <w:tc>
          <w:tcPr>
            <w:tcW w:w="1080" w:type="dxa"/>
            <w:vAlign w:val="center"/>
          </w:tcPr>
          <w:p w:rsidR="00CF5A29" w:rsidRPr="005E4A73" w:rsidRDefault="00CF5A29" w:rsidP="00485B54">
            <w:pPr>
              <w:jc w:val="center"/>
            </w:pPr>
            <w:r w:rsidRPr="005E4A73">
              <w:t>8,9</w:t>
            </w:r>
          </w:p>
        </w:tc>
        <w:tc>
          <w:tcPr>
            <w:tcW w:w="1080" w:type="dxa"/>
            <w:vAlign w:val="center"/>
          </w:tcPr>
          <w:p w:rsidR="00CF5A29" w:rsidRPr="005E4A73" w:rsidRDefault="00CF5A29" w:rsidP="00485B54">
            <w:pPr>
              <w:jc w:val="center"/>
            </w:pPr>
            <w:r w:rsidRPr="005E4A73">
              <w:t>176</w:t>
            </w:r>
          </w:p>
        </w:tc>
        <w:tc>
          <w:tcPr>
            <w:tcW w:w="1080" w:type="dxa"/>
            <w:vAlign w:val="center"/>
          </w:tcPr>
          <w:p w:rsidR="00CF5A29" w:rsidRPr="005E4A73" w:rsidRDefault="00CF5A29" w:rsidP="00485B54">
            <w:pPr>
              <w:jc w:val="center"/>
            </w:pPr>
            <w:r w:rsidRPr="005E4A73">
              <w:t>8,9</w:t>
            </w:r>
          </w:p>
        </w:tc>
        <w:tc>
          <w:tcPr>
            <w:tcW w:w="1440" w:type="dxa"/>
            <w:vAlign w:val="center"/>
          </w:tcPr>
          <w:p w:rsidR="00CF5A29" w:rsidRPr="005E4A73" w:rsidRDefault="00CF5A29" w:rsidP="00485B54">
            <w:pPr>
              <w:jc w:val="center"/>
            </w:pPr>
            <w:r w:rsidRPr="005E4A73">
              <w:t>─ 0,08</w:t>
            </w:r>
          </w:p>
        </w:tc>
        <w:tc>
          <w:tcPr>
            <w:tcW w:w="900" w:type="dxa"/>
            <w:vAlign w:val="center"/>
          </w:tcPr>
          <w:p w:rsidR="00CF5A29" w:rsidRPr="005E4A73" w:rsidRDefault="00CF5A29" w:rsidP="00485B54">
            <w:pPr>
              <w:jc w:val="center"/>
              <w:rPr>
                <w:b/>
              </w:rPr>
            </w:pPr>
            <w:r w:rsidRPr="005E4A73">
              <w:rPr>
                <w:b/>
              </w:rPr>
              <w:t>13</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6</w:t>
            </w:r>
          </w:p>
        </w:tc>
        <w:tc>
          <w:tcPr>
            <w:tcW w:w="3060" w:type="dxa"/>
            <w:vAlign w:val="center"/>
          </w:tcPr>
          <w:p w:rsidR="00CF5A29" w:rsidRPr="005E4A73" w:rsidRDefault="00CF5A29" w:rsidP="00485B54">
            <w:r w:rsidRPr="005E4A73">
              <w:t>Переважання солоних продуктів</w:t>
            </w:r>
          </w:p>
        </w:tc>
        <w:tc>
          <w:tcPr>
            <w:tcW w:w="1080" w:type="dxa"/>
            <w:vAlign w:val="center"/>
          </w:tcPr>
          <w:p w:rsidR="00CF5A29" w:rsidRPr="005E4A73" w:rsidRDefault="00CF5A29" w:rsidP="00485B54">
            <w:pPr>
              <w:jc w:val="center"/>
            </w:pPr>
            <w:r w:rsidRPr="005E4A73">
              <w:t>97</w:t>
            </w:r>
          </w:p>
        </w:tc>
        <w:tc>
          <w:tcPr>
            <w:tcW w:w="1080" w:type="dxa"/>
            <w:vAlign w:val="center"/>
          </w:tcPr>
          <w:p w:rsidR="00CF5A29" w:rsidRPr="005E4A73" w:rsidRDefault="00CF5A29" w:rsidP="00485B54">
            <w:pPr>
              <w:jc w:val="center"/>
            </w:pPr>
            <w:r w:rsidRPr="005E4A73">
              <w:t>9,1</w:t>
            </w:r>
          </w:p>
        </w:tc>
        <w:tc>
          <w:tcPr>
            <w:tcW w:w="1080" w:type="dxa"/>
            <w:vAlign w:val="center"/>
          </w:tcPr>
          <w:p w:rsidR="00CF5A29" w:rsidRPr="005E4A73" w:rsidRDefault="00CF5A29" w:rsidP="00485B54">
            <w:pPr>
              <w:jc w:val="center"/>
            </w:pPr>
            <w:r w:rsidRPr="005E4A73">
              <w:t>192</w:t>
            </w:r>
          </w:p>
        </w:tc>
        <w:tc>
          <w:tcPr>
            <w:tcW w:w="1080" w:type="dxa"/>
            <w:vAlign w:val="center"/>
          </w:tcPr>
          <w:p w:rsidR="00CF5A29" w:rsidRPr="005E4A73" w:rsidRDefault="00CF5A29" w:rsidP="00485B54">
            <w:pPr>
              <w:jc w:val="center"/>
            </w:pPr>
            <w:r w:rsidRPr="005E4A73">
              <w:t>9,7</w:t>
            </w:r>
          </w:p>
        </w:tc>
        <w:tc>
          <w:tcPr>
            <w:tcW w:w="1440" w:type="dxa"/>
            <w:vAlign w:val="center"/>
          </w:tcPr>
          <w:p w:rsidR="00CF5A29" w:rsidRPr="005E4A73" w:rsidRDefault="00CF5A29" w:rsidP="00485B54">
            <w:pPr>
              <w:jc w:val="center"/>
            </w:pPr>
            <w:r w:rsidRPr="005E4A73">
              <w:t>─ 0,06</w:t>
            </w:r>
          </w:p>
        </w:tc>
        <w:tc>
          <w:tcPr>
            <w:tcW w:w="900" w:type="dxa"/>
            <w:vAlign w:val="center"/>
          </w:tcPr>
          <w:p w:rsidR="00CF5A29" w:rsidRPr="005E4A73" w:rsidRDefault="00CF5A29" w:rsidP="00485B54">
            <w:pPr>
              <w:jc w:val="center"/>
              <w:rPr>
                <w:b/>
              </w:rPr>
            </w:pPr>
            <w:r w:rsidRPr="005E4A73">
              <w:rPr>
                <w:b/>
              </w:rPr>
              <w:t>16</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7</w:t>
            </w:r>
          </w:p>
        </w:tc>
        <w:tc>
          <w:tcPr>
            <w:tcW w:w="3060" w:type="dxa"/>
            <w:vAlign w:val="center"/>
          </w:tcPr>
          <w:p w:rsidR="00CF5A29" w:rsidRPr="005E4A73" w:rsidRDefault="00CF5A29" w:rsidP="00485B54">
            <w:r w:rsidRPr="005E4A73">
              <w:t>Нерегулярність прийому їжі</w:t>
            </w:r>
          </w:p>
        </w:tc>
        <w:tc>
          <w:tcPr>
            <w:tcW w:w="1080" w:type="dxa"/>
            <w:vAlign w:val="center"/>
          </w:tcPr>
          <w:p w:rsidR="00CF5A29" w:rsidRPr="005E4A73" w:rsidRDefault="00CF5A29" w:rsidP="00485B54">
            <w:pPr>
              <w:jc w:val="center"/>
            </w:pPr>
            <w:r w:rsidRPr="005E4A73">
              <w:t>87</w:t>
            </w:r>
          </w:p>
        </w:tc>
        <w:tc>
          <w:tcPr>
            <w:tcW w:w="1080" w:type="dxa"/>
            <w:vAlign w:val="center"/>
          </w:tcPr>
          <w:p w:rsidR="00CF5A29" w:rsidRPr="005E4A73" w:rsidRDefault="00CF5A29" w:rsidP="00485B54">
            <w:pPr>
              <w:jc w:val="center"/>
            </w:pPr>
            <w:r w:rsidRPr="005E4A73">
              <w:t>8,2</w:t>
            </w:r>
          </w:p>
        </w:tc>
        <w:tc>
          <w:tcPr>
            <w:tcW w:w="1080" w:type="dxa"/>
            <w:vAlign w:val="center"/>
          </w:tcPr>
          <w:p w:rsidR="00CF5A29" w:rsidRPr="005E4A73" w:rsidRDefault="00CF5A29" w:rsidP="00485B54">
            <w:pPr>
              <w:jc w:val="center"/>
            </w:pPr>
            <w:r w:rsidRPr="005E4A73">
              <w:t>178</w:t>
            </w:r>
          </w:p>
        </w:tc>
        <w:tc>
          <w:tcPr>
            <w:tcW w:w="1080" w:type="dxa"/>
            <w:vAlign w:val="center"/>
          </w:tcPr>
          <w:p w:rsidR="00CF5A29" w:rsidRPr="005E4A73" w:rsidRDefault="00CF5A29" w:rsidP="00485B54">
            <w:pPr>
              <w:jc w:val="center"/>
            </w:pPr>
            <w:r w:rsidRPr="005E4A73">
              <w:t>9,0</w:t>
            </w:r>
          </w:p>
        </w:tc>
        <w:tc>
          <w:tcPr>
            <w:tcW w:w="1440" w:type="dxa"/>
            <w:vAlign w:val="center"/>
          </w:tcPr>
          <w:p w:rsidR="00CF5A29" w:rsidRPr="005E4A73" w:rsidRDefault="00CF5A29" w:rsidP="00485B54">
            <w:pPr>
              <w:jc w:val="center"/>
            </w:pPr>
            <w:r w:rsidRPr="005E4A73">
              <w:t>─ 0,09</w:t>
            </w:r>
          </w:p>
        </w:tc>
        <w:tc>
          <w:tcPr>
            <w:tcW w:w="900" w:type="dxa"/>
            <w:vAlign w:val="center"/>
          </w:tcPr>
          <w:p w:rsidR="00CF5A29" w:rsidRPr="005E4A73" w:rsidRDefault="00CF5A29" w:rsidP="00485B54">
            <w:pPr>
              <w:jc w:val="center"/>
              <w:rPr>
                <w:b/>
              </w:rPr>
            </w:pPr>
            <w:r w:rsidRPr="005E4A73">
              <w:rPr>
                <w:b/>
              </w:rPr>
              <w:t>11</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8</w:t>
            </w:r>
          </w:p>
        </w:tc>
        <w:tc>
          <w:tcPr>
            <w:tcW w:w="3060" w:type="dxa"/>
            <w:vAlign w:val="center"/>
          </w:tcPr>
          <w:p w:rsidR="00CF5A29" w:rsidRPr="005E4A73" w:rsidRDefault="00CF5A29" w:rsidP="00485B54">
            <w:r w:rsidRPr="005E4A73">
              <w:t>Виразка шлунка</w:t>
            </w:r>
          </w:p>
        </w:tc>
        <w:tc>
          <w:tcPr>
            <w:tcW w:w="1080" w:type="dxa"/>
            <w:vAlign w:val="center"/>
          </w:tcPr>
          <w:p w:rsidR="00CF5A29" w:rsidRPr="005E4A73" w:rsidRDefault="00CF5A29" w:rsidP="00485B54">
            <w:pPr>
              <w:jc w:val="center"/>
            </w:pPr>
            <w:r w:rsidRPr="005E4A73">
              <w:t>27</w:t>
            </w:r>
          </w:p>
        </w:tc>
        <w:tc>
          <w:tcPr>
            <w:tcW w:w="1080" w:type="dxa"/>
            <w:vAlign w:val="center"/>
          </w:tcPr>
          <w:p w:rsidR="00CF5A29" w:rsidRPr="005E4A73" w:rsidRDefault="00CF5A29" w:rsidP="00485B54">
            <w:pPr>
              <w:jc w:val="center"/>
            </w:pPr>
            <w:r w:rsidRPr="005E4A73">
              <w:t>2,5</w:t>
            </w:r>
          </w:p>
        </w:tc>
        <w:tc>
          <w:tcPr>
            <w:tcW w:w="1080" w:type="dxa"/>
            <w:vAlign w:val="center"/>
          </w:tcPr>
          <w:p w:rsidR="00CF5A29" w:rsidRPr="005E4A73" w:rsidRDefault="00CF5A29" w:rsidP="00485B54">
            <w:pPr>
              <w:jc w:val="center"/>
            </w:pPr>
            <w:r w:rsidRPr="005E4A73">
              <w:t>65</w:t>
            </w:r>
          </w:p>
        </w:tc>
        <w:tc>
          <w:tcPr>
            <w:tcW w:w="1080" w:type="dxa"/>
            <w:vAlign w:val="center"/>
          </w:tcPr>
          <w:p w:rsidR="00CF5A29" w:rsidRPr="005E4A73" w:rsidRDefault="00CF5A29" w:rsidP="00485B54">
            <w:pPr>
              <w:jc w:val="center"/>
            </w:pPr>
            <w:r w:rsidRPr="005E4A73">
              <w:t>3,3</w:t>
            </w:r>
          </w:p>
        </w:tc>
        <w:tc>
          <w:tcPr>
            <w:tcW w:w="1440" w:type="dxa"/>
            <w:vAlign w:val="center"/>
          </w:tcPr>
          <w:p w:rsidR="00CF5A29" w:rsidRPr="005E4A73" w:rsidRDefault="00CF5A29" w:rsidP="00485B54">
            <w:pPr>
              <w:jc w:val="center"/>
            </w:pPr>
            <w:r w:rsidRPr="005E4A73">
              <w:t>─ 2,58</w:t>
            </w:r>
          </w:p>
        </w:tc>
        <w:tc>
          <w:tcPr>
            <w:tcW w:w="900" w:type="dxa"/>
            <w:vAlign w:val="center"/>
          </w:tcPr>
          <w:p w:rsidR="00CF5A29" w:rsidRPr="005E4A73" w:rsidRDefault="00CF5A29" w:rsidP="00485B54">
            <w:pPr>
              <w:jc w:val="center"/>
              <w:rPr>
                <w:b/>
              </w:rPr>
            </w:pPr>
            <w:r w:rsidRPr="005E4A73">
              <w:rPr>
                <w:b/>
              </w:rPr>
              <w:t>1</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9</w:t>
            </w:r>
          </w:p>
        </w:tc>
        <w:tc>
          <w:tcPr>
            <w:tcW w:w="3060" w:type="dxa"/>
            <w:vAlign w:val="center"/>
          </w:tcPr>
          <w:p w:rsidR="00CF5A29" w:rsidRPr="005E4A73" w:rsidRDefault="00CF5A29" w:rsidP="00485B54">
            <w:r w:rsidRPr="005E4A73">
              <w:t xml:space="preserve">Підвищене вживання м'яса тваринних жирів </w:t>
            </w:r>
            <w:r w:rsidRPr="005E4A73">
              <w:rPr>
                <w:bCs/>
              </w:rPr>
              <w:t>і борошняних виробів</w:t>
            </w:r>
          </w:p>
        </w:tc>
        <w:tc>
          <w:tcPr>
            <w:tcW w:w="1080" w:type="dxa"/>
            <w:vAlign w:val="center"/>
          </w:tcPr>
          <w:p w:rsidR="00CF5A29" w:rsidRPr="005E4A73" w:rsidRDefault="00CF5A29" w:rsidP="00485B54">
            <w:pPr>
              <w:jc w:val="center"/>
            </w:pPr>
            <w:r w:rsidRPr="005E4A73">
              <w:t>63</w:t>
            </w:r>
          </w:p>
        </w:tc>
        <w:tc>
          <w:tcPr>
            <w:tcW w:w="1080" w:type="dxa"/>
            <w:vAlign w:val="center"/>
          </w:tcPr>
          <w:p w:rsidR="00CF5A29" w:rsidRPr="005E4A73" w:rsidRDefault="00CF5A29" w:rsidP="00485B54">
            <w:pPr>
              <w:jc w:val="center"/>
            </w:pPr>
            <w:r w:rsidRPr="005E4A73">
              <w:t>5,9</w:t>
            </w:r>
          </w:p>
        </w:tc>
        <w:tc>
          <w:tcPr>
            <w:tcW w:w="1080" w:type="dxa"/>
            <w:vAlign w:val="center"/>
          </w:tcPr>
          <w:p w:rsidR="00CF5A29" w:rsidRPr="005E4A73" w:rsidRDefault="00CF5A29" w:rsidP="00485B54">
            <w:pPr>
              <w:jc w:val="center"/>
            </w:pPr>
            <w:r w:rsidRPr="005E4A73">
              <w:t>164</w:t>
            </w:r>
          </w:p>
        </w:tc>
        <w:tc>
          <w:tcPr>
            <w:tcW w:w="1080" w:type="dxa"/>
            <w:vAlign w:val="center"/>
          </w:tcPr>
          <w:p w:rsidR="00CF5A29" w:rsidRPr="005E4A73" w:rsidRDefault="00CF5A29" w:rsidP="00485B54">
            <w:pPr>
              <w:jc w:val="center"/>
            </w:pPr>
            <w:r w:rsidRPr="005E4A73">
              <w:t>8,3</w:t>
            </w:r>
          </w:p>
        </w:tc>
        <w:tc>
          <w:tcPr>
            <w:tcW w:w="1440" w:type="dxa"/>
            <w:vAlign w:val="center"/>
          </w:tcPr>
          <w:p w:rsidR="00CF5A29" w:rsidRPr="005E4A73" w:rsidRDefault="00CF5A29" w:rsidP="00485B54">
            <w:pPr>
              <w:jc w:val="center"/>
            </w:pPr>
            <w:r w:rsidRPr="005E4A73">
              <w:t>─ 0,34</w:t>
            </w:r>
          </w:p>
        </w:tc>
        <w:tc>
          <w:tcPr>
            <w:tcW w:w="900" w:type="dxa"/>
            <w:vAlign w:val="center"/>
          </w:tcPr>
          <w:p w:rsidR="00CF5A29" w:rsidRPr="005E4A73" w:rsidRDefault="00CF5A29" w:rsidP="00485B54">
            <w:pPr>
              <w:jc w:val="center"/>
              <w:rPr>
                <w:b/>
              </w:rPr>
            </w:pPr>
            <w:r w:rsidRPr="005E4A73">
              <w:rPr>
                <w:b/>
              </w:rPr>
              <w:t>8</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Χ</w:t>
            </w:r>
            <w:r w:rsidRPr="005E4A73">
              <w:rPr>
                <w:b/>
                <w:vertAlign w:val="subscript"/>
              </w:rPr>
              <w:t>10</w:t>
            </w:r>
          </w:p>
        </w:tc>
        <w:tc>
          <w:tcPr>
            <w:tcW w:w="3060" w:type="dxa"/>
            <w:vAlign w:val="center"/>
          </w:tcPr>
          <w:p w:rsidR="00CF5A29" w:rsidRPr="005E4A73" w:rsidRDefault="00CF5A29" w:rsidP="00485B54">
            <w:r w:rsidRPr="005E4A73">
              <w:t>Операції на шлунку (раніше)</w:t>
            </w:r>
          </w:p>
        </w:tc>
        <w:tc>
          <w:tcPr>
            <w:tcW w:w="1080" w:type="dxa"/>
            <w:vAlign w:val="center"/>
          </w:tcPr>
          <w:p w:rsidR="00CF5A29" w:rsidRPr="005E4A73" w:rsidRDefault="00CF5A29" w:rsidP="00485B54">
            <w:pPr>
              <w:jc w:val="center"/>
            </w:pPr>
            <w:r w:rsidRPr="005E4A73">
              <w:t>5</w:t>
            </w:r>
          </w:p>
        </w:tc>
        <w:tc>
          <w:tcPr>
            <w:tcW w:w="1080" w:type="dxa"/>
            <w:vAlign w:val="center"/>
          </w:tcPr>
          <w:p w:rsidR="00CF5A29" w:rsidRPr="005E4A73" w:rsidRDefault="00CF5A29" w:rsidP="00485B54">
            <w:pPr>
              <w:jc w:val="center"/>
            </w:pPr>
            <w:r w:rsidRPr="005E4A73">
              <w:t>0,2</w:t>
            </w:r>
          </w:p>
        </w:tc>
        <w:tc>
          <w:tcPr>
            <w:tcW w:w="1080" w:type="dxa"/>
            <w:vAlign w:val="center"/>
          </w:tcPr>
          <w:p w:rsidR="00CF5A29" w:rsidRPr="005E4A73" w:rsidRDefault="00CF5A29" w:rsidP="00485B54">
            <w:pPr>
              <w:jc w:val="center"/>
            </w:pPr>
            <w:r w:rsidRPr="005E4A73">
              <w:t>18</w:t>
            </w:r>
          </w:p>
        </w:tc>
        <w:tc>
          <w:tcPr>
            <w:tcW w:w="1080" w:type="dxa"/>
            <w:vAlign w:val="center"/>
          </w:tcPr>
          <w:p w:rsidR="00CF5A29" w:rsidRPr="005E4A73" w:rsidRDefault="00CF5A29" w:rsidP="00485B54">
            <w:pPr>
              <w:jc w:val="center"/>
            </w:pPr>
            <w:r w:rsidRPr="005E4A73">
              <w:t>0,9</w:t>
            </w:r>
          </w:p>
        </w:tc>
        <w:tc>
          <w:tcPr>
            <w:tcW w:w="1440" w:type="dxa"/>
            <w:vAlign w:val="center"/>
          </w:tcPr>
          <w:p w:rsidR="00CF5A29" w:rsidRPr="005E4A73" w:rsidRDefault="00CF5A29" w:rsidP="00485B54">
            <w:pPr>
              <w:jc w:val="center"/>
            </w:pPr>
            <w:r w:rsidRPr="005E4A73">
              <w:t>─ 0,34</w:t>
            </w:r>
          </w:p>
        </w:tc>
        <w:tc>
          <w:tcPr>
            <w:tcW w:w="900" w:type="dxa"/>
            <w:vAlign w:val="center"/>
          </w:tcPr>
          <w:p w:rsidR="00CF5A29" w:rsidRPr="005E4A73" w:rsidRDefault="00CF5A29" w:rsidP="00485B54">
            <w:pPr>
              <w:jc w:val="center"/>
              <w:rPr>
                <w:b/>
              </w:rPr>
            </w:pPr>
            <w:r w:rsidRPr="005E4A73">
              <w:rPr>
                <w:b/>
              </w:rPr>
              <w:t>7</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11</w:t>
            </w:r>
          </w:p>
        </w:tc>
        <w:tc>
          <w:tcPr>
            <w:tcW w:w="3060" w:type="dxa"/>
            <w:vAlign w:val="center"/>
          </w:tcPr>
          <w:p w:rsidR="00CF5A29" w:rsidRPr="005E4A73" w:rsidRDefault="00CF5A29" w:rsidP="00485B54">
            <w:r w:rsidRPr="005E4A73">
              <w:t>Вік пацієнтів 60 років і більше</w:t>
            </w:r>
          </w:p>
        </w:tc>
        <w:tc>
          <w:tcPr>
            <w:tcW w:w="1080" w:type="dxa"/>
            <w:vAlign w:val="center"/>
          </w:tcPr>
          <w:p w:rsidR="00CF5A29" w:rsidRPr="005E4A73" w:rsidRDefault="00CF5A29" w:rsidP="00485B54">
            <w:pPr>
              <w:jc w:val="center"/>
            </w:pPr>
            <w:r w:rsidRPr="005E4A73">
              <w:t>62</w:t>
            </w:r>
          </w:p>
        </w:tc>
        <w:tc>
          <w:tcPr>
            <w:tcW w:w="1080" w:type="dxa"/>
            <w:vAlign w:val="center"/>
          </w:tcPr>
          <w:p w:rsidR="00CF5A29" w:rsidRPr="005E4A73" w:rsidRDefault="00CF5A29" w:rsidP="00485B54">
            <w:pPr>
              <w:jc w:val="center"/>
            </w:pPr>
            <w:r w:rsidRPr="005E4A73">
              <w:t>5,8</w:t>
            </w:r>
          </w:p>
        </w:tc>
        <w:tc>
          <w:tcPr>
            <w:tcW w:w="1080" w:type="dxa"/>
            <w:vAlign w:val="center"/>
          </w:tcPr>
          <w:p w:rsidR="00CF5A29" w:rsidRPr="005E4A73" w:rsidRDefault="00CF5A29" w:rsidP="00485B54">
            <w:pPr>
              <w:jc w:val="center"/>
            </w:pPr>
            <w:r w:rsidRPr="005E4A73">
              <w:t>127</w:t>
            </w:r>
          </w:p>
        </w:tc>
        <w:tc>
          <w:tcPr>
            <w:tcW w:w="1080" w:type="dxa"/>
            <w:vAlign w:val="center"/>
          </w:tcPr>
          <w:p w:rsidR="00CF5A29" w:rsidRPr="005E4A73" w:rsidRDefault="00CF5A29" w:rsidP="00485B54">
            <w:pPr>
              <w:jc w:val="center"/>
            </w:pPr>
            <w:r w:rsidRPr="005E4A73">
              <w:t>6,4</w:t>
            </w:r>
          </w:p>
        </w:tc>
        <w:tc>
          <w:tcPr>
            <w:tcW w:w="1440" w:type="dxa"/>
            <w:vAlign w:val="center"/>
          </w:tcPr>
          <w:p w:rsidR="00CF5A29" w:rsidRPr="005E4A73" w:rsidRDefault="00CF5A29" w:rsidP="00485B54">
            <w:pPr>
              <w:jc w:val="center"/>
            </w:pPr>
            <w:r w:rsidRPr="005E4A73">
              <w:t>─ 0,09</w:t>
            </w:r>
          </w:p>
        </w:tc>
        <w:tc>
          <w:tcPr>
            <w:tcW w:w="900" w:type="dxa"/>
            <w:vAlign w:val="center"/>
          </w:tcPr>
          <w:p w:rsidR="00CF5A29" w:rsidRPr="005E4A73" w:rsidRDefault="00CF5A29" w:rsidP="00485B54">
            <w:pPr>
              <w:jc w:val="center"/>
              <w:rPr>
                <w:b/>
              </w:rPr>
            </w:pPr>
            <w:r w:rsidRPr="005E4A73">
              <w:rPr>
                <w:b/>
              </w:rPr>
              <w:t>12</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12</w:t>
            </w:r>
          </w:p>
        </w:tc>
        <w:tc>
          <w:tcPr>
            <w:tcW w:w="3060" w:type="dxa"/>
            <w:vAlign w:val="center"/>
          </w:tcPr>
          <w:p w:rsidR="00CF5A29" w:rsidRPr="005E4A73" w:rsidRDefault="00CF5A29" w:rsidP="00485B54">
            <w:r w:rsidRPr="005E4A73">
              <w:t>Стать (чоловіча або жіноча)</w:t>
            </w:r>
          </w:p>
        </w:tc>
        <w:tc>
          <w:tcPr>
            <w:tcW w:w="1080" w:type="dxa"/>
            <w:vAlign w:val="center"/>
          </w:tcPr>
          <w:p w:rsidR="00CF5A29" w:rsidRPr="005E4A73" w:rsidRDefault="00CF5A29" w:rsidP="00485B54">
            <w:pPr>
              <w:jc w:val="center"/>
            </w:pPr>
            <w:r w:rsidRPr="005E4A73">
              <w:t>106</w:t>
            </w:r>
          </w:p>
        </w:tc>
        <w:tc>
          <w:tcPr>
            <w:tcW w:w="1080" w:type="dxa"/>
            <w:vAlign w:val="center"/>
          </w:tcPr>
          <w:p w:rsidR="00CF5A29" w:rsidRPr="005E4A73" w:rsidRDefault="00CF5A29" w:rsidP="00485B54">
            <w:pPr>
              <w:jc w:val="center"/>
            </w:pPr>
            <w:r w:rsidRPr="005E4A73">
              <w:t>3,5</w:t>
            </w:r>
          </w:p>
        </w:tc>
        <w:tc>
          <w:tcPr>
            <w:tcW w:w="1080" w:type="dxa"/>
            <w:vAlign w:val="center"/>
          </w:tcPr>
          <w:p w:rsidR="00CF5A29" w:rsidRPr="005E4A73" w:rsidRDefault="00CF5A29" w:rsidP="00485B54">
            <w:pPr>
              <w:jc w:val="center"/>
            </w:pPr>
            <w:r w:rsidRPr="005E4A73">
              <w:t>196</w:t>
            </w:r>
          </w:p>
        </w:tc>
        <w:tc>
          <w:tcPr>
            <w:tcW w:w="1080" w:type="dxa"/>
            <w:vAlign w:val="center"/>
          </w:tcPr>
          <w:p w:rsidR="00CF5A29" w:rsidRPr="005E4A73" w:rsidRDefault="00CF5A29" w:rsidP="00485B54">
            <w:pPr>
              <w:jc w:val="center"/>
            </w:pPr>
            <w:r w:rsidRPr="005E4A73">
              <w:t>6,4</w:t>
            </w:r>
          </w:p>
        </w:tc>
        <w:tc>
          <w:tcPr>
            <w:tcW w:w="1440" w:type="dxa"/>
            <w:vAlign w:val="center"/>
          </w:tcPr>
          <w:p w:rsidR="00CF5A29" w:rsidRPr="005E4A73" w:rsidRDefault="00CF5A29" w:rsidP="00485B54">
            <w:pPr>
              <w:jc w:val="center"/>
            </w:pPr>
            <w:r w:rsidRPr="005E4A73">
              <w:t>─ 0,60</w:t>
            </w:r>
          </w:p>
        </w:tc>
        <w:tc>
          <w:tcPr>
            <w:tcW w:w="900" w:type="dxa"/>
            <w:vAlign w:val="center"/>
          </w:tcPr>
          <w:p w:rsidR="00CF5A29" w:rsidRPr="005E4A73" w:rsidRDefault="00CF5A29" w:rsidP="00485B54">
            <w:pPr>
              <w:jc w:val="center"/>
              <w:rPr>
                <w:b/>
              </w:rPr>
            </w:pPr>
            <w:r w:rsidRPr="005E4A73">
              <w:rPr>
                <w:b/>
              </w:rPr>
              <w:t>5</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13</w:t>
            </w:r>
          </w:p>
        </w:tc>
        <w:tc>
          <w:tcPr>
            <w:tcW w:w="3060" w:type="dxa"/>
            <w:vAlign w:val="center"/>
          </w:tcPr>
          <w:p w:rsidR="00CF5A29" w:rsidRPr="005E4A73" w:rsidRDefault="00CF5A29" w:rsidP="00485B54">
            <w:r w:rsidRPr="005E4A73">
              <w:t>Цукровий діабет</w:t>
            </w:r>
          </w:p>
        </w:tc>
        <w:tc>
          <w:tcPr>
            <w:tcW w:w="1080" w:type="dxa"/>
            <w:vAlign w:val="center"/>
          </w:tcPr>
          <w:p w:rsidR="00CF5A29" w:rsidRPr="005E4A73" w:rsidRDefault="00CF5A29" w:rsidP="00485B54">
            <w:pPr>
              <w:jc w:val="center"/>
            </w:pPr>
            <w:r w:rsidRPr="005E4A73">
              <w:t>39</w:t>
            </w:r>
          </w:p>
        </w:tc>
        <w:tc>
          <w:tcPr>
            <w:tcW w:w="1080" w:type="dxa"/>
            <w:vAlign w:val="center"/>
          </w:tcPr>
          <w:p w:rsidR="00CF5A29" w:rsidRPr="005E4A73" w:rsidRDefault="00CF5A29" w:rsidP="00485B54">
            <w:pPr>
              <w:jc w:val="center"/>
            </w:pPr>
            <w:r w:rsidRPr="005E4A73">
              <w:t>3,6</w:t>
            </w:r>
          </w:p>
        </w:tc>
        <w:tc>
          <w:tcPr>
            <w:tcW w:w="1080" w:type="dxa"/>
            <w:vAlign w:val="center"/>
          </w:tcPr>
          <w:p w:rsidR="00CF5A29" w:rsidRPr="005E4A73" w:rsidRDefault="00CF5A29" w:rsidP="00485B54">
            <w:pPr>
              <w:jc w:val="center"/>
            </w:pPr>
            <w:r w:rsidRPr="005E4A73">
              <w:t>37</w:t>
            </w:r>
          </w:p>
        </w:tc>
        <w:tc>
          <w:tcPr>
            <w:tcW w:w="1080" w:type="dxa"/>
            <w:vAlign w:val="center"/>
          </w:tcPr>
          <w:p w:rsidR="00CF5A29" w:rsidRPr="005E4A73" w:rsidRDefault="00CF5A29" w:rsidP="00485B54">
            <w:pPr>
              <w:jc w:val="center"/>
            </w:pPr>
            <w:r w:rsidRPr="005E4A73">
              <w:t>1,8</w:t>
            </w:r>
          </w:p>
        </w:tc>
        <w:tc>
          <w:tcPr>
            <w:tcW w:w="1440" w:type="dxa"/>
            <w:vAlign w:val="center"/>
          </w:tcPr>
          <w:p w:rsidR="00CF5A29" w:rsidRPr="005E4A73" w:rsidRDefault="00CF5A29" w:rsidP="00485B54">
            <w:pPr>
              <w:jc w:val="center"/>
            </w:pPr>
            <w:r w:rsidRPr="005E4A73">
              <w:t>+ 0,69</w:t>
            </w:r>
          </w:p>
        </w:tc>
        <w:tc>
          <w:tcPr>
            <w:tcW w:w="900" w:type="dxa"/>
            <w:vAlign w:val="center"/>
          </w:tcPr>
          <w:p w:rsidR="00CF5A29" w:rsidRPr="005E4A73" w:rsidRDefault="00CF5A29" w:rsidP="00485B54">
            <w:pPr>
              <w:jc w:val="center"/>
              <w:rPr>
                <w:b/>
              </w:rPr>
            </w:pPr>
            <w:r w:rsidRPr="005E4A73">
              <w:rPr>
                <w:b/>
              </w:rPr>
              <w:t>+1</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14</w:t>
            </w:r>
          </w:p>
        </w:tc>
        <w:tc>
          <w:tcPr>
            <w:tcW w:w="3060" w:type="dxa"/>
            <w:vAlign w:val="center"/>
          </w:tcPr>
          <w:p w:rsidR="00CF5A29" w:rsidRPr="005E4A73" w:rsidRDefault="00CF5A29" w:rsidP="00485B54">
            <w:r w:rsidRPr="005E4A73">
              <w:t>Група крові А (II)</w:t>
            </w:r>
          </w:p>
        </w:tc>
        <w:tc>
          <w:tcPr>
            <w:tcW w:w="1080" w:type="dxa"/>
            <w:vAlign w:val="center"/>
          </w:tcPr>
          <w:p w:rsidR="00CF5A29" w:rsidRPr="005E4A73" w:rsidRDefault="00CF5A29" w:rsidP="00485B54">
            <w:pPr>
              <w:jc w:val="center"/>
            </w:pPr>
            <w:r w:rsidRPr="005E4A73">
              <w:t>33</w:t>
            </w:r>
          </w:p>
        </w:tc>
        <w:tc>
          <w:tcPr>
            <w:tcW w:w="1080" w:type="dxa"/>
            <w:vAlign w:val="center"/>
          </w:tcPr>
          <w:p w:rsidR="00CF5A29" w:rsidRPr="005E4A73" w:rsidRDefault="00CF5A29" w:rsidP="00485B54">
            <w:pPr>
              <w:jc w:val="center"/>
            </w:pPr>
            <w:r w:rsidRPr="005E4A73">
              <w:t>3,1</w:t>
            </w:r>
          </w:p>
        </w:tc>
        <w:tc>
          <w:tcPr>
            <w:tcW w:w="1080" w:type="dxa"/>
            <w:vAlign w:val="center"/>
          </w:tcPr>
          <w:p w:rsidR="00CF5A29" w:rsidRPr="005E4A73" w:rsidRDefault="00CF5A29" w:rsidP="00485B54">
            <w:pPr>
              <w:jc w:val="center"/>
            </w:pPr>
            <w:r w:rsidRPr="005E4A73">
              <w:t>89</w:t>
            </w:r>
          </w:p>
        </w:tc>
        <w:tc>
          <w:tcPr>
            <w:tcW w:w="1080" w:type="dxa"/>
            <w:vAlign w:val="center"/>
          </w:tcPr>
          <w:p w:rsidR="00CF5A29" w:rsidRPr="005E4A73" w:rsidRDefault="00CF5A29" w:rsidP="00485B54">
            <w:pPr>
              <w:jc w:val="center"/>
            </w:pPr>
            <w:r w:rsidRPr="005E4A73">
              <w:t>4,5</w:t>
            </w:r>
          </w:p>
        </w:tc>
        <w:tc>
          <w:tcPr>
            <w:tcW w:w="1440" w:type="dxa"/>
            <w:vAlign w:val="center"/>
          </w:tcPr>
          <w:p w:rsidR="00CF5A29" w:rsidRPr="005E4A73" w:rsidRDefault="00CF5A29" w:rsidP="00485B54">
            <w:pPr>
              <w:jc w:val="center"/>
            </w:pPr>
            <w:r w:rsidRPr="005E4A73">
              <w:t>─ 0,37</w:t>
            </w:r>
          </w:p>
        </w:tc>
        <w:tc>
          <w:tcPr>
            <w:tcW w:w="900" w:type="dxa"/>
            <w:vAlign w:val="center"/>
          </w:tcPr>
          <w:p w:rsidR="00CF5A29" w:rsidRPr="005E4A73" w:rsidRDefault="00CF5A29" w:rsidP="00485B54">
            <w:pPr>
              <w:jc w:val="center"/>
              <w:rPr>
                <w:b/>
              </w:rPr>
            </w:pPr>
            <w:r w:rsidRPr="005E4A73">
              <w:rPr>
                <w:b/>
              </w:rPr>
              <w:t>6</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15</w:t>
            </w:r>
          </w:p>
        </w:tc>
        <w:tc>
          <w:tcPr>
            <w:tcW w:w="3060" w:type="dxa"/>
            <w:vAlign w:val="center"/>
          </w:tcPr>
          <w:p w:rsidR="00CF5A29" w:rsidRPr="005E4A73" w:rsidRDefault="00CF5A29" w:rsidP="00485B54">
            <w:r w:rsidRPr="005E4A73">
              <w:t>Поліпи шлунка</w:t>
            </w:r>
          </w:p>
        </w:tc>
        <w:tc>
          <w:tcPr>
            <w:tcW w:w="1080" w:type="dxa"/>
            <w:vAlign w:val="center"/>
          </w:tcPr>
          <w:p w:rsidR="00CF5A29" w:rsidRPr="005E4A73" w:rsidRDefault="00CF5A29" w:rsidP="00485B54">
            <w:pPr>
              <w:jc w:val="center"/>
            </w:pPr>
            <w:r w:rsidRPr="005E4A73">
              <w:t>1</w:t>
            </w:r>
          </w:p>
        </w:tc>
        <w:tc>
          <w:tcPr>
            <w:tcW w:w="1080" w:type="dxa"/>
            <w:vAlign w:val="center"/>
          </w:tcPr>
          <w:p w:rsidR="00CF5A29" w:rsidRPr="005E4A73" w:rsidRDefault="00CF5A29" w:rsidP="00485B54">
            <w:pPr>
              <w:jc w:val="center"/>
            </w:pPr>
            <w:r w:rsidRPr="005E4A73">
              <w:t>0,09</w:t>
            </w:r>
          </w:p>
        </w:tc>
        <w:tc>
          <w:tcPr>
            <w:tcW w:w="1080" w:type="dxa"/>
            <w:vAlign w:val="center"/>
          </w:tcPr>
          <w:p w:rsidR="00CF5A29" w:rsidRPr="005E4A73" w:rsidRDefault="00CF5A29" w:rsidP="00485B54">
            <w:pPr>
              <w:jc w:val="center"/>
            </w:pPr>
            <w:r w:rsidRPr="005E4A73">
              <w:t>11</w:t>
            </w:r>
          </w:p>
        </w:tc>
        <w:tc>
          <w:tcPr>
            <w:tcW w:w="1080" w:type="dxa"/>
            <w:vAlign w:val="center"/>
          </w:tcPr>
          <w:p w:rsidR="00CF5A29" w:rsidRPr="005E4A73" w:rsidRDefault="00CF5A29" w:rsidP="00485B54">
            <w:pPr>
              <w:jc w:val="center"/>
            </w:pPr>
            <w:r w:rsidRPr="005E4A73">
              <w:t>0,5</w:t>
            </w:r>
          </w:p>
        </w:tc>
        <w:tc>
          <w:tcPr>
            <w:tcW w:w="1440" w:type="dxa"/>
            <w:vAlign w:val="center"/>
          </w:tcPr>
          <w:p w:rsidR="00CF5A29" w:rsidRPr="005E4A73" w:rsidRDefault="00CF5A29" w:rsidP="00485B54">
            <w:pPr>
              <w:jc w:val="center"/>
            </w:pPr>
            <w:r w:rsidRPr="005E4A73">
              <w:t>─ 1,71</w:t>
            </w:r>
          </w:p>
        </w:tc>
        <w:tc>
          <w:tcPr>
            <w:tcW w:w="900" w:type="dxa"/>
            <w:vAlign w:val="center"/>
          </w:tcPr>
          <w:p w:rsidR="00CF5A29" w:rsidRPr="005E4A73" w:rsidRDefault="00CF5A29" w:rsidP="00485B54">
            <w:pPr>
              <w:jc w:val="center"/>
              <w:rPr>
                <w:b/>
              </w:rPr>
            </w:pPr>
            <w:r w:rsidRPr="005E4A73">
              <w:rPr>
                <w:b/>
              </w:rPr>
              <w:t>3</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16</w:t>
            </w:r>
          </w:p>
        </w:tc>
        <w:tc>
          <w:tcPr>
            <w:tcW w:w="3060" w:type="dxa"/>
            <w:vAlign w:val="center"/>
          </w:tcPr>
          <w:p w:rsidR="00CF5A29" w:rsidRPr="005E4A73" w:rsidRDefault="00CF5A29" w:rsidP="00485B54">
            <w:r w:rsidRPr="005E4A73">
              <w:t>Гастрити різного походження</w:t>
            </w:r>
          </w:p>
        </w:tc>
        <w:tc>
          <w:tcPr>
            <w:tcW w:w="1080" w:type="dxa"/>
            <w:vAlign w:val="center"/>
          </w:tcPr>
          <w:p w:rsidR="00CF5A29" w:rsidRPr="005E4A73" w:rsidRDefault="00CF5A29" w:rsidP="00485B54">
            <w:pPr>
              <w:jc w:val="center"/>
            </w:pPr>
            <w:r w:rsidRPr="005E4A73">
              <w:t>55</w:t>
            </w:r>
          </w:p>
        </w:tc>
        <w:tc>
          <w:tcPr>
            <w:tcW w:w="1080" w:type="dxa"/>
            <w:vAlign w:val="center"/>
          </w:tcPr>
          <w:p w:rsidR="00CF5A29" w:rsidRPr="005E4A73" w:rsidRDefault="00CF5A29" w:rsidP="00485B54">
            <w:pPr>
              <w:jc w:val="center"/>
            </w:pPr>
            <w:r w:rsidRPr="005E4A73">
              <w:t>5,1</w:t>
            </w:r>
          </w:p>
        </w:tc>
        <w:tc>
          <w:tcPr>
            <w:tcW w:w="1080" w:type="dxa"/>
            <w:vAlign w:val="center"/>
          </w:tcPr>
          <w:p w:rsidR="00CF5A29" w:rsidRPr="005E4A73" w:rsidRDefault="00CF5A29" w:rsidP="00485B54">
            <w:pPr>
              <w:jc w:val="center"/>
            </w:pPr>
            <w:r w:rsidRPr="005E4A73">
              <w:t>56</w:t>
            </w:r>
          </w:p>
        </w:tc>
        <w:tc>
          <w:tcPr>
            <w:tcW w:w="1080" w:type="dxa"/>
            <w:vAlign w:val="center"/>
          </w:tcPr>
          <w:p w:rsidR="00CF5A29" w:rsidRPr="005E4A73" w:rsidRDefault="00CF5A29" w:rsidP="00485B54">
            <w:pPr>
              <w:jc w:val="center"/>
            </w:pPr>
            <w:r w:rsidRPr="005E4A73">
              <w:t>2,8</w:t>
            </w:r>
          </w:p>
        </w:tc>
        <w:tc>
          <w:tcPr>
            <w:tcW w:w="1440" w:type="dxa"/>
            <w:vAlign w:val="center"/>
          </w:tcPr>
          <w:p w:rsidR="00CF5A29" w:rsidRPr="005E4A73" w:rsidRDefault="00CF5A29" w:rsidP="00485B54">
            <w:pPr>
              <w:jc w:val="center"/>
            </w:pPr>
            <w:r w:rsidRPr="005E4A73">
              <w:t>+ 0,59</w:t>
            </w:r>
          </w:p>
        </w:tc>
        <w:tc>
          <w:tcPr>
            <w:tcW w:w="900" w:type="dxa"/>
            <w:vAlign w:val="center"/>
          </w:tcPr>
          <w:p w:rsidR="00CF5A29" w:rsidRPr="005E4A73" w:rsidRDefault="00CF5A29" w:rsidP="00485B54">
            <w:pPr>
              <w:jc w:val="center"/>
              <w:rPr>
                <w:b/>
              </w:rPr>
            </w:pPr>
            <w:r w:rsidRPr="005E4A73">
              <w:rPr>
                <w:b/>
              </w:rPr>
              <w:t>+2</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pPr>
            <w:r w:rsidRPr="005E4A73">
              <w:rPr>
                <w:b/>
              </w:rPr>
              <w:t>Х</w:t>
            </w:r>
            <w:r w:rsidRPr="005E4A73">
              <w:rPr>
                <w:b/>
                <w:vertAlign w:val="subscript"/>
              </w:rPr>
              <w:t>17</w:t>
            </w:r>
          </w:p>
        </w:tc>
        <w:tc>
          <w:tcPr>
            <w:tcW w:w="3060" w:type="dxa"/>
            <w:vAlign w:val="center"/>
          </w:tcPr>
          <w:p w:rsidR="00CF5A29" w:rsidRPr="005E4A73" w:rsidRDefault="00CF5A29" w:rsidP="00485B54">
            <w:r w:rsidRPr="005E4A73">
              <w:t>Спадкові хвороби шлунка в найближчих родичів</w:t>
            </w:r>
          </w:p>
        </w:tc>
        <w:tc>
          <w:tcPr>
            <w:tcW w:w="1080" w:type="dxa"/>
            <w:vAlign w:val="center"/>
          </w:tcPr>
          <w:p w:rsidR="00CF5A29" w:rsidRPr="005E4A73" w:rsidRDefault="00CF5A29" w:rsidP="00485B54">
            <w:pPr>
              <w:jc w:val="center"/>
            </w:pPr>
            <w:r w:rsidRPr="005E4A73">
              <w:t>92</w:t>
            </w:r>
          </w:p>
        </w:tc>
        <w:tc>
          <w:tcPr>
            <w:tcW w:w="1080" w:type="dxa"/>
            <w:vAlign w:val="center"/>
          </w:tcPr>
          <w:p w:rsidR="00CF5A29" w:rsidRPr="005E4A73" w:rsidRDefault="00CF5A29" w:rsidP="00485B54">
            <w:pPr>
              <w:jc w:val="center"/>
            </w:pPr>
            <w:r w:rsidRPr="005E4A73">
              <w:t>8,6</w:t>
            </w:r>
          </w:p>
        </w:tc>
        <w:tc>
          <w:tcPr>
            <w:tcW w:w="1080" w:type="dxa"/>
            <w:vAlign w:val="center"/>
          </w:tcPr>
          <w:p w:rsidR="00CF5A29" w:rsidRPr="005E4A73" w:rsidRDefault="00CF5A29" w:rsidP="00485B54">
            <w:pPr>
              <w:jc w:val="center"/>
            </w:pPr>
            <w:r w:rsidRPr="005E4A73">
              <w:t>181</w:t>
            </w:r>
          </w:p>
        </w:tc>
        <w:tc>
          <w:tcPr>
            <w:tcW w:w="1080" w:type="dxa"/>
            <w:vAlign w:val="center"/>
          </w:tcPr>
          <w:p w:rsidR="00CF5A29" w:rsidRPr="005E4A73" w:rsidRDefault="00CF5A29" w:rsidP="00485B54">
            <w:pPr>
              <w:jc w:val="center"/>
            </w:pPr>
            <w:r w:rsidRPr="005E4A73">
              <w:t>9,2</w:t>
            </w:r>
          </w:p>
        </w:tc>
        <w:tc>
          <w:tcPr>
            <w:tcW w:w="1440" w:type="dxa"/>
            <w:vAlign w:val="center"/>
          </w:tcPr>
          <w:p w:rsidR="00CF5A29" w:rsidRPr="005E4A73" w:rsidRDefault="00CF5A29" w:rsidP="00485B54">
            <w:pPr>
              <w:jc w:val="center"/>
            </w:pPr>
            <w:r w:rsidRPr="005E4A73">
              <w:t>─ 0,06</w:t>
            </w:r>
          </w:p>
        </w:tc>
        <w:tc>
          <w:tcPr>
            <w:tcW w:w="900" w:type="dxa"/>
            <w:vAlign w:val="center"/>
          </w:tcPr>
          <w:p w:rsidR="00CF5A29" w:rsidRPr="005E4A73" w:rsidRDefault="00CF5A29" w:rsidP="00485B54">
            <w:pPr>
              <w:jc w:val="center"/>
              <w:rPr>
                <w:b/>
              </w:rPr>
            </w:pPr>
            <w:r w:rsidRPr="005E4A73">
              <w:rPr>
                <w:b/>
              </w:rPr>
              <w:t>15</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18</w:t>
            </w:r>
          </w:p>
        </w:tc>
        <w:tc>
          <w:tcPr>
            <w:tcW w:w="3060" w:type="dxa"/>
            <w:vAlign w:val="center"/>
          </w:tcPr>
          <w:p w:rsidR="00CF5A29" w:rsidRPr="005E4A73" w:rsidRDefault="00CF5A29" w:rsidP="00485B54">
            <w:r w:rsidRPr="005E4A73">
              <w:t>Прийом їжі після 22-ї години</w:t>
            </w:r>
          </w:p>
        </w:tc>
        <w:tc>
          <w:tcPr>
            <w:tcW w:w="1080" w:type="dxa"/>
            <w:vAlign w:val="center"/>
          </w:tcPr>
          <w:p w:rsidR="00CF5A29" w:rsidRPr="005E4A73" w:rsidRDefault="00CF5A29" w:rsidP="00485B54">
            <w:pPr>
              <w:jc w:val="center"/>
            </w:pPr>
            <w:r w:rsidRPr="005E4A73">
              <w:t>81</w:t>
            </w:r>
          </w:p>
        </w:tc>
        <w:tc>
          <w:tcPr>
            <w:tcW w:w="1080" w:type="dxa"/>
            <w:vAlign w:val="center"/>
          </w:tcPr>
          <w:p w:rsidR="00CF5A29" w:rsidRPr="005E4A73" w:rsidRDefault="00CF5A29" w:rsidP="00485B54">
            <w:pPr>
              <w:jc w:val="center"/>
            </w:pPr>
            <w:r w:rsidRPr="005E4A73">
              <w:t>7,7</w:t>
            </w:r>
          </w:p>
        </w:tc>
        <w:tc>
          <w:tcPr>
            <w:tcW w:w="1080" w:type="dxa"/>
            <w:vAlign w:val="center"/>
          </w:tcPr>
          <w:p w:rsidR="00CF5A29" w:rsidRPr="005E4A73" w:rsidRDefault="00CF5A29" w:rsidP="00485B54">
            <w:pPr>
              <w:jc w:val="center"/>
            </w:pPr>
            <w:r w:rsidRPr="005E4A73">
              <w:t>174</w:t>
            </w:r>
          </w:p>
        </w:tc>
        <w:tc>
          <w:tcPr>
            <w:tcW w:w="1080" w:type="dxa"/>
            <w:vAlign w:val="center"/>
          </w:tcPr>
          <w:p w:rsidR="00CF5A29" w:rsidRPr="005E4A73" w:rsidRDefault="00CF5A29" w:rsidP="00485B54">
            <w:pPr>
              <w:jc w:val="center"/>
            </w:pPr>
            <w:r w:rsidRPr="005E4A73">
              <w:t>8,8</w:t>
            </w:r>
          </w:p>
        </w:tc>
        <w:tc>
          <w:tcPr>
            <w:tcW w:w="1440" w:type="dxa"/>
            <w:vAlign w:val="center"/>
          </w:tcPr>
          <w:p w:rsidR="00CF5A29" w:rsidRPr="005E4A73" w:rsidRDefault="00CF5A29" w:rsidP="00485B54">
            <w:pPr>
              <w:jc w:val="center"/>
            </w:pPr>
            <w:r w:rsidRPr="005E4A73">
              <w:t>─ 0,13</w:t>
            </w:r>
          </w:p>
        </w:tc>
        <w:tc>
          <w:tcPr>
            <w:tcW w:w="900" w:type="dxa"/>
            <w:vAlign w:val="center"/>
          </w:tcPr>
          <w:p w:rsidR="00CF5A29" w:rsidRPr="005E4A73" w:rsidRDefault="00CF5A29" w:rsidP="00485B54">
            <w:pPr>
              <w:jc w:val="center"/>
              <w:rPr>
                <w:b/>
              </w:rPr>
            </w:pPr>
            <w:r w:rsidRPr="005E4A73">
              <w:rPr>
                <w:b/>
              </w:rPr>
              <w:t>10</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19</w:t>
            </w:r>
          </w:p>
        </w:tc>
        <w:tc>
          <w:tcPr>
            <w:tcW w:w="3060" w:type="dxa"/>
            <w:vAlign w:val="center"/>
          </w:tcPr>
          <w:p w:rsidR="00CF5A29" w:rsidRPr="005E4A73" w:rsidRDefault="00CF5A29" w:rsidP="00485B54">
            <w:r w:rsidRPr="005E4A73">
              <w:t>Гелікобактерна інфекція</w:t>
            </w:r>
          </w:p>
        </w:tc>
        <w:tc>
          <w:tcPr>
            <w:tcW w:w="1080" w:type="dxa"/>
            <w:vAlign w:val="center"/>
          </w:tcPr>
          <w:p w:rsidR="00CF5A29" w:rsidRPr="005E4A73" w:rsidRDefault="00CF5A29" w:rsidP="00485B54">
            <w:pPr>
              <w:jc w:val="center"/>
            </w:pPr>
            <w:r w:rsidRPr="005E4A73">
              <w:t>64</w:t>
            </w:r>
          </w:p>
        </w:tc>
        <w:tc>
          <w:tcPr>
            <w:tcW w:w="1080" w:type="dxa"/>
            <w:vAlign w:val="center"/>
          </w:tcPr>
          <w:p w:rsidR="00CF5A29" w:rsidRPr="005E4A73" w:rsidRDefault="00CF5A29" w:rsidP="00485B54">
            <w:pPr>
              <w:jc w:val="center"/>
            </w:pPr>
            <w:r w:rsidRPr="005E4A73">
              <w:t>6,0</w:t>
            </w:r>
          </w:p>
        </w:tc>
        <w:tc>
          <w:tcPr>
            <w:tcW w:w="1080" w:type="dxa"/>
            <w:vAlign w:val="center"/>
          </w:tcPr>
          <w:p w:rsidR="00CF5A29" w:rsidRPr="005E4A73" w:rsidRDefault="00CF5A29" w:rsidP="00485B54">
            <w:pPr>
              <w:jc w:val="center"/>
            </w:pPr>
            <w:r w:rsidRPr="005E4A73">
              <w:t>118</w:t>
            </w:r>
          </w:p>
        </w:tc>
        <w:tc>
          <w:tcPr>
            <w:tcW w:w="1080" w:type="dxa"/>
            <w:vAlign w:val="center"/>
          </w:tcPr>
          <w:p w:rsidR="00CF5A29" w:rsidRPr="005E4A73" w:rsidRDefault="00CF5A29" w:rsidP="00485B54">
            <w:pPr>
              <w:jc w:val="center"/>
            </w:pPr>
            <w:r w:rsidRPr="005E4A73">
              <w:t>6,0</w:t>
            </w:r>
          </w:p>
        </w:tc>
        <w:tc>
          <w:tcPr>
            <w:tcW w:w="1440" w:type="dxa"/>
            <w:vAlign w:val="center"/>
          </w:tcPr>
          <w:p w:rsidR="00CF5A29" w:rsidRPr="005E4A73" w:rsidRDefault="00CF5A29" w:rsidP="00485B54">
            <w:pPr>
              <w:jc w:val="center"/>
            </w:pPr>
            <w:r w:rsidRPr="005E4A73">
              <w:t>─ 0,07</w:t>
            </w:r>
          </w:p>
        </w:tc>
        <w:tc>
          <w:tcPr>
            <w:tcW w:w="900" w:type="dxa"/>
            <w:vAlign w:val="center"/>
          </w:tcPr>
          <w:p w:rsidR="00CF5A29" w:rsidRPr="005E4A73" w:rsidRDefault="00CF5A29" w:rsidP="00485B54">
            <w:pPr>
              <w:jc w:val="center"/>
              <w:rPr>
                <w:b/>
              </w:rPr>
            </w:pPr>
            <w:r w:rsidRPr="005E4A73">
              <w:rPr>
                <w:b/>
              </w:rPr>
              <w:t>14</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20</w:t>
            </w:r>
          </w:p>
        </w:tc>
        <w:tc>
          <w:tcPr>
            <w:tcW w:w="3060" w:type="dxa"/>
            <w:vAlign w:val="center"/>
          </w:tcPr>
          <w:p w:rsidR="00CF5A29" w:rsidRPr="005E4A73" w:rsidRDefault="00CF5A29" w:rsidP="00485B54">
            <w:r w:rsidRPr="005E4A73">
              <w:t>Нульова і знижена кислотність шлункового соку</w:t>
            </w:r>
          </w:p>
        </w:tc>
        <w:tc>
          <w:tcPr>
            <w:tcW w:w="1080" w:type="dxa"/>
            <w:vAlign w:val="center"/>
          </w:tcPr>
          <w:p w:rsidR="00CF5A29" w:rsidRPr="005E4A73" w:rsidRDefault="00CF5A29" w:rsidP="00485B54">
            <w:pPr>
              <w:jc w:val="center"/>
            </w:pPr>
            <w:r w:rsidRPr="005E4A73">
              <w:t>62</w:t>
            </w:r>
          </w:p>
        </w:tc>
        <w:tc>
          <w:tcPr>
            <w:tcW w:w="1080" w:type="dxa"/>
            <w:vAlign w:val="center"/>
          </w:tcPr>
          <w:p w:rsidR="00CF5A29" w:rsidRPr="005E4A73" w:rsidRDefault="00CF5A29" w:rsidP="00485B54">
            <w:pPr>
              <w:jc w:val="center"/>
            </w:pPr>
            <w:r w:rsidRPr="005E4A73">
              <w:t>5,8</w:t>
            </w:r>
          </w:p>
        </w:tc>
        <w:tc>
          <w:tcPr>
            <w:tcW w:w="1080" w:type="dxa"/>
            <w:vAlign w:val="center"/>
          </w:tcPr>
          <w:p w:rsidR="00CF5A29" w:rsidRPr="005E4A73" w:rsidRDefault="00CF5A29" w:rsidP="00485B54">
            <w:pPr>
              <w:jc w:val="center"/>
            </w:pPr>
            <w:r w:rsidRPr="005E4A73">
              <w:t>65</w:t>
            </w:r>
          </w:p>
        </w:tc>
        <w:tc>
          <w:tcPr>
            <w:tcW w:w="1080" w:type="dxa"/>
            <w:vAlign w:val="center"/>
          </w:tcPr>
          <w:p w:rsidR="00CF5A29" w:rsidRPr="005E4A73" w:rsidRDefault="00CF5A29" w:rsidP="00485B54">
            <w:pPr>
              <w:jc w:val="center"/>
            </w:pPr>
            <w:r w:rsidRPr="005E4A73">
              <w:t>3,3</w:t>
            </w:r>
          </w:p>
        </w:tc>
        <w:tc>
          <w:tcPr>
            <w:tcW w:w="1440" w:type="dxa"/>
            <w:vAlign w:val="center"/>
          </w:tcPr>
          <w:p w:rsidR="00CF5A29" w:rsidRPr="005E4A73" w:rsidRDefault="00CF5A29" w:rsidP="00485B54">
            <w:pPr>
              <w:jc w:val="center"/>
            </w:pPr>
            <w:r w:rsidRPr="005E4A73">
              <w:t>+0,56</w:t>
            </w:r>
          </w:p>
        </w:tc>
        <w:tc>
          <w:tcPr>
            <w:tcW w:w="900" w:type="dxa"/>
            <w:vAlign w:val="center"/>
          </w:tcPr>
          <w:p w:rsidR="00CF5A29" w:rsidRPr="005E4A73" w:rsidRDefault="00CF5A29" w:rsidP="00485B54">
            <w:pPr>
              <w:jc w:val="center"/>
              <w:rPr>
                <w:b/>
              </w:rPr>
            </w:pPr>
            <w:r w:rsidRPr="005E4A73">
              <w:rPr>
                <w:b/>
              </w:rPr>
              <w:t>+3</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lastRenderedPageBreak/>
              <w:t>Х</w:t>
            </w:r>
            <w:r w:rsidRPr="005E4A73">
              <w:rPr>
                <w:b/>
                <w:vertAlign w:val="subscript"/>
              </w:rPr>
              <w:t>21</w:t>
            </w:r>
          </w:p>
        </w:tc>
        <w:tc>
          <w:tcPr>
            <w:tcW w:w="3060" w:type="dxa"/>
            <w:vAlign w:val="center"/>
          </w:tcPr>
          <w:p w:rsidR="00CF5A29" w:rsidRPr="005E4A73" w:rsidRDefault="00CF5A29" w:rsidP="00485B54">
            <w:r w:rsidRPr="005E4A73">
              <w:t>Робота в умовах шкідливого виробництва</w:t>
            </w:r>
          </w:p>
        </w:tc>
        <w:tc>
          <w:tcPr>
            <w:tcW w:w="1080" w:type="dxa"/>
            <w:vAlign w:val="center"/>
          </w:tcPr>
          <w:p w:rsidR="00CF5A29" w:rsidRPr="005E4A73" w:rsidRDefault="00CF5A29" w:rsidP="00485B54">
            <w:pPr>
              <w:jc w:val="center"/>
            </w:pPr>
            <w:r w:rsidRPr="005E4A73">
              <w:t>29</w:t>
            </w:r>
          </w:p>
        </w:tc>
        <w:tc>
          <w:tcPr>
            <w:tcW w:w="1080" w:type="dxa"/>
            <w:vAlign w:val="center"/>
          </w:tcPr>
          <w:p w:rsidR="00CF5A29" w:rsidRPr="005E4A73" w:rsidRDefault="00CF5A29" w:rsidP="00485B54">
            <w:pPr>
              <w:jc w:val="center"/>
            </w:pPr>
            <w:r w:rsidRPr="005E4A73">
              <w:t>2,7</w:t>
            </w:r>
          </w:p>
        </w:tc>
        <w:tc>
          <w:tcPr>
            <w:tcW w:w="1080" w:type="dxa"/>
            <w:vAlign w:val="center"/>
          </w:tcPr>
          <w:p w:rsidR="00CF5A29" w:rsidRPr="005E4A73" w:rsidRDefault="00CF5A29" w:rsidP="00485B54">
            <w:pPr>
              <w:jc w:val="center"/>
            </w:pPr>
            <w:r w:rsidRPr="005E4A73">
              <w:t>38</w:t>
            </w:r>
          </w:p>
        </w:tc>
        <w:tc>
          <w:tcPr>
            <w:tcW w:w="1080" w:type="dxa"/>
            <w:vAlign w:val="center"/>
          </w:tcPr>
          <w:p w:rsidR="00CF5A29" w:rsidRPr="005E4A73" w:rsidRDefault="00CF5A29" w:rsidP="00485B54">
            <w:pPr>
              <w:jc w:val="center"/>
            </w:pPr>
            <w:r w:rsidRPr="005E4A73">
              <w:t>1,9</w:t>
            </w:r>
          </w:p>
        </w:tc>
        <w:tc>
          <w:tcPr>
            <w:tcW w:w="1440" w:type="dxa"/>
            <w:vAlign w:val="center"/>
          </w:tcPr>
          <w:p w:rsidR="00CF5A29" w:rsidRPr="005E4A73" w:rsidRDefault="00CF5A29" w:rsidP="00485B54">
            <w:pPr>
              <w:jc w:val="center"/>
            </w:pPr>
            <w:r w:rsidRPr="005E4A73">
              <w:t>+ 0,35</w:t>
            </w:r>
          </w:p>
        </w:tc>
        <w:tc>
          <w:tcPr>
            <w:tcW w:w="900" w:type="dxa"/>
            <w:vAlign w:val="center"/>
          </w:tcPr>
          <w:p w:rsidR="00CF5A29" w:rsidRPr="005E4A73" w:rsidRDefault="00CF5A29" w:rsidP="00485B54">
            <w:pPr>
              <w:jc w:val="center"/>
              <w:rPr>
                <w:b/>
              </w:rPr>
            </w:pPr>
            <w:r w:rsidRPr="005E4A73">
              <w:rPr>
                <w:b/>
              </w:rPr>
              <w:t>+4</w:t>
            </w:r>
          </w:p>
        </w:tc>
      </w:tr>
      <w:tr w:rsidR="00CF5A29" w:rsidRPr="005E4A73" w:rsidTr="00485B54">
        <w:tblPrEx>
          <w:tblCellMar>
            <w:top w:w="0" w:type="dxa"/>
            <w:bottom w:w="0" w:type="dxa"/>
          </w:tblCellMar>
        </w:tblPrEx>
        <w:tc>
          <w:tcPr>
            <w:tcW w:w="720" w:type="dxa"/>
            <w:vAlign w:val="center"/>
          </w:tcPr>
          <w:p w:rsidR="00CF5A29" w:rsidRPr="005E4A73" w:rsidRDefault="00CF5A29" w:rsidP="00485B54">
            <w:pPr>
              <w:jc w:val="center"/>
              <w:rPr>
                <w:b/>
              </w:rPr>
            </w:pPr>
            <w:r w:rsidRPr="005E4A73">
              <w:rPr>
                <w:b/>
              </w:rPr>
              <w:t>Х</w:t>
            </w:r>
            <w:r w:rsidRPr="005E4A73">
              <w:rPr>
                <w:b/>
                <w:vertAlign w:val="subscript"/>
              </w:rPr>
              <w:t>22</w:t>
            </w:r>
          </w:p>
        </w:tc>
        <w:tc>
          <w:tcPr>
            <w:tcW w:w="3060" w:type="dxa"/>
            <w:vAlign w:val="center"/>
          </w:tcPr>
          <w:p w:rsidR="00CF5A29" w:rsidRPr="005E4A73" w:rsidRDefault="00CF5A29" w:rsidP="00485B54">
            <w:r w:rsidRPr="005E4A73">
              <w:t>Щоденний прийом смажених продуктів</w:t>
            </w:r>
          </w:p>
        </w:tc>
        <w:tc>
          <w:tcPr>
            <w:tcW w:w="1080" w:type="dxa"/>
            <w:vAlign w:val="center"/>
          </w:tcPr>
          <w:p w:rsidR="00CF5A29" w:rsidRPr="005E4A73" w:rsidRDefault="00CF5A29" w:rsidP="00485B54">
            <w:pPr>
              <w:jc w:val="center"/>
            </w:pPr>
            <w:r w:rsidRPr="005E4A73">
              <w:t>50</w:t>
            </w:r>
          </w:p>
        </w:tc>
        <w:tc>
          <w:tcPr>
            <w:tcW w:w="1080" w:type="dxa"/>
            <w:vAlign w:val="center"/>
          </w:tcPr>
          <w:p w:rsidR="00CF5A29" w:rsidRPr="005E4A73" w:rsidRDefault="00CF5A29" w:rsidP="00485B54">
            <w:pPr>
              <w:jc w:val="center"/>
            </w:pPr>
            <w:r w:rsidRPr="005E4A73">
              <w:t>4,7</w:t>
            </w:r>
          </w:p>
        </w:tc>
        <w:tc>
          <w:tcPr>
            <w:tcW w:w="1080" w:type="dxa"/>
            <w:vAlign w:val="center"/>
          </w:tcPr>
          <w:p w:rsidR="00CF5A29" w:rsidRPr="005E4A73" w:rsidRDefault="00CF5A29" w:rsidP="00485B54">
            <w:pPr>
              <w:jc w:val="center"/>
            </w:pPr>
            <w:r w:rsidRPr="005E4A73">
              <w:t>89</w:t>
            </w:r>
          </w:p>
        </w:tc>
        <w:tc>
          <w:tcPr>
            <w:tcW w:w="1080" w:type="dxa"/>
            <w:vAlign w:val="center"/>
          </w:tcPr>
          <w:p w:rsidR="00CF5A29" w:rsidRPr="005E4A73" w:rsidRDefault="00CF5A29" w:rsidP="00485B54">
            <w:pPr>
              <w:jc w:val="center"/>
            </w:pPr>
            <w:r w:rsidRPr="005E4A73">
              <w:t>4,5</w:t>
            </w:r>
          </w:p>
        </w:tc>
        <w:tc>
          <w:tcPr>
            <w:tcW w:w="1440" w:type="dxa"/>
            <w:vAlign w:val="center"/>
          </w:tcPr>
          <w:p w:rsidR="00CF5A29" w:rsidRPr="005E4A73" w:rsidRDefault="00CF5A29" w:rsidP="00485B54">
            <w:pPr>
              <w:jc w:val="center"/>
            </w:pPr>
            <w:r w:rsidRPr="005E4A73">
              <w:t>+ 0,04</w:t>
            </w:r>
          </w:p>
        </w:tc>
        <w:tc>
          <w:tcPr>
            <w:tcW w:w="900" w:type="dxa"/>
            <w:vAlign w:val="center"/>
          </w:tcPr>
          <w:p w:rsidR="00CF5A29" w:rsidRPr="005E4A73" w:rsidRDefault="00CF5A29" w:rsidP="00485B54">
            <w:pPr>
              <w:jc w:val="center"/>
              <w:rPr>
                <w:b/>
              </w:rPr>
            </w:pPr>
            <w:r w:rsidRPr="005E4A73">
              <w:rPr>
                <w:b/>
              </w:rPr>
              <w:t>+5</w:t>
            </w:r>
          </w:p>
        </w:tc>
      </w:tr>
      <w:tr w:rsidR="00CF5A29" w:rsidRPr="005E4A73" w:rsidTr="00485B54">
        <w:tblPrEx>
          <w:tblCellMar>
            <w:top w:w="0" w:type="dxa"/>
            <w:bottom w:w="0" w:type="dxa"/>
          </w:tblCellMar>
        </w:tblPrEx>
        <w:trPr>
          <w:cantSplit/>
          <w:trHeight w:val="278"/>
        </w:trPr>
        <w:tc>
          <w:tcPr>
            <w:tcW w:w="720" w:type="dxa"/>
            <w:vMerge w:val="restart"/>
            <w:vAlign w:val="center"/>
          </w:tcPr>
          <w:p w:rsidR="00CF5A29" w:rsidRPr="005E4A73" w:rsidRDefault="00CF5A29" w:rsidP="00485B54">
            <w:pPr>
              <w:jc w:val="center"/>
              <w:rPr>
                <w:b/>
              </w:rPr>
            </w:pPr>
          </w:p>
        </w:tc>
        <w:tc>
          <w:tcPr>
            <w:tcW w:w="3060" w:type="dxa"/>
            <w:shd w:val="clear" w:color="auto" w:fill="auto"/>
            <w:vAlign w:val="center"/>
          </w:tcPr>
          <w:p w:rsidR="00CF5A29" w:rsidRPr="005E4A73" w:rsidRDefault="00CF5A29" w:rsidP="00485B54">
            <w:r w:rsidRPr="005E4A73">
              <w:t>кількість негативних значень та сума прогностичного коефіцієнту</w:t>
            </w:r>
          </w:p>
        </w:tc>
        <w:tc>
          <w:tcPr>
            <w:tcW w:w="6660" w:type="dxa"/>
            <w:gridSpan w:val="6"/>
            <w:vAlign w:val="center"/>
          </w:tcPr>
          <w:p w:rsidR="00CF5A29" w:rsidRPr="005E4A73" w:rsidRDefault="00CF5A29" w:rsidP="00485B54">
            <w:pPr>
              <w:jc w:val="center"/>
              <w:rPr>
                <w:b/>
              </w:rPr>
            </w:pPr>
            <w:r w:rsidRPr="005E4A73">
              <w:t>Ν = 17         Σ = ─ 10,33        Μ = ─ 0,60</w:t>
            </w:r>
          </w:p>
        </w:tc>
      </w:tr>
      <w:tr w:rsidR="00CF5A29" w:rsidRPr="005E4A73" w:rsidTr="00485B54">
        <w:tblPrEx>
          <w:tblCellMar>
            <w:top w:w="0" w:type="dxa"/>
            <w:bottom w:w="0" w:type="dxa"/>
          </w:tblCellMar>
        </w:tblPrEx>
        <w:trPr>
          <w:cantSplit/>
          <w:trHeight w:val="277"/>
        </w:trPr>
        <w:tc>
          <w:tcPr>
            <w:tcW w:w="720" w:type="dxa"/>
            <w:vMerge/>
            <w:vAlign w:val="center"/>
          </w:tcPr>
          <w:p w:rsidR="00CF5A29" w:rsidRPr="005E4A73" w:rsidRDefault="00CF5A29" w:rsidP="00485B54">
            <w:pPr>
              <w:jc w:val="center"/>
              <w:rPr>
                <w:b/>
              </w:rPr>
            </w:pPr>
          </w:p>
        </w:tc>
        <w:tc>
          <w:tcPr>
            <w:tcW w:w="3060" w:type="dxa"/>
            <w:shd w:val="clear" w:color="auto" w:fill="auto"/>
            <w:vAlign w:val="center"/>
          </w:tcPr>
          <w:p w:rsidR="00CF5A29" w:rsidRPr="005E4A73" w:rsidRDefault="00CF5A29" w:rsidP="00485B54">
            <w:r w:rsidRPr="005E4A73">
              <w:t>кількість позитивних значень та сума прогностичного коефіцієнту</w:t>
            </w:r>
          </w:p>
        </w:tc>
        <w:tc>
          <w:tcPr>
            <w:tcW w:w="6660" w:type="dxa"/>
            <w:gridSpan w:val="6"/>
            <w:vAlign w:val="center"/>
          </w:tcPr>
          <w:p w:rsidR="00CF5A29" w:rsidRPr="005E4A73" w:rsidRDefault="00CF5A29" w:rsidP="00485B54">
            <w:pPr>
              <w:jc w:val="center"/>
              <w:rPr>
                <w:b/>
              </w:rPr>
            </w:pPr>
            <w:r w:rsidRPr="005E4A73">
              <w:rPr>
                <w:bCs/>
              </w:rPr>
              <w:t>Ν = 5           Σ = + 2,23           М = + 0,44</w:t>
            </w:r>
          </w:p>
        </w:tc>
      </w:tr>
    </w:tbl>
    <w:p w:rsidR="00CF5A29" w:rsidRPr="005E4A73" w:rsidRDefault="00CF5A29" w:rsidP="00CF5A29">
      <w:pPr>
        <w:pStyle w:val="32"/>
        <w:tabs>
          <w:tab w:val="left" w:pos="-1800"/>
        </w:tabs>
        <w:spacing w:line="360" w:lineRule="auto"/>
      </w:pPr>
    </w:p>
    <w:p w:rsidR="00CF5A29" w:rsidRPr="005E4A73" w:rsidRDefault="00CF5A29" w:rsidP="00CF5A29">
      <w:pPr>
        <w:pStyle w:val="afd"/>
        <w:ind w:firstLine="540"/>
        <w:rPr>
          <w:sz w:val="24"/>
          <w:lang w:val="uk-UA"/>
        </w:rPr>
      </w:pPr>
      <w:r w:rsidRPr="005E4A73">
        <w:rPr>
          <w:sz w:val="24"/>
          <w:lang w:val="uk-UA"/>
        </w:rPr>
        <w:t>Згідно з даними таблиці, кількість отриманих негативних значень питомої ваги прогностичного коефіцієнта для осіб чоловічої статі склала 17 факторів ризику виникнення зазначеного захворювання. Позитивне значення прогностичного коефіцієнта у жінок, що захворіли стало для них «негативним», їх виявилося усього лише 5.</w:t>
      </w:r>
    </w:p>
    <w:p w:rsidR="00CF5A29" w:rsidRPr="005E4A73" w:rsidRDefault="00CF5A29" w:rsidP="00CF5A29">
      <w:pPr>
        <w:pStyle w:val="afd"/>
        <w:ind w:firstLine="540"/>
        <w:rPr>
          <w:sz w:val="24"/>
          <w:lang w:val="uk-UA"/>
        </w:rPr>
      </w:pPr>
      <w:r w:rsidRPr="005E4A73">
        <w:rPr>
          <w:sz w:val="24"/>
          <w:lang w:val="uk-UA"/>
        </w:rPr>
        <w:t xml:space="preserve">Сума негативних значень (Ν = 17) склала ─ </w:t>
      </w:r>
      <w:r w:rsidRPr="005E4A73">
        <w:rPr>
          <w:b w:val="0"/>
          <w:bCs/>
          <w:sz w:val="24"/>
          <w:lang w:val="uk-UA"/>
        </w:rPr>
        <w:t>Ј=</w:t>
      </w:r>
      <w:r w:rsidRPr="005E4A73">
        <w:rPr>
          <w:sz w:val="24"/>
          <w:lang w:val="uk-UA"/>
        </w:rPr>
        <w:t xml:space="preserve">─ 10,33, а середнє значення питомої ваги ─ </w:t>
      </w:r>
      <w:r w:rsidRPr="005E4A73">
        <w:rPr>
          <w:b w:val="0"/>
          <w:bCs/>
          <w:sz w:val="24"/>
          <w:lang w:val="uk-UA"/>
        </w:rPr>
        <w:t>Ј=</w:t>
      </w:r>
      <w:r w:rsidRPr="005E4A73">
        <w:rPr>
          <w:sz w:val="24"/>
          <w:lang w:val="uk-UA"/>
        </w:rPr>
        <w:t xml:space="preserve"> − 0,60. Сума позитивних значень (Ν = 5) склала ─ </w:t>
      </w:r>
      <w:r w:rsidRPr="005E4A73">
        <w:rPr>
          <w:b w:val="0"/>
          <w:bCs/>
          <w:sz w:val="24"/>
          <w:lang w:val="uk-UA"/>
        </w:rPr>
        <w:t xml:space="preserve">Ј= </w:t>
      </w:r>
      <w:r w:rsidRPr="005E4A73">
        <w:rPr>
          <w:sz w:val="24"/>
          <w:lang w:val="uk-UA"/>
        </w:rPr>
        <w:t xml:space="preserve">+ 2,23, а відповідно середнє значення питомої ваги ─ </w:t>
      </w:r>
      <w:r w:rsidRPr="005E4A73">
        <w:rPr>
          <w:b w:val="0"/>
          <w:bCs/>
          <w:sz w:val="24"/>
          <w:lang w:val="uk-UA"/>
        </w:rPr>
        <w:t xml:space="preserve">Ј = + </w:t>
      </w:r>
      <w:r w:rsidRPr="005E4A73">
        <w:rPr>
          <w:sz w:val="24"/>
          <w:lang w:val="uk-UA"/>
        </w:rPr>
        <w:t>0,44.</w:t>
      </w:r>
    </w:p>
    <w:p w:rsidR="00CF5A29" w:rsidRPr="005E4A73" w:rsidRDefault="00CF5A29" w:rsidP="00CF5A29">
      <w:pPr>
        <w:pStyle w:val="afd"/>
        <w:ind w:firstLine="540"/>
        <w:rPr>
          <w:bCs/>
          <w:sz w:val="24"/>
          <w:lang w:val="uk-UA"/>
        </w:rPr>
      </w:pPr>
      <w:r w:rsidRPr="005E4A73">
        <w:rPr>
          <w:bCs/>
          <w:sz w:val="24"/>
          <w:lang w:val="uk-UA"/>
        </w:rPr>
        <w:t xml:space="preserve">Отже, найбільш істотними негативними факторами ризику виникнення </w:t>
      </w:r>
      <w:r>
        <w:rPr>
          <w:bCs/>
          <w:sz w:val="24"/>
          <w:lang w:val="uk-UA"/>
        </w:rPr>
        <w:t>РШ</w:t>
      </w:r>
      <w:r w:rsidRPr="005E4A73">
        <w:rPr>
          <w:bCs/>
          <w:sz w:val="24"/>
          <w:lang w:val="uk-UA"/>
        </w:rPr>
        <w:t xml:space="preserve"> для осіб чоловічої і жіночої статей такі:</w:t>
      </w:r>
    </w:p>
    <w:p w:rsidR="00CF5A29" w:rsidRPr="005E4A73" w:rsidRDefault="00CF5A29" w:rsidP="00CF5A29">
      <w:pPr>
        <w:pStyle w:val="32"/>
        <w:spacing w:line="360" w:lineRule="auto"/>
        <w:ind w:right="-180"/>
      </w:pPr>
      <w:r w:rsidRPr="005E4A73">
        <w:rPr>
          <w:bCs/>
        </w:rPr>
        <w:t xml:space="preserve">фактор </w:t>
      </w:r>
      <w:r w:rsidRPr="005E4A73">
        <w:rPr>
          <w:b/>
        </w:rPr>
        <w:t xml:space="preserve">Х </w:t>
      </w:r>
      <w:r w:rsidRPr="005E4A73">
        <w:rPr>
          <w:b/>
          <w:vertAlign w:val="subscript"/>
        </w:rPr>
        <w:t xml:space="preserve">8 </w:t>
      </w:r>
      <w:r w:rsidRPr="005E4A73">
        <w:rPr>
          <w:bCs/>
        </w:rPr>
        <w:t xml:space="preserve">─ виразка шлунка, для чоловіків хворих на рак шлунка, був </w:t>
      </w:r>
      <w:r w:rsidRPr="005E4A73">
        <w:rPr>
          <w:b/>
        </w:rPr>
        <w:t>найвищим</w:t>
      </w:r>
      <w:r w:rsidRPr="005E4A73">
        <w:rPr>
          <w:bCs/>
        </w:rPr>
        <w:t xml:space="preserve"> негативним фактором виникнення захворювання. Питома вага цього фактора склала </w:t>
      </w:r>
      <w:r w:rsidRPr="005E4A73">
        <w:t xml:space="preserve">─ </w:t>
      </w:r>
      <w:r w:rsidRPr="005E4A73">
        <w:rPr>
          <w:b/>
          <w:bCs/>
        </w:rPr>
        <w:t xml:space="preserve">Ј = </w:t>
      </w:r>
      <w:r w:rsidRPr="005E4A73">
        <w:t xml:space="preserve">─ 2,58. Серед осіб жіночої статі, що захворіли на рак шлунка, найвищим фактором був </w:t>
      </w:r>
    </w:p>
    <w:p w:rsidR="00CF5A29" w:rsidRPr="005E4A73" w:rsidRDefault="00CF5A29" w:rsidP="00CF5A29">
      <w:pPr>
        <w:pStyle w:val="32"/>
        <w:spacing w:line="360" w:lineRule="auto"/>
        <w:ind w:right="-180"/>
      </w:pPr>
      <w:r w:rsidRPr="005E4A73">
        <w:t xml:space="preserve">фактор </w:t>
      </w:r>
      <w:r w:rsidRPr="005E4A73">
        <w:rPr>
          <w:b/>
        </w:rPr>
        <w:t xml:space="preserve">Х </w:t>
      </w:r>
      <w:r w:rsidRPr="005E4A73">
        <w:rPr>
          <w:b/>
          <w:vertAlign w:val="subscript"/>
        </w:rPr>
        <w:t xml:space="preserve">16 </w:t>
      </w:r>
      <w:r w:rsidRPr="005E4A73">
        <w:rPr>
          <w:b/>
        </w:rPr>
        <w:t xml:space="preserve">─ </w:t>
      </w:r>
      <w:r w:rsidRPr="005E4A73">
        <w:t>г</w:t>
      </w:r>
      <w:r w:rsidRPr="005E4A73">
        <w:rPr>
          <w:bCs/>
        </w:rPr>
        <w:t>астрити різної етіології. Прогностичний коефіцієнт (</w:t>
      </w:r>
      <w:r w:rsidRPr="005E4A73">
        <w:rPr>
          <w:b/>
          <w:bCs/>
        </w:rPr>
        <w:t>Ј</w:t>
      </w:r>
      <w:r w:rsidRPr="005E4A73">
        <w:rPr>
          <w:bCs/>
        </w:rPr>
        <w:t>) його дорівнює (─ 0,69).</w:t>
      </w:r>
    </w:p>
    <w:p w:rsidR="00CF5A29" w:rsidRPr="005E4A73" w:rsidRDefault="00CF5A29" w:rsidP="00CF5A29">
      <w:pPr>
        <w:pStyle w:val="32"/>
        <w:spacing w:line="360" w:lineRule="auto"/>
        <w:ind w:right="-180"/>
      </w:pPr>
      <w:r w:rsidRPr="005E4A73">
        <w:t xml:space="preserve">Для жінок, хворих на рак шлунка фактор </w:t>
      </w:r>
      <w:r w:rsidRPr="005E4A73">
        <w:rPr>
          <w:b/>
        </w:rPr>
        <w:t xml:space="preserve">Х </w:t>
      </w:r>
      <w:r w:rsidRPr="005E4A73">
        <w:rPr>
          <w:b/>
          <w:vertAlign w:val="subscript"/>
        </w:rPr>
        <w:t xml:space="preserve">13 </w:t>
      </w:r>
      <w:r w:rsidRPr="005E4A73">
        <w:t xml:space="preserve">─ наявність супутньої патології зокрема цукрового діабету, стала більш агресивним, ніж для чоловіків, посідаючи так само досить високе негативне рангове місце. </w:t>
      </w:r>
      <w:r w:rsidRPr="005E4A73">
        <w:rPr>
          <w:bCs/>
        </w:rPr>
        <w:t xml:space="preserve">Прогностичний коефіцієнт </w:t>
      </w:r>
      <w:r w:rsidRPr="005E4A73">
        <w:t xml:space="preserve">─ </w:t>
      </w:r>
      <w:r w:rsidRPr="005E4A73">
        <w:rPr>
          <w:b/>
          <w:bCs/>
        </w:rPr>
        <w:t xml:space="preserve">Ј = </w:t>
      </w:r>
      <w:r w:rsidRPr="005E4A73">
        <w:t>+ 0,69.</w:t>
      </w:r>
    </w:p>
    <w:p w:rsidR="00CF5A29" w:rsidRPr="005E4A73" w:rsidRDefault="00CF5A29" w:rsidP="00CF5A29">
      <w:pPr>
        <w:pStyle w:val="32"/>
        <w:spacing w:line="360" w:lineRule="auto"/>
        <w:ind w:right="-180"/>
      </w:pPr>
      <w:r w:rsidRPr="005E4A73">
        <w:rPr>
          <w:bCs/>
        </w:rPr>
        <w:t xml:space="preserve">Фактор шкідливої звички </w:t>
      </w:r>
      <w:r w:rsidRPr="005E4A73">
        <w:rPr>
          <w:b/>
        </w:rPr>
        <w:t xml:space="preserve">Х </w:t>
      </w:r>
      <w:r w:rsidRPr="005E4A73">
        <w:rPr>
          <w:b/>
          <w:vertAlign w:val="subscript"/>
        </w:rPr>
        <w:t>1</w:t>
      </w:r>
      <w:r w:rsidRPr="005E4A73">
        <w:rPr>
          <w:b/>
        </w:rPr>
        <w:t xml:space="preserve"> </w:t>
      </w:r>
      <w:r w:rsidRPr="005E4A73">
        <w:rPr>
          <w:bCs/>
        </w:rPr>
        <w:t xml:space="preserve">─ тривале тютюнопаління ─ став так само високо негативним фактором для осіб чоловічої статі, посідаючи </w:t>
      </w:r>
      <w:r w:rsidRPr="005E4A73">
        <w:rPr>
          <w:b/>
        </w:rPr>
        <w:t>друге</w:t>
      </w:r>
      <w:r w:rsidRPr="005E4A73">
        <w:rPr>
          <w:bCs/>
        </w:rPr>
        <w:t xml:space="preserve"> рангове місце. У чоловіків цей фактор зустрічався частіше, ніж у жінок </w:t>
      </w:r>
      <w:r w:rsidRPr="005E4A73">
        <w:t xml:space="preserve">─ </w:t>
      </w:r>
      <w:r w:rsidRPr="005E4A73">
        <w:rPr>
          <w:b/>
          <w:bCs/>
        </w:rPr>
        <w:t xml:space="preserve">Ј = </w:t>
      </w:r>
      <w:r w:rsidRPr="005E4A73">
        <w:t>─ 2,54.</w:t>
      </w:r>
    </w:p>
    <w:p w:rsidR="00CF5A29" w:rsidRPr="005E4A73" w:rsidRDefault="00CF5A29" w:rsidP="00CF5A29">
      <w:pPr>
        <w:pStyle w:val="32"/>
        <w:spacing w:line="360" w:lineRule="auto"/>
        <w:ind w:right="-180"/>
      </w:pPr>
      <w:r w:rsidRPr="005E4A73">
        <w:rPr>
          <w:bCs/>
        </w:rPr>
        <w:t xml:space="preserve">Фактор «Поліпи шлунка» ─ </w:t>
      </w:r>
      <w:r w:rsidRPr="005E4A73">
        <w:rPr>
          <w:b/>
        </w:rPr>
        <w:t xml:space="preserve">Х </w:t>
      </w:r>
      <w:r w:rsidRPr="005E4A73">
        <w:rPr>
          <w:b/>
          <w:vertAlign w:val="subscript"/>
        </w:rPr>
        <w:t>15</w:t>
      </w:r>
      <w:r w:rsidRPr="005E4A73">
        <w:rPr>
          <w:b/>
        </w:rPr>
        <w:t xml:space="preserve"> </w:t>
      </w:r>
      <w:r w:rsidRPr="005E4A73">
        <w:rPr>
          <w:bCs/>
        </w:rPr>
        <w:t>─</w:t>
      </w:r>
      <w:r w:rsidRPr="005E4A73">
        <w:rPr>
          <w:b/>
        </w:rPr>
        <w:t xml:space="preserve"> </w:t>
      </w:r>
      <w:r w:rsidRPr="005E4A73">
        <w:rPr>
          <w:bCs/>
        </w:rPr>
        <w:t xml:space="preserve">посідав досить високе </w:t>
      </w:r>
      <w:r w:rsidRPr="005E4A73">
        <w:rPr>
          <w:b/>
        </w:rPr>
        <w:t>третє</w:t>
      </w:r>
      <w:r w:rsidRPr="005E4A73">
        <w:rPr>
          <w:bCs/>
        </w:rPr>
        <w:t xml:space="preserve"> рангове місце, імовірність виникнення ознаки склала ─ 0,5 одиниці у чоловіків і 0,09 ─ у жінок. Прогностичний коефіцієнт </w:t>
      </w:r>
      <w:r w:rsidRPr="005E4A73">
        <w:t xml:space="preserve">─ </w:t>
      </w:r>
      <w:r w:rsidRPr="005E4A73">
        <w:rPr>
          <w:b/>
          <w:bCs/>
        </w:rPr>
        <w:t xml:space="preserve">Ј = </w:t>
      </w:r>
      <w:r w:rsidRPr="005E4A73">
        <w:rPr>
          <w:bCs/>
        </w:rPr>
        <w:t>─</w:t>
      </w:r>
      <w:r w:rsidRPr="005E4A73">
        <w:t xml:space="preserve"> 1,71.</w:t>
      </w:r>
    </w:p>
    <w:p w:rsidR="00CF5A29" w:rsidRPr="005E4A73" w:rsidRDefault="00CF5A29" w:rsidP="00CF5A29">
      <w:pPr>
        <w:pStyle w:val="32"/>
        <w:tabs>
          <w:tab w:val="left" w:pos="-1440"/>
        </w:tabs>
        <w:spacing w:line="360" w:lineRule="auto"/>
        <w:ind w:right="-180"/>
        <w:rPr>
          <w:bCs/>
        </w:rPr>
      </w:pPr>
      <w:r w:rsidRPr="005E4A73">
        <w:rPr>
          <w:bCs/>
        </w:rPr>
        <w:t xml:space="preserve">Фактор </w:t>
      </w:r>
      <w:r w:rsidRPr="005E4A73">
        <w:rPr>
          <w:b/>
        </w:rPr>
        <w:t xml:space="preserve">Х </w:t>
      </w:r>
      <w:r w:rsidRPr="005E4A73">
        <w:rPr>
          <w:b/>
          <w:vertAlign w:val="subscript"/>
        </w:rPr>
        <w:t xml:space="preserve">2 </w:t>
      </w:r>
      <w:r w:rsidRPr="005E4A73">
        <w:rPr>
          <w:b/>
        </w:rPr>
        <w:t>,</w:t>
      </w:r>
      <w:r w:rsidRPr="005E4A73">
        <w:rPr>
          <w:bCs/>
        </w:rPr>
        <w:t xml:space="preserve"> щодо шкідливих звичок ─ «Зловживання алкоголем на тлі тютюнопаління», зустрічався у чоловіків з раком шлунка на багато частіше, ніж у жінок. Питома вага прогностичного коефіцієнта склав ─ </w:t>
      </w:r>
      <w:r w:rsidRPr="005E4A73">
        <w:rPr>
          <w:b/>
          <w:bCs/>
        </w:rPr>
        <w:t xml:space="preserve">Ј = </w:t>
      </w:r>
      <w:r w:rsidRPr="005E4A73">
        <w:rPr>
          <w:bCs/>
        </w:rPr>
        <w:t>─</w:t>
      </w:r>
      <w:r w:rsidRPr="005E4A73">
        <w:t xml:space="preserve"> 1,09. Рангове місце цього фактора </w:t>
      </w:r>
      <w:r w:rsidRPr="005E4A73">
        <w:rPr>
          <w:bCs/>
        </w:rPr>
        <w:t xml:space="preserve">─ </w:t>
      </w:r>
      <w:r w:rsidRPr="005E4A73">
        <w:rPr>
          <w:b/>
        </w:rPr>
        <w:t>четверте.</w:t>
      </w:r>
    </w:p>
    <w:p w:rsidR="00CF5A29" w:rsidRDefault="00CF5A29" w:rsidP="00CF5A29">
      <w:pPr>
        <w:pStyle w:val="32"/>
        <w:spacing w:line="360" w:lineRule="auto"/>
        <w:ind w:right="-180"/>
      </w:pPr>
      <w:r w:rsidRPr="005E4A73">
        <w:rPr>
          <w:bCs/>
        </w:rPr>
        <w:t xml:space="preserve">Оскільки чоловіки у 1,8 раза частіше страждали на </w:t>
      </w:r>
      <w:r>
        <w:rPr>
          <w:bCs/>
        </w:rPr>
        <w:t>РШ</w:t>
      </w:r>
      <w:r w:rsidRPr="005E4A73">
        <w:rPr>
          <w:bCs/>
        </w:rPr>
        <w:t xml:space="preserve">, ніж жінки, фактор статі  </w:t>
      </w:r>
      <w:r w:rsidRPr="005E4A73">
        <w:rPr>
          <w:b/>
        </w:rPr>
        <w:t xml:space="preserve">Х </w:t>
      </w:r>
      <w:r w:rsidRPr="005E4A73">
        <w:rPr>
          <w:b/>
          <w:vertAlign w:val="subscript"/>
        </w:rPr>
        <w:t xml:space="preserve">12 </w:t>
      </w:r>
      <w:r w:rsidRPr="005E4A73">
        <w:rPr>
          <w:b/>
        </w:rPr>
        <w:t xml:space="preserve">, </w:t>
      </w:r>
      <w:r w:rsidRPr="005E4A73">
        <w:rPr>
          <w:bCs/>
        </w:rPr>
        <w:t xml:space="preserve">посів </w:t>
      </w:r>
      <w:r w:rsidRPr="005E4A73">
        <w:rPr>
          <w:b/>
        </w:rPr>
        <w:t xml:space="preserve">п'яте </w:t>
      </w:r>
      <w:r w:rsidRPr="005E4A73">
        <w:rPr>
          <w:bCs/>
        </w:rPr>
        <w:t xml:space="preserve">за рангом місце ─ </w:t>
      </w:r>
      <w:r w:rsidRPr="005E4A73">
        <w:rPr>
          <w:b/>
          <w:bCs/>
        </w:rPr>
        <w:t xml:space="preserve">Ј = </w:t>
      </w:r>
      <w:r w:rsidRPr="005E4A73">
        <w:rPr>
          <w:bCs/>
        </w:rPr>
        <w:t>─</w:t>
      </w:r>
      <w:r w:rsidRPr="005E4A73">
        <w:t xml:space="preserve"> 0,60.</w:t>
      </w:r>
    </w:p>
    <w:p w:rsidR="00CF5A29" w:rsidRDefault="00CF5A29" w:rsidP="00CF5A29">
      <w:pPr>
        <w:pStyle w:val="32"/>
        <w:spacing w:line="360" w:lineRule="auto"/>
        <w:ind w:right="-180"/>
      </w:pPr>
    </w:p>
    <w:p w:rsidR="00CF5A29" w:rsidRDefault="00CF5A29" w:rsidP="00CF5A29">
      <w:pPr>
        <w:pStyle w:val="32"/>
        <w:spacing w:line="360" w:lineRule="auto"/>
        <w:ind w:right="-180"/>
      </w:pPr>
    </w:p>
    <w:p w:rsidR="00CF5A29" w:rsidRDefault="00CF5A29" w:rsidP="00CF5A29">
      <w:pPr>
        <w:pStyle w:val="32"/>
        <w:spacing w:line="360" w:lineRule="auto"/>
        <w:ind w:right="-180"/>
        <w:jc w:val="center"/>
      </w:pPr>
      <w:r>
        <w:t>12</w:t>
      </w:r>
    </w:p>
    <w:p w:rsidR="00CF5A29" w:rsidRPr="005E4A73" w:rsidRDefault="00CF5A29" w:rsidP="00CF5A29">
      <w:pPr>
        <w:pStyle w:val="32"/>
        <w:spacing w:line="360" w:lineRule="auto"/>
        <w:ind w:right="-180"/>
      </w:pPr>
      <w:r w:rsidRPr="005E4A73">
        <w:t xml:space="preserve">На </w:t>
      </w:r>
      <w:r w:rsidRPr="005E4A73">
        <w:rPr>
          <w:b/>
          <w:bCs/>
        </w:rPr>
        <w:t>шостому</w:t>
      </w:r>
      <w:r w:rsidRPr="005E4A73">
        <w:t xml:space="preserve"> місці був фактор</w:t>
      </w:r>
      <w:r w:rsidRPr="005E4A73">
        <w:rPr>
          <w:bCs/>
        </w:rPr>
        <w:t xml:space="preserve"> </w:t>
      </w:r>
      <w:r w:rsidRPr="005E4A73">
        <w:rPr>
          <w:b/>
        </w:rPr>
        <w:t xml:space="preserve">Х </w:t>
      </w:r>
      <w:r w:rsidRPr="005E4A73">
        <w:rPr>
          <w:b/>
          <w:vertAlign w:val="subscript"/>
        </w:rPr>
        <w:t xml:space="preserve">14 </w:t>
      </w:r>
      <w:r w:rsidRPr="005E4A73">
        <w:rPr>
          <w:bCs/>
        </w:rPr>
        <w:t xml:space="preserve">─ «Група крові А (II)». Чоловіків, що страждали на рак шлунка, з подібною групою крові було в 2,5 раза більше, ніж жінок. Прогностичний коефіцієнт склав </w:t>
      </w:r>
      <w:r w:rsidRPr="005E4A73">
        <w:t xml:space="preserve">─ </w:t>
      </w:r>
      <w:r w:rsidRPr="005E4A73">
        <w:rPr>
          <w:b/>
          <w:bCs/>
        </w:rPr>
        <w:t xml:space="preserve">Ј = </w:t>
      </w:r>
      <w:r w:rsidRPr="005E4A73">
        <w:rPr>
          <w:bCs/>
        </w:rPr>
        <w:t>─</w:t>
      </w:r>
      <w:r w:rsidRPr="005E4A73">
        <w:t xml:space="preserve"> 0,37.</w:t>
      </w:r>
    </w:p>
    <w:p w:rsidR="00CF5A29" w:rsidRPr="005E4A73" w:rsidRDefault="00CF5A29" w:rsidP="00CF5A29">
      <w:pPr>
        <w:pStyle w:val="32"/>
        <w:spacing w:line="360" w:lineRule="auto"/>
        <w:ind w:right="-180"/>
      </w:pPr>
      <w:r w:rsidRPr="005E4A73">
        <w:rPr>
          <w:b/>
          <w:bCs/>
        </w:rPr>
        <w:t>Сьоме і восьме</w:t>
      </w:r>
      <w:r w:rsidRPr="005E4A73">
        <w:t xml:space="preserve"> негативні рангові місця посідали два фактори </w:t>
      </w:r>
      <w:r w:rsidRPr="005E4A73">
        <w:rPr>
          <w:bCs/>
        </w:rPr>
        <w:t xml:space="preserve">─ </w:t>
      </w:r>
      <w:r w:rsidRPr="005E4A73">
        <w:rPr>
          <w:b/>
        </w:rPr>
        <w:t xml:space="preserve">Х </w:t>
      </w:r>
      <w:r w:rsidRPr="005E4A73">
        <w:rPr>
          <w:b/>
          <w:vertAlign w:val="subscript"/>
        </w:rPr>
        <w:t xml:space="preserve">10 </w:t>
      </w:r>
      <w:r w:rsidRPr="005E4A73">
        <w:rPr>
          <w:bCs/>
        </w:rPr>
        <w:t xml:space="preserve">─ «Операції на шлунку (раніше)» і </w:t>
      </w:r>
      <w:r w:rsidRPr="005E4A73">
        <w:rPr>
          <w:b/>
        </w:rPr>
        <w:t xml:space="preserve">Х </w:t>
      </w:r>
      <w:r w:rsidRPr="005E4A73">
        <w:rPr>
          <w:b/>
          <w:vertAlign w:val="subscript"/>
        </w:rPr>
        <w:t xml:space="preserve">9 </w:t>
      </w:r>
      <w:r w:rsidRPr="005E4A73">
        <w:rPr>
          <w:bCs/>
        </w:rPr>
        <w:t>─ «</w:t>
      </w:r>
      <w:r w:rsidRPr="005E4A73">
        <w:t xml:space="preserve">Підвищене вживання м'яса тваринних жирів </w:t>
      </w:r>
      <w:r w:rsidRPr="005E4A73">
        <w:rPr>
          <w:bCs/>
        </w:rPr>
        <w:t>і борошняних виробів»</w:t>
      </w:r>
      <w:r w:rsidRPr="005E4A73">
        <w:t xml:space="preserve">─ </w:t>
      </w:r>
      <w:r w:rsidRPr="005E4A73">
        <w:rPr>
          <w:b/>
          <w:bCs/>
        </w:rPr>
        <w:t xml:space="preserve">Ј = </w:t>
      </w:r>
      <w:r w:rsidRPr="005E4A73">
        <w:rPr>
          <w:bCs/>
        </w:rPr>
        <w:t>─</w:t>
      </w:r>
      <w:r w:rsidRPr="005E4A73">
        <w:t xml:space="preserve"> 0,34. Для захворілих чоловіків ці фактори не перевищували середнього значення (</w:t>
      </w:r>
      <w:r w:rsidRPr="005E4A73">
        <w:rPr>
          <w:b/>
          <w:bCs/>
        </w:rPr>
        <w:t>Ј=</w:t>
      </w:r>
      <w:r w:rsidRPr="005E4A73">
        <w:t>─ 0,60) питомої ваги прогностичного коефіцієнта.</w:t>
      </w:r>
    </w:p>
    <w:p w:rsidR="00CF5A29" w:rsidRPr="005E4A73" w:rsidRDefault="00CF5A29" w:rsidP="00CF5A29">
      <w:pPr>
        <w:pStyle w:val="32"/>
        <w:spacing w:line="360" w:lineRule="auto"/>
        <w:ind w:right="-180"/>
      </w:pPr>
      <w:r w:rsidRPr="005E4A73">
        <w:rPr>
          <w:bCs/>
        </w:rPr>
        <w:t xml:space="preserve">Фактор </w:t>
      </w:r>
      <w:r w:rsidRPr="005E4A73">
        <w:rPr>
          <w:b/>
        </w:rPr>
        <w:t xml:space="preserve">Х </w:t>
      </w:r>
      <w:r w:rsidRPr="005E4A73">
        <w:rPr>
          <w:b/>
          <w:vertAlign w:val="subscript"/>
        </w:rPr>
        <w:t>4</w:t>
      </w:r>
      <w:r w:rsidRPr="005E4A73">
        <w:rPr>
          <w:vertAlign w:val="subscript"/>
        </w:rPr>
        <w:t xml:space="preserve"> </w:t>
      </w:r>
      <w:r w:rsidRPr="005E4A73">
        <w:t xml:space="preserve"> − «Їжа всухом'ятку»</w:t>
      </w:r>
      <w:r w:rsidRPr="005E4A73">
        <w:rPr>
          <w:bCs/>
        </w:rPr>
        <w:t xml:space="preserve"> ─ посів </w:t>
      </w:r>
      <w:r w:rsidRPr="005E4A73">
        <w:rPr>
          <w:b/>
        </w:rPr>
        <w:t>дев'яте</w:t>
      </w:r>
      <w:r w:rsidRPr="005E4A73">
        <w:rPr>
          <w:bCs/>
        </w:rPr>
        <w:t xml:space="preserve"> місце. Прогностичний коефіцієнт фактора склав </w:t>
      </w:r>
      <w:r w:rsidRPr="005E4A73">
        <w:t xml:space="preserve">─ </w:t>
      </w:r>
      <w:r w:rsidRPr="005E4A73">
        <w:rPr>
          <w:b/>
          <w:bCs/>
        </w:rPr>
        <w:t xml:space="preserve">Ј = </w:t>
      </w:r>
      <w:r w:rsidRPr="005E4A73">
        <w:rPr>
          <w:bCs/>
        </w:rPr>
        <w:t>─</w:t>
      </w:r>
      <w:r w:rsidRPr="005E4A73">
        <w:t xml:space="preserve"> 0,16.</w:t>
      </w:r>
    </w:p>
    <w:p w:rsidR="00CF5A29" w:rsidRPr="005E4A73" w:rsidRDefault="00CF5A29" w:rsidP="00CF5A29">
      <w:pPr>
        <w:pStyle w:val="32"/>
        <w:spacing w:line="360" w:lineRule="auto"/>
        <w:ind w:right="-180"/>
      </w:pPr>
      <w:r w:rsidRPr="005E4A73">
        <w:t>Фактор</w:t>
      </w:r>
      <w:r w:rsidRPr="005E4A73">
        <w:rPr>
          <w:bCs/>
        </w:rPr>
        <w:t xml:space="preserve"> </w:t>
      </w:r>
      <w:r w:rsidRPr="005E4A73">
        <w:rPr>
          <w:b/>
        </w:rPr>
        <w:t xml:space="preserve">Х </w:t>
      </w:r>
      <w:r w:rsidRPr="005E4A73">
        <w:rPr>
          <w:b/>
          <w:vertAlign w:val="subscript"/>
        </w:rPr>
        <w:t xml:space="preserve">18 </w:t>
      </w:r>
      <w:r w:rsidRPr="005E4A73">
        <w:rPr>
          <w:bCs/>
        </w:rPr>
        <w:t>─ «</w:t>
      </w:r>
      <w:r w:rsidRPr="005E4A73">
        <w:t>Прийом їжі після 22-ї години</w:t>
      </w:r>
      <w:r w:rsidRPr="005E4A73">
        <w:rPr>
          <w:bCs/>
        </w:rPr>
        <w:t xml:space="preserve">», негативно позначився на розвитку раку шлунка в осіб чоловічої статі ─ </w:t>
      </w:r>
      <w:r w:rsidRPr="005E4A73">
        <w:rPr>
          <w:b/>
          <w:bCs/>
        </w:rPr>
        <w:t xml:space="preserve">Ј = </w:t>
      </w:r>
      <w:r w:rsidRPr="005E4A73">
        <w:rPr>
          <w:bCs/>
        </w:rPr>
        <w:t>─</w:t>
      </w:r>
      <w:r w:rsidRPr="005E4A73">
        <w:t xml:space="preserve"> 0,13. Цей фактор посів </w:t>
      </w:r>
      <w:r w:rsidRPr="005E4A73">
        <w:rPr>
          <w:b/>
          <w:bCs/>
        </w:rPr>
        <w:t xml:space="preserve">десяте </w:t>
      </w:r>
      <w:r w:rsidRPr="005E4A73">
        <w:t>рангове місце.</w:t>
      </w:r>
    </w:p>
    <w:p w:rsidR="00CF5A29" w:rsidRDefault="00CF5A29" w:rsidP="00CF5A29">
      <w:pPr>
        <w:pStyle w:val="32"/>
        <w:spacing w:line="360" w:lineRule="auto"/>
        <w:ind w:right="-180"/>
      </w:pPr>
      <w:r w:rsidRPr="005E4A73">
        <w:rPr>
          <w:bCs/>
        </w:rPr>
        <w:lastRenderedPageBreak/>
        <w:t xml:space="preserve">Фактори </w:t>
      </w:r>
      <w:r w:rsidRPr="005E4A73">
        <w:rPr>
          <w:b/>
        </w:rPr>
        <w:t xml:space="preserve">Х </w:t>
      </w:r>
      <w:r w:rsidRPr="005E4A73">
        <w:rPr>
          <w:b/>
          <w:vertAlign w:val="subscript"/>
        </w:rPr>
        <w:t xml:space="preserve">7 </w:t>
      </w:r>
      <w:r w:rsidRPr="005E4A73">
        <w:rPr>
          <w:bCs/>
        </w:rPr>
        <w:t>─ «Нерегулярність прийому їжі»</w:t>
      </w:r>
      <w:r w:rsidRPr="005E4A73">
        <w:rPr>
          <w:b/>
          <w:vertAlign w:val="subscript"/>
        </w:rPr>
        <w:t xml:space="preserve"> </w:t>
      </w:r>
      <w:r w:rsidRPr="005E4A73">
        <w:rPr>
          <w:bCs/>
        </w:rPr>
        <w:t xml:space="preserve">і ─ </w:t>
      </w:r>
      <w:r w:rsidRPr="005E4A73">
        <w:rPr>
          <w:b/>
        </w:rPr>
        <w:t xml:space="preserve">Х </w:t>
      </w:r>
      <w:r w:rsidRPr="005E4A73">
        <w:rPr>
          <w:b/>
          <w:vertAlign w:val="subscript"/>
        </w:rPr>
        <w:t xml:space="preserve">11 </w:t>
      </w:r>
      <w:r w:rsidRPr="005E4A73">
        <w:rPr>
          <w:bCs/>
        </w:rPr>
        <w:t>─ «</w:t>
      </w:r>
      <w:r w:rsidRPr="005E4A73">
        <w:t>Вік пацієнтів 60 років і більше</w:t>
      </w:r>
      <w:r w:rsidRPr="005E4A73">
        <w:rPr>
          <w:bCs/>
        </w:rPr>
        <w:t xml:space="preserve">», прогностичний коефіцієнт яких склав </w:t>
      </w:r>
      <w:r w:rsidRPr="005E4A73">
        <w:t xml:space="preserve">─ </w:t>
      </w:r>
      <w:r w:rsidRPr="005E4A73">
        <w:rPr>
          <w:b/>
          <w:bCs/>
        </w:rPr>
        <w:t xml:space="preserve">Ј = </w:t>
      </w:r>
      <w:r w:rsidRPr="005E4A73">
        <w:rPr>
          <w:bCs/>
        </w:rPr>
        <w:t>─</w:t>
      </w:r>
      <w:r w:rsidRPr="005E4A73">
        <w:t xml:space="preserve"> 0,09, посіли </w:t>
      </w:r>
      <w:r w:rsidRPr="005E4A73">
        <w:rPr>
          <w:b/>
          <w:bCs/>
        </w:rPr>
        <w:t>одинадцяте і дванадцяте</w:t>
      </w:r>
      <w:r w:rsidRPr="005E4A73">
        <w:t xml:space="preserve"> рангові місця.</w:t>
      </w:r>
    </w:p>
    <w:p w:rsidR="00CF5A29" w:rsidRPr="00D515FB" w:rsidRDefault="00CF5A29" w:rsidP="00CF5A29">
      <w:pPr>
        <w:pStyle w:val="32"/>
        <w:spacing w:line="360" w:lineRule="auto"/>
        <w:ind w:right="-180"/>
      </w:pPr>
      <w:r w:rsidRPr="005E4A73">
        <w:t xml:space="preserve">На </w:t>
      </w:r>
      <w:r w:rsidRPr="005E4A73">
        <w:rPr>
          <w:b/>
          <w:bCs/>
        </w:rPr>
        <w:t xml:space="preserve">тринадцятому і чотирнадцятому </w:t>
      </w:r>
      <w:r w:rsidRPr="005E4A73">
        <w:t>місцях − фактори</w:t>
      </w:r>
      <w:r w:rsidRPr="005E4A73">
        <w:rPr>
          <w:bCs/>
        </w:rPr>
        <w:t xml:space="preserve"> </w:t>
      </w:r>
      <w:r w:rsidRPr="005E4A73">
        <w:rPr>
          <w:b/>
        </w:rPr>
        <w:t xml:space="preserve">Х </w:t>
      </w:r>
      <w:r w:rsidRPr="005E4A73">
        <w:rPr>
          <w:b/>
          <w:vertAlign w:val="subscript"/>
        </w:rPr>
        <w:t xml:space="preserve">19 </w:t>
      </w:r>
      <w:r w:rsidRPr="005E4A73">
        <w:rPr>
          <w:bCs/>
        </w:rPr>
        <w:t xml:space="preserve">─ і </w:t>
      </w:r>
      <w:r w:rsidRPr="005E4A73">
        <w:rPr>
          <w:b/>
        </w:rPr>
        <w:t xml:space="preserve">Х </w:t>
      </w:r>
      <w:r w:rsidRPr="005E4A73">
        <w:rPr>
          <w:b/>
          <w:vertAlign w:val="subscript"/>
        </w:rPr>
        <w:t xml:space="preserve">5 </w:t>
      </w:r>
      <w:r w:rsidRPr="005E4A73">
        <w:rPr>
          <w:bCs/>
        </w:rPr>
        <w:t>─ «</w:t>
      </w:r>
      <w:r w:rsidRPr="005E4A73">
        <w:t>Гелікобактерна інфекція</w:t>
      </w:r>
      <w:r w:rsidRPr="005E4A73">
        <w:rPr>
          <w:bCs/>
        </w:rPr>
        <w:t>» і «</w:t>
      </w:r>
      <w:r w:rsidRPr="005E4A73">
        <w:t>Захоплення копченостями і гострими приправами</w:t>
      </w:r>
      <w:r w:rsidRPr="005E4A73">
        <w:rPr>
          <w:bCs/>
        </w:rPr>
        <w:t>» однаково зустрічався у чоловіків і жінок, що захворіли.</w:t>
      </w:r>
      <w:r w:rsidRPr="005E4A73">
        <w:t xml:space="preserve"> </w:t>
      </w:r>
      <w:r w:rsidRPr="005E4A73">
        <w:rPr>
          <w:bCs/>
        </w:rPr>
        <w:t>Рангові місця їх були визначені в таблиці 2.</w:t>
      </w:r>
    </w:p>
    <w:p w:rsidR="00CF5A29" w:rsidRPr="005E4A73" w:rsidRDefault="00CF5A29" w:rsidP="00CF5A29">
      <w:pPr>
        <w:pStyle w:val="32"/>
        <w:spacing w:line="360" w:lineRule="auto"/>
        <w:ind w:right="-180"/>
      </w:pPr>
      <w:r w:rsidRPr="005E4A73">
        <w:rPr>
          <w:b/>
          <w:bCs/>
        </w:rPr>
        <w:t>П'ятнадцяте і шістнадцяте</w:t>
      </w:r>
      <w:r w:rsidRPr="005E4A73">
        <w:t xml:space="preserve"> місця зайняли фактори </w:t>
      </w:r>
      <w:r w:rsidRPr="005E4A73">
        <w:rPr>
          <w:b/>
        </w:rPr>
        <w:t xml:space="preserve">Х </w:t>
      </w:r>
      <w:r w:rsidRPr="005E4A73">
        <w:rPr>
          <w:b/>
          <w:vertAlign w:val="subscript"/>
        </w:rPr>
        <w:t xml:space="preserve">6 </w:t>
      </w:r>
      <w:r w:rsidRPr="005E4A73">
        <w:rPr>
          <w:bCs/>
        </w:rPr>
        <w:t>─ «</w:t>
      </w:r>
      <w:r w:rsidRPr="005E4A73">
        <w:t>Переважання солоних продуктів</w:t>
      </w:r>
      <w:r w:rsidRPr="005E4A73">
        <w:rPr>
          <w:bCs/>
        </w:rPr>
        <w:t xml:space="preserve">» і </w:t>
      </w:r>
      <w:r w:rsidRPr="005E4A73">
        <w:rPr>
          <w:b/>
        </w:rPr>
        <w:t xml:space="preserve">Х </w:t>
      </w:r>
      <w:r w:rsidRPr="005E4A73">
        <w:rPr>
          <w:b/>
          <w:vertAlign w:val="subscript"/>
        </w:rPr>
        <w:t xml:space="preserve">17 </w:t>
      </w:r>
      <w:r w:rsidRPr="005E4A73">
        <w:rPr>
          <w:bCs/>
        </w:rPr>
        <w:t xml:space="preserve">─ «Спадкові хвороби шлунка в найближчих родичів». Питома вага прогностичного коефіцієнта склала ─ </w:t>
      </w:r>
      <w:r w:rsidRPr="005E4A73">
        <w:rPr>
          <w:b/>
          <w:bCs/>
        </w:rPr>
        <w:t xml:space="preserve">Ј = </w:t>
      </w:r>
      <w:r w:rsidRPr="005E4A73">
        <w:rPr>
          <w:bCs/>
        </w:rPr>
        <w:t>─</w:t>
      </w:r>
      <w:r w:rsidRPr="005E4A73">
        <w:t xml:space="preserve"> 0,06.</w:t>
      </w:r>
    </w:p>
    <w:p w:rsidR="00CF5A29" w:rsidRPr="005E4A73" w:rsidRDefault="00CF5A29" w:rsidP="00CF5A29">
      <w:pPr>
        <w:pStyle w:val="32"/>
        <w:spacing w:line="360" w:lineRule="auto"/>
        <w:ind w:right="-180"/>
      </w:pPr>
      <w:r w:rsidRPr="005E4A73">
        <w:t>Фактор</w:t>
      </w:r>
      <w:r w:rsidRPr="005E4A73">
        <w:rPr>
          <w:bCs/>
        </w:rPr>
        <w:t xml:space="preserve"> </w:t>
      </w:r>
      <w:r w:rsidRPr="005E4A73">
        <w:rPr>
          <w:b/>
        </w:rPr>
        <w:t xml:space="preserve">Х </w:t>
      </w:r>
      <w:r w:rsidRPr="005E4A73">
        <w:rPr>
          <w:b/>
          <w:vertAlign w:val="subscript"/>
        </w:rPr>
        <w:t xml:space="preserve">3 </w:t>
      </w:r>
      <w:r w:rsidRPr="005E4A73">
        <w:rPr>
          <w:bCs/>
        </w:rPr>
        <w:t>─ «</w:t>
      </w:r>
      <w:r w:rsidRPr="005E4A73">
        <w:t>Вживання дуже гарячих рідин і продуктів</w:t>
      </w:r>
      <w:r w:rsidRPr="005E4A73">
        <w:rPr>
          <w:bCs/>
        </w:rPr>
        <w:t>» (</w:t>
      </w:r>
      <w:r w:rsidRPr="005E4A73">
        <w:rPr>
          <w:b/>
          <w:bCs/>
        </w:rPr>
        <w:t xml:space="preserve">Ј = </w:t>
      </w:r>
      <w:r w:rsidRPr="005E4A73">
        <w:rPr>
          <w:bCs/>
        </w:rPr>
        <w:t>─</w:t>
      </w:r>
      <w:r w:rsidRPr="005E4A73">
        <w:t xml:space="preserve"> 0,02),посів </w:t>
      </w:r>
      <w:r w:rsidRPr="005E4A73">
        <w:rPr>
          <w:b/>
        </w:rPr>
        <w:t xml:space="preserve">сімнадцяте </w:t>
      </w:r>
      <w:r w:rsidRPr="005E4A73">
        <w:t>рангове місце. У чоловіків цей фактор зустрічався трохи частіше, ніж у жінок.</w:t>
      </w:r>
    </w:p>
    <w:p w:rsidR="00CF5A29" w:rsidRDefault="00CF5A29" w:rsidP="00CF5A29">
      <w:pPr>
        <w:pStyle w:val="32"/>
        <w:spacing w:line="360" w:lineRule="auto"/>
        <w:ind w:right="-180"/>
        <w:rPr>
          <w:bCs/>
        </w:rPr>
      </w:pPr>
      <w:r w:rsidRPr="005E4A73">
        <w:t>Фактор</w:t>
      </w:r>
      <w:r w:rsidRPr="005E4A73">
        <w:rPr>
          <w:bCs/>
        </w:rPr>
        <w:t xml:space="preserve"> </w:t>
      </w:r>
      <w:r w:rsidRPr="005E4A73">
        <w:rPr>
          <w:b/>
        </w:rPr>
        <w:t xml:space="preserve">Х </w:t>
      </w:r>
      <w:r w:rsidRPr="005E4A73">
        <w:rPr>
          <w:b/>
          <w:vertAlign w:val="subscript"/>
        </w:rPr>
        <w:t xml:space="preserve">20 </w:t>
      </w:r>
      <w:r w:rsidRPr="005E4A73">
        <w:rPr>
          <w:bCs/>
        </w:rPr>
        <w:t xml:space="preserve">─ «Нульова і знижена кислотність шлункового соку» у жінок зустрічався частіше, ніж у чоловіків. У жінок цей фактор відігравав негативну роль у розвитку </w:t>
      </w:r>
      <w:r>
        <w:rPr>
          <w:bCs/>
        </w:rPr>
        <w:t>РШ</w:t>
      </w:r>
      <w:r w:rsidRPr="005E4A73">
        <w:rPr>
          <w:bCs/>
        </w:rPr>
        <w:t xml:space="preserve"> частіше, ніж у чоловіків, посідаючи </w:t>
      </w:r>
      <w:r w:rsidRPr="005E4A73">
        <w:rPr>
          <w:b/>
        </w:rPr>
        <w:t>третє</w:t>
      </w:r>
      <w:r w:rsidRPr="005E4A73">
        <w:rPr>
          <w:bCs/>
        </w:rPr>
        <w:t xml:space="preserve"> рангове місце. Питома вага прогностичного коефіцієнта для осіб жіночої статі склала ─ </w:t>
      </w:r>
      <w:r w:rsidRPr="005E4A73">
        <w:rPr>
          <w:b/>
          <w:bCs/>
        </w:rPr>
        <w:t xml:space="preserve">Ј = </w:t>
      </w:r>
      <w:r w:rsidRPr="005E4A73">
        <w:rPr>
          <w:bCs/>
        </w:rPr>
        <w:t>+</w:t>
      </w:r>
      <w:r w:rsidRPr="005E4A73">
        <w:t xml:space="preserve"> 0,56.</w:t>
      </w:r>
    </w:p>
    <w:p w:rsidR="00CF5A29" w:rsidRPr="009D0EC7" w:rsidRDefault="00CF5A29" w:rsidP="00CF5A29">
      <w:pPr>
        <w:pStyle w:val="32"/>
        <w:spacing w:line="360" w:lineRule="auto"/>
        <w:ind w:right="-180"/>
        <w:rPr>
          <w:bCs/>
        </w:rPr>
      </w:pPr>
      <w:r w:rsidRPr="005E4A73">
        <w:t>Фактор</w:t>
      </w:r>
      <w:r w:rsidRPr="005E4A73">
        <w:rPr>
          <w:bCs/>
        </w:rPr>
        <w:t xml:space="preserve"> </w:t>
      </w:r>
      <w:r w:rsidRPr="005E4A73">
        <w:rPr>
          <w:b/>
        </w:rPr>
        <w:t xml:space="preserve">Х </w:t>
      </w:r>
      <w:r w:rsidRPr="005E4A73">
        <w:rPr>
          <w:b/>
          <w:vertAlign w:val="subscript"/>
        </w:rPr>
        <w:t xml:space="preserve">21 </w:t>
      </w:r>
      <w:r w:rsidRPr="005E4A73">
        <w:rPr>
          <w:bCs/>
        </w:rPr>
        <w:t>─ «</w:t>
      </w:r>
      <w:r w:rsidRPr="005E4A73">
        <w:t>Робота в умовах шкідливого виробництва</w:t>
      </w:r>
      <w:r w:rsidRPr="005E4A73">
        <w:rPr>
          <w:bCs/>
        </w:rPr>
        <w:t xml:space="preserve">» є на </w:t>
      </w:r>
      <w:r w:rsidRPr="005E4A73">
        <w:rPr>
          <w:b/>
        </w:rPr>
        <w:t xml:space="preserve">четвертому </w:t>
      </w:r>
      <w:r w:rsidRPr="005E4A73">
        <w:rPr>
          <w:bCs/>
        </w:rPr>
        <w:t>ранговому</w:t>
      </w:r>
      <w:r w:rsidRPr="005E4A73">
        <w:rPr>
          <w:b/>
        </w:rPr>
        <w:t xml:space="preserve"> </w:t>
      </w:r>
      <w:r w:rsidRPr="005E4A73">
        <w:rPr>
          <w:bCs/>
        </w:rPr>
        <w:t>місці, на захворілих жінок негативний вплив фактора був більшим, ніж на чоловіків. Прогностичний коефіцієнт (</w:t>
      </w:r>
      <w:r w:rsidRPr="005E4A73">
        <w:rPr>
          <w:b/>
          <w:bCs/>
        </w:rPr>
        <w:t>Ј</w:t>
      </w:r>
      <w:r w:rsidRPr="005E4A73">
        <w:rPr>
          <w:bCs/>
        </w:rPr>
        <w:t>) його − (+ 0,35).</w:t>
      </w:r>
    </w:p>
    <w:p w:rsidR="00CF5A29" w:rsidRPr="005E4A73" w:rsidRDefault="00CF5A29" w:rsidP="00CF5A29">
      <w:pPr>
        <w:pStyle w:val="32"/>
        <w:spacing w:line="360" w:lineRule="auto"/>
        <w:ind w:right="-180"/>
        <w:rPr>
          <w:bCs/>
        </w:rPr>
      </w:pPr>
      <w:r w:rsidRPr="005E4A73">
        <w:t>Фактор</w:t>
      </w:r>
      <w:r w:rsidRPr="005E4A73">
        <w:rPr>
          <w:bCs/>
        </w:rPr>
        <w:t xml:space="preserve"> </w:t>
      </w:r>
      <w:r w:rsidRPr="005E4A73">
        <w:rPr>
          <w:b/>
        </w:rPr>
        <w:t xml:space="preserve">Х </w:t>
      </w:r>
      <w:r w:rsidRPr="005E4A73">
        <w:rPr>
          <w:b/>
          <w:vertAlign w:val="subscript"/>
        </w:rPr>
        <w:t xml:space="preserve">22 </w:t>
      </w:r>
      <w:r w:rsidRPr="005E4A73">
        <w:rPr>
          <w:bCs/>
        </w:rPr>
        <w:t xml:space="preserve">─ «Щоденний прийом смажених продуктів». Частота цього фактора переважала в осіб жіночої статі, ніж в осіб − чоловічої, посідаючи </w:t>
      </w:r>
      <w:r w:rsidRPr="005E4A73">
        <w:rPr>
          <w:b/>
        </w:rPr>
        <w:t xml:space="preserve">п'яте </w:t>
      </w:r>
      <w:r w:rsidRPr="005E4A73">
        <w:rPr>
          <w:bCs/>
        </w:rPr>
        <w:t>рангове місце.</w:t>
      </w:r>
    </w:p>
    <w:p w:rsidR="00CF5A29" w:rsidRDefault="00CF5A29" w:rsidP="00CF5A29">
      <w:pPr>
        <w:pStyle w:val="32"/>
        <w:tabs>
          <w:tab w:val="left" w:pos="-1980"/>
        </w:tabs>
        <w:spacing w:line="360" w:lineRule="auto"/>
        <w:ind w:right="97"/>
      </w:pPr>
      <w:r w:rsidRPr="005E4A73">
        <w:t xml:space="preserve">Виявлено незначні розбіжності факторів ризику </w:t>
      </w:r>
      <w:r>
        <w:t>РШ</w:t>
      </w:r>
      <w:r w:rsidRPr="005E4A73">
        <w:t xml:space="preserve"> в групі чоловіків і жінок. У жінок третє рангове місце посідає робота в умовах шкідливого виробництва (хімічна промисловість), а в чоловіків на третьому місці був аліментарний фактор. Наявність НР інфекції у жінок </w:t>
      </w:r>
    </w:p>
    <w:p w:rsidR="00CF5A29" w:rsidRDefault="00CF5A29" w:rsidP="00CF5A29">
      <w:pPr>
        <w:pStyle w:val="32"/>
        <w:tabs>
          <w:tab w:val="left" w:pos="-1980"/>
        </w:tabs>
        <w:spacing w:line="360" w:lineRule="auto"/>
        <w:ind w:right="97"/>
        <w:jc w:val="center"/>
      </w:pPr>
      <w:r>
        <w:t>13</w:t>
      </w:r>
    </w:p>
    <w:p w:rsidR="00CF5A29" w:rsidRPr="005E4A73" w:rsidRDefault="00CF5A29" w:rsidP="00CF5A29">
      <w:pPr>
        <w:pStyle w:val="32"/>
        <w:tabs>
          <w:tab w:val="left" w:pos="-1980"/>
        </w:tabs>
        <w:spacing w:line="360" w:lineRule="auto"/>
        <w:ind w:right="97"/>
      </w:pPr>
      <w:r w:rsidRPr="005E4A73">
        <w:t>виявилася на 12 місці, порівняно з 6-м у чоловіків. Хоча в цілому є досить висока кореляція факторів незалежно від статі, тих, хто захворів = ─ 0,71</w:t>
      </w:r>
    </w:p>
    <w:p w:rsidR="00CF5A29" w:rsidRPr="005E4A73" w:rsidRDefault="00CF5A29" w:rsidP="00CF5A29">
      <w:pPr>
        <w:pStyle w:val="32"/>
        <w:spacing w:line="360" w:lineRule="auto"/>
        <w:ind w:right="97"/>
        <w:rPr>
          <w:bCs/>
        </w:rPr>
      </w:pPr>
      <w:r w:rsidRPr="005E4A73">
        <w:rPr>
          <w:bCs/>
        </w:rPr>
        <w:t xml:space="preserve">За отриманими результатами рангового співвідношення факторів ризику, нам вдалось установити, що в чоловіків і жінок зі злоякісним ураженням шлунка, багато негативних факторів збігаються, маючи однакові рангові місця, або майже збігаються, тобто, не мають різких розбіжностей у порядковій побудові рангу. Як у чоловіків, так і у жінок фактори ─ </w:t>
      </w:r>
      <w:r w:rsidRPr="005E4A73">
        <w:rPr>
          <w:b/>
        </w:rPr>
        <w:t xml:space="preserve">Х </w:t>
      </w:r>
      <w:r w:rsidRPr="005E4A73">
        <w:rPr>
          <w:b/>
          <w:vertAlign w:val="subscript"/>
        </w:rPr>
        <w:t xml:space="preserve">15 </w:t>
      </w:r>
      <w:r w:rsidRPr="005E4A73">
        <w:rPr>
          <w:bCs/>
        </w:rPr>
        <w:t xml:space="preserve">─ </w:t>
      </w:r>
      <w:r w:rsidRPr="005E4A73">
        <w:rPr>
          <w:b/>
        </w:rPr>
        <w:t xml:space="preserve">Х </w:t>
      </w:r>
      <w:r w:rsidRPr="005E4A73">
        <w:rPr>
          <w:b/>
          <w:vertAlign w:val="subscript"/>
        </w:rPr>
        <w:t xml:space="preserve">8 </w:t>
      </w:r>
      <w:r w:rsidRPr="005E4A73">
        <w:rPr>
          <w:bCs/>
        </w:rPr>
        <w:t xml:space="preserve">─ </w:t>
      </w:r>
      <w:r w:rsidRPr="005E4A73">
        <w:rPr>
          <w:b/>
        </w:rPr>
        <w:t xml:space="preserve">Х </w:t>
      </w:r>
      <w:r w:rsidRPr="005E4A73">
        <w:rPr>
          <w:b/>
          <w:vertAlign w:val="subscript"/>
        </w:rPr>
        <w:t xml:space="preserve">7 </w:t>
      </w:r>
      <w:r w:rsidRPr="005E4A73">
        <w:rPr>
          <w:bCs/>
        </w:rPr>
        <w:t xml:space="preserve">─ </w:t>
      </w:r>
      <w:r w:rsidRPr="005E4A73">
        <w:rPr>
          <w:b/>
        </w:rPr>
        <w:t xml:space="preserve">Х </w:t>
      </w:r>
      <w:r w:rsidRPr="005E4A73">
        <w:rPr>
          <w:b/>
          <w:vertAlign w:val="subscript"/>
        </w:rPr>
        <w:t xml:space="preserve">4 </w:t>
      </w:r>
      <w:r w:rsidRPr="005E4A73">
        <w:rPr>
          <w:bCs/>
        </w:rPr>
        <w:t>─ збіглись у низці окремих факторів. Інші фактори мали невеликі розбіжності.</w:t>
      </w:r>
    </w:p>
    <w:p w:rsidR="00CF5A29" w:rsidRPr="00917108" w:rsidRDefault="00CF5A29" w:rsidP="00CF5A29">
      <w:pPr>
        <w:spacing w:line="360" w:lineRule="auto"/>
        <w:ind w:right="97" w:firstLine="540"/>
        <w:jc w:val="both"/>
        <w:rPr>
          <w:bCs/>
        </w:rPr>
      </w:pPr>
      <w:r w:rsidRPr="005E4A73">
        <w:t>Кореляційна оцінка за критерієм Спірмана (ح</w:t>
      </w:r>
      <w:r w:rsidRPr="005E4A73">
        <w:rPr>
          <w:vertAlign w:val="subscript"/>
        </w:rPr>
        <w:t>s</w:t>
      </w:r>
      <w:r w:rsidRPr="005E4A73">
        <w:t xml:space="preserve">) мала дуже високу подібність впливу факторів ризику на розвиток </w:t>
      </w:r>
      <w:r>
        <w:t>РШ</w:t>
      </w:r>
      <w:r w:rsidRPr="005E4A73">
        <w:t xml:space="preserve"> як для чоловіків, так і для жінок</w:t>
      </w:r>
      <w:r w:rsidRPr="005E4A73">
        <w:rPr>
          <w:b/>
        </w:rPr>
        <w:t>:</w:t>
      </w:r>
      <w:r>
        <w:rPr>
          <w:bCs/>
        </w:rPr>
        <w:t xml:space="preserve"> </w:t>
      </w:r>
      <w:r w:rsidRPr="005E4A73">
        <w:t>ح</w:t>
      </w:r>
      <w:r w:rsidRPr="005E4A73">
        <w:rPr>
          <w:vertAlign w:val="subscript"/>
        </w:rPr>
        <w:t xml:space="preserve">s </w:t>
      </w:r>
      <w:r w:rsidRPr="005E4A73">
        <w:t xml:space="preserve">= </w:t>
      </w:r>
      <w:r w:rsidRPr="005E4A73">
        <w:rPr>
          <w:bCs/>
        </w:rPr>
        <w:t>─ 0,71</w:t>
      </w:r>
      <w:r>
        <w:rPr>
          <w:bCs/>
        </w:rPr>
        <w:t>.</w:t>
      </w:r>
    </w:p>
    <w:p w:rsidR="00CF5A29" w:rsidRPr="005E4A73" w:rsidRDefault="00CF5A29" w:rsidP="00CF5A29">
      <w:pPr>
        <w:spacing w:line="360" w:lineRule="auto"/>
        <w:ind w:firstLine="540"/>
        <w:jc w:val="both"/>
      </w:pPr>
      <w:r w:rsidRPr="005E4A73">
        <w:t xml:space="preserve">Варто підкреслити, що подібна оцінка факторів є оригінальною, оскільки вперше стало можливим об'єктивно оцінити пріоритетне значення факторів розвитку </w:t>
      </w:r>
      <w:r>
        <w:t>РШ</w:t>
      </w:r>
      <w:r w:rsidRPr="005E4A73">
        <w:t xml:space="preserve">. Обґрунтовано зазначити, що ризик розвитку або виникнення </w:t>
      </w:r>
      <w:r>
        <w:t>РШ</w:t>
      </w:r>
      <w:r w:rsidRPr="005E4A73">
        <w:t xml:space="preserve"> буде зростати з перевалюванням негативних факторів</w:t>
      </w:r>
      <w:r w:rsidRPr="005E4A73">
        <w:rPr>
          <w:b/>
        </w:rPr>
        <w:t>:</w:t>
      </w:r>
      <w:r w:rsidRPr="005E4A73">
        <w:t xml:space="preserve"> дуже високим − при великій кількості негативних значень і мінімальним ─ при незначній.</w:t>
      </w:r>
    </w:p>
    <w:p w:rsidR="00CF5A29" w:rsidRPr="00190357" w:rsidRDefault="00CF5A29" w:rsidP="00CF5A29">
      <w:pPr>
        <w:spacing w:line="360" w:lineRule="auto"/>
        <w:ind w:firstLine="540"/>
        <w:jc w:val="both"/>
      </w:pPr>
      <w:r w:rsidRPr="005E4A73">
        <w:t xml:space="preserve">Ми розробили новий підхід </w:t>
      </w:r>
      <w:r>
        <w:t xml:space="preserve">до </w:t>
      </w:r>
      <w:r w:rsidRPr="005E4A73">
        <w:t>формування анкети з включенням запитань, що визначають вірогідне значення ризику захворювання. З цією метою використали метод індивідуального прогнозування Неймана-Пірсона. Дослідженням «випадок-контроль», що включає ск</w:t>
      </w:r>
      <w:r>
        <w:t xml:space="preserve">ринінг двох </w:t>
      </w:r>
      <w:r w:rsidRPr="00190357">
        <w:t>груп визначено питому вагу прогностичного фактора, а так само розподілено за рангом хворих на групи низького, середнього і високого ризику розвитку злоякісного захворювання.</w:t>
      </w:r>
    </w:p>
    <w:p w:rsidR="00CF5A29" w:rsidRPr="00190357" w:rsidRDefault="00CF5A29" w:rsidP="00CF5A29">
      <w:pPr>
        <w:pStyle w:val="af4"/>
        <w:spacing w:line="360" w:lineRule="auto"/>
        <w:ind w:firstLine="540"/>
        <w:rPr>
          <w:sz w:val="24"/>
          <w:lang w:val="uk-UA"/>
        </w:rPr>
      </w:pPr>
      <w:r w:rsidRPr="00190357">
        <w:rPr>
          <w:sz w:val="24"/>
        </w:rPr>
        <w:t>Другим напрямком розробленої скринінгової програми було складання об'єктивної анкети-опитувальника, до якої включено</w:t>
      </w:r>
      <w:r>
        <w:rPr>
          <w:sz w:val="24"/>
        </w:rPr>
        <w:t xml:space="preserve"> </w:t>
      </w:r>
      <w:r w:rsidRPr="004D0A41">
        <w:rPr>
          <w:sz w:val="24"/>
          <w:lang w:val="uk-UA"/>
        </w:rPr>
        <w:t>22 найбільш відповідних</w:t>
      </w:r>
      <w:r w:rsidRPr="00190357">
        <w:rPr>
          <w:sz w:val="24"/>
        </w:rPr>
        <w:t xml:space="preserve"> і вірогідних факторів виникнення </w:t>
      </w:r>
      <w:r w:rsidRPr="004D0A41">
        <w:rPr>
          <w:sz w:val="24"/>
          <w:lang w:val="uk-UA"/>
        </w:rPr>
        <w:t>захворювання з 58 підпунктами. Були відібрані запитання</w:t>
      </w:r>
      <w:r w:rsidRPr="00190357">
        <w:rPr>
          <w:sz w:val="24"/>
        </w:rPr>
        <w:t xml:space="preserve"> для складання анкети-</w:t>
      </w:r>
      <w:r w:rsidRPr="00190357">
        <w:rPr>
          <w:sz w:val="24"/>
        </w:rPr>
        <w:lastRenderedPageBreak/>
        <w:t xml:space="preserve">опитувальника, що мали достовірну, високоінформативну цінність для виявлення злоякісного процесу в шлунку на ранніх стадіях, не залежно від статі хворого. </w:t>
      </w:r>
      <w:r w:rsidRPr="004D0A41">
        <w:rPr>
          <w:sz w:val="24"/>
          <w:lang w:val="uk-UA"/>
        </w:rPr>
        <w:t>Складена анкета, містить</w:t>
      </w:r>
      <w:r w:rsidRPr="00190357">
        <w:rPr>
          <w:sz w:val="24"/>
        </w:rPr>
        <w:t xml:space="preserve"> </w:t>
      </w:r>
      <w:r w:rsidRPr="004D0A41">
        <w:rPr>
          <w:sz w:val="24"/>
          <w:lang w:val="uk-UA"/>
        </w:rPr>
        <w:t>обмежену кількість</w:t>
      </w:r>
      <w:r w:rsidRPr="00190357">
        <w:rPr>
          <w:sz w:val="24"/>
        </w:rPr>
        <w:t xml:space="preserve"> питань (20). Вони зрозумілі для самих пацієнтів, запитання і відповіді містять велику кількість спеціальної інформації, для виявлення злоякісних новоутворень шлунка на ранніх </w:t>
      </w:r>
      <w:r w:rsidRPr="00AF4180">
        <w:rPr>
          <w:sz w:val="24"/>
          <w:lang w:val="uk-UA"/>
        </w:rPr>
        <w:t>стадіях</w:t>
      </w:r>
      <w:r w:rsidRPr="00190357">
        <w:rPr>
          <w:sz w:val="24"/>
        </w:rPr>
        <w:t>.</w:t>
      </w:r>
      <w:r>
        <w:rPr>
          <w:sz w:val="24"/>
          <w:lang w:val="uk-UA"/>
        </w:rPr>
        <w:t xml:space="preserve"> </w:t>
      </w:r>
      <w:r w:rsidRPr="00190357">
        <w:rPr>
          <w:sz w:val="24"/>
          <w:lang w:val="uk-UA"/>
        </w:rPr>
        <w:t>Подаємо розроблену анкету-опитувальник</w:t>
      </w:r>
      <w:r>
        <w:rPr>
          <w:sz w:val="24"/>
          <w:lang w:val="uk-UA"/>
        </w:rPr>
        <w:t>.</w:t>
      </w:r>
    </w:p>
    <w:p w:rsidR="00CF5A29" w:rsidRPr="00190357" w:rsidRDefault="00CF5A29" w:rsidP="00CF5A29">
      <w:pPr>
        <w:jc w:val="center"/>
        <w:rPr>
          <w:b/>
        </w:rPr>
      </w:pPr>
      <w:r w:rsidRPr="00190357">
        <w:rPr>
          <w:b/>
        </w:rPr>
        <w:t>АНКЕТА ПРОФІЛАКТИЧНОГО ОБСТЕЖЕННЯ</w:t>
      </w:r>
    </w:p>
    <w:p w:rsidR="00CF5A29" w:rsidRPr="005E4A73" w:rsidRDefault="00CF5A29" w:rsidP="00CF5A29">
      <w:pPr>
        <w:pStyle w:val="15"/>
        <w:rPr>
          <w:bCs/>
          <w:sz w:val="24"/>
        </w:rPr>
      </w:pPr>
      <w:r w:rsidRPr="005E4A73">
        <w:rPr>
          <w:bCs/>
          <w:sz w:val="24"/>
        </w:rPr>
        <w:t>Потрібне у відповідях підкресліть!</w:t>
      </w:r>
    </w:p>
    <w:p w:rsidR="00CF5A29" w:rsidRPr="005E4A73" w:rsidRDefault="00CF5A29" w:rsidP="00CF5A29">
      <w:pPr>
        <w:jc w:val="center"/>
      </w:pPr>
      <w:r w:rsidRPr="005E4A73">
        <w:t>Дата заповнення анкети _____________________</w:t>
      </w:r>
    </w:p>
    <w:p w:rsidR="00CF5A29" w:rsidRPr="005E4A73" w:rsidRDefault="00CF5A29" w:rsidP="00ED3F47">
      <w:pPr>
        <w:numPr>
          <w:ilvl w:val="0"/>
          <w:numId w:val="43"/>
        </w:numPr>
        <w:tabs>
          <w:tab w:val="num" w:pos="2793"/>
        </w:tabs>
        <w:spacing w:after="0" w:line="240" w:lineRule="auto"/>
        <w:jc w:val="both"/>
      </w:pPr>
      <w:r w:rsidRPr="005E4A73">
        <w:t>Прізвище. І. Б ________________________________________________________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Домашня адреса _____________________________________________________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Вік ___________ дата народження ________________________________</w:t>
      </w:r>
    </w:p>
    <w:p w:rsidR="00CF5A29" w:rsidRPr="005E4A73" w:rsidRDefault="00CF5A29" w:rsidP="00ED3F47">
      <w:pPr>
        <w:numPr>
          <w:ilvl w:val="0"/>
          <w:numId w:val="43"/>
        </w:numPr>
        <w:tabs>
          <w:tab w:val="num" w:pos="2793"/>
        </w:tabs>
        <w:spacing w:after="0" w:line="240" w:lineRule="auto"/>
        <w:jc w:val="both"/>
      </w:pPr>
      <w:r w:rsidRPr="005E4A73">
        <w:t>Стать (чоловік, жінка)</w:t>
      </w:r>
    </w:p>
    <w:p w:rsidR="00CF5A29" w:rsidRPr="005E4A73" w:rsidRDefault="00CF5A29" w:rsidP="00ED3F47">
      <w:pPr>
        <w:numPr>
          <w:ilvl w:val="0"/>
          <w:numId w:val="43"/>
        </w:numPr>
        <w:tabs>
          <w:tab w:val="num" w:pos="2793"/>
        </w:tabs>
        <w:spacing w:after="0" w:line="240" w:lineRule="auto"/>
        <w:jc w:val="both"/>
      </w:pPr>
      <w:r w:rsidRPr="005E4A73">
        <w:t>Вага</w:t>
      </w:r>
      <w:r w:rsidRPr="005E4A73">
        <w:rPr>
          <w:b/>
          <w:bCs/>
        </w:rPr>
        <w:t>:</w:t>
      </w:r>
      <w:r w:rsidRPr="005E4A73">
        <w:t xml:space="preserve"> а) нормальна; б) знижена; в) сильно знижена; г) підвищена.</w:t>
      </w:r>
    </w:p>
    <w:p w:rsidR="00CF5A29" w:rsidRDefault="00CF5A29" w:rsidP="00ED3F47">
      <w:pPr>
        <w:numPr>
          <w:ilvl w:val="0"/>
          <w:numId w:val="43"/>
        </w:numPr>
        <w:tabs>
          <w:tab w:val="num" w:pos="2793"/>
        </w:tabs>
        <w:spacing w:after="0" w:line="240" w:lineRule="auto"/>
        <w:jc w:val="both"/>
      </w:pPr>
      <w:r w:rsidRPr="005E4A73">
        <w:t>Місце роботи____________________________________________________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Професія_______________________________________________________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Посада ______________________________________________________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Стаж роботи _____________________________________________________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Наявні хронічні захворювання</w:t>
      </w:r>
      <w:r w:rsidRPr="005E4A73">
        <w:rPr>
          <w:b/>
          <w:bCs/>
        </w:rPr>
        <w:t>:</w:t>
      </w:r>
      <w:r w:rsidRPr="005E4A73">
        <w:t xml:space="preserve"> </w:t>
      </w:r>
    </w:p>
    <w:p w:rsidR="00CF5A29" w:rsidRPr="005E4A73" w:rsidRDefault="00CF5A29" w:rsidP="00ED3F47">
      <w:pPr>
        <w:numPr>
          <w:ilvl w:val="0"/>
          <w:numId w:val="42"/>
        </w:numPr>
        <w:spacing w:after="0" w:line="240" w:lineRule="auto"/>
        <w:ind w:firstLine="360"/>
        <w:jc w:val="both"/>
      </w:pPr>
      <w:r w:rsidRPr="005E4A73">
        <w:t>а) відсутні;</w:t>
      </w:r>
    </w:p>
    <w:p w:rsidR="00CF5A29" w:rsidRPr="005E4A73" w:rsidRDefault="00CF5A29" w:rsidP="00ED3F47">
      <w:pPr>
        <w:numPr>
          <w:ilvl w:val="0"/>
          <w:numId w:val="42"/>
        </w:numPr>
        <w:spacing w:after="0" w:line="240" w:lineRule="auto"/>
        <w:ind w:firstLine="360"/>
        <w:jc w:val="both"/>
      </w:pPr>
      <w:r w:rsidRPr="005E4A73">
        <w:t>б) цукровий діабет;</w:t>
      </w:r>
    </w:p>
    <w:p w:rsidR="00CF5A29" w:rsidRPr="005E4A73" w:rsidRDefault="00CF5A29" w:rsidP="00ED3F47">
      <w:pPr>
        <w:numPr>
          <w:ilvl w:val="0"/>
          <w:numId w:val="42"/>
        </w:numPr>
        <w:spacing w:after="0" w:line="240" w:lineRule="auto"/>
        <w:ind w:firstLine="360"/>
        <w:jc w:val="both"/>
      </w:pPr>
      <w:r w:rsidRPr="005E4A73">
        <w:t>в) виразка шлунка;</w:t>
      </w:r>
    </w:p>
    <w:p w:rsidR="00CF5A29" w:rsidRPr="005E4A73" w:rsidRDefault="00CF5A29" w:rsidP="00ED3F47">
      <w:pPr>
        <w:numPr>
          <w:ilvl w:val="0"/>
          <w:numId w:val="42"/>
        </w:numPr>
        <w:spacing w:after="0" w:line="240" w:lineRule="auto"/>
        <w:ind w:firstLine="360"/>
        <w:jc w:val="both"/>
      </w:pPr>
      <w:r w:rsidRPr="005E4A73">
        <w:t>г) гастрит з підвищеною кислотністю, або зі зниженою кислотністю;</w:t>
      </w:r>
    </w:p>
    <w:p w:rsidR="00CF5A29" w:rsidRPr="005E4A73" w:rsidRDefault="00CF5A29" w:rsidP="00ED3F47">
      <w:pPr>
        <w:numPr>
          <w:ilvl w:val="0"/>
          <w:numId w:val="42"/>
        </w:numPr>
        <w:spacing w:after="0" w:line="240" w:lineRule="auto"/>
        <w:ind w:firstLine="360"/>
        <w:jc w:val="both"/>
      </w:pPr>
      <w:r w:rsidRPr="005E4A73">
        <w:t>д) поліпи шлунка;</w:t>
      </w:r>
    </w:p>
    <w:p w:rsidR="00CF5A29" w:rsidRPr="005E4A73" w:rsidRDefault="00CF5A29" w:rsidP="00ED3F47">
      <w:pPr>
        <w:numPr>
          <w:ilvl w:val="0"/>
          <w:numId w:val="42"/>
        </w:numPr>
        <w:spacing w:after="0" w:line="240" w:lineRule="auto"/>
        <w:ind w:firstLine="360"/>
        <w:jc w:val="both"/>
      </w:pPr>
      <w:r w:rsidRPr="005E4A73">
        <w:t>е) виразка 12-палої кишки;</w:t>
      </w:r>
    </w:p>
    <w:p w:rsidR="00CF5A29" w:rsidRPr="005E4A73" w:rsidRDefault="00CF5A29" w:rsidP="00ED3F47">
      <w:pPr>
        <w:numPr>
          <w:ilvl w:val="0"/>
          <w:numId w:val="42"/>
        </w:numPr>
        <w:spacing w:after="0" w:line="240" w:lineRule="auto"/>
        <w:ind w:firstLine="360"/>
        <w:jc w:val="both"/>
      </w:pPr>
      <w:r w:rsidRPr="005E4A73">
        <w:t>є) інші захворювання (вказати які саме?) ______________________________</w:t>
      </w:r>
    </w:p>
    <w:p w:rsidR="00CF5A29" w:rsidRPr="005E4A73" w:rsidRDefault="00CF5A29" w:rsidP="00ED3F47">
      <w:pPr>
        <w:numPr>
          <w:ilvl w:val="0"/>
          <w:numId w:val="43"/>
        </w:numPr>
        <w:tabs>
          <w:tab w:val="num" w:pos="2793"/>
        </w:tabs>
        <w:spacing w:after="0" w:line="240" w:lineRule="auto"/>
        <w:jc w:val="both"/>
      </w:pPr>
      <w:r w:rsidRPr="005E4A73">
        <w:t>Вважаєте себе хворим</w:t>
      </w:r>
      <w:r w:rsidRPr="005E4A73">
        <w:rPr>
          <w:b/>
          <w:bCs/>
        </w:rPr>
        <w:t>:</w:t>
      </w:r>
      <w:r w:rsidRPr="005E4A73">
        <w:t xml:space="preserve"> а) 1 міс.; б) 2-3 міс.; в) 6 міс.; г) 9 міс.; д) 12 міс. і більше.</w:t>
      </w:r>
    </w:p>
    <w:p w:rsidR="00CF5A29" w:rsidRPr="005E4A73" w:rsidRDefault="00CF5A29" w:rsidP="00ED3F47">
      <w:pPr>
        <w:numPr>
          <w:ilvl w:val="0"/>
          <w:numId w:val="43"/>
        </w:numPr>
        <w:tabs>
          <w:tab w:val="num" w:pos="2793"/>
        </w:tabs>
        <w:spacing w:after="0" w:line="240" w:lineRule="auto"/>
        <w:jc w:val="both"/>
      </w:pPr>
      <w:r w:rsidRPr="005E4A73">
        <w:t>Терміни звертання за медичною допомогою</w:t>
      </w:r>
      <w:r w:rsidRPr="005E4A73">
        <w:rPr>
          <w:b/>
          <w:bCs/>
        </w:rPr>
        <w:t>:</w:t>
      </w:r>
      <w:r w:rsidRPr="005E4A73">
        <w:t xml:space="preserve"> а) не звертався (-лась);  б) через 1-міс.;  в) через 2-3 міс.; г) через 6 міс.; д) через 9 міс.; е) через 12 міс. і більше.</w:t>
      </w:r>
    </w:p>
    <w:p w:rsidR="00CF5A29" w:rsidRPr="005E4A73" w:rsidRDefault="00CF5A29" w:rsidP="00ED3F47">
      <w:pPr>
        <w:numPr>
          <w:ilvl w:val="0"/>
          <w:numId w:val="43"/>
        </w:numPr>
        <w:spacing w:after="0" w:line="240" w:lineRule="auto"/>
        <w:jc w:val="both"/>
      </w:pPr>
      <w:r w:rsidRPr="005E4A73">
        <w:t>Кислотність шлунка</w:t>
      </w:r>
      <w:r w:rsidRPr="005E4A73">
        <w:rPr>
          <w:b/>
          <w:bCs/>
        </w:rPr>
        <w:t>:</w:t>
      </w:r>
      <w:r w:rsidRPr="005E4A73">
        <w:t xml:space="preserve"> а) нормальна; б) знижена; в) підвищена; г) нульова; д) не знаю.</w:t>
      </w:r>
    </w:p>
    <w:p w:rsidR="00CF5A29" w:rsidRPr="005E4A73" w:rsidRDefault="00CF5A29" w:rsidP="00ED3F47">
      <w:pPr>
        <w:numPr>
          <w:ilvl w:val="0"/>
          <w:numId w:val="43"/>
        </w:numPr>
        <w:tabs>
          <w:tab w:val="num" w:pos="2793"/>
        </w:tabs>
        <w:spacing w:after="0" w:line="240" w:lineRule="auto"/>
        <w:jc w:val="both"/>
      </w:pPr>
      <w:r w:rsidRPr="005E4A73">
        <w:t>Операції на шлунку в минулому</w:t>
      </w:r>
      <w:r w:rsidRPr="005E4A73">
        <w:rPr>
          <w:b/>
          <w:bCs/>
        </w:rPr>
        <w:t>:</w:t>
      </w:r>
      <w:r w:rsidRPr="005E4A73">
        <w:t xml:space="preserve"> а) операцій не було; б) операції з приводу виразки шлунка; в) операції з приводу виразки 12-палої кишки; г) інші операції (які саме є (були)?):_______________________________________________________________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 xml:space="preserve"> Чи є (були) онкологічні захворювання в найближчих  родичів? а) немає;   б) є  (у кого і які саме?):___________________________________________</w:t>
      </w:r>
    </w:p>
    <w:p w:rsidR="00CF5A29" w:rsidRPr="005E4A73" w:rsidRDefault="00CF5A29" w:rsidP="00ED3F47">
      <w:pPr>
        <w:numPr>
          <w:ilvl w:val="0"/>
          <w:numId w:val="43"/>
        </w:numPr>
        <w:tabs>
          <w:tab w:val="num" w:pos="2793"/>
        </w:tabs>
        <w:spacing w:after="0" w:line="240" w:lineRule="auto"/>
        <w:jc w:val="both"/>
      </w:pPr>
      <w:r w:rsidRPr="005E4A73">
        <w:t xml:space="preserve">Характер харчування </w:t>
      </w:r>
      <w:r w:rsidRPr="005E4A73">
        <w:rPr>
          <w:b/>
          <w:bCs/>
        </w:rPr>
        <w:t>:</w:t>
      </w:r>
      <w:r w:rsidRPr="005E4A73">
        <w:t xml:space="preserve"> </w:t>
      </w:r>
    </w:p>
    <w:p w:rsidR="00CF5A29" w:rsidRPr="005E4A73" w:rsidRDefault="00CF5A29" w:rsidP="00ED3F47">
      <w:pPr>
        <w:numPr>
          <w:ilvl w:val="0"/>
          <w:numId w:val="40"/>
        </w:numPr>
        <w:spacing w:after="0" w:line="240" w:lineRule="auto"/>
        <w:jc w:val="both"/>
      </w:pPr>
      <w:r w:rsidRPr="005E4A73">
        <w:t>а) прийом їжі: регулярно − 3 рази в день; нерегулярно; як прийдеться;</w:t>
      </w:r>
    </w:p>
    <w:p w:rsidR="00CF5A29" w:rsidRPr="005E4A73" w:rsidRDefault="00CF5A29" w:rsidP="00ED3F47">
      <w:pPr>
        <w:numPr>
          <w:ilvl w:val="0"/>
          <w:numId w:val="40"/>
        </w:numPr>
        <w:spacing w:after="0" w:line="240" w:lineRule="auto"/>
        <w:jc w:val="both"/>
      </w:pPr>
      <w:r w:rsidRPr="005E4A73">
        <w:t>б) вживання дуже гарячих рідин і продуктів (так, ні);</w:t>
      </w:r>
    </w:p>
    <w:p w:rsidR="00CF5A29" w:rsidRPr="005E4A73" w:rsidRDefault="00CF5A29" w:rsidP="00ED3F47">
      <w:pPr>
        <w:numPr>
          <w:ilvl w:val="0"/>
          <w:numId w:val="40"/>
        </w:numPr>
        <w:spacing w:after="0" w:line="240" w:lineRule="auto"/>
        <w:jc w:val="both"/>
      </w:pPr>
      <w:r w:rsidRPr="005E4A73">
        <w:t>в) вживання теплої їжі, (так, ні);</w:t>
      </w:r>
    </w:p>
    <w:p w:rsidR="00CF5A29" w:rsidRPr="005E4A73" w:rsidRDefault="00CF5A29" w:rsidP="00ED3F47">
      <w:pPr>
        <w:numPr>
          <w:ilvl w:val="0"/>
          <w:numId w:val="40"/>
        </w:numPr>
        <w:spacing w:after="0" w:line="240" w:lineRule="auto"/>
        <w:jc w:val="both"/>
      </w:pPr>
      <w:r w:rsidRPr="005E4A73">
        <w:t>г) часто їжа всухом’ятку (так, ні);</w:t>
      </w:r>
    </w:p>
    <w:p w:rsidR="00CF5A29" w:rsidRPr="005E4A73" w:rsidRDefault="00CF5A29" w:rsidP="00ED3F47">
      <w:pPr>
        <w:numPr>
          <w:ilvl w:val="0"/>
          <w:numId w:val="40"/>
        </w:numPr>
        <w:spacing w:after="0" w:line="240" w:lineRule="auto"/>
        <w:jc w:val="both"/>
      </w:pPr>
      <w:r w:rsidRPr="005E4A73">
        <w:t>д) щоденний прийом перших страв (так, ні);</w:t>
      </w:r>
    </w:p>
    <w:p w:rsidR="00CF5A29" w:rsidRPr="005E4A73" w:rsidRDefault="00CF5A29" w:rsidP="00ED3F47">
      <w:pPr>
        <w:numPr>
          <w:ilvl w:val="0"/>
          <w:numId w:val="40"/>
        </w:numPr>
        <w:spacing w:after="0" w:line="240" w:lineRule="auto"/>
        <w:jc w:val="both"/>
      </w:pPr>
      <w:r w:rsidRPr="005E4A73">
        <w:t>е) захоплення копченостями і гострими приправами</w:t>
      </w:r>
      <w:r w:rsidRPr="005E4A73">
        <w:rPr>
          <w:b/>
          <w:bCs/>
        </w:rPr>
        <w:t>:</w:t>
      </w:r>
      <w:r w:rsidRPr="005E4A73">
        <w:t xml:space="preserve"> а) щодня; б) декілька разів у тиждень; в) дуже рідко,</w:t>
      </w:r>
    </w:p>
    <w:p w:rsidR="00CF5A29" w:rsidRPr="005E4A73" w:rsidRDefault="00CF5A29" w:rsidP="00ED3F47">
      <w:pPr>
        <w:numPr>
          <w:ilvl w:val="0"/>
          <w:numId w:val="40"/>
        </w:numPr>
        <w:spacing w:after="0" w:line="240" w:lineRule="auto"/>
        <w:jc w:val="both"/>
      </w:pPr>
      <w:r w:rsidRPr="005E4A73">
        <w:t>є) прийом консервованих продуктів</w:t>
      </w:r>
      <w:r w:rsidRPr="005E4A73">
        <w:rPr>
          <w:b/>
          <w:bCs/>
        </w:rPr>
        <w:t>:</w:t>
      </w:r>
      <w:r w:rsidRPr="005E4A73">
        <w:t xml:space="preserve"> а) часто; б) рідко,</w:t>
      </w:r>
    </w:p>
    <w:p w:rsidR="00CF5A29" w:rsidRPr="005E4A73" w:rsidRDefault="00CF5A29" w:rsidP="00ED3F47">
      <w:pPr>
        <w:numPr>
          <w:ilvl w:val="0"/>
          <w:numId w:val="40"/>
        </w:numPr>
        <w:spacing w:after="0" w:line="240" w:lineRule="auto"/>
        <w:jc w:val="both"/>
      </w:pPr>
      <w:r w:rsidRPr="005E4A73">
        <w:t>ж) переважання солоних продуктів (так, ні),</w:t>
      </w:r>
    </w:p>
    <w:p w:rsidR="00CF5A29" w:rsidRPr="005E4A73" w:rsidRDefault="00CF5A29" w:rsidP="00ED3F47">
      <w:pPr>
        <w:numPr>
          <w:ilvl w:val="0"/>
          <w:numId w:val="40"/>
        </w:numPr>
        <w:spacing w:after="0" w:line="240" w:lineRule="auto"/>
        <w:jc w:val="both"/>
      </w:pPr>
      <w:r w:rsidRPr="005E4A73">
        <w:t>з) вживання м'яса і тваринних жирів</w:t>
      </w:r>
      <w:r w:rsidRPr="005E4A73">
        <w:rPr>
          <w:b/>
          <w:bCs/>
        </w:rPr>
        <w:t>:</w:t>
      </w:r>
      <w:r w:rsidRPr="005E4A73">
        <w:t xml:space="preserve"> а) щодня; б) 1-2 рази в тиждень; в) не вживаю,</w:t>
      </w:r>
    </w:p>
    <w:p w:rsidR="00CF5A29" w:rsidRPr="005E4A73" w:rsidRDefault="00CF5A29" w:rsidP="00ED3F47">
      <w:pPr>
        <w:numPr>
          <w:ilvl w:val="0"/>
          <w:numId w:val="40"/>
        </w:numPr>
        <w:spacing w:after="0" w:line="240" w:lineRule="auto"/>
        <w:jc w:val="both"/>
      </w:pPr>
      <w:r w:rsidRPr="005E4A73">
        <w:t xml:space="preserve">і) вживання </w:t>
      </w:r>
      <w:r w:rsidRPr="005E4A73">
        <w:rPr>
          <w:bCs/>
        </w:rPr>
        <w:t xml:space="preserve">борошняних виробів: </w:t>
      </w:r>
      <w:r w:rsidRPr="005E4A73">
        <w:t>а) щодня; б) 1-2 рази в тиждень; в) не вживаю,</w:t>
      </w:r>
    </w:p>
    <w:p w:rsidR="00CF5A29" w:rsidRPr="005E4A73" w:rsidRDefault="00CF5A29" w:rsidP="00ED3F47">
      <w:pPr>
        <w:numPr>
          <w:ilvl w:val="0"/>
          <w:numId w:val="40"/>
        </w:numPr>
        <w:spacing w:after="0" w:line="240" w:lineRule="auto"/>
        <w:jc w:val="both"/>
      </w:pPr>
      <w:r w:rsidRPr="005E4A73">
        <w:t>к) вживання  риби і морепродуктів</w:t>
      </w:r>
      <w:r w:rsidRPr="005E4A73">
        <w:rPr>
          <w:b/>
          <w:bCs/>
        </w:rPr>
        <w:t>:</w:t>
      </w:r>
      <w:r w:rsidRPr="005E4A73">
        <w:t xml:space="preserve"> а) щодня; б) 1-2 рази в тиждень; в) дуже рідко,</w:t>
      </w:r>
    </w:p>
    <w:p w:rsidR="00CF5A29" w:rsidRPr="005E4A73" w:rsidRDefault="00CF5A29" w:rsidP="00ED3F47">
      <w:pPr>
        <w:numPr>
          <w:ilvl w:val="0"/>
          <w:numId w:val="40"/>
        </w:numPr>
        <w:spacing w:after="0" w:line="240" w:lineRule="auto"/>
        <w:jc w:val="both"/>
      </w:pPr>
      <w:r w:rsidRPr="005E4A73">
        <w:t>л) прийом їжі після 22-ї години</w:t>
      </w:r>
      <w:r w:rsidRPr="005E4A73">
        <w:rPr>
          <w:b/>
          <w:bCs/>
        </w:rPr>
        <w:t>:</w:t>
      </w:r>
      <w:r w:rsidRPr="005E4A73">
        <w:t xml:space="preserve"> а) часто; б) рідко,</w:t>
      </w:r>
    </w:p>
    <w:p w:rsidR="00CF5A29" w:rsidRPr="005E4A73" w:rsidRDefault="00CF5A29" w:rsidP="00ED3F47">
      <w:pPr>
        <w:numPr>
          <w:ilvl w:val="0"/>
          <w:numId w:val="40"/>
        </w:numPr>
        <w:spacing w:after="0" w:line="240" w:lineRule="auto"/>
        <w:jc w:val="both"/>
      </w:pPr>
      <w:r w:rsidRPr="005E4A73">
        <w:t>м) щоденне вживання смажених продуктів</w:t>
      </w:r>
      <w:r w:rsidRPr="005E4A73">
        <w:rPr>
          <w:b/>
          <w:bCs/>
        </w:rPr>
        <w:t>:</w:t>
      </w:r>
      <w:r w:rsidRPr="005E4A73">
        <w:t xml:space="preserve"> а) так; б) ні,</w:t>
      </w:r>
    </w:p>
    <w:p w:rsidR="00CF5A29" w:rsidRPr="005E4A73" w:rsidRDefault="00CF5A29" w:rsidP="00ED3F47">
      <w:pPr>
        <w:numPr>
          <w:ilvl w:val="0"/>
          <w:numId w:val="43"/>
        </w:numPr>
        <w:tabs>
          <w:tab w:val="clear" w:pos="720"/>
          <w:tab w:val="num" w:pos="-720"/>
        </w:tabs>
        <w:spacing w:after="0" w:line="240" w:lineRule="auto"/>
        <w:ind w:left="540" w:hanging="540"/>
        <w:jc w:val="both"/>
      </w:pPr>
      <w:r w:rsidRPr="005E4A73">
        <w:lastRenderedPageBreak/>
        <w:t>Вживання алкоголю</w:t>
      </w:r>
      <w:r w:rsidRPr="005E4A73">
        <w:rPr>
          <w:b/>
          <w:bCs/>
        </w:rPr>
        <w:t>:</w:t>
      </w:r>
      <w:r w:rsidRPr="005E4A73">
        <w:t xml:space="preserve"> а) щодня; б) один раз на тиждень; в) дуже рідко; г) ніколи,</w:t>
      </w:r>
    </w:p>
    <w:p w:rsidR="00CF5A29" w:rsidRPr="005E4A73" w:rsidRDefault="00CF5A29" w:rsidP="00ED3F47">
      <w:pPr>
        <w:numPr>
          <w:ilvl w:val="0"/>
          <w:numId w:val="43"/>
        </w:numPr>
        <w:tabs>
          <w:tab w:val="clear" w:pos="720"/>
          <w:tab w:val="num" w:pos="-1980"/>
        </w:tabs>
        <w:spacing w:after="0" w:line="240" w:lineRule="auto"/>
        <w:ind w:left="540" w:hanging="540"/>
        <w:jc w:val="both"/>
      </w:pPr>
      <w:r w:rsidRPr="005E4A73">
        <w:t>Тютюнопаління (тривалість)</w:t>
      </w:r>
      <w:r w:rsidRPr="005E4A73">
        <w:rPr>
          <w:b/>
          <w:bCs/>
        </w:rPr>
        <w:t>:</w:t>
      </w:r>
      <w:r w:rsidRPr="005E4A73">
        <w:t xml:space="preserve"> а) 5 років;  б) 10 років;  в) 15 років;  г) 25 років і більше;  г) не палю,</w:t>
      </w:r>
    </w:p>
    <w:p w:rsidR="00CF5A29" w:rsidRPr="005E4A73" w:rsidRDefault="00CF5A29" w:rsidP="00CF5A29">
      <w:pPr>
        <w:ind w:left="540" w:hanging="540"/>
        <w:jc w:val="both"/>
      </w:pPr>
      <w:r w:rsidRPr="005E4A73">
        <w:t>19.</w:t>
      </w:r>
      <w:r w:rsidRPr="005E4A73">
        <w:tab/>
        <w:t>Кількість викурених сигарет за добу</w:t>
      </w:r>
      <w:r w:rsidRPr="005E4A73">
        <w:rPr>
          <w:b/>
          <w:bCs/>
        </w:rPr>
        <w:t xml:space="preserve">: </w:t>
      </w:r>
      <w:r w:rsidRPr="005E4A73">
        <w:t>а) менше однієї пачки в; б) більше однієї пачки.</w:t>
      </w:r>
    </w:p>
    <w:p w:rsidR="00CF5A29" w:rsidRPr="005E4A73" w:rsidRDefault="00CF5A29" w:rsidP="00CF5A29">
      <w:pPr>
        <w:ind w:left="540" w:hanging="540"/>
        <w:jc w:val="both"/>
      </w:pPr>
      <w:r w:rsidRPr="005E4A73">
        <w:t>20.</w:t>
      </w:r>
      <w:r w:rsidRPr="005E4A73">
        <w:tab/>
        <w:t>Група крові: а) О (I); б) А(II); в) В (III); г) АВ (IV).</w:t>
      </w:r>
    </w:p>
    <w:p w:rsidR="00CF5A29" w:rsidRDefault="00CF5A29" w:rsidP="00CF5A29">
      <w:pPr>
        <w:pStyle w:val="af4"/>
        <w:spacing w:line="360" w:lineRule="auto"/>
        <w:ind w:firstLine="540"/>
        <w:rPr>
          <w:sz w:val="24"/>
          <w:lang w:val="uk-UA"/>
        </w:rPr>
      </w:pPr>
    </w:p>
    <w:p w:rsidR="00CF5A29" w:rsidRPr="005E4A73" w:rsidRDefault="00CF5A29" w:rsidP="00CF5A29">
      <w:pPr>
        <w:spacing w:line="360" w:lineRule="auto"/>
        <w:ind w:firstLine="540"/>
        <w:jc w:val="both"/>
      </w:pPr>
      <w:r w:rsidRPr="005E4A73">
        <w:t xml:space="preserve">Термін ранжирування факторів і розподіл хворих за ступенем ризику виникнення </w:t>
      </w:r>
      <w:r>
        <w:t>РШ</w:t>
      </w:r>
      <w:r w:rsidRPr="005E4A73">
        <w:t xml:space="preserve"> полягає у наступному</w:t>
      </w:r>
      <w:r w:rsidRPr="005E4A73">
        <w:rPr>
          <w:b/>
        </w:rPr>
        <w:t>:</w:t>
      </w:r>
      <w:r w:rsidRPr="005E4A73">
        <w:rPr>
          <w:bCs/>
        </w:rPr>
        <w:t xml:space="preserve"> підбір</w:t>
      </w:r>
      <w:r w:rsidRPr="005E4A73">
        <w:t xml:space="preserve"> запитань для анкетування і їхній розподіл за рангом; виділення запитань анкетування, що мають тільки вірогідне значення і, обмежену їх кількість в анкеті; формування груп хворих за ступенем ризику, з метою подальшого обстеження пацієнта.</w:t>
      </w:r>
    </w:p>
    <w:p w:rsidR="00CF5A29" w:rsidRDefault="00CF5A29" w:rsidP="00CF5A29">
      <w:pPr>
        <w:pStyle w:val="af4"/>
        <w:spacing w:line="360" w:lineRule="auto"/>
        <w:ind w:firstLine="540"/>
        <w:rPr>
          <w:sz w:val="24"/>
          <w:lang w:val="uk-UA"/>
        </w:rPr>
      </w:pPr>
      <w:r w:rsidRPr="005E4A73">
        <w:rPr>
          <w:sz w:val="24"/>
          <w:lang w:val="uk-UA"/>
        </w:rPr>
        <w:t xml:space="preserve">На підставі вище зазначеного ми вважаємо, що кількісне значення негативних факторів розвитку </w:t>
      </w:r>
      <w:r>
        <w:rPr>
          <w:sz w:val="24"/>
          <w:lang w:val="uk-UA"/>
        </w:rPr>
        <w:t>РШ</w:t>
      </w:r>
      <w:r w:rsidRPr="005E4A73">
        <w:rPr>
          <w:sz w:val="24"/>
          <w:lang w:val="uk-UA"/>
        </w:rPr>
        <w:t xml:space="preserve"> послужило новим підходом до розподілу пацієнтів на групи</w:t>
      </w:r>
      <w:r w:rsidRPr="005E4A73">
        <w:rPr>
          <w:b/>
          <w:bCs/>
          <w:sz w:val="24"/>
          <w:lang w:val="uk-UA"/>
        </w:rPr>
        <w:t>:</w:t>
      </w:r>
      <w:r w:rsidRPr="005E4A73">
        <w:rPr>
          <w:sz w:val="24"/>
          <w:lang w:val="uk-UA"/>
        </w:rPr>
        <w:t xml:space="preserve"> низького, середнього і високого ризику виникнення захворювання. Вважаємо обґрунтованим, віднести до </w:t>
      </w:r>
    </w:p>
    <w:p w:rsidR="00CF5A29" w:rsidRDefault="00CF5A29" w:rsidP="00CF5A29">
      <w:pPr>
        <w:pStyle w:val="af4"/>
        <w:spacing w:line="360" w:lineRule="auto"/>
        <w:ind w:firstLine="540"/>
        <w:jc w:val="center"/>
        <w:rPr>
          <w:sz w:val="24"/>
          <w:lang w:val="uk-UA"/>
        </w:rPr>
      </w:pPr>
      <w:r>
        <w:rPr>
          <w:sz w:val="24"/>
          <w:lang w:val="uk-UA"/>
        </w:rPr>
        <w:t>15</w:t>
      </w:r>
    </w:p>
    <w:p w:rsidR="00CF5A29" w:rsidRPr="005E4A73" w:rsidRDefault="00CF5A29" w:rsidP="00CF5A29">
      <w:pPr>
        <w:pStyle w:val="af4"/>
        <w:spacing w:line="360" w:lineRule="auto"/>
        <w:rPr>
          <w:sz w:val="24"/>
          <w:lang w:val="uk-UA"/>
        </w:rPr>
      </w:pPr>
      <w:r w:rsidRPr="005E4A73">
        <w:rPr>
          <w:sz w:val="24"/>
          <w:lang w:val="uk-UA"/>
        </w:rPr>
        <w:t xml:space="preserve">групи з низьким ризиком розвитку </w:t>
      </w:r>
      <w:r>
        <w:rPr>
          <w:sz w:val="24"/>
          <w:lang w:val="uk-UA"/>
        </w:rPr>
        <w:t>РШ</w:t>
      </w:r>
      <w:r w:rsidRPr="005E4A73">
        <w:rPr>
          <w:sz w:val="24"/>
          <w:lang w:val="uk-UA"/>
        </w:rPr>
        <w:t xml:space="preserve"> пацієнтів, що набрали від 0 до 30 % набраних негативних значень усіх факторів; до групи з середнім ризиком − від 30,1 % до 70 % і до групи високого ризику − понад 70,0 % набраних негативних значень усіх факторів.</w:t>
      </w:r>
    </w:p>
    <w:p w:rsidR="00CF5A29" w:rsidRPr="005E4A73" w:rsidRDefault="00CF5A29" w:rsidP="00CF5A29">
      <w:pPr>
        <w:pStyle w:val="af4"/>
        <w:spacing w:line="360" w:lineRule="auto"/>
        <w:ind w:firstLine="540"/>
        <w:rPr>
          <w:sz w:val="24"/>
          <w:lang w:val="uk-UA"/>
        </w:rPr>
      </w:pPr>
      <w:r w:rsidRPr="005E4A73">
        <w:rPr>
          <w:sz w:val="24"/>
          <w:lang w:val="uk-UA"/>
        </w:rPr>
        <w:t xml:space="preserve">Взявши за основу таблицю-матрицю факторів ризику </w:t>
      </w:r>
      <w:r>
        <w:rPr>
          <w:sz w:val="24"/>
          <w:lang w:val="uk-UA"/>
        </w:rPr>
        <w:t>РШ</w:t>
      </w:r>
      <w:r w:rsidRPr="005E4A73">
        <w:rPr>
          <w:sz w:val="24"/>
          <w:lang w:val="uk-UA"/>
        </w:rPr>
        <w:t xml:space="preserve"> (таблиця 1), і підставивши значення відзначених факторів у конкретного пацієнта, можна віднести його до відповідної групи ризику розвитку </w:t>
      </w:r>
      <w:r>
        <w:rPr>
          <w:sz w:val="24"/>
          <w:lang w:val="uk-UA"/>
        </w:rPr>
        <w:t>РШ</w:t>
      </w:r>
      <w:r w:rsidRPr="005E4A73">
        <w:rPr>
          <w:sz w:val="24"/>
          <w:lang w:val="uk-UA"/>
        </w:rPr>
        <w:t>. Низькому ризикові відповідає 7,7 бала суми, набраних негативних значень прогностичного коефіцієнта (</w:t>
      </w:r>
      <w:r w:rsidRPr="005E4A73">
        <w:rPr>
          <w:b/>
          <w:bCs/>
          <w:sz w:val="24"/>
          <w:lang w:val="uk-UA"/>
        </w:rPr>
        <w:t>Ј</w:t>
      </w:r>
      <w:r w:rsidRPr="005E4A73">
        <w:rPr>
          <w:sz w:val="24"/>
          <w:lang w:val="uk-UA"/>
        </w:rPr>
        <w:t>); середньому − 15,3 бала, а високому − 23,8 бала негативних значень прогностичного коефіцієнта (</w:t>
      </w:r>
      <w:r w:rsidRPr="005E4A73">
        <w:rPr>
          <w:b/>
          <w:bCs/>
          <w:sz w:val="24"/>
          <w:lang w:val="uk-UA"/>
        </w:rPr>
        <w:t>Ј</w:t>
      </w:r>
      <w:r w:rsidRPr="005E4A73">
        <w:rPr>
          <w:sz w:val="24"/>
          <w:lang w:val="uk-UA"/>
        </w:rPr>
        <w:t>).</w:t>
      </w:r>
    </w:p>
    <w:p w:rsidR="00CF5A29" w:rsidRPr="005E4A73" w:rsidRDefault="00CF5A29" w:rsidP="00CF5A29">
      <w:pPr>
        <w:pStyle w:val="26"/>
        <w:tabs>
          <w:tab w:val="left" w:pos="-1980"/>
        </w:tabs>
        <w:ind w:firstLine="540"/>
      </w:pPr>
      <w:r w:rsidRPr="005E4A73">
        <w:t>Апробація й аналіз розробленої анкети були проведені на базі 2-х поліклінічних об'єднань м. Харкова (міська поліклініка № 26, поліклініка ГКБ № 11).</w:t>
      </w:r>
      <w:r>
        <w:t xml:space="preserve"> </w:t>
      </w:r>
      <w:r w:rsidRPr="005E4A73">
        <w:t>На основі анкети-опитувальника було складене комп'ютерне підсумування негативних значень обстежених пацієнтів на рівні поліклінічної ланки.</w:t>
      </w:r>
    </w:p>
    <w:p w:rsidR="00CF5A29" w:rsidRPr="005E4A73" w:rsidRDefault="00CF5A29" w:rsidP="00CF5A29">
      <w:pPr>
        <w:spacing w:line="360" w:lineRule="auto"/>
        <w:ind w:firstLine="540"/>
        <w:jc w:val="both"/>
      </w:pPr>
      <w:r w:rsidRPr="005E4A73">
        <w:t>Усім пацієнтам, що звернулися за медичною допомогою в поліклініку до лікаря, не залежно від його спеціалізації, було рекомендовано проводити анкетування, з наступною обробкою заповнених анкет з подальшим розподілом пацієнтів за групами ризику.</w:t>
      </w:r>
      <w:r w:rsidRPr="00190357">
        <w:t xml:space="preserve"> </w:t>
      </w:r>
      <w:r w:rsidRPr="005E4A73">
        <w:t>Пацієнтам з підвищеним ризиком показане ґрунтовне, цілеспрямоване обстеження, можливо, включаючи стаціонарне, з ретельною візуальною оцінкою слизової оболонки шлунка і біопсією</w:t>
      </w:r>
    </w:p>
    <w:p w:rsidR="00CF5A29" w:rsidRPr="005E4A73" w:rsidRDefault="00CF5A29" w:rsidP="00CF5A29">
      <w:pPr>
        <w:pStyle w:val="af6"/>
        <w:tabs>
          <w:tab w:val="left" w:pos="-1980"/>
        </w:tabs>
        <w:ind w:firstLine="540"/>
      </w:pPr>
      <w:r w:rsidRPr="005E4A73">
        <w:lastRenderedPageBreak/>
        <w:t>За програмою скринінгу, що включала анкету-опитувальник, було обстежено 1642 осіб, з яких пацієнти з низьким ризиком склали 1098 осіб.(66,8 ± 1,5 %), з середнім ─ 447 осіб (27,2 ± 2,8 %) і з високим ризиком розвитку раку шлунка ─ 97 осіб (6,0 ± 3,7 %).</w:t>
      </w:r>
    </w:p>
    <w:p w:rsidR="00CF5A29" w:rsidRPr="005E4A73" w:rsidRDefault="00CF5A29" w:rsidP="00CF5A29">
      <w:pPr>
        <w:pStyle w:val="24"/>
        <w:jc w:val="both"/>
      </w:pPr>
      <w:r w:rsidRPr="005E4A73">
        <w:t>За 4 роки спостереження (2002−2005 р</w:t>
      </w:r>
      <w:r>
        <w:t>р.</w:t>
      </w:r>
      <w:r w:rsidRPr="005E4A73">
        <w:t xml:space="preserve">) у хворих з низьким ризиком розвитку </w:t>
      </w:r>
      <w:r>
        <w:t>РШ</w:t>
      </w:r>
      <w:r w:rsidRPr="005E4A73">
        <w:t xml:space="preserve"> не спостерігали, у пацієнтів з середнім ризиком − було виявлено 18 (4,0 ± 2,3 %) випадків захворювання, а серед пацієнтів з високим ризиком − виявлено 38 (39</w:t>
      </w:r>
      <w:r>
        <w:t>,1 ± 1,5 %) випадків РШ. Таким чином, в результаті дослідження</w:t>
      </w:r>
      <w:r w:rsidRPr="005E4A73">
        <w:t xml:space="preserve"> </w:t>
      </w:r>
      <w:r>
        <w:t xml:space="preserve">виявлено </w:t>
      </w:r>
      <w:r w:rsidRPr="005E4A73">
        <w:t>56 (3,4±2,3 %) хворих</w:t>
      </w:r>
      <w:r>
        <w:t xml:space="preserve"> осіб</w:t>
      </w:r>
      <w:r w:rsidRPr="005E4A73">
        <w:t>.</w:t>
      </w:r>
    </w:p>
    <w:p w:rsidR="00CF5A29" w:rsidRPr="005E4A73" w:rsidRDefault="00CF5A29" w:rsidP="00CF5A29">
      <w:pPr>
        <w:pStyle w:val="24"/>
        <w:jc w:val="both"/>
      </w:pPr>
      <w:r w:rsidRPr="005E4A73">
        <w:t>Слід зазначити, що в зазначених випадках, в III – IV стадіях виявлено 40 хворих (70,2 ± 0,7 %), а в I – II стадіях - 16 хворих (28,6 ± 0,9 %).</w:t>
      </w:r>
    </w:p>
    <w:p w:rsidR="00CF5A29" w:rsidRDefault="00CF5A29" w:rsidP="00CF5A29">
      <w:pPr>
        <w:pStyle w:val="24"/>
        <w:jc w:val="both"/>
      </w:pPr>
      <w:r w:rsidRPr="005E4A73">
        <w:t xml:space="preserve">Таким чином, </w:t>
      </w:r>
      <w:r>
        <w:t>п</w:t>
      </w:r>
      <w:r w:rsidRPr="005E4A73">
        <w:t xml:space="preserve">орівняно з основною групою хворих вдалось підвищити виявлення </w:t>
      </w:r>
      <w:r>
        <w:t xml:space="preserve">РШ </w:t>
      </w:r>
      <w:r w:rsidRPr="005E4A73">
        <w:t>на ранніх стадіях захворювання з 20,6 ± 3,9 % до 28,6 ± 0,9 %</w:t>
      </w:r>
      <w:r>
        <w:t xml:space="preserve">.  </w:t>
      </w:r>
      <w:r w:rsidRPr="005E4A73">
        <w:t xml:space="preserve">Цей показник </w:t>
      </w:r>
      <w:r>
        <w:t>(8,0 ± 3,0 %)</w:t>
      </w:r>
      <w:r w:rsidRPr="00DF15AC">
        <w:t xml:space="preserve"> </w:t>
      </w:r>
      <w:r w:rsidRPr="005E4A73">
        <w:t>не високий, однак вірогідний</w:t>
      </w:r>
      <w:r>
        <w:t xml:space="preserve"> </w:t>
      </w:r>
      <w:r w:rsidRPr="00DF15AC">
        <w:t>(</w:t>
      </w:r>
      <w:r>
        <w:rPr>
          <w:lang w:val="en-US"/>
        </w:rPr>
        <w:t>p</w:t>
      </w:r>
      <w:r>
        <w:t>&lt;0</w:t>
      </w:r>
      <w:r w:rsidRPr="00DF15AC">
        <w:t>,05)</w:t>
      </w:r>
      <w:r w:rsidRPr="005E4A73">
        <w:t>.</w:t>
      </w:r>
    </w:p>
    <w:p w:rsidR="00CF5A29" w:rsidRDefault="00CF5A29" w:rsidP="00CF5A29">
      <w:pPr>
        <w:spacing w:line="360" w:lineRule="auto"/>
        <w:rPr>
          <w:b/>
          <w:bCs/>
        </w:rPr>
      </w:pPr>
    </w:p>
    <w:p w:rsidR="00CF5A29" w:rsidRPr="005E4A73" w:rsidRDefault="00CF5A29" w:rsidP="00CF5A29">
      <w:pPr>
        <w:spacing w:line="360" w:lineRule="auto"/>
        <w:jc w:val="center"/>
        <w:rPr>
          <w:b/>
          <w:bCs/>
        </w:rPr>
      </w:pPr>
      <w:r>
        <w:rPr>
          <w:b/>
          <w:bCs/>
        </w:rPr>
        <w:t>ВИСНОВКИ</w:t>
      </w:r>
    </w:p>
    <w:p w:rsidR="00CF5A29" w:rsidRDefault="00CF5A29" w:rsidP="00ED3F47">
      <w:pPr>
        <w:numPr>
          <w:ilvl w:val="0"/>
          <w:numId w:val="41"/>
        </w:numPr>
        <w:tabs>
          <w:tab w:val="clear" w:pos="1080"/>
          <w:tab w:val="num" w:pos="540"/>
        </w:tabs>
        <w:spacing w:after="0" w:line="360" w:lineRule="auto"/>
        <w:ind w:left="540" w:hanging="540"/>
        <w:jc w:val="both"/>
      </w:pPr>
      <w:r w:rsidRPr="005E4A73">
        <w:t xml:space="preserve">Скринінгова система раннього розпізнавання РШ перебуває в стані вивчення і формування у зв’язку з відсутністю об'єктивних критеріїв побудови скринінгу. Одна з </w:t>
      </w:r>
    </w:p>
    <w:p w:rsidR="00CF5A29" w:rsidRDefault="00CF5A29" w:rsidP="00CF5A29">
      <w:pPr>
        <w:tabs>
          <w:tab w:val="num" w:pos="540"/>
        </w:tabs>
        <w:spacing w:line="360" w:lineRule="auto"/>
        <w:ind w:left="540" w:hanging="540"/>
        <w:jc w:val="both"/>
      </w:pPr>
    </w:p>
    <w:p w:rsidR="00CF5A29" w:rsidRDefault="00CF5A29" w:rsidP="00CF5A29">
      <w:pPr>
        <w:tabs>
          <w:tab w:val="num" w:pos="540"/>
        </w:tabs>
        <w:spacing w:line="360" w:lineRule="auto"/>
        <w:ind w:left="540" w:hanging="540"/>
        <w:jc w:val="center"/>
      </w:pPr>
      <w:r>
        <w:t>16</w:t>
      </w:r>
    </w:p>
    <w:p w:rsidR="00CF5A29" w:rsidRPr="005E4A73" w:rsidRDefault="00CF5A29" w:rsidP="00CF5A29">
      <w:pPr>
        <w:tabs>
          <w:tab w:val="num" w:pos="540"/>
        </w:tabs>
        <w:spacing w:line="360" w:lineRule="auto"/>
        <w:ind w:left="540"/>
        <w:jc w:val="both"/>
      </w:pPr>
      <w:r w:rsidRPr="005E4A73">
        <w:t>причин невдач спроб сформувати скринінг РШ полягає в довільній інтерпретації прогностичних факторів і відсутність їхнього пріоритетного значення.</w:t>
      </w:r>
    </w:p>
    <w:p w:rsidR="00CF5A29" w:rsidRPr="005E4A73" w:rsidRDefault="00CF5A29" w:rsidP="00ED3F47">
      <w:pPr>
        <w:numPr>
          <w:ilvl w:val="0"/>
          <w:numId w:val="41"/>
        </w:numPr>
        <w:tabs>
          <w:tab w:val="clear" w:pos="1080"/>
          <w:tab w:val="num" w:pos="540"/>
          <w:tab w:val="num" w:pos="720"/>
        </w:tabs>
        <w:spacing w:after="0" w:line="360" w:lineRule="auto"/>
        <w:ind w:left="540" w:hanging="540"/>
        <w:jc w:val="both"/>
      </w:pPr>
      <w:r w:rsidRPr="005E4A73">
        <w:t>Застосування математичних і статистичних методів аналізу дозволили дати об’єктивну кількісну і рангову оцінку факторам ризику РШ, виділивши, таким чином, лише достовірні критерії виникнення даного захворювання. Встановлено найбільш вагомі фактори ризику РШ, які розподілено послідовно за рангом</w:t>
      </w:r>
      <w:r w:rsidRPr="005E4A73">
        <w:rPr>
          <w:b/>
          <w:bCs/>
        </w:rPr>
        <w:t>:</w:t>
      </w:r>
    </w:p>
    <w:p w:rsidR="00CF5A29" w:rsidRPr="005E4A73" w:rsidRDefault="00CF5A29" w:rsidP="00CF5A29">
      <w:pPr>
        <w:tabs>
          <w:tab w:val="num" w:pos="-1980"/>
        </w:tabs>
        <w:spacing w:line="360" w:lineRule="auto"/>
        <w:ind w:left="720"/>
        <w:jc w:val="both"/>
      </w:pPr>
      <w:r w:rsidRPr="005E4A73">
        <w:t>─ поліпи шлунка</w:t>
      </w:r>
      <w:r w:rsidRPr="005E4A73">
        <w:tab/>
      </w:r>
      <w:r w:rsidRPr="005E4A73">
        <w:tab/>
      </w:r>
      <w:r w:rsidRPr="005E4A73">
        <w:tab/>
      </w:r>
      <w:r w:rsidRPr="005E4A73">
        <w:tab/>
      </w:r>
      <w:r w:rsidRPr="005E4A73">
        <w:tab/>
        <w:t>(J = – 1,89);</w:t>
      </w:r>
    </w:p>
    <w:p w:rsidR="00CF5A29" w:rsidRPr="005E4A73" w:rsidRDefault="00CF5A29" w:rsidP="00CF5A29">
      <w:pPr>
        <w:tabs>
          <w:tab w:val="num" w:pos="-1980"/>
        </w:tabs>
        <w:spacing w:line="360" w:lineRule="auto"/>
        <w:ind w:left="720"/>
        <w:jc w:val="both"/>
      </w:pPr>
      <w:r w:rsidRPr="005E4A73">
        <w:t>─ виразка шлунка</w:t>
      </w:r>
      <w:r w:rsidRPr="005E4A73">
        <w:tab/>
      </w:r>
      <w:r w:rsidRPr="005E4A73">
        <w:tab/>
      </w:r>
      <w:r w:rsidRPr="005E4A73">
        <w:tab/>
      </w:r>
      <w:r w:rsidRPr="005E4A73">
        <w:tab/>
      </w:r>
      <w:r w:rsidRPr="005E4A73">
        <w:tab/>
        <w:t>(J = – 1,79);</w:t>
      </w:r>
    </w:p>
    <w:p w:rsidR="00CF5A29" w:rsidRPr="005E4A73" w:rsidRDefault="00CF5A29" w:rsidP="00CF5A29">
      <w:pPr>
        <w:tabs>
          <w:tab w:val="num" w:pos="-1980"/>
        </w:tabs>
        <w:spacing w:line="360" w:lineRule="auto"/>
        <w:ind w:left="720"/>
        <w:jc w:val="both"/>
      </w:pPr>
      <w:r w:rsidRPr="005E4A73">
        <w:t xml:space="preserve">─ порушення режиму і характеру харчування </w:t>
      </w:r>
      <w:r w:rsidRPr="005E4A73">
        <w:tab/>
        <w:t>(J = – 1,70 ; – 1,52);</w:t>
      </w:r>
    </w:p>
    <w:p w:rsidR="00CF5A29" w:rsidRPr="005E4A73" w:rsidRDefault="00CF5A29" w:rsidP="00CF5A29">
      <w:pPr>
        <w:tabs>
          <w:tab w:val="num" w:pos="-1980"/>
        </w:tabs>
        <w:spacing w:line="360" w:lineRule="auto"/>
        <w:ind w:left="720"/>
        <w:jc w:val="both"/>
      </w:pPr>
      <w:r w:rsidRPr="005E4A73">
        <w:t>─ наявність шкідливих звичок і</w:t>
      </w:r>
    </w:p>
    <w:p w:rsidR="00CF5A29" w:rsidRPr="005E4A73" w:rsidRDefault="00CF5A29" w:rsidP="00CF5A29">
      <w:pPr>
        <w:tabs>
          <w:tab w:val="num" w:pos="-1980"/>
        </w:tabs>
        <w:spacing w:line="360" w:lineRule="auto"/>
        <w:ind w:left="720"/>
        <w:jc w:val="both"/>
      </w:pPr>
      <w:r w:rsidRPr="005E4A73">
        <w:t xml:space="preserve">    інтенсивне тютюнопаління </w:t>
      </w:r>
      <w:r w:rsidRPr="005E4A73">
        <w:tab/>
      </w:r>
      <w:r w:rsidRPr="005E4A73">
        <w:tab/>
      </w:r>
      <w:r w:rsidRPr="005E4A73">
        <w:tab/>
        <w:t>(J = – 1,60);</w:t>
      </w:r>
    </w:p>
    <w:p w:rsidR="00CF5A29" w:rsidRPr="005E4A73" w:rsidRDefault="00CF5A29" w:rsidP="00CF5A29">
      <w:pPr>
        <w:tabs>
          <w:tab w:val="num" w:pos="-1980"/>
        </w:tabs>
        <w:spacing w:line="360" w:lineRule="auto"/>
        <w:ind w:left="720"/>
        <w:jc w:val="both"/>
      </w:pPr>
      <w:r>
        <w:lastRenderedPageBreak/>
        <w:t>─ онкологічна спадковість</w:t>
      </w:r>
      <w:r>
        <w:tab/>
      </w:r>
      <w:r>
        <w:tab/>
      </w:r>
      <w:r>
        <w:tab/>
      </w:r>
      <w:r>
        <w:tab/>
      </w:r>
      <w:r w:rsidRPr="005E4A73">
        <w:t>(J = – 1,32),</w:t>
      </w:r>
    </w:p>
    <w:p w:rsidR="00CF5A29" w:rsidRPr="005E4A73" w:rsidRDefault="00CF5A29" w:rsidP="00CF5A29">
      <w:pPr>
        <w:tabs>
          <w:tab w:val="num" w:pos="-1980"/>
        </w:tabs>
        <w:spacing w:line="360" w:lineRule="auto"/>
        <w:ind w:left="720"/>
        <w:jc w:val="both"/>
      </w:pPr>
      <w:r w:rsidRPr="005E4A73">
        <w:t>─ хелікобактерна інфекція і низька</w:t>
      </w:r>
    </w:p>
    <w:p w:rsidR="00CF5A29" w:rsidRPr="005E4A73" w:rsidRDefault="00CF5A29" w:rsidP="00CF5A29">
      <w:pPr>
        <w:tabs>
          <w:tab w:val="num" w:pos="-1980"/>
        </w:tabs>
        <w:spacing w:line="360" w:lineRule="auto"/>
        <w:ind w:left="720"/>
        <w:jc w:val="both"/>
      </w:pPr>
      <w:r w:rsidRPr="005E4A73">
        <w:t xml:space="preserve">    продукція соляної кислоти в шлунку</w:t>
      </w:r>
      <w:r w:rsidRPr="005E4A73">
        <w:tab/>
      </w:r>
      <w:r w:rsidRPr="005E4A73">
        <w:tab/>
        <w:t>(J = – 1,20 ; – 1,21).</w:t>
      </w:r>
    </w:p>
    <w:p w:rsidR="00CF5A29" w:rsidRPr="005E4A73" w:rsidRDefault="00CF5A29" w:rsidP="00ED3F47">
      <w:pPr>
        <w:numPr>
          <w:ilvl w:val="0"/>
          <w:numId w:val="41"/>
        </w:numPr>
        <w:tabs>
          <w:tab w:val="clear" w:pos="1080"/>
          <w:tab w:val="num" w:pos="-1800"/>
        </w:tabs>
        <w:spacing w:after="0" w:line="360" w:lineRule="auto"/>
        <w:ind w:left="720" w:hanging="720"/>
        <w:jc w:val="both"/>
      </w:pPr>
      <w:r w:rsidRPr="005E4A73">
        <w:t>Встановлено відмінності факторів ризику РШ з урахуванням статевого розходження. У хворих чоловічої статі факторами ризику РШ були :</w:t>
      </w:r>
    </w:p>
    <w:p w:rsidR="00CF5A29" w:rsidRPr="005E4A73" w:rsidRDefault="00CF5A29" w:rsidP="00CF5A29">
      <w:pPr>
        <w:tabs>
          <w:tab w:val="num" w:pos="-1800"/>
        </w:tabs>
        <w:spacing w:line="360" w:lineRule="auto"/>
        <w:ind w:left="720"/>
        <w:jc w:val="both"/>
      </w:pPr>
      <w:r w:rsidRPr="005E4A73">
        <w:t xml:space="preserve">─ виразка шлунка </w:t>
      </w:r>
      <w:r w:rsidRPr="005E4A73">
        <w:tab/>
      </w:r>
      <w:r w:rsidRPr="005E4A73">
        <w:tab/>
      </w:r>
      <w:r w:rsidRPr="005E4A73">
        <w:tab/>
      </w:r>
      <w:r w:rsidRPr="005E4A73">
        <w:tab/>
      </w:r>
      <w:r w:rsidRPr="005E4A73">
        <w:tab/>
        <w:t>(J = – 2,58);</w:t>
      </w:r>
    </w:p>
    <w:p w:rsidR="00CF5A29" w:rsidRPr="005E4A73" w:rsidRDefault="00CF5A29" w:rsidP="00CF5A29">
      <w:pPr>
        <w:tabs>
          <w:tab w:val="num" w:pos="-1800"/>
        </w:tabs>
        <w:spacing w:line="360" w:lineRule="auto"/>
        <w:ind w:left="720"/>
        <w:jc w:val="both"/>
      </w:pPr>
      <w:r w:rsidRPr="005E4A73">
        <w:t xml:space="preserve">─ поліпи шлунка </w:t>
      </w:r>
      <w:r w:rsidRPr="005E4A73">
        <w:tab/>
      </w:r>
      <w:r w:rsidRPr="005E4A73">
        <w:tab/>
      </w:r>
      <w:r w:rsidRPr="005E4A73">
        <w:tab/>
      </w:r>
      <w:r w:rsidRPr="005E4A73">
        <w:tab/>
      </w:r>
      <w:r w:rsidRPr="005E4A73">
        <w:tab/>
        <w:t>(J = – 1,71);</w:t>
      </w:r>
    </w:p>
    <w:p w:rsidR="00CF5A29" w:rsidRPr="005E4A73" w:rsidRDefault="00CF5A29" w:rsidP="00CF5A29">
      <w:pPr>
        <w:tabs>
          <w:tab w:val="num" w:pos="-1800"/>
        </w:tabs>
        <w:spacing w:line="360" w:lineRule="auto"/>
        <w:ind w:left="720"/>
        <w:jc w:val="both"/>
      </w:pPr>
      <w:r w:rsidRPr="005E4A73">
        <w:t>─ шкідливі звички у виді тривалого, інтенсивного</w:t>
      </w:r>
    </w:p>
    <w:p w:rsidR="00CF5A29" w:rsidRPr="005E4A73" w:rsidRDefault="00CF5A29" w:rsidP="00CF5A29">
      <w:pPr>
        <w:tabs>
          <w:tab w:val="num" w:pos="-1800"/>
        </w:tabs>
        <w:spacing w:line="360" w:lineRule="auto"/>
        <w:ind w:left="720"/>
        <w:jc w:val="both"/>
      </w:pPr>
      <w:r w:rsidRPr="005E4A73">
        <w:t xml:space="preserve">    тютюнопаління і прийому алкоголю </w:t>
      </w:r>
      <w:r w:rsidRPr="005E4A73">
        <w:tab/>
      </w:r>
      <w:r w:rsidRPr="005E4A73">
        <w:tab/>
        <w:t>(J = – 2,54 ; – 1,09).</w:t>
      </w:r>
    </w:p>
    <w:p w:rsidR="00CF5A29" w:rsidRPr="005E4A73" w:rsidRDefault="00CF5A29" w:rsidP="00CF5A29">
      <w:pPr>
        <w:tabs>
          <w:tab w:val="num" w:pos="-1800"/>
        </w:tabs>
        <w:spacing w:line="360" w:lineRule="auto"/>
        <w:ind w:left="720"/>
        <w:jc w:val="both"/>
      </w:pPr>
      <w:r w:rsidRPr="005E4A73">
        <w:t>У хворих жіночої статі послідовність факторів ризику розподілена наступним чином:</w:t>
      </w:r>
    </w:p>
    <w:p w:rsidR="00CF5A29" w:rsidRPr="005E4A73" w:rsidRDefault="00CF5A29" w:rsidP="00CF5A29">
      <w:pPr>
        <w:tabs>
          <w:tab w:val="num" w:pos="-1800"/>
        </w:tabs>
        <w:spacing w:line="360" w:lineRule="auto"/>
        <w:ind w:left="720"/>
        <w:jc w:val="both"/>
      </w:pPr>
      <w:r w:rsidRPr="005E4A73">
        <w:t xml:space="preserve">─ поліпи шлунка </w:t>
      </w:r>
      <w:r w:rsidRPr="005E4A73">
        <w:tab/>
      </w:r>
      <w:r w:rsidRPr="005E4A73">
        <w:tab/>
      </w:r>
      <w:r w:rsidRPr="005E4A73">
        <w:tab/>
      </w:r>
      <w:r w:rsidRPr="005E4A73">
        <w:tab/>
      </w:r>
      <w:r w:rsidRPr="005E4A73">
        <w:tab/>
        <w:t>(J = – 2,40);</w:t>
      </w:r>
    </w:p>
    <w:p w:rsidR="00CF5A29" w:rsidRPr="005E4A73" w:rsidRDefault="00CF5A29" w:rsidP="00CF5A29">
      <w:pPr>
        <w:tabs>
          <w:tab w:val="num" w:pos="-1800"/>
        </w:tabs>
        <w:spacing w:line="360" w:lineRule="auto"/>
        <w:ind w:left="720"/>
        <w:jc w:val="both"/>
      </w:pPr>
      <w:r w:rsidRPr="005E4A73">
        <w:t xml:space="preserve">─ виразка шлунка </w:t>
      </w:r>
      <w:r w:rsidRPr="005E4A73">
        <w:tab/>
      </w:r>
      <w:r w:rsidRPr="005E4A73">
        <w:tab/>
      </w:r>
      <w:r w:rsidRPr="005E4A73">
        <w:tab/>
      </w:r>
      <w:r w:rsidRPr="005E4A73">
        <w:tab/>
      </w:r>
      <w:r w:rsidRPr="005E4A73">
        <w:tab/>
        <w:t>(J = – 2,12);</w:t>
      </w:r>
    </w:p>
    <w:p w:rsidR="00CF5A29" w:rsidRPr="005E4A73" w:rsidRDefault="00CF5A29" w:rsidP="00CF5A29">
      <w:pPr>
        <w:tabs>
          <w:tab w:val="num" w:pos="-1800"/>
        </w:tabs>
        <w:spacing w:line="360" w:lineRule="auto"/>
        <w:ind w:left="720"/>
        <w:jc w:val="both"/>
      </w:pPr>
      <w:r w:rsidRPr="005E4A73">
        <w:t xml:space="preserve">─ порушення режиму і характеру харчування </w:t>
      </w:r>
      <w:r w:rsidRPr="005E4A73">
        <w:tab/>
        <w:t>(J = – 1,87 ; – 1,18).</w:t>
      </w:r>
    </w:p>
    <w:p w:rsidR="00CF5A29" w:rsidRPr="005E4A73" w:rsidRDefault="00CF5A29" w:rsidP="00ED3F47">
      <w:pPr>
        <w:numPr>
          <w:ilvl w:val="0"/>
          <w:numId w:val="41"/>
        </w:numPr>
        <w:tabs>
          <w:tab w:val="clear" w:pos="1080"/>
          <w:tab w:val="num" w:pos="-2160"/>
        </w:tabs>
        <w:spacing w:after="0" w:line="360" w:lineRule="auto"/>
        <w:ind w:left="720" w:hanging="720"/>
        <w:jc w:val="both"/>
      </w:pPr>
      <w:r w:rsidRPr="005E4A73">
        <w:t>Обґрунтовано доцільність розподілу контингенту на групи ризику за сумарним значенням факторів для подальшого посиленого обстеження і спостереження. Сумарне значення факторів ризику дозволяє формувати хворих на три групи ризику на рівні поліклінічної ланки</w:t>
      </w:r>
      <w:r w:rsidRPr="005E4A73">
        <w:rPr>
          <w:b/>
          <w:bCs/>
        </w:rPr>
        <w:t>:</w:t>
      </w:r>
    </w:p>
    <w:p w:rsidR="00CF5A29" w:rsidRPr="005E4A73" w:rsidRDefault="00CF5A29" w:rsidP="00CF5A29">
      <w:pPr>
        <w:spacing w:line="360" w:lineRule="auto"/>
        <w:ind w:left="720"/>
        <w:jc w:val="both"/>
      </w:pPr>
      <w:r w:rsidRPr="005E4A73">
        <w:t xml:space="preserve">─ </w:t>
      </w:r>
      <w:r w:rsidRPr="005E4A73">
        <w:rPr>
          <w:b/>
          <w:bCs/>
        </w:rPr>
        <w:t>низького      (</w:t>
      </w:r>
      <w:r w:rsidRPr="005E4A73">
        <w:t>30 %</w:t>
      </w:r>
      <w:r w:rsidRPr="005E4A73">
        <w:rPr>
          <w:b/>
          <w:bCs/>
        </w:rPr>
        <w:t>)</w:t>
      </w:r>
      <w:r w:rsidRPr="005E4A73">
        <w:rPr>
          <w:b/>
          <w:bCs/>
        </w:rPr>
        <w:tab/>
      </w:r>
      <w:r w:rsidRPr="005E4A73">
        <w:rPr>
          <w:b/>
          <w:bCs/>
        </w:rPr>
        <w:tab/>
      </w:r>
      <w:r w:rsidRPr="005E4A73">
        <w:rPr>
          <w:b/>
          <w:bCs/>
        </w:rPr>
        <w:tab/>
      </w:r>
      <w:r w:rsidRPr="005E4A73">
        <w:rPr>
          <w:b/>
          <w:bCs/>
        </w:rPr>
        <w:tab/>
      </w:r>
      <w:r w:rsidRPr="005E4A73">
        <w:t>J = від 0 до – 7,70;</w:t>
      </w:r>
    </w:p>
    <w:p w:rsidR="00CF5A29" w:rsidRPr="005E4A73" w:rsidRDefault="00CF5A29" w:rsidP="00CF5A29">
      <w:pPr>
        <w:spacing w:line="360" w:lineRule="auto"/>
        <w:ind w:left="720"/>
        <w:jc w:val="both"/>
      </w:pPr>
      <w:r w:rsidRPr="005E4A73">
        <w:t xml:space="preserve">─ </w:t>
      </w:r>
      <w:r w:rsidRPr="005E4A73">
        <w:rPr>
          <w:b/>
          <w:bCs/>
        </w:rPr>
        <w:t>середнього   (</w:t>
      </w:r>
      <w:r w:rsidRPr="005E4A73">
        <w:t>70 %</w:t>
      </w:r>
      <w:r w:rsidRPr="005E4A73">
        <w:rPr>
          <w:b/>
          <w:bCs/>
        </w:rPr>
        <w:t>)</w:t>
      </w:r>
      <w:r w:rsidRPr="005E4A73">
        <w:rPr>
          <w:b/>
          <w:bCs/>
        </w:rPr>
        <w:tab/>
      </w:r>
      <w:r w:rsidRPr="005E4A73">
        <w:rPr>
          <w:b/>
          <w:bCs/>
        </w:rPr>
        <w:tab/>
      </w:r>
      <w:r w:rsidRPr="005E4A73">
        <w:rPr>
          <w:b/>
          <w:bCs/>
        </w:rPr>
        <w:tab/>
      </w:r>
      <w:r w:rsidRPr="005E4A73">
        <w:rPr>
          <w:b/>
          <w:bCs/>
        </w:rPr>
        <w:tab/>
      </w:r>
      <w:r w:rsidRPr="005E4A73">
        <w:t>J = від – 7,71 до – 15,38;</w:t>
      </w:r>
    </w:p>
    <w:p w:rsidR="00CF5A29" w:rsidRPr="005E4A73" w:rsidRDefault="00CF5A29" w:rsidP="00CF5A29">
      <w:pPr>
        <w:spacing w:line="360" w:lineRule="auto"/>
        <w:ind w:left="720"/>
        <w:jc w:val="both"/>
      </w:pPr>
      <w:r w:rsidRPr="005E4A73">
        <w:t xml:space="preserve">─ </w:t>
      </w:r>
      <w:r w:rsidRPr="005E4A73">
        <w:rPr>
          <w:b/>
          <w:bCs/>
        </w:rPr>
        <w:t>високого      (</w:t>
      </w:r>
      <w:r w:rsidRPr="005E4A73">
        <w:t>100 %</w:t>
      </w:r>
      <w:r w:rsidRPr="005E4A73">
        <w:rPr>
          <w:b/>
          <w:bCs/>
        </w:rPr>
        <w:t>)</w:t>
      </w:r>
      <w:r w:rsidRPr="005E4A73">
        <w:tab/>
      </w:r>
      <w:r w:rsidRPr="005E4A73">
        <w:tab/>
      </w:r>
      <w:r w:rsidRPr="005E4A73">
        <w:tab/>
      </w:r>
      <w:r w:rsidRPr="005E4A73">
        <w:tab/>
        <w:t xml:space="preserve">J = від – 15,38 до – 23,08 </w:t>
      </w:r>
    </w:p>
    <w:p w:rsidR="00CF5A29" w:rsidRPr="005E4A73" w:rsidRDefault="00CF5A29" w:rsidP="00ED3F47">
      <w:pPr>
        <w:numPr>
          <w:ilvl w:val="0"/>
          <w:numId w:val="41"/>
        </w:numPr>
        <w:tabs>
          <w:tab w:val="clear" w:pos="1080"/>
          <w:tab w:val="num" w:pos="-1980"/>
        </w:tabs>
        <w:spacing w:after="0" w:line="360" w:lineRule="auto"/>
        <w:ind w:left="720" w:hanging="720"/>
        <w:jc w:val="both"/>
      </w:pPr>
      <w:r w:rsidRPr="005E4A73">
        <w:t xml:space="preserve">На основі кількісного і рангового значення факторів ризику РШ, розроблено оригінальну анкету-опитувальник з мінімальною кількістю запитань (20), доступних для розуміння пацієнтами будь-якого соціального рівня, з метою її використання на </w:t>
      </w:r>
    </w:p>
    <w:p w:rsidR="00CF5A29" w:rsidRDefault="00CF5A29" w:rsidP="00CF5A29">
      <w:pPr>
        <w:spacing w:line="360" w:lineRule="auto"/>
        <w:ind w:left="720"/>
        <w:jc w:val="center"/>
      </w:pPr>
      <w:r>
        <w:t>17</w:t>
      </w:r>
    </w:p>
    <w:p w:rsidR="00CF5A29" w:rsidRPr="005E4A73" w:rsidRDefault="00CF5A29" w:rsidP="00CF5A29">
      <w:pPr>
        <w:spacing w:line="360" w:lineRule="auto"/>
        <w:ind w:left="720"/>
      </w:pPr>
      <w:r w:rsidRPr="005E4A73">
        <w:t>першому етапі скринін</w:t>
      </w:r>
      <w:r>
        <w:t>гу</w:t>
      </w:r>
    </w:p>
    <w:p w:rsidR="00CF5A29" w:rsidRPr="00063453" w:rsidRDefault="00CF5A29" w:rsidP="00CF5A29">
      <w:pPr>
        <w:tabs>
          <w:tab w:val="num" w:pos="-1980"/>
        </w:tabs>
        <w:spacing w:line="360" w:lineRule="auto"/>
        <w:ind w:left="720" w:hanging="720"/>
        <w:jc w:val="both"/>
      </w:pPr>
      <w:r>
        <w:t>6</w:t>
      </w:r>
      <w:r w:rsidRPr="005E4A73">
        <w:t>.</w:t>
      </w:r>
      <w:r w:rsidRPr="005E4A73">
        <w:tab/>
        <w:t>Застосування анкет-опитувальників на рівні поліклінічної ланки (поліклініка, оглядові кабінети) дозволило вірогідно підвищити з 20,6 ± 3,9 % до 28,6 ± 0,9 % (</w:t>
      </w:r>
      <w:r w:rsidRPr="005E4A73">
        <w:rPr>
          <w:bCs/>
        </w:rPr>
        <w:t>р&lt;0,05</w:t>
      </w:r>
      <w:r w:rsidRPr="005E4A73">
        <w:t xml:space="preserve">) </w:t>
      </w:r>
      <w:r w:rsidRPr="005E4A73">
        <w:rPr>
          <w:u w:val="single"/>
        </w:rPr>
        <w:t>виявлення</w:t>
      </w:r>
      <w:r w:rsidRPr="005E4A73">
        <w:t xml:space="preserve"> РШ в ранніх (Ι–ΙΙ) стадіях. </w:t>
      </w:r>
    </w:p>
    <w:p w:rsidR="00CF5A29" w:rsidRPr="005E4A73" w:rsidRDefault="00CF5A29" w:rsidP="00CF5A29">
      <w:pPr>
        <w:pStyle w:val="6"/>
      </w:pPr>
      <w:r w:rsidRPr="005E4A73">
        <w:lastRenderedPageBreak/>
        <w:t>ПРАКТИЧНІ РЕКОМЕНДАЦІЇ</w:t>
      </w:r>
    </w:p>
    <w:p w:rsidR="00CF5A29" w:rsidRPr="005E4A73" w:rsidRDefault="00CF5A29" w:rsidP="00CF5A29">
      <w:pPr>
        <w:spacing w:line="360" w:lineRule="auto"/>
        <w:ind w:left="360" w:hanging="360"/>
        <w:jc w:val="both"/>
      </w:pPr>
      <w:r w:rsidRPr="005E4A73">
        <w:t xml:space="preserve">1. </w:t>
      </w:r>
      <w:r>
        <w:t xml:space="preserve">Довести до відома </w:t>
      </w:r>
      <w:r w:rsidRPr="005E4A73">
        <w:t xml:space="preserve">лікарів поліклінічної ланки, профілакторіїв, лікувально-діагностичних центрів про роль факторів ризику </w:t>
      </w:r>
      <w:r>
        <w:t>РШ</w:t>
      </w:r>
      <w:r w:rsidRPr="005E4A73">
        <w:t xml:space="preserve"> і їхнього рангового місця.</w:t>
      </w:r>
    </w:p>
    <w:p w:rsidR="00CF5A29" w:rsidRPr="005E4A73" w:rsidRDefault="00CF5A29" w:rsidP="00CF5A29">
      <w:pPr>
        <w:spacing w:line="360" w:lineRule="auto"/>
        <w:ind w:left="360" w:hanging="360"/>
        <w:jc w:val="both"/>
      </w:pPr>
      <w:r w:rsidRPr="005E4A73">
        <w:t>2. Впровадити в практику гастроентерологічних відділень таблицю-матрицю, для класифікації хворих за групами ризику.</w:t>
      </w:r>
    </w:p>
    <w:p w:rsidR="00CF5A29" w:rsidRPr="005E4A73" w:rsidRDefault="00CF5A29" w:rsidP="00CF5A29">
      <w:pPr>
        <w:spacing w:line="360" w:lineRule="auto"/>
        <w:ind w:left="360" w:hanging="360"/>
        <w:jc w:val="both"/>
      </w:pPr>
      <w:r w:rsidRPr="005E4A73">
        <w:t xml:space="preserve">3. Видати методичні рекомендації, з аналізом усіх факторів аліментарного ґенезу, на рівні практичної охорони здоров'я про проведення профілактичних заходів щодо зниження захворювання </w:t>
      </w:r>
      <w:r>
        <w:t>РШ</w:t>
      </w:r>
      <w:r w:rsidRPr="005E4A73">
        <w:t xml:space="preserve"> шляхом лікування хвороби на ранніх стадіях.</w:t>
      </w:r>
    </w:p>
    <w:p w:rsidR="00CF5A29" w:rsidRDefault="00CF5A29" w:rsidP="00CF5A29">
      <w:pPr>
        <w:pStyle w:val="5"/>
      </w:pPr>
    </w:p>
    <w:p w:rsidR="00CF5A29" w:rsidRDefault="00CF5A29" w:rsidP="00CF5A29">
      <w:pPr>
        <w:pStyle w:val="5"/>
      </w:pPr>
      <w:r w:rsidRPr="005E4A73">
        <w:t>СПИСОК ОПУБЛІКОВАНИХ РОБІТ ЗА ТЕМОЮ</w:t>
      </w:r>
      <w:r>
        <w:t xml:space="preserve"> </w:t>
      </w:r>
      <w:r w:rsidRPr="005E4A73">
        <w:t>ДИСЕРТАЦІЇ</w:t>
      </w:r>
    </w:p>
    <w:p w:rsidR="00CF5A29" w:rsidRPr="009063A4" w:rsidRDefault="00CF5A29" w:rsidP="00CF5A29"/>
    <w:p w:rsidR="00CF5A29" w:rsidRPr="005E4A73" w:rsidRDefault="00CF5A29" w:rsidP="00CF5A29">
      <w:pPr>
        <w:pStyle w:val="26"/>
        <w:ind w:hanging="560"/>
      </w:pPr>
      <w:r w:rsidRPr="005E4A73">
        <w:t>1.</w:t>
      </w:r>
      <w:r w:rsidRPr="005E4A73">
        <w:tab/>
        <w:t>Герасимова Л. М., Бондаренко Л. А. Прогностические факторы рака жел</w:t>
      </w:r>
      <w:r>
        <w:t>удка с учётом полового различия</w:t>
      </w:r>
      <w:r w:rsidRPr="005E4A73">
        <w:t xml:space="preserve"> // </w:t>
      </w:r>
      <w:r w:rsidRPr="008D03A3">
        <w:t>Нове</w:t>
      </w:r>
      <w:r w:rsidRPr="005E4A73">
        <w:t xml:space="preserve"> в діагностиці та лікуванні онкологічних захворювань</w:t>
      </w:r>
      <w:r>
        <w:t xml:space="preserve"> органів травлення (м. Київ, 10</w:t>
      </w:r>
      <w:r w:rsidRPr="005E4A73">
        <w:t>−12 вересня 2003 р</w:t>
      </w:r>
      <w:r>
        <w:t>.). − Опубл.: З</w:t>
      </w:r>
      <w:r w:rsidRPr="005E4A73">
        <w:t>лоякісні новоутворення: Зб. наук. робіт. − К., 2003. − Вип. 6.−</w:t>
      </w:r>
      <w:r>
        <w:t xml:space="preserve"> </w:t>
      </w:r>
      <w:r w:rsidRPr="005E4A73">
        <w:t>С. 16 − 18.</w:t>
      </w:r>
    </w:p>
    <w:p w:rsidR="00CF5A29" w:rsidRPr="005E4A73" w:rsidRDefault="00CF5A29" w:rsidP="00CF5A29">
      <w:pPr>
        <w:pStyle w:val="26"/>
        <w:ind w:hanging="560"/>
      </w:pPr>
      <w:r w:rsidRPr="005E4A73">
        <w:t>2.</w:t>
      </w:r>
      <w:r w:rsidRPr="005E4A73">
        <w:tab/>
        <w:t>Герасимова Л. М. Рак желудка в свете половых различий // Експериментальна і клінічна медицина. – 2005. – № 4. – С. 128 − 130. (Здобувачем особисто досліджено статеву відмінність виникнення раку шлунка, проведено статистичний аналіз отриманих рез</w:t>
      </w:r>
      <w:r>
        <w:t>ультатів, оформлено статтю.)</w:t>
      </w:r>
    </w:p>
    <w:p w:rsidR="00CF5A29" w:rsidRPr="005E4A73" w:rsidRDefault="00CF5A29" w:rsidP="00CF5A29">
      <w:pPr>
        <w:spacing w:line="360" w:lineRule="auto"/>
        <w:ind w:hanging="560"/>
        <w:jc w:val="both"/>
      </w:pPr>
      <w:r w:rsidRPr="005E4A73">
        <w:t>3.</w:t>
      </w:r>
      <w:r w:rsidRPr="005E4A73">
        <w:tab/>
        <w:t>Шальков Ю. Л., Герасимова Л. М.,</w:t>
      </w:r>
      <w:r>
        <w:t xml:space="preserve"> Михайличенко Л. А. Рак желудка</w:t>
      </w:r>
      <w:r w:rsidRPr="005E4A73">
        <w:rPr>
          <w:b/>
          <w:bCs/>
        </w:rPr>
        <w:t>:</w:t>
      </w:r>
      <w:r w:rsidRPr="005E4A73">
        <w:t xml:space="preserve"> оценка факторов возникнове</w:t>
      </w:r>
      <w:r>
        <w:t>ния в свете личной профилактики</w:t>
      </w:r>
      <w:r w:rsidRPr="005E4A73">
        <w:t xml:space="preserve"> // Харківська хірургічна школа. − 2005. − № 2 (16). – С. 26 − 30. (Здобувачем особисто проведено обчислення демографічного статусу </w:t>
      </w:r>
    </w:p>
    <w:p w:rsidR="00CF5A29" w:rsidRPr="005E4A73" w:rsidRDefault="00CF5A29" w:rsidP="00CF5A29">
      <w:pPr>
        <w:spacing w:line="360" w:lineRule="auto"/>
        <w:jc w:val="both"/>
      </w:pPr>
      <w:r w:rsidRPr="005E4A73">
        <w:t>пацієнтів та аліментарних</w:t>
      </w:r>
      <w:r>
        <w:t xml:space="preserve"> факторів ризику виникнення раку шлунка</w:t>
      </w:r>
      <w:r w:rsidRPr="005E4A73">
        <w:t xml:space="preserve"> за допомогою прогностичного (</w:t>
      </w:r>
      <w:r w:rsidRPr="005E4A73">
        <w:rPr>
          <w:b/>
          <w:bCs/>
        </w:rPr>
        <w:t>Ј</w:t>
      </w:r>
      <w:r w:rsidRPr="005E4A73">
        <w:t>) коефіцієнта</w:t>
      </w:r>
      <w:r>
        <w:t>.)</w:t>
      </w:r>
    </w:p>
    <w:p w:rsidR="00CF5A29" w:rsidRPr="005E4A73" w:rsidRDefault="00CF5A29" w:rsidP="00CF5A29">
      <w:pPr>
        <w:spacing w:line="360" w:lineRule="auto"/>
        <w:ind w:hanging="560"/>
        <w:jc w:val="both"/>
      </w:pPr>
      <w:r w:rsidRPr="005E4A73">
        <w:t>4.</w:t>
      </w:r>
      <w:r w:rsidRPr="005E4A73">
        <w:tab/>
        <w:t>Михайличенко Л. А., Герасимова Л. М. Оценка факторов риска возникновения колоректального рака // Харківська хірургічна школа.</w:t>
      </w:r>
      <w:r>
        <w:t xml:space="preserve"> −</w:t>
      </w:r>
      <w:r w:rsidRPr="005E4A73">
        <w:t xml:space="preserve"> 2004. − № 4 (13). – С. 50 – 54. (Здобувач особисто брала участь у написанні та оформленні статті.)</w:t>
      </w:r>
    </w:p>
    <w:p w:rsidR="00CF5A29" w:rsidRDefault="00CF5A29" w:rsidP="00CF5A29">
      <w:pPr>
        <w:spacing w:line="360" w:lineRule="auto"/>
        <w:ind w:hanging="560"/>
        <w:jc w:val="both"/>
      </w:pPr>
      <w:r w:rsidRPr="005E4A73">
        <w:lastRenderedPageBreak/>
        <w:t>5.</w:t>
      </w:r>
      <w:r w:rsidRPr="005E4A73">
        <w:tab/>
        <w:t>Герасимова Л. М., Михайличенко Л. А. Рак желудка в свете половой принадлежности. // Харківська хірургічна школа. − 2005. − № 1 (14)</w:t>
      </w:r>
      <w:r>
        <w:t>. – С. 18−</w:t>
      </w:r>
      <w:r w:rsidRPr="005E4A73">
        <w:t>22. (Здобувачем особисто проведено обчисленн</w:t>
      </w:r>
      <w:r>
        <w:t>я коефіцієнта</w:t>
      </w:r>
      <w:r w:rsidRPr="005E4A73">
        <w:t xml:space="preserve"> </w:t>
      </w:r>
      <w:r w:rsidRPr="005E4A73">
        <w:rPr>
          <w:bCs/>
        </w:rPr>
        <w:t>t</w:t>
      </w:r>
      <w:r w:rsidRPr="005E4A73">
        <w:t xml:space="preserve"> Стьюден</w:t>
      </w:r>
      <w:r>
        <w:t>та та прогностичного коефіцієнта</w:t>
      </w:r>
      <w:r w:rsidRPr="005E4A73">
        <w:t xml:space="preserve"> (</w:t>
      </w:r>
      <w:r w:rsidRPr="005E4A73">
        <w:rPr>
          <w:b/>
          <w:bCs/>
        </w:rPr>
        <w:t>Ј</w:t>
      </w:r>
      <w:r w:rsidRPr="005E4A73">
        <w:t xml:space="preserve">) відомих факторів </w:t>
      </w:r>
    </w:p>
    <w:p w:rsidR="00CF5A29" w:rsidRPr="005E4A73" w:rsidRDefault="00CF5A29" w:rsidP="00CF5A29">
      <w:pPr>
        <w:spacing w:line="360" w:lineRule="auto"/>
        <w:jc w:val="center"/>
      </w:pPr>
      <w:r>
        <w:t>18</w:t>
      </w:r>
    </w:p>
    <w:p w:rsidR="00CF5A29" w:rsidRPr="005E4A73" w:rsidRDefault="00CF5A29" w:rsidP="00CF5A29">
      <w:pPr>
        <w:pStyle w:val="26"/>
      </w:pPr>
      <w:r>
        <w:t>ризику виникнення раку шлунка</w:t>
      </w:r>
      <w:r w:rsidRPr="005E4A73">
        <w:t xml:space="preserve"> у жінок та чоловіків хворих</w:t>
      </w:r>
      <w:r>
        <w:t xml:space="preserve"> на рак шлунка</w:t>
      </w:r>
      <w:r w:rsidRPr="005E4A73">
        <w:t xml:space="preserve">. Брала участь у </w:t>
      </w:r>
      <w:r>
        <w:t>написанні та оформленні статті.)</w:t>
      </w:r>
    </w:p>
    <w:p w:rsidR="00CF5A29" w:rsidRPr="005E4A73" w:rsidRDefault="00CF5A29" w:rsidP="00CF5A29">
      <w:pPr>
        <w:pStyle w:val="af4"/>
        <w:spacing w:line="360" w:lineRule="auto"/>
        <w:ind w:hanging="560"/>
        <w:rPr>
          <w:sz w:val="24"/>
          <w:lang w:val="uk-UA"/>
        </w:rPr>
      </w:pPr>
      <w:r w:rsidRPr="005E4A73">
        <w:rPr>
          <w:sz w:val="24"/>
          <w:lang w:val="uk-UA"/>
        </w:rPr>
        <w:t>6.</w:t>
      </w:r>
      <w:r w:rsidRPr="005E4A73">
        <w:rPr>
          <w:sz w:val="24"/>
          <w:lang w:val="uk-UA"/>
        </w:rPr>
        <w:tab/>
        <w:t>Шальков Ю. Л., Федченко Ю. Г., Герасимова Л. М. Оцінка факторів ризику раку шлунка в системі скринінгу // IY з’їзд Українського товариства терапевтичних радіологів та радіаційних онкологів</w:t>
      </w:r>
      <w:r>
        <w:rPr>
          <w:sz w:val="24"/>
          <w:lang w:val="uk-UA"/>
        </w:rPr>
        <w:t>: М</w:t>
      </w:r>
      <w:r w:rsidRPr="005E4A73">
        <w:rPr>
          <w:sz w:val="24"/>
          <w:lang w:val="uk-UA"/>
        </w:rPr>
        <w:t>атеріали з’їзду</w:t>
      </w:r>
      <w:r>
        <w:rPr>
          <w:sz w:val="24"/>
          <w:lang w:val="uk-UA"/>
        </w:rPr>
        <w:t>. 27−29 верес</w:t>
      </w:r>
      <w:r w:rsidRPr="005E4A73">
        <w:rPr>
          <w:sz w:val="24"/>
          <w:lang w:val="uk-UA"/>
        </w:rPr>
        <w:t>н</w:t>
      </w:r>
      <w:r>
        <w:rPr>
          <w:sz w:val="24"/>
          <w:lang w:val="uk-UA"/>
        </w:rPr>
        <w:t>я</w:t>
      </w:r>
      <w:r w:rsidRPr="005E4A73">
        <w:rPr>
          <w:sz w:val="24"/>
          <w:lang w:val="uk-UA"/>
        </w:rPr>
        <w:t xml:space="preserve"> 2005 р., Алушта. ─ Опубл.: Укр.</w:t>
      </w:r>
      <w:r>
        <w:rPr>
          <w:sz w:val="24"/>
          <w:lang w:val="uk-UA"/>
        </w:rPr>
        <w:t xml:space="preserve"> </w:t>
      </w:r>
      <w:r w:rsidRPr="005E4A73">
        <w:rPr>
          <w:sz w:val="24"/>
          <w:lang w:val="uk-UA"/>
        </w:rPr>
        <w:t>радіол. журн. − 2005. − Т. 13, вип. 3. − С. 440 – 441.</w:t>
      </w:r>
    </w:p>
    <w:p w:rsidR="00CF5A29" w:rsidRPr="005E4A73" w:rsidRDefault="00CF5A29" w:rsidP="00CF5A29">
      <w:pPr>
        <w:pStyle w:val="24"/>
        <w:ind w:hanging="540"/>
      </w:pPr>
      <w:r w:rsidRPr="005E4A73">
        <w:t>7.</w:t>
      </w:r>
      <w:r w:rsidRPr="005E4A73">
        <w:tab/>
        <w:t>Шальков Ю. Л., Герасимова Л. М., Ворожко А. Г., Мисюра И. И. Новый подход к формиро</w:t>
      </w:r>
      <w:r>
        <w:t>ванию онкологического скрининга</w:t>
      </w:r>
      <w:r w:rsidRPr="005E4A73">
        <w:t xml:space="preserve"> // XI з’їзд онкологів України:</w:t>
      </w:r>
      <w:r>
        <w:t xml:space="preserve"> М</w:t>
      </w:r>
      <w:r w:rsidRPr="005E4A73">
        <w:t>атеріали</w:t>
      </w:r>
      <w:r>
        <w:t xml:space="preserve"> з’їзду.</w:t>
      </w:r>
      <w:r w:rsidRPr="005E4A73">
        <w:t xml:space="preserve"> </w:t>
      </w:r>
      <w:r>
        <w:t>29 трав</w:t>
      </w:r>
      <w:r w:rsidRPr="005E4A73">
        <w:t>н</w:t>
      </w:r>
      <w:r>
        <w:t>я</w:t>
      </w:r>
      <w:r w:rsidRPr="005E4A73">
        <w:t>−</w:t>
      </w:r>
      <w:r>
        <w:t>02 червня</w:t>
      </w:r>
      <w:r w:rsidRPr="005E4A73">
        <w:t xml:space="preserve"> 2006 р.Судак, АР Крим. − К., 2006. ─ С. 17-18.</w:t>
      </w:r>
    </w:p>
    <w:p w:rsidR="00CF5A29" w:rsidRPr="005E4A73" w:rsidRDefault="00CF5A29" w:rsidP="00CF5A29">
      <w:pPr>
        <w:spacing w:line="360" w:lineRule="auto"/>
        <w:ind w:hanging="560"/>
        <w:jc w:val="both"/>
      </w:pPr>
      <w:r w:rsidRPr="005E4A73">
        <w:t>8.</w:t>
      </w:r>
      <w:r w:rsidRPr="005E4A73">
        <w:tab/>
        <w:t>Михайличенко Л. А., Герасимова Л. М. Організаційні причини пізнього розпізнавання колоректального раку // IY з’їзд Українського товариства терапевтичних радіологів та радіаційних онкологів</w:t>
      </w:r>
      <w:r>
        <w:t>. М</w:t>
      </w:r>
      <w:r w:rsidRPr="005E4A73">
        <w:t>атеріали з’їзду</w:t>
      </w:r>
      <w:r>
        <w:t>. 27−29 верес</w:t>
      </w:r>
      <w:r w:rsidRPr="005E4A73">
        <w:t>н</w:t>
      </w:r>
      <w:r>
        <w:t>я</w:t>
      </w:r>
      <w:r w:rsidRPr="005E4A73">
        <w:t xml:space="preserve"> 2005 р., Алушта. ─ Опубл.: Укр.</w:t>
      </w:r>
      <w:r>
        <w:t xml:space="preserve"> </w:t>
      </w:r>
      <w:r w:rsidRPr="005E4A73">
        <w:t xml:space="preserve">радіол. журн. − 2005. − Т. 13, вип. 3. − С. 349 – 351. </w:t>
      </w:r>
    </w:p>
    <w:p w:rsidR="00CF5A29" w:rsidRPr="00C06644" w:rsidRDefault="00CF5A29" w:rsidP="00CF5A29">
      <w:pPr>
        <w:shd w:val="clear" w:color="auto" w:fill="FFFFFF"/>
        <w:spacing w:line="360" w:lineRule="auto"/>
        <w:ind w:right="29" w:hanging="560"/>
        <w:jc w:val="both"/>
      </w:pPr>
      <w:r w:rsidRPr="005E4A73">
        <w:t>9.</w:t>
      </w:r>
      <w:r w:rsidRPr="005E4A73">
        <w:tab/>
        <w:t>Герасимова Л. М.,</w:t>
      </w:r>
      <w:r w:rsidRPr="00C00608">
        <w:t xml:space="preserve"> </w:t>
      </w:r>
      <w:r>
        <w:t>Шальков Ю. Л.,</w:t>
      </w:r>
      <w:r w:rsidRPr="005E4A73">
        <w:t xml:space="preserve"> Михайличенко Л. А. Оценка алиментарных</w:t>
      </w:r>
      <w:r>
        <w:t xml:space="preserve"> факторов в генезе рака желудка</w:t>
      </w:r>
      <w:r w:rsidRPr="005E4A73">
        <w:t xml:space="preserve"> // III съезд онкологов и радиологов СНГ:</w:t>
      </w:r>
      <w:r>
        <w:t xml:space="preserve"> М</w:t>
      </w:r>
      <w:r w:rsidRPr="005E4A73">
        <w:t xml:space="preserve">атериалы съезда </w:t>
      </w:r>
      <w:r>
        <w:t>25−28 мая</w:t>
      </w:r>
      <w:r w:rsidRPr="005E4A73">
        <w:t xml:space="preserve"> </w:t>
      </w:r>
      <w:smartTag w:uri="urn:schemas-microsoft-com:office:smarttags" w:element="metricconverter">
        <w:smartTagPr>
          <w:attr w:name="ProductID" w:val="2004 г"/>
        </w:smartTagPr>
        <w:r w:rsidRPr="005E4A73">
          <w:t>2004 г</w:t>
        </w:r>
      </w:smartTag>
      <w:r w:rsidRPr="005E4A73">
        <w:t xml:space="preserve">. Минск. − 2004. ─ С. 219. </w:t>
      </w:r>
    </w:p>
    <w:p w:rsidR="00CF5A29" w:rsidRPr="005E4A73" w:rsidRDefault="00CF5A29" w:rsidP="00CF5A29">
      <w:pPr>
        <w:shd w:val="clear" w:color="auto" w:fill="FFFFFF"/>
        <w:tabs>
          <w:tab w:val="num" w:pos="-1960"/>
        </w:tabs>
        <w:spacing w:line="360" w:lineRule="auto"/>
        <w:ind w:right="29" w:hanging="560"/>
        <w:jc w:val="both"/>
      </w:pPr>
      <w:r w:rsidRPr="005E4A73">
        <w:t>10.</w:t>
      </w:r>
      <w:r w:rsidRPr="005E4A73">
        <w:tab/>
        <w:t>Михайличенко Л. А., Шальков Ю. Л. Герасимова Л. М. Оценка факторов риска возникновения колоректального рака. // III съезд онкологов и радиологов СНГ</w:t>
      </w:r>
      <w:r>
        <w:t>. М</w:t>
      </w:r>
      <w:r w:rsidRPr="005E4A73">
        <w:t xml:space="preserve">атериалы съезда </w:t>
      </w:r>
      <w:r>
        <w:t>25−28мая</w:t>
      </w:r>
      <w:r w:rsidRPr="005E4A73">
        <w:t xml:space="preserve"> </w:t>
      </w:r>
      <w:smartTag w:uri="urn:schemas-microsoft-com:office:smarttags" w:element="metricconverter">
        <w:smartTagPr>
          <w:attr w:name="ProductID" w:val="2004 г"/>
        </w:smartTagPr>
        <w:r w:rsidRPr="005E4A73">
          <w:t>2004 г</w:t>
        </w:r>
      </w:smartTag>
      <w:r w:rsidRPr="005E4A73">
        <w:t xml:space="preserve">. Минск. 2004. ─ С. 239 – 240. </w:t>
      </w:r>
    </w:p>
    <w:p w:rsidR="00CF5A29" w:rsidRPr="005E4A73" w:rsidRDefault="00CF5A29" w:rsidP="00CF5A29">
      <w:pPr>
        <w:spacing w:line="360" w:lineRule="auto"/>
        <w:ind w:hanging="560"/>
        <w:jc w:val="both"/>
      </w:pPr>
      <w:r w:rsidRPr="005E4A73">
        <w:t>11.</w:t>
      </w:r>
      <w:r w:rsidRPr="005E4A73">
        <w:tab/>
        <w:t xml:space="preserve">Бондаренко Л. А., Шальков Ю. Л. Герасимова Л. М. Рак толстой кишки </w:t>
      </w:r>
      <w:r w:rsidRPr="005E4A73">
        <w:rPr>
          <w:b/>
          <w:bCs/>
        </w:rPr>
        <w:t>:</w:t>
      </w:r>
      <w:r w:rsidRPr="005E4A73">
        <w:t xml:space="preserve"> некоторые особенности половой принадлежности. // Онкология на рубеже XXI века. Возможности и перспективы: Материалы междун. науч. форума, октября, </w:t>
      </w:r>
      <w:smartTag w:uri="urn:schemas-microsoft-com:office:smarttags" w:element="metricconverter">
        <w:smartTagPr>
          <w:attr w:name="ProductID" w:val="1999 г"/>
        </w:smartTagPr>
        <w:r w:rsidRPr="005E4A73">
          <w:t>1999 г</w:t>
        </w:r>
      </w:smartTag>
      <w:r w:rsidRPr="005E4A73">
        <w:t>. Москва. ─ М., 1999. − С. 41 – 42.</w:t>
      </w:r>
    </w:p>
    <w:p w:rsidR="00CF5A29" w:rsidRPr="005E4A73" w:rsidRDefault="00CF5A29" w:rsidP="00CF5A29">
      <w:pPr>
        <w:spacing w:line="360" w:lineRule="auto"/>
        <w:ind w:hanging="560"/>
        <w:jc w:val="both"/>
      </w:pPr>
      <w:r>
        <w:t>12</w:t>
      </w:r>
      <w:r w:rsidRPr="005E4A73">
        <w:t>.</w:t>
      </w:r>
      <w:r w:rsidRPr="005E4A73">
        <w:tab/>
        <w:t xml:space="preserve">Пат. </w:t>
      </w:r>
      <w:r>
        <w:t>№</w:t>
      </w:r>
      <w:r w:rsidRPr="005E4A73">
        <w:t xml:space="preserve"> 17027,</w:t>
      </w:r>
      <w:r>
        <w:t xml:space="preserve"> Україна.</w:t>
      </w:r>
      <w:r w:rsidRPr="005E4A73">
        <w:t xml:space="preserve"> МПК</w:t>
      </w:r>
      <w:r w:rsidRPr="00C00608">
        <w:t xml:space="preserve"> </w:t>
      </w:r>
      <w:r>
        <w:t xml:space="preserve">G01N 33/48. </w:t>
      </w:r>
      <w:r w:rsidRPr="005E4A73">
        <w:t xml:space="preserve">А61В 5/16. </w:t>
      </w:r>
      <w:r>
        <w:t>Спосіб скринінгу раку шлунка /</w:t>
      </w:r>
      <w:r w:rsidRPr="005E4A73">
        <w:rPr>
          <w:b/>
          <w:bCs/>
        </w:rPr>
        <w:t xml:space="preserve"> </w:t>
      </w:r>
      <w:r w:rsidRPr="005E4A73">
        <w:t>Харківська медична академія післядипломної освіти.</w:t>
      </w:r>
      <w:r>
        <w:t xml:space="preserve"> </w:t>
      </w:r>
      <w:r w:rsidRPr="005E4A73">
        <w:t>Герасимова Любов Михайлівна, Михайліченко Любов Анато</w:t>
      </w:r>
      <w:r>
        <w:t xml:space="preserve">ліївна. − Заявка № 2006 01172 заявл. 06.02.2006. Опубл. 15.09.2006. </w:t>
      </w:r>
      <w:r w:rsidRPr="005E4A73">
        <w:t>Бюл. № 9.</w:t>
      </w:r>
    </w:p>
    <w:p w:rsidR="00CF5A29" w:rsidRPr="005E4A73" w:rsidRDefault="00CF5A29" w:rsidP="00CF5A29">
      <w:pPr>
        <w:spacing w:line="360" w:lineRule="auto"/>
        <w:jc w:val="both"/>
      </w:pPr>
    </w:p>
    <w:p w:rsidR="00CF5A29" w:rsidRPr="005E4A73" w:rsidRDefault="00CF5A29" w:rsidP="00CF5A29">
      <w:pPr>
        <w:pStyle w:val="6"/>
      </w:pPr>
      <w:r w:rsidRPr="005E4A73">
        <w:lastRenderedPageBreak/>
        <w:t>АНОТАЦІЯ</w:t>
      </w:r>
    </w:p>
    <w:p w:rsidR="00CF5A29" w:rsidRPr="005E4A73" w:rsidRDefault="00CF5A29" w:rsidP="00CF5A29">
      <w:pPr>
        <w:spacing w:line="360" w:lineRule="auto"/>
        <w:ind w:firstLine="540"/>
        <w:jc w:val="both"/>
      </w:pPr>
      <w:r w:rsidRPr="005E4A73">
        <w:rPr>
          <w:b/>
          <w:bCs/>
        </w:rPr>
        <w:t xml:space="preserve">Герасимова Любов Михайлівна. Оцінка факторів ризику раку шлунка у системі скринінгу. ─ </w:t>
      </w:r>
      <w:r w:rsidRPr="005E4A73">
        <w:rPr>
          <w:bCs/>
        </w:rPr>
        <w:t>Рукопис.</w:t>
      </w:r>
    </w:p>
    <w:p w:rsidR="00CF5A29" w:rsidRPr="005E4A73" w:rsidRDefault="00CF5A29" w:rsidP="00CF5A29">
      <w:pPr>
        <w:spacing w:line="360" w:lineRule="auto"/>
        <w:ind w:firstLine="540"/>
        <w:jc w:val="both"/>
      </w:pPr>
      <w:r w:rsidRPr="005E4A73">
        <w:t>Дисертація на здобуття наукового ступеня кандидата медичних наук за спеціальністю 14.01.07 ─ онкологія. ─ Державної установи “Національний інститут раку”, Київ, 2008.</w:t>
      </w:r>
    </w:p>
    <w:p w:rsidR="00CF5A29" w:rsidRDefault="00CF5A29" w:rsidP="00CF5A29">
      <w:pPr>
        <w:pStyle w:val="af4"/>
        <w:spacing w:line="360" w:lineRule="auto"/>
        <w:ind w:firstLine="540"/>
        <w:rPr>
          <w:sz w:val="24"/>
          <w:lang w:val="uk-UA"/>
        </w:rPr>
      </w:pPr>
    </w:p>
    <w:p w:rsidR="00CF5A29" w:rsidRDefault="00CF5A29" w:rsidP="00CF5A29">
      <w:pPr>
        <w:pStyle w:val="af4"/>
        <w:spacing w:line="360" w:lineRule="auto"/>
        <w:ind w:firstLine="540"/>
        <w:jc w:val="center"/>
        <w:rPr>
          <w:sz w:val="24"/>
          <w:lang w:val="uk-UA"/>
        </w:rPr>
      </w:pPr>
      <w:r>
        <w:rPr>
          <w:sz w:val="24"/>
          <w:lang w:val="uk-UA"/>
        </w:rPr>
        <w:t>19</w:t>
      </w:r>
    </w:p>
    <w:p w:rsidR="00CF5A29" w:rsidRPr="005E4A73" w:rsidRDefault="00CF5A29" w:rsidP="00CF5A29">
      <w:pPr>
        <w:pStyle w:val="af4"/>
        <w:spacing w:line="360" w:lineRule="auto"/>
        <w:ind w:firstLine="540"/>
        <w:rPr>
          <w:sz w:val="24"/>
          <w:lang w:val="uk-UA"/>
        </w:rPr>
      </w:pPr>
      <w:r w:rsidRPr="005E4A73">
        <w:rPr>
          <w:sz w:val="24"/>
          <w:lang w:val="uk-UA"/>
        </w:rPr>
        <w:t>Дисертація присвячена розробці скринінгової програми з раку шлунка, як першого етапу раннього розпізнавання захворювання і складанню адекватної анкети-опитувальника, вивченню етіопатогенетичних аспектів розвитку раку шлунка, кількісній оцінці факторів ризику та ранній діагностиці раку шлунка. У ході дослідження були вивчені фактори ризику, злоякісного процесу</w:t>
      </w:r>
      <w:r>
        <w:rPr>
          <w:sz w:val="24"/>
          <w:lang w:val="uk-UA"/>
        </w:rPr>
        <w:t xml:space="preserve"> у пацієнтів</w:t>
      </w:r>
      <w:r w:rsidRPr="005E4A73">
        <w:rPr>
          <w:sz w:val="24"/>
          <w:lang w:val="uk-UA"/>
        </w:rPr>
        <w:t xml:space="preserve"> з раком шлунка. Була проведена порівняльна оцінка відповідних факторів у двох альтернативних групах, сформованих за обліком рандомізації. Сформовано дві групи пацієнтів: перша група ─ 312 осіб («умовно здорові») ─ це пацієнти, з різними соматичними захворюваннями, але з вірогідним виключенням злоякісного процесу; друга група ─ 302 особи з вірогідно встановленим раком шлунка.</w:t>
      </w:r>
    </w:p>
    <w:p w:rsidR="00CF5A29" w:rsidRPr="005E4A73" w:rsidRDefault="00CF5A29" w:rsidP="00CF5A29">
      <w:pPr>
        <w:spacing w:line="360" w:lineRule="auto"/>
        <w:ind w:firstLine="540"/>
        <w:jc w:val="both"/>
      </w:pPr>
      <w:r w:rsidRPr="005E4A73">
        <w:t xml:space="preserve">Відповідно до впровадження методу рангової правдоподібності (прогностичний  коефіцієнт ─ </w:t>
      </w:r>
      <w:r w:rsidRPr="005E4A73">
        <w:rPr>
          <w:b/>
        </w:rPr>
        <w:t>Ј</w:t>
      </w:r>
      <w:r w:rsidRPr="005E4A73">
        <w:t>), що допоміг не тільки кількісно оцінити, але й розподілити 22 фактора виникнення раку шлунка за рангом.</w:t>
      </w:r>
    </w:p>
    <w:p w:rsidR="00CF5A29" w:rsidRPr="005E4A73" w:rsidRDefault="00CF5A29" w:rsidP="00CF5A29">
      <w:pPr>
        <w:spacing w:line="360" w:lineRule="auto"/>
        <w:ind w:firstLine="540"/>
        <w:jc w:val="both"/>
      </w:pPr>
      <w:r w:rsidRPr="005E4A73">
        <w:t>Виявлені найбільш значимі фактори ризику розвитку раку</w:t>
      </w:r>
      <w:r>
        <w:t xml:space="preserve"> шлунка: </w:t>
      </w:r>
      <w:r w:rsidRPr="005E4A73">
        <w:t>поліпи шлунка; наявність в анамнезі виразкової хвороби шлунка; їжа всухом’ятку; тютюнопаління на тлі зловживання алкоголем; вживання досить гарячих продуктів; захворювання шлунка в найближчих родичів; надлишкове споживання солоних продуктів; перенесені операції на шлунку в минулому; «нульова» і знижена кислотність шлункової секреції; наявність хелікобактерної інфекції; робота в умовах шкідливого  виробництва  (пайка  кольорових  металів,  виробництво гуми,  бітуму тощо.); використання гострих приправ і копчених продуктів, що дозволило диференціювати пацієнтів за групами ризику.</w:t>
      </w:r>
    </w:p>
    <w:p w:rsidR="00CF5A29" w:rsidRPr="005E4A73" w:rsidRDefault="00CF5A29" w:rsidP="00CF5A29">
      <w:pPr>
        <w:spacing w:line="360" w:lineRule="auto"/>
        <w:ind w:firstLine="540"/>
        <w:jc w:val="both"/>
      </w:pPr>
      <w:r w:rsidRPr="005E4A73">
        <w:t>Результати дисертаційного дослідження дозволили визначити більш чіткі причини передпухлинних станів, сформувати причини захворювання у пацієнтів підвищеного ризику, виявити розбіжності в ранній стадії захворювання, а також намітити шляхи</w:t>
      </w:r>
      <w:r w:rsidRPr="005E4A73">
        <w:rPr>
          <w:b/>
        </w:rPr>
        <w:t xml:space="preserve"> </w:t>
      </w:r>
      <w:r w:rsidRPr="005E4A73">
        <w:t>своєчасної</w:t>
      </w:r>
      <w:r w:rsidRPr="005E4A73">
        <w:rPr>
          <w:b/>
        </w:rPr>
        <w:t xml:space="preserve"> </w:t>
      </w:r>
      <w:r w:rsidRPr="005E4A73">
        <w:t>діагностики та лікування.</w:t>
      </w:r>
    </w:p>
    <w:p w:rsidR="00CF5A29" w:rsidRPr="00063453" w:rsidRDefault="00CF5A29" w:rsidP="00CF5A29">
      <w:pPr>
        <w:spacing w:line="360" w:lineRule="auto"/>
        <w:ind w:firstLine="540"/>
        <w:jc w:val="both"/>
      </w:pPr>
      <w:r w:rsidRPr="005E4A73">
        <w:t xml:space="preserve">Створена скринінгова програма, до якої ввійшли анкета-опитувальник з наступною комп'ютерною обробкою негативних факторів, що викликають розвиток злоякісного процесу в </w:t>
      </w:r>
      <w:r w:rsidRPr="005E4A73">
        <w:lastRenderedPageBreak/>
        <w:t>шлунку, дозволяє не тільки вірогідно розпізнати рак шлунка на ранніх стадіях, але й виробити профілактичні заходи для запобігання, зазначеного захворювання.</w:t>
      </w:r>
    </w:p>
    <w:p w:rsidR="00CF5A29" w:rsidRPr="005E4A73" w:rsidRDefault="00CF5A29" w:rsidP="00CF5A29">
      <w:pPr>
        <w:spacing w:line="360" w:lineRule="auto"/>
        <w:ind w:firstLine="540"/>
        <w:jc w:val="both"/>
      </w:pPr>
      <w:r w:rsidRPr="005E4A73">
        <w:rPr>
          <w:b/>
        </w:rPr>
        <w:t xml:space="preserve">Ключові слова: </w:t>
      </w:r>
      <w:r w:rsidRPr="005E4A73">
        <w:t>рак шлунка, скринінг, фактори ризику раку шлунка, прогностичний  коефіцієнт.</w:t>
      </w:r>
    </w:p>
    <w:p w:rsidR="00CF5A29" w:rsidRPr="005E4A73" w:rsidRDefault="00CF5A29" w:rsidP="00CF5A29">
      <w:pPr>
        <w:spacing w:line="360" w:lineRule="auto"/>
      </w:pPr>
    </w:p>
    <w:p w:rsidR="00CF5A29" w:rsidRPr="005E4A73" w:rsidRDefault="00CF5A29" w:rsidP="00CF5A29">
      <w:pPr>
        <w:pStyle w:val="6"/>
        <w:rPr>
          <w:lang w:val="ru-RU"/>
        </w:rPr>
      </w:pPr>
      <w:r w:rsidRPr="005E4A73">
        <w:rPr>
          <w:lang w:val="ru-RU"/>
        </w:rPr>
        <w:t>АННОТАЦИЯ</w:t>
      </w:r>
    </w:p>
    <w:p w:rsidR="00CF5A29" w:rsidRPr="005E4A73" w:rsidRDefault="00CF5A29" w:rsidP="00CF5A29">
      <w:pPr>
        <w:spacing w:line="360" w:lineRule="auto"/>
        <w:ind w:firstLine="540"/>
        <w:jc w:val="both"/>
      </w:pPr>
      <w:r w:rsidRPr="005E4A73">
        <w:rPr>
          <w:b/>
          <w:bCs/>
        </w:rPr>
        <w:t>Герасимова Любовь Михайловна. Оценка факторов риска рака желудка в системе скрининга.</w:t>
      </w:r>
      <w:r w:rsidRPr="005E4A73">
        <w:t xml:space="preserve"> — Рукопись.</w:t>
      </w:r>
    </w:p>
    <w:p w:rsidR="00CF5A29" w:rsidRDefault="00CF5A29" w:rsidP="00CF5A29">
      <w:pPr>
        <w:pStyle w:val="26"/>
        <w:jc w:val="center"/>
      </w:pPr>
      <w:r>
        <w:t>20</w:t>
      </w:r>
    </w:p>
    <w:p w:rsidR="00CF5A29" w:rsidRPr="005E4A73" w:rsidRDefault="00CF5A29" w:rsidP="00CF5A29">
      <w:pPr>
        <w:pStyle w:val="26"/>
      </w:pPr>
      <w:r w:rsidRPr="005E4A73">
        <w:t>Диссертация на соискание учёной степени кандидата медицинских наук по специальности  14.01.07 ─ онкология. ─ Государственное учреждение « Национальный институт рака», Киев, 2008.</w:t>
      </w:r>
    </w:p>
    <w:p w:rsidR="00CF5A29" w:rsidRPr="005E4A73" w:rsidRDefault="00CF5A29" w:rsidP="00CF5A29">
      <w:pPr>
        <w:pStyle w:val="af4"/>
        <w:spacing w:line="360" w:lineRule="auto"/>
        <w:ind w:firstLine="540"/>
        <w:rPr>
          <w:sz w:val="24"/>
        </w:rPr>
      </w:pPr>
      <w:r w:rsidRPr="005E4A73">
        <w:rPr>
          <w:sz w:val="24"/>
        </w:rPr>
        <w:t>Диссертация посвящена разработке скрининговой программы по раку желудка и составлению адекватной анкеты-опросника, как первого этапа в этом направлении, изучению этиопатогенетических аспектов развития рака желудка, количественной оценке факторов риска, ранней диагностике рака желудка. В ходе исследования были изучены факторы риска, которые являлись наиболее значимыми в возникновении злокачественного процесса у пациентов, заболевших раком желудка. Была проведена сравнительная оценка соответствующих факторов в двух альтернативных группах, сформированных с учётом рандомизации. Отобраны две группы пациентов: первая группа ─ 312 человек («условно здоровые») ─  это пациенты, страдающие различными соматическими заболеваниями, с достоверным исключением злокачественного процесса; вторая группа ─ 302 человека, это больные, с наличием достоверно установленного рака желудка.</w:t>
      </w:r>
    </w:p>
    <w:p w:rsidR="00CF5A29" w:rsidRPr="005E4A73" w:rsidRDefault="00CF5A29" w:rsidP="00CF5A29">
      <w:pPr>
        <w:spacing w:line="360" w:lineRule="auto"/>
        <w:ind w:firstLine="540"/>
        <w:jc w:val="both"/>
      </w:pPr>
      <w:r w:rsidRPr="005E4A73">
        <w:t xml:space="preserve">Согласно внедрению метода рангового правдоподобия  (прогностический  коэффициент ─ </w:t>
      </w:r>
      <w:r w:rsidRPr="005E4A73">
        <w:rPr>
          <w:b/>
        </w:rPr>
        <w:t>Ј</w:t>
      </w:r>
      <w:r w:rsidRPr="005E4A73">
        <w:t>), который помог не только количественно оценить, но и распределить по рангу 22 фактора возникновения рака желудка.</w:t>
      </w:r>
    </w:p>
    <w:p w:rsidR="00CF5A29" w:rsidRPr="005E4A73" w:rsidRDefault="00CF5A29" w:rsidP="00CF5A29">
      <w:pPr>
        <w:spacing w:line="360" w:lineRule="auto"/>
        <w:ind w:firstLine="540"/>
        <w:jc w:val="both"/>
      </w:pPr>
      <w:r w:rsidRPr="005E4A73">
        <w:t xml:space="preserve">Выявлено, что наиболее значимыми факторами риска в развитие рака желудка были: полипы желудка, наличие в анамнезе язвенной болезни желудка, еда в сухомятку, табакокурение на фоне злоупотребления алкоголем, фактор употребления в пищу весьма горячих продуктов, «заболевания желудка у ближайших родственников», избыточное употребление солёных продуктов, перенесенные операции на желудке в прошлом, «нулевая» и пониженная кислотность желудочной секреции, наличие хеликобактерной инфекции, работа в условиях вредного  </w:t>
      </w:r>
      <w:r w:rsidRPr="005E4A73">
        <w:lastRenderedPageBreak/>
        <w:t>производства  (пайка  цветных  металлов,  производство резины,  битума и пр.), использование острых приправ и копчёных продуктов, что позволило дифференцировать пациентов с учётом групп риска.</w:t>
      </w:r>
    </w:p>
    <w:p w:rsidR="00CF5A29" w:rsidRPr="005E4A73" w:rsidRDefault="00CF5A29" w:rsidP="00CF5A29">
      <w:pPr>
        <w:spacing w:line="360" w:lineRule="auto"/>
        <w:ind w:firstLine="540"/>
        <w:jc w:val="both"/>
      </w:pPr>
      <w:r w:rsidRPr="005E4A73">
        <w:t>Результаты диссертационного исследования позволили выработать более чёткие причины предопухолевых состояний, сформировать причины заболевания у больных повышенного риска, выявить различия в ранней стадии заболевания, а так же наметить дополнительные пути</w:t>
      </w:r>
      <w:r w:rsidRPr="005E4A73">
        <w:rPr>
          <w:b/>
        </w:rPr>
        <w:t xml:space="preserve"> </w:t>
      </w:r>
      <w:r w:rsidRPr="005E4A73">
        <w:t>своевременной</w:t>
      </w:r>
      <w:r w:rsidRPr="005E4A73">
        <w:rPr>
          <w:b/>
        </w:rPr>
        <w:t xml:space="preserve"> </w:t>
      </w:r>
      <w:r w:rsidRPr="005E4A73">
        <w:t>диагностики. Созданная скрининговая программа, в которую вошли анкета-опросник с последующим компьютерным суммированием отрицательных факторов, вызывающих развитие злокачественного процесса в желудке, позволила не только достоверно распознать рак желудка на ранних стадиях, но и выработать профилактические мероприятия для предотвращения указанного заболевания.</w:t>
      </w:r>
    </w:p>
    <w:p w:rsidR="00CF5A29" w:rsidRPr="0036337D" w:rsidRDefault="00CF5A29" w:rsidP="00CF5A29">
      <w:pPr>
        <w:spacing w:line="360" w:lineRule="auto"/>
        <w:ind w:firstLine="540"/>
        <w:jc w:val="center"/>
      </w:pPr>
      <w:r>
        <w:t>21</w:t>
      </w:r>
    </w:p>
    <w:p w:rsidR="00CF5A29" w:rsidRPr="005E4A73" w:rsidRDefault="00CF5A29" w:rsidP="00CF5A29">
      <w:pPr>
        <w:spacing w:line="360" w:lineRule="auto"/>
        <w:ind w:firstLine="540"/>
        <w:jc w:val="both"/>
      </w:pPr>
      <w:r w:rsidRPr="005E4A73">
        <w:rPr>
          <w:b/>
        </w:rPr>
        <w:t xml:space="preserve">Ключевые слова: </w:t>
      </w:r>
      <w:r w:rsidRPr="005E4A73">
        <w:t>рак желудка, скрининг,</w:t>
      </w:r>
      <w:r w:rsidRPr="005E4A73">
        <w:rPr>
          <w:b/>
        </w:rPr>
        <w:t xml:space="preserve"> </w:t>
      </w:r>
      <w:r w:rsidRPr="005E4A73">
        <w:t>факторы риска рака желудка, прогностический  коэффициент.</w:t>
      </w:r>
    </w:p>
    <w:p w:rsidR="00CF5A29" w:rsidRPr="005E4A73" w:rsidRDefault="00CF5A29" w:rsidP="00CF5A29">
      <w:pPr>
        <w:spacing w:line="360" w:lineRule="auto"/>
        <w:jc w:val="both"/>
      </w:pPr>
    </w:p>
    <w:p w:rsidR="00CF5A29" w:rsidRPr="005E4A73" w:rsidRDefault="00CF5A29" w:rsidP="00CF5A29">
      <w:pPr>
        <w:pStyle w:val="6"/>
      </w:pPr>
      <w:r w:rsidRPr="005E4A73">
        <w:t>ANNOTATIОN</w:t>
      </w:r>
    </w:p>
    <w:p w:rsidR="00CF5A29" w:rsidRPr="00CF5A29" w:rsidRDefault="00CF5A29" w:rsidP="00CF5A29">
      <w:pPr>
        <w:spacing w:line="360" w:lineRule="auto"/>
        <w:ind w:firstLine="540"/>
        <w:jc w:val="both"/>
        <w:rPr>
          <w:bCs/>
          <w:lang w:val="en-US"/>
        </w:rPr>
      </w:pPr>
      <w:r w:rsidRPr="00CF5A29">
        <w:rPr>
          <w:b/>
          <w:bCs/>
          <w:lang w:val="en-US"/>
        </w:rPr>
        <w:t>Geracimowa lubov Mihaylovna. Estimation of the factors of the risk of cancer of stomach in screening system</w:t>
      </w:r>
      <w:r w:rsidRPr="00CF5A29">
        <w:rPr>
          <w:bCs/>
          <w:lang w:val="en-US"/>
        </w:rPr>
        <w:t>. - The manuscript.</w:t>
      </w:r>
    </w:p>
    <w:p w:rsidR="00CF5A29" w:rsidRPr="00063453" w:rsidRDefault="00CF5A29" w:rsidP="00CF5A29">
      <w:pPr>
        <w:spacing w:line="360" w:lineRule="auto"/>
        <w:ind w:firstLine="540"/>
        <w:jc w:val="both"/>
        <w:rPr>
          <w:bCs/>
          <w:lang w:val="en-US"/>
        </w:rPr>
      </w:pPr>
      <w:r w:rsidRPr="00CF5A29">
        <w:rPr>
          <w:bCs/>
          <w:lang w:val="en-US"/>
        </w:rPr>
        <w:t>Thesis to the competition of the scientific degree of the candidate of medical sciences in the specialty of 14.01.07 ─ oncology. ─</w:t>
      </w:r>
      <w:r w:rsidRPr="00063453">
        <w:rPr>
          <w:bCs/>
          <w:lang w:val="en-US"/>
        </w:rPr>
        <w:t xml:space="preserve"> </w:t>
      </w:r>
      <w:r w:rsidRPr="00CF5A29">
        <w:rPr>
          <w:bCs/>
          <w:lang w:val="en-US"/>
        </w:rPr>
        <w:t>The</w:t>
      </w:r>
      <w:r w:rsidRPr="00063453">
        <w:rPr>
          <w:bCs/>
          <w:lang w:val="en-US"/>
        </w:rPr>
        <w:t xml:space="preserve"> National</w:t>
      </w:r>
      <w:r w:rsidRPr="00CF5A29">
        <w:rPr>
          <w:bCs/>
          <w:lang w:val="en-US"/>
        </w:rPr>
        <w:t xml:space="preserve"> the institute</w:t>
      </w:r>
      <w:r w:rsidRPr="005E4A73">
        <w:rPr>
          <w:bCs/>
          <w:lang w:val="en-US"/>
        </w:rPr>
        <w:t xml:space="preserve"> </w:t>
      </w:r>
      <w:r w:rsidRPr="005E4A73">
        <w:t>с</w:t>
      </w:r>
      <w:r w:rsidRPr="005E4A73">
        <w:rPr>
          <w:lang w:val="en-US"/>
        </w:rPr>
        <w:t>ancer</w:t>
      </w:r>
      <w:r w:rsidRPr="00CF5A29">
        <w:rPr>
          <w:bCs/>
          <w:lang w:val="en-US"/>
        </w:rPr>
        <w:t xml:space="preserve">, Kiev, 2008. </w:t>
      </w:r>
    </w:p>
    <w:p w:rsidR="00CF5A29" w:rsidRPr="005F3933" w:rsidRDefault="00CF5A29" w:rsidP="00CF5A29">
      <w:pPr>
        <w:spacing w:line="360" w:lineRule="auto"/>
        <w:ind w:firstLine="540"/>
        <w:jc w:val="both"/>
        <w:rPr>
          <w:lang w:val="en-US"/>
        </w:rPr>
      </w:pPr>
      <w:r w:rsidRPr="00CF5A29">
        <w:rPr>
          <w:lang w:val="en-US"/>
        </w:rPr>
        <w:t xml:space="preserve">Thesis is dedicated to the development of skrining program for cancer of stomach and as the first stage in this direction, to the composition of the adequate of form- questionnaire, to the study of etiopathogenetic aspects of the development of cancer of stomach, to the quantitative assessment of the factors of risk, to early diagnostics of cancer of stomach. In the course of a study the factors of risk, which caused malignant process in patients, who fell ill with cancer of stomach, were studied. Was carried out the comparative estimation of the corresponding factors in two alternative groups, formed taking into account randomization. Two groups of the patients are selected: ─ the first group of ─ of 312 people (“conditionally healthy”) of ─ these are patients, who suffer different somatical diseases, with the reliable exception of malignant process; ─ the second group of ─ of 302 people of patients, which was characterized by the presence of reliably established cancer of stomach. According to the introduction of the method of rank likelihood (prognostic coefficient of ─ </w:t>
      </w:r>
      <w:r w:rsidRPr="005E4A73">
        <w:t>Ј</w:t>
      </w:r>
      <w:r w:rsidRPr="00CF5A29">
        <w:rPr>
          <w:lang w:val="en-US"/>
        </w:rPr>
        <w:t xml:space="preserve">), which helped not only quantitatively to estimate, but also to distribute 22 factors of the appearance of cancer of stomach on the rank. The most significant factors of the risk of the development of cancer of the stomach are revealed: these are “the </w:t>
      </w:r>
      <w:r w:rsidRPr="00CF5A29">
        <w:rPr>
          <w:lang w:val="en-US"/>
        </w:rPr>
        <w:lastRenderedPageBreak/>
        <w:t>polyps of stomach”, “the presence in anamnesis of stomach ulcer”, “food into dry food”, tobacco smoking against the background of abuse of alcohol, factor of use into the food of completely hot products, “the disease of stomach in the nearest relatives”, the excessive use of salt products, the factor of the transferred operations on the stomach in the past, “zero” and lowered acidity of stomachic secretion, the presence of khelikobakter infection, harmful production (soldering nonferrous metals, the production of rubber, bitumen the rest), “use of sharp seasonings and smoked products”, this ─ made it possible to differentiate patients taking into account the risk groups. The results of a dissertation study made it possible to manufacture the clearer reasons for pretumorous states, to form the reasons for disease in the patients of the increased risk, to reveal differences in the early stage of disease, and so to outline the additional ways of timely diagnostics. The created skrining program, into which they entered form- questionnaire with the subsequent computer summing up of the negative factors, which cause the development of malignant process in the stomach, made it.</w:t>
      </w:r>
    </w:p>
    <w:p w:rsidR="00CF5A29" w:rsidRPr="00CF5A29" w:rsidRDefault="00CF5A29" w:rsidP="00CF5A29">
      <w:pPr>
        <w:spacing w:line="360" w:lineRule="auto"/>
        <w:ind w:firstLine="540"/>
        <w:jc w:val="both"/>
        <w:rPr>
          <w:lang w:val="en-US"/>
        </w:rPr>
      </w:pPr>
    </w:p>
    <w:p w:rsidR="00CF5A29" w:rsidRPr="00CF5A29" w:rsidRDefault="00CF5A29" w:rsidP="00CF5A29">
      <w:pPr>
        <w:spacing w:line="360" w:lineRule="auto"/>
        <w:ind w:firstLine="540"/>
        <w:jc w:val="center"/>
        <w:rPr>
          <w:lang w:val="en-US"/>
        </w:rPr>
      </w:pPr>
      <w:r w:rsidRPr="00CF5A29">
        <w:rPr>
          <w:lang w:val="en-US"/>
        </w:rPr>
        <w:t>22</w:t>
      </w:r>
    </w:p>
    <w:p w:rsidR="00CF5A29" w:rsidRPr="00CF5A29" w:rsidRDefault="00CF5A29" w:rsidP="00CF5A29">
      <w:pPr>
        <w:spacing w:line="360" w:lineRule="auto"/>
        <w:ind w:firstLine="540"/>
        <w:jc w:val="both"/>
        <w:rPr>
          <w:bCs/>
          <w:lang w:val="en-US"/>
        </w:rPr>
      </w:pPr>
      <w:r w:rsidRPr="00CF5A29">
        <w:rPr>
          <w:lang w:val="en-US"/>
        </w:rPr>
        <w:t>possible not only to reliably recognize cancer of stomach at the early stages, but also to manufacture preventive measures for the averting, the disease indicated.</w:t>
      </w:r>
    </w:p>
    <w:p w:rsidR="00CF5A29" w:rsidRPr="00CF5A29" w:rsidRDefault="00CF5A29" w:rsidP="00CF5A29">
      <w:pPr>
        <w:spacing w:line="360" w:lineRule="auto"/>
        <w:ind w:firstLine="540"/>
        <w:jc w:val="both"/>
        <w:rPr>
          <w:lang w:val="en-US"/>
        </w:rPr>
      </w:pPr>
      <w:r w:rsidRPr="00CF5A29">
        <w:rPr>
          <w:b/>
          <w:bCs/>
          <w:lang w:val="en-US"/>
        </w:rPr>
        <w:t>The keywords:</w:t>
      </w:r>
      <w:r w:rsidRPr="00CF5A29">
        <w:rPr>
          <w:bCs/>
          <w:lang w:val="en-US"/>
        </w:rPr>
        <w:t xml:space="preserve"> cancer of stomach, screening, the factors of the risk of cancer of stomach, the prognostic coefficient of ─ </w:t>
      </w:r>
      <w:r w:rsidRPr="005E4A73">
        <w:rPr>
          <w:bCs/>
        </w:rPr>
        <w:t>Ј</w:t>
      </w:r>
      <w:r w:rsidRPr="00CF5A29">
        <w:rPr>
          <w:bCs/>
          <w:lang w:val="en-US"/>
        </w:rPr>
        <w:t>.</w:t>
      </w:r>
    </w:p>
    <w:p w:rsidR="00F04510" w:rsidRPr="00BF317F" w:rsidRDefault="00F04510" w:rsidP="00F04510">
      <w:pPr>
        <w:pStyle w:val="aff9"/>
        <w:tabs>
          <w:tab w:val="left" w:pos="540"/>
          <w:tab w:val="left" w:pos="720"/>
        </w:tabs>
        <w:ind w:left="540" w:hanging="540"/>
        <w:jc w:val="both"/>
        <w:rPr>
          <w:sz w:val="28"/>
          <w:szCs w:val="28"/>
          <w:lang w:val="en-US"/>
        </w:rPr>
      </w:pPr>
      <w:bookmarkStart w:id="1" w:name="_GoBack"/>
      <w:bookmarkEnd w:id="1"/>
    </w:p>
    <w:p w:rsidR="00B70E7A" w:rsidRPr="00BF317F" w:rsidRDefault="00B70E7A" w:rsidP="00087E5C">
      <w:pPr>
        <w:ind w:firstLine="540"/>
        <w:rPr>
          <w:lang w:val="en-US"/>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47" w:rsidRDefault="00ED3F47">
      <w:pPr>
        <w:spacing w:after="0" w:line="240" w:lineRule="auto"/>
      </w:pPr>
      <w:r>
        <w:separator/>
      </w:r>
    </w:p>
  </w:endnote>
  <w:endnote w:type="continuationSeparator" w:id="0">
    <w:p w:rsidR="00ED3F47" w:rsidRDefault="00ED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D3F47">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CF5A29">
      <w:rPr>
        <w:rStyle w:val="aff1"/>
        <w:rFonts w:eastAsia="Garamond"/>
        <w:noProof/>
      </w:rPr>
      <w:t>2</w:t>
    </w:r>
    <w:r>
      <w:rPr>
        <w:rStyle w:val="aff1"/>
        <w:rFonts w:eastAsia="Garamond"/>
      </w:rPr>
      <w:fldChar w:fldCharType="end"/>
    </w:r>
  </w:p>
  <w:p w:rsidR="009335CF" w:rsidRDefault="00ED3F47">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47" w:rsidRDefault="00ED3F47">
      <w:pPr>
        <w:spacing w:after="0" w:line="240" w:lineRule="auto"/>
      </w:pPr>
      <w:r>
        <w:separator/>
      </w:r>
    </w:p>
  </w:footnote>
  <w:footnote w:type="continuationSeparator" w:id="0">
    <w:p w:rsidR="00ED3F47" w:rsidRDefault="00ED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D3F47">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D3F47">
    <w:pPr>
      <w:pStyle w:val="aff"/>
      <w:framePr w:wrap="around" w:vAnchor="text" w:hAnchor="margin" w:xAlign="right" w:y="1"/>
      <w:rPr>
        <w:rStyle w:val="aff1"/>
        <w:lang w:val="uk-UA"/>
      </w:rPr>
    </w:pPr>
  </w:p>
  <w:p w:rsidR="009335CF" w:rsidRDefault="00ED3F4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E5C606E"/>
    <w:multiLevelType w:val="hybridMultilevel"/>
    <w:tmpl w:val="4AE20F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7">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9">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2">
    <w:nsid w:val="30416D85"/>
    <w:multiLevelType w:val="multilevel"/>
    <w:tmpl w:val="AB4CF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39932EF"/>
    <w:multiLevelType w:val="multilevel"/>
    <w:tmpl w:val="5F220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6">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8FE0C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EF227B7"/>
    <w:multiLevelType w:val="singleLevel"/>
    <w:tmpl w:val="D72659E8"/>
    <w:lvl w:ilvl="0">
      <w:start w:val="1"/>
      <w:numFmt w:val="decimal"/>
      <w:pStyle w:val="a7"/>
      <w:lvlText w:val="%1."/>
      <w:lvlJc w:val="left"/>
      <w:pPr>
        <w:tabs>
          <w:tab w:val="num" w:pos="680"/>
        </w:tabs>
        <w:ind w:left="680" w:hanging="680"/>
      </w:pPr>
    </w:lvl>
  </w:abstractNum>
  <w:abstractNum w:abstractNumId="5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9">
    <w:nsid w:val="68455D36"/>
    <w:multiLevelType w:val="hybridMultilevel"/>
    <w:tmpl w:val="058C48BE"/>
    <w:lvl w:ilvl="0" w:tplc="8090A2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70">
    <w:nsid w:val="7C8546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4"/>
  </w:num>
  <w:num w:numId="2">
    <w:abstractNumId w:val="61"/>
  </w:num>
  <w:num w:numId="3">
    <w:abstractNumId w:val="0"/>
  </w:num>
  <w:num w:numId="4">
    <w:abstractNumId w:val="31"/>
  </w:num>
  <w:num w:numId="5">
    <w:abstractNumId w:val="28"/>
  </w:num>
  <w:num w:numId="6">
    <w:abstractNumId w:val="40"/>
  </w:num>
  <w:num w:numId="7">
    <w:abstractNumId w:val="24"/>
  </w:num>
  <w:num w:numId="8">
    <w:abstractNumId w:val="67"/>
  </w:num>
  <w:num w:numId="9">
    <w:abstractNumId w:val="38"/>
  </w:num>
  <w:num w:numId="10">
    <w:abstractNumId w:val="47"/>
  </w:num>
  <w:num w:numId="11">
    <w:abstractNumId w:val="74"/>
  </w:num>
  <w:num w:numId="12">
    <w:abstractNumId w:val="51"/>
  </w:num>
  <w:num w:numId="13">
    <w:abstractNumId w:val="58"/>
  </w:num>
  <w:num w:numId="14">
    <w:abstractNumId w:val="48"/>
  </w:num>
  <w:num w:numId="15">
    <w:abstractNumId w:val="33"/>
  </w:num>
  <w:num w:numId="16">
    <w:abstractNumId w:val="46"/>
  </w:num>
  <w:num w:numId="17">
    <w:abstractNumId w:val="6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39"/>
  </w:num>
  <w:num w:numId="21">
    <w:abstractNumId w:val="30"/>
  </w:num>
  <w:num w:numId="22">
    <w:abstractNumId w:val="71"/>
  </w:num>
  <w:num w:numId="23">
    <w:abstractNumId w:val="27"/>
  </w:num>
  <w:num w:numId="24">
    <w:abstractNumId w:val="57"/>
    <w:lvlOverride w:ilvl="0">
      <w:startOverride w:val="1"/>
    </w:lvlOverride>
  </w:num>
  <w:num w:numId="25">
    <w:abstractNumId w:val="54"/>
  </w:num>
  <w:num w:numId="26">
    <w:abstractNumId w:val="73"/>
  </w:num>
  <w:num w:numId="27">
    <w:abstractNumId w:val="29"/>
  </w:num>
  <w:num w:numId="28">
    <w:abstractNumId w:val="37"/>
  </w:num>
  <w:num w:numId="29">
    <w:abstractNumId w:val="55"/>
  </w:num>
  <w:num w:numId="30">
    <w:abstractNumId w:val="60"/>
  </w:num>
  <w:num w:numId="31">
    <w:abstractNumId w:val="68"/>
  </w:num>
  <w:num w:numId="32">
    <w:abstractNumId w:val="32"/>
  </w:num>
  <w:num w:numId="33">
    <w:abstractNumId w:val="62"/>
  </w:num>
  <w:num w:numId="34">
    <w:abstractNumId w:val="63"/>
  </w:num>
  <w:num w:numId="35">
    <w:abstractNumId w:val="53"/>
  </w:num>
  <w:num w:numId="36">
    <w:abstractNumId w:val="72"/>
  </w:num>
  <w:num w:numId="37">
    <w:abstractNumId w:val="49"/>
    <w:lvlOverride w:ilvl="0">
      <w:startOverride w:val="1"/>
    </w:lvlOverride>
  </w:num>
  <w:num w:numId="38">
    <w:abstractNumId w:val="23"/>
  </w:num>
  <w:num w:numId="39">
    <w:abstractNumId w:val="43"/>
  </w:num>
  <w:num w:numId="40">
    <w:abstractNumId w:val="70"/>
  </w:num>
  <w:num w:numId="41">
    <w:abstractNumId w:val="34"/>
  </w:num>
  <w:num w:numId="42">
    <w:abstractNumId w:val="50"/>
  </w:num>
  <w:num w:numId="43">
    <w:abstractNumId w:val="42"/>
  </w:num>
  <w:num w:numId="44">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3F4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3200</TotalTime>
  <Pages>26</Pages>
  <Words>7798</Words>
  <Characters>44449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1512</cp:revision>
  <dcterms:created xsi:type="dcterms:W3CDTF">2015-05-26T12:20:00Z</dcterms:created>
  <dcterms:modified xsi:type="dcterms:W3CDTF">2015-08-31T07:21:00Z</dcterms:modified>
</cp:coreProperties>
</file>