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01DD0" w:rsidRPr="00BA197A" w:rsidRDefault="00E01DD0" w:rsidP="00E01DD0">
      <w:pPr>
        <w:jc w:val="center"/>
        <w:rPr>
          <w:spacing w:val="18"/>
          <w:sz w:val="28"/>
          <w:szCs w:val="28"/>
          <w:lang w:val="uk-UA"/>
        </w:rPr>
      </w:pPr>
    </w:p>
    <w:p w:rsidR="006A59A5" w:rsidRPr="00D004B1" w:rsidRDefault="006A59A5" w:rsidP="006A59A5">
      <w:pPr>
        <w:rPr>
          <w:sz w:val="28"/>
          <w:lang w:val="uk-UA"/>
        </w:rPr>
      </w:pPr>
    </w:p>
    <w:p w:rsidR="00486081" w:rsidRPr="00A36307" w:rsidRDefault="00486081" w:rsidP="00486081">
      <w:pPr>
        <w:pStyle w:val="21"/>
        <w:ind w:firstLine="0"/>
        <w:rPr>
          <w:b w:val="0"/>
          <w:sz w:val="24"/>
          <w:szCs w:val="24"/>
        </w:rPr>
      </w:pPr>
      <w:r w:rsidRPr="00A36307">
        <w:rPr>
          <w:b w:val="0"/>
          <w:sz w:val="24"/>
          <w:szCs w:val="24"/>
        </w:rPr>
        <w:t>Міністерство охорони здоров’я України</w:t>
      </w:r>
    </w:p>
    <w:p w:rsidR="00486081" w:rsidRPr="00A36307" w:rsidRDefault="00486081" w:rsidP="00486081">
      <w:pPr>
        <w:pStyle w:val="21"/>
        <w:ind w:firstLine="0"/>
        <w:rPr>
          <w:b w:val="0"/>
          <w:sz w:val="24"/>
          <w:szCs w:val="24"/>
        </w:rPr>
      </w:pPr>
      <w:r w:rsidRPr="00A36307">
        <w:rPr>
          <w:b w:val="0"/>
          <w:sz w:val="24"/>
          <w:szCs w:val="24"/>
        </w:rPr>
        <w:t xml:space="preserve">Луганський державний медичний університет </w:t>
      </w:r>
    </w:p>
    <w:p w:rsidR="00486081" w:rsidRPr="00A36307" w:rsidRDefault="00486081" w:rsidP="00486081">
      <w:pPr>
        <w:pStyle w:val="21"/>
        <w:jc w:val="right"/>
        <w:rPr>
          <w:sz w:val="24"/>
          <w:szCs w:val="24"/>
        </w:rPr>
      </w:pPr>
    </w:p>
    <w:p w:rsidR="00486081" w:rsidRPr="00A36307" w:rsidRDefault="00486081" w:rsidP="00486081"/>
    <w:p w:rsidR="00486081" w:rsidRPr="00A36307" w:rsidRDefault="00486081" w:rsidP="00486081"/>
    <w:p w:rsidR="00486081" w:rsidRPr="00A36307" w:rsidRDefault="00486081" w:rsidP="00486081"/>
    <w:p w:rsidR="00486081" w:rsidRPr="00A36307" w:rsidRDefault="00486081" w:rsidP="00486081"/>
    <w:p w:rsidR="00486081" w:rsidRPr="00A36307" w:rsidRDefault="00486081" w:rsidP="00486081">
      <w:pPr>
        <w:rPr>
          <w:b/>
        </w:rPr>
      </w:pPr>
    </w:p>
    <w:p w:rsidR="00486081" w:rsidRPr="00A36307" w:rsidRDefault="00486081" w:rsidP="00486081">
      <w:pPr>
        <w:pStyle w:val="40"/>
        <w:rPr>
          <w:b/>
          <w:sz w:val="24"/>
          <w:szCs w:val="24"/>
        </w:rPr>
      </w:pPr>
      <w:r w:rsidRPr="00A36307">
        <w:rPr>
          <w:b/>
          <w:sz w:val="24"/>
          <w:szCs w:val="24"/>
        </w:rPr>
        <w:t>Чала Тетяна Анатоліївна</w:t>
      </w:r>
    </w:p>
    <w:p w:rsidR="00486081" w:rsidRPr="00A36307" w:rsidRDefault="00486081" w:rsidP="00486081">
      <w:pPr>
        <w:jc w:val="center"/>
      </w:pPr>
    </w:p>
    <w:p w:rsidR="00486081" w:rsidRPr="00A36307" w:rsidRDefault="00486081" w:rsidP="00486081">
      <w:pPr>
        <w:pStyle w:val="40"/>
        <w:jc w:val="right"/>
        <w:rPr>
          <w:b/>
          <w:sz w:val="24"/>
          <w:szCs w:val="24"/>
        </w:rPr>
      </w:pPr>
    </w:p>
    <w:p w:rsidR="00486081" w:rsidRPr="00A36307" w:rsidRDefault="00486081" w:rsidP="00486081">
      <w:pPr>
        <w:pStyle w:val="40"/>
        <w:jc w:val="right"/>
        <w:rPr>
          <w:b/>
          <w:sz w:val="24"/>
          <w:szCs w:val="24"/>
        </w:rPr>
      </w:pPr>
      <w:r w:rsidRPr="00A36307">
        <w:rPr>
          <w:b/>
          <w:sz w:val="24"/>
          <w:szCs w:val="24"/>
        </w:rPr>
        <w:t>УДК 612.015.1-313.3-017.1-31-6:611.316.5</w:t>
      </w:r>
    </w:p>
    <w:p w:rsidR="00486081" w:rsidRPr="00A36307" w:rsidRDefault="00486081" w:rsidP="00486081">
      <w:pPr>
        <w:jc w:val="center"/>
      </w:pPr>
    </w:p>
    <w:p w:rsidR="00486081" w:rsidRPr="00A36307" w:rsidRDefault="00486081" w:rsidP="00486081">
      <w:pPr>
        <w:jc w:val="center"/>
      </w:pPr>
    </w:p>
    <w:p w:rsidR="00486081" w:rsidRPr="00A36307" w:rsidRDefault="00486081" w:rsidP="00486081">
      <w:pPr>
        <w:jc w:val="center"/>
      </w:pPr>
    </w:p>
    <w:p w:rsidR="00486081" w:rsidRPr="00A36307" w:rsidRDefault="00486081" w:rsidP="00486081">
      <w:pPr>
        <w:pStyle w:val="affffffff5"/>
        <w:rPr>
          <w:b/>
          <w:sz w:val="24"/>
        </w:rPr>
      </w:pPr>
      <w:r w:rsidRPr="00A36307">
        <w:rPr>
          <w:b/>
          <w:sz w:val="24"/>
        </w:rPr>
        <w:t>Патогенетичне обґрунтування нового підходу до л</w:t>
      </w:r>
      <w:r w:rsidRPr="00A36307">
        <w:rPr>
          <w:b/>
          <w:sz w:val="24"/>
        </w:rPr>
        <w:t>і</w:t>
      </w:r>
      <w:r w:rsidRPr="00A36307">
        <w:rPr>
          <w:b/>
          <w:sz w:val="24"/>
        </w:rPr>
        <w:t>кування та профілактики загострень хронічного п</w:t>
      </w:r>
      <w:r w:rsidRPr="00A36307">
        <w:rPr>
          <w:b/>
          <w:sz w:val="24"/>
        </w:rPr>
        <w:t>е</w:t>
      </w:r>
      <w:r w:rsidRPr="00A36307">
        <w:rPr>
          <w:b/>
          <w:sz w:val="24"/>
        </w:rPr>
        <w:t>ріодонтиту</w:t>
      </w:r>
    </w:p>
    <w:p w:rsidR="00486081" w:rsidRPr="00A36307" w:rsidRDefault="00486081" w:rsidP="00486081">
      <w:pPr>
        <w:jc w:val="center"/>
      </w:pPr>
    </w:p>
    <w:p w:rsidR="00486081" w:rsidRPr="00A36307" w:rsidRDefault="00486081" w:rsidP="00486081">
      <w:pPr>
        <w:jc w:val="center"/>
      </w:pPr>
    </w:p>
    <w:p w:rsidR="00486081" w:rsidRPr="00A36307" w:rsidRDefault="00486081" w:rsidP="00486081">
      <w:pPr>
        <w:jc w:val="center"/>
      </w:pPr>
      <w:r w:rsidRPr="00A36307">
        <w:t>14.03.04 – патологічна фізіологія</w:t>
      </w:r>
    </w:p>
    <w:p w:rsidR="00486081" w:rsidRPr="00A36307" w:rsidRDefault="00486081" w:rsidP="00486081">
      <w:pPr>
        <w:jc w:val="center"/>
      </w:pPr>
    </w:p>
    <w:p w:rsidR="00486081" w:rsidRPr="00A36307" w:rsidRDefault="00486081" w:rsidP="00486081">
      <w:pPr>
        <w:jc w:val="center"/>
      </w:pPr>
    </w:p>
    <w:p w:rsidR="00486081" w:rsidRPr="00A36307" w:rsidRDefault="00486081" w:rsidP="00486081">
      <w:pPr>
        <w:jc w:val="center"/>
        <w:rPr>
          <w:b/>
        </w:rPr>
      </w:pPr>
    </w:p>
    <w:p w:rsidR="00486081" w:rsidRPr="00A36307" w:rsidRDefault="00486081" w:rsidP="00486081">
      <w:pPr>
        <w:jc w:val="center"/>
      </w:pPr>
      <w:r w:rsidRPr="00A36307">
        <w:t xml:space="preserve">Автореферат дисертації на здобуття наукового ступеня </w:t>
      </w:r>
    </w:p>
    <w:p w:rsidR="00486081" w:rsidRPr="00A36307" w:rsidRDefault="00486081" w:rsidP="00486081">
      <w:pPr>
        <w:jc w:val="center"/>
      </w:pPr>
      <w:r w:rsidRPr="00A36307">
        <w:t>кандидата медичних наук</w:t>
      </w:r>
    </w:p>
    <w:p w:rsidR="00486081" w:rsidRPr="00A36307" w:rsidRDefault="00486081" w:rsidP="00486081">
      <w:pPr>
        <w:jc w:val="center"/>
        <w:rPr>
          <w:b/>
        </w:rPr>
      </w:pPr>
    </w:p>
    <w:p w:rsidR="00486081" w:rsidRPr="00A36307" w:rsidRDefault="00486081" w:rsidP="00486081">
      <w:pPr>
        <w:jc w:val="center"/>
      </w:pPr>
    </w:p>
    <w:p w:rsidR="00486081" w:rsidRPr="00A36307" w:rsidRDefault="00486081" w:rsidP="00486081">
      <w:pPr>
        <w:jc w:val="center"/>
      </w:pPr>
    </w:p>
    <w:p w:rsidR="00486081" w:rsidRPr="00A36307" w:rsidRDefault="00486081" w:rsidP="00486081">
      <w:pPr>
        <w:jc w:val="center"/>
      </w:pPr>
    </w:p>
    <w:p w:rsidR="00486081" w:rsidRPr="00A36307" w:rsidRDefault="00486081" w:rsidP="00486081">
      <w:pPr>
        <w:jc w:val="center"/>
      </w:pPr>
    </w:p>
    <w:p w:rsidR="00486081" w:rsidRPr="00A36307" w:rsidRDefault="00486081" w:rsidP="00486081">
      <w:pPr>
        <w:jc w:val="center"/>
      </w:pPr>
    </w:p>
    <w:p w:rsidR="00486081" w:rsidRPr="00A36307" w:rsidRDefault="00486081" w:rsidP="00486081">
      <w:pPr>
        <w:jc w:val="center"/>
      </w:pPr>
    </w:p>
    <w:p w:rsidR="00486081" w:rsidRPr="00A36307" w:rsidRDefault="00486081" w:rsidP="00486081">
      <w:pPr>
        <w:jc w:val="center"/>
      </w:pPr>
    </w:p>
    <w:p w:rsidR="00486081" w:rsidRPr="00A36307" w:rsidRDefault="00486081" w:rsidP="00486081">
      <w:pPr>
        <w:jc w:val="center"/>
      </w:pPr>
    </w:p>
    <w:p w:rsidR="00486081" w:rsidRPr="00A36307" w:rsidRDefault="00486081" w:rsidP="00486081">
      <w:pPr>
        <w:pStyle w:val="31"/>
        <w:rPr>
          <w:sz w:val="24"/>
          <w:szCs w:val="24"/>
          <w:lang w:val="uk-UA"/>
        </w:rPr>
      </w:pPr>
      <w:r w:rsidRPr="00A36307">
        <w:rPr>
          <w:sz w:val="24"/>
          <w:szCs w:val="24"/>
          <w:lang w:val="uk-UA"/>
        </w:rPr>
        <w:t xml:space="preserve">Луганськ-2008 </w:t>
      </w:r>
    </w:p>
    <w:p w:rsidR="00486081" w:rsidRPr="00A36307" w:rsidRDefault="00486081" w:rsidP="00486081">
      <w:pPr>
        <w:jc w:val="both"/>
      </w:pPr>
    </w:p>
    <w:p w:rsidR="00486081" w:rsidRPr="00A36307" w:rsidRDefault="00486081" w:rsidP="00486081">
      <w:pPr>
        <w:pStyle w:val="2ffffa"/>
        <w:spacing w:line="240" w:lineRule="auto"/>
        <w:rPr>
          <w:spacing w:val="-9"/>
        </w:rPr>
      </w:pPr>
      <w:r w:rsidRPr="00A36307">
        <w:rPr>
          <w:spacing w:val="-9"/>
        </w:rPr>
        <w:t>Дисертацією є рукопис</w:t>
      </w:r>
    </w:p>
    <w:p w:rsidR="00486081" w:rsidRPr="00A36307" w:rsidRDefault="00486081" w:rsidP="00486081">
      <w:pPr>
        <w:pStyle w:val="2ffffa"/>
        <w:spacing w:line="240" w:lineRule="auto"/>
        <w:rPr>
          <w:spacing w:val="-9"/>
        </w:rPr>
      </w:pPr>
    </w:p>
    <w:p w:rsidR="00486081" w:rsidRPr="00A36307" w:rsidRDefault="00486081" w:rsidP="00486081">
      <w:pPr>
        <w:pStyle w:val="2ffffa"/>
        <w:spacing w:line="240" w:lineRule="auto"/>
        <w:rPr>
          <w:spacing w:val="-9"/>
        </w:rPr>
      </w:pPr>
      <w:r w:rsidRPr="00A36307">
        <w:rPr>
          <w:spacing w:val="-9"/>
        </w:rPr>
        <w:t>Робота виконана у Луганському державному медичному універс</w:t>
      </w:r>
      <w:r w:rsidRPr="00A36307">
        <w:rPr>
          <w:spacing w:val="-9"/>
        </w:rPr>
        <w:t>и</w:t>
      </w:r>
      <w:r w:rsidRPr="00A36307">
        <w:rPr>
          <w:spacing w:val="-9"/>
        </w:rPr>
        <w:t xml:space="preserve">теті МОЗ України </w:t>
      </w:r>
    </w:p>
    <w:p w:rsidR="00486081" w:rsidRPr="00A36307" w:rsidRDefault="00486081" w:rsidP="00486081">
      <w:pPr>
        <w:pStyle w:val="2ffffa"/>
        <w:spacing w:line="240" w:lineRule="auto"/>
      </w:pPr>
    </w:p>
    <w:tbl>
      <w:tblPr>
        <w:tblW w:w="0" w:type="auto"/>
        <w:tblInd w:w="-34" w:type="dxa"/>
        <w:tblLayout w:type="fixed"/>
        <w:tblLook w:val="0000" w:firstRow="0" w:lastRow="0" w:firstColumn="0" w:lastColumn="0" w:noHBand="0" w:noVBand="0"/>
      </w:tblPr>
      <w:tblGrid>
        <w:gridCol w:w="3532"/>
        <w:gridCol w:w="6839"/>
      </w:tblGrid>
      <w:tr w:rsidR="00486081" w:rsidRPr="00A36307" w:rsidTr="00BC27C3">
        <w:tblPrEx>
          <w:tblCellMar>
            <w:top w:w="0" w:type="dxa"/>
            <w:bottom w:w="0" w:type="dxa"/>
          </w:tblCellMar>
        </w:tblPrEx>
        <w:trPr>
          <w:trHeight w:val="300"/>
        </w:trPr>
        <w:tc>
          <w:tcPr>
            <w:tcW w:w="3532" w:type="dxa"/>
          </w:tcPr>
          <w:p w:rsidR="00486081" w:rsidRPr="00A36307" w:rsidRDefault="00486081" w:rsidP="00BC27C3">
            <w:pPr>
              <w:jc w:val="both"/>
              <w:rPr>
                <w:spacing w:val="-12"/>
              </w:rPr>
            </w:pPr>
            <w:r w:rsidRPr="00A36307">
              <w:rPr>
                <w:spacing w:val="-12"/>
              </w:rPr>
              <w:t>Науковий кері</w:t>
            </w:r>
            <w:r w:rsidRPr="00A36307">
              <w:rPr>
                <w:spacing w:val="-12"/>
              </w:rPr>
              <w:t>в</w:t>
            </w:r>
            <w:r w:rsidRPr="00A36307">
              <w:rPr>
                <w:spacing w:val="-12"/>
              </w:rPr>
              <w:t>ник:</w:t>
            </w:r>
          </w:p>
        </w:tc>
        <w:tc>
          <w:tcPr>
            <w:tcW w:w="6839" w:type="dxa"/>
          </w:tcPr>
          <w:p w:rsidR="00486081" w:rsidRPr="00A36307" w:rsidRDefault="00486081" w:rsidP="00BC27C3">
            <w:pPr>
              <w:jc w:val="both"/>
              <w:rPr>
                <w:spacing w:val="-9"/>
              </w:rPr>
            </w:pPr>
            <w:r w:rsidRPr="00A36307">
              <w:rPr>
                <w:spacing w:val="-9"/>
              </w:rPr>
              <w:t>доктор медичних наук, професор, заслужений діяч науки і техніки України Казімірко Ніла Казімірівна, Луганський державний меди</w:t>
            </w:r>
            <w:r w:rsidRPr="00A36307">
              <w:rPr>
                <w:spacing w:val="-9"/>
              </w:rPr>
              <w:t>ч</w:t>
            </w:r>
            <w:r w:rsidRPr="00A36307">
              <w:rPr>
                <w:spacing w:val="-9"/>
              </w:rPr>
              <w:t>ний університет МОЗ України, завідувачка кафедри патофізі</w:t>
            </w:r>
            <w:r w:rsidRPr="00A36307">
              <w:rPr>
                <w:spacing w:val="-9"/>
              </w:rPr>
              <w:t>о</w:t>
            </w:r>
            <w:r w:rsidRPr="00A36307">
              <w:rPr>
                <w:spacing w:val="-9"/>
              </w:rPr>
              <w:t>логії.</w:t>
            </w:r>
          </w:p>
        </w:tc>
      </w:tr>
    </w:tbl>
    <w:p w:rsidR="00486081" w:rsidRPr="00A36307" w:rsidRDefault="00486081" w:rsidP="00486081">
      <w:pPr>
        <w:pStyle w:val="2ffffa"/>
        <w:spacing w:line="240" w:lineRule="auto"/>
      </w:pPr>
    </w:p>
    <w:p w:rsidR="00486081" w:rsidRPr="00A36307" w:rsidRDefault="00486081" w:rsidP="00486081">
      <w:pPr>
        <w:pStyle w:val="2ffffa"/>
        <w:spacing w:line="240" w:lineRule="auto"/>
      </w:pPr>
    </w:p>
    <w:p w:rsidR="00486081" w:rsidRPr="00A36307" w:rsidRDefault="00486081" w:rsidP="00486081">
      <w:pPr>
        <w:jc w:val="both"/>
        <w:rPr>
          <w:spacing w:val="-9"/>
        </w:rPr>
      </w:pPr>
      <w:r w:rsidRPr="00A36307">
        <w:rPr>
          <w:spacing w:val="-9"/>
        </w:rPr>
        <w:t xml:space="preserve">Офіційні опоненти: </w:t>
      </w:r>
    </w:p>
    <w:p w:rsidR="00486081" w:rsidRPr="00A36307" w:rsidRDefault="00486081" w:rsidP="00486081">
      <w:pPr>
        <w:jc w:val="both"/>
        <w:rPr>
          <w:spacing w:val="-9"/>
        </w:rPr>
      </w:pPr>
      <w:r w:rsidRPr="00A36307">
        <w:rPr>
          <w:spacing w:val="-9"/>
        </w:rPr>
        <w:t>доктор медичних наук, професор Комаревцев Віталій Миколайович, Луганський державний медичний університет МОЗ Укра</w:t>
      </w:r>
      <w:r w:rsidRPr="00A36307">
        <w:rPr>
          <w:spacing w:val="-9"/>
        </w:rPr>
        <w:t>ї</w:t>
      </w:r>
      <w:r w:rsidRPr="00A36307">
        <w:rPr>
          <w:spacing w:val="-9"/>
        </w:rPr>
        <w:t>ни, завідувач кафедри хірургії з урологією;</w:t>
      </w:r>
    </w:p>
    <w:p w:rsidR="00486081" w:rsidRPr="00A36307" w:rsidRDefault="00486081" w:rsidP="00486081">
      <w:pPr>
        <w:jc w:val="both"/>
        <w:rPr>
          <w:spacing w:val="-9"/>
        </w:rPr>
      </w:pPr>
    </w:p>
    <w:p w:rsidR="00486081" w:rsidRPr="00A36307" w:rsidRDefault="00486081" w:rsidP="00486081">
      <w:pPr>
        <w:pStyle w:val="35"/>
        <w:spacing w:line="240" w:lineRule="auto"/>
        <w:jc w:val="both"/>
        <w:rPr>
          <w:b/>
          <w:spacing w:val="-9"/>
          <w:sz w:val="24"/>
          <w:szCs w:val="24"/>
        </w:rPr>
      </w:pPr>
      <w:r w:rsidRPr="00A36307">
        <w:rPr>
          <w:b/>
          <w:spacing w:val="-9"/>
          <w:sz w:val="24"/>
          <w:szCs w:val="24"/>
        </w:rPr>
        <w:t>доктор медичних наук, професор Гоженко Анатолій Іванович, Одеський державний медичний університет МОЗ України, завідувач кафедри загальної та клінічної патофізіології ім. В.В. Підвис</w:t>
      </w:r>
      <w:r w:rsidRPr="00A36307">
        <w:rPr>
          <w:b/>
          <w:spacing w:val="-9"/>
          <w:sz w:val="24"/>
          <w:szCs w:val="24"/>
        </w:rPr>
        <w:t>о</w:t>
      </w:r>
      <w:r w:rsidRPr="00A36307">
        <w:rPr>
          <w:b/>
          <w:spacing w:val="-9"/>
          <w:sz w:val="24"/>
          <w:szCs w:val="24"/>
        </w:rPr>
        <w:t>цького.</w:t>
      </w:r>
    </w:p>
    <w:p w:rsidR="00486081" w:rsidRPr="00A36307" w:rsidRDefault="00486081" w:rsidP="00486081">
      <w:pPr>
        <w:pStyle w:val="35"/>
        <w:spacing w:line="240" w:lineRule="auto"/>
        <w:jc w:val="both"/>
        <w:rPr>
          <w:b/>
          <w:spacing w:val="-9"/>
          <w:sz w:val="24"/>
          <w:szCs w:val="24"/>
        </w:rPr>
      </w:pPr>
    </w:p>
    <w:p w:rsidR="00486081" w:rsidRPr="00A36307" w:rsidRDefault="00486081" w:rsidP="00486081">
      <w:pPr>
        <w:pStyle w:val="35"/>
        <w:spacing w:line="240" w:lineRule="auto"/>
        <w:jc w:val="both"/>
        <w:rPr>
          <w:b/>
          <w:spacing w:val="-9"/>
          <w:sz w:val="24"/>
          <w:szCs w:val="24"/>
        </w:rPr>
      </w:pPr>
    </w:p>
    <w:p w:rsidR="00486081" w:rsidRPr="00A36307" w:rsidRDefault="00486081" w:rsidP="00486081">
      <w:pPr>
        <w:pStyle w:val="35"/>
        <w:spacing w:line="240" w:lineRule="auto"/>
        <w:jc w:val="both"/>
        <w:rPr>
          <w:b/>
          <w:spacing w:val="-9"/>
          <w:sz w:val="24"/>
          <w:szCs w:val="24"/>
        </w:rPr>
      </w:pPr>
      <w:r w:rsidRPr="00A36307">
        <w:rPr>
          <w:b/>
          <w:spacing w:val="-9"/>
          <w:sz w:val="24"/>
          <w:szCs w:val="24"/>
        </w:rPr>
        <w:t xml:space="preserve">Захист відбудеться “31” жовтня </w:t>
      </w:r>
      <w:r w:rsidRPr="00A36307">
        <w:rPr>
          <w:b/>
          <w:spacing w:val="-9"/>
          <w:sz w:val="24"/>
          <w:szCs w:val="24"/>
          <w:u w:val="single"/>
        </w:rPr>
        <w:t>2008</w:t>
      </w:r>
      <w:r w:rsidRPr="00A36307">
        <w:rPr>
          <w:b/>
          <w:spacing w:val="-9"/>
          <w:sz w:val="24"/>
          <w:szCs w:val="24"/>
        </w:rPr>
        <w:t xml:space="preserve"> р. о 1</w:t>
      </w:r>
      <w:r w:rsidRPr="00B70FB8">
        <w:rPr>
          <w:b/>
          <w:spacing w:val="-9"/>
          <w:sz w:val="24"/>
          <w:szCs w:val="24"/>
          <w:lang w:val="uk-UA"/>
        </w:rPr>
        <w:t>3</w:t>
      </w:r>
      <w:r w:rsidRPr="00A36307">
        <w:rPr>
          <w:b/>
          <w:spacing w:val="-9"/>
          <w:sz w:val="24"/>
          <w:szCs w:val="24"/>
        </w:rPr>
        <w:t>.00 годині на засіданні спеціалізованої вченої ради Д 29.600.02 при Луганському державному медичному університеті (91045, м. Луганськ, кв. 50-річчя Оборони Луганс</w:t>
      </w:r>
      <w:r w:rsidRPr="00A36307">
        <w:rPr>
          <w:b/>
          <w:spacing w:val="-9"/>
          <w:sz w:val="24"/>
          <w:szCs w:val="24"/>
        </w:rPr>
        <w:t>ь</w:t>
      </w:r>
      <w:r w:rsidRPr="00A36307">
        <w:rPr>
          <w:b/>
          <w:spacing w:val="-9"/>
          <w:sz w:val="24"/>
          <w:szCs w:val="24"/>
        </w:rPr>
        <w:t>ка, 1г).</w:t>
      </w:r>
    </w:p>
    <w:p w:rsidR="00486081" w:rsidRPr="00A36307" w:rsidRDefault="00486081" w:rsidP="00486081">
      <w:pPr>
        <w:pStyle w:val="35"/>
        <w:spacing w:line="240" w:lineRule="auto"/>
        <w:jc w:val="both"/>
        <w:rPr>
          <w:b/>
          <w:spacing w:val="-9"/>
          <w:sz w:val="24"/>
          <w:szCs w:val="24"/>
        </w:rPr>
      </w:pPr>
    </w:p>
    <w:p w:rsidR="00486081" w:rsidRPr="00A36307" w:rsidRDefault="00486081" w:rsidP="00486081">
      <w:pPr>
        <w:pStyle w:val="35"/>
        <w:spacing w:line="240" w:lineRule="auto"/>
        <w:jc w:val="both"/>
        <w:rPr>
          <w:b/>
          <w:spacing w:val="-9"/>
          <w:sz w:val="24"/>
          <w:szCs w:val="24"/>
        </w:rPr>
      </w:pPr>
    </w:p>
    <w:p w:rsidR="00486081" w:rsidRPr="00A36307" w:rsidRDefault="00486081" w:rsidP="00486081">
      <w:pPr>
        <w:pStyle w:val="35"/>
        <w:spacing w:line="240" w:lineRule="auto"/>
        <w:jc w:val="both"/>
        <w:rPr>
          <w:b/>
          <w:spacing w:val="-9"/>
          <w:sz w:val="24"/>
          <w:szCs w:val="24"/>
        </w:rPr>
      </w:pPr>
      <w:r w:rsidRPr="00A36307">
        <w:rPr>
          <w:b/>
          <w:spacing w:val="-9"/>
          <w:sz w:val="24"/>
          <w:szCs w:val="24"/>
        </w:rPr>
        <w:t>З дисертацією можна ознайомитись у бібліотеці Луганського державного медичного університету (91045, м. Луганськ, кв. 50-річчя Оборони Луганська, 1г).</w:t>
      </w:r>
    </w:p>
    <w:p w:rsidR="00486081" w:rsidRPr="00A36307" w:rsidRDefault="00486081" w:rsidP="00486081">
      <w:pPr>
        <w:pStyle w:val="35"/>
        <w:spacing w:line="240" w:lineRule="auto"/>
        <w:jc w:val="both"/>
        <w:rPr>
          <w:b/>
          <w:spacing w:val="-9"/>
          <w:sz w:val="24"/>
          <w:szCs w:val="24"/>
        </w:rPr>
      </w:pPr>
    </w:p>
    <w:p w:rsidR="00486081" w:rsidRPr="00A36307" w:rsidRDefault="00486081" w:rsidP="00486081">
      <w:pPr>
        <w:pStyle w:val="35"/>
        <w:spacing w:line="240" w:lineRule="auto"/>
        <w:jc w:val="both"/>
        <w:rPr>
          <w:b/>
          <w:spacing w:val="-9"/>
          <w:sz w:val="24"/>
          <w:szCs w:val="24"/>
        </w:rPr>
      </w:pPr>
      <w:r w:rsidRPr="00A36307">
        <w:rPr>
          <w:b/>
          <w:spacing w:val="-9"/>
          <w:sz w:val="24"/>
          <w:szCs w:val="24"/>
        </w:rPr>
        <w:t xml:space="preserve">Автореферат розісланий “30” вересня </w:t>
      </w:r>
      <w:r w:rsidRPr="00A36307">
        <w:rPr>
          <w:b/>
          <w:spacing w:val="-9"/>
          <w:sz w:val="24"/>
          <w:szCs w:val="24"/>
          <w:u w:val="single"/>
        </w:rPr>
        <w:t>2008</w:t>
      </w:r>
      <w:r w:rsidRPr="00A36307">
        <w:rPr>
          <w:b/>
          <w:spacing w:val="-9"/>
          <w:sz w:val="24"/>
          <w:szCs w:val="24"/>
        </w:rPr>
        <w:t xml:space="preserve"> р.</w:t>
      </w:r>
    </w:p>
    <w:p w:rsidR="00486081" w:rsidRPr="00A36307" w:rsidRDefault="00486081" w:rsidP="00486081">
      <w:pPr>
        <w:jc w:val="both"/>
        <w:rPr>
          <w:spacing w:val="-9"/>
        </w:rPr>
      </w:pPr>
    </w:p>
    <w:p w:rsidR="00486081" w:rsidRPr="00A36307" w:rsidRDefault="00486081" w:rsidP="00486081">
      <w:pPr>
        <w:jc w:val="both"/>
        <w:rPr>
          <w:spacing w:val="-9"/>
        </w:rPr>
      </w:pPr>
    </w:p>
    <w:p w:rsidR="00486081" w:rsidRPr="00A36307" w:rsidRDefault="00486081" w:rsidP="00486081">
      <w:pPr>
        <w:jc w:val="both"/>
        <w:rPr>
          <w:spacing w:val="-9"/>
        </w:rPr>
      </w:pPr>
      <w:r w:rsidRPr="00A36307">
        <w:rPr>
          <w:spacing w:val="-9"/>
        </w:rPr>
        <w:t>Вчений секретар</w:t>
      </w:r>
    </w:p>
    <w:p w:rsidR="00486081" w:rsidRPr="00A36307" w:rsidRDefault="00486081" w:rsidP="00486081">
      <w:pPr>
        <w:rPr>
          <w:spacing w:val="-9"/>
        </w:rPr>
      </w:pPr>
      <w:r w:rsidRPr="00A36307">
        <w:rPr>
          <w:spacing w:val="-9"/>
        </w:rPr>
        <w:t xml:space="preserve">спеціалізованої вченої ради, доцент                              В.М. Шанько </w:t>
      </w:r>
    </w:p>
    <w:p w:rsidR="00486081" w:rsidRPr="00A36307" w:rsidRDefault="00486081" w:rsidP="00486081">
      <w:pPr>
        <w:jc w:val="center"/>
        <w:rPr>
          <w:spacing w:val="-9"/>
        </w:rPr>
      </w:pPr>
    </w:p>
    <w:p w:rsidR="00486081" w:rsidRPr="00A36307" w:rsidRDefault="00486081" w:rsidP="00486081">
      <w:pPr>
        <w:pStyle w:val="40"/>
        <w:rPr>
          <w:spacing w:val="-16"/>
          <w:sz w:val="24"/>
          <w:szCs w:val="24"/>
        </w:rPr>
      </w:pPr>
      <w:r w:rsidRPr="00A36307">
        <w:rPr>
          <w:spacing w:val="-16"/>
          <w:sz w:val="24"/>
          <w:szCs w:val="24"/>
        </w:rPr>
        <w:t>ЗАГАЛЬНА ХАРАКТЕРИСТИКА РОБОТИ</w:t>
      </w:r>
    </w:p>
    <w:p w:rsidR="00486081" w:rsidRPr="00A36307" w:rsidRDefault="00486081" w:rsidP="00486081">
      <w:pPr>
        <w:ind w:firstLine="567"/>
        <w:jc w:val="both"/>
        <w:rPr>
          <w:spacing w:val="-16"/>
        </w:rPr>
      </w:pPr>
      <w:r w:rsidRPr="00A36307">
        <w:rPr>
          <w:b/>
          <w:spacing w:val="-16"/>
        </w:rPr>
        <w:t>Актуальність теми.</w:t>
      </w:r>
      <w:r w:rsidRPr="00A36307">
        <w:rPr>
          <w:spacing w:val="-16"/>
        </w:rPr>
        <w:t xml:space="preserve"> Захворювання періодонту – це одна з найскладніших патологій зубощелепно-лицевої системи. Сьогодні вони є не тільки загальномедичною, але й соціальною проблемою, яка є значно розповсюдж</w:t>
      </w:r>
      <w:r w:rsidRPr="00A36307">
        <w:rPr>
          <w:spacing w:val="-16"/>
        </w:rPr>
        <w:t>е</w:t>
      </w:r>
      <w:r w:rsidRPr="00A36307">
        <w:rPr>
          <w:spacing w:val="-16"/>
        </w:rPr>
        <w:t>ною в світі, супроводжується втратою зубів у пацієнтів з несприятливим впливом осередків періодонтальної інфе</w:t>
      </w:r>
      <w:r w:rsidRPr="00A36307">
        <w:rPr>
          <w:spacing w:val="-16"/>
        </w:rPr>
        <w:t>к</w:t>
      </w:r>
      <w:r w:rsidRPr="00A36307">
        <w:rPr>
          <w:spacing w:val="-16"/>
        </w:rPr>
        <w:t>ції на організм в цілому. За даними світової літератури, розповсюдженість запальних захворювань п</w:t>
      </w:r>
      <w:r w:rsidRPr="00A36307">
        <w:rPr>
          <w:spacing w:val="-16"/>
        </w:rPr>
        <w:t>е</w:t>
      </w:r>
      <w:r w:rsidRPr="00A36307">
        <w:rPr>
          <w:spacing w:val="-16"/>
        </w:rPr>
        <w:t>ріодонту сягає 98 %, серед них провідну роль грає хронічний періодонтит (Кабак Ю.С., 2005; Lamster I.B., Karabin S.D., 2002).</w:t>
      </w:r>
    </w:p>
    <w:p w:rsidR="00486081" w:rsidRPr="00A36307" w:rsidRDefault="00486081" w:rsidP="00486081">
      <w:pPr>
        <w:ind w:firstLine="567"/>
        <w:jc w:val="both"/>
        <w:rPr>
          <w:spacing w:val="-16"/>
        </w:rPr>
      </w:pPr>
      <w:r w:rsidRPr="00A36307">
        <w:rPr>
          <w:spacing w:val="-16"/>
        </w:rPr>
        <w:t>Запальний процес в періодонті не тільки призводить до поразки навколоверхівкових тканин зуба, але й неб</w:t>
      </w:r>
      <w:r w:rsidRPr="00A36307">
        <w:rPr>
          <w:spacing w:val="-16"/>
        </w:rPr>
        <w:t>е</w:t>
      </w:r>
      <w:r w:rsidRPr="00A36307">
        <w:rPr>
          <w:spacing w:val="-16"/>
        </w:rPr>
        <w:t>зпечний ще й формуванням умов для маніфестних та прихованих запальних осередків, які сприяють сенсибіліз</w:t>
      </w:r>
      <w:r w:rsidRPr="00A36307">
        <w:rPr>
          <w:spacing w:val="-16"/>
        </w:rPr>
        <w:t>а</w:t>
      </w:r>
      <w:r w:rsidRPr="00A36307">
        <w:rPr>
          <w:spacing w:val="-16"/>
        </w:rPr>
        <w:t>ції організму. Присутність в осередку хронічного запалення макрофагів, Т- та В-лімфоцитів розглядають як підтве</w:t>
      </w:r>
      <w:r w:rsidRPr="00A36307">
        <w:rPr>
          <w:spacing w:val="-16"/>
        </w:rPr>
        <w:t>р</w:t>
      </w:r>
      <w:r w:rsidRPr="00A36307">
        <w:rPr>
          <w:spacing w:val="-16"/>
        </w:rPr>
        <w:t>дження постійного надходження антигенів з системи кореневих каналів. У хворих на хронічний періодонтит виявлена тенденція до збільшення рівня сироваткових імуногл</w:t>
      </w:r>
      <w:r w:rsidRPr="00A36307">
        <w:rPr>
          <w:spacing w:val="-16"/>
        </w:rPr>
        <w:t>о</w:t>
      </w:r>
      <w:r w:rsidRPr="00A36307">
        <w:rPr>
          <w:spacing w:val="-16"/>
        </w:rPr>
        <w:t>булінів (Ig) А та G (Гречишников В.И. та ін., 2002; Yang Y., 2005). У світлі сучасних даних про патогенез хронічного періодонтиту засоби для його лікування повинні включати якомога більше патогенетичних л</w:t>
      </w:r>
      <w:r w:rsidRPr="00A36307">
        <w:rPr>
          <w:spacing w:val="-16"/>
        </w:rPr>
        <w:t>а</w:t>
      </w:r>
      <w:r w:rsidRPr="00A36307">
        <w:rPr>
          <w:spacing w:val="-16"/>
        </w:rPr>
        <w:t>нок (Зубачик В.М. та ін., 2003; Page R.C., 2001).</w:t>
      </w:r>
    </w:p>
    <w:p w:rsidR="00486081" w:rsidRPr="00A36307" w:rsidRDefault="00486081" w:rsidP="00486081">
      <w:pPr>
        <w:ind w:firstLine="567"/>
        <w:jc w:val="both"/>
        <w:rPr>
          <w:spacing w:val="-16"/>
        </w:rPr>
      </w:pPr>
      <w:r w:rsidRPr="00A36307">
        <w:rPr>
          <w:spacing w:val="-16"/>
        </w:rPr>
        <w:t>Сучасні дані про роль суворо анаеробних бактерій навколоверхівкових тканин у розвитку запального процесу в періодонті визначають необхідність пошуку ефективних засобів для проведення місцевої антибіотик</w:t>
      </w:r>
      <w:r w:rsidRPr="00A36307">
        <w:rPr>
          <w:spacing w:val="-16"/>
        </w:rPr>
        <w:t>о</w:t>
      </w:r>
      <w:r w:rsidRPr="00A36307">
        <w:rPr>
          <w:spacing w:val="-16"/>
        </w:rPr>
        <w:t>терапії в комплексному лікуванні захворювання (Zhu J., Okada S., 2005). Хоча в останні роки в терапії різних форм періодо</w:t>
      </w:r>
      <w:r w:rsidRPr="00A36307">
        <w:rPr>
          <w:spacing w:val="-16"/>
        </w:rPr>
        <w:t>н</w:t>
      </w:r>
      <w:r w:rsidRPr="00A36307">
        <w:rPr>
          <w:spacing w:val="-16"/>
        </w:rPr>
        <w:t>титу досягнуті значні успіхи, існуючі методи лікування є недосконалими, часто супроводжуються тяжкими ускла</w:t>
      </w:r>
      <w:r w:rsidRPr="00A36307">
        <w:rPr>
          <w:spacing w:val="-16"/>
        </w:rPr>
        <w:t>д</w:t>
      </w:r>
      <w:r w:rsidRPr="00A36307">
        <w:rPr>
          <w:spacing w:val="-16"/>
        </w:rPr>
        <w:t>неннями у вигляді гострих запальних процесів щелепно-лицевої ділянки (періостит, абсцес, остеомієліт). Традиці</w:t>
      </w:r>
      <w:r w:rsidRPr="00A36307">
        <w:rPr>
          <w:spacing w:val="-16"/>
        </w:rPr>
        <w:t>й</w:t>
      </w:r>
      <w:r w:rsidRPr="00A36307">
        <w:rPr>
          <w:spacing w:val="-16"/>
        </w:rPr>
        <w:t>ні терапевтичні методи лікування хронічного періодонтиту в ряді випадків є неефект</w:t>
      </w:r>
      <w:r w:rsidRPr="00A36307">
        <w:rPr>
          <w:spacing w:val="-16"/>
        </w:rPr>
        <w:t>и</w:t>
      </w:r>
      <w:r w:rsidRPr="00A36307">
        <w:rPr>
          <w:spacing w:val="-16"/>
        </w:rPr>
        <w:t xml:space="preserve">вними та не дають достатньо тривалої ремісії (Котелевська Н.В., 2005; Жаркова О.А., 2006). В </w:t>
      </w:r>
      <w:r w:rsidRPr="00A36307">
        <w:rPr>
          <w:spacing w:val="-16"/>
        </w:rPr>
        <w:lastRenderedPageBreak/>
        <w:t>зв’язку з цим в останні роки певну актуальність н</w:t>
      </w:r>
      <w:r w:rsidRPr="00A36307">
        <w:rPr>
          <w:spacing w:val="-16"/>
        </w:rPr>
        <w:t>а</w:t>
      </w:r>
      <w:r w:rsidRPr="00A36307">
        <w:rPr>
          <w:spacing w:val="-16"/>
        </w:rPr>
        <w:t>бувають дослідження, спрямовані на пошук способів лікування, які діють на різні ланки патогенезу хронічного період</w:t>
      </w:r>
      <w:r w:rsidRPr="00A36307">
        <w:rPr>
          <w:spacing w:val="-16"/>
        </w:rPr>
        <w:t>о</w:t>
      </w:r>
      <w:r w:rsidRPr="00A36307">
        <w:rPr>
          <w:spacing w:val="-16"/>
        </w:rPr>
        <w:t>нтиту.</w:t>
      </w:r>
    </w:p>
    <w:p w:rsidR="00486081" w:rsidRPr="00A36307" w:rsidRDefault="00486081" w:rsidP="00486081">
      <w:pPr>
        <w:ind w:firstLine="567"/>
        <w:jc w:val="both"/>
        <w:rPr>
          <w:spacing w:val="-16"/>
        </w:rPr>
      </w:pPr>
      <w:r w:rsidRPr="00A36307">
        <w:rPr>
          <w:b/>
          <w:spacing w:val="-16"/>
        </w:rPr>
        <w:t>Зв'язок роботи з науковими програмами, темами.</w:t>
      </w:r>
      <w:r w:rsidRPr="00A36307">
        <w:rPr>
          <w:spacing w:val="-16"/>
        </w:rPr>
        <w:t xml:space="preserve"> Дисертація є фрагментом планової наукової роботи кафедри патофізіології Луганського державного медичного університету № 0198U005713 «Запалення як р</w:t>
      </w:r>
      <w:r w:rsidRPr="00A36307">
        <w:rPr>
          <w:spacing w:val="-16"/>
        </w:rPr>
        <w:t>е</w:t>
      </w:r>
      <w:r w:rsidRPr="00A36307">
        <w:rPr>
          <w:spacing w:val="-16"/>
        </w:rPr>
        <w:t>зультат дії бактерій». Авторка є співвиконавцем комплек</w:t>
      </w:r>
      <w:r w:rsidRPr="00A36307">
        <w:rPr>
          <w:spacing w:val="-16"/>
        </w:rPr>
        <w:t>с</w:t>
      </w:r>
      <w:r w:rsidRPr="00A36307">
        <w:rPr>
          <w:spacing w:val="-16"/>
        </w:rPr>
        <w:t>ної теми.</w:t>
      </w:r>
    </w:p>
    <w:p w:rsidR="00486081" w:rsidRPr="00A36307" w:rsidRDefault="00486081" w:rsidP="00486081">
      <w:pPr>
        <w:pStyle w:val="affffffff5"/>
        <w:ind w:firstLine="567"/>
        <w:jc w:val="both"/>
        <w:rPr>
          <w:b/>
          <w:spacing w:val="-16"/>
          <w:sz w:val="24"/>
        </w:rPr>
      </w:pPr>
      <w:r w:rsidRPr="00A36307">
        <w:rPr>
          <w:spacing w:val="-16"/>
          <w:sz w:val="24"/>
        </w:rPr>
        <w:t xml:space="preserve">Мета і задачі дослідження: </w:t>
      </w:r>
      <w:r w:rsidRPr="00A36307">
        <w:rPr>
          <w:b/>
          <w:spacing w:val="-16"/>
          <w:sz w:val="24"/>
        </w:rPr>
        <w:t>розробити патогенетично обґрунтований спосіб лікування і профілактики заго</w:t>
      </w:r>
      <w:r w:rsidRPr="00A36307">
        <w:rPr>
          <w:b/>
          <w:spacing w:val="-16"/>
          <w:sz w:val="24"/>
        </w:rPr>
        <w:t>с</w:t>
      </w:r>
      <w:r w:rsidRPr="00A36307">
        <w:rPr>
          <w:b/>
          <w:spacing w:val="-16"/>
          <w:sz w:val="24"/>
        </w:rPr>
        <w:t>трень хронічного періодонтиту з використанням композиції для тимчасового пломбування кореневих каналів, яка містить антиоксидант та антибактерійний х</w:t>
      </w:r>
      <w:r w:rsidRPr="00A36307">
        <w:rPr>
          <w:b/>
          <w:spacing w:val="-16"/>
          <w:sz w:val="24"/>
        </w:rPr>
        <w:t>і</w:t>
      </w:r>
      <w:r w:rsidRPr="00A36307">
        <w:rPr>
          <w:b/>
          <w:spacing w:val="-16"/>
          <w:sz w:val="24"/>
        </w:rPr>
        <w:t>міопрепарат.</w:t>
      </w:r>
    </w:p>
    <w:p w:rsidR="00486081" w:rsidRPr="00A36307" w:rsidRDefault="00486081" w:rsidP="00486081">
      <w:pPr>
        <w:shd w:val="clear" w:color="auto" w:fill="FFFFFF"/>
        <w:ind w:firstLine="567"/>
        <w:jc w:val="both"/>
        <w:rPr>
          <w:color w:val="000000"/>
          <w:spacing w:val="-16"/>
          <w:lang w:val="uk-UA"/>
        </w:rPr>
      </w:pPr>
      <w:r w:rsidRPr="00A36307">
        <w:rPr>
          <w:color w:val="000000"/>
          <w:spacing w:val="-16"/>
          <w:lang w:val="uk-UA"/>
        </w:rPr>
        <w:t xml:space="preserve">Для досягнення мети були поставлені наступні </w:t>
      </w:r>
      <w:r w:rsidRPr="00A36307">
        <w:rPr>
          <w:b/>
          <w:color w:val="000000"/>
          <w:spacing w:val="-16"/>
          <w:lang w:val="uk-UA"/>
        </w:rPr>
        <w:t>зад</w:t>
      </w:r>
      <w:r w:rsidRPr="00A36307">
        <w:rPr>
          <w:b/>
          <w:color w:val="000000"/>
          <w:spacing w:val="-16"/>
          <w:lang w:val="uk-UA"/>
        </w:rPr>
        <w:t>а</w:t>
      </w:r>
      <w:r w:rsidRPr="00A36307">
        <w:rPr>
          <w:b/>
          <w:color w:val="000000"/>
          <w:spacing w:val="-16"/>
          <w:lang w:val="uk-UA"/>
        </w:rPr>
        <w:t>чі</w:t>
      </w:r>
      <w:r w:rsidRPr="00A36307">
        <w:rPr>
          <w:color w:val="000000"/>
          <w:spacing w:val="-16"/>
          <w:lang w:val="uk-UA"/>
        </w:rPr>
        <w:t>:</w:t>
      </w:r>
    </w:p>
    <w:p w:rsidR="00486081" w:rsidRPr="00A36307" w:rsidRDefault="00486081" w:rsidP="00486081">
      <w:pPr>
        <w:jc w:val="both"/>
        <w:rPr>
          <w:spacing w:val="-16"/>
        </w:rPr>
      </w:pPr>
      <w:r w:rsidRPr="00A36307">
        <w:rPr>
          <w:spacing w:val="-16"/>
        </w:rPr>
        <w:t>У хворих на хронічний періодонтит:</w:t>
      </w:r>
    </w:p>
    <w:p w:rsidR="00486081" w:rsidRPr="00A36307" w:rsidRDefault="00486081" w:rsidP="00E46795">
      <w:pPr>
        <w:numPr>
          <w:ilvl w:val="0"/>
          <w:numId w:val="67"/>
        </w:numPr>
        <w:suppressAutoHyphens w:val="0"/>
        <w:jc w:val="both"/>
        <w:rPr>
          <w:spacing w:val="-16"/>
        </w:rPr>
      </w:pPr>
      <w:r w:rsidRPr="00A36307">
        <w:rPr>
          <w:spacing w:val="-16"/>
        </w:rPr>
        <w:t>Вивчити видовий склад, імуносупресивні властивості та чутливість до антибактеріальних препаратів етіологічних агентів захв</w:t>
      </w:r>
      <w:r w:rsidRPr="00A36307">
        <w:rPr>
          <w:spacing w:val="-16"/>
        </w:rPr>
        <w:t>о</w:t>
      </w:r>
      <w:r w:rsidRPr="00A36307">
        <w:rPr>
          <w:spacing w:val="-16"/>
        </w:rPr>
        <w:t>рювання.</w:t>
      </w:r>
    </w:p>
    <w:p w:rsidR="00486081" w:rsidRPr="00A36307" w:rsidRDefault="00486081" w:rsidP="00E46795">
      <w:pPr>
        <w:numPr>
          <w:ilvl w:val="0"/>
          <w:numId w:val="67"/>
        </w:numPr>
        <w:suppressAutoHyphens w:val="0"/>
        <w:jc w:val="both"/>
        <w:rPr>
          <w:spacing w:val="-16"/>
        </w:rPr>
      </w:pPr>
      <w:r w:rsidRPr="00A36307">
        <w:rPr>
          <w:spacing w:val="-16"/>
        </w:rPr>
        <w:t>Вивчити імунний статус.</w:t>
      </w:r>
    </w:p>
    <w:p w:rsidR="00486081" w:rsidRPr="00B70FB8" w:rsidRDefault="00486081" w:rsidP="00E46795">
      <w:pPr>
        <w:numPr>
          <w:ilvl w:val="0"/>
          <w:numId w:val="67"/>
        </w:numPr>
        <w:suppressAutoHyphens w:val="0"/>
        <w:jc w:val="both"/>
        <w:rPr>
          <w:spacing w:val="-16"/>
          <w:lang w:val="uk-UA"/>
        </w:rPr>
      </w:pPr>
      <w:r w:rsidRPr="00A36307">
        <w:rPr>
          <w:spacing w:val="-16"/>
        </w:rPr>
        <w:t>Вивчити активність перекисного окиснення ліпідів (ПОЛ) та ферментативної системи антиокислювального з</w:t>
      </w:r>
      <w:r w:rsidRPr="00A36307">
        <w:rPr>
          <w:spacing w:val="-16"/>
        </w:rPr>
        <w:t>а</w:t>
      </w:r>
      <w:r w:rsidRPr="00A36307">
        <w:rPr>
          <w:spacing w:val="-16"/>
        </w:rPr>
        <w:t>хисту (АОЗ), а також вплив на них структурних компонентів етіологічних агентів захворювання в досліді з нейтрофілами та моноцитами периферійної крові</w:t>
      </w:r>
      <w:r w:rsidRPr="00B70FB8">
        <w:rPr>
          <w:spacing w:val="-16"/>
          <w:lang w:val="uk-UA"/>
        </w:rPr>
        <w:t xml:space="preserve"> і</w:t>
      </w:r>
      <w:r w:rsidRPr="00A36307">
        <w:rPr>
          <w:spacing w:val="-16"/>
        </w:rPr>
        <w:t>n</w:t>
      </w:r>
      <w:r w:rsidRPr="00B70FB8">
        <w:rPr>
          <w:spacing w:val="-16"/>
          <w:lang w:val="uk-UA"/>
        </w:rPr>
        <w:t xml:space="preserve"> </w:t>
      </w:r>
      <w:r w:rsidRPr="00A36307">
        <w:rPr>
          <w:spacing w:val="-16"/>
        </w:rPr>
        <w:t>v</w:t>
      </w:r>
      <w:r w:rsidRPr="00A36307">
        <w:rPr>
          <w:spacing w:val="-16"/>
        </w:rPr>
        <w:t>i</w:t>
      </w:r>
      <w:r w:rsidRPr="00A36307">
        <w:rPr>
          <w:spacing w:val="-16"/>
        </w:rPr>
        <w:t>tro</w:t>
      </w:r>
      <w:r w:rsidRPr="00B70FB8">
        <w:rPr>
          <w:spacing w:val="-16"/>
          <w:lang w:val="uk-UA"/>
        </w:rPr>
        <w:t>.</w:t>
      </w:r>
    </w:p>
    <w:p w:rsidR="00486081" w:rsidRPr="00A36307" w:rsidRDefault="00486081" w:rsidP="00E46795">
      <w:pPr>
        <w:numPr>
          <w:ilvl w:val="0"/>
          <w:numId w:val="67"/>
        </w:numPr>
        <w:suppressAutoHyphens w:val="0"/>
        <w:jc w:val="both"/>
        <w:rPr>
          <w:spacing w:val="-16"/>
        </w:rPr>
      </w:pPr>
      <w:r w:rsidRPr="00A36307">
        <w:rPr>
          <w:spacing w:val="-16"/>
        </w:rPr>
        <w:t>Визначити ефективність трьохетапного способу лікування з використанням композиції для тимчасового пло</w:t>
      </w:r>
      <w:r w:rsidRPr="00A36307">
        <w:rPr>
          <w:spacing w:val="-16"/>
        </w:rPr>
        <w:t>м</w:t>
      </w:r>
      <w:r w:rsidRPr="00A36307">
        <w:rPr>
          <w:spacing w:val="-16"/>
        </w:rPr>
        <w:t>бування кореневих каналів, яка містить вітамін Е, метронідазол, барію сульфат та ультрадисперсний гідрокси</w:t>
      </w:r>
      <w:r w:rsidRPr="00A36307">
        <w:rPr>
          <w:spacing w:val="-16"/>
        </w:rPr>
        <w:t>а</w:t>
      </w:r>
      <w:r w:rsidRPr="00A36307">
        <w:rPr>
          <w:spacing w:val="-16"/>
        </w:rPr>
        <w:t>патит, легований сріблом.</w:t>
      </w:r>
    </w:p>
    <w:p w:rsidR="00486081" w:rsidRPr="00A36307" w:rsidRDefault="00486081" w:rsidP="00486081">
      <w:pPr>
        <w:ind w:firstLine="567"/>
        <w:jc w:val="both"/>
        <w:rPr>
          <w:spacing w:val="-16"/>
        </w:rPr>
      </w:pPr>
      <w:r w:rsidRPr="00A36307">
        <w:rPr>
          <w:i/>
          <w:color w:val="000000"/>
          <w:spacing w:val="-16"/>
        </w:rPr>
        <w:t>Об'єкт дослідження:</w:t>
      </w:r>
      <w:r w:rsidRPr="00A36307">
        <w:rPr>
          <w:color w:val="000000"/>
          <w:spacing w:val="-16"/>
        </w:rPr>
        <w:t xml:space="preserve"> бактеріологічний, імунний і метаболічний ст</w:t>
      </w:r>
      <w:r w:rsidRPr="00A36307">
        <w:rPr>
          <w:color w:val="000000"/>
          <w:spacing w:val="-16"/>
        </w:rPr>
        <w:t>а</w:t>
      </w:r>
      <w:r w:rsidRPr="00A36307">
        <w:rPr>
          <w:color w:val="000000"/>
          <w:spacing w:val="-16"/>
        </w:rPr>
        <w:t>тус хворих на хронічний періодонтит</w:t>
      </w:r>
      <w:r w:rsidRPr="00A36307">
        <w:rPr>
          <w:spacing w:val="-16"/>
        </w:rPr>
        <w:t>.</w:t>
      </w:r>
    </w:p>
    <w:p w:rsidR="00486081" w:rsidRPr="00A36307" w:rsidRDefault="00486081" w:rsidP="00486081">
      <w:pPr>
        <w:ind w:firstLine="567"/>
        <w:jc w:val="both"/>
        <w:rPr>
          <w:spacing w:val="-16"/>
        </w:rPr>
      </w:pPr>
      <w:r w:rsidRPr="00A36307">
        <w:rPr>
          <w:i/>
          <w:color w:val="000000"/>
          <w:spacing w:val="-16"/>
        </w:rPr>
        <w:t>Предмети дослідження:</w:t>
      </w:r>
      <w:r w:rsidRPr="00A36307">
        <w:rPr>
          <w:color w:val="000000"/>
          <w:spacing w:val="-16"/>
        </w:rPr>
        <w:t xml:space="preserve"> вплив патогенетично обґрунтованого сп</w:t>
      </w:r>
      <w:r w:rsidRPr="00A36307">
        <w:rPr>
          <w:color w:val="000000"/>
          <w:spacing w:val="-16"/>
        </w:rPr>
        <w:t>о</w:t>
      </w:r>
      <w:r w:rsidRPr="00A36307">
        <w:rPr>
          <w:color w:val="000000"/>
          <w:spacing w:val="-16"/>
        </w:rPr>
        <w:t>собу лікування і профілактики загострень хронічного періодонтиту з вик</w:t>
      </w:r>
      <w:r w:rsidRPr="00A36307">
        <w:rPr>
          <w:color w:val="000000"/>
          <w:spacing w:val="-16"/>
        </w:rPr>
        <w:t>о</w:t>
      </w:r>
      <w:r w:rsidRPr="00A36307">
        <w:rPr>
          <w:color w:val="000000"/>
          <w:spacing w:val="-16"/>
        </w:rPr>
        <w:t>ристанням композиції для тимчасового пломбування кореневих каналів, яка містить антиоксидант та антибактерійний хіміопрепарат, на бактеріологічний, імунний і метаболічний статус хв</w:t>
      </w:r>
      <w:r w:rsidRPr="00A36307">
        <w:rPr>
          <w:color w:val="000000"/>
          <w:spacing w:val="-16"/>
        </w:rPr>
        <w:t>о</w:t>
      </w:r>
      <w:r w:rsidRPr="00A36307">
        <w:rPr>
          <w:color w:val="000000"/>
          <w:spacing w:val="-16"/>
        </w:rPr>
        <w:t>рих</w:t>
      </w:r>
      <w:r w:rsidRPr="00A36307">
        <w:rPr>
          <w:spacing w:val="-16"/>
        </w:rPr>
        <w:t>.</w:t>
      </w:r>
    </w:p>
    <w:p w:rsidR="00486081" w:rsidRPr="00A36307" w:rsidRDefault="00486081" w:rsidP="00486081">
      <w:pPr>
        <w:ind w:firstLine="567"/>
        <w:jc w:val="both"/>
        <w:rPr>
          <w:spacing w:val="-16"/>
        </w:rPr>
      </w:pPr>
      <w:r w:rsidRPr="00A36307">
        <w:rPr>
          <w:i/>
          <w:color w:val="000000"/>
          <w:spacing w:val="-16"/>
        </w:rPr>
        <w:t>Методи дослідження:</w:t>
      </w:r>
      <w:r w:rsidRPr="00A36307">
        <w:rPr>
          <w:color w:val="000000"/>
          <w:spacing w:val="-16"/>
        </w:rPr>
        <w:t xml:space="preserve"> клінічні (обстеження пацієнтів, реєстрація клінічних індексів); бактеріологічні</w:t>
      </w:r>
      <w:r w:rsidRPr="00A36307">
        <w:rPr>
          <w:spacing w:val="-16"/>
        </w:rPr>
        <w:t xml:space="preserve"> (вид</w:t>
      </w:r>
      <w:r w:rsidRPr="00A36307">
        <w:rPr>
          <w:spacing w:val="-16"/>
        </w:rPr>
        <w:t>і</w:t>
      </w:r>
      <w:r w:rsidRPr="00A36307">
        <w:rPr>
          <w:spacing w:val="-16"/>
        </w:rPr>
        <w:t>лення та ідентифікація бактерій, визначення їх чутливості до антибактеріальних препаратів, виділення пептидогл</w:t>
      </w:r>
      <w:r w:rsidRPr="00A36307">
        <w:rPr>
          <w:spacing w:val="-16"/>
        </w:rPr>
        <w:t>і</w:t>
      </w:r>
      <w:r w:rsidRPr="00A36307">
        <w:rPr>
          <w:spacing w:val="-16"/>
        </w:rPr>
        <w:t>канів – ПГН та ліпополісахаридів – ЛПС з клітинної стінки бактерій); імунологічні (визначення антикомплемента</w:t>
      </w:r>
      <w:r w:rsidRPr="00A36307">
        <w:rPr>
          <w:spacing w:val="-16"/>
        </w:rPr>
        <w:t>р</w:t>
      </w:r>
      <w:r w:rsidRPr="00A36307">
        <w:rPr>
          <w:spacing w:val="-16"/>
        </w:rPr>
        <w:t>ної – АКА, антилізоци</w:t>
      </w:r>
      <w:r w:rsidRPr="00A36307">
        <w:rPr>
          <w:spacing w:val="-16"/>
        </w:rPr>
        <w:t>м</w:t>
      </w:r>
      <w:r w:rsidRPr="00A36307">
        <w:rPr>
          <w:spacing w:val="-16"/>
        </w:rPr>
        <w:t>ної – АЛА та антиімуноглобулінової – АІА активності бактерій, вивчення популяційного та субпопуляційного складу лімфоцитів, фагоцитарної активності нейтрофілів, вмісту циркулюючих імунних компл</w:t>
      </w:r>
      <w:r w:rsidRPr="00A36307">
        <w:rPr>
          <w:spacing w:val="-16"/>
        </w:rPr>
        <w:t>е</w:t>
      </w:r>
      <w:r w:rsidRPr="00A36307">
        <w:rPr>
          <w:spacing w:val="-16"/>
        </w:rPr>
        <w:t xml:space="preserve">ксів – ЦІК в сироватці крові, кількісне визначення </w:t>
      </w:r>
      <w:r w:rsidRPr="00A36307">
        <w:rPr>
          <w:spacing w:val="-16"/>
          <w:lang w:val="en-US"/>
        </w:rPr>
        <w:t>Ig</w:t>
      </w:r>
      <w:r w:rsidRPr="00B70FB8">
        <w:rPr>
          <w:spacing w:val="-16"/>
          <w:lang w:val="uk-UA"/>
        </w:rPr>
        <w:t xml:space="preserve"> </w:t>
      </w:r>
      <w:r w:rsidRPr="00A36307">
        <w:rPr>
          <w:spacing w:val="-16"/>
          <w:lang w:val="en-US"/>
        </w:rPr>
        <w:t>A</w:t>
      </w:r>
      <w:r w:rsidRPr="00B70FB8">
        <w:rPr>
          <w:spacing w:val="-16"/>
          <w:lang w:val="uk-UA"/>
        </w:rPr>
        <w:t xml:space="preserve">, </w:t>
      </w:r>
      <w:r w:rsidRPr="00A36307">
        <w:rPr>
          <w:spacing w:val="-16"/>
          <w:lang w:val="en-US"/>
        </w:rPr>
        <w:t>M</w:t>
      </w:r>
      <w:r w:rsidRPr="00B70FB8">
        <w:rPr>
          <w:spacing w:val="-16"/>
          <w:lang w:val="uk-UA"/>
        </w:rPr>
        <w:t xml:space="preserve">, </w:t>
      </w:r>
      <w:r w:rsidRPr="00A36307">
        <w:rPr>
          <w:spacing w:val="-16"/>
          <w:lang w:val="en-US"/>
        </w:rPr>
        <w:t>G</w:t>
      </w:r>
      <w:r w:rsidRPr="00A36307">
        <w:rPr>
          <w:spacing w:val="-16"/>
        </w:rPr>
        <w:t>, стимуляція моноцитів та нейтрофілів препаратами ПГН та ЛПС); біохімічні (визначення концентрацій дієнових кон’югатів – ДК, малонового діальдегіду – МДА, пр</w:t>
      </w:r>
      <w:r w:rsidRPr="00A36307">
        <w:rPr>
          <w:spacing w:val="-16"/>
        </w:rPr>
        <w:t>о</w:t>
      </w:r>
      <w:r w:rsidRPr="00A36307">
        <w:rPr>
          <w:spacing w:val="-16"/>
        </w:rPr>
        <w:t>стагландину Е2 – ПГЕ2, активності каталази та супероксиддисмутази – СОД); статистичні (методи варіаційної ст</w:t>
      </w:r>
      <w:r w:rsidRPr="00A36307">
        <w:rPr>
          <w:spacing w:val="-16"/>
        </w:rPr>
        <w:t>а</w:t>
      </w:r>
      <w:r w:rsidRPr="00A36307">
        <w:rPr>
          <w:spacing w:val="-16"/>
        </w:rPr>
        <w:t>тистики).</w:t>
      </w:r>
    </w:p>
    <w:p w:rsidR="00486081" w:rsidRPr="00A36307" w:rsidRDefault="00486081" w:rsidP="00486081">
      <w:pPr>
        <w:ind w:firstLine="567"/>
        <w:jc w:val="both"/>
        <w:rPr>
          <w:spacing w:val="-16"/>
        </w:rPr>
      </w:pPr>
      <w:r w:rsidRPr="00A36307">
        <w:rPr>
          <w:b/>
          <w:color w:val="000000"/>
          <w:spacing w:val="-16"/>
        </w:rPr>
        <w:t>Наукова новизна отриманих результатів.</w:t>
      </w:r>
      <w:r w:rsidRPr="00A36307">
        <w:rPr>
          <w:color w:val="000000"/>
          <w:spacing w:val="-16"/>
        </w:rPr>
        <w:t xml:space="preserve"> Доведена етіологічна роль 21 виду суворо анаеробних бактерій у розвитку хронічного періодонтиту, вивчена їх АЛА, АКА та АІА. Детально вивчений імунний та метаболічний ст</w:t>
      </w:r>
      <w:r w:rsidRPr="00A36307">
        <w:rPr>
          <w:color w:val="000000"/>
          <w:spacing w:val="-16"/>
        </w:rPr>
        <w:t>а</w:t>
      </w:r>
      <w:r w:rsidRPr="00A36307">
        <w:rPr>
          <w:color w:val="000000"/>
          <w:spacing w:val="-16"/>
        </w:rPr>
        <w:t>тус пацієнтів з хронічним періодонтитом</w:t>
      </w:r>
      <w:r w:rsidRPr="00A36307">
        <w:rPr>
          <w:spacing w:val="-16"/>
        </w:rPr>
        <w:t>. Вперше запропонований трьохетапний спосіб лікування хворих на хрон</w:t>
      </w:r>
      <w:r w:rsidRPr="00A36307">
        <w:rPr>
          <w:spacing w:val="-16"/>
        </w:rPr>
        <w:t>і</w:t>
      </w:r>
      <w:r w:rsidRPr="00A36307">
        <w:rPr>
          <w:spacing w:val="-16"/>
        </w:rPr>
        <w:t>чний періодонтит з використанням композиції для тимчасового пломбування кореневих кан</w:t>
      </w:r>
      <w:r w:rsidRPr="00A36307">
        <w:rPr>
          <w:spacing w:val="-16"/>
        </w:rPr>
        <w:t>а</w:t>
      </w:r>
      <w:r w:rsidRPr="00A36307">
        <w:rPr>
          <w:spacing w:val="-16"/>
        </w:rPr>
        <w:t xml:space="preserve">лів зубів, яка містить у рівних частках масляний розчин вітаміну Е, барію сульфат, ультрадисперсний гідроксиапатит, легований сріблом, та метронідазол. Дана композиція має значний антибактерійний ефект, імунокоригуючу та антиоксидантну дію, та </w:t>
      </w:r>
      <w:r w:rsidRPr="00B70FB8">
        <w:rPr>
          <w:spacing w:val="-16"/>
          <w:lang w:val="uk-UA"/>
        </w:rPr>
        <w:t xml:space="preserve">в </w:t>
      </w:r>
      <w:r w:rsidRPr="00A36307">
        <w:rPr>
          <w:spacing w:val="-16"/>
        </w:rPr>
        <w:t>2-5 раз знижує частоту розвитку загос</w:t>
      </w:r>
      <w:r w:rsidRPr="00A36307">
        <w:rPr>
          <w:spacing w:val="-16"/>
        </w:rPr>
        <w:t>т</w:t>
      </w:r>
      <w:r w:rsidRPr="00A36307">
        <w:rPr>
          <w:spacing w:val="-16"/>
        </w:rPr>
        <w:t>рень захворювання протягом 24 місяців.</w:t>
      </w:r>
    </w:p>
    <w:p w:rsidR="00486081" w:rsidRPr="00A36307" w:rsidRDefault="00486081" w:rsidP="00486081">
      <w:pPr>
        <w:ind w:firstLine="567"/>
        <w:jc w:val="both"/>
        <w:rPr>
          <w:spacing w:val="-16"/>
        </w:rPr>
      </w:pPr>
      <w:r w:rsidRPr="00A36307">
        <w:rPr>
          <w:b/>
          <w:snapToGrid w:val="0"/>
          <w:spacing w:val="-16"/>
        </w:rPr>
        <w:t xml:space="preserve">Практичне значення отриманих результатів. </w:t>
      </w:r>
      <w:r w:rsidRPr="00A36307">
        <w:rPr>
          <w:snapToGrid w:val="0"/>
          <w:spacing w:val="-16"/>
        </w:rPr>
        <w:t>Розроблений та захищений деклараційним патентом на к</w:t>
      </w:r>
      <w:r w:rsidRPr="00A36307">
        <w:rPr>
          <w:snapToGrid w:val="0"/>
          <w:spacing w:val="-16"/>
        </w:rPr>
        <w:t>о</w:t>
      </w:r>
      <w:r w:rsidRPr="00A36307">
        <w:rPr>
          <w:snapToGrid w:val="0"/>
          <w:spacing w:val="-16"/>
        </w:rPr>
        <w:t>рисну модель спосіб лікування хронічного періодонтиту</w:t>
      </w:r>
      <w:r w:rsidRPr="00A36307">
        <w:rPr>
          <w:spacing w:val="-16"/>
        </w:rPr>
        <w:t>. Отримані дані використовуються в лекційному курсі та при проведенні практичних занять на кафедрах патофізіології та стоматології № 1 Луганського державного медичного університету Міністерства охорони здоров’я України, що підтверджено відповідними а</w:t>
      </w:r>
      <w:r w:rsidRPr="00A36307">
        <w:rPr>
          <w:spacing w:val="-16"/>
        </w:rPr>
        <w:t>к</w:t>
      </w:r>
      <w:r w:rsidRPr="00A36307">
        <w:rPr>
          <w:spacing w:val="-16"/>
        </w:rPr>
        <w:t xml:space="preserve">тами впровадження. </w:t>
      </w:r>
    </w:p>
    <w:p w:rsidR="00486081" w:rsidRPr="00A36307" w:rsidRDefault="00486081" w:rsidP="00486081">
      <w:pPr>
        <w:shd w:val="clear" w:color="auto" w:fill="FFFFFF"/>
        <w:ind w:firstLine="567"/>
        <w:jc w:val="both"/>
        <w:rPr>
          <w:spacing w:val="-16"/>
          <w:lang w:val="uk-UA"/>
        </w:rPr>
      </w:pPr>
      <w:r w:rsidRPr="00A36307">
        <w:rPr>
          <w:b/>
          <w:color w:val="000000"/>
          <w:spacing w:val="-16"/>
          <w:lang w:val="uk-UA"/>
        </w:rPr>
        <w:t xml:space="preserve">Особистий внесок здобувачки. </w:t>
      </w:r>
      <w:r w:rsidRPr="00A36307">
        <w:rPr>
          <w:color w:val="000000"/>
          <w:spacing w:val="-16"/>
          <w:lang w:val="uk-UA"/>
        </w:rPr>
        <w:t>Вибір теми наукового дослідження, планування роботи були здійснені р</w:t>
      </w:r>
      <w:r w:rsidRPr="00A36307">
        <w:rPr>
          <w:color w:val="000000"/>
          <w:spacing w:val="-16"/>
          <w:lang w:val="uk-UA"/>
        </w:rPr>
        <w:t>а</w:t>
      </w:r>
      <w:r w:rsidRPr="00A36307">
        <w:rPr>
          <w:color w:val="000000"/>
          <w:spacing w:val="-16"/>
          <w:lang w:val="uk-UA"/>
        </w:rPr>
        <w:t>зом з науковим керівником професором Н.К. Казімірко. Авторкою самостійно проведені: інформаційний пошук, аналіз літератури, клінічне обстеження пацієнтів, бактеріологічне, імунологічне та біохімічне дослідження, написані всі розділи дисертаці</w:t>
      </w:r>
      <w:r w:rsidRPr="00A36307">
        <w:rPr>
          <w:color w:val="000000"/>
          <w:spacing w:val="-16"/>
          <w:lang w:val="uk-UA"/>
        </w:rPr>
        <w:t>й</w:t>
      </w:r>
      <w:r w:rsidRPr="00A36307">
        <w:rPr>
          <w:color w:val="000000"/>
          <w:spacing w:val="-16"/>
          <w:lang w:val="uk-UA"/>
        </w:rPr>
        <w:t>ної роботи та автореферат</w:t>
      </w:r>
      <w:r w:rsidRPr="00A36307">
        <w:rPr>
          <w:spacing w:val="-16"/>
          <w:lang w:val="uk-UA"/>
        </w:rPr>
        <w:t>.</w:t>
      </w:r>
    </w:p>
    <w:p w:rsidR="00486081" w:rsidRPr="00A36307" w:rsidRDefault="00486081" w:rsidP="00486081">
      <w:pPr>
        <w:shd w:val="clear" w:color="auto" w:fill="FFFFFF"/>
        <w:ind w:firstLine="567"/>
        <w:jc w:val="both"/>
        <w:rPr>
          <w:spacing w:val="-16"/>
          <w:lang w:val="uk-UA"/>
        </w:rPr>
      </w:pPr>
      <w:r w:rsidRPr="00A36307">
        <w:rPr>
          <w:b/>
          <w:color w:val="000000"/>
          <w:spacing w:val="-16"/>
          <w:lang w:val="uk-UA"/>
        </w:rPr>
        <w:t>Апробація роботи.</w:t>
      </w:r>
      <w:r w:rsidRPr="00A36307">
        <w:rPr>
          <w:spacing w:val="-16"/>
          <w:lang w:val="uk-UA"/>
        </w:rPr>
        <w:t xml:space="preserve"> </w:t>
      </w:r>
      <w:r w:rsidRPr="00A36307">
        <w:rPr>
          <w:color w:val="000000"/>
          <w:spacing w:val="-16"/>
          <w:lang w:val="uk-UA"/>
        </w:rPr>
        <w:t>Основні положення дисертації були викладені та обговорені на: Всеукраїнській науково-практичній конференції студентів і молодих вчених «Актуальні проблеми клінічної, експериментальної, профіла</w:t>
      </w:r>
      <w:r w:rsidRPr="00A36307">
        <w:rPr>
          <w:color w:val="000000"/>
          <w:spacing w:val="-16"/>
          <w:lang w:val="uk-UA"/>
        </w:rPr>
        <w:t>к</w:t>
      </w:r>
      <w:r w:rsidRPr="00A36307">
        <w:rPr>
          <w:color w:val="000000"/>
          <w:spacing w:val="-16"/>
          <w:lang w:val="uk-UA"/>
        </w:rPr>
        <w:t xml:space="preserve">тичної медицини і стоматології (66-а підсумкова конференція студентського наукового товариства ім. </w:t>
      </w:r>
      <w:r w:rsidRPr="00A36307">
        <w:rPr>
          <w:color w:val="000000"/>
          <w:spacing w:val="-16"/>
          <w:lang w:val="uk-UA"/>
        </w:rPr>
        <w:lastRenderedPageBreak/>
        <w:t>М.Д. Довг</w:t>
      </w:r>
      <w:r w:rsidRPr="00A36307">
        <w:rPr>
          <w:color w:val="000000"/>
          <w:spacing w:val="-16"/>
          <w:lang w:val="uk-UA"/>
        </w:rPr>
        <w:t>я</w:t>
      </w:r>
      <w:r w:rsidRPr="00A36307">
        <w:rPr>
          <w:color w:val="000000"/>
          <w:spacing w:val="-16"/>
          <w:lang w:val="uk-UA"/>
        </w:rPr>
        <w:t>ло)» (Донецьк, 2004); Всеукраїнської студентської наукової конференції «Актуальні проблеми стоматології» (По</w:t>
      </w:r>
      <w:r w:rsidRPr="00A36307">
        <w:rPr>
          <w:color w:val="000000"/>
          <w:spacing w:val="-16"/>
          <w:lang w:val="uk-UA"/>
        </w:rPr>
        <w:t>л</w:t>
      </w:r>
      <w:r w:rsidRPr="00A36307">
        <w:rPr>
          <w:color w:val="000000"/>
          <w:spacing w:val="-16"/>
          <w:lang w:val="uk-UA"/>
        </w:rPr>
        <w:t>тава, 2004); наукової конференції студентів та молодих вчених з міжнародною участю (Вінниця, 2004); науково-практичній конференції з міжнародною участю студентів, інтернів, магістрів, аспірантів та молодих вчених меди</w:t>
      </w:r>
      <w:r w:rsidRPr="00A36307">
        <w:rPr>
          <w:color w:val="000000"/>
          <w:spacing w:val="-16"/>
          <w:lang w:val="uk-UA"/>
        </w:rPr>
        <w:t>ч</w:t>
      </w:r>
      <w:r w:rsidRPr="00A36307">
        <w:rPr>
          <w:color w:val="000000"/>
          <w:spacing w:val="-16"/>
          <w:lang w:val="uk-UA"/>
        </w:rPr>
        <w:t>ного факультету Ужгородського національного університету (Ужгород, 2008), а також на засіданнях Луганського обласного товариства патофізіологів протягом 2005-2008 рр.</w:t>
      </w:r>
    </w:p>
    <w:p w:rsidR="00486081" w:rsidRPr="00A36307" w:rsidRDefault="00486081" w:rsidP="00486081">
      <w:pPr>
        <w:shd w:val="clear" w:color="auto" w:fill="FFFFFF"/>
        <w:ind w:firstLine="567"/>
        <w:jc w:val="both"/>
        <w:rPr>
          <w:color w:val="000000"/>
          <w:spacing w:val="-16"/>
          <w:lang w:val="uk-UA"/>
        </w:rPr>
      </w:pPr>
      <w:r w:rsidRPr="00A36307">
        <w:rPr>
          <w:b/>
          <w:color w:val="000000"/>
          <w:spacing w:val="-16"/>
          <w:lang w:val="uk-UA"/>
        </w:rPr>
        <w:t xml:space="preserve">Публікації. </w:t>
      </w:r>
      <w:r w:rsidRPr="00A36307">
        <w:rPr>
          <w:color w:val="000000"/>
          <w:spacing w:val="-16"/>
          <w:lang w:val="uk-UA"/>
        </w:rPr>
        <w:t>За матеріалами дисертації опубліковано 7 наукових статей та 4 тез в часописах та збірках, які ві</w:t>
      </w:r>
      <w:r w:rsidRPr="00A36307">
        <w:rPr>
          <w:color w:val="000000"/>
          <w:spacing w:val="-16"/>
          <w:lang w:val="uk-UA"/>
        </w:rPr>
        <w:t>д</w:t>
      </w:r>
      <w:r w:rsidRPr="00A36307">
        <w:rPr>
          <w:color w:val="000000"/>
          <w:spacing w:val="-16"/>
          <w:lang w:val="uk-UA"/>
        </w:rPr>
        <w:t>повідають вимогам ВАК України та надруковані згідно вимог, викладених в пункті 3 Постанови ВАК України від 15 січня 2003 р. за № 7-05/1; отриманий 1 деклараційний патент на корисну модель.</w:t>
      </w:r>
    </w:p>
    <w:p w:rsidR="00486081" w:rsidRPr="00A36307" w:rsidRDefault="00486081" w:rsidP="00486081">
      <w:pPr>
        <w:ind w:firstLine="567"/>
        <w:jc w:val="both"/>
        <w:rPr>
          <w:snapToGrid w:val="0"/>
          <w:color w:val="000000"/>
          <w:spacing w:val="-16"/>
        </w:rPr>
      </w:pPr>
      <w:r w:rsidRPr="00A36307">
        <w:rPr>
          <w:b/>
          <w:spacing w:val="-16"/>
        </w:rPr>
        <w:t xml:space="preserve">Обсяг і структура дисертації. </w:t>
      </w:r>
      <w:r w:rsidRPr="00A36307">
        <w:rPr>
          <w:snapToGrid w:val="0"/>
          <w:color w:val="000000"/>
          <w:spacing w:val="-16"/>
        </w:rPr>
        <w:t>Робота написана на 122 сторінках комп'ютерного набору та складається з вступу, огляду літератури, 3 розділів власних досліджень, розділу аналізу та узагальнення одержаних результатів, висновків, практичних рекомендацій, списку використаних першоджерел. Робота ілюстрована 22 таблицями. Список використаних першоджерел включає 145 наймен</w:t>
      </w:r>
      <w:r w:rsidRPr="00A36307">
        <w:rPr>
          <w:snapToGrid w:val="0"/>
          <w:color w:val="000000"/>
          <w:spacing w:val="-16"/>
        </w:rPr>
        <w:t>у</w:t>
      </w:r>
      <w:r w:rsidRPr="00A36307">
        <w:rPr>
          <w:snapToGrid w:val="0"/>
          <w:color w:val="000000"/>
          <w:spacing w:val="-16"/>
        </w:rPr>
        <w:t>вань.</w:t>
      </w:r>
    </w:p>
    <w:p w:rsidR="00486081" w:rsidRPr="00A36307" w:rsidRDefault="00486081" w:rsidP="00486081">
      <w:pPr>
        <w:pStyle w:val="21"/>
        <w:ind w:firstLine="0"/>
        <w:rPr>
          <w:spacing w:val="-16"/>
          <w:sz w:val="24"/>
          <w:szCs w:val="24"/>
        </w:rPr>
      </w:pPr>
      <w:r w:rsidRPr="00A36307">
        <w:rPr>
          <w:spacing w:val="-16"/>
          <w:sz w:val="24"/>
          <w:szCs w:val="24"/>
        </w:rPr>
        <w:t>ОСНОВНИЙ ЗМІСТ РОБОТИ</w:t>
      </w:r>
    </w:p>
    <w:p w:rsidR="00486081" w:rsidRPr="00A36307" w:rsidRDefault="00486081" w:rsidP="00486081">
      <w:pPr>
        <w:pStyle w:val="affffffffc"/>
        <w:ind w:left="0" w:firstLine="567"/>
        <w:rPr>
          <w:snapToGrid w:val="0"/>
          <w:color w:val="000000"/>
          <w:spacing w:val="-16"/>
          <w:sz w:val="24"/>
          <w:lang w:val="uk-UA"/>
        </w:rPr>
      </w:pPr>
      <w:r w:rsidRPr="00A36307">
        <w:rPr>
          <w:b/>
          <w:snapToGrid w:val="0"/>
          <w:color w:val="000000"/>
          <w:spacing w:val="-16"/>
          <w:sz w:val="24"/>
          <w:lang w:val="uk-UA"/>
        </w:rPr>
        <w:t>Матеріал і методи дослідження</w:t>
      </w:r>
      <w:r w:rsidRPr="00A36307">
        <w:rPr>
          <w:snapToGrid w:val="0"/>
          <w:color w:val="000000"/>
          <w:spacing w:val="-16"/>
          <w:sz w:val="24"/>
          <w:lang w:val="uk-UA"/>
        </w:rPr>
        <w:t>. Під спостереженням знаход</w:t>
      </w:r>
      <w:r w:rsidRPr="00A36307">
        <w:rPr>
          <w:snapToGrid w:val="0"/>
          <w:color w:val="000000"/>
          <w:spacing w:val="-16"/>
          <w:sz w:val="24"/>
          <w:lang w:val="uk-UA"/>
        </w:rPr>
        <w:t>и</w:t>
      </w:r>
      <w:r w:rsidRPr="00A36307">
        <w:rPr>
          <w:snapToGrid w:val="0"/>
          <w:color w:val="000000"/>
          <w:spacing w:val="-16"/>
          <w:sz w:val="24"/>
          <w:lang w:val="uk-UA"/>
        </w:rPr>
        <w:t>лось 160 пацієнтів 40-50 років (69 чоловіків та 91 жінка), які звертались по медичну допомогу до стоматологічної поліклініки Луганського державного медичного університету, з діагнозом: «Хронічний гранулюючий період</w:t>
      </w:r>
      <w:r w:rsidRPr="00A36307">
        <w:rPr>
          <w:snapToGrid w:val="0"/>
          <w:color w:val="000000"/>
          <w:spacing w:val="-16"/>
          <w:sz w:val="24"/>
          <w:lang w:val="uk-UA"/>
        </w:rPr>
        <w:t>о</w:t>
      </w:r>
      <w:r w:rsidRPr="00A36307">
        <w:rPr>
          <w:snapToGrid w:val="0"/>
          <w:color w:val="000000"/>
          <w:spacing w:val="-16"/>
          <w:sz w:val="24"/>
          <w:lang w:val="uk-UA"/>
        </w:rPr>
        <w:t>нтит в стадії загострення одно корінних зубів (різців та кликів)». Контрольну групу склали 25 практично здорових чоловіків та 22 жінки. Роботу виконували з дотрима</w:t>
      </w:r>
      <w:r w:rsidRPr="00A36307">
        <w:rPr>
          <w:snapToGrid w:val="0"/>
          <w:color w:val="000000"/>
          <w:spacing w:val="-16"/>
          <w:sz w:val="24"/>
          <w:lang w:val="uk-UA"/>
        </w:rPr>
        <w:t>н</w:t>
      </w:r>
      <w:r w:rsidRPr="00A36307">
        <w:rPr>
          <w:snapToGrid w:val="0"/>
          <w:color w:val="000000"/>
          <w:spacing w:val="-16"/>
          <w:sz w:val="24"/>
          <w:lang w:val="uk-UA"/>
        </w:rPr>
        <w:t xml:space="preserve">ням всіх положень біоетики. </w:t>
      </w:r>
    </w:p>
    <w:p w:rsidR="00486081" w:rsidRPr="00A36307" w:rsidRDefault="00486081" w:rsidP="00486081">
      <w:pPr>
        <w:ind w:firstLine="567"/>
        <w:jc w:val="both"/>
        <w:rPr>
          <w:snapToGrid w:val="0"/>
          <w:color w:val="000000"/>
          <w:spacing w:val="-16"/>
        </w:rPr>
      </w:pPr>
      <w:r w:rsidRPr="00A36307">
        <w:rPr>
          <w:snapToGrid w:val="0"/>
          <w:color w:val="000000"/>
          <w:spacing w:val="-16"/>
        </w:rPr>
        <w:t>Забір матеріалу для дослідження (детрит з каналів зубів, венозна кров) у 125 пацієнтів проводили двічі – при первинному зверненні та перед постановкою постійної пломби, у 35 пацієнтів – тричі. При першому відвідуванні пацієнтам проводили первинну медичну та механічну обробку уражених зубів, потім канали зубів були тимчасово запломбовані. У 30 пацієнтів 1-ї контрольної групи для пломбування зубів використовували 49 % кальцію гідрокс</w:t>
      </w:r>
      <w:r w:rsidRPr="00A36307">
        <w:rPr>
          <w:snapToGrid w:val="0"/>
          <w:color w:val="000000"/>
          <w:spacing w:val="-16"/>
        </w:rPr>
        <w:t>и</w:t>
      </w:r>
      <w:r w:rsidRPr="00A36307">
        <w:rPr>
          <w:snapToGrid w:val="0"/>
          <w:color w:val="000000"/>
          <w:spacing w:val="-16"/>
        </w:rPr>
        <w:t>апатит в препараті Calasept (Scania Dental). У 30 пацієнтів 2-ї контрольної групи для плобування кореневих каналів використовували препарат Grinasole (Septodont), основною діючою речовиною якого є 10 % метронідазол. У 30 п</w:t>
      </w:r>
      <w:r w:rsidRPr="00A36307">
        <w:rPr>
          <w:snapToGrid w:val="0"/>
          <w:color w:val="000000"/>
          <w:spacing w:val="-16"/>
        </w:rPr>
        <w:t>а</w:t>
      </w:r>
      <w:r w:rsidRPr="00A36307">
        <w:rPr>
          <w:snapToGrid w:val="0"/>
          <w:color w:val="000000"/>
          <w:spacing w:val="-16"/>
        </w:rPr>
        <w:t>цієнтів 3-ї контрольної групи кореневі канали пломбували композицію, яка включала (в масових %): масляний ро</w:t>
      </w:r>
      <w:r w:rsidRPr="00A36307">
        <w:rPr>
          <w:snapToGrid w:val="0"/>
          <w:color w:val="000000"/>
          <w:spacing w:val="-16"/>
        </w:rPr>
        <w:t>з</w:t>
      </w:r>
      <w:r w:rsidRPr="00A36307">
        <w:rPr>
          <w:snapToGrid w:val="0"/>
          <w:color w:val="000000"/>
          <w:spacing w:val="-16"/>
        </w:rPr>
        <w:t>чин вітаміну Е – 50, барію сульфат – 25, ультрадисперсний гідроксиапатит, легований 0,7 % сріблом – 25. У паціє</w:t>
      </w:r>
      <w:r w:rsidRPr="00A36307">
        <w:rPr>
          <w:snapToGrid w:val="0"/>
          <w:color w:val="000000"/>
          <w:spacing w:val="-16"/>
        </w:rPr>
        <w:t>н</w:t>
      </w:r>
      <w:r w:rsidRPr="00A36307">
        <w:rPr>
          <w:snapToGrid w:val="0"/>
          <w:color w:val="000000"/>
          <w:spacing w:val="-16"/>
        </w:rPr>
        <w:t>тів контрольних груп санацію кореневого каналу зуба, ураженого періодонтитом, проводили в 2 етапи: на перш</w:t>
      </w:r>
      <w:r w:rsidRPr="00A36307">
        <w:rPr>
          <w:snapToGrid w:val="0"/>
          <w:color w:val="000000"/>
          <w:spacing w:val="-16"/>
        </w:rPr>
        <w:t>о</w:t>
      </w:r>
      <w:r w:rsidRPr="00A36307">
        <w:rPr>
          <w:snapToGrid w:val="0"/>
          <w:color w:val="000000"/>
          <w:spacing w:val="-16"/>
        </w:rPr>
        <w:t>му етапі здійснювали первинну інструментальну обробку та іригацію, на другому – встановлювали постійну пломбу. У 70 пацієнтів тимчасове плобування зубних каналів проводили композицією, яку ми запропонували та запатент</w:t>
      </w:r>
      <w:r w:rsidRPr="00A36307">
        <w:rPr>
          <w:snapToGrid w:val="0"/>
          <w:color w:val="000000"/>
          <w:spacing w:val="-16"/>
        </w:rPr>
        <w:t>у</w:t>
      </w:r>
      <w:r w:rsidRPr="00A36307">
        <w:rPr>
          <w:snapToGrid w:val="0"/>
          <w:color w:val="000000"/>
          <w:spacing w:val="-16"/>
        </w:rPr>
        <w:t>вали (в масових %: масляний розчин вітаміну Е – 25, барію сульфат – 25, ультрадисперсний гідроксиапатит, легов</w:t>
      </w:r>
      <w:r w:rsidRPr="00A36307">
        <w:rPr>
          <w:snapToGrid w:val="0"/>
          <w:color w:val="000000"/>
          <w:spacing w:val="-16"/>
        </w:rPr>
        <w:t>а</w:t>
      </w:r>
      <w:r w:rsidRPr="00A36307">
        <w:rPr>
          <w:snapToGrid w:val="0"/>
          <w:color w:val="000000"/>
          <w:spacing w:val="-16"/>
        </w:rPr>
        <w:t>ний 0,7 % сріблом – 25, метронідазол – 25).</w:t>
      </w:r>
      <w:r w:rsidRPr="00B70FB8">
        <w:rPr>
          <w:snapToGrid w:val="0"/>
          <w:color w:val="000000"/>
          <w:spacing w:val="-16"/>
          <w:lang w:val="uk-UA"/>
        </w:rPr>
        <w:t xml:space="preserve"> </w:t>
      </w:r>
      <w:r w:rsidRPr="00A36307">
        <w:rPr>
          <w:snapToGrid w:val="0"/>
          <w:color w:val="000000"/>
          <w:spacing w:val="-16"/>
        </w:rPr>
        <w:t>З них у 35 пацієнтів першої дослідної групи санацію уражених каналів проводили в 2 етапи, у решти 35 пацієнтів 2-ї дослідної групи – в 3 етапи з додатковою санацією кореневого кан</w:t>
      </w:r>
      <w:r w:rsidRPr="00A36307">
        <w:rPr>
          <w:snapToGrid w:val="0"/>
          <w:color w:val="000000"/>
          <w:spacing w:val="-16"/>
        </w:rPr>
        <w:t>а</w:t>
      </w:r>
      <w:r w:rsidRPr="00A36307">
        <w:rPr>
          <w:snapToGrid w:val="0"/>
          <w:color w:val="000000"/>
          <w:spacing w:val="-16"/>
        </w:rPr>
        <w:t>лу.</w:t>
      </w:r>
    </w:p>
    <w:p w:rsidR="00486081" w:rsidRPr="00A36307" w:rsidRDefault="00486081" w:rsidP="00486081">
      <w:pPr>
        <w:ind w:firstLine="567"/>
        <w:jc w:val="both"/>
        <w:rPr>
          <w:snapToGrid w:val="0"/>
          <w:color w:val="000000"/>
          <w:spacing w:val="-16"/>
        </w:rPr>
      </w:pPr>
      <w:r w:rsidRPr="00A36307">
        <w:rPr>
          <w:snapToGrid w:val="0"/>
          <w:color w:val="000000"/>
          <w:spacing w:val="-16"/>
        </w:rPr>
        <w:t>Проводили ізоляцію суворо анаеробних бактерій з детриту каналів зубів, встановлення родової приналежн</w:t>
      </w:r>
      <w:r w:rsidRPr="00A36307">
        <w:rPr>
          <w:snapToGrid w:val="0"/>
          <w:color w:val="000000"/>
          <w:spacing w:val="-16"/>
        </w:rPr>
        <w:t>о</w:t>
      </w:r>
      <w:r w:rsidRPr="00A36307">
        <w:rPr>
          <w:snapToGrid w:val="0"/>
          <w:color w:val="000000"/>
          <w:spacing w:val="-16"/>
        </w:rPr>
        <w:t>сті та видову ідентифікацію бактерій; визначення їх АЛА, АКА та АІА, чутливості до антибактерійних пр</w:t>
      </w:r>
      <w:r w:rsidRPr="00A36307">
        <w:rPr>
          <w:snapToGrid w:val="0"/>
          <w:color w:val="000000"/>
          <w:spacing w:val="-16"/>
        </w:rPr>
        <w:t>е</w:t>
      </w:r>
      <w:r w:rsidRPr="00A36307">
        <w:rPr>
          <w:snapToGrid w:val="0"/>
          <w:color w:val="000000"/>
          <w:spacing w:val="-16"/>
        </w:rPr>
        <w:t xml:space="preserve">паратів. </w:t>
      </w:r>
    </w:p>
    <w:p w:rsidR="00486081" w:rsidRPr="00A36307" w:rsidRDefault="00486081" w:rsidP="00486081">
      <w:pPr>
        <w:pStyle w:val="aff4"/>
        <w:ind w:firstLine="567"/>
        <w:jc w:val="both"/>
        <w:rPr>
          <w:rFonts w:ascii="Times New Roman" w:hAnsi="Times New Roman"/>
          <w:snapToGrid w:val="0"/>
          <w:color w:val="000000"/>
          <w:spacing w:val="-16"/>
          <w:sz w:val="24"/>
          <w:szCs w:val="24"/>
          <w:lang w:val="uk-UA"/>
        </w:rPr>
      </w:pPr>
      <w:r w:rsidRPr="00A36307">
        <w:rPr>
          <w:rFonts w:ascii="Times New Roman" w:hAnsi="Times New Roman"/>
          <w:snapToGrid w:val="0"/>
          <w:color w:val="000000"/>
          <w:spacing w:val="-16"/>
          <w:sz w:val="24"/>
          <w:szCs w:val="24"/>
          <w:lang w:val="uk-UA"/>
        </w:rPr>
        <w:t>Виділення лімфоцитів, моноцитів та нейтрофілів з периферійної крові пацієнтів здійснювали в градієнтах г</w:t>
      </w:r>
      <w:r w:rsidRPr="00A36307">
        <w:rPr>
          <w:rFonts w:ascii="Times New Roman" w:hAnsi="Times New Roman"/>
          <w:snapToGrid w:val="0"/>
          <w:color w:val="000000"/>
          <w:spacing w:val="-16"/>
          <w:sz w:val="24"/>
          <w:szCs w:val="24"/>
          <w:lang w:val="uk-UA"/>
        </w:rPr>
        <w:t>у</w:t>
      </w:r>
      <w:r w:rsidRPr="00A36307">
        <w:rPr>
          <w:rFonts w:ascii="Times New Roman" w:hAnsi="Times New Roman"/>
          <w:snapToGrid w:val="0"/>
          <w:color w:val="000000"/>
          <w:spacing w:val="-16"/>
          <w:sz w:val="24"/>
          <w:szCs w:val="24"/>
          <w:lang w:val="uk-UA"/>
        </w:rPr>
        <w:t>стини фікол-верографін. Визначення кількості тотальних Т-клітин, В-лімфоцитів, субпопуляцій Т-клітин та прир</w:t>
      </w:r>
      <w:r w:rsidRPr="00A36307">
        <w:rPr>
          <w:rFonts w:ascii="Times New Roman" w:hAnsi="Times New Roman"/>
          <w:snapToGrid w:val="0"/>
          <w:color w:val="000000"/>
          <w:spacing w:val="-16"/>
          <w:sz w:val="24"/>
          <w:szCs w:val="24"/>
          <w:lang w:val="uk-UA"/>
        </w:rPr>
        <w:t>о</w:t>
      </w:r>
      <w:r w:rsidRPr="00A36307">
        <w:rPr>
          <w:rFonts w:ascii="Times New Roman" w:hAnsi="Times New Roman"/>
          <w:snapToGrid w:val="0"/>
          <w:color w:val="000000"/>
          <w:spacing w:val="-16"/>
          <w:sz w:val="24"/>
          <w:szCs w:val="24"/>
          <w:lang w:val="uk-UA"/>
        </w:rPr>
        <w:t>дних кілерів проводили методом непрямої імунної флуоресценції з використанням моноклональних антитіл CD3, CD22, CD4, CD8 та CD16. Фагоцитарну активність нейтрофілів вивчали чашковим методом, визначали фагоцит</w:t>
      </w:r>
      <w:r w:rsidRPr="00A36307">
        <w:rPr>
          <w:rFonts w:ascii="Times New Roman" w:hAnsi="Times New Roman"/>
          <w:snapToGrid w:val="0"/>
          <w:color w:val="000000"/>
          <w:spacing w:val="-16"/>
          <w:sz w:val="24"/>
          <w:szCs w:val="24"/>
          <w:lang w:val="uk-UA"/>
        </w:rPr>
        <w:t>а</w:t>
      </w:r>
      <w:r w:rsidRPr="00A36307">
        <w:rPr>
          <w:rFonts w:ascii="Times New Roman" w:hAnsi="Times New Roman"/>
          <w:snapToGrid w:val="0"/>
          <w:color w:val="000000"/>
          <w:spacing w:val="-16"/>
          <w:sz w:val="24"/>
          <w:szCs w:val="24"/>
          <w:lang w:val="uk-UA"/>
        </w:rPr>
        <w:t>рний індекс (ФІ) та фагоцитарне число (ФЧ).</w:t>
      </w:r>
    </w:p>
    <w:p w:rsidR="00486081" w:rsidRPr="00A36307" w:rsidRDefault="00486081" w:rsidP="00486081">
      <w:pPr>
        <w:pStyle w:val="aff4"/>
        <w:ind w:firstLine="567"/>
        <w:jc w:val="both"/>
        <w:rPr>
          <w:rFonts w:ascii="Times New Roman" w:hAnsi="Times New Roman"/>
          <w:snapToGrid w:val="0"/>
          <w:color w:val="000000"/>
          <w:spacing w:val="-16"/>
          <w:sz w:val="24"/>
          <w:szCs w:val="24"/>
          <w:lang w:val="uk-UA"/>
        </w:rPr>
      </w:pPr>
      <w:r w:rsidRPr="00A36307">
        <w:rPr>
          <w:rFonts w:ascii="Times New Roman" w:hAnsi="Times New Roman"/>
          <w:snapToGrid w:val="0"/>
          <w:color w:val="000000"/>
          <w:spacing w:val="-16"/>
          <w:sz w:val="24"/>
          <w:szCs w:val="24"/>
          <w:lang w:val="uk-UA"/>
        </w:rPr>
        <w:t>В сироватці крові визначали вміст Ig A, Ig G, Ig M за Mancini та ін. (1965), вміст ЦІК – за Digeon та ін. (1977), вміст ПГЕ2 – радіоімунним методом. Для вивчення показників специфічної гуморальної відповіді до етіологічних агентів хронічного періодонтиту ставили реакцію аглют</w:t>
      </w:r>
      <w:r w:rsidRPr="00A36307">
        <w:rPr>
          <w:rFonts w:ascii="Times New Roman" w:hAnsi="Times New Roman"/>
          <w:snapToGrid w:val="0"/>
          <w:color w:val="000000"/>
          <w:spacing w:val="-16"/>
          <w:sz w:val="24"/>
          <w:szCs w:val="24"/>
          <w:lang w:val="uk-UA"/>
        </w:rPr>
        <w:t>и</w:t>
      </w:r>
      <w:r w:rsidRPr="00A36307">
        <w:rPr>
          <w:rFonts w:ascii="Times New Roman" w:hAnsi="Times New Roman"/>
          <w:snapToGrid w:val="0"/>
          <w:color w:val="000000"/>
          <w:spacing w:val="-16"/>
          <w:sz w:val="24"/>
          <w:szCs w:val="24"/>
          <w:lang w:val="uk-UA"/>
        </w:rPr>
        <w:t>нації з автоштамами бактерій.</w:t>
      </w:r>
    </w:p>
    <w:p w:rsidR="00486081" w:rsidRPr="00A36307" w:rsidRDefault="00486081" w:rsidP="00486081">
      <w:pPr>
        <w:pStyle w:val="aff4"/>
        <w:ind w:firstLine="567"/>
        <w:jc w:val="both"/>
        <w:rPr>
          <w:rFonts w:ascii="Times New Roman" w:hAnsi="Times New Roman"/>
          <w:snapToGrid w:val="0"/>
          <w:color w:val="000000"/>
          <w:spacing w:val="-16"/>
          <w:sz w:val="24"/>
          <w:szCs w:val="24"/>
          <w:lang w:val="uk-UA"/>
        </w:rPr>
      </w:pPr>
      <w:r w:rsidRPr="00A36307">
        <w:rPr>
          <w:rFonts w:ascii="Times New Roman" w:hAnsi="Times New Roman"/>
          <w:snapToGrid w:val="0"/>
          <w:color w:val="000000"/>
          <w:spacing w:val="-16"/>
          <w:sz w:val="24"/>
          <w:szCs w:val="24"/>
          <w:lang w:val="uk-UA"/>
        </w:rPr>
        <w:t>Визначення ДК здійснювали за Стальною І.Д. (1977), МДА – за Стальною І.Д. та Гаришвілі Т.Г. (1977), акт</w:t>
      </w:r>
      <w:r w:rsidRPr="00A36307">
        <w:rPr>
          <w:rFonts w:ascii="Times New Roman" w:hAnsi="Times New Roman"/>
          <w:snapToGrid w:val="0"/>
          <w:color w:val="000000"/>
          <w:spacing w:val="-16"/>
          <w:sz w:val="24"/>
          <w:szCs w:val="24"/>
          <w:lang w:val="uk-UA"/>
        </w:rPr>
        <w:t>и</w:t>
      </w:r>
      <w:r w:rsidRPr="00A36307">
        <w:rPr>
          <w:rFonts w:ascii="Times New Roman" w:hAnsi="Times New Roman"/>
          <w:snapToGrid w:val="0"/>
          <w:color w:val="000000"/>
          <w:spacing w:val="-16"/>
          <w:sz w:val="24"/>
          <w:szCs w:val="24"/>
          <w:lang w:val="uk-UA"/>
        </w:rPr>
        <w:t>вності каталази – за Королюк М.А. та ін. (1988), активності СОД – спектрофотометричним методом. Значення ко</w:t>
      </w:r>
      <w:r w:rsidRPr="00A36307">
        <w:rPr>
          <w:rFonts w:ascii="Times New Roman" w:hAnsi="Times New Roman"/>
          <w:snapToGrid w:val="0"/>
          <w:color w:val="000000"/>
          <w:spacing w:val="-16"/>
          <w:sz w:val="24"/>
          <w:szCs w:val="24"/>
          <w:lang w:val="uk-UA"/>
        </w:rPr>
        <w:t>е</w:t>
      </w:r>
      <w:r w:rsidRPr="00A36307">
        <w:rPr>
          <w:rFonts w:ascii="Times New Roman" w:hAnsi="Times New Roman"/>
          <w:snapToGrid w:val="0"/>
          <w:color w:val="000000"/>
          <w:spacing w:val="-16"/>
          <w:sz w:val="24"/>
          <w:szCs w:val="24"/>
          <w:lang w:val="uk-UA"/>
        </w:rPr>
        <w:t>фіцієнту К вираховували за формулою: К = (ДК + МДА) / (каталаза + СОД).</w:t>
      </w:r>
    </w:p>
    <w:p w:rsidR="00486081" w:rsidRPr="00A36307" w:rsidRDefault="00486081" w:rsidP="00486081">
      <w:pPr>
        <w:pStyle w:val="aff4"/>
        <w:ind w:firstLine="567"/>
        <w:jc w:val="both"/>
        <w:rPr>
          <w:rFonts w:ascii="Times New Roman" w:hAnsi="Times New Roman"/>
          <w:snapToGrid w:val="0"/>
          <w:color w:val="000000"/>
          <w:spacing w:val="-16"/>
          <w:sz w:val="24"/>
          <w:szCs w:val="24"/>
          <w:lang w:val="uk-UA"/>
        </w:rPr>
      </w:pPr>
      <w:r w:rsidRPr="00A36307">
        <w:rPr>
          <w:rFonts w:ascii="Times New Roman" w:hAnsi="Times New Roman"/>
          <w:snapToGrid w:val="0"/>
          <w:color w:val="000000"/>
          <w:spacing w:val="-16"/>
          <w:sz w:val="24"/>
          <w:szCs w:val="24"/>
          <w:lang w:val="uk-UA"/>
        </w:rPr>
        <w:t xml:space="preserve">Препарати ЛПС отримували з клітинних стінок </w:t>
      </w:r>
      <w:r w:rsidRPr="00A36307">
        <w:rPr>
          <w:rFonts w:ascii="Times New Roman" w:hAnsi="Times New Roman"/>
          <w:i/>
          <w:snapToGrid w:val="0"/>
          <w:color w:val="000000"/>
          <w:spacing w:val="-16"/>
          <w:sz w:val="24"/>
          <w:szCs w:val="24"/>
          <w:lang w:val="uk-UA"/>
        </w:rPr>
        <w:t>A. fermentans</w:t>
      </w:r>
      <w:r w:rsidRPr="00A36307">
        <w:rPr>
          <w:rFonts w:ascii="Times New Roman" w:hAnsi="Times New Roman"/>
          <w:snapToGrid w:val="0"/>
          <w:color w:val="000000"/>
          <w:spacing w:val="-16"/>
          <w:sz w:val="24"/>
          <w:szCs w:val="24"/>
          <w:lang w:val="uk-UA"/>
        </w:rPr>
        <w:t xml:space="preserve"> во</w:t>
      </w:r>
      <w:r w:rsidRPr="00A36307">
        <w:rPr>
          <w:rFonts w:ascii="Times New Roman" w:hAnsi="Times New Roman"/>
          <w:snapToGrid w:val="0"/>
          <w:color w:val="000000"/>
          <w:spacing w:val="-16"/>
          <w:sz w:val="24"/>
          <w:szCs w:val="24"/>
          <w:lang w:val="uk-UA"/>
        </w:rPr>
        <w:t>д</w:t>
      </w:r>
      <w:r w:rsidRPr="00A36307">
        <w:rPr>
          <w:rFonts w:ascii="Times New Roman" w:hAnsi="Times New Roman"/>
          <w:snapToGrid w:val="0"/>
          <w:color w:val="000000"/>
          <w:spacing w:val="-16"/>
          <w:sz w:val="24"/>
          <w:szCs w:val="24"/>
          <w:lang w:val="uk-UA"/>
        </w:rPr>
        <w:t xml:space="preserve">но-феноловою екстракцією, препарати ПГН – з клітинних стінок </w:t>
      </w:r>
      <w:r w:rsidRPr="00A36307">
        <w:rPr>
          <w:rFonts w:ascii="Times New Roman" w:hAnsi="Times New Roman"/>
          <w:i/>
          <w:snapToGrid w:val="0"/>
          <w:color w:val="000000"/>
          <w:spacing w:val="-16"/>
          <w:sz w:val="24"/>
          <w:szCs w:val="24"/>
          <w:lang w:val="uk-UA"/>
        </w:rPr>
        <w:t>E. lenta</w:t>
      </w:r>
      <w:r w:rsidRPr="00A36307">
        <w:rPr>
          <w:rFonts w:ascii="Times New Roman" w:hAnsi="Times New Roman"/>
          <w:snapToGrid w:val="0"/>
          <w:color w:val="000000"/>
          <w:spacing w:val="-16"/>
          <w:sz w:val="24"/>
          <w:szCs w:val="24"/>
          <w:lang w:val="uk-UA"/>
        </w:rPr>
        <w:t xml:space="preserve"> за методом P. K. P</w:t>
      </w:r>
      <w:r w:rsidRPr="00A36307">
        <w:rPr>
          <w:rFonts w:ascii="Times New Roman" w:hAnsi="Times New Roman"/>
          <w:snapToGrid w:val="0"/>
          <w:color w:val="000000"/>
          <w:spacing w:val="-16"/>
          <w:sz w:val="24"/>
          <w:szCs w:val="24"/>
          <w:lang w:val="uk-UA"/>
        </w:rPr>
        <w:t>e</w:t>
      </w:r>
      <w:r w:rsidRPr="00A36307">
        <w:rPr>
          <w:rFonts w:ascii="Times New Roman" w:hAnsi="Times New Roman"/>
          <w:snapToGrid w:val="0"/>
          <w:color w:val="000000"/>
          <w:spacing w:val="-16"/>
          <w:sz w:val="24"/>
          <w:szCs w:val="24"/>
          <w:lang w:val="uk-UA"/>
        </w:rPr>
        <w:t>terson і співавт.</w:t>
      </w:r>
    </w:p>
    <w:p w:rsidR="00486081" w:rsidRPr="00A36307" w:rsidRDefault="00486081" w:rsidP="00486081">
      <w:pPr>
        <w:pStyle w:val="aff4"/>
        <w:ind w:firstLine="567"/>
        <w:jc w:val="both"/>
        <w:rPr>
          <w:rFonts w:ascii="Times New Roman" w:hAnsi="Times New Roman"/>
          <w:snapToGrid w:val="0"/>
          <w:color w:val="000000"/>
          <w:spacing w:val="-16"/>
          <w:sz w:val="24"/>
          <w:szCs w:val="24"/>
          <w:lang w:val="uk-UA"/>
        </w:rPr>
      </w:pPr>
      <w:r w:rsidRPr="00A36307">
        <w:rPr>
          <w:rFonts w:ascii="Times New Roman" w:hAnsi="Times New Roman"/>
          <w:snapToGrid w:val="0"/>
          <w:color w:val="000000"/>
          <w:spacing w:val="-16"/>
          <w:sz w:val="24"/>
          <w:szCs w:val="24"/>
          <w:lang w:val="uk-UA"/>
        </w:rPr>
        <w:t>Отримані цифрові результати обробляли методами варіаційної ст</w:t>
      </w:r>
      <w:r w:rsidRPr="00A36307">
        <w:rPr>
          <w:rFonts w:ascii="Times New Roman" w:hAnsi="Times New Roman"/>
          <w:snapToGrid w:val="0"/>
          <w:color w:val="000000"/>
          <w:spacing w:val="-16"/>
          <w:sz w:val="24"/>
          <w:szCs w:val="24"/>
          <w:lang w:val="uk-UA"/>
        </w:rPr>
        <w:t>а</w:t>
      </w:r>
      <w:r w:rsidRPr="00A36307">
        <w:rPr>
          <w:rFonts w:ascii="Times New Roman" w:hAnsi="Times New Roman"/>
          <w:snapToGrid w:val="0"/>
          <w:color w:val="000000"/>
          <w:spacing w:val="-16"/>
          <w:sz w:val="24"/>
          <w:szCs w:val="24"/>
          <w:lang w:val="uk-UA"/>
        </w:rPr>
        <w:t>тистики.</w:t>
      </w:r>
    </w:p>
    <w:p w:rsidR="00486081" w:rsidRPr="00A36307" w:rsidRDefault="00486081" w:rsidP="00486081">
      <w:pPr>
        <w:ind w:firstLine="567"/>
        <w:jc w:val="both"/>
        <w:rPr>
          <w:spacing w:val="-16"/>
        </w:rPr>
      </w:pPr>
      <w:r w:rsidRPr="00A36307">
        <w:rPr>
          <w:b/>
          <w:snapToGrid w:val="0"/>
          <w:color w:val="000000"/>
          <w:spacing w:val="-16"/>
        </w:rPr>
        <w:lastRenderedPageBreak/>
        <w:t>Видовий склад та біологічні властивості етіологічних агентів хронічного періодонтиту.</w:t>
      </w:r>
      <w:r w:rsidRPr="00A36307">
        <w:rPr>
          <w:snapToGrid w:val="0"/>
          <w:color w:val="000000"/>
          <w:spacing w:val="-16"/>
        </w:rPr>
        <w:t xml:space="preserve"> З детриту зу</w:t>
      </w:r>
      <w:r w:rsidRPr="00A36307">
        <w:rPr>
          <w:snapToGrid w:val="0"/>
          <w:color w:val="000000"/>
          <w:spacing w:val="-16"/>
        </w:rPr>
        <w:t>б</w:t>
      </w:r>
      <w:r w:rsidRPr="00A36307">
        <w:rPr>
          <w:snapToGrid w:val="0"/>
          <w:color w:val="000000"/>
          <w:spacing w:val="-16"/>
        </w:rPr>
        <w:t>них каналів пацієнтів було виділено 233 штами бактерій, які належали до 17 родів та 21 виду. Від 98 пацієнтів було ізольовано по 1 виду бактерій, від 51 – по 2 види, від 11 – по 3 види. З 233 штамів бактерій 137 були грампозити</w:t>
      </w:r>
      <w:r w:rsidRPr="00A36307">
        <w:rPr>
          <w:snapToGrid w:val="0"/>
          <w:color w:val="000000"/>
          <w:spacing w:val="-16"/>
        </w:rPr>
        <w:t>в</w:t>
      </w:r>
      <w:r w:rsidRPr="00A36307">
        <w:rPr>
          <w:snapToGrid w:val="0"/>
          <w:color w:val="000000"/>
          <w:spacing w:val="-16"/>
        </w:rPr>
        <w:t>ними (12 видів, 9 родів) та 96 – грам негативними (9 видів, 8 родів). З грам позитивних бактерій найбільш часто в</w:t>
      </w:r>
      <w:r w:rsidRPr="00A36307">
        <w:rPr>
          <w:snapToGrid w:val="0"/>
          <w:color w:val="000000"/>
          <w:spacing w:val="-16"/>
        </w:rPr>
        <w:t>и</w:t>
      </w:r>
      <w:r w:rsidRPr="00A36307">
        <w:rPr>
          <w:snapToGrid w:val="0"/>
          <w:color w:val="000000"/>
          <w:spacing w:val="-16"/>
        </w:rPr>
        <w:t xml:space="preserve">діляли </w:t>
      </w:r>
      <w:r w:rsidRPr="00A36307">
        <w:rPr>
          <w:i/>
          <w:spacing w:val="-16"/>
        </w:rPr>
        <w:t>E. lenta</w:t>
      </w:r>
      <w:r w:rsidRPr="00A36307">
        <w:rPr>
          <w:spacing w:val="-16"/>
        </w:rPr>
        <w:t xml:space="preserve"> – 27 штамів та </w:t>
      </w:r>
      <w:r w:rsidRPr="00A36307">
        <w:rPr>
          <w:i/>
          <w:spacing w:val="-16"/>
        </w:rPr>
        <w:t>G. morbillorum</w:t>
      </w:r>
      <w:r w:rsidRPr="00A36307">
        <w:rPr>
          <w:spacing w:val="-16"/>
        </w:rPr>
        <w:t xml:space="preserve"> – 24 штами. З грамнегативних бактерій в 12,4 % випадків ізолювали </w:t>
      </w:r>
      <w:r w:rsidRPr="00A36307">
        <w:rPr>
          <w:i/>
          <w:spacing w:val="-16"/>
        </w:rPr>
        <w:t>A. fermentans</w:t>
      </w:r>
      <w:r w:rsidRPr="00A36307">
        <w:rPr>
          <w:spacing w:val="-16"/>
        </w:rPr>
        <w:t xml:space="preserve">, та в 9,0 % випадків – </w:t>
      </w:r>
      <w:r w:rsidRPr="00A36307">
        <w:rPr>
          <w:i/>
          <w:spacing w:val="-16"/>
        </w:rPr>
        <w:t>D. nodosus</w:t>
      </w:r>
      <w:r w:rsidRPr="00A36307">
        <w:rPr>
          <w:spacing w:val="-16"/>
        </w:rPr>
        <w:t xml:space="preserve">. Частка інших видів бактерій складала 1,3-7,7 %. З 17 родів бактерій рід </w:t>
      </w:r>
      <w:r w:rsidRPr="00A36307">
        <w:rPr>
          <w:i/>
          <w:spacing w:val="-16"/>
          <w:lang w:val="en-US"/>
        </w:rPr>
        <w:t>Peptostreptococcus</w:t>
      </w:r>
      <w:r w:rsidRPr="00B70FB8">
        <w:rPr>
          <w:spacing w:val="-16"/>
          <w:lang w:val="uk-UA"/>
        </w:rPr>
        <w:t xml:space="preserve"> </w:t>
      </w:r>
      <w:r w:rsidRPr="00A36307">
        <w:rPr>
          <w:spacing w:val="-16"/>
        </w:rPr>
        <w:t xml:space="preserve">був поданий 3 видами (28 штамами), рід </w:t>
      </w:r>
      <w:r w:rsidRPr="00A36307">
        <w:rPr>
          <w:i/>
          <w:spacing w:val="-16"/>
          <w:lang w:val="en-US"/>
        </w:rPr>
        <w:t>Clostridium</w:t>
      </w:r>
      <w:r w:rsidRPr="00A36307">
        <w:rPr>
          <w:spacing w:val="-16"/>
        </w:rPr>
        <w:t xml:space="preserve"> – 2 видами (26 штамами), рід </w:t>
      </w:r>
      <w:r w:rsidRPr="00A36307">
        <w:rPr>
          <w:i/>
          <w:spacing w:val="-16"/>
          <w:lang w:val="en-US"/>
        </w:rPr>
        <w:t>Veillonella</w:t>
      </w:r>
      <w:r w:rsidRPr="00A36307">
        <w:rPr>
          <w:spacing w:val="-16"/>
        </w:rPr>
        <w:t xml:space="preserve"> – 2 видами. Решта 14 родів була подана тільки 1 видом бактерій. Всі ізольовані бактерії за типом дихання були сувор</w:t>
      </w:r>
      <w:r w:rsidRPr="00A36307">
        <w:rPr>
          <w:spacing w:val="-16"/>
        </w:rPr>
        <w:t>и</w:t>
      </w:r>
      <w:r w:rsidRPr="00A36307">
        <w:rPr>
          <w:spacing w:val="-16"/>
        </w:rPr>
        <w:t>ми анаеробами.</w:t>
      </w:r>
    </w:p>
    <w:p w:rsidR="00486081" w:rsidRPr="00A36307" w:rsidRDefault="00486081" w:rsidP="00486081">
      <w:pPr>
        <w:ind w:firstLine="567"/>
        <w:jc w:val="both"/>
        <w:rPr>
          <w:spacing w:val="-16"/>
        </w:rPr>
      </w:pPr>
      <w:r w:rsidRPr="00A36307">
        <w:rPr>
          <w:spacing w:val="-16"/>
        </w:rPr>
        <w:t>Встановлено, що всі ізольовані з детриту кореневих каналів бактерії мали АКА, виразність якої залежала як від виду бактерій, так і від концентрації комплементу в середовищі культивування. Найбільш високі показники АКА проявляли</w:t>
      </w:r>
      <w:r w:rsidRPr="00B70FB8">
        <w:rPr>
          <w:bCs/>
          <w:i/>
          <w:spacing w:val="-16"/>
          <w:lang w:val="uk-UA"/>
        </w:rPr>
        <w:t xml:space="preserve"> </w:t>
      </w:r>
      <w:r w:rsidRPr="00A36307">
        <w:rPr>
          <w:bCs/>
          <w:i/>
          <w:spacing w:val="-16"/>
        </w:rPr>
        <w:t>A</w:t>
      </w:r>
      <w:r w:rsidRPr="00B70FB8">
        <w:rPr>
          <w:bCs/>
          <w:i/>
          <w:spacing w:val="-16"/>
          <w:lang w:val="uk-UA"/>
        </w:rPr>
        <w:t xml:space="preserve">. </w:t>
      </w:r>
      <w:r w:rsidRPr="00A36307">
        <w:rPr>
          <w:bCs/>
          <w:i/>
          <w:spacing w:val="-16"/>
        </w:rPr>
        <w:t>fermentans</w:t>
      </w:r>
      <w:r w:rsidRPr="00B70FB8">
        <w:rPr>
          <w:spacing w:val="-16"/>
          <w:lang w:val="uk-UA"/>
        </w:rPr>
        <w:t xml:space="preserve">, </w:t>
      </w:r>
      <w:r w:rsidRPr="00A36307">
        <w:rPr>
          <w:i/>
          <w:spacing w:val="-16"/>
        </w:rPr>
        <w:t>E</w:t>
      </w:r>
      <w:r w:rsidRPr="00B70FB8">
        <w:rPr>
          <w:i/>
          <w:spacing w:val="-16"/>
          <w:lang w:val="uk-UA"/>
        </w:rPr>
        <w:t xml:space="preserve">. </w:t>
      </w:r>
      <w:r w:rsidRPr="00A36307">
        <w:rPr>
          <w:i/>
          <w:spacing w:val="-16"/>
        </w:rPr>
        <w:t>lenta</w:t>
      </w:r>
      <w:r w:rsidRPr="00B70FB8">
        <w:rPr>
          <w:spacing w:val="-16"/>
          <w:lang w:val="uk-UA"/>
        </w:rPr>
        <w:t xml:space="preserve">, </w:t>
      </w:r>
      <w:r w:rsidRPr="00A36307">
        <w:rPr>
          <w:i/>
          <w:spacing w:val="-16"/>
        </w:rPr>
        <w:t>C</w:t>
      </w:r>
      <w:r w:rsidRPr="00B70FB8">
        <w:rPr>
          <w:i/>
          <w:spacing w:val="-16"/>
          <w:lang w:val="uk-UA"/>
        </w:rPr>
        <w:t xml:space="preserve">. </w:t>
      </w:r>
      <w:r w:rsidRPr="00A36307">
        <w:rPr>
          <w:i/>
          <w:spacing w:val="-16"/>
        </w:rPr>
        <w:t>subterminale</w:t>
      </w:r>
      <w:r w:rsidRPr="00B70FB8">
        <w:rPr>
          <w:spacing w:val="-16"/>
          <w:lang w:val="uk-UA"/>
        </w:rPr>
        <w:t xml:space="preserve"> та </w:t>
      </w:r>
      <w:r w:rsidRPr="00A36307">
        <w:rPr>
          <w:i/>
          <w:spacing w:val="-16"/>
        </w:rPr>
        <w:t>P</w:t>
      </w:r>
      <w:r w:rsidRPr="00B70FB8">
        <w:rPr>
          <w:i/>
          <w:spacing w:val="-16"/>
          <w:lang w:val="uk-UA"/>
        </w:rPr>
        <w:t xml:space="preserve">. </w:t>
      </w:r>
      <w:r w:rsidRPr="00A36307">
        <w:rPr>
          <w:i/>
          <w:spacing w:val="-16"/>
        </w:rPr>
        <w:t>melaninogenica</w:t>
      </w:r>
      <w:r w:rsidRPr="00A36307">
        <w:rPr>
          <w:spacing w:val="-16"/>
        </w:rPr>
        <w:t>, частота АКА в яких при 20 СН50/мл складала 42,9-55,2 %.</w:t>
      </w:r>
    </w:p>
    <w:p w:rsidR="00486081" w:rsidRPr="00A36307" w:rsidRDefault="00486081" w:rsidP="00486081">
      <w:pPr>
        <w:ind w:firstLine="567"/>
        <w:jc w:val="both"/>
        <w:rPr>
          <w:spacing w:val="-16"/>
        </w:rPr>
      </w:pPr>
      <w:r w:rsidRPr="00A36307">
        <w:rPr>
          <w:spacing w:val="-16"/>
        </w:rPr>
        <w:t>Всі виділені бактерії мали АЛА, однак потенціал АЛА в кожного з видів був різним. Найбільшому потенці</w:t>
      </w:r>
      <w:r w:rsidRPr="00A36307">
        <w:rPr>
          <w:spacing w:val="-16"/>
        </w:rPr>
        <w:t>а</w:t>
      </w:r>
      <w:r w:rsidRPr="00A36307">
        <w:rPr>
          <w:spacing w:val="-16"/>
        </w:rPr>
        <w:t xml:space="preserve">лу АЛА відповідала найбільша кількість ізольованих штамів (29 штамів </w:t>
      </w:r>
      <w:r w:rsidRPr="00A36307">
        <w:rPr>
          <w:bCs/>
          <w:i/>
          <w:spacing w:val="-16"/>
        </w:rPr>
        <w:t>A</w:t>
      </w:r>
      <w:r w:rsidRPr="00B70FB8">
        <w:rPr>
          <w:bCs/>
          <w:i/>
          <w:spacing w:val="-16"/>
          <w:lang w:val="uk-UA"/>
        </w:rPr>
        <w:t xml:space="preserve">. </w:t>
      </w:r>
      <w:r w:rsidRPr="00A36307">
        <w:rPr>
          <w:bCs/>
          <w:i/>
          <w:spacing w:val="-16"/>
        </w:rPr>
        <w:t>fermentans</w:t>
      </w:r>
      <w:r w:rsidRPr="00A36307">
        <w:rPr>
          <w:spacing w:val="-16"/>
        </w:rPr>
        <w:t xml:space="preserve">). АЛА, схожу з такою в </w:t>
      </w:r>
      <w:r w:rsidRPr="00B70FB8">
        <w:rPr>
          <w:bCs/>
          <w:i/>
          <w:spacing w:val="-16"/>
          <w:lang w:val="en-US"/>
        </w:rPr>
        <w:t>A. fermentans</w:t>
      </w:r>
      <w:r w:rsidRPr="00A36307">
        <w:rPr>
          <w:spacing w:val="-16"/>
        </w:rPr>
        <w:t xml:space="preserve">, мали </w:t>
      </w:r>
      <w:r w:rsidRPr="00B70FB8">
        <w:rPr>
          <w:i/>
          <w:spacing w:val="-16"/>
          <w:lang w:val="en-US"/>
        </w:rPr>
        <w:t>D. nodosus</w:t>
      </w:r>
      <w:r w:rsidRPr="00B70FB8">
        <w:rPr>
          <w:spacing w:val="-16"/>
          <w:lang w:val="en-US"/>
        </w:rPr>
        <w:t xml:space="preserve">, </w:t>
      </w:r>
      <w:r w:rsidRPr="00B70FB8">
        <w:rPr>
          <w:i/>
          <w:spacing w:val="-16"/>
          <w:lang w:val="en-US"/>
        </w:rPr>
        <w:t>P. melaninogenica</w:t>
      </w:r>
      <w:r w:rsidRPr="00B70FB8">
        <w:rPr>
          <w:spacing w:val="-16"/>
          <w:lang w:val="en-US"/>
        </w:rPr>
        <w:t xml:space="preserve">, </w:t>
      </w:r>
      <w:r w:rsidRPr="00B70FB8">
        <w:rPr>
          <w:i/>
          <w:spacing w:val="-16"/>
          <w:lang w:val="en-US"/>
        </w:rPr>
        <w:t>E. lenta</w:t>
      </w:r>
      <w:r w:rsidRPr="00B70FB8">
        <w:rPr>
          <w:spacing w:val="-16"/>
          <w:lang w:val="en-US"/>
        </w:rPr>
        <w:t xml:space="preserve">, </w:t>
      </w:r>
      <w:r w:rsidRPr="00B70FB8">
        <w:rPr>
          <w:i/>
          <w:spacing w:val="-16"/>
          <w:lang w:val="en-US"/>
        </w:rPr>
        <w:t>G. morbillorum</w:t>
      </w:r>
      <w:r w:rsidRPr="00A36307">
        <w:rPr>
          <w:spacing w:val="-16"/>
        </w:rPr>
        <w:t>. АЛА в діапазоні 0,087-0,174 мкг/мл одиниць оптичної густини зареєстр</w:t>
      </w:r>
      <w:r w:rsidRPr="00A36307">
        <w:rPr>
          <w:spacing w:val="-16"/>
        </w:rPr>
        <w:t>о</w:t>
      </w:r>
      <w:r w:rsidRPr="00A36307">
        <w:rPr>
          <w:spacing w:val="-16"/>
        </w:rPr>
        <w:t>вана у решти 15 видів бактерій.</w:t>
      </w:r>
    </w:p>
    <w:p w:rsidR="00486081" w:rsidRPr="00A36307" w:rsidRDefault="00486081" w:rsidP="00486081">
      <w:pPr>
        <w:ind w:firstLine="567"/>
        <w:jc w:val="both"/>
        <w:rPr>
          <w:spacing w:val="-16"/>
        </w:rPr>
      </w:pPr>
      <w:r w:rsidRPr="00A36307">
        <w:rPr>
          <w:spacing w:val="-16"/>
        </w:rPr>
        <w:t>Переважна більшість видів бактерій мала АІА. 11 видів бактерій значуще інактивували всі три класи імуно</w:t>
      </w:r>
      <w:r w:rsidRPr="00A36307">
        <w:rPr>
          <w:spacing w:val="-16"/>
        </w:rPr>
        <w:t>г</w:t>
      </w:r>
      <w:r w:rsidRPr="00A36307">
        <w:rPr>
          <w:spacing w:val="-16"/>
        </w:rPr>
        <w:t>лобулінів (Ig</w:t>
      </w:r>
      <w:r w:rsidRPr="00B70FB8">
        <w:rPr>
          <w:spacing w:val="-16"/>
          <w:lang w:val="uk-UA"/>
        </w:rPr>
        <w:t xml:space="preserve"> </w:t>
      </w:r>
      <w:r w:rsidRPr="00A36307">
        <w:rPr>
          <w:spacing w:val="-16"/>
        </w:rPr>
        <w:t>G</w:t>
      </w:r>
      <w:r w:rsidRPr="00B70FB8">
        <w:rPr>
          <w:spacing w:val="-16"/>
          <w:lang w:val="uk-UA"/>
        </w:rPr>
        <w:t xml:space="preserve">, </w:t>
      </w:r>
      <w:r w:rsidRPr="00A36307">
        <w:rPr>
          <w:spacing w:val="-16"/>
        </w:rPr>
        <w:t>Ig</w:t>
      </w:r>
      <w:r w:rsidRPr="00B70FB8">
        <w:rPr>
          <w:spacing w:val="-16"/>
          <w:lang w:val="uk-UA"/>
        </w:rPr>
        <w:t xml:space="preserve"> </w:t>
      </w:r>
      <w:r w:rsidRPr="00A36307">
        <w:rPr>
          <w:spacing w:val="-16"/>
        </w:rPr>
        <w:t>M</w:t>
      </w:r>
      <w:r w:rsidRPr="00B70FB8">
        <w:rPr>
          <w:spacing w:val="-16"/>
          <w:lang w:val="uk-UA"/>
        </w:rPr>
        <w:t xml:space="preserve"> та </w:t>
      </w:r>
      <w:r w:rsidRPr="00A36307">
        <w:rPr>
          <w:spacing w:val="-16"/>
        </w:rPr>
        <w:t>Ig</w:t>
      </w:r>
      <w:r w:rsidRPr="00B70FB8">
        <w:rPr>
          <w:spacing w:val="-16"/>
          <w:lang w:val="uk-UA"/>
        </w:rPr>
        <w:t xml:space="preserve"> А</w:t>
      </w:r>
      <w:r w:rsidRPr="00A36307">
        <w:rPr>
          <w:spacing w:val="-16"/>
        </w:rPr>
        <w:t>), 2 види – тільки 2 класи (Ig</w:t>
      </w:r>
      <w:r w:rsidRPr="00B70FB8">
        <w:rPr>
          <w:spacing w:val="-16"/>
          <w:lang w:val="uk-UA"/>
        </w:rPr>
        <w:t xml:space="preserve"> </w:t>
      </w:r>
      <w:r w:rsidRPr="00A36307">
        <w:rPr>
          <w:spacing w:val="-16"/>
        </w:rPr>
        <w:t>G</w:t>
      </w:r>
      <w:r w:rsidRPr="00B70FB8">
        <w:rPr>
          <w:spacing w:val="-16"/>
          <w:lang w:val="uk-UA"/>
        </w:rPr>
        <w:t xml:space="preserve"> та </w:t>
      </w:r>
      <w:r w:rsidRPr="00A36307">
        <w:rPr>
          <w:spacing w:val="-16"/>
        </w:rPr>
        <w:t>Ig</w:t>
      </w:r>
      <w:r w:rsidRPr="00B70FB8">
        <w:rPr>
          <w:spacing w:val="-16"/>
          <w:lang w:val="uk-UA"/>
        </w:rPr>
        <w:t xml:space="preserve"> А</w:t>
      </w:r>
      <w:r w:rsidRPr="00A36307">
        <w:rPr>
          <w:spacing w:val="-16"/>
        </w:rPr>
        <w:t xml:space="preserve">), 8 видів – тільки </w:t>
      </w:r>
      <w:r w:rsidRPr="00A36307">
        <w:rPr>
          <w:spacing w:val="-16"/>
          <w:lang w:val="en-US"/>
        </w:rPr>
        <w:t>Ig</w:t>
      </w:r>
      <w:r w:rsidRPr="00B70FB8">
        <w:rPr>
          <w:spacing w:val="-16"/>
          <w:lang w:val="uk-UA"/>
        </w:rPr>
        <w:t xml:space="preserve"> </w:t>
      </w:r>
      <w:r w:rsidRPr="00A36307">
        <w:rPr>
          <w:spacing w:val="-16"/>
        </w:rPr>
        <w:t xml:space="preserve">А. </w:t>
      </w:r>
    </w:p>
    <w:p w:rsidR="00486081" w:rsidRPr="00A36307" w:rsidRDefault="00486081" w:rsidP="00486081">
      <w:pPr>
        <w:ind w:firstLine="567"/>
        <w:jc w:val="both"/>
        <w:rPr>
          <w:spacing w:val="-16"/>
        </w:rPr>
      </w:pPr>
      <w:r w:rsidRPr="00A36307">
        <w:rPr>
          <w:spacing w:val="-16"/>
        </w:rPr>
        <w:t>З 233 штамів бактерій чутливими до ампіциліну виявились 129, до гентаміцину – 156, до лінкоміцину – 151. Найбільша резистентність штамів була виявлена відносно тетрацикліну (67 %), до еритроміцину чутливими були менше 50 % штамів. Найбільш чутливими ізольовані бактерії були до метронідазолу (94,4 %), що було в 1,12-2,9 р</w:t>
      </w:r>
      <w:r w:rsidRPr="00A36307">
        <w:rPr>
          <w:spacing w:val="-16"/>
        </w:rPr>
        <w:t>а</w:t>
      </w:r>
      <w:r w:rsidRPr="00A36307">
        <w:rPr>
          <w:spacing w:val="-16"/>
        </w:rPr>
        <w:t>зу вище, ніж чутливість до інших антибактерійних препаратів.</w:t>
      </w:r>
    </w:p>
    <w:p w:rsidR="00486081" w:rsidRPr="00A36307" w:rsidRDefault="00486081" w:rsidP="00486081">
      <w:pPr>
        <w:ind w:firstLine="567"/>
        <w:jc w:val="both"/>
        <w:rPr>
          <w:spacing w:val="-16"/>
        </w:rPr>
      </w:pPr>
      <w:r w:rsidRPr="00A36307">
        <w:rPr>
          <w:b/>
          <w:spacing w:val="-16"/>
        </w:rPr>
        <w:t>Імунний статус пацієнтів з хронічним періодонтитом в стадії загострення.</w:t>
      </w:r>
      <w:r w:rsidRPr="00A36307">
        <w:rPr>
          <w:spacing w:val="-16"/>
        </w:rPr>
        <w:t xml:space="preserve"> Діапазон індивідуальних к</w:t>
      </w:r>
      <w:r w:rsidRPr="00A36307">
        <w:rPr>
          <w:spacing w:val="-16"/>
        </w:rPr>
        <w:t>о</w:t>
      </w:r>
      <w:r w:rsidRPr="00A36307">
        <w:rPr>
          <w:spacing w:val="-16"/>
        </w:rPr>
        <w:t>ливань загального вмісту Т-клітин в крові пацієнтів з хронічним періодонтитом в фазу загострення захворювання склав 1,53-2,0 Г/л, що в першому випадку відповідало першому ступеню імунодефіцитного стану. У 89,4 % паціє</w:t>
      </w:r>
      <w:r w:rsidRPr="00A36307">
        <w:rPr>
          <w:spacing w:val="-16"/>
        </w:rPr>
        <w:t>н</w:t>
      </w:r>
      <w:r w:rsidRPr="00A36307">
        <w:rPr>
          <w:spacing w:val="-16"/>
        </w:rPr>
        <w:t>тів загальна кількість Т-лімфоцитів складала 1,53-1,9 Г/л. Зниження загального вмісту Т-лімфоцитів відбувалось за рахунок Т-хелперів/індукторів, вміст яких коливався в межах 0,94-1,21 Г/л. Вміст Т-супресорів цитотоксичних в крові пацієнтів вірогідно від показника практично здорових осіб не відрізнявся. Непропорційність зсувів в субпоп</w:t>
      </w:r>
      <w:r w:rsidRPr="00A36307">
        <w:rPr>
          <w:spacing w:val="-16"/>
        </w:rPr>
        <w:t>у</w:t>
      </w:r>
      <w:r w:rsidRPr="00A36307">
        <w:rPr>
          <w:spacing w:val="-16"/>
        </w:rPr>
        <w:t xml:space="preserve">ляціях Т-клітин призводила до формування дисбалансу між ними, внаслідок чого значення індексу імунорегуляції </w:t>
      </w:r>
      <w:r w:rsidRPr="00A36307">
        <w:rPr>
          <w:spacing w:val="-16"/>
          <w:lang w:val="en-US"/>
        </w:rPr>
        <w:t>CD</w:t>
      </w:r>
      <w:r w:rsidRPr="00B70FB8">
        <w:rPr>
          <w:spacing w:val="-16"/>
          <w:lang w:val="uk-UA"/>
        </w:rPr>
        <w:t>4/</w:t>
      </w:r>
      <w:r w:rsidRPr="00A36307">
        <w:rPr>
          <w:spacing w:val="-16"/>
          <w:lang w:val="en-US"/>
        </w:rPr>
        <w:t>CD</w:t>
      </w:r>
      <w:r w:rsidRPr="00B70FB8">
        <w:rPr>
          <w:spacing w:val="-16"/>
          <w:lang w:val="uk-UA"/>
        </w:rPr>
        <w:t xml:space="preserve">8 </w:t>
      </w:r>
      <w:r w:rsidRPr="00A36307">
        <w:rPr>
          <w:spacing w:val="-16"/>
        </w:rPr>
        <w:t>в фазу загострення хронічного періодонтиту виявилось вір</w:t>
      </w:r>
      <w:r w:rsidRPr="00A36307">
        <w:rPr>
          <w:spacing w:val="-16"/>
        </w:rPr>
        <w:t>о</w:t>
      </w:r>
      <w:r w:rsidRPr="00A36307">
        <w:rPr>
          <w:spacing w:val="-16"/>
        </w:rPr>
        <w:t>гідно нижчим показника практично здорових осіб. Індивідуальні значення індексу</w:t>
      </w:r>
      <w:r w:rsidRPr="00B70FB8">
        <w:rPr>
          <w:spacing w:val="-16"/>
        </w:rPr>
        <w:t xml:space="preserve"> </w:t>
      </w:r>
      <w:r w:rsidRPr="00A36307">
        <w:rPr>
          <w:spacing w:val="-16"/>
          <w:lang w:val="en-US"/>
        </w:rPr>
        <w:t>CD</w:t>
      </w:r>
      <w:r w:rsidRPr="00B70FB8">
        <w:rPr>
          <w:spacing w:val="-16"/>
        </w:rPr>
        <w:t>4/</w:t>
      </w:r>
      <w:r w:rsidRPr="00A36307">
        <w:rPr>
          <w:spacing w:val="-16"/>
          <w:lang w:val="en-US"/>
        </w:rPr>
        <w:t>CD</w:t>
      </w:r>
      <w:r w:rsidRPr="00B70FB8">
        <w:rPr>
          <w:spacing w:val="-16"/>
        </w:rPr>
        <w:t xml:space="preserve">8 </w:t>
      </w:r>
      <w:r w:rsidRPr="00A36307">
        <w:rPr>
          <w:spacing w:val="-16"/>
        </w:rPr>
        <w:t>коливались в межах 1,41-1,79 у.о., при цьому в 55,6 % пацієнтів його значення було меншим 1,5 у.о.</w:t>
      </w:r>
    </w:p>
    <w:p w:rsidR="00486081" w:rsidRPr="00A36307" w:rsidRDefault="00486081" w:rsidP="00486081">
      <w:pPr>
        <w:ind w:firstLine="567"/>
        <w:jc w:val="both"/>
        <w:rPr>
          <w:spacing w:val="-16"/>
        </w:rPr>
      </w:pPr>
      <w:r w:rsidRPr="00A36307">
        <w:rPr>
          <w:spacing w:val="-16"/>
        </w:rPr>
        <w:t>Абсолютний вміст В-клітин та природних кілерів в фазу загострення захворювання вірогідно збільшувався проти показників практично здор</w:t>
      </w:r>
      <w:r w:rsidRPr="00A36307">
        <w:rPr>
          <w:spacing w:val="-16"/>
        </w:rPr>
        <w:t>о</w:t>
      </w:r>
      <w:r w:rsidRPr="00A36307">
        <w:rPr>
          <w:spacing w:val="-16"/>
        </w:rPr>
        <w:t xml:space="preserve">вих осіб. </w:t>
      </w:r>
    </w:p>
    <w:p w:rsidR="00486081" w:rsidRPr="00A36307" w:rsidRDefault="00486081" w:rsidP="00486081">
      <w:pPr>
        <w:ind w:firstLine="567"/>
        <w:jc w:val="both"/>
        <w:rPr>
          <w:spacing w:val="-16"/>
        </w:rPr>
      </w:pPr>
      <w:r w:rsidRPr="00A36307">
        <w:rPr>
          <w:spacing w:val="-16"/>
        </w:rPr>
        <w:t>Фагоцитарна активність нейтрофілів у пацієнтів була суттєво зн</w:t>
      </w:r>
      <w:r w:rsidRPr="00A36307">
        <w:rPr>
          <w:spacing w:val="-16"/>
        </w:rPr>
        <w:t>и</w:t>
      </w:r>
      <w:r w:rsidRPr="00A36307">
        <w:rPr>
          <w:spacing w:val="-16"/>
        </w:rPr>
        <w:t>женою. Показник ФІ знизився в 1,13 разу, а ФЧ – в 1,14 разу порівняно з аналогічними показниками здорових осіб (р&lt;0,05 в обох випадках). Індивідуальні к</w:t>
      </w:r>
      <w:r w:rsidRPr="00A36307">
        <w:rPr>
          <w:spacing w:val="-16"/>
        </w:rPr>
        <w:t>о</w:t>
      </w:r>
      <w:r w:rsidRPr="00A36307">
        <w:rPr>
          <w:spacing w:val="-16"/>
        </w:rPr>
        <w:t>ливання показника ФІ склали 63,3-82,2 %, а ФЧ – 4,3-5,57 у.о.</w:t>
      </w:r>
    </w:p>
    <w:p w:rsidR="00486081" w:rsidRPr="00A36307" w:rsidRDefault="00486081" w:rsidP="00486081">
      <w:pPr>
        <w:ind w:firstLine="567"/>
        <w:jc w:val="both"/>
        <w:rPr>
          <w:spacing w:val="-16"/>
        </w:rPr>
      </w:pPr>
      <w:r w:rsidRPr="00A36307">
        <w:rPr>
          <w:spacing w:val="-16"/>
        </w:rPr>
        <w:t>В сироватці крові пацієнтів у фазі загострення мало місце збільшення загальних ЦІК з діапазоном індивіду</w:t>
      </w:r>
      <w:r w:rsidRPr="00A36307">
        <w:rPr>
          <w:spacing w:val="-16"/>
        </w:rPr>
        <w:t>а</w:t>
      </w:r>
      <w:r w:rsidRPr="00A36307">
        <w:rPr>
          <w:spacing w:val="-16"/>
        </w:rPr>
        <w:t>льних коливань 1,95-2,42 г/л. Аналіз фракційного складу ЦІК показав, що в пацієнтів відбувалось вірогідне збільшення концентрацій середніх та дрібних ЦІК в сироватці крові та н</w:t>
      </w:r>
      <w:r w:rsidRPr="00A36307">
        <w:rPr>
          <w:spacing w:val="-16"/>
        </w:rPr>
        <w:t>е</w:t>
      </w:r>
      <w:r w:rsidRPr="00A36307">
        <w:rPr>
          <w:spacing w:val="-16"/>
        </w:rPr>
        <w:t>вірогідне зниження вмісту великих ЦІК. Вміст сироваткових Ig A в</w:t>
      </w:r>
      <w:r w:rsidRPr="00A36307">
        <w:rPr>
          <w:spacing w:val="-16"/>
        </w:rPr>
        <w:t>і</w:t>
      </w:r>
      <w:r w:rsidRPr="00A36307">
        <w:rPr>
          <w:spacing w:val="-16"/>
        </w:rPr>
        <w:t>рогідно знижувався, вміст Ig M – вірогідно збільшувався, а вміст Ig G змінювався незначно.</w:t>
      </w:r>
    </w:p>
    <w:p w:rsidR="00486081" w:rsidRPr="00A36307" w:rsidRDefault="00486081" w:rsidP="00486081">
      <w:pPr>
        <w:ind w:firstLine="567"/>
        <w:jc w:val="both"/>
        <w:rPr>
          <w:spacing w:val="-16"/>
        </w:rPr>
      </w:pPr>
      <w:r w:rsidRPr="00A36307">
        <w:rPr>
          <w:spacing w:val="-16"/>
        </w:rPr>
        <w:t>Специфічна антитільна імунна відповідь в пацієнтів з хронічним періодонтитом відносно етіологічних агентів даного захворювання була в</w:t>
      </w:r>
      <w:r w:rsidRPr="00A36307">
        <w:rPr>
          <w:spacing w:val="-16"/>
        </w:rPr>
        <w:t>и</w:t>
      </w:r>
      <w:r w:rsidRPr="00A36307">
        <w:rPr>
          <w:spacing w:val="-16"/>
        </w:rPr>
        <w:t>ражена незначно. На це вказували невисокі титри специфічних антитіл в сироватці крові хворих: у 82,9 % випадків титри в реакції аглютинації з а</w:t>
      </w:r>
      <w:r w:rsidRPr="00A36307">
        <w:rPr>
          <w:spacing w:val="-16"/>
        </w:rPr>
        <w:t>в</w:t>
      </w:r>
      <w:r w:rsidRPr="00A36307">
        <w:rPr>
          <w:spacing w:val="-16"/>
        </w:rPr>
        <w:t>тоштамами бактерій склали 1:2, в 17,1 % випадків – 1:4.</w:t>
      </w:r>
    </w:p>
    <w:p w:rsidR="00486081" w:rsidRPr="00A36307" w:rsidRDefault="00486081" w:rsidP="00486081">
      <w:pPr>
        <w:ind w:firstLine="567"/>
        <w:jc w:val="both"/>
        <w:rPr>
          <w:spacing w:val="-16"/>
        </w:rPr>
      </w:pPr>
      <w:r w:rsidRPr="00A36307">
        <w:rPr>
          <w:b/>
          <w:spacing w:val="-16"/>
        </w:rPr>
        <w:t xml:space="preserve">Метаболічний статус пацієнтів з хронічним періодонтитом в стадії загострення. </w:t>
      </w:r>
      <w:r w:rsidRPr="00A36307">
        <w:rPr>
          <w:spacing w:val="-16"/>
        </w:rPr>
        <w:t>У хворих на хронічний періодонтит в фазу загострення концентрації ДК та МЛА виявились вірогідно вищими, ніж в практично здорових осіб. Індивідуальні коливання концентрацій ДК та МДА у пацієнтів склали, відповідно, 32,3-42,1 та 16,8-21,8 мкмоль/л. Активність каталази та СОД сироватки крові пацієнтів виявилась вірогідно вищою, ніж в практично зд</w:t>
      </w:r>
      <w:r w:rsidRPr="00A36307">
        <w:rPr>
          <w:spacing w:val="-16"/>
        </w:rPr>
        <w:t>о</w:t>
      </w:r>
      <w:r w:rsidRPr="00A36307">
        <w:rPr>
          <w:spacing w:val="-16"/>
        </w:rPr>
        <w:t xml:space="preserve">рових осіб, а значення коефіцієнта К невірогідно різнились між собою. Індивідуальні коливання </w:t>
      </w:r>
      <w:r w:rsidRPr="00A36307">
        <w:rPr>
          <w:spacing w:val="-16"/>
        </w:rPr>
        <w:lastRenderedPageBreak/>
        <w:t>вмісту ПГЕ2 в с</w:t>
      </w:r>
      <w:r w:rsidRPr="00A36307">
        <w:rPr>
          <w:spacing w:val="-16"/>
        </w:rPr>
        <w:t>и</w:t>
      </w:r>
      <w:r w:rsidRPr="00A36307">
        <w:rPr>
          <w:spacing w:val="-16"/>
        </w:rPr>
        <w:t>роватці крові пацієнтів складали 1,68-1,97 пг/мл, що перевищувало показник практично здорових осіб в 1,12-1,31 разу.</w:t>
      </w:r>
    </w:p>
    <w:p w:rsidR="00486081" w:rsidRPr="00A36307" w:rsidRDefault="00486081" w:rsidP="00486081">
      <w:pPr>
        <w:ind w:firstLine="567"/>
        <w:jc w:val="both"/>
        <w:rPr>
          <w:spacing w:val="-16"/>
        </w:rPr>
      </w:pPr>
      <w:r w:rsidRPr="00A36307">
        <w:rPr>
          <w:spacing w:val="-16"/>
        </w:rPr>
        <w:t>В фазі загострення хронічного періодонтиту в нейтрофілах та моноцитах периферичної крові пацієнтів ві</w:t>
      </w:r>
      <w:r w:rsidRPr="00A36307">
        <w:rPr>
          <w:spacing w:val="-16"/>
        </w:rPr>
        <w:t>д</w:t>
      </w:r>
      <w:r w:rsidRPr="00A36307">
        <w:rPr>
          <w:spacing w:val="-16"/>
        </w:rPr>
        <w:t>бувалась інтенсифікація процесів ПОЛ та посилення активності ферментів системи АОЗ. Аналіз значень коефіціє</w:t>
      </w:r>
      <w:r w:rsidRPr="00A36307">
        <w:rPr>
          <w:spacing w:val="-16"/>
        </w:rPr>
        <w:t>н</w:t>
      </w:r>
      <w:r w:rsidRPr="00A36307">
        <w:rPr>
          <w:spacing w:val="-16"/>
        </w:rPr>
        <w:t>та К показав, що в моноцитів його значення находилось в межах значень практично здорових осіб, тоді як для нейтрофілів відзначена те</w:t>
      </w:r>
      <w:r w:rsidRPr="00A36307">
        <w:rPr>
          <w:spacing w:val="-16"/>
        </w:rPr>
        <w:t>н</w:t>
      </w:r>
      <w:r w:rsidRPr="00A36307">
        <w:rPr>
          <w:spacing w:val="-16"/>
        </w:rPr>
        <w:t>денція до його збільшення.</w:t>
      </w:r>
    </w:p>
    <w:p w:rsidR="00486081" w:rsidRPr="00A36307" w:rsidRDefault="00486081" w:rsidP="00486081">
      <w:pPr>
        <w:ind w:firstLine="567"/>
        <w:jc w:val="both"/>
        <w:rPr>
          <w:spacing w:val="-16"/>
        </w:rPr>
      </w:pPr>
      <w:r w:rsidRPr="00A36307">
        <w:rPr>
          <w:spacing w:val="-16"/>
        </w:rPr>
        <w:t xml:space="preserve">При вивченні впливу </w:t>
      </w:r>
      <w:r w:rsidRPr="00A36307">
        <w:rPr>
          <w:spacing w:val="-16"/>
          <w:lang w:val="en-US"/>
        </w:rPr>
        <w:t>in</w:t>
      </w:r>
      <w:r w:rsidRPr="00B70FB8">
        <w:rPr>
          <w:spacing w:val="-16"/>
          <w:lang w:val="uk-UA"/>
        </w:rPr>
        <w:t xml:space="preserve"> </w:t>
      </w:r>
      <w:r w:rsidRPr="00A36307">
        <w:rPr>
          <w:spacing w:val="-16"/>
          <w:lang w:val="en-US"/>
        </w:rPr>
        <w:t>vitro</w:t>
      </w:r>
      <w:r w:rsidRPr="00B70FB8">
        <w:rPr>
          <w:spacing w:val="-16"/>
          <w:lang w:val="uk-UA"/>
        </w:rPr>
        <w:t xml:space="preserve"> </w:t>
      </w:r>
      <w:r w:rsidRPr="00A36307">
        <w:rPr>
          <w:spacing w:val="-16"/>
        </w:rPr>
        <w:t xml:space="preserve">ПГН </w:t>
      </w:r>
      <w:r w:rsidRPr="00A36307">
        <w:rPr>
          <w:i/>
          <w:snapToGrid w:val="0"/>
          <w:spacing w:val="-16"/>
        </w:rPr>
        <w:t>E</w:t>
      </w:r>
      <w:r w:rsidRPr="00B70FB8">
        <w:rPr>
          <w:i/>
          <w:snapToGrid w:val="0"/>
          <w:spacing w:val="-16"/>
          <w:lang w:val="uk-UA"/>
        </w:rPr>
        <w:t xml:space="preserve">. </w:t>
      </w:r>
      <w:r w:rsidRPr="00A36307">
        <w:rPr>
          <w:i/>
          <w:snapToGrid w:val="0"/>
          <w:spacing w:val="-16"/>
        </w:rPr>
        <w:t>lenta</w:t>
      </w:r>
      <w:r w:rsidRPr="00B70FB8">
        <w:rPr>
          <w:snapToGrid w:val="0"/>
          <w:spacing w:val="-16"/>
          <w:lang w:val="uk-UA"/>
        </w:rPr>
        <w:t xml:space="preserve"> </w:t>
      </w:r>
      <w:r w:rsidRPr="00A36307">
        <w:rPr>
          <w:spacing w:val="-16"/>
        </w:rPr>
        <w:t>на нейтрофіли та моноцити периферичної крові пацієнтів встано</w:t>
      </w:r>
      <w:r w:rsidRPr="00A36307">
        <w:rPr>
          <w:spacing w:val="-16"/>
        </w:rPr>
        <w:t>в</w:t>
      </w:r>
      <w:r w:rsidRPr="00A36307">
        <w:rPr>
          <w:spacing w:val="-16"/>
        </w:rPr>
        <w:t xml:space="preserve">лено, що значення коефіцієнта К при цьому виявились вірогідно вищими показників практично здорових осіб. Взаємодія ЛПС </w:t>
      </w:r>
      <w:r w:rsidRPr="00A36307">
        <w:rPr>
          <w:i/>
          <w:snapToGrid w:val="0"/>
          <w:spacing w:val="-16"/>
        </w:rPr>
        <w:t>A. fermentans</w:t>
      </w:r>
      <w:r w:rsidRPr="00A36307">
        <w:rPr>
          <w:snapToGrid w:val="0"/>
          <w:spacing w:val="-16"/>
        </w:rPr>
        <w:t xml:space="preserve"> </w:t>
      </w:r>
      <w:r w:rsidRPr="00A36307">
        <w:rPr>
          <w:spacing w:val="-16"/>
        </w:rPr>
        <w:t>с даними клітинами також супроводж</w:t>
      </w:r>
      <w:r w:rsidRPr="00A36307">
        <w:rPr>
          <w:spacing w:val="-16"/>
        </w:rPr>
        <w:t>у</w:t>
      </w:r>
      <w:r w:rsidRPr="00A36307">
        <w:rPr>
          <w:spacing w:val="-16"/>
        </w:rPr>
        <w:t>валась вірогідними змінами значення коефіцієнта К в обох випа</w:t>
      </w:r>
      <w:r w:rsidRPr="00A36307">
        <w:rPr>
          <w:spacing w:val="-16"/>
        </w:rPr>
        <w:t>д</w:t>
      </w:r>
      <w:r w:rsidRPr="00A36307">
        <w:rPr>
          <w:spacing w:val="-16"/>
        </w:rPr>
        <w:t>ках.</w:t>
      </w:r>
    </w:p>
    <w:p w:rsidR="00486081" w:rsidRPr="00A36307" w:rsidRDefault="00486081" w:rsidP="00486081">
      <w:pPr>
        <w:ind w:firstLine="567"/>
        <w:jc w:val="both"/>
        <w:rPr>
          <w:spacing w:val="-16"/>
        </w:rPr>
      </w:pPr>
      <w:r w:rsidRPr="00A36307">
        <w:rPr>
          <w:b/>
          <w:spacing w:val="-16"/>
        </w:rPr>
        <w:t>Вплив</w:t>
      </w:r>
      <w:r w:rsidRPr="00A36307">
        <w:rPr>
          <w:spacing w:val="-16"/>
        </w:rPr>
        <w:t xml:space="preserve"> </w:t>
      </w:r>
      <w:r w:rsidRPr="00A36307">
        <w:rPr>
          <w:b/>
          <w:spacing w:val="-16"/>
        </w:rPr>
        <w:t>патогенетично обґрунтованого способу лікування і профілактики загострень хронічного пері</w:t>
      </w:r>
      <w:r w:rsidRPr="00A36307">
        <w:rPr>
          <w:b/>
          <w:spacing w:val="-16"/>
        </w:rPr>
        <w:t>о</w:t>
      </w:r>
      <w:r w:rsidRPr="00A36307">
        <w:rPr>
          <w:b/>
          <w:spacing w:val="-16"/>
        </w:rPr>
        <w:t xml:space="preserve">донтиту на мікробіологічні показники. </w:t>
      </w:r>
      <w:r w:rsidRPr="00A36307">
        <w:rPr>
          <w:spacing w:val="-16"/>
        </w:rPr>
        <w:t>Вихідний видовий склад бактерій, ізольованих при первинному огляді з кореневих каналів зубів пацієнтів контрольних та дослідних груп суттєво не відрізнявся.</w:t>
      </w:r>
    </w:p>
    <w:p w:rsidR="00486081" w:rsidRPr="00A36307" w:rsidRDefault="00486081" w:rsidP="00486081">
      <w:pPr>
        <w:ind w:firstLine="567"/>
        <w:jc w:val="both"/>
        <w:rPr>
          <w:spacing w:val="-16"/>
        </w:rPr>
      </w:pPr>
      <w:r w:rsidRPr="00A36307">
        <w:rPr>
          <w:spacing w:val="-16"/>
        </w:rPr>
        <w:t>На другому етапі лікування пацієнтів загальна кількість ізольов</w:t>
      </w:r>
      <w:r w:rsidRPr="00A36307">
        <w:rPr>
          <w:spacing w:val="-16"/>
        </w:rPr>
        <w:t>а</w:t>
      </w:r>
      <w:r w:rsidRPr="00A36307">
        <w:rPr>
          <w:spacing w:val="-16"/>
        </w:rPr>
        <w:t>них бактерій склало 84 штами. Від пацієнтів 1-ї контрольної групи було ізольовано 25 штамів (в тому числі 7 штамів клостридій), які належали до 12 видів, ча</w:t>
      </w:r>
      <w:r w:rsidRPr="00A36307">
        <w:rPr>
          <w:spacing w:val="-16"/>
        </w:rPr>
        <w:t>с</w:t>
      </w:r>
      <w:r w:rsidRPr="00A36307">
        <w:rPr>
          <w:spacing w:val="-16"/>
        </w:rPr>
        <w:t>тота моноінфекції склала 70 %. Повна бактеріальна санація була зареєстрована у 7 пацієнтів. Від пацієнтів 2-ї кон</w:t>
      </w:r>
      <w:r w:rsidRPr="00A36307">
        <w:rPr>
          <w:spacing w:val="-16"/>
        </w:rPr>
        <w:t>т</w:t>
      </w:r>
      <w:r w:rsidRPr="00A36307">
        <w:rPr>
          <w:spacing w:val="-16"/>
        </w:rPr>
        <w:t>рольної групи було ізольовано 15 штамів бактерій (в тому числі 3 штами клостридій), які належали до 9 видів, мон</w:t>
      </w:r>
      <w:r w:rsidRPr="00A36307">
        <w:rPr>
          <w:spacing w:val="-16"/>
        </w:rPr>
        <w:t>о</w:t>
      </w:r>
      <w:r w:rsidRPr="00A36307">
        <w:rPr>
          <w:spacing w:val="-16"/>
        </w:rPr>
        <w:t>інфекцію реєстрували в 50 % випадків. Повна бактеріальна санація зареєстрована у 15 пацієнтів. У пацієнтів 3-ї ко</w:t>
      </w:r>
      <w:r w:rsidRPr="00A36307">
        <w:rPr>
          <w:spacing w:val="-16"/>
        </w:rPr>
        <w:t>н</w:t>
      </w:r>
      <w:r w:rsidRPr="00A36307">
        <w:rPr>
          <w:spacing w:val="-16"/>
        </w:rPr>
        <w:t>трольної групи з кореневих каналів було ізольовано 18 штамів бактерій (в тому числі 4 штами клостридій), які н</w:t>
      </w:r>
      <w:r w:rsidRPr="00A36307">
        <w:rPr>
          <w:spacing w:val="-16"/>
        </w:rPr>
        <w:t>а</w:t>
      </w:r>
      <w:r w:rsidRPr="00A36307">
        <w:rPr>
          <w:spacing w:val="-16"/>
        </w:rPr>
        <w:t>лежали до 10 видів, частота моноінфекції склала 60 %. Повна бактеріальна санація зареєстрована у 12 осіб. Від пац</w:t>
      </w:r>
      <w:r w:rsidRPr="00A36307">
        <w:rPr>
          <w:spacing w:val="-16"/>
        </w:rPr>
        <w:t>і</w:t>
      </w:r>
      <w:r w:rsidRPr="00A36307">
        <w:rPr>
          <w:spacing w:val="-16"/>
        </w:rPr>
        <w:t>єнтів 1-ї дослідної групи було ізольовано 12 штамів, частота моноінфекції склала 34,3 %, що було в 1,46-2,04 разу нижче показників у контрольних групах. Повна бактеріальна санація була зареєстрована в 65,7 % випадків. Напр</w:t>
      </w:r>
      <w:r w:rsidRPr="00A36307">
        <w:rPr>
          <w:spacing w:val="-16"/>
        </w:rPr>
        <w:t>и</w:t>
      </w:r>
      <w:r w:rsidRPr="00A36307">
        <w:rPr>
          <w:spacing w:val="-16"/>
        </w:rPr>
        <w:t>кінці другого етапу лікування загальна кількість штамів бактерій, виділених з детриту кореневих каналів пацієнтів 2-ї дослідної групи, скл</w:t>
      </w:r>
      <w:r w:rsidRPr="00A36307">
        <w:rPr>
          <w:spacing w:val="-16"/>
        </w:rPr>
        <w:t>а</w:t>
      </w:r>
      <w:r w:rsidRPr="00A36307">
        <w:rPr>
          <w:spacing w:val="-16"/>
        </w:rPr>
        <w:t xml:space="preserve">ла 14. </w:t>
      </w:r>
    </w:p>
    <w:p w:rsidR="00486081" w:rsidRPr="00A36307" w:rsidRDefault="00486081" w:rsidP="00486081">
      <w:pPr>
        <w:ind w:firstLine="567"/>
        <w:jc w:val="both"/>
        <w:rPr>
          <w:spacing w:val="-16"/>
        </w:rPr>
      </w:pPr>
      <w:r w:rsidRPr="00A36307">
        <w:rPr>
          <w:spacing w:val="-16"/>
        </w:rPr>
        <w:t>На третьому етапі лікування загальна кількість виділених штамів склала 4 при повній бактеріальній санації у 31 пацієнта.</w:t>
      </w:r>
    </w:p>
    <w:p w:rsidR="00486081" w:rsidRPr="00A36307" w:rsidRDefault="00486081" w:rsidP="00486081">
      <w:pPr>
        <w:ind w:firstLine="567"/>
        <w:jc w:val="both"/>
        <w:rPr>
          <w:spacing w:val="-16"/>
        </w:rPr>
      </w:pPr>
      <w:r w:rsidRPr="00A36307">
        <w:rPr>
          <w:spacing w:val="-16"/>
        </w:rPr>
        <w:t>Диспансерне спостереження показало, що через 6 місяців після проведеного лікування у пацієнтів 1-ї та 2-ї дослідних груп загострень захв</w:t>
      </w:r>
      <w:r w:rsidRPr="00A36307">
        <w:rPr>
          <w:spacing w:val="-16"/>
        </w:rPr>
        <w:t>о</w:t>
      </w:r>
      <w:r w:rsidRPr="00A36307">
        <w:rPr>
          <w:spacing w:val="-16"/>
        </w:rPr>
        <w:t>рювання не було; частота загострень у пацієнтів 1-ї контрольної групи склала 13,3 %, 2-ї та 3-ї контрольних груп – 3,3 % та 6,7 %. Через 12 місяців у пацієнтів 2-ї дослідної групи частота загострень склала 2,9 %, 1-ї дослідної групи – 5,7 %, 1-ї контрольної групи – 33,3 %, 2-ї та 3-ї контрольних груп – 20 % та 26,7 %. До 24 місяців диспансерного спостереження загострення хронічного періодонтиту були зареєстровані у всіх п</w:t>
      </w:r>
      <w:r w:rsidRPr="00A36307">
        <w:rPr>
          <w:spacing w:val="-16"/>
        </w:rPr>
        <w:t>а</w:t>
      </w:r>
      <w:r w:rsidRPr="00A36307">
        <w:rPr>
          <w:spacing w:val="-16"/>
        </w:rPr>
        <w:t>цієнтів 1-ї контрольної групи, при цьому протягом другого року рецидиви розвинулись у 16 пацієнтів. У пацієнтів 2-ї контрольної групи наприкінці другого року рецидиви розвинулись в 73,3 % випадків, у пацієнтів 3-ї к</w:t>
      </w:r>
      <w:r w:rsidRPr="00A36307">
        <w:rPr>
          <w:spacing w:val="-16"/>
        </w:rPr>
        <w:t>о</w:t>
      </w:r>
      <w:r w:rsidRPr="00A36307">
        <w:rPr>
          <w:spacing w:val="-16"/>
        </w:rPr>
        <w:t>нтрольної групи – в 93,3 % випадків, у пацієнтів 1-ї та 2-ї дослідних груп – в 28,6 % та 17,1 % випадків.</w:t>
      </w:r>
    </w:p>
    <w:p w:rsidR="00486081" w:rsidRPr="00A36307" w:rsidRDefault="00486081" w:rsidP="00486081">
      <w:pPr>
        <w:pStyle w:val="affffffffc"/>
        <w:ind w:left="0" w:firstLine="567"/>
        <w:rPr>
          <w:spacing w:val="-16"/>
          <w:sz w:val="24"/>
          <w:lang w:val="uk-UA"/>
        </w:rPr>
      </w:pPr>
      <w:r w:rsidRPr="00A36307">
        <w:rPr>
          <w:b/>
          <w:spacing w:val="-16"/>
          <w:sz w:val="24"/>
          <w:lang w:val="uk-UA"/>
        </w:rPr>
        <w:t>Вплив</w:t>
      </w:r>
      <w:r w:rsidRPr="00A36307">
        <w:rPr>
          <w:spacing w:val="-16"/>
          <w:sz w:val="24"/>
          <w:lang w:val="uk-UA"/>
        </w:rPr>
        <w:t xml:space="preserve"> </w:t>
      </w:r>
      <w:r w:rsidRPr="00A36307">
        <w:rPr>
          <w:b/>
          <w:spacing w:val="-16"/>
          <w:sz w:val="24"/>
          <w:lang w:val="uk-UA"/>
        </w:rPr>
        <w:t>патогенетично обґрунтованого способу лікування і профілактики загострень хронічного пері</w:t>
      </w:r>
      <w:r w:rsidRPr="00A36307">
        <w:rPr>
          <w:b/>
          <w:spacing w:val="-16"/>
          <w:sz w:val="24"/>
          <w:lang w:val="uk-UA"/>
        </w:rPr>
        <w:t>о</w:t>
      </w:r>
      <w:r w:rsidRPr="00A36307">
        <w:rPr>
          <w:b/>
          <w:spacing w:val="-16"/>
          <w:sz w:val="24"/>
          <w:lang w:val="uk-UA"/>
        </w:rPr>
        <w:t xml:space="preserve">донтиту на імунні показники. </w:t>
      </w:r>
      <w:r w:rsidRPr="00A36307">
        <w:rPr>
          <w:spacing w:val="-16"/>
          <w:sz w:val="24"/>
          <w:lang w:val="uk-UA"/>
        </w:rPr>
        <w:t>Вихідні показники імунного статусу пацієнтів контрольних та дослідних груп вір</w:t>
      </w:r>
      <w:r w:rsidRPr="00A36307">
        <w:rPr>
          <w:spacing w:val="-16"/>
          <w:sz w:val="24"/>
          <w:lang w:val="uk-UA"/>
        </w:rPr>
        <w:t>о</w:t>
      </w:r>
      <w:r w:rsidRPr="00A36307">
        <w:rPr>
          <w:spacing w:val="-16"/>
          <w:sz w:val="24"/>
          <w:lang w:val="uk-UA"/>
        </w:rPr>
        <w:t xml:space="preserve">гідних відмінностей не мали. </w:t>
      </w:r>
    </w:p>
    <w:p w:rsidR="00486081" w:rsidRPr="00A36307" w:rsidRDefault="00486081" w:rsidP="00486081">
      <w:pPr>
        <w:pStyle w:val="affffffffc"/>
        <w:ind w:left="0" w:firstLine="567"/>
        <w:rPr>
          <w:spacing w:val="-16"/>
          <w:sz w:val="24"/>
          <w:lang w:val="uk-UA"/>
        </w:rPr>
      </w:pPr>
      <w:r w:rsidRPr="00A36307">
        <w:rPr>
          <w:spacing w:val="-16"/>
          <w:sz w:val="24"/>
          <w:lang w:val="uk-UA"/>
        </w:rPr>
        <w:t>Наприкінці другого етапу лікування загальна кількість Т-лімфоцитів у пацієнтів 1-ї, 2-ї та 3-ї контрольних груп невірогідно збільшилась порівняно з вихідним рівнем. У пацієнтів 1-ї та 2-ї дослідних груп збільшення загал</w:t>
      </w:r>
      <w:r w:rsidRPr="00A36307">
        <w:rPr>
          <w:spacing w:val="-16"/>
          <w:sz w:val="24"/>
          <w:lang w:val="uk-UA"/>
        </w:rPr>
        <w:t>ь</w:t>
      </w:r>
      <w:r w:rsidRPr="00A36307">
        <w:rPr>
          <w:spacing w:val="-16"/>
          <w:sz w:val="24"/>
          <w:lang w:val="uk-UA"/>
        </w:rPr>
        <w:t>ного вмісту Т-клітин відносно їх вихідного рівня було вірогідним та суттєво не відрізнялось від показника практи</w:t>
      </w:r>
      <w:r w:rsidRPr="00A36307">
        <w:rPr>
          <w:spacing w:val="-16"/>
          <w:sz w:val="24"/>
          <w:lang w:val="uk-UA"/>
        </w:rPr>
        <w:t>ч</w:t>
      </w:r>
      <w:r w:rsidRPr="00A36307">
        <w:rPr>
          <w:spacing w:val="-16"/>
          <w:sz w:val="24"/>
          <w:lang w:val="uk-UA"/>
        </w:rPr>
        <w:t>но здорових осіб.</w:t>
      </w:r>
    </w:p>
    <w:p w:rsidR="00486081" w:rsidRPr="00A36307" w:rsidRDefault="00486081" w:rsidP="00486081">
      <w:pPr>
        <w:pStyle w:val="affffffffc"/>
        <w:ind w:left="0" w:firstLine="567"/>
        <w:rPr>
          <w:spacing w:val="-16"/>
          <w:sz w:val="24"/>
          <w:lang w:val="uk-UA"/>
        </w:rPr>
      </w:pPr>
      <w:r w:rsidRPr="00A36307">
        <w:rPr>
          <w:spacing w:val="-16"/>
          <w:sz w:val="24"/>
          <w:lang w:val="uk-UA"/>
        </w:rPr>
        <w:t xml:space="preserve">Приріст Т-хелперів/індукторів проти вихідного рівня виявився невірогідним тільки в 1-й контрольній групі. Найбільший приріст </w:t>
      </w:r>
      <w:r w:rsidRPr="00A36307">
        <w:rPr>
          <w:spacing w:val="-16"/>
          <w:sz w:val="24"/>
        </w:rPr>
        <w:t>CD</w:t>
      </w:r>
      <w:r w:rsidRPr="00B70FB8">
        <w:rPr>
          <w:spacing w:val="-16"/>
          <w:sz w:val="24"/>
          <w:lang w:val="uk-UA"/>
        </w:rPr>
        <w:t>4+-</w:t>
      </w:r>
      <w:r w:rsidRPr="00A36307">
        <w:rPr>
          <w:spacing w:val="-16"/>
          <w:sz w:val="24"/>
          <w:lang w:val="uk-UA"/>
        </w:rPr>
        <w:t>клітин був відзначений в пацієнтів 2-ї дослідної групи наприкінці третього етапу лікування. Динаміка змін рівня Т-супресорів цитотоксичних у пацієнтів контрольних та дослідних груп була незначною, а зареєстровані п</w:t>
      </w:r>
      <w:r w:rsidRPr="00A36307">
        <w:rPr>
          <w:spacing w:val="-16"/>
          <w:sz w:val="24"/>
          <w:lang w:val="uk-UA"/>
        </w:rPr>
        <w:t>о</w:t>
      </w:r>
      <w:r w:rsidRPr="00A36307">
        <w:rPr>
          <w:spacing w:val="-16"/>
          <w:sz w:val="24"/>
          <w:lang w:val="uk-UA"/>
        </w:rPr>
        <w:t xml:space="preserve">казники знаходились в межах значень практично здорових осіб. </w:t>
      </w:r>
    </w:p>
    <w:p w:rsidR="00486081" w:rsidRPr="00A36307" w:rsidRDefault="00486081" w:rsidP="00486081">
      <w:pPr>
        <w:pStyle w:val="affffffffc"/>
        <w:ind w:left="0" w:firstLine="567"/>
        <w:rPr>
          <w:spacing w:val="-16"/>
          <w:sz w:val="24"/>
          <w:lang w:val="uk-UA"/>
        </w:rPr>
      </w:pPr>
      <w:r w:rsidRPr="00A36307">
        <w:rPr>
          <w:spacing w:val="-16"/>
          <w:sz w:val="24"/>
          <w:lang w:val="uk-UA"/>
        </w:rPr>
        <w:t xml:space="preserve">У пацієнтів 1-ї та 3-ї контрольних груп збільшення значення індексу </w:t>
      </w:r>
      <w:r w:rsidRPr="00A36307">
        <w:rPr>
          <w:spacing w:val="-16"/>
          <w:sz w:val="24"/>
        </w:rPr>
        <w:t>CD</w:t>
      </w:r>
      <w:r w:rsidRPr="00B70FB8">
        <w:rPr>
          <w:spacing w:val="-16"/>
          <w:sz w:val="24"/>
          <w:lang w:val="uk-UA"/>
        </w:rPr>
        <w:t>4/</w:t>
      </w:r>
      <w:r w:rsidRPr="00A36307">
        <w:rPr>
          <w:spacing w:val="-16"/>
          <w:sz w:val="24"/>
        </w:rPr>
        <w:t>CD</w:t>
      </w:r>
      <w:r w:rsidRPr="00A36307">
        <w:rPr>
          <w:spacing w:val="-16"/>
          <w:sz w:val="24"/>
          <w:lang w:val="uk-UA"/>
        </w:rPr>
        <w:t>8 проти вихідного рівня було в</w:t>
      </w:r>
      <w:r w:rsidRPr="00A36307">
        <w:rPr>
          <w:spacing w:val="-16"/>
          <w:sz w:val="24"/>
          <w:lang w:val="uk-UA"/>
        </w:rPr>
        <w:t>і</w:t>
      </w:r>
      <w:r w:rsidRPr="00A36307">
        <w:rPr>
          <w:spacing w:val="-16"/>
          <w:sz w:val="24"/>
          <w:lang w:val="uk-UA"/>
        </w:rPr>
        <w:t xml:space="preserve">рогідним, а у пацієнтів 2-ї контрольної групи – невірогідним. У пацієнтів 1-ї дослідної групи значення індексу </w:t>
      </w:r>
      <w:r w:rsidRPr="00A36307">
        <w:rPr>
          <w:spacing w:val="-16"/>
          <w:sz w:val="24"/>
        </w:rPr>
        <w:t>CD</w:t>
      </w:r>
      <w:r w:rsidRPr="00B70FB8">
        <w:rPr>
          <w:spacing w:val="-16"/>
          <w:sz w:val="24"/>
        </w:rPr>
        <w:t>4/</w:t>
      </w:r>
      <w:r w:rsidRPr="00A36307">
        <w:rPr>
          <w:spacing w:val="-16"/>
          <w:sz w:val="24"/>
        </w:rPr>
        <w:t>CD</w:t>
      </w:r>
      <w:r w:rsidRPr="00A36307">
        <w:rPr>
          <w:spacing w:val="-16"/>
          <w:sz w:val="24"/>
          <w:lang w:val="uk-UA"/>
        </w:rPr>
        <w:t xml:space="preserve">8 вірогідно не відрізнялось від аналогічних показників в контрольних групах. Найзначніше збільшення значення індексу </w:t>
      </w:r>
      <w:r w:rsidRPr="00A36307">
        <w:rPr>
          <w:spacing w:val="-16"/>
          <w:sz w:val="24"/>
        </w:rPr>
        <w:t>CD</w:t>
      </w:r>
      <w:r w:rsidRPr="00B70FB8">
        <w:rPr>
          <w:spacing w:val="-16"/>
          <w:sz w:val="24"/>
          <w:lang w:val="uk-UA"/>
        </w:rPr>
        <w:t>4/</w:t>
      </w:r>
      <w:r w:rsidRPr="00A36307">
        <w:rPr>
          <w:spacing w:val="-16"/>
          <w:sz w:val="24"/>
        </w:rPr>
        <w:t>CD</w:t>
      </w:r>
      <w:r w:rsidRPr="00A36307">
        <w:rPr>
          <w:spacing w:val="-16"/>
          <w:sz w:val="24"/>
          <w:lang w:val="uk-UA"/>
        </w:rPr>
        <w:t>8 було зареєстроване наприкінці курсу лікування у пацієнтів 2-ї дослідної гр</w:t>
      </w:r>
      <w:r w:rsidRPr="00A36307">
        <w:rPr>
          <w:spacing w:val="-16"/>
          <w:sz w:val="24"/>
          <w:lang w:val="uk-UA"/>
        </w:rPr>
        <w:t>у</w:t>
      </w:r>
      <w:r w:rsidRPr="00A36307">
        <w:rPr>
          <w:spacing w:val="-16"/>
          <w:sz w:val="24"/>
          <w:lang w:val="uk-UA"/>
        </w:rPr>
        <w:t xml:space="preserve">пи – в 1,1-1,16 разу проти показників інших пацієнтів. </w:t>
      </w:r>
    </w:p>
    <w:p w:rsidR="00486081" w:rsidRPr="00A36307" w:rsidRDefault="00486081" w:rsidP="00486081">
      <w:pPr>
        <w:pStyle w:val="affffffffc"/>
        <w:ind w:left="0" w:firstLine="567"/>
        <w:rPr>
          <w:spacing w:val="-16"/>
          <w:sz w:val="24"/>
          <w:lang w:val="uk-UA"/>
        </w:rPr>
      </w:pPr>
      <w:r w:rsidRPr="00A36307">
        <w:rPr>
          <w:spacing w:val="-16"/>
          <w:sz w:val="24"/>
          <w:lang w:val="uk-UA"/>
        </w:rPr>
        <w:t>У пацієнтів спостерігали зниження рівнів В-клітин та природних к</w:t>
      </w:r>
      <w:r w:rsidRPr="00A36307">
        <w:rPr>
          <w:spacing w:val="-16"/>
          <w:sz w:val="24"/>
          <w:lang w:val="uk-UA"/>
        </w:rPr>
        <w:t>і</w:t>
      </w:r>
      <w:r w:rsidRPr="00A36307">
        <w:rPr>
          <w:spacing w:val="-16"/>
          <w:sz w:val="24"/>
          <w:lang w:val="uk-UA"/>
        </w:rPr>
        <w:t>лерів, яке було найвиразнішим у пацієнтів 2-ї дослідної групи.</w:t>
      </w:r>
    </w:p>
    <w:p w:rsidR="00486081" w:rsidRPr="00A36307" w:rsidRDefault="00486081" w:rsidP="00486081">
      <w:pPr>
        <w:pStyle w:val="affffffffc"/>
        <w:ind w:left="0" w:firstLine="567"/>
        <w:rPr>
          <w:spacing w:val="-16"/>
          <w:sz w:val="24"/>
          <w:lang w:val="uk-UA"/>
        </w:rPr>
      </w:pPr>
      <w:r w:rsidRPr="00A36307">
        <w:rPr>
          <w:spacing w:val="-16"/>
          <w:sz w:val="24"/>
          <w:lang w:val="uk-UA"/>
        </w:rPr>
        <w:lastRenderedPageBreak/>
        <w:t>Динаміка позитивних змін показників фагоцитозу виявилась різною в залежності від способу лікування пац</w:t>
      </w:r>
      <w:r w:rsidRPr="00A36307">
        <w:rPr>
          <w:spacing w:val="-16"/>
          <w:sz w:val="24"/>
          <w:lang w:val="uk-UA"/>
        </w:rPr>
        <w:t>і</w:t>
      </w:r>
      <w:r w:rsidRPr="00A36307">
        <w:rPr>
          <w:spacing w:val="-16"/>
          <w:sz w:val="24"/>
          <w:lang w:val="uk-UA"/>
        </w:rPr>
        <w:t>єнтів. Найбільший приріст значень показників ФІ та ФЧ спостерігали в 2-й дослідній групі: для ФІ він склав 1,12 разу, для ФЧ – 1,13 разу (р&lt;0,05 в обох випа</w:t>
      </w:r>
      <w:r w:rsidRPr="00A36307">
        <w:rPr>
          <w:spacing w:val="-16"/>
          <w:sz w:val="24"/>
          <w:lang w:val="uk-UA"/>
        </w:rPr>
        <w:t>д</w:t>
      </w:r>
      <w:r w:rsidRPr="00A36307">
        <w:rPr>
          <w:spacing w:val="-16"/>
          <w:sz w:val="24"/>
          <w:lang w:val="uk-UA"/>
        </w:rPr>
        <w:t>ках).</w:t>
      </w:r>
    </w:p>
    <w:p w:rsidR="00486081" w:rsidRPr="00A36307" w:rsidRDefault="00486081" w:rsidP="00486081">
      <w:pPr>
        <w:pStyle w:val="affffffffc"/>
        <w:ind w:left="0" w:firstLine="567"/>
        <w:rPr>
          <w:spacing w:val="-16"/>
          <w:sz w:val="24"/>
          <w:lang w:val="uk-UA"/>
        </w:rPr>
      </w:pPr>
      <w:r w:rsidRPr="00A36307">
        <w:rPr>
          <w:spacing w:val="-16"/>
          <w:sz w:val="24"/>
          <w:lang w:val="uk-UA"/>
        </w:rPr>
        <w:t>В результаті проведеного лікування в сироватці крові пацієнтів відзначене зниження вмісту ЦІК та покр</w:t>
      </w:r>
      <w:r w:rsidRPr="00A36307">
        <w:rPr>
          <w:spacing w:val="-16"/>
          <w:sz w:val="24"/>
          <w:lang w:val="uk-UA"/>
        </w:rPr>
        <w:t>а</w:t>
      </w:r>
      <w:r w:rsidRPr="00A36307">
        <w:rPr>
          <w:spacing w:val="-16"/>
          <w:sz w:val="24"/>
          <w:lang w:val="uk-UA"/>
        </w:rPr>
        <w:t>щання їх фракційного складу, а саме збільшення кількості непатогенних крупних ЦІК та зменшення вмісту пат</w:t>
      </w:r>
      <w:r w:rsidRPr="00A36307">
        <w:rPr>
          <w:spacing w:val="-16"/>
          <w:sz w:val="24"/>
          <w:lang w:val="uk-UA"/>
        </w:rPr>
        <w:t>о</w:t>
      </w:r>
      <w:r w:rsidRPr="00A36307">
        <w:rPr>
          <w:spacing w:val="-16"/>
          <w:sz w:val="24"/>
          <w:lang w:val="uk-UA"/>
        </w:rPr>
        <w:t>генних середніх та дрібних комплексів. Найбільш виразну позитивну динаміку змін вмісту та фракційного складу ЦІК відзначали у пац</w:t>
      </w:r>
      <w:r w:rsidRPr="00A36307">
        <w:rPr>
          <w:spacing w:val="-16"/>
          <w:sz w:val="24"/>
          <w:lang w:val="uk-UA"/>
        </w:rPr>
        <w:t>і</w:t>
      </w:r>
      <w:r w:rsidRPr="00A36307">
        <w:rPr>
          <w:spacing w:val="-16"/>
          <w:sz w:val="24"/>
          <w:lang w:val="uk-UA"/>
        </w:rPr>
        <w:t>єнтів 2-ї дослідної групи.</w:t>
      </w:r>
    </w:p>
    <w:p w:rsidR="00486081" w:rsidRPr="00A36307" w:rsidRDefault="00486081" w:rsidP="00486081">
      <w:pPr>
        <w:pStyle w:val="affffffffc"/>
        <w:ind w:left="0" w:firstLine="567"/>
        <w:rPr>
          <w:spacing w:val="-16"/>
          <w:sz w:val="24"/>
          <w:lang w:val="uk-UA"/>
        </w:rPr>
      </w:pPr>
      <w:r w:rsidRPr="00A36307">
        <w:rPr>
          <w:spacing w:val="-16"/>
          <w:sz w:val="24"/>
          <w:lang w:val="uk-UA"/>
        </w:rPr>
        <w:t xml:space="preserve">Лікування пацієнтів з хронічним періодонтитом супроводжувалось збільшенням в сироватці крові вмісту імуноглобулінів, особливо </w:t>
      </w:r>
      <w:r w:rsidRPr="00A36307">
        <w:rPr>
          <w:spacing w:val="-16"/>
          <w:sz w:val="24"/>
        </w:rPr>
        <w:t>Ig</w:t>
      </w:r>
      <w:r w:rsidRPr="00B70FB8">
        <w:rPr>
          <w:spacing w:val="-16"/>
          <w:sz w:val="24"/>
          <w:lang w:val="uk-UA"/>
        </w:rPr>
        <w:t xml:space="preserve"> </w:t>
      </w:r>
      <w:r w:rsidRPr="00A36307">
        <w:rPr>
          <w:spacing w:val="-16"/>
          <w:sz w:val="24"/>
        </w:rPr>
        <w:t>G</w:t>
      </w:r>
      <w:r w:rsidRPr="00B70FB8">
        <w:rPr>
          <w:spacing w:val="-16"/>
          <w:sz w:val="24"/>
          <w:lang w:val="uk-UA"/>
        </w:rPr>
        <w:t xml:space="preserve"> </w:t>
      </w:r>
      <w:r w:rsidRPr="00A36307">
        <w:rPr>
          <w:spacing w:val="-16"/>
          <w:sz w:val="24"/>
          <w:lang w:val="uk-UA"/>
        </w:rPr>
        <w:t xml:space="preserve">та </w:t>
      </w:r>
      <w:r w:rsidRPr="00A36307">
        <w:rPr>
          <w:spacing w:val="-16"/>
          <w:sz w:val="24"/>
        </w:rPr>
        <w:t>Ig</w:t>
      </w:r>
      <w:r w:rsidRPr="00B70FB8">
        <w:rPr>
          <w:spacing w:val="-16"/>
          <w:sz w:val="24"/>
          <w:lang w:val="uk-UA"/>
        </w:rPr>
        <w:t xml:space="preserve"> </w:t>
      </w:r>
      <w:r w:rsidRPr="00A36307">
        <w:rPr>
          <w:spacing w:val="-16"/>
          <w:sz w:val="24"/>
          <w:lang w:val="uk-UA"/>
        </w:rPr>
        <w:t xml:space="preserve">А, однак виявлені зсуви були невірогідними. Але рівні </w:t>
      </w:r>
      <w:r w:rsidRPr="00A36307">
        <w:rPr>
          <w:spacing w:val="-16"/>
          <w:sz w:val="24"/>
        </w:rPr>
        <w:t>Ig</w:t>
      </w:r>
      <w:r w:rsidRPr="00B70FB8">
        <w:rPr>
          <w:spacing w:val="-16"/>
          <w:sz w:val="24"/>
          <w:lang w:val="uk-UA"/>
        </w:rPr>
        <w:t xml:space="preserve"> </w:t>
      </w:r>
      <w:r w:rsidRPr="00A36307">
        <w:rPr>
          <w:spacing w:val="-16"/>
          <w:sz w:val="24"/>
        </w:rPr>
        <w:t>G</w:t>
      </w:r>
      <w:r w:rsidRPr="00B70FB8">
        <w:rPr>
          <w:spacing w:val="-16"/>
          <w:sz w:val="24"/>
          <w:lang w:val="uk-UA"/>
        </w:rPr>
        <w:t xml:space="preserve"> </w:t>
      </w:r>
      <w:r w:rsidRPr="00A36307">
        <w:rPr>
          <w:spacing w:val="-16"/>
          <w:sz w:val="24"/>
          <w:lang w:val="uk-UA"/>
        </w:rPr>
        <w:t xml:space="preserve">та </w:t>
      </w:r>
      <w:r w:rsidRPr="00A36307">
        <w:rPr>
          <w:spacing w:val="-16"/>
          <w:sz w:val="24"/>
        </w:rPr>
        <w:t>Ig</w:t>
      </w:r>
      <w:r w:rsidRPr="00B70FB8">
        <w:rPr>
          <w:spacing w:val="-16"/>
          <w:sz w:val="24"/>
          <w:lang w:val="uk-UA"/>
        </w:rPr>
        <w:t xml:space="preserve"> </w:t>
      </w:r>
      <w:r w:rsidRPr="00A36307">
        <w:rPr>
          <w:spacing w:val="-16"/>
          <w:sz w:val="24"/>
          <w:lang w:val="uk-UA"/>
        </w:rPr>
        <w:t>А у пацієнтів 2-ї дослідної групи були вищими таких в групах порівняння. навп</w:t>
      </w:r>
      <w:r w:rsidRPr="00A36307">
        <w:rPr>
          <w:spacing w:val="-16"/>
          <w:sz w:val="24"/>
          <w:lang w:val="uk-UA"/>
        </w:rPr>
        <w:t>а</w:t>
      </w:r>
      <w:r w:rsidRPr="00A36307">
        <w:rPr>
          <w:spacing w:val="-16"/>
          <w:sz w:val="24"/>
          <w:lang w:val="uk-UA"/>
        </w:rPr>
        <w:t xml:space="preserve">ки, рівень </w:t>
      </w:r>
      <w:r w:rsidRPr="00A36307">
        <w:rPr>
          <w:spacing w:val="-16"/>
          <w:sz w:val="24"/>
        </w:rPr>
        <w:t>Ig</w:t>
      </w:r>
      <w:r w:rsidRPr="00B70FB8">
        <w:rPr>
          <w:spacing w:val="-16"/>
          <w:sz w:val="24"/>
          <w:lang w:val="uk-UA"/>
        </w:rPr>
        <w:t xml:space="preserve"> </w:t>
      </w:r>
      <w:r w:rsidRPr="00A36307">
        <w:rPr>
          <w:spacing w:val="-16"/>
          <w:sz w:val="24"/>
          <w:lang w:val="uk-UA"/>
        </w:rPr>
        <w:t>М в процесі лікування знижувався, що свідчило про ліквідацію антигенного подразнення, та був найбільш наближеним до показника практично здорових осіб у пацієнтів 2-ї д</w:t>
      </w:r>
      <w:r w:rsidRPr="00A36307">
        <w:rPr>
          <w:spacing w:val="-16"/>
          <w:sz w:val="24"/>
          <w:lang w:val="uk-UA"/>
        </w:rPr>
        <w:t>о</w:t>
      </w:r>
      <w:r w:rsidRPr="00A36307">
        <w:rPr>
          <w:spacing w:val="-16"/>
          <w:sz w:val="24"/>
          <w:lang w:val="uk-UA"/>
        </w:rPr>
        <w:t>слідної групи.</w:t>
      </w:r>
    </w:p>
    <w:p w:rsidR="00486081" w:rsidRPr="00A36307" w:rsidRDefault="00486081" w:rsidP="00486081">
      <w:pPr>
        <w:pStyle w:val="affffffffc"/>
        <w:ind w:left="0" w:firstLine="567"/>
        <w:rPr>
          <w:spacing w:val="-16"/>
          <w:sz w:val="24"/>
          <w:lang w:val="uk-UA"/>
        </w:rPr>
      </w:pPr>
      <w:r w:rsidRPr="00A36307">
        <w:rPr>
          <w:b/>
          <w:spacing w:val="-16"/>
          <w:sz w:val="24"/>
          <w:lang w:val="uk-UA"/>
        </w:rPr>
        <w:t>Вплив</w:t>
      </w:r>
      <w:r w:rsidRPr="00A36307">
        <w:rPr>
          <w:spacing w:val="-16"/>
          <w:sz w:val="24"/>
          <w:lang w:val="uk-UA"/>
        </w:rPr>
        <w:t xml:space="preserve"> </w:t>
      </w:r>
      <w:r w:rsidRPr="00A36307">
        <w:rPr>
          <w:b/>
          <w:spacing w:val="-16"/>
          <w:sz w:val="24"/>
          <w:lang w:val="uk-UA"/>
        </w:rPr>
        <w:t>патогенетично обґрунтованого способу лікування і профілактики загострень хронічного пері</w:t>
      </w:r>
      <w:r w:rsidRPr="00A36307">
        <w:rPr>
          <w:b/>
          <w:spacing w:val="-16"/>
          <w:sz w:val="24"/>
          <w:lang w:val="uk-UA"/>
        </w:rPr>
        <w:t>о</w:t>
      </w:r>
      <w:r w:rsidRPr="00A36307">
        <w:rPr>
          <w:b/>
          <w:spacing w:val="-16"/>
          <w:sz w:val="24"/>
          <w:lang w:val="uk-UA"/>
        </w:rPr>
        <w:t xml:space="preserve">донтиту на метаболічні показники. </w:t>
      </w:r>
      <w:r w:rsidRPr="00A36307">
        <w:rPr>
          <w:spacing w:val="-16"/>
          <w:sz w:val="24"/>
          <w:lang w:val="uk-UA"/>
        </w:rPr>
        <w:t>Встановлено, що інтенсивність зворотного розвитку метаболічних пор</w:t>
      </w:r>
      <w:r w:rsidRPr="00A36307">
        <w:rPr>
          <w:spacing w:val="-16"/>
          <w:sz w:val="24"/>
          <w:lang w:val="uk-UA"/>
        </w:rPr>
        <w:t>у</w:t>
      </w:r>
      <w:r w:rsidRPr="00A36307">
        <w:rPr>
          <w:spacing w:val="-16"/>
          <w:sz w:val="24"/>
          <w:lang w:val="uk-UA"/>
        </w:rPr>
        <w:t>шень у пацієнтів з хронічним періодонтитом залежала від способу лікування та була найбільш вираженою у паціє</w:t>
      </w:r>
      <w:r w:rsidRPr="00A36307">
        <w:rPr>
          <w:spacing w:val="-16"/>
          <w:sz w:val="24"/>
          <w:lang w:val="uk-UA"/>
        </w:rPr>
        <w:t>н</w:t>
      </w:r>
      <w:r w:rsidRPr="00A36307">
        <w:rPr>
          <w:spacing w:val="-16"/>
          <w:sz w:val="24"/>
          <w:lang w:val="uk-UA"/>
        </w:rPr>
        <w:t>тів 2-ї дослідної групи. Значення коефіцієнта К у пацієнтів 2-ї дослідної групи виявилося в 1,07 разу нижчим, ніж в паціє</w:t>
      </w:r>
      <w:r w:rsidRPr="00A36307">
        <w:rPr>
          <w:spacing w:val="-16"/>
          <w:sz w:val="24"/>
          <w:lang w:val="uk-UA"/>
        </w:rPr>
        <w:t>н</w:t>
      </w:r>
      <w:r w:rsidRPr="00A36307">
        <w:rPr>
          <w:spacing w:val="-16"/>
          <w:sz w:val="24"/>
          <w:lang w:val="uk-UA"/>
        </w:rPr>
        <w:t>тів 1-ї контрольної та 1-ї дослідної груп, а також в 1,09 та 1,05 разу нижчим, ніж пацієнтів 2-ї та 3-ї контрол</w:t>
      </w:r>
      <w:r w:rsidRPr="00A36307">
        <w:rPr>
          <w:spacing w:val="-16"/>
          <w:sz w:val="24"/>
          <w:lang w:val="uk-UA"/>
        </w:rPr>
        <w:t>ь</w:t>
      </w:r>
      <w:r w:rsidRPr="00A36307">
        <w:rPr>
          <w:spacing w:val="-16"/>
          <w:sz w:val="24"/>
          <w:lang w:val="uk-UA"/>
        </w:rPr>
        <w:t>них груп (р&gt;0,05 в усіх випадках).</w:t>
      </w:r>
    </w:p>
    <w:p w:rsidR="00486081" w:rsidRPr="00A36307" w:rsidRDefault="00486081" w:rsidP="00486081">
      <w:pPr>
        <w:pStyle w:val="affffffffc"/>
        <w:ind w:left="0" w:firstLine="567"/>
        <w:rPr>
          <w:spacing w:val="-16"/>
          <w:sz w:val="24"/>
          <w:lang w:val="uk-UA"/>
        </w:rPr>
      </w:pPr>
      <w:r w:rsidRPr="00A36307">
        <w:rPr>
          <w:spacing w:val="-16"/>
          <w:sz w:val="24"/>
          <w:lang w:val="uk-UA"/>
        </w:rPr>
        <w:t>Найбільш виражену позитивну динаміку змін вмісту ПГЕ2 спостерігали в сироватці крові пацієнтів 2-ї досл</w:t>
      </w:r>
      <w:r w:rsidRPr="00A36307">
        <w:rPr>
          <w:spacing w:val="-16"/>
          <w:sz w:val="24"/>
          <w:lang w:val="uk-UA"/>
        </w:rPr>
        <w:t>і</w:t>
      </w:r>
      <w:r w:rsidRPr="00A36307">
        <w:rPr>
          <w:spacing w:val="-16"/>
          <w:sz w:val="24"/>
          <w:lang w:val="uk-UA"/>
        </w:rPr>
        <w:t xml:space="preserve">дної групи. </w:t>
      </w:r>
    </w:p>
    <w:p w:rsidR="00486081" w:rsidRPr="00A36307" w:rsidRDefault="00486081" w:rsidP="00486081">
      <w:pPr>
        <w:pStyle w:val="affffffffc"/>
        <w:ind w:left="0" w:firstLine="567"/>
        <w:rPr>
          <w:spacing w:val="-16"/>
          <w:sz w:val="24"/>
          <w:lang w:val="uk-UA"/>
        </w:rPr>
      </w:pPr>
      <w:r w:rsidRPr="00A36307">
        <w:rPr>
          <w:spacing w:val="-16"/>
          <w:sz w:val="24"/>
          <w:lang w:val="uk-UA"/>
        </w:rPr>
        <w:t>Позитивний вплив трьохетапного метода лікування хронічного п</w:t>
      </w:r>
      <w:r w:rsidRPr="00A36307">
        <w:rPr>
          <w:spacing w:val="-16"/>
          <w:sz w:val="24"/>
          <w:lang w:val="uk-UA"/>
        </w:rPr>
        <w:t>е</w:t>
      </w:r>
      <w:r w:rsidRPr="00A36307">
        <w:rPr>
          <w:spacing w:val="-16"/>
          <w:sz w:val="24"/>
          <w:lang w:val="uk-UA"/>
        </w:rPr>
        <w:t>ріодонтиту мав прояв також в покращанні процесів ПОЛ та активності системи АОЗ в нейтрофілах та моноцитах периферійної кров пацієнтів. Значення ко</w:t>
      </w:r>
      <w:r w:rsidRPr="00A36307">
        <w:rPr>
          <w:spacing w:val="-16"/>
          <w:sz w:val="24"/>
          <w:lang w:val="uk-UA"/>
        </w:rPr>
        <w:t>е</w:t>
      </w:r>
      <w:r w:rsidRPr="00A36307">
        <w:rPr>
          <w:spacing w:val="-16"/>
          <w:sz w:val="24"/>
          <w:lang w:val="uk-UA"/>
        </w:rPr>
        <w:t>фіцієнта К для нейтрофілів пацієнтів 2-ї дослідної групи знаходилось в межах значень даного показника у практи</w:t>
      </w:r>
      <w:r w:rsidRPr="00A36307">
        <w:rPr>
          <w:spacing w:val="-16"/>
          <w:sz w:val="24"/>
          <w:lang w:val="uk-UA"/>
        </w:rPr>
        <w:t>ч</w:t>
      </w:r>
      <w:r w:rsidRPr="00A36307">
        <w:rPr>
          <w:spacing w:val="-16"/>
          <w:sz w:val="24"/>
          <w:lang w:val="uk-UA"/>
        </w:rPr>
        <w:t>но здорових осіб, тоді як у пацієнтів 1-ї контрольної групи воно залишалось в 1,11 разу вищим. У пацієнтів 2-ї та 3-ї контрольних груп та 1-ї дослідної групи позитивні зміни показників ПОЛ та системи АОЗ в нейтрофілах були більш виражені, ніж у пацієнтів 1-ї контрольної групи, але менш виражені, ніж у пацієнтів 2-ї дослідної групи. В моноцитах крові розбіжності між значеннями коефіцієнта К у пацієнтів виявились невірогідними, хоча вони були найбільш н</w:t>
      </w:r>
      <w:r w:rsidRPr="00A36307">
        <w:rPr>
          <w:spacing w:val="-16"/>
          <w:sz w:val="24"/>
          <w:lang w:val="uk-UA"/>
        </w:rPr>
        <w:t>а</w:t>
      </w:r>
      <w:r w:rsidRPr="00A36307">
        <w:rPr>
          <w:spacing w:val="-16"/>
          <w:sz w:val="24"/>
          <w:lang w:val="uk-UA"/>
        </w:rPr>
        <w:t>ближеними до значень практично здорових осіб у пацієнтів 2-ї дослідної групи.</w:t>
      </w:r>
    </w:p>
    <w:p w:rsidR="00486081" w:rsidRPr="00A36307" w:rsidRDefault="00486081" w:rsidP="00486081">
      <w:pPr>
        <w:pStyle w:val="1"/>
        <w:ind w:firstLine="0"/>
        <w:rPr>
          <w:spacing w:val="-16"/>
          <w:sz w:val="24"/>
          <w:szCs w:val="24"/>
        </w:rPr>
      </w:pPr>
      <w:r w:rsidRPr="00A36307">
        <w:rPr>
          <w:spacing w:val="-16"/>
          <w:sz w:val="24"/>
          <w:szCs w:val="24"/>
        </w:rPr>
        <w:t>ВИСНОВКИ</w:t>
      </w:r>
    </w:p>
    <w:p w:rsidR="00486081" w:rsidRPr="00A36307" w:rsidRDefault="00486081" w:rsidP="00486081">
      <w:pPr>
        <w:ind w:firstLine="567"/>
        <w:jc w:val="both"/>
        <w:rPr>
          <w:snapToGrid w:val="0"/>
          <w:spacing w:val="-16"/>
        </w:rPr>
      </w:pPr>
      <w:r w:rsidRPr="00A36307">
        <w:rPr>
          <w:snapToGrid w:val="0"/>
          <w:spacing w:val="-16"/>
        </w:rPr>
        <w:t>Дисертаційна робота присвячена вирішенню актуального завдання сучасної медицини, яка складається в р</w:t>
      </w:r>
      <w:r w:rsidRPr="00A36307">
        <w:rPr>
          <w:snapToGrid w:val="0"/>
          <w:spacing w:val="-16"/>
        </w:rPr>
        <w:t>о</w:t>
      </w:r>
      <w:r w:rsidRPr="00A36307">
        <w:rPr>
          <w:snapToGrid w:val="0"/>
          <w:spacing w:val="-16"/>
        </w:rPr>
        <w:t>зробці патогенетично обґрунтованого способу лікування та профілактики загострень хронічного періодонтиту з в</w:t>
      </w:r>
      <w:r w:rsidRPr="00A36307">
        <w:rPr>
          <w:snapToGrid w:val="0"/>
          <w:spacing w:val="-16"/>
        </w:rPr>
        <w:t>и</w:t>
      </w:r>
      <w:r w:rsidRPr="00A36307">
        <w:rPr>
          <w:snapToGrid w:val="0"/>
          <w:spacing w:val="-16"/>
        </w:rPr>
        <w:t>користанням композиції для тимчасового пломбування кореневих каналів, яка містить вітамін Е, метронідазол, барію сульфат та ультрадисперсний гідроксиапатит, легований срі</w:t>
      </w:r>
      <w:r w:rsidRPr="00A36307">
        <w:rPr>
          <w:snapToGrid w:val="0"/>
          <w:spacing w:val="-16"/>
        </w:rPr>
        <w:t>б</w:t>
      </w:r>
      <w:r w:rsidRPr="00A36307">
        <w:rPr>
          <w:snapToGrid w:val="0"/>
          <w:spacing w:val="-16"/>
        </w:rPr>
        <w:t>лом.</w:t>
      </w:r>
    </w:p>
    <w:p w:rsidR="00486081" w:rsidRPr="00A36307" w:rsidRDefault="00486081" w:rsidP="00E46795">
      <w:pPr>
        <w:pStyle w:val="40"/>
        <w:numPr>
          <w:ilvl w:val="0"/>
          <w:numId w:val="68"/>
        </w:numPr>
        <w:suppressAutoHyphens w:val="0"/>
        <w:spacing w:line="240" w:lineRule="auto"/>
        <w:jc w:val="both"/>
        <w:rPr>
          <w:b/>
          <w:snapToGrid w:val="0"/>
          <w:spacing w:val="-16"/>
          <w:sz w:val="24"/>
          <w:szCs w:val="24"/>
        </w:rPr>
      </w:pPr>
      <w:r w:rsidRPr="00A36307">
        <w:rPr>
          <w:b/>
          <w:snapToGrid w:val="0"/>
          <w:spacing w:val="-16"/>
          <w:sz w:val="24"/>
          <w:szCs w:val="24"/>
        </w:rPr>
        <w:t>В розвитку хронічного періодонтиту приймає участь 21 вид суворо анаеробних бактерій, в тому числі</w:t>
      </w:r>
      <w:r w:rsidRPr="00B70FB8">
        <w:rPr>
          <w:b/>
          <w:snapToGrid w:val="0"/>
          <w:spacing w:val="-16"/>
          <w:sz w:val="24"/>
          <w:szCs w:val="24"/>
          <w:lang w:val="uk-UA"/>
        </w:rPr>
        <w:t xml:space="preserve"> </w:t>
      </w:r>
      <w:r w:rsidRPr="00A36307">
        <w:rPr>
          <w:b/>
          <w:i/>
          <w:snapToGrid w:val="0"/>
          <w:spacing w:val="-16"/>
          <w:sz w:val="24"/>
          <w:szCs w:val="24"/>
          <w:lang w:val="en-US"/>
        </w:rPr>
        <w:t>A</w:t>
      </w:r>
      <w:r w:rsidRPr="00B70FB8">
        <w:rPr>
          <w:b/>
          <w:i/>
          <w:snapToGrid w:val="0"/>
          <w:spacing w:val="-16"/>
          <w:sz w:val="24"/>
          <w:szCs w:val="24"/>
          <w:lang w:val="uk-UA"/>
        </w:rPr>
        <w:t xml:space="preserve">. </w:t>
      </w:r>
      <w:r w:rsidRPr="00A36307">
        <w:rPr>
          <w:b/>
          <w:i/>
          <w:snapToGrid w:val="0"/>
          <w:spacing w:val="-16"/>
          <w:sz w:val="24"/>
          <w:szCs w:val="24"/>
          <w:lang w:val="en-US"/>
        </w:rPr>
        <w:t>fe</w:t>
      </w:r>
      <w:r w:rsidRPr="00A36307">
        <w:rPr>
          <w:b/>
          <w:i/>
          <w:snapToGrid w:val="0"/>
          <w:spacing w:val="-16"/>
          <w:sz w:val="24"/>
          <w:szCs w:val="24"/>
          <w:lang w:val="en-US"/>
        </w:rPr>
        <w:t>r</w:t>
      </w:r>
      <w:r w:rsidRPr="00A36307">
        <w:rPr>
          <w:b/>
          <w:i/>
          <w:snapToGrid w:val="0"/>
          <w:spacing w:val="-16"/>
          <w:sz w:val="24"/>
          <w:szCs w:val="24"/>
          <w:lang w:val="en-US"/>
        </w:rPr>
        <w:t>mentans</w:t>
      </w:r>
      <w:r w:rsidRPr="00B70FB8">
        <w:rPr>
          <w:b/>
          <w:snapToGrid w:val="0"/>
          <w:spacing w:val="-16"/>
          <w:sz w:val="24"/>
          <w:szCs w:val="24"/>
          <w:lang w:val="uk-UA"/>
        </w:rPr>
        <w:t xml:space="preserve"> (12,4 %), </w:t>
      </w:r>
      <w:r w:rsidRPr="00A36307">
        <w:rPr>
          <w:b/>
          <w:i/>
          <w:snapToGrid w:val="0"/>
          <w:spacing w:val="-16"/>
          <w:sz w:val="24"/>
          <w:szCs w:val="24"/>
          <w:lang w:val="en-US"/>
        </w:rPr>
        <w:t>A</w:t>
      </w:r>
      <w:r w:rsidRPr="00B70FB8">
        <w:rPr>
          <w:b/>
          <w:i/>
          <w:snapToGrid w:val="0"/>
          <w:spacing w:val="-16"/>
          <w:sz w:val="24"/>
          <w:szCs w:val="24"/>
          <w:lang w:val="uk-UA"/>
        </w:rPr>
        <w:t xml:space="preserve">. </w:t>
      </w:r>
      <w:r w:rsidRPr="00A36307">
        <w:rPr>
          <w:b/>
          <w:i/>
          <w:snapToGrid w:val="0"/>
          <w:spacing w:val="-16"/>
          <w:sz w:val="24"/>
          <w:szCs w:val="24"/>
          <w:lang w:val="en-US"/>
        </w:rPr>
        <w:t>naeslundii</w:t>
      </w:r>
      <w:r w:rsidRPr="00B70FB8">
        <w:rPr>
          <w:b/>
          <w:snapToGrid w:val="0"/>
          <w:spacing w:val="-16"/>
          <w:sz w:val="24"/>
          <w:szCs w:val="24"/>
          <w:lang w:val="uk-UA"/>
        </w:rPr>
        <w:t xml:space="preserve"> (4,7 %), </w:t>
      </w:r>
      <w:r w:rsidRPr="00A36307">
        <w:rPr>
          <w:b/>
          <w:i/>
          <w:snapToGrid w:val="0"/>
          <w:spacing w:val="-16"/>
          <w:sz w:val="24"/>
          <w:szCs w:val="24"/>
          <w:lang w:val="en-US"/>
        </w:rPr>
        <w:t>B</w:t>
      </w:r>
      <w:r w:rsidRPr="00B70FB8">
        <w:rPr>
          <w:b/>
          <w:i/>
          <w:snapToGrid w:val="0"/>
          <w:spacing w:val="-16"/>
          <w:sz w:val="24"/>
          <w:szCs w:val="24"/>
          <w:lang w:val="uk-UA"/>
        </w:rPr>
        <w:t>. р</w:t>
      </w:r>
      <w:r w:rsidRPr="00A36307">
        <w:rPr>
          <w:b/>
          <w:i/>
          <w:snapToGrid w:val="0"/>
          <w:spacing w:val="-16"/>
          <w:sz w:val="24"/>
          <w:szCs w:val="24"/>
          <w:lang w:val="en-US"/>
        </w:rPr>
        <w:t>utredinus</w:t>
      </w:r>
      <w:r w:rsidRPr="00B70FB8">
        <w:rPr>
          <w:b/>
          <w:snapToGrid w:val="0"/>
          <w:spacing w:val="-16"/>
          <w:sz w:val="24"/>
          <w:szCs w:val="24"/>
          <w:lang w:val="uk-UA"/>
        </w:rPr>
        <w:t xml:space="preserve"> (5,2 %), </w:t>
      </w:r>
      <w:r w:rsidRPr="00A36307">
        <w:rPr>
          <w:b/>
          <w:i/>
          <w:snapToGrid w:val="0"/>
          <w:spacing w:val="-16"/>
          <w:sz w:val="24"/>
          <w:szCs w:val="24"/>
          <w:lang w:val="en-US"/>
        </w:rPr>
        <w:t>C</w:t>
      </w:r>
      <w:r w:rsidRPr="00B70FB8">
        <w:rPr>
          <w:b/>
          <w:i/>
          <w:snapToGrid w:val="0"/>
          <w:spacing w:val="-16"/>
          <w:sz w:val="24"/>
          <w:szCs w:val="24"/>
          <w:lang w:val="uk-UA"/>
        </w:rPr>
        <w:t xml:space="preserve">. </w:t>
      </w:r>
      <w:r w:rsidRPr="00A36307">
        <w:rPr>
          <w:b/>
          <w:i/>
          <w:snapToGrid w:val="0"/>
          <w:spacing w:val="-16"/>
          <w:sz w:val="24"/>
          <w:szCs w:val="24"/>
          <w:lang w:val="en-US"/>
        </w:rPr>
        <w:t>histolyticum</w:t>
      </w:r>
      <w:r w:rsidRPr="00B70FB8">
        <w:rPr>
          <w:b/>
          <w:snapToGrid w:val="0"/>
          <w:spacing w:val="-16"/>
          <w:sz w:val="24"/>
          <w:szCs w:val="24"/>
          <w:lang w:val="uk-UA"/>
        </w:rPr>
        <w:t xml:space="preserve"> (3,4 %), </w:t>
      </w:r>
      <w:r w:rsidRPr="00A36307">
        <w:rPr>
          <w:b/>
          <w:i/>
          <w:snapToGrid w:val="0"/>
          <w:spacing w:val="-16"/>
          <w:sz w:val="24"/>
          <w:szCs w:val="24"/>
          <w:lang w:val="en-US"/>
        </w:rPr>
        <w:t>C</w:t>
      </w:r>
      <w:r w:rsidRPr="00B70FB8">
        <w:rPr>
          <w:b/>
          <w:i/>
          <w:snapToGrid w:val="0"/>
          <w:spacing w:val="-16"/>
          <w:sz w:val="24"/>
          <w:szCs w:val="24"/>
          <w:lang w:val="uk-UA"/>
        </w:rPr>
        <w:t xml:space="preserve">. </w:t>
      </w:r>
      <w:r w:rsidRPr="00A36307">
        <w:rPr>
          <w:b/>
          <w:i/>
          <w:snapToGrid w:val="0"/>
          <w:spacing w:val="-16"/>
          <w:sz w:val="24"/>
          <w:szCs w:val="24"/>
          <w:lang w:val="en-US"/>
        </w:rPr>
        <w:t>subterminale</w:t>
      </w:r>
      <w:r w:rsidRPr="00B70FB8">
        <w:rPr>
          <w:b/>
          <w:snapToGrid w:val="0"/>
          <w:spacing w:val="-16"/>
          <w:sz w:val="24"/>
          <w:szCs w:val="24"/>
          <w:lang w:val="uk-UA"/>
        </w:rPr>
        <w:t xml:space="preserve"> (7,7 %), </w:t>
      </w:r>
      <w:r w:rsidRPr="00A36307">
        <w:rPr>
          <w:b/>
          <w:i/>
          <w:snapToGrid w:val="0"/>
          <w:spacing w:val="-16"/>
          <w:sz w:val="24"/>
          <w:szCs w:val="24"/>
          <w:lang w:val="en-US"/>
        </w:rPr>
        <w:t>D</w:t>
      </w:r>
      <w:r w:rsidRPr="00B70FB8">
        <w:rPr>
          <w:b/>
          <w:i/>
          <w:snapToGrid w:val="0"/>
          <w:spacing w:val="-16"/>
          <w:sz w:val="24"/>
          <w:szCs w:val="24"/>
          <w:lang w:val="uk-UA"/>
        </w:rPr>
        <w:t xml:space="preserve">. </w:t>
      </w:r>
      <w:r w:rsidRPr="00A36307">
        <w:rPr>
          <w:b/>
          <w:i/>
          <w:snapToGrid w:val="0"/>
          <w:spacing w:val="-16"/>
          <w:sz w:val="24"/>
          <w:szCs w:val="24"/>
          <w:lang w:val="en-US"/>
        </w:rPr>
        <w:t>nodosus</w:t>
      </w:r>
      <w:r w:rsidRPr="00B70FB8">
        <w:rPr>
          <w:b/>
          <w:snapToGrid w:val="0"/>
          <w:spacing w:val="-16"/>
          <w:sz w:val="24"/>
          <w:szCs w:val="24"/>
          <w:lang w:val="uk-UA"/>
        </w:rPr>
        <w:t xml:space="preserve"> (9 %), </w:t>
      </w:r>
      <w:r w:rsidRPr="00A36307">
        <w:rPr>
          <w:b/>
          <w:i/>
          <w:snapToGrid w:val="0"/>
          <w:spacing w:val="-16"/>
          <w:sz w:val="24"/>
          <w:szCs w:val="24"/>
          <w:lang w:val="en-US"/>
        </w:rPr>
        <w:t>D</w:t>
      </w:r>
      <w:r w:rsidRPr="00B70FB8">
        <w:rPr>
          <w:b/>
          <w:i/>
          <w:snapToGrid w:val="0"/>
          <w:spacing w:val="-16"/>
          <w:sz w:val="24"/>
          <w:szCs w:val="24"/>
          <w:lang w:val="uk-UA"/>
        </w:rPr>
        <w:t xml:space="preserve">. </w:t>
      </w:r>
      <w:r w:rsidRPr="00A36307">
        <w:rPr>
          <w:b/>
          <w:i/>
          <w:snapToGrid w:val="0"/>
          <w:spacing w:val="-16"/>
          <w:sz w:val="24"/>
          <w:szCs w:val="24"/>
          <w:lang w:val="en-US"/>
        </w:rPr>
        <w:t>pneumosintes</w:t>
      </w:r>
      <w:r w:rsidRPr="00B70FB8">
        <w:rPr>
          <w:b/>
          <w:snapToGrid w:val="0"/>
          <w:spacing w:val="-16"/>
          <w:sz w:val="24"/>
          <w:szCs w:val="24"/>
          <w:lang w:val="uk-UA"/>
        </w:rPr>
        <w:t xml:space="preserve"> (2,1 %), </w:t>
      </w:r>
      <w:r w:rsidRPr="00A36307">
        <w:rPr>
          <w:b/>
          <w:i/>
          <w:snapToGrid w:val="0"/>
          <w:spacing w:val="-16"/>
          <w:sz w:val="24"/>
          <w:szCs w:val="24"/>
          <w:lang w:val="en-US"/>
        </w:rPr>
        <w:t>E</w:t>
      </w:r>
      <w:r w:rsidRPr="00B70FB8">
        <w:rPr>
          <w:b/>
          <w:i/>
          <w:snapToGrid w:val="0"/>
          <w:spacing w:val="-16"/>
          <w:sz w:val="24"/>
          <w:szCs w:val="24"/>
          <w:lang w:val="uk-UA"/>
        </w:rPr>
        <w:t xml:space="preserve">. </w:t>
      </w:r>
      <w:r w:rsidRPr="00A36307">
        <w:rPr>
          <w:b/>
          <w:i/>
          <w:snapToGrid w:val="0"/>
          <w:spacing w:val="-16"/>
          <w:sz w:val="24"/>
          <w:szCs w:val="24"/>
          <w:lang w:val="en-US"/>
        </w:rPr>
        <w:t>lenta</w:t>
      </w:r>
      <w:r w:rsidRPr="00B70FB8">
        <w:rPr>
          <w:b/>
          <w:snapToGrid w:val="0"/>
          <w:spacing w:val="-16"/>
          <w:sz w:val="24"/>
          <w:szCs w:val="24"/>
          <w:lang w:val="uk-UA"/>
        </w:rPr>
        <w:t xml:space="preserve"> (11,6 %), </w:t>
      </w:r>
      <w:r w:rsidRPr="00A36307">
        <w:rPr>
          <w:b/>
          <w:i/>
          <w:snapToGrid w:val="0"/>
          <w:spacing w:val="-16"/>
          <w:sz w:val="24"/>
          <w:szCs w:val="24"/>
          <w:lang w:val="en-US"/>
        </w:rPr>
        <w:t>E</w:t>
      </w:r>
      <w:r w:rsidRPr="00B70FB8">
        <w:rPr>
          <w:b/>
          <w:i/>
          <w:snapToGrid w:val="0"/>
          <w:spacing w:val="-16"/>
          <w:sz w:val="24"/>
          <w:szCs w:val="24"/>
          <w:lang w:val="uk-UA"/>
        </w:rPr>
        <w:t xml:space="preserve">. </w:t>
      </w:r>
      <w:r w:rsidRPr="00A36307">
        <w:rPr>
          <w:b/>
          <w:i/>
          <w:snapToGrid w:val="0"/>
          <w:spacing w:val="-16"/>
          <w:sz w:val="24"/>
          <w:szCs w:val="24"/>
          <w:lang w:val="en-US"/>
        </w:rPr>
        <w:t>tenue</w:t>
      </w:r>
      <w:r w:rsidRPr="00B70FB8">
        <w:rPr>
          <w:b/>
          <w:snapToGrid w:val="0"/>
          <w:spacing w:val="-16"/>
          <w:sz w:val="24"/>
          <w:szCs w:val="24"/>
          <w:lang w:val="uk-UA"/>
        </w:rPr>
        <w:t xml:space="preserve"> (3 %), </w:t>
      </w:r>
      <w:r w:rsidRPr="00A36307">
        <w:rPr>
          <w:b/>
          <w:i/>
          <w:snapToGrid w:val="0"/>
          <w:spacing w:val="-16"/>
          <w:sz w:val="24"/>
          <w:szCs w:val="24"/>
          <w:lang w:val="en-US"/>
        </w:rPr>
        <w:t>F</w:t>
      </w:r>
      <w:r w:rsidRPr="00B70FB8">
        <w:rPr>
          <w:b/>
          <w:i/>
          <w:snapToGrid w:val="0"/>
          <w:spacing w:val="-16"/>
          <w:sz w:val="24"/>
          <w:szCs w:val="24"/>
          <w:lang w:val="uk-UA"/>
        </w:rPr>
        <w:t xml:space="preserve">. </w:t>
      </w:r>
      <w:r w:rsidRPr="00A36307">
        <w:rPr>
          <w:b/>
          <w:i/>
          <w:snapToGrid w:val="0"/>
          <w:spacing w:val="-16"/>
          <w:sz w:val="24"/>
          <w:szCs w:val="24"/>
          <w:lang w:val="en-US"/>
        </w:rPr>
        <w:t>varium</w:t>
      </w:r>
      <w:r w:rsidRPr="00B70FB8">
        <w:rPr>
          <w:b/>
          <w:snapToGrid w:val="0"/>
          <w:spacing w:val="-16"/>
          <w:sz w:val="24"/>
          <w:szCs w:val="24"/>
          <w:lang w:val="uk-UA"/>
        </w:rPr>
        <w:t xml:space="preserve"> (2,6 %), </w:t>
      </w:r>
      <w:r w:rsidRPr="00A36307">
        <w:rPr>
          <w:b/>
          <w:i/>
          <w:snapToGrid w:val="0"/>
          <w:spacing w:val="-16"/>
          <w:sz w:val="24"/>
          <w:szCs w:val="24"/>
          <w:lang w:val="en-US"/>
        </w:rPr>
        <w:t>G</w:t>
      </w:r>
      <w:r w:rsidRPr="00B70FB8">
        <w:rPr>
          <w:b/>
          <w:i/>
          <w:snapToGrid w:val="0"/>
          <w:spacing w:val="-16"/>
          <w:sz w:val="24"/>
          <w:szCs w:val="24"/>
          <w:lang w:val="uk-UA"/>
        </w:rPr>
        <w:t xml:space="preserve">. </w:t>
      </w:r>
      <w:r w:rsidRPr="00A36307">
        <w:rPr>
          <w:b/>
          <w:i/>
          <w:snapToGrid w:val="0"/>
          <w:spacing w:val="-16"/>
          <w:sz w:val="24"/>
          <w:szCs w:val="24"/>
          <w:lang w:val="en-US"/>
        </w:rPr>
        <w:t>morbillorum</w:t>
      </w:r>
      <w:r w:rsidRPr="00B70FB8">
        <w:rPr>
          <w:b/>
          <w:snapToGrid w:val="0"/>
          <w:spacing w:val="-16"/>
          <w:sz w:val="24"/>
          <w:szCs w:val="24"/>
          <w:lang w:val="uk-UA"/>
        </w:rPr>
        <w:t xml:space="preserve"> (10,3 %), </w:t>
      </w:r>
      <w:r w:rsidRPr="00A36307">
        <w:rPr>
          <w:b/>
          <w:i/>
          <w:snapToGrid w:val="0"/>
          <w:spacing w:val="-16"/>
          <w:sz w:val="24"/>
          <w:szCs w:val="24"/>
          <w:lang w:val="en-US"/>
        </w:rPr>
        <w:t>L</w:t>
      </w:r>
      <w:r w:rsidRPr="00B70FB8">
        <w:rPr>
          <w:b/>
          <w:i/>
          <w:snapToGrid w:val="0"/>
          <w:spacing w:val="-16"/>
          <w:sz w:val="24"/>
          <w:szCs w:val="24"/>
          <w:lang w:val="uk-UA"/>
        </w:rPr>
        <w:t xml:space="preserve">. </w:t>
      </w:r>
      <w:r w:rsidRPr="00A36307">
        <w:rPr>
          <w:b/>
          <w:i/>
          <w:snapToGrid w:val="0"/>
          <w:spacing w:val="-16"/>
          <w:sz w:val="24"/>
          <w:szCs w:val="24"/>
          <w:lang w:val="en-US"/>
        </w:rPr>
        <w:t>catenaforme</w:t>
      </w:r>
      <w:r w:rsidRPr="00B70FB8">
        <w:rPr>
          <w:b/>
          <w:snapToGrid w:val="0"/>
          <w:spacing w:val="-16"/>
          <w:sz w:val="24"/>
          <w:szCs w:val="24"/>
          <w:lang w:val="uk-UA"/>
        </w:rPr>
        <w:t xml:space="preserve"> (2,1 %), </w:t>
      </w:r>
      <w:r w:rsidRPr="00A36307">
        <w:rPr>
          <w:b/>
          <w:i/>
          <w:snapToGrid w:val="0"/>
          <w:spacing w:val="-16"/>
          <w:sz w:val="24"/>
          <w:szCs w:val="24"/>
          <w:lang w:val="en-US"/>
        </w:rPr>
        <w:t>P</w:t>
      </w:r>
      <w:r w:rsidRPr="00B70FB8">
        <w:rPr>
          <w:b/>
          <w:i/>
          <w:snapToGrid w:val="0"/>
          <w:spacing w:val="-16"/>
          <w:sz w:val="24"/>
          <w:szCs w:val="24"/>
          <w:lang w:val="uk-UA"/>
        </w:rPr>
        <w:t xml:space="preserve">. </w:t>
      </w:r>
      <w:r w:rsidRPr="00A36307">
        <w:rPr>
          <w:b/>
          <w:i/>
          <w:snapToGrid w:val="0"/>
          <w:spacing w:val="-16"/>
          <w:sz w:val="24"/>
          <w:szCs w:val="24"/>
          <w:lang w:val="en-US"/>
        </w:rPr>
        <w:t>anaerobius</w:t>
      </w:r>
      <w:r w:rsidRPr="00B70FB8">
        <w:rPr>
          <w:b/>
          <w:snapToGrid w:val="0"/>
          <w:spacing w:val="-16"/>
          <w:sz w:val="24"/>
          <w:szCs w:val="24"/>
          <w:lang w:val="uk-UA"/>
        </w:rPr>
        <w:t xml:space="preserve"> (2,1 %), </w:t>
      </w:r>
      <w:r w:rsidRPr="00A36307">
        <w:rPr>
          <w:b/>
          <w:i/>
          <w:snapToGrid w:val="0"/>
          <w:spacing w:val="-16"/>
          <w:sz w:val="24"/>
          <w:szCs w:val="24"/>
          <w:lang w:val="en-US"/>
        </w:rPr>
        <w:t>P</w:t>
      </w:r>
      <w:r w:rsidRPr="00B70FB8">
        <w:rPr>
          <w:b/>
          <w:i/>
          <w:snapToGrid w:val="0"/>
          <w:spacing w:val="-16"/>
          <w:sz w:val="24"/>
          <w:szCs w:val="24"/>
          <w:lang w:val="uk-UA"/>
        </w:rPr>
        <w:t xml:space="preserve">. </w:t>
      </w:r>
      <w:r w:rsidRPr="00A36307">
        <w:rPr>
          <w:b/>
          <w:i/>
          <w:snapToGrid w:val="0"/>
          <w:spacing w:val="-16"/>
          <w:sz w:val="24"/>
          <w:szCs w:val="24"/>
          <w:lang w:val="en-US"/>
        </w:rPr>
        <w:t>arridum</w:t>
      </w:r>
      <w:r w:rsidRPr="00B70FB8">
        <w:rPr>
          <w:b/>
          <w:snapToGrid w:val="0"/>
          <w:spacing w:val="-16"/>
          <w:sz w:val="24"/>
          <w:szCs w:val="24"/>
          <w:lang w:val="uk-UA"/>
        </w:rPr>
        <w:t xml:space="preserve"> (1,3 %), </w:t>
      </w:r>
      <w:r w:rsidRPr="00A36307">
        <w:rPr>
          <w:b/>
          <w:i/>
          <w:snapToGrid w:val="0"/>
          <w:spacing w:val="-16"/>
          <w:sz w:val="24"/>
          <w:szCs w:val="24"/>
          <w:lang w:val="en-US"/>
        </w:rPr>
        <w:t>P</w:t>
      </w:r>
      <w:r w:rsidRPr="00B70FB8">
        <w:rPr>
          <w:b/>
          <w:i/>
          <w:snapToGrid w:val="0"/>
          <w:spacing w:val="-16"/>
          <w:sz w:val="24"/>
          <w:szCs w:val="24"/>
          <w:lang w:val="uk-UA"/>
        </w:rPr>
        <w:t xml:space="preserve">. </w:t>
      </w:r>
      <w:r w:rsidRPr="00A36307">
        <w:rPr>
          <w:b/>
          <w:i/>
          <w:snapToGrid w:val="0"/>
          <w:spacing w:val="-16"/>
          <w:sz w:val="24"/>
          <w:szCs w:val="24"/>
          <w:lang w:val="en-US"/>
        </w:rPr>
        <w:t>asaccharolyticus</w:t>
      </w:r>
      <w:r w:rsidRPr="00B70FB8">
        <w:rPr>
          <w:b/>
          <w:snapToGrid w:val="0"/>
          <w:spacing w:val="-16"/>
          <w:sz w:val="24"/>
          <w:szCs w:val="24"/>
          <w:lang w:val="uk-UA"/>
        </w:rPr>
        <w:t xml:space="preserve"> (5,6 %), </w:t>
      </w:r>
      <w:r w:rsidRPr="00A36307">
        <w:rPr>
          <w:b/>
          <w:i/>
          <w:snapToGrid w:val="0"/>
          <w:spacing w:val="-16"/>
          <w:sz w:val="24"/>
          <w:szCs w:val="24"/>
          <w:lang w:val="en-US"/>
        </w:rPr>
        <w:t>P</w:t>
      </w:r>
      <w:r w:rsidRPr="00B70FB8">
        <w:rPr>
          <w:b/>
          <w:i/>
          <w:snapToGrid w:val="0"/>
          <w:spacing w:val="-16"/>
          <w:sz w:val="24"/>
          <w:szCs w:val="24"/>
          <w:lang w:val="uk-UA"/>
        </w:rPr>
        <w:t xml:space="preserve">. </w:t>
      </w:r>
      <w:r w:rsidRPr="00A36307">
        <w:rPr>
          <w:b/>
          <w:i/>
          <w:snapToGrid w:val="0"/>
          <w:spacing w:val="-16"/>
          <w:sz w:val="24"/>
          <w:szCs w:val="24"/>
          <w:lang w:val="en-US"/>
        </w:rPr>
        <w:t>magnus</w:t>
      </w:r>
      <w:r w:rsidRPr="00B70FB8">
        <w:rPr>
          <w:b/>
          <w:snapToGrid w:val="0"/>
          <w:spacing w:val="-16"/>
          <w:sz w:val="24"/>
          <w:szCs w:val="24"/>
          <w:lang w:val="uk-UA"/>
        </w:rPr>
        <w:t xml:space="preserve"> (4,3 %), </w:t>
      </w:r>
      <w:r w:rsidRPr="00A36307">
        <w:rPr>
          <w:b/>
          <w:i/>
          <w:snapToGrid w:val="0"/>
          <w:spacing w:val="-16"/>
          <w:sz w:val="24"/>
          <w:szCs w:val="24"/>
          <w:lang w:val="en-US"/>
        </w:rPr>
        <w:t>P</w:t>
      </w:r>
      <w:r w:rsidRPr="00B70FB8">
        <w:rPr>
          <w:b/>
          <w:i/>
          <w:snapToGrid w:val="0"/>
          <w:spacing w:val="-16"/>
          <w:sz w:val="24"/>
          <w:szCs w:val="24"/>
          <w:lang w:val="uk-UA"/>
        </w:rPr>
        <w:t xml:space="preserve">. </w:t>
      </w:r>
      <w:r w:rsidRPr="00A36307">
        <w:rPr>
          <w:b/>
          <w:i/>
          <w:snapToGrid w:val="0"/>
          <w:spacing w:val="-16"/>
          <w:sz w:val="24"/>
          <w:szCs w:val="24"/>
          <w:lang w:val="en-US"/>
        </w:rPr>
        <w:t>melaninogenica</w:t>
      </w:r>
      <w:r w:rsidRPr="00B70FB8">
        <w:rPr>
          <w:b/>
          <w:snapToGrid w:val="0"/>
          <w:spacing w:val="-16"/>
          <w:sz w:val="24"/>
          <w:szCs w:val="24"/>
          <w:lang w:val="uk-UA"/>
        </w:rPr>
        <w:t xml:space="preserve"> (3 %), </w:t>
      </w:r>
      <w:r w:rsidRPr="00A36307">
        <w:rPr>
          <w:b/>
          <w:i/>
          <w:snapToGrid w:val="0"/>
          <w:spacing w:val="-16"/>
          <w:sz w:val="24"/>
          <w:szCs w:val="24"/>
          <w:lang w:val="en-US"/>
        </w:rPr>
        <w:t>S</w:t>
      </w:r>
      <w:r w:rsidRPr="00B70FB8">
        <w:rPr>
          <w:b/>
          <w:i/>
          <w:snapToGrid w:val="0"/>
          <w:spacing w:val="-16"/>
          <w:sz w:val="24"/>
          <w:szCs w:val="24"/>
          <w:lang w:val="uk-UA"/>
        </w:rPr>
        <w:t xml:space="preserve">. </w:t>
      </w:r>
      <w:r w:rsidRPr="00A36307">
        <w:rPr>
          <w:b/>
          <w:i/>
          <w:snapToGrid w:val="0"/>
          <w:spacing w:val="-16"/>
          <w:sz w:val="24"/>
          <w:szCs w:val="24"/>
          <w:lang w:val="en-US"/>
        </w:rPr>
        <w:t>hansenii</w:t>
      </w:r>
      <w:r w:rsidRPr="00B70FB8">
        <w:rPr>
          <w:b/>
          <w:snapToGrid w:val="0"/>
          <w:spacing w:val="-16"/>
          <w:sz w:val="24"/>
          <w:szCs w:val="24"/>
          <w:lang w:val="uk-UA"/>
        </w:rPr>
        <w:t xml:space="preserve"> (2,6 %), </w:t>
      </w:r>
      <w:r w:rsidRPr="00A36307">
        <w:rPr>
          <w:b/>
          <w:i/>
          <w:snapToGrid w:val="0"/>
          <w:spacing w:val="-16"/>
          <w:sz w:val="24"/>
          <w:szCs w:val="24"/>
          <w:lang w:val="en-US"/>
        </w:rPr>
        <w:t>T</w:t>
      </w:r>
      <w:r w:rsidRPr="00B70FB8">
        <w:rPr>
          <w:b/>
          <w:i/>
          <w:snapToGrid w:val="0"/>
          <w:spacing w:val="-16"/>
          <w:sz w:val="24"/>
          <w:szCs w:val="24"/>
          <w:lang w:val="uk-UA"/>
        </w:rPr>
        <w:t xml:space="preserve">. </w:t>
      </w:r>
      <w:r w:rsidRPr="00A36307">
        <w:rPr>
          <w:b/>
          <w:i/>
          <w:snapToGrid w:val="0"/>
          <w:spacing w:val="-16"/>
          <w:sz w:val="24"/>
          <w:szCs w:val="24"/>
          <w:lang w:val="en-US"/>
        </w:rPr>
        <w:t>praeacuta</w:t>
      </w:r>
      <w:r w:rsidRPr="00B70FB8">
        <w:rPr>
          <w:b/>
          <w:snapToGrid w:val="0"/>
          <w:spacing w:val="-16"/>
          <w:sz w:val="24"/>
          <w:szCs w:val="24"/>
          <w:lang w:val="uk-UA"/>
        </w:rPr>
        <w:t xml:space="preserve"> (3,9 %), </w:t>
      </w:r>
      <w:r w:rsidRPr="00A36307">
        <w:rPr>
          <w:b/>
          <w:i/>
          <w:snapToGrid w:val="0"/>
          <w:spacing w:val="-16"/>
          <w:sz w:val="24"/>
          <w:szCs w:val="24"/>
          <w:lang w:val="en-US"/>
        </w:rPr>
        <w:t>V</w:t>
      </w:r>
      <w:r w:rsidRPr="00B70FB8">
        <w:rPr>
          <w:b/>
          <w:i/>
          <w:snapToGrid w:val="0"/>
          <w:spacing w:val="-16"/>
          <w:sz w:val="24"/>
          <w:szCs w:val="24"/>
          <w:lang w:val="uk-UA"/>
        </w:rPr>
        <w:t xml:space="preserve">. </w:t>
      </w:r>
      <w:r w:rsidRPr="00A36307">
        <w:rPr>
          <w:b/>
          <w:i/>
          <w:snapToGrid w:val="0"/>
          <w:spacing w:val="-16"/>
          <w:sz w:val="24"/>
          <w:szCs w:val="24"/>
          <w:lang w:val="en-US"/>
        </w:rPr>
        <w:t>alcalescens</w:t>
      </w:r>
      <w:r w:rsidRPr="00B70FB8">
        <w:rPr>
          <w:b/>
          <w:snapToGrid w:val="0"/>
          <w:spacing w:val="-16"/>
          <w:sz w:val="24"/>
          <w:szCs w:val="24"/>
          <w:lang w:val="uk-UA"/>
        </w:rPr>
        <w:t xml:space="preserve"> (1,3 %) и </w:t>
      </w:r>
      <w:r w:rsidRPr="00A36307">
        <w:rPr>
          <w:b/>
          <w:i/>
          <w:snapToGrid w:val="0"/>
          <w:spacing w:val="-16"/>
          <w:sz w:val="24"/>
          <w:szCs w:val="24"/>
          <w:lang w:val="en-US"/>
        </w:rPr>
        <w:t>V</w:t>
      </w:r>
      <w:r w:rsidRPr="00B70FB8">
        <w:rPr>
          <w:b/>
          <w:i/>
          <w:snapToGrid w:val="0"/>
          <w:spacing w:val="-16"/>
          <w:sz w:val="24"/>
          <w:szCs w:val="24"/>
          <w:lang w:val="uk-UA"/>
        </w:rPr>
        <w:t xml:space="preserve">. </w:t>
      </w:r>
      <w:r w:rsidRPr="00A36307">
        <w:rPr>
          <w:b/>
          <w:i/>
          <w:snapToGrid w:val="0"/>
          <w:spacing w:val="-16"/>
          <w:sz w:val="24"/>
          <w:szCs w:val="24"/>
          <w:lang w:val="en-US"/>
        </w:rPr>
        <w:t>parvula</w:t>
      </w:r>
      <w:r w:rsidRPr="00B70FB8">
        <w:rPr>
          <w:b/>
          <w:snapToGrid w:val="0"/>
          <w:spacing w:val="-16"/>
          <w:sz w:val="24"/>
          <w:szCs w:val="24"/>
          <w:lang w:val="uk-UA"/>
        </w:rPr>
        <w:t xml:space="preserve"> (1,7 %). У 61,3 </w:t>
      </w:r>
      <w:r w:rsidRPr="00486081">
        <w:rPr>
          <w:b/>
          <w:snapToGrid w:val="0"/>
          <w:spacing w:val="-16"/>
          <w:sz w:val="24"/>
          <w:szCs w:val="24"/>
          <w:lang w:val="uk-UA"/>
        </w:rPr>
        <w:t>% випадків хронічний періодонтит є моноінфекцією, в 38,7 % - змішаною інфекцією. Етіологічні агенти хронічн</w:t>
      </w:r>
      <w:r w:rsidRPr="00486081">
        <w:rPr>
          <w:b/>
          <w:snapToGrid w:val="0"/>
          <w:spacing w:val="-16"/>
          <w:sz w:val="24"/>
          <w:szCs w:val="24"/>
          <w:lang w:val="uk-UA"/>
        </w:rPr>
        <w:t>о</w:t>
      </w:r>
      <w:r w:rsidRPr="00486081">
        <w:rPr>
          <w:b/>
          <w:snapToGrid w:val="0"/>
          <w:spacing w:val="-16"/>
          <w:sz w:val="24"/>
          <w:szCs w:val="24"/>
          <w:lang w:val="uk-UA"/>
        </w:rPr>
        <w:t xml:space="preserve">го періодонтиту мають імуносупресивні властивості, які мають прояв у здатності специфічно взаємодіяти з комплементом, зв’язувати лізоцим та руйнувати </w:t>
      </w:r>
      <w:r w:rsidRPr="00A36307">
        <w:rPr>
          <w:b/>
          <w:snapToGrid w:val="0"/>
          <w:spacing w:val="-16"/>
          <w:sz w:val="24"/>
          <w:szCs w:val="24"/>
        </w:rPr>
        <w:t>Ig</w:t>
      </w:r>
      <w:r w:rsidRPr="00B70FB8">
        <w:rPr>
          <w:b/>
          <w:snapToGrid w:val="0"/>
          <w:spacing w:val="-16"/>
          <w:sz w:val="24"/>
          <w:szCs w:val="24"/>
          <w:lang w:val="uk-UA"/>
        </w:rPr>
        <w:t xml:space="preserve"> А, </w:t>
      </w:r>
      <w:r w:rsidRPr="00A36307">
        <w:rPr>
          <w:b/>
          <w:snapToGrid w:val="0"/>
          <w:spacing w:val="-16"/>
          <w:sz w:val="24"/>
          <w:szCs w:val="24"/>
        </w:rPr>
        <w:t>Ig</w:t>
      </w:r>
      <w:r w:rsidRPr="00B70FB8">
        <w:rPr>
          <w:b/>
          <w:snapToGrid w:val="0"/>
          <w:spacing w:val="-16"/>
          <w:sz w:val="24"/>
          <w:szCs w:val="24"/>
          <w:lang w:val="uk-UA"/>
        </w:rPr>
        <w:t xml:space="preserve"> </w:t>
      </w:r>
      <w:r w:rsidRPr="00A36307">
        <w:rPr>
          <w:b/>
          <w:snapToGrid w:val="0"/>
          <w:spacing w:val="-16"/>
          <w:sz w:val="24"/>
          <w:szCs w:val="24"/>
        </w:rPr>
        <w:t>M</w:t>
      </w:r>
      <w:r w:rsidRPr="00B70FB8">
        <w:rPr>
          <w:b/>
          <w:snapToGrid w:val="0"/>
          <w:spacing w:val="-16"/>
          <w:sz w:val="24"/>
          <w:szCs w:val="24"/>
          <w:lang w:val="uk-UA"/>
        </w:rPr>
        <w:t xml:space="preserve"> та </w:t>
      </w:r>
      <w:r w:rsidRPr="00A36307">
        <w:rPr>
          <w:b/>
          <w:snapToGrid w:val="0"/>
          <w:spacing w:val="-16"/>
          <w:sz w:val="24"/>
          <w:szCs w:val="24"/>
        </w:rPr>
        <w:t>Ig</w:t>
      </w:r>
      <w:r w:rsidRPr="00B70FB8">
        <w:rPr>
          <w:b/>
          <w:snapToGrid w:val="0"/>
          <w:spacing w:val="-16"/>
          <w:sz w:val="24"/>
          <w:szCs w:val="24"/>
          <w:lang w:val="uk-UA"/>
        </w:rPr>
        <w:t xml:space="preserve"> </w:t>
      </w:r>
      <w:r w:rsidRPr="00A36307">
        <w:rPr>
          <w:b/>
          <w:snapToGrid w:val="0"/>
          <w:spacing w:val="-16"/>
          <w:sz w:val="24"/>
          <w:szCs w:val="24"/>
        </w:rPr>
        <w:t>G</w:t>
      </w:r>
      <w:r w:rsidRPr="00486081">
        <w:rPr>
          <w:b/>
          <w:snapToGrid w:val="0"/>
          <w:spacing w:val="-16"/>
          <w:sz w:val="24"/>
          <w:szCs w:val="24"/>
          <w:lang w:val="uk-UA"/>
        </w:rPr>
        <w:t>, та найбільш виражені у</w:t>
      </w:r>
      <w:r w:rsidRPr="00B70FB8">
        <w:rPr>
          <w:b/>
          <w:snapToGrid w:val="0"/>
          <w:spacing w:val="-16"/>
          <w:sz w:val="24"/>
          <w:szCs w:val="24"/>
          <w:lang w:val="uk-UA"/>
        </w:rPr>
        <w:t xml:space="preserve"> </w:t>
      </w:r>
      <w:r w:rsidRPr="00A36307">
        <w:rPr>
          <w:b/>
          <w:i/>
          <w:snapToGrid w:val="0"/>
          <w:spacing w:val="-16"/>
          <w:sz w:val="24"/>
          <w:szCs w:val="24"/>
        </w:rPr>
        <w:t>G</w:t>
      </w:r>
      <w:r w:rsidRPr="00B70FB8">
        <w:rPr>
          <w:b/>
          <w:i/>
          <w:snapToGrid w:val="0"/>
          <w:spacing w:val="-16"/>
          <w:sz w:val="24"/>
          <w:szCs w:val="24"/>
          <w:lang w:val="uk-UA"/>
        </w:rPr>
        <w:t xml:space="preserve">. </w:t>
      </w:r>
      <w:r w:rsidRPr="00A36307">
        <w:rPr>
          <w:b/>
          <w:i/>
          <w:snapToGrid w:val="0"/>
          <w:spacing w:val="-16"/>
          <w:sz w:val="24"/>
          <w:szCs w:val="24"/>
        </w:rPr>
        <w:t>morbillorum</w:t>
      </w:r>
      <w:r w:rsidRPr="00B70FB8">
        <w:rPr>
          <w:b/>
          <w:i/>
          <w:snapToGrid w:val="0"/>
          <w:spacing w:val="-16"/>
          <w:sz w:val="24"/>
          <w:szCs w:val="24"/>
          <w:lang w:val="uk-UA"/>
        </w:rPr>
        <w:t xml:space="preserve">, </w:t>
      </w:r>
      <w:r w:rsidRPr="00A36307">
        <w:rPr>
          <w:b/>
          <w:i/>
          <w:snapToGrid w:val="0"/>
          <w:spacing w:val="-16"/>
          <w:sz w:val="24"/>
          <w:szCs w:val="24"/>
        </w:rPr>
        <w:t>D</w:t>
      </w:r>
      <w:r w:rsidRPr="00B70FB8">
        <w:rPr>
          <w:b/>
          <w:i/>
          <w:snapToGrid w:val="0"/>
          <w:spacing w:val="-16"/>
          <w:sz w:val="24"/>
          <w:szCs w:val="24"/>
          <w:lang w:val="uk-UA"/>
        </w:rPr>
        <w:t xml:space="preserve">. </w:t>
      </w:r>
      <w:r w:rsidRPr="00A36307">
        <w:rPr>
          <w:b/>
          <w:i/>
          <w:snapToGrid w:val="0"/>
          <w:spacing w:val="-16"/>
          <w:sz w:val="24"/>
          <w:szCs w:val="24"/>
        </w:rPr>
        <w:t>nodosus</w:t>
      </w:r>
      <w:r w:rsidRPr="00B70FB8">
        <w:rPr>
          <w:b/>
          <w:i/>
          <w:snapToGrid w:val="0"/>
          <w:spacing w:val="-16"/>
          <w:sz w:val="24"/>
          <w:szCs w:val="24"/>
          <w:lang w:val="uk-UA"/>
        </w:rPr>
        <w:t xml:space="preserve">, </w:t>
      </w:r>
      <w:r w:rsidRPr="00A36307">
        <w:rPr>
          <w:b/>
          <w:i/>
          <w:snapToGrid w:val="0"/>
          <w:spacing w:val="-16"/>
          <w:sz w:val="24"/>
          <w:szCs w:val="24"/>
        </w:rPr>
        <w:t>A</w:t>
      </w:r>
      <w:r w:rsidRPr="00B70FB8">
        <w:rPr>
          <w:b/>
          <w:i/>
          <w:snapToGrid w:val="0"/>
          <w:spacing w:val="-16"/>
          <w:sz w:val="24"/>
          <w:szCs w:val="24"/>
          <w:lang w:val="uk-UA"/>
        </w:rPr>
        <w:t xml:space="preserve">. </w:t>
      </w:r>
      <w:r w:rsidRPr="00A36307">
        <w:rPr>
          <w:b/>
          <w:i/>
          <w:snapToGrid w:val="0"/>
          <w:spacing w:val="-16"/>
          <w:sz w:val="24"/>
          <w:szCs w:val="24"/>
        </w:rPr>
        <w:t>fermentans</w:t>
      </w:r>
      <w:r w:rsidRPr="00486081">
        <w:rPr>
          <w:b/>
          <w:snapToGrid w:val="0"/>
          <w:spacing w:val="-16"/>
          <w:sz w:val="24"/>
          <w:szCs w:val="24"/>
          <w:lang w:val="uk-UA"/>
        </w:rPr>
        <w:t xml:space="preserve"> і </w:t>
      </w:r>
      <w:r w:rsidRPr="00A36307">
        <w:rPr>
          <w:b/>
          <w:i/>
          <w:snapToGrid w:val="0"/>
          <w:spacing w:val="-16"/>
          <w:sz w:val="24"/>
          <w:szCs w:val="24"/>
        </w:rPr>
        <w:t>E</w:t>
      </w:r>
      <w:r w:rsidRPr="00B70FB8">
        <w:rPr>
          <w:b/>
          <w:i/>
          <w:snapToGrid w:val="0"/>
          <w:spacing w:val="-16"/>
          <w:sz w:val="24"/>
          <w:szCs w:val="24"/>
          <w:lang w:val="uk-UA"/>
        </w:rPr>
        <w:t xml:space="preserve">. </w:t>
      </w:r>
      <w:r w:rsidRPr="00A36307">
        <w:rPr>
          <w:b/>
          <w:i/>
          <w:snapToGrid w:val="0"/>
          <w:spacing w:val="-16"/>
          <w:sz w:val="24"/>
          <w:szCs w:val="24"/>
        </w:rPr>
        <w:t>lenta</w:t>
      </w:r>
      <w:r w:rsidRPr="00486081">
        <w:rPr>
          <w:b/>
          <w:snapToGrid w:val="0"/>
          <w:spacing w:val="-16"/>
          <w:sz w:val="24"/>
          <w:szCs w:val="24"/>
          <w:lang w:val="uk-UA"/>
        </w:rPr>
        <w:t xml:space="preserve">. </w:t>
      </w:r>
      <w:r w:rsidRPr="00A36307">
        <w:rPr>
          <w:b/>
          <w:snapToGrid w:val="0"/>
          <w:spacing w:val="-16"/>
          <w:sz w:val="24"/>
          <w:szCs w:val="24"/>
        </w:rPr>
        <w:t>Етіологічні агенти хронічного періодонтиту чутливі до ампіциліну в 55,4 % випадків, до г</w:t>
      </w:r>
      <w:r w:rsidRPr="00A36307">
        <w:rPr>
          <w:b/>
          <w:snapToGrid w:val="0"/>
          <w:spacing w:val="-16"/>
          <w:sz w:val="24"/>
          <w:szCs w:val="24"/>
        </w:rPr>
        <w:t>е</w:t>
      </w:r>
      <w:r w:rsidRPr="00A36307">
        <w:rPr>
          <w:b/>
          <w:snapToGrid w:val="0"/>
          <w:spacing w:val="-16"/>
          <w:sz w:val="24"/>
          <w:szCs w:val="24"/>
        </w:rPr>
        <w:t>нтаміцину – в 67 %, до тетрацикліну – в 33 %, до еритроміцину – в 49,4 %, до лінкоміцину – в 64,8 %, до ріфампіцину – в 84,5 %, до метронідазолу – в 94,4 % в</w:t>
      </w:r>
      <w:r w:rsidRPr="00A36307">
        <w:rPr>
          <w:b/>
          <w:snapToGrid w:val="0"/>
          <w:spacing w:val="-16"/>
          <w:sz w:val="24"/>
          <w:szCs w:val="24"/>
        </w:rPr>
        <w:t>и</w:t>
      </w:r>
      <w:r w:rsidRPr="00A36307">
        <w:rPr>
          <w:b/>
          <w:snapToGrid w:val="0"/>
          <w:spacing w:val="-16"/>
          <w:sz w:val="24"/>
          <w:szCs w:val="24"/>
        </w:rPr>
        <w:t xml:space="preserve">падків. </w:t>
      </w:r>
    </w:p>
    <w:p w:rsidR="00486081" w:rsidRPr="00A36307" w:rsidRDefault="00486081" w:rsidP="00E46795">
      <w:pPr>
        <w:numPr>
          <w:ilvl w:val="0"/>
          <w:numId w:val="68"/>
        </w:numPr>
        <w:suppressAutoHyphens w:val="0"/>
        <w:jc w:val="both"/>
        <w:rPr>
          <w:snapToGrid w:val="0"/>
          <w:spacing w:val="-16"/>
        </w:rPr>
      </w:pPr>
      <w:r w:rsidRPr="00A36307">
        <w:rPr>
          <w:snapToGrid w:val="0"/>
          <w:spacing w:val="-16"/>
        </w:rPr>
        <w:t>Імунний статус пацієнтів з хронічним періодонтитом характеризуєт</w:t>
      </w:r>
      <w:r w:rsidRPr="00A36307">
        <w:rPr>
          <w:snapToGrid w:val="0"/>
          <w:spacing w:val="-16"/>
        </w:rPr>
        <w:t>ь</w:t>
      </w:r>
      <w:r w:rsidRPr="00A36307">
        <w:rPr>
          <w:snapToGrid w:val="0"/>
          <w:spacing w:val="-16"/>
        </w:rPr>
        <w:t>ся розвитком Т-лімфопенії при збільшенні вмісту В-клітин та природних кілерів, формуванням відносного гіперсупресорного варіанта імунодефіциту, зниженням фагоцитарної активності нейтрофілів пер</w:t>
      </w:r>
      <w:r w:rsidRPr="00A36307">
        <w:rPr>
          <w:snapToGrid w:val="0"/>
          <w:spacing w:val="-16"/>
        </w:rPr>
        <w:t>и</w:t>
      </w:r>
      <w:r w:rsidRPr="00A36307">
        <w:rPr>
          <w:snapToGrid w:val="0"/>
          <w:spacing w:val="-16"/>
        </w:rPr>
        <w:t xml:space="preserve">ферійної крові, посиленням імунокомплексних реакцій за рахунок збільшення найбільш патогенних середніх та дрібних ЦІК, </w:t>
      </w:r>
      <w:r w:rsidRPr="00A36307">
        <w:rPr>
          <w:snapToGrid w:val="0"/>
          <w:spacing w:val="-16"/>
        </w:rPr>
        <w:lastRenderedPageBreak/>
        <w:t>дисімуноглобулінемією, а також низькими титрами специфічних антитіл відносно до еті</w:t>
      </w:r>
      <w:r w:rsidRPr="00A36307">
        <w:rPr>
          <w:snapToGrid w:val="0"/>
          <w:spacing w:val="-16"/>
        </w:rPr>
        <w:t>о</w:t>
      </w:r>
      <w:r w:rsidRPr="00A36307">
        <w:rPr>
          <w:snapToGrid w:val="0"/>
          <w:spacing w:val="-16"/>
        </w:rPr>
        <w:t>логічних агентів захворювання.</w:t>
      </w:r>
    </w:p>
    <w:p w:rsidR="00486081" w:rsidRPr="00A36307" w:rsidRDefault="00486081" w:rsidP="00E46795">
      <w:pPr>
        <w:numPr>
          <w:ilvl w:val="0"/>
          <w:numId w:val="68"/>
        </w:numPr>
        <w:suppressAutoHyphens w:val="0"/>
        <w:jc w:val="both"/>
        <w:rPr>
          <w:snapToGrid w:val="0"/>
          <w:spacing w:val="-16"/>
        </w:rPr>
      </w:pPr>
      <w:r w:rsidRPr="00A36307">
        <w:rPr>
          <w:snapToGrid w:val="0"/>
          <w:spacing w:val="-16"/>
        </w:rPr>
        <w:t>Загострення хронічного періодонтиту супроводжується збільшенням в сироватці крові метаболітів ПОЛ – ДК та МДА, концентрації ПГЕ2 та активності ферментів системи АОЗ – каталази та СОД. В нейтрофілах та мон</w:t>
      </w:r>
      <w:r w:rsidRPr="00A36307">
        <w:rPr>
          <w:snapToGrid w:val="0"/>
          <w:spacing w:val="-16"/>
        </w:rPr>
        <w:t>о</w:t>
      </w:r>
      <w:r w:rsidRPr="00A36307">
        <w:rPr>
          <w:snapToGrid w:val="0"/>
          <w:spacing w:val="-16"/>
        </w:rPr>
        <w:t>цитах периферійної крові хворих на хронічний періодонтит має місце збільшення вмісту ДК та МДА при те</w:t>
      </w:r>
      <w:r w:rsidRPr="00A36307">
        <w:rPr>
          <w:snapToGrid w:val="0"/>
          <w:spacing w:val="-16"/>
        </w:rPr>
        <w:t>н</w:t>
      </w:r>
      <w:r w:rsidRPr="00A36307">
        <w:rPr>
          <w:snapToGrid w:val="0"/>
          <w:spacing w:val="-16"/>
        </w:rPr>
        <w:t xml:space="preserve">денції до збільшення активності каталази та СОД. Безпосередній контакт нейтрофілів та моноцитів </w:t>
      </w:r>
      <w:r w:rsidRPr="00A36307">
        <w:rPr>
          <w:snapToGrid w:val="0"/>
          <w:spacing w:val="-16"/>
          <w:lang w:val="en-US"/>
        </w:rPr>
        <w:t>in</w:t>
      </w:r>
      <w:r w:rsidRPr="00B70FB8">
        <w:rPr>
          <w:snapToGrid w:val="0"/>
          <w:spacing w:val="-16"/>
          <w:lang w:val="uk-UA"/>
        </w:rPr>
        <w:t xml:space="preserve"> </w:t>
      </w:r>
      <w:r w:rsidRPr="00A36307">
        <w:rPr>
          <w:snapToGrid w:val="0"/>
          <w:spacing w:val="-16"/>
          <w:lang w:val="en-US"/>
        </w:rPr>
        <w:t>vitro</w:t>
      </w:r>
      <w:r w:rsidRPr="00B70FB8">
        <w:rPr>
          <w:snapToGrid w:val="0"/>
          <w:spacing w:val="-16"/>
          <w:lang w:val="uk-UA"/>
        </w:rPr>
        <w:t xml:space="preserve"> </w:t>
      </w:r>
      <w:r w:rsidRPr="00A36307">
        <w:rPr>
          <w:snapToGrid w:val="0"/>
          <w:spacing w:val="-16"/>
        </w:rPr>
        <w:t xml:space="preserve">з ПГН </w:t>
      </w:r>
      <w:r w:rsidRPr="00A36307">
        <w:rPr>
          <w:i/>
          <w:snapToGrid w:val="0"/>
          <w:spacing w:val="-16"/>
        </w:rPr>
        <w:t>E</w:t>
      </w:r>
      <w:r w:rsidRPr="00B70FB8">
        <w:rPr>
          <w:i/>
          <w:snapToGrid w:val="0"/>
          <w:spacing w:val="-16"/>
          <w:lang w:val="uk-UA"/>
        </w:rPr>
        <w:t xml:space="preserve">. </w:t>
      </w:r>
      <w:r w:rsidRPr="00A36307">
        <w:rPr>
          <w:i/>
          <w:snapToGrid w:val="0"/>
          <w:spacing w:val="-16"/>
        </w:rPr>
        <w:t>lenta</w:t>
      </w:r>
      <w:r w:rsidRPr="00B70FB8">
        <w:rPr>
          <w:snapToGrid w:val="0"/>
          <w:spacing w:val="-16"/>
          <w:lang w:val="uk-UA"/>
        </w:rPr>
        <w:t xml:space="preserve"> </w:t>
      </w:r>
      <w:r w:rsidRPr="00A36307">
        <w:rPr>
          <w:snapToGrid w:val="0"/>
          <w:spacing w:val="-16"/>
        </w:rPr>
        <w:t xml:space="preserve">та ЛПС </w:t>
      </w:r>
      <w:r w:rsidRPr="00A36307">
        <w:rPr>
          <w:i/>
          <w:snapToGrid w:val="0"/>
          <w:spacing w:val="-16"/>
        </w:rPr>
        <w:t>A</w:t>
      </w:r>
      <w:r w:rsidRPr="00B70FB8">
        <w:rPr>
          <w:i/>
          <w:snapToGrid w:val="0"/>
          <w:spacing w:val="-16"/>
          <w:lang w:val="uk-UA"/>
        </w:rPr>
        <w:t xml:space="preserve">. </w:t>
      </w:r>
      <w:r w:rsidRPr="00A36307">
        <w:rPr>
          <w:i/>
          <w:snapToGrid w:val="0"/>
          <w:spacing w:val="-16"/>
        </w:rPr>
        <w:t>fermentans</w:t>
      </w:r>
      <w:r w:rsidRPr="00B70FB8">
        <w:rPr>
          <w:snapToGrid w:val="0"/>
          <w:spacing w:val="-16"/>
          <w:lang w:val="uk-UA"/>
        </w:rPr>
        <w:t xml:space="preserve"> </w:t>
      </w:r>
      <w:r w:rsidRPr="00A36307">
        <w:rPr>
          <w:snapToGrid w:val="0"/>
          <w:spacing w:val="-16"/>
        </w:rPr>
        <w:t>викликає активацію ПОЛ та зменшення активності каталази та СОД в даних клітинах.</w:t>
      </w:r>
    </w:p>
    <w:p w:rsidR="00486081" w:rsidRPr="00A36307" w:rsidRDefault="00486081" w:rsidP="00E46795">
      <w:pPr>
        <w:numPr>
          <w:ilvl w:val="0"/>
          <w:numId w:val="68"/>
        </w:numPr>
        <w:suppressAutoHyphens w:val="0"/>
        <w:jc w:val="both"/>
        <w:rPr>
          <w:snapToGrid w:val="0"/>
          <w:spacing w:val="-16"/>
        </w:rPr>
      </w:pPr>
      <w:r w:rsidRPr="00A36307">
        <w:rPr>
          <w:snapToGrid w:val="0"/>
          <w:spacing w:val="-16"/>
        </w:rPr>
        <w:t>Трьохетапний спосіб лікування хворих на хронічний періодонтит з в</w:t>
      </w:r>
      <w:r w:rsidRPr="00A36307">
        <w:rPr>
          <w:snapToGrid w:val="0"/>
          <w:spacing w:val="-16"/>
        </w:rPr>
        <w:t>и</w:t>
      </w:r>
      <w:r w:rsidRPr="00A36307">
        <w:rPr>
          <w:snapToGrid w:val="0"/>
          <w:spacing w:val="-16"/>
        </w:rPr>
        <w:t>користанням композиції для тимчасового пломбування кореневих каналів зубів, яка містить метронідазол, вітамін Е, барію сульфат та уль</w:t>
      </w:r>
      <w:r w:rsidRPr="00A36307">
        <w:rPr>
          <w:snapToGrid w:val="0"/>
          <w:spacing w:val="-16"/>
        </w:rPr>
        <w:t>т</w:t>
      </w:r>
      <w:r w:rsidRPr="00A36307">
        <w:rPr>
          <w:snapToGrid w:val="0"/>
          <w:spacing w:val="-16"/>
        </w:rPr>
        <w:t>радисперсний гідрокисапатит, легований сріблом, має суттєвий антибактерійний ефект, імунокоригуючу та антиокислювальну дію, та в 2-5 раз знижує частоту розвитку загострень захворювання протягом 2 р</w:t>
      </w:r>
      <w:r w:rsidRPr="00A36307">
        <w:rPr>
          <w:snapToGrid w:val="0"/>
          <w:spacing w:val="-16"/>
        </w:rPr>
        <w:t>о</w:t>
      </w:r>
      <w:r w:rsidRPr="00A36307">
        <w:rPr>
          <w:snapToGrid w:val="0"/>
          <w:spacing w:val="-16"/>
        </w:rPr>
        <w:t>ків.</w:t>
      </w:r>
    </w:p>
    <w:p w:rsidR="00486081" w:rsidRPr="00A36307" w:rsidRDefault="00486081" w:rsidP="00486081">
      <w:pPr>
        <w:jc w:val="center"/>
        <w:rPr>
          <w:b/>
          <w:snapToGrid w:val="0"/>
          <w:spacing w:val="-16"/>
        </w:rPr>
      </w:pPr>
      <w:r w:rsidRPr="00A36307">
        <w:rPr>
          <w:b/>
          <w:snapToGrid w:val="0"/>
          <w:spacing w:val="-16"/>
        </w:rPr>
        <w:t>ПРАКТИЧНІ РЕКОМЕНДАЦІЇ</w:t>
      </w:r>
    </w:p>
    <w:p w:rsidR="00486081" w:rsidRPr="00A36307" w:rsidRDefault="00486081" w:rsidP="00E46795">
      <w:pPr>
        <w:numPr>
          <w:ilvl w:val="0"/>
          <w:numId w:val="69"/>
        </w:numPr>
        <w:tabs>
          <w:tab w:val="clear" w:pos="1080"/>
          <w:tab w:val="num" w:pos="360"/>
        </w:tabs>
        <w:suppressAutoHyphens w:val="0"/>
        <w:ind w:left="360"/>
        <w:jc w:val="both"/>
        <w:rPr>
          <w:spacing w:val="-16"/>
        </w:rPr>
      </w:pPr>
      <w:r w:rsidRPr="00A36307">
        <w:rPr>
          <w:spacing w:val="-16"/>
        </w:rPr>
        <w:t>При лікуванні хронічного гранулюючого періодонтиту тимчасове плобування кореневих каналів зубів реком</w:t>
      </w:r>
      <w:r w:rsidRPr="00A36307">
        <w:rPr>
          <w:spacing w:val="-16"/>
        </w:rPr>
        <w:t>е</w:t>
      </w:r>
      <w:r w:rsidRPr="00A36307">
        <w:rPr>
          <w:spacing w:val="-16"/>
        </w:rPr>
        <w:t>ндуємо проводити композицією, яка містить (у масових %): масляний розчин вітаміну Е – 25, барію сульфат – 25, ультрадисперсний гідроксиапатит, легований срі</w:t>
      </w:r>
      <w:r w:rsidRPr="00A36307">
        <w:rPr>
          <w:spacing w:val="-16"/>
        </w:rPr>
        <w:t>б</w:t>
      </w:r>
      <w:r w:rsidRPr="00A36307">
        <w:rPr>
          <w:spacing w:val="-16"/>
        </w:rPr>
        <w:t>лом – 25, метронідазол – 25.</w:t>
      </w:r>
    </w:p>
    <w:p w:rsidR="00486081" w:rsidRPr="00A36307" w:rsidRDefault="00486081" w:rsidP="00E46795">
      <w:pPr>
        <w:numPr>
          <w:ilvl w:val="0"/>
          <w:numId w:val="69"/>
        </w:numPr>
        <w:tabs>
          <w:tab w:val="clear" w:pos="1080"/>
          <w:tab w:val="num" w:pos="360"/>
        </w:tabs>
        <w:suppressAutoHyphens w:val="0"/>
        <w:ind w:left="360"/>
        <w:jc w:val="both"/>
        <w:rPr>
          <w:spacing w:val="-16"/>
        </w:rPr>
      </w:pPr>
      <w:r w:rsidRPr="00A36307">
        <w:rPr>
          <w:spacing w:val="-16"/>
        </w:rPr>
        <w:t>Санацію кореневого каналу ураженого зуба при хронічному періодонтиті рекомендуємо проводити в три ет</w:t>
      </w:r>
      <w:r w:rsidRPr="00A36307">
        <w:rPr>
          <w:spacing w:val="-16"/>
        </w:rPr>
        <w:t>а</w:t>
      </w:r>
      <w:r w:rsidRPr="00A36307">
        <w:rPr>
          <w:spacing w:val="-16"/>
        </w:rPr>
        <w:t>пи. На першому етапі слід здійснювати первинну інструментальну обробку та іригацію, на другому етапі – ще раз санувати канал, на третьому етапі – встановити постійну пломбу.</w:t>
      </w:r>
    </w:p>
    <w:p w:rsidR="00486081" w:rsidRPr="00A36307" w:rsidRDefault="00486081" w:rsidP="00486081">
      <w:pPr>
        <w:pStyle w:val="31"/>
        <w:rPr>
          <w:b w:val="0"/>
          <w:spacing w:val="-16"/>
          <w:sz w:val="24"/>
          <w:szCs w:val="24"/>
          <w:lang w:val="uk-UA"/>
        </w:rPr>
      </w:pPr>
      <w:r w:rsidRPr="00A36307">
        <w:rPr>
          <w:b w:val="0"/>
          <w:spacing w:val="-16"/>
          <w:sz w:val="24"/>
          <w:szCs w:val="24"/>
          <w:lang w:val="uk-UA"/>
        </w:rPr>
        <w:t xml:space="preserve">СПИСОК НАУКОВИХ ПРАЦЬ, ОПУБЛІКОВАНИХ </w:t>
      </w:r>
    </w:p>
    <w:p w:rsidR="00486081" w:rsidRPr="00A36307" w:rsidRDefault="00486081" w:rsidP="00486081">
      <w:pPr>
        <w:pStyle w:val="9"/>
        <w:rPr>
          <w:spacing w:val="-16"/>
          <w:sz w:val="24"/>
        </w:rPr>
      </w:pPr>
      <w:r w:rsidRPr="00A36307">
        <w:rPr>
          <w:spacing w:val="-16"/>
          <w:sz w:val="24"/>
        </w:rPr>
        <w:t>ЗА ТЕМОЮ ДИСЕРТАЦІЇ</w:t>
      </w:r>
    </w:p>
    <w:p w:rsidR="00486081" w:rsidRPr="00A36307" w:rsidRDefault="00486081" w:rsidP="00E46795">
      <w:pPr>
        <w:numPr>
          <w:ilvl w:val="0"/>
          <w:numId w:val="70"/>
        </w:numPr>
        <w:tabs>
          <w:tab w:val="left" w:pos="4786"/>
          <w:tab w:val="left" w:pos="7479"/>
          <w:tab w:val="left" w:pos="10314"/>
        </w:tabs>
        <w:suppressAutoHyphens w:val="0"/>
        <w:jc w:val="both"/>
        <w:rPr>
          <w:snapToGrid w:val="0"/>
          <w:spacing w:val="-16"/>
        </w:rPr>
      </w:pPr>
      <w:r w:rsidRPr="00A36307">
        <w:rPr>
          <w:snapToGrid w:val="0"/>
          <w:spacing w:val="-16"/>
        </w:rPr>
        <w:t>Ларионова Л.В., Чалая Т.А. Стоматологический статус студентов Луганского государственного м</w:t>
      </w:r>
      <w:r w:rsidRPr="00A36307">
        <w:rPr>
          <w:snapToGrid w:val="0"/>
          <w:spacing w:val="-16"/>
        </w:rPr>
        <w:t>е</w:t>
      </w:r>
      <w:r w:rsidRPr="00A36307">
        <w:rPr>
          <w:snapToGrid w:val="0"/>
          <w:spacing w:val="-16"/>
        </w:rPr>
        <w:t>дицинского университета // Український медичний альманах. – 2004. - № 2 (додаток). – С. 179-181. (</w:t>
      </w:r>
      <w:r w:rsidRPr="00A36307">
        <w:rPr>
          <w:i/>
          <w:snapToGrid w:val="0"/>
          <w:spacing w:val="-16"/>
        </w:rPr>
        <w:t>Здобувачкою встано</w:t>
      </w:r>
      <w:r w:rsidRPr="00A36307">
        <w:rPr>
          <w:i/>
          <w:snapToGrid w:val="0"/>
          <w:spacing w:val="-16"/>
        </w:rPr>
        <w:t>в</w:t>
      </w:r>
      <w:r w:rsidRPr="00A36307">
        <w:rPr>
          <w:i/>
          <w:snapToGrid w:val="0"/>
          <w:spacing w:val="-16"/>
        </w:rPr>
        <w:t>лена частота періодонтитів, проведено лік</w:t>
      </w:r>
      <w:r w:rsidRPr="00A36307">
        <w:rPr>
          <w:i/>
          <w:snapToGrid w:val="0"/>
          <w:spacing w:val="-16"/>
        </w:rPr>
        <w:t>у</w:t>
      </w:r>
      <w:r w:rsidRPr="00A36307">
        <w:rPr>
          <w:i/>
          <w:snapToGrid w:val="0"/>
          <w:spacing w:val="-16"/>
        </w:rPr>
        <w:t>вання</w:t>
      </w:r>
      <w:r w:rsidRPr="00A36307">
        <w:rPr>
          <w:snapToGrid w:val="0"/>
          <w:spacing w:val="-16"/>
        </w:rPr>
        <w:t>).</w:t>
      </w:r>
    </w:p>
    <w:p w:rsidR="00486081" w:rsidRPr="00A36307" w:rsidRDefault="00486081" w:rsidP="00E46795">
      <w:pPr>
        <w:numPr>
          <w:ilvl w:val="0"/>
          <w:numId w:val="70"/>
        </w:numPr>
        <w:tabs>
          <w:tab w:val="left" w:pos="4786"/>
          <w:tab w:val="left" w:pos="7479"/>
          <w:tab w:val="left" w:pos="10314"/>
        </w:tabs>
        <w:suppressAutoHyphens w:val="0"/>
        <w:jc w:val="both"/>
        <w:rPr>
          <w:snapToGrid w:val="0"/>
          <w:spacing w:val="-16"/>
        </w:rPr>
      </w:pPr>
      <w:r w:rsidRPr="00A36307">
        <w:rPr>
          <w:snapToGrid w:val="0"/>
          <w:spacing w:val="-16"/>
        </w:rPr>
        <w:t>Чалая Т.А. Клинико-патогенетическое обоснование отсроченного этапного метода эндодонтического лечения пульпитов и периодонт</w:t>
      </w:r>
      <w:r w:rsidRPr="00A36307">
        <w:rPr>
          <w:snapToGrid w:val="0"/>
          <w:spacing w:val="-16"/>
        </w:rPr>
        <w:t>и</w:t>
      </w:r>
      <w:r w:rsidRPr="00A36307">
        <w:rPr>
          <w:snapToGrid w:val="0"/>
          <w:spacing w:val="-16"/>
        </w:rPr>
        <w:t>тов // Український медичний альманах. – 2005. – № 3. – С. 179-181.</w:t>
      </w:r>
    </w:p>
    <w:p w:rsidR="00486081" w:rsidRPr="00A36307" w:rsidRDefault="00486081" w:rsidP="00E46795">
      <w:pPr>
        <w:numPr>
          <w:ilvl w:val="0"/>
          <w:numId w:val="70"/>
        </w:numPr>
        <w:tabs>
          <w:tab w:val="left" w:pos="4786"/>
          <w:tab w:val="left" w:pos="7479"/>
          <w:tab w:val="left" w:pos="10314"/>
        </w:tabs>
        <w:suppressAutoHyphens w:val="0"/>
        <w:jc w:val="both"/>
        <w:rPr>
          <w:snapToGrid w:val="0"/>
          <w:spacing w:val="-16"/>
        </w:rPr>
      </w:pPr>
      <w:r w:rsidRPr="00A36307">
        <w:rPr>
          <w:snapToGrid w:val="0"/>
          <w:spacing w:val="-16"/>
        </w:rPr>
        <w:t>Ларионова Л.В., Чалая Т.А., Инкелевич М.Ю. Морфолого-микробиологические особенности воспалительной стоматологической патологии (периодонтитов, пародонтитов, альвеолитов, ятрогении) // Український морф</w:t>
      </w:r>
      <w:r w:rsidRPr="00A36307">
        <w:rPr>
          <w:snapToGrid w:val="0"/>
          <w:spacing w:val="-16"/>
        </w:rPr>
        <w:t>о</w:t>
      </w:r>
      <w:r w:rsidRPr="00A36307">
        <w:rPr>
          <w:snapToGrid w:val="0"/>
          <w:spacing w:val="-16"/>
        </w:rPr>
        <w:t>логічний альманах. – 2005. – № 1. – С. 40-43. (</w:t>
      </w:r>
      <w:r w:rsidRPr="00A36307">
        <w:rPr>
          <w:i/>
          <w:snapToGrid w:val="0"/>
          <w:spacing w:val="-16"/>
        </w:rPr>
        <w:t>Здобувачкою обстежені пацієнти з періодонтитами та ятрог</w:t>
      </w:r>
      <w:r w:rsidRPr="00A36307">
        <w:rPr>
          <w:i/>
          <w:snapToGrid w:val="0"/>
          <w:spacing w:val="-16"/>
        </w:rPr>
        <w:t>е</w:t>
      </w:r>
      <w:r w:rsidRPr="00A36307">
        <w:rPr>
          <w:i/>
          <w:snapToGrid w:val="0"/>
          <w:spacing w:val="-16"/>
        </w:rPr>
        <w:t>ніями, проведена санація кореневих каналів зубів</w:t>
      </w:r>
      <w:r w:rsidRPr="00A36307">
        <w:rPr>
          <w:snapToGrid w:val="0"/>
          <w:spacing w:val="-16"/>
        </w:rPr>
        <w:t>).</w:t>
      </w:r>
    </w:p>
    <w:p w:rsidR="00486081" w:rsidRPr="00A36307" w:rsidRDefault="00486081" w:rsidP="00E46795">
      <w:pPr>
        <w:numPr>
          <w:ilvl w:val="0"/>
          <w:numId w:val="70"/>
        </w:numPr>
        <w:tabs>
          <w:tab w:val="left" w:pos="4786"/>
          <w:tab w:val="left" w:pos="7479"/>
          <w:tab w:val="left" w:pos="10314"/>
        </w:tabs>
        <w:suppressAutoHyphens w:val="0"/>
        <w:jc w:val="both"/>
        <w:rPr>
          <w:snapToGrid w:val="0"/>
          <w:spacing w:val="-16"/>
        </w:rPr>
      </w:pPr>
      <w:r w:rsidRPr="00A36307">
        <w:rPr>
          <w:snapToGrid w:val="0"/>
          <w:spacing w:val="-16"/>
        </w:rPr>
        <w:t>Чалая Т.А. Иммунный и метаболический статус пациентов с хронич</w:t>
      </w:r>
      <w:r w:rsidRPr="00A36307">
        <w:rPr>
          <w:snapToGrid w:val="0"/>
          <w:spacing w:val="-16"/>
        </w:rPr>
        <w:t>е</w:t>
      </w:r>
      <w:r w:rsidRPr="00A36307">
        <w:rPr>
          <w:snapToGrid w:val="0"/>
          <w:spacing w:val="-16"/>
        </w:rPr>
        <w:t>ским периодонтитом // Загальна патологія та патологічна фізіологія. – 2007. – № 4. – С. 58-61.</w:t>
      </w:r>
    </w:p>
    <w:p w:rsidR="00486081" w:rsidRPr="00A36307" w:rsidRDefault="00486081" w:rsidP="00E46795">
      <w:pPr>
        <w:numPr>
          <w:ilvl w:val="0"/>
          <w:numId w:val="70"/>
        </w:numPr>
        <w:suppressAutoHyphens w:val="0"/>
        <w:jc w:val="both"/>
        <w:rPr>
          <w:snapToGrid w:val="0"/>
          <w:spacing w:val="-16"/>
        </w:rPr>
      </w:pPr>
      <w:r w:rsidRPr="00A36307">
        <w:rPr>
          <w:snapToGrid w:val="0"/>
          <w:spacing w:val="-16"/>
        </w:rPr>
        <w:t>Чалая Т.А. Биологические свойства этиологических агентов хронич</w:t>
      </w:r>
      <w:r w:rsidRPr="00A36307">
        <w:rPr>
          <w:snapToGrid w:val="0"/>
          <w:spacing w:val="-16"/>
        </w:rPr>
        <w:t>е</w:t>
      </w:r>
      <w:r w:rsidRPr="00A36307">
        <w:rPr>
          <w:snapToGrid w:val="0"/>
          <w:spacing w:val="-16"/>
        </w:rPr>
        <w:t>ского периодонтита // Український журнал клінічної та лабораторної медицини. – 2008. – № 3. – С. 22-24.</w:t>
      </w:r>
    </w:p>
    <w:p w:rsidR="00486081" w:rsidRPr="00A36307" w:rsidRDefault="00486081" w:rsidP="00E46795">
      <w:pPr>
        <w:numPr>
          <w:ilvl w:val="0"/>
          <w:numId w:val="70"/>
        </w:numPr>
        <w:tabs>
          <w:tab w:val="left" w:pos="4786"/>
          <w:tab w:val="left" w:pos="7479"/>
          <w:tab w:val="left" w:pos="10314"/>
        </w:tabs>
        <w:suppressAutoHyphens w:val="0"/>
        <w:jc w:val="both"/>
        <w:rPr>
          <w:snapToGrid w:val="0"/>
          <w:spacing w:val="-16"/>
        </w:rPr>
      </w:pPr>
      <w:r w:rsidRPr="00A36307">
        <w:rPr>
          <w:snapToGrid w:val="0"/>
          <w:spacing w:val="-16"/>
        </w:rPr>
        <w:t>Казімірко Н.К., Чала Т.А. Ефективність етапного методу лікування зубів з періапікальною деструкцією // Світ медицини та біології. – 2008. – № 3. – С. 29-31. (</w:t>
      </w:r>
      <w:r w:rsidRPr="00A36307">
        <w:rPr>
          <w:i/>
          <w:snapToGrid w:val="0"/>
          <w:spacing w:val="-16"/>
        </w:rPr>
        <w:t>Здобувачкою проведене клінічне впровадження етапного мет</w:t>
      </w:r>
      <w:r w:rsidRPr="00A36307">
        <w:rPr>
          <w:i/>
          <w:snapToGrid w:val="0"/>
          <w:spacing w:val="-16"/>
        </w:rPr>
        <w:t>о</w:t>
      </w:r>
      <w:r w:rsidRPr="00A36307">
        <w:rPr>
          <w:i/>
          <w:snapToGrid w:val="0"/>
          <w:spacing w:val="-16"/>
        </w:rPr>
        <w:t>ду лікування, написаний текст статті</w:t>
      </w:r>
      <w:r w:rsidRPr="00A36307">
        <w:rPr>
          <w:snapToGrid w:val="0"/>
          <w:spacing w:val="-16"/>
        </w:rPr>
        <w:t>).</w:t>
      </w:r>
    </w:p>
    <w:p w:rsidR="00486081" w:rsidRPr="00A36307" w:rsidRDefault="00486081" w:rsidP="00E46795">
      <w:pPr>
        <w:numPr>
          <w:ilvl w:val="0"/>
          <w:numId w:val="70"/>
        </w:numPr>
        <w:suppressAutoHyphens w:val="0"/>
        <w:jc w:val="both"/>
        <w:rPr>
          <w:snapToGrid w:val="0"/>
          <w:spacing w:val="-16"/>
        </w:rPr>
      </w:pPr>
      <w:r w:rsidRPr="00A36307">
        <w:rPr>
          <w:snapToGrid w:val="0"/>
          <w:spacing w:val="-16"/>
        </w:rPr>
        <w:t>Чалая Т.А., Кожухарь Ю.Ю., Сенченко Н.Г., Дорофеева Н.Г., Загайн</w:t>
      </w:r>
      <w:r w:rsidRPr="00A36307">
        <w:rPr>
          <w:snapToGrid w:val="0"/>
          <w:spacing w:val="-16"/>
        </w:rPr>
        <w:t>о</w:t>
      </w:r>
      <w:r w:rsidRPr="00A36307">
        <w:rPr>
          <w:snapToGrid w:val="0"/>
          <w:spacing w:val="-16"/>
        </w:rPr>
        <w:t>ва Н.Н., Онищенко С.И., Горбанёва Ю.В. Возможность восстановления бактериальной флоры после лечения инфицированных з</w:t>
      </w:r>
      <w:r w:rsidRPr="00A36307">
        <w:rPr>
          <w:snapToGrid w:val="0"/>
          <w:spacing w:val="-16"/>
        </w:rPr>
        <w:t>у</w:t>
      </w:r>
      <w:r w:rsidRPr="00A36307">
        <w:rPr>
          <w:snapToGrid w:val="0"/>
          <w:spacing w:val="-16"/>
        </w:rPr>
        <w:t>бов // Збірник наукових праць «Актуальні проблеми акушерства і гінекології, клінічної імунології та медичної генетики». Випуск 15. – К.-Луганськ. – 2008. – С. 286-289. (</w:t>
      </w:r>
      <w:r w:rsidRPr="00A36307">
        <w:rPr>
          <w:i/>
          <w:snapToGrid w:val="0"/>
          <w:spacing w:val="-16"/>
        </w:rPr>
        <w:t>Здобувачка виділила з кореневих каналів зубів пацієнтів з хронічним періодонтитом суворо анаеробні ба</w:t>
      </w:r>
      <w:r w:rsidRPr="00A36307">
        <w:rPr>
          <w:i/>
          <w:snapToGrid w:val="0"/>
          <w:spacing w:val="-16"/>
        </w:rPr>
        <w:t>к</w:t>
      </w:r>
      <w:r w:rsidRPr="00A36307">
        <w:rPr>
          <w:i/>
          <w:snapToGrid w:val="0"/>
          <w:spacing w:val="-16"/>
        </w:rPr>
        <w:t>терії</w:t>
      </w:r>
      <w:r w:rsidRPr="00A36307">
        <w:rPr>
          <w:snapToGrid w:val="0"/>
          <w:spacing w:val="-16"/>
        </w:rPr>
        <w:t>).</w:t>
      </w:r>
    </w:p>
    <w:p w:rsidR="00486081" w:rsidRPr="00A36307" w:rsidRDefault="00486081" w:rsidP="00E46795">
      <w:pPr>
        <w:numPr>
          <w:ilvl w:val="0"/>
          <w:numId w:val="70"/>
        </w:numPr>
        <w:tabs>
          <w:tab w:val="left" w:pos="4786"/>
          <w:tab w:val="left" w:pos="7479"/>
          <w:tab w:val="left" w:pos="10314"/>
        </w:tabs>
        <w:suppressAutoHyphens w:val="0"/>
        <w:jc w:val="both"/>
        <w:rPr>
          <w:snapToGrid w:val="0"/>
          <w:spacing w:val="-16"/>
        </w:rPr>
      </w:pPr>
      <w:r w:rsidRPr="00A36307">
        <w:rPr>
          <w:snapToGrid w:val="0"/>
          <w:spacing w:val="-16"/>
        </w:rPr>
        <w:t>Казимірко Н.К., Гайдаш І.С., Флегонтова В.В., Інкелевич М.Ю., Чала Т.А. Композиція для тимчасового пло</w:t>
      </w:r>
      <w:r w:rsidRPr="00A36307">
        <w:rPr>
          <w:snapToGrid w:val="0"/>
          <w:spacing w:val="-16"/>
        </w:rPr>
        <w:t>м</w:t>
      </w:r>
      <w:r w:rsidRPr="00A36307">
        <w:rPr>
          <w:snapToGrid w:val="0"/>
          <w:spacing w:val="-16"/>
        </w:rPr>
        <w:t>бування зубних кореневих каналів // Деклараційний патент на корисну модель 9201 А Україна, A61K6/02. - № 200501546. Заявлений 21.02.2005 р.; надрукований 15.09. 2005 р. Промислова власність. Офіційний бюл</w:t>
      </w:r>
      <w:r w:rsidRPr="00A36307">
        <w:rPr>
          <w:snapToGrid w:val="0"/>
          <w:spacing w:val="-16"/>
        </w:rPr>
        <w:t>е</w:t>
      </w:r>
      <w:r w:rsidRPr="00A36307">
        <w:rPr>
          <w:snapToGrid w:val="0"/>
          <w:spacing w:val="-16"/>
        </w:rPr>
        <w:t>тень № 9.</w:t>
      </w:r>
    </w:p>
    <w:p w:rsidR="00486081" w:rsidRPr="00A36307" w:rsidRDefault="00486081" w:rsidP="00E46795">
      <w:pPr>
        <w:numPr>
          <w:ilvl w:val="0"/>
          <w:numId w:val="70"/>
        </w:numPr>
        <w:suppressAutoHyphens w:val="0"/>
        <w:jc w:val="both"/>
        <w:rPr>
          <w:snapToGrid w:val="0"/>
          <w:spacing w:val="-16"/>
        </w:rPr>
      </w:pPr>
      <w:r w:rsidRPr="00A36307">
        <w:rPr>
          <w:snapToGrid w:val="0"/>
          <w:spacing w:val="-16"/>
        </w:rPr>
        <w:t>Ларионова Л.В., Чалая Т.А. Сравнительная характеристика стоматологического статуса студентов стоматол</w:t>
      </w:r>
      <w:r w:rsidRPr="00A36307">
        <w:rPr>
          <w:snapToGrid w:val="0"/>
          <w:spacing w:val="-16"/>
        </w:rPr>
        <w:t>о</w:t>
      </w:r>
      <w:r w:rsidRPr="00A36307">
        <w:rPr>
          <w:snapToGrid w:val="0"/>
          <w:spacing w:val="-16"/>
        </w:rPr>
        <w:t>гического факультета Луганского государственного медицинского университета // Тези доповідей Всеукраїнської студентської наукової конференції «Актуальні проблеми стоматол</w:t>
      </w:r>
      <w:r w:rsidRPr="00A36307">
        <w:rPr>
          <w:snapToGrid w:val="0"/>
          <w:spacing w:val="-16"/>
        </w:rPr>
        <w:t>о</w:t>
      </w:r>
      <w:r w:rsidRPr="00A36307">
        <w:rPr>
          <w:snapToGrid w:val="0"/>
          <w:spacing w:val="-16"/>
        </w:rPr>
        <w:t xml:space="preserve">гії». – Полтава, 2004. – С. 15-16. </w:t>
      </w:r>
    </w:p>
    <w:p w:rsidR="00486081" w:rsidRPr="00A36307" w:rsidRDefault="00486081" w:rsidP="00E46795">
      <w:pPr>
        <w:numPr>
          <w:ilvl w:val="0"/>
          <w:numId w:val="70"/>
        </w:numPr>
        <w:suppressAutoHyphens w:val="0"/>
        <w:jc w:val="both"/>
        <w:rPr>
          <w:snapToGrid w:val="0"/>
          <w:spacing w:val="-16"/>
        </w:rPr>
      </w:pPr>
      <w:r w:rsidRPr="00A36307">
        <w:rPr>
          <w:snapToGrid w:val="0"/>
          <w:spacing w:val="-16"/>
        </w:rPr>
        <w:t>Ларионова Л.В., Чалая Т.А. Распространённость кариеса и его осложнений среди студентов стоматологическ</w:t>
      </w:r>
      <w:r w:rsidRPr="00A36307">
        <w:rPr>
          <w:snapToGrid w:val="0"/>
          <w:spacing w:val="-16"/>
        </w:rPr>
        <w:t>о</w:t>
      </w:r>
      <w:r w:rsidRPr="00A36307">
        <w:rPr>
          <w:snapToGrid w:val="0"/>
          <w:spacing w:val="-16"/>
        </w:rPr>
        <w:t>го факультета Луганского государственного медицинского университета // Матеріали Всеукраїнс</w:t>
      </w:r>
      <w:r w:rsidRPr="00A36307">
        <w:rPr>
          <w:snapToGrid w:val="0"/>
          <w:spacing w:val="-16"/>
        </w:rPr>
        <w:t>ь</w:t>
      </w:r>
      <w:r w:rsidRPr="00A36307">
        <w:rPr>
          <w:snapToGrid w:val="0"/>
          <w:spacing w:val="-16"/>
        </w:rPr>
        <w:t xml:space="preserve">кої науково-практичної конференції студентів та молодих вчених «Актуальні проблеми клінічної, </w:t>
      </w:r>
      <w:r w:rsidRPr="00A36307">
        <w:rPr>
          <w:snapToGrid w:val="0"/>
          <w:spacing w:val="-16"/>
        </w:rPr>
        <w:lastRenderedPageBreak/>
        <w:t>експериментальної, пр</w:t>
      </w:r>
      <w:r w:rsidRPr="00A36307">
        <w:rPr>
          <w:snapToGrid w:val="0"/>
          <w:spacing w:val="-16"/>
        </w:rPr>
        <w:t>о</w:t>
      </w:r>
      <w:r w:rsidRPr="00A36307">
        <w:rPr>
          <w:snapToGrid w:val="0"/>
          <w:spacing w:val="-16"/>
        </w:rPr>
        <w:t>філактичної медицини та стоматології (66-а підсумкова конференція СНТ ім. М.Д. Довгяло)». – Д</w:t>
      </w:r>
      <w:r w:rsidRPr="00A36307">
        <w:rPr>
          <w:snapToGrid w:val="0"/>
          <w:spacing w:val="-16"/>
        </w:rPr>
        <w:t>о</w:t>
      </w:r>
      <w:r w:rsidRPr="00A36307">
        <w:rPr>
          <w:snapToGrid w:val="0"/>
          <w:spacing w:val="-16"/>
        </w:rPr>
        <w:t>нецьк: ТОВ «Норд комп’ютер», 2004. – С. 90-91.</w:t>
      </w:r>
    </w:p>
    <w:p w:rsidR="00486081" w:rsidRPr="00A36307" w:rsidRDefault="00486081" w:rsidP="00E46795">
      <w:pPr>
        <w:numPr>
          <w:ilvl w:val="0"/>
          <w:numId w:val="70"/>
        </w:numPr>
        <w:suppressAutoHyphens w:val="0"/>
        <w:jc w:val="both"/>
        <w:rPr>
          <w:snapToGrid w:val="0"/>
          <w:spacing w:val="-16"/>
        </w:rPr>
      </w:pPr>
      <w:r w:rsidRPr="00A36307">
        <w:rPr>
          <w:snapToGrid w:val="0"/>
          <w:spacing w:val="-16"/>
        </w:rPr>
        <w:t>Ларионова Л.В., Чалая Т.А. Гигиена полости рта студентов стоматологического факультета Луганского гос</w:t>
      </w:r>
      <w:r w:rsidRPr="00A36307">
        <w:rPr>
          <w:snapToGrid w:val="0"/>
          <w:spacing w:val="-16"/>
        </w:rPr>
        <w:t>у</w:t>
      </w:r>
      <w:r w:rsidRPr="00A36307">
        <w:rPr>
          <w:snapToGrid w:val="0"/>
          <w:spacing w:val="-16"/>
        </w:rPr>
        <w:t>дарственного медицинского университета // Матеріали наукової конференції студентів та молодих вчених з м</w:t>
      </w:r>
      <w:r w:rsidRPr="00A36307">
        <w:rPr>
          <w:snapToGrid w:val="0"/>
          <w:spacing w:val="-16"/>
        </w:rPr>
        <w:t>і</w:t>
      </w:r>
      <w:r w:rsidRPr="00A36307">
        <w:rPr>
          <w:snapToGrid w:val="0"/>
          <w:spacing w:val="-16"/>
        </w:rPr>
        <w:t>жнародною участю. – Вінниця: Нова книга, 2004. – С. 288-289.</w:t>
      </w:r>
    </w:p>
    <w:p w:rsidR="00486081" w:rsidRPr="00B70FB8" w:rsidRDefault="00486081" w:rsidP="00E46795">
      <w:pPr>
        <w:pStyle w:val="25"/>
        <w:numPr>
          <w:ilvl w:val="0"/>
          <w:numId w:val="70"/>
        </w:numPr>
        <w:tabs>
          <w:tab w:val="left" w:pos="0"/>
        </w:tabs>
        <w:spacing w:after="0" w:line="240" w:lineRule="auto"/>
        <w:jc w:val="both"/>
        <w:rPr>
          <w:snapToGrid w:val="0"/>
          <w:spacing w:val="-16"/>
          <w:sz w:val="24"/>
          <w:szCs w:val="24"/>
          <w:lang w:val="uk-UA"/>
        </w:rPr>
      </w:pPr>
      <w:r w:rsidRPr="00B70FB8">
        <w:rPr>
          <w:snapToGrid w:val="0"/>
          <w:spacing w:val="-16"/>
          <w:sz w:val="24"/>
          <w:szCs w:val="24"/>
          <w:lang w:val="uk-UA"/>
        </w:rPr>
        <w:t>Сенченко Н.Г., Чалая Т.А., Кожухарь Ю.Ю., Дорофеева Н.Г., Загайн</w:t>
      </w:r>
      <w:r w:rsidRPr="00B70FB8">
        <w:rPr>
          <w:snapToGrid w:val="0"/>
          <w:spacing w:val="-16"/>
          <w:sz w:val="24"/>
          <w:szCs w:val="24"/>
          <w:lang w:val="uk-UA"/>
        </w:rPr>
        <w:t>о</w:t>
      </w:r>
      <w:r w:rsidRPr="00B70FB8">
        <w:rPr>
          <w:snapToGrid w:val="0"/>
          <w:spacing w:val="-16"/>
          <w:sz w:val="24"/>
          <w:szCs w:val="24"/>
          <w:lang w:val="uk-UA"/>
        </w:rPr>
        <w:t xml:space="preserve">ва Н.Н., Онищенко С.И., Горбанёва Ю.В., Казимирко Н.К. Возможность восстановления микрофлоры после лечения периодонтита // </w:t>
      </w:r>
      <w:r w:rsidRPr="00A36307">
        <w:rPr>
          <w:snapToGrid w:val="0"/>
          <w:spacing w:val="-16"/>
          <w:sz w:val="24"/>
          <w:szCs w:val="24"/>
          <w:lang w:val="uk-UA"/>
        </w:rPr>
        <w:t>М</w:t>
      </w:r>
      <w:r w:rsidRPr="00A36307">
        <w:rPr>
          <w:snapToGrid w:val="0"/>
          <w:spacing w:val="-16"/>
          <w:sz w:val="24"/>
          <w:szCs w:val="24"/>
          <w:lang w:val="uk-UA"/>
        </w:rPr>
        <w:t>а</w:t>
      </w:r>
      <w:r w:rsidRPr="00A36307">
        <w:rPr>
          <w:snapToGrid w:val="0"/>
          <w:spacing w:val="-16"/>
          <w:sz w:val="24"/>
          <w:szCs w:val="24"/>
          <w:lang w:val="uk-UA"/>
        </w:rPr>
        <w:t>теріали науково-практичної конференції з міжнародною участю студентів, інтернів, магістрів, аспірантів та молодих вчених медичного ф</w:t>
      </w:r>
      <w:r w:rsidRPr="00A36307">
        <w:rPr>
          <w:snapToGrid w:val="0"/>
          <w:spacing w:val="-16"/>
          <w:sz w:val="24"/>
          <w:szCs w:val="24"/>
          <w:lang w:val="uk-UA"/>
        </w:rPr>
        <w:t>а</w:t>
      </w:r>
      <w:r w:rsidRPr="00A36307">
        <w:rPr>
          <w:snapToGrid w:val="0"/>
          <w:spacing w:val="-16"/>
          <w:sz w:val="24"/>
          <w:szCs w:val="24"/>
          <w:lang w:val="uk-UA"/>
        </w:rPr>
        <w:t>культету Ужгородського національного університету</w:t>
      </w:r>
      <w:r w:rsidRPr="00B70FB8">
        <w:rPr>
          <w:snapToGrid w:val="0"/>
          <w:spacing w:val="-16"/>
          <w:sz w:val="24"/>
          <w:szCs w:val="24"/>
          <w:lang w:val="uk-UA"/>
        </w:rPr>
        <w:t>. – Ужгород. – 2008. – С. 25.</w:t>
      </w:r>
    </w:p>
    <w:p w:rsidR="00486081" w:rsidRPr="00A36307" w:rsidRDefault="00486081" w:rsidP="00486081">
      <w:pPr>
        <w:pStyle w:val="9"/>
        <w:rPr>
          <w:snapToGrid w:val="0"/>
          <w:spacing w:val="-16"/>
          <w:sz w:val="24"/>
        </w:rPr>
      </w:pPr>
      <w:r w:rsidRPr="00A36307">
        <w:rPr>
          <w:snapToGrid w:val="0"/>
          <w:spacing w:val="-16"/>
          <w:sz w:val="24"/>
        </w:rPr>
        <w:t>АНОТАЦІЯ</w:t>
      </w:r>
    </w:p>
    <w:p w:rsidR="00486081" w:rsidRPr="00A36307" w:rsidRDefault="00486081" w:rsidP="00486081">
      <w:pPr>
        <w:pStyle w:val="31"/>
        <w:ind w:firstLine="567"/>
        <w:jc w:val="both"/>
        <w:rPr>
          <w:snapToGrid w:val="0"/>
          <w:spacing w:val="-16"/>
          <w:sz w:val="24"/>
          <w:szCs w:val="24"/>
          <w:lang w:val="uk-UA"/>
        </w:rPr>
      </w:pPr>
      <w:r w:rsidRPr="00A36307">
        <w:rPr>
          <w:snapToGrid w:val="0"/>
          <w:spacing w:val="-16"/>
          <w:sz w:val="24"/>
          <w:szCs w:val="24"/>
          <w:lang w:val="uk-UA"/>
        </w:rPr>
        <w:t>Чала Т.А. Патогенетичне обґрунтування нового підходу до лікува</w:t>
      </w:r>
      <w:r w:rsidRPr="00A36307">
        <w:rPr>
          <w:snapToGrid w:val="0"/>
          <w:spacing w:val="-16"/>
          <w:sz w:val="24"/>
          <w:szCs w:val="24"/>
          <w:lang w:val="uk-UA"/>
        </w:rPr>
        <w:t>н</w:t>
      </w:r>
      <w:r w:rsidRPr="00A36307">
        <w:rPr>
          <w:snapToGrid w:val="0"/>
          <w:spacing w:val="-16"/>
          <w:sz w:val="24"/>
          <w:szCs w:val="24"/>
          <w:lang w:val="uk-UA"/>
        </w:rPr>
        <w:t>ня та профілактики загострень хронічного періодонтиту.</w:t>
      </w:r>
    </w:p>
    <w:p w:rsidR="00486081" w:rsidRPr="00A36307" w:rsidRDefault="00486081" w:rsidP="00486081">
      <w:pPr>
        <w:ind w:firstLine="567"/>
        <w:jc w:val="both"/>
        <w:rPr>
          <w:snapToGrid w:val="0"/>
          <w:spacing w:val="-16"/>
        </w:rPr>
      </w:pPr>
      <w:r w:rsidRPr="00A36307">
        <w:rPr>
          <w:snapToGrid w:val="0"/>
          <w:spacing w:val="-16"/>
        </w:rPr>
        <w:t>Дисертація на здобуття наукового ступеня кандидата медичних н</w:t>
      </w:r>
      <w:r w:rsidRPr="00A36307">
        <w:rPr>
          <w:snapToGrid w:val="0"/>
          <w:spacing w:val="-16"/>
        </w:rPr>
        <w:t>а</w:t>
      </w:r>
      <w:r w:rsidRPr="00A36307">
        <w:rPr>
          <w:snapToGrid w:val="0"/>
          <w:spacing w:val="-16"/>
        </w:rPr>
        <w:t>ук за спеціальністю 14.03.04 – патологічна фізіологія. – Луганський державний медичний університет. – Л</w:t>
      </w:r>
      <w:r w:rsidRPr="00A36307">
        <w:rPr>
          <w:snapToGrid w:val="0"/>
          <w:spacing w:val="-16"/>
        </w:rPr>
        <w:t>у</w:t>
      </w:r>
      <w:r w:rsidRPr="00A36307">
        <w:rPr>
          <w:snapToGrid w:val="0"/>
          <w:spacing w:val="-16"/>
        </w:rPr>
        <w:t>ганськ, 2008.</w:t>
      </w:r>
    </w:p>
    <w:p w:rsidR="00486081" w:rsidRPr="00A36307" w:rsidRDefault="00486081" w:rsidP="00486081">
      <w:pPr>
        <w:ind w:firstLine="567"/>
        <w:jc w:val="both"/>
        <w:rPr>
          <w:snapToGrid w:val="0"/>
          <w:spacing w:val="-16"/>
        </w:rPr>
      </w:pPr>
      <w:r w:rsidRPr="00A36307">
        <w:rPr>
          <w:snapToGrid w:val="0"/>
          <w:spacing w:val="-16"/>
        </w:rPr>
        <w:t>Дисертаційна робота присвячена вирішенню актуального завдання сучасної медицини, яка складається в р</w:t>
      </w:r>
      <w:r w:rsidRPr="00A36307">
        <w:rPr>
          <w:snapToGrid w:val="0"/>
          <w:spacing w:val="-16"/>
        </w:rPr>
        <w:t>о</w:t>
      </w:r>
      <w:r w:rsidRPr="00A36307">
        <w:rPr>
          <w:snapToGrid w:val="0"/>
          <w:spacing w:val="-16"/>
        </w:rPr>
        <w:t>зробці патогенетично обґрунтованого способу лікування та профілактики загострень хронічного періодонтиту з в</w:t>
      </w:r>
      <w:r w:rsidRPr="00A36307">
        <w:rPr>
          <w:snapToGrid w:val="0"/>
          <w:spacing w:val="-16"/>
        </w:rPr>
        <w:t>и</w:t>
      </w:r>
      <w:r w:rsidRPr="00A36307">
        <w:rPr>
          <w:snapToGrid w:val="0"/>
          <w:spacing w:val="-16"/>
        </w:rPr>
        <w:t>користанням композиції для тимчасового пломбування кореневих каналів, яка містить вітамін Е, метронідазол, б</w:t>
      </w:r>
      <w:r w:rsidRPr="00A36307">
        <w:rPr>
          <w:snapToGrid w:val="0"/>
          <w:spacing w:val="-16"/>
        </w:rPr>
        <w:t>а</w:t>
      </w:r>
      <w:r w:rsidRPr="00A36307">
        <w:rPr>
          <w:snapToGrid w:val="0"/>
          <w:spacing w:val="-16"/>
        </w:rPr>
        <w:t>рію сульфат та ультрадисперсний гідроксиапатит, легований сріблом</w:t>
      </w:r>
      <w:r w:rsidRPr="00A36307">
        <w:rPr>
          <w:spacing w:val="-16"/>
        </w:rPr>
        <w:t>.</w:t>
      </w:r>
      <w:r w:rsidRPr="00A36307">
        <w:rPr>
          <w:color w:val="000000"/>
          <w:spacing w:val="-16"/>
        </w:rPr>
        <w:t xml:space="preserve"> Доведена етіологічна роль 21 виду суворо анаеробних бактерій у розвитку хронічного періодонтиту, вивчена їх антилізоцимна, антикомплементарна та ант</w:t>
      </w:r>
      <w:r w:rsidRPr="00A36307">
        <w:rPr>
          <w:color w:val="000000"/>
          <w:spacing w:val="-16"/>
        </w:rPr>
        <w:t>и</w:t>
      </w:r>
      <w:r w:rsidRPr="00A36307">
        <w:rPr>
          <w:color w:val="000000"/>
          <w:spacing w:val="-16"/>
        </w:rPr>
        <w:t>імуноглобулінова активність. Детально вивчений імунний та метаболічний статус пацієнтів з хронічним періодо</w:t>
      </w:r>
      <w:r w:rsidRPr="00A36307">
        <w:rPr>
          <w:color w:val="000000"/>
          <w:spacing w:val="-16"/>
        </w:rPr>
        <w:t>н</w:t>
      </w:r>
      <w:r w:rsidRPr="00A36307">
        <w:rPr>
          <w:color w:val="000000"/>
          <w:spacing w:val="-16"/>
        </w:rPr>
        <w:t>титом</w:t>
      </w:r>
      <w:r w:rsidRPr="00A36307">
        <w:rPr>
          <w:spacing w:val="-16"/>
        </w:rPr>
        <w:t>. Вперше запропонований трьохетапний спосіб лікування хворих на хронічний періодонтит з використанням композиції для тимчасового пломбування кореневих каналів зубів, що має значний антибактерійний ефект, імун</w:t>
      </w:r>
      <w:r w:rsidRPr="00A36307">
        <w:rPr>
          <w:spacing w:val="-16"/>
        </w:rPr>
        <w:t>о</w:t>
      </w:r>
      <w:r w:rsidRPr="00A36307">
        <w:rPr>
          <w:spacing w:val="-16"/>
        </w:rPr>
        <w:t xml:space="preserve">коригуючу та антиоксидантну дію, та </w:t>
      </w:r>
      <w:r w:rsidRPr="00B70FB8">
        <w:rPr>
          <w:spacing w:val="-16"/>
          <w:lang w:val="uk-UA"/>
        </w:rPr>
        <w:t xml:space="preserve">в </w:t>
      </w:r>
      <w:r w:rsidRPr="00A36307">
        <w:rPr>
          <w:spacing w:val="-16"/>
        </w:rPr>
        <w:t>2-5 раз знижує частоту розвитку загострень захворювання протягом 24 м</w:t>
      </w:r>
      <w:r w:rsidRPr="00A36307">
        <w:rPr>
          <w:spacing w:val="-16"/>
        </w:rPr>
        <w:t>і</w:t>
      </w:r>
      <w:r w:rsidRPr="00A36307">
        <w:rPr>
          <w:spacing w:val="-16"/>
        </w:rPr>
        <w:t>сяців.</w:t>
      </w:r>
    </w:p>
    <w:p w:rsidR="00486081" w:rsidRPr="00A36307" w:rsidRDefault="00486081" w:rsidP="00486081">
      <w:pPr>
        <w:ind w:firstLine="567"/>
        <w:jc w:val="both"/>
        <w:rPr>
          <w:snapToGrid w:val="0"/>
          <w:spacing w:val="-16"/>
        </w:rPr>
      </w:pPr>
      <w:r w:rsidRPr="00A36307">
        <w:rPr>
          <w:b/>
          <w:snapToGrid w:val="0"/>
          <w:spacing w:val="-16"/>
        </w:rPr>
        <w:t>Ключові слова:</w:t>
      </w:r>
      <w:r w:rsidRPr="00A36307">
        <w:rPr>
          <w:snapToGrid w:val="0"/>
          <w:spacing w:val="-16"/>
        </w:rPr>
        <w:t xml:space="preserve"> хронічний періодонтит, загострення, лікування, профілактика, новий підхід.</w:t>
      </w:r>
    </w:p>
    <w:p w:rsidR="00486081" w:rsidRPr="00A36307" w:rsidRDefault="00486081" w:rsidP="00486081">
      <w:pPr>
        <w:pStyle w:val="9"/>
        <w:rPr>
          <w:snapToGrid w:val="0"/>
          <w:spacing w:val="-16"/>
          <w:sz w:val="24"/>
        </w:rPr>
      </w:pPr>
      <w:r w:rsidRPr="00A36307">
        <w:rPr>
          <w:snapToGrid w:val="0"/>
          <w:spacing w:val="-16"/>
          <w:sz w:val="24"/>
        </w:rPr>
        <w:t>АННОТАЦИЯ</w:t>
      </w:r>
    </w:p>
    <w:p w:rsidR="00486081" w:rsidRPr="00A36307" w:rsidRDefault="00486081" w:rsidP="00486081">
      <w:pPr>
        <w:pStyle w:val="affffffff5"/>
        <w:ind w:firstLine="567"/>
        <w:jc w:val="both"/>
        <w:rPr>
          <w:b/>
          <w:snapToGrid w:val="0"/>
          <w:spacing w:val="-16"/>
          <w:sz w:val="24"/>
        </w:rPr>
      </w:pPr>
      <w:r w:rsidRPr="00A36307">
        <w:rPr>
          <w:b/>
          <w:snapToGrid w:val="0"/>
          <w:spacing w:val="-16"/>
          <w:sz w:val="24"/>
        </w:rPr>
        <w:t>Чалая Т.А. Патогенетическое обоснование нового подхода к лечению и профилактике обострений хронического периодонтита. – Рук</w:t>
      </w:r>
      <w:r w:rsidRPr="00A36307">
        <w:rPr>
          <w:b/>
          <w:snapToGrid w:val="0"/>
          <w:spacing w:val="-16"/>
          <w:sz w:val="24"/>
        </w:rPr>
        <w:t>о</w:t>
      </w:r>
      <w:r w:rsidRPr="00A36307">
        <w:rPr>
          <w:b/>
          <w:snapToGrid w:val="0"/>
          <w:spacing w:val="-16"/>
          <w:sz w:val="24"/>
        </w:rPr>
        <w:t>пись.</w:t>
      </w:r>
    </w:p>
    <w:p w:rsidR="00486081" w:rsidRPr="00A36307" w:rsidRDefault="00486081" w:rsidP="00486081">
      <w:pPr>
        <w:ind w:firstLine="567"/>
        <w:jc w:val="both"/>
        <w:rPr>
          <w:snapToGrid w:val="0"/>
          <w:spacing w:val="-16"/>
        </w:rPr>
      </w:pPr>
      <w:r w:rsidRPr="00A36307">
        <w:rPr>
          <w:snapToGrid w:val="0"/>
          <w:spacing w:val="-16"/>
        </w:rPr>
        <w:t>Диссертация на соискание учёной степени кандидата медицинских наук по специальности 14.03.04 – патологическая физиология. – Луга</w:t>
      </w:r>
      <w:r w:rsidRPr="00A36307">
        <w:rPr>
          <w:snapToGrid w:val="0"/>
          <w:spacing w:val="-16"/>
        </w:rPr>
        <w:t>н</w:t>
      </w:r>
      <w:r w:rsidRPr="00A36307">
        <w:rPr>
          <w:snapToGrid w:val="0"/>
          <w:spacing w:val="-16"/>
        </w:rPr>
        <w:t>ский государственный медицинский университет. – Луганск, 2008.</w:t>
      </w:r>
    </w:p>
    <w:p w:rsidR="00486081" w:rsidRPr="00A36307" w:rsidRDefault="00486081" w:rsidP="00486081">
      <w:pPr>
        <w:ind w:firstLine="567"/>
        <w:jc w:val="both"/>
        <w:rPr>
          <w:snapToGrid w:val="0"/>
          <w:spacing w:val="-16"/>
        </w:rPr>
      </w:pPr>
      <w:r w:rsidRPr="00A36307">
        <w:rPr>
          <w:snapToGrid w:val="0"/>
          <w:spacing w:val="-16"/>
        </w:rPr>
        <w:t>Диссертационная работа посвящена решению актуальной задачи современной медицины, которая состоит в разработке патогенетически обоснованного способа лечения и профилактики обострений хронического периодо</w:t>
      </w:r>
      <w:r w:rsidRPr="00A36307">
        <w:rPr>
          <w:snapToGrid w:val="0"/>
          <w:spacing w:val="-16"/>
        </w:rPr>
        <w:t>н</w:t>
      </w:r>
      <w:r w:rsidRPr="00A36307">
        <w:rPr>
          <w:snapToGrid w:val="0"/>
          <w:spacing w:val="-16"/>
        </w:rPr>
        <w:t>тита с использованием композиции для временного пломбирования корневых каналов, содержащей витамин Е, метронидазол, сульфат бария и ультрадисперсный гидроксиапатит, легированный серебром.</w:t>
      </w:r>
      <w:r w:rsidRPr="00A36307">
        <w:rPr>
          <w:bCs/>
          <w:spacing w:val="-16"/>
        </w:rPr>
        <w:t xml:space="preserve"> </w:t>
      </w:r>
      <w:r w:rsidRPr="00A36307">
        <w:rPr>
          <w:snapToGrid w:val="0"/>
          <w:spacing w:val="-16"/>
        </w:rPr>
        <w:t>Доказана этиологич</w:t>
      </w:r>
      <w:r w:rsidRPr="00A36307">
        <w:rPr>
          <w:snapToGrid w:val="0"/>
          <w:spacing w:val="-16"/>
        </w:rPr>
        <w:t>е</w:t>
      </w:r>
      <w:r w:rsidRPr="00A36307">
        <w:rPr>
          <w:snapToGrid w:val="0"/>
          <w:spacing w:val="-16"/>
        </w:rPr>
        <w:t>ская роль 21 вида строго анаэробных бактерий в развитии хронического периодонтита, изучена их антилизоцимная, антикомплементарная и антииммуноглобулиновая активность, чувствительность к осно</w:t>
      </w:r>
      <w:r w:rsidRPr="00A36307">
        <w:rPr>
          <w:snapToGrid w:val="0"/>
          <w:spacing w:val="-16"/>
        </w:rPr>
        <w:t>в</w:t>
      </w:r>
      <w:r w:rsidRPr="00A36307">
        <w:rPr>
          <w:snapToGrid w:val="0"/>
          <w:spacing w:val="-16"/>
        </w:rPr>
        <w:t>ным антибактериальным препаратам. Детально изучен иммунный и метаболический статус пациентов с хроническим периодонтитом. Впервые предложен трёхэтапный способ лечения больных хроническим периодонтитом с использованием комп</w:t>
      </w:r>
      <w:r w:rsidRPr="00A36307">
        <w:rPr>
          <w:snapToGrid w:val="0"/>
          <w:spacing w:val="-16"/>
        </w:rPr>
        <w:t>о</w:t>
      </w:r>
      <w:r w:rsidRPr="00A36307">
        <w:rPr>
          <w:snapToGrid w:val="0"/>
          <w:spacing w:val="-16"/>
        </w:rPr>
        <w:t>зиции для временного пломбирования корневых каналов зубов, содержащей масляный раствор витамина Е, бария сульфат, ультрадисперсный гидроксиапатит, легированный серебром и метронидазол в равных долях, который имеет значительный антибактериальный эффект, иммунокоригирующее и антиоксидантное действие, и в 2-5 раз снижает частоту развития обострения заболевания в течение 24 месяцев. Разработан и защищён декларационным патентом на полезную модель способ лечения хронического периодонтита. Полученные данные используются в лекционном курсе и при проведении практических занятий на кафедрах патофизиологии и стоматологии № 1 Л</w:t>
      </w:r>
      <w:r w:rsidRPr="00A36307">
        <w:rPr>
          <w:snapToGrid w:val="0"/>
          <w:spacing w:val="-16"/>
        </w:rPr>
        <w:t>у</w:t>
      </w:r>
      <w:r w:rsidRPr="00A36307">
        <w:rPr>
          <w:snapToGrid w:val="0"/>
          <w:spacing w:val="-16"/>
        </w:rPr>
        <w:t>ганского государственного медицинского университета Министерства здравоохранения Украины, что подтве</w:t>
      </w:r>
      <w:r w:rsidRPr="00A36307">
        <w:rPr>
          <w:snapToGrid w:val="0"/>
          <w:spacing w:val="-16"/>
        </w:rPr>
        <w:t>р</w:t>
      </w:r>
      <w:r w:rsidRPr="00A36307">
        <w:rPr>
          <w:snapToGrid w:val="0"/>
          <w:spacing w:val="-16"/>
        </w:rPr>
        <w:t>ждено соответствующими актами внедр</w:t>
      </w:r>
      <w:r w:rsidRPr="00A36307">
        <w:rPr>
          <w:snapToGrid w:val="0"/>
          <w:spacing w:val="-16"/>
        </w:rPr>
        <w:t>е</w:t>
      </w:r>
      <w:r w:rsidRPr="00A36307">
        <w:rPr>
          <w:snapToGrid w:val="0"/>
          <w:spacing w:val="-16"/>
        </w:rPr>
        <w:t>ния.</w:t>
      </w:r>
    </w:p>
    <w:p w:rsidR="00486081" w:rsidRPr="00A36307" w:rsidRDefault="00486081" w:rsidP="00486081">
      <w:pPr>
        <w:ind w:firstLine="567"/>
        <w:jc w:val="both"/>
        <w:rPr>
          <w:snapToGrid w:val="0"/>
          <w:spacing w:val="-16"/>
        </w:rPr>
      </w:pPr>
      <w:r w:rsidRPr="00A36307">
        <w:rPr>
          <w:b/>
          <w:snapToGrid w:val="0"/>
          <w:spacing w:val="-16"/>
        </w:rPr>
        <w:t>Ключевые слова:</w:t>
      </w:r>
      <w:r w:rsidRPr="00A36307">
        <w:rPr>
          <w:snapToGrid w:val="0"/>
          <w:spacing w:val="-16"/>
        </w:rPr>
        <w:t xml:space="preserve"> хронический периодонтит, обострения, леч</w:t>
      </w:r>
      <w:r w:rsidRPr="00A36307">
        <w:rPr>
          <w:snapToGrid w:val="0"/>
          <w:spacing w:val="-16"/>
        </w:rPr>
        <w:t>е</w:t>
      </w:r>
      <w:r w:rsidRPr="00A36307">
        <w:rPr>
          <w:snapToGrid w:val="0"/>
          <w:spacing w:val="-16"/>
        </w:rPr>
        <w:t>ние, профилактика, новый подход.</w:t>
      </w:r>
    </w:p>
    <w:p w:rsidR="00486081" w:rsidRPr="00A36307" w:rsidRDefault="00486081" w:rsidP="00486081">
      <w:pPr>
        <w:pStyle w:val="21"/>
        <w:ind w:firstLine="0"/>
        <w:rPr>
          <w:snapToGrid w:val="0"/>
          <w:spacing w:val="-16"/>
          <w:sz w:val="24"/>
          <w:szCs w:val="24"/>
          <w:lang w:val="en-US"/>
        </w:rPr>
      </w:pPr>
      <w:r w:rsidRPr="00A36307">
        <w:rPr>
          <w:snapToGrid w:val="0"/>
          <w:spacing w:val="-16"/>
          <w:sz w:val="24"/>
          <w:szCs w:val="24"/>
          <w:lang w:val="en-US"/>
        </w:rPr>
        <w:lastRenderedPageBreak/>
        <w:t>ABSTRACT</w:t>
      </w:r>
    </w:p>
    <w:p w:rsidR="00486081" w:rsidRPr="00A36307" w:rsidRDefault="00486081" w:rsidP="00486081">
      <w:pPr>
        <w:ind w:firstLine="567"/>
        <w:jc w:val="both"/>
        <w:rPr>
          <w:snapToGrid w:val="0"/>
          <w:spacing w:val="-16"/>
          <w:lang w:val="en-US"/>
        </w:rPr>
      </w:pPr>
      <w:r w:rsidRPr="00A36307">
        <w:rPr>
          <w:snapToGrid w:val="0"/>
          <w:spacing w:val="-16"/>
          <w:lang w:val="en-US"/>
        </w:rPr>
        <w:t>Chalaya T.A. Pathogenetic basement of new approach to treatment and prophylaxis of chronic periodontitis’ relapses. – Man</w:t>
      </w:r>
      <w:r w:rsidRPr="00A36307">
        <w:rPr>
          <w:snapToGrid w:val="0"/>
          <w:spacing w:val="-16"/>
          <w:lang w:val="en-US"/>
        </w:rPr>
        <w:t>u</w:t>
      </w:r>
      <w:r w:rsidRPr="00A36307">
        <w:rPr>
          <w:snapToGrid w:val="0"/>
          <w:spacing w:val="-16"/>
          <w:lang w:val="en-US"/>
        </w:rPr>
        <w:t>script.</w:t>
      </w:r>
    </w:p>
    <w:p w:rsidR="00486081" w:rsidRPr="00A36307" w:rsidRDefault="00486081" w:rsidP="00486081">
      <w:pPr>
        <w:ind w:firstLine="567"/>
        <w:jc w:val="both"/>
        <w:rPr>
          <w:snapToGrid w:val="0"/>
          <w:spacing w:val="-16"/>
          <w:lang w:val="en-US"/>
        </w:rPr>
      </w:pPr>
      <w:r w:rsidRPr="00A36307">
        <w:rPr>
          <w:snapToGrid w:val="0"/>
          <w:spacing w:val="-16"/>
          <w:lang w:val="en-US"/>
        </w:rPr>
        <w:t>The dissertation on obtaining of scientific degree of the candidate of medical sciences on specialty 14.03.04 – pathological physiology. – Lugansk State Medical Un</w:t>
      </w:r>
      <w:r w:rsidRPr="00A36307">
        <w:rPr>
          <w:snapToGrid w:val="0"/>
          <w:spacing w:val="-16"/>
          <w:lang w:val="en-US"/>
        </w:rPr>
        <w:t>i</w:t>
      </w:r>
      <w:r w:rsidRPr="00A36307">
        <w:rPr>
          <w:snapToGrid w:val="0"/>
          <w:spacing w:val="-16"/>
          <w:lang w:val="en-US"/>
        </w:rPr>
        <w:t xml:space="preserve">versity. – Lugansk, 2008. </w:t>
      </w:r>
    </w:p>
    <w:p w:rsidR="00486081" w:rsidRPr="00A36307" w:rsidRDefault="00486081" w:rsidP="00486081">
      <w:pPr>
        <w:ind w:firstLine="567"/>
        <w:jc w:val="both"/>
        <w:rPr>
          <w:snapToGrid w:val="0"/>
          <w:spacing w:val="-16"/>
          <w:lang w:val="en-US"/>
        </w:rPr>
      </w:pPr>
      <w:r w:rsidRPr="00A36307">
        <w:rPr>
          <w:snapToGrid w:val="0"/>
          <w:spacing w:val="-16"/>
          <w:lang w:val="en-US"/>
        </w:rPr>
        <w:t>The thesis is devoted to the clearance of actual task of modern medical sc</w:t>
      </w:r>
      <w:r w:rsidRPr="00A36307">
        <w:rPr>
          <w:snapToGrid w:val="0"/>
          <w:spacing w:val="-16"/>
          <w:lang w:val="en-US"/>
        </w:rPr>
        <w:t>i</w:t>
      </w:r>
      <w:r w:rsidRPr="00A36307">
        <w:rPr>
          <w:snapToGrid w:val="0"/>
          <w:spacing w:val="-16"/>
          <w:lang w:val="en-US"/>
        </w:rPr>
        <w:t>ence – to work up the pathogenetically based treatment and prophylaxis of chronic periodontitis relapses with usage of composition for root canals temporary sealing co</w:t>
      </w:r>
      <w:r w:rsidRPr="00A36307">
        <w:rPr>
          <w:snapToGrid w:val="0"/>
          <w:spacing w:val="-16"/>
          <w:lang w:val="en-US"/>
        </w:rPr>
        <w:t>n</w:t>
      </w:r>
      <w:r w:rsidRPr="00A36307">
        <w:rPr>
          <w:snapToGrid w:val="0"/>
          <w:spacing w:val="-16"/>
          <w:lang w:val="en-US"/>
        </w:rPr>
        <w:t>sisting of oily vitamin E solution, metronidazole, barium sulfate and ultradispersive hydroxyapatite legated with silver. The et</w:t>
      </w:r>
      <w:r w:rsidRPr="00A36307">
        <w:rPr>
          <w:snapToGrid w:val="0"/>
          <w:spacing w:val="-16"/>
          <w:lang w:val="en-US"/>
        </w:rPr>
        <w:t>i</w:t>
      </w:r>
      <w:r w:rsidRPr="00A36307">
        <w:rPr>
          <w:snapToGrid w:val="0"/>
          <w:spacing w:val="-16"/>
          <w:lang w:val="en-US"/>
        </w:rPr>
        <w:t>ological role of 21 strict anaerobic bacterial species is proved in development of chronic periodontitis, their antilysozyme, ant</w:t>
      </w:r>
      <w:r w:rsidRPr="00A36307">
        <w:rPr>
          <w:snapToGrid w:val="0"/>
          <w:spacing w:val="-16"/>
          <w:lang w:val="en-US"/>
        </w:rPr>
        <w:t>i</w:t>
      </w:r>
      <w:r w:rsidRPr="00A36307">
        <w:rPr>
          <w:snapToGrid w:val="0"/>
          <w:spacing w:val="-16"/>
          <w:lang w:val="en-US"/>
        </w:rPr>
        <w:t>complementary and antiimmunoglobulin activity is studied. The immune and metabolic status of patients with chronic periodontitis is studied in details. The three-stage method of treatment of patients with chronic periodont</w:t>
      </w:r>
      <w:r w:rsidRPr="00A36307">
        <w:rPr>
          <w:snapToGrid w:val="0"/>
          <w:spacing w:val="-16"/>
          <w:lang w:val="en-US"/>
        </w:rPr>
        <w:t>i</w:t>
      </w:r>
      <w:r w:rsidRPr="00A36307">
        <w:rPr>
          <w:snapToGrid w:val="0"/>
          <w:spacing w:val="-16"/>
          <w:lang w:val="en-US"/>
        </w:rPr>
        <w:t>tis is proposed that includes usage of composition for temporary sealing with si</w:t>
      </w:r>
      <w:r w:rsidRPr="00A36307">
        <w:rPr>
          <w:snapToGrid w:val="0"/>
          <w:spacing w:val="-16"/>
          <w:lang w:val="en-US"/>
        </w:rPr>
        <w:t>g</w:t>
      </w:r>
      <w:r w:rsidRPr="00A36307">
        <w:rPr>
          <w:snapToGrid w:val="0"/>
          <w:spacing w:val="-16"/>
          <w:lang w:val="en-US"/>
        </w:rPr>
        <w:t>nificant antibacterial effect, immunocorrecting and antioxidant action, and in 2-5 times decreases the frequency of relapses during 24 months.</w:t>
      </w:r>
    </w:p>
    <w:p w:rsidR="00486081" w:rsidRDefault="00486081" w:rsidP="00486081">
      <w:pPr>
        <w:pStyle w:val="25"/>
        <w:tabs>
          <w:tab w:val="left" w:pos="0"/>
        </w:tabs>
        <w:spacing w:line="240" w:lineRule="auto"/>
        <w:rPr>
          <w:snapToGrid w:val="0"/>
          <w:spacing w:val="-16"/>
          <w:sz w:val="24"/>
          <w:szCs w:val="24"/>
          <w:lang w:val="en-US"/>
        </w:rPr>
      </w:pPr>
      <w:r w:rsidRPr="00A36307">
        <w:rPr>
          <w:b/>
          <w:snapToGrid w:val="0"/>
          <w:spacing w:val="-16"/>
          <w:sz w:val="24"/>
          <w:szCs w:val="24"/>
          <w:lang w:val="en-US"/>
        </w:rPr>
        <w:t>Keywords:</w:t>
      </w:r>
      <w:r w:rsidRPr="00A36307">
        <w:rPr>
          <w:snapToGrid w:val="0"/>
          <w:spacing w:val="-16"/>
          <w:sz w:val="24"/>
          <w:szCs w:val="24"/>
          <w:lang w:val="en-US"/>
        </w:rPr>
        <w:t xml:space="preserve"> chronic periodontitis, relapses, treatment, prophylaxis, new approach.</w:t>
      </w:r>
    </w:p>
    <w:p w:rsidR="00486081" w:rsidRDefault="00486081" w:rsidP="00486081">
      <w:pPr>
        <w:pStyle w:val="25"/>
        <w:tabs>
          <w:tab w:val="left" w:pos="0"/>
        </w:tabs>
        <w:spacing w:line="240" w:lineRule="auto"/>
        <w:rPr>
          <w:snapToGrid w:val="0"/>
          <w:spacing w:val="-13"/>
          <w:sz w:val="24"/>
          <w:szCs w:val="24"/>
          <w:lang w:val="en-US"/>
        </w:rPr>
      </w:pPr>
    </w:p>
    <w:p w:rsidR="00486081" w:rsidRDefault="00486081" w:rsidP="00486081">
      <w:pPr>
        <w:pStyle w:val="25"/>
        <w:tabs>
          <w:tab w:val="left" w:pos="0"/>
        </w:tabs>
        <w:spacing w:line="240" w:lineRule="auto"/>
        <w:rPr>
          <w:snapToGrid w:val="0"/>
          <w:spacing w:val="-13"/>
          <w:sz w:val="24"/>
          <w:szCs w:val="24"/>
          <w:lang w:val="en-US"/>
        </w:rPr>
      </w:pPr>
    </w:p>
    <w:p w:rsidR="00486081" w:rsidRDefault="00486081" w:rsidP="00486081">
      <w:pPr>
        <w:spacing w:line="360" w:lineRule="auto"/>
        <w:jc w:val="center"/>
        <w:rPr>
          <w:spacing w:val="-9"/>
          <w:sz w:val="16"/>
        </w:rPr>
      </w:pPr>
      <w:r>
        <w:rPr>
          <w:spacing w:val="-9"/>
          <w:sz w:val="16"/>
        </w:rPr>
        <w:t>Підписано до друку  “01” вересня 2008 р. Формат  60</w:t>
      </w:r>
      <w:r>
        <w:rPr>
          <w:spacing w:val="-9"/>
          <w:sz w:val="16"/>
          <w:vertAlign w:val="subscript"/>
        </w:rPr>
        <w:t>*</w:t>
      </w:r>
      <w:r>
        <w:rPr>
          <w:spacing w:val="-9"/>
          <w:sz w:val="16"/>
        </w:rPr>
        <w:t>90/16. Папір для писання.</w:t>
      </w:r>
    </w:p>
    <w:p w:rsidR="00486081" w:rsidRDefault="00486081" w:rsidP="00486081">
      <w:pPr>
        <w:spacing w:line="360" w:lineRule="auto"/>
        <w:jc w:val="center"/>
        <w:rPr>
          <w:spacing w:val="-9"/>
          <w:sz w:val="16"/>
          <w:u w:val="single"/>
        </w:rPr>
      </w:pPr>
      <w:r>
        <w:rPr>
          <w:spacing w:val="-9"/>
          <w:sz w:val="16"/>
          <w:u w:val="single"/>
        </w:rPr>
        <w:t>Умовних. друк. арк. 0,9. Наклад 100 прим. Замовлення № 45. Безкоштовно.</w:t>
      </w:r>
    </w:p>
    <w:p w:rsidR="00486081" w:rsidRDefault="00486081" w:rsidP="00486081">
      <w:pPr>
        <w:spacing w:line="360" w:lineRule="auto"/>
        <w:jc w:val="center"/>
        <w:rPr>
          <w:spacing w:val="-9"/>
          <w:sz w:val="16"/>
        </w:rPr>
      </w:pPr>
      <w:r>
        <w:rPr>
          <w:spacing w:val="-9"/>
          <w:sz w:val="16"/>
        </w:rPr>
        <w:t>ПП Гайдаш І.С., Україна, 91007, Луганськ, вул. Привізна, 47а.</w:t>
      </w:r>
    </w:p>
    <w:p w:rsidR="00486081" w:rsidRDefault="00486081" w:rsidP="00486081">
      <w:pPr>
        <w:spacing w:line="360" w:lineRule="auto"/>
        <w:rPr>
          <w:spacing w:val="-9"/>
          <w:sz w:val="22"/>
        </w:rPr>
      </w:pPr>
    </w:p>
    <w:p w:rsidR="00486081" w:rsidRPr="00A36307" w:rsidRDefault="00486081" w:rsidP="00486081">
      <w:pPr>
        <w:pStyle w:val="25"/>
        <w:tabs>
          <w:tab w:val="left" w:pos="0"/>
        </w:tabs>
        <w:spacing w:line="240" w:lineRule="auto"/>
        <w:rPr>
          <w:snapToGrid w:val="0"/>
          <w:spacing w:val="-13"/>
          <w:sz w:val="24"/>
          <w:szCs w:val="24"/>
          <w:lang w:val="en-US"/>
        </w:rPr>
      </w:pPr>
    </w:p>
    <w:p w:rsidR="00EF6367" w:rsidRPr="0019442B" w:rsidRDefault="00EF6367" w:rsidP="0019442B">
      <w:pPr>
        <w:jc w:val="center"/>
        <w:rPr>
          <w:sz w:val="28"/>
          <w:szCs w:val="28"/>
          <w:lang w:val="en-US"/>
        </w:rPr>
      </w:pPr>
      <w:bookmarkStart w:id="0" w:name="_GoBack"/>
      <w:bookmarkEnd w:id="0"/>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95" w:rsidRDefault="00E46795">
      <w:r>
        <w:separator/>
      </w:r>
    </w:p>
  </w:endnote>
  <w:endnote w:type="continuationSeparator" w:id="0">
    <w:p w:rsidR="00E46795" w:rsidRDefault="00E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95" w:rsidRDefault="00E46795">
      <w:r>
        <w:separator/>
      </w:r>
    </w:p>
  </w:footnote>
  <w:footnote w:type="continuationSeparator" w:id="0">
    <w:p w:rsidR="00E46795" w:rsidRDefault="00E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1912639"/>
    <w:multiLevelType w:val="hybridMultilevel"/>
    <w:tmpl w:val="13027B6E"/>
    <w:lvl w:ilvl="0" w:tplc="C75EEEA2">
      <w:start w:val="1"/>
      <w:numFmt w:val="decimal"/>
      <w:lvlText w:val="%1."/>
      <w:lvlJc w:val="left"/>
      <w:pPr>
        <w:tabs>
          <w:tab w:val="num" w:pos="360"/>
        </w:tabs>
        <w:ind w:left="360" w:hanging="360"/>
      </w:pPr>
      <w:rPr>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1AA3205"/>
    <w:multiLevelType w:val="hybridMultilevel"/>
    <w:tmpl w:val="B982500C"/>
    <w:lvl w:ilvl="0" w:tplc="DE1A2C92">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9CB31B4"/>
    <w:multiLevelType w:val="singleLevel"/>
    <w:tmpl w:val="F11679B8"/>
    <w:lvl w:ilvl="0">
      <w:start w:val="1"/>
      <w:numFmt w:val="decimal"/>
      <w:lvlText w:val="%1."/>
      <w:lvlJc w:val="left"/>
      <w:pPr>
        <w:tabs>
          <w:tab w:val="num" w:pos="1080"/>
        </w:tabs>
        <w:ind w:left="1080" w:hanging="360"/>
      </w:pPr>
      <w:rPr>
        <w:rFonts w:hint="default"/>
      </w:rPr>
    </w:lvl>
  </w:abstractNum>
  <w:abstractNum w:abstractNumId="59">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0">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4">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1426D1E"/>
    <w:multiLevelType w:val="hybridMultilevel"/>
    <w:tmpl w:val="B94E6A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9"/>
  </w:num>
  <w:num w:numId="45">
    <w:abstractNumId w:val="5"/>
  </w:num>
  <w:num w:numId="46">
    <w:abstractNumId w:val="51"/>
  </w:num>
  <w:num w:numId="47">
    <w:abstractNumId w:val="57"/>
  </w:num>
  <w:num w:numId="48">
    <w:abstractNumId w:val="60"/>
  </w:num>
  <w:num w:numId="49">
    <w:abstractNumId w:val="69"/>
  </w:num>
  <w:num w:numId="50">
    <w:abstractNumId w:val="49"/>
  </w:num>
  <w:num w:numId="51">
    <w:abstractNumId w:val="64"/>
  </w:num>
  <w:num w:numId="52">
    <w:abstractNumId w:val="54"/>
  </w:num>
  <w:num w:numId="53">
    <w:abstractNumId w:val="50"/>
  </w:num>
  <w:num w:numId="54">
    <w:abstractNumId w:val="56"/>
  </w:num>
  <w:num w:numId="55">
    <w:abstractNumId w:val="48"/>
  </w:num>
  <w:num w:numId="56">
    <w:abstractNumId w:val="45"/>
  </w:num>
  <w:num w:numId="57">
    <w:abstractNumId w:val="65"/>
  </w:num>
  <w:num w:numId="58">
    <w:abstractNumId w:val="61"/>
  </w:num>
  <w:num w:numId="59">
    <w:abstractNumId w:val="62"/>
  </w:num>
  <w:num w:numId="60">
    <w:abstractNumId w:val="67"/>
  </w:num>
  <w:num w:numId="61">
    <w:abstractNumId w:val="55"/>
  </w:num>
  <w:num w:numId="62">
    <w:abstractNumId w:val="70"/>
  </w:num>
  <w:num w:numId="63">
    <w:abstractNumId w:val="46"/>
  </w:num>
  <w:num w:numId="64">
    <w:abstractNumId w:val="63"/>
  </w:num>
  <w:num w:numId="65">
    <w:abstractNumId w:val="66"/>
  </w:num>
  <w:num w:numId="66">
    <w:abstractNumId w:val="6"/>
  </w:num>
  <w:num w:numId="67">
    <w:abstractNumId w:val="68"/>
  </w:num>
  <w:num w:numId="68">
    <w:abstractNumId w:val="47"/>
  </w:num>
  <w:num w:numId="69">
    <w:abstractNumId w:val="58"/>
  </w:num>
  <w:num w:numId="70">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7F7"/>
    <w:rsid w:val="001939E6"/>
    <w:rsid w:val="00194099"/>
    <w:rsid w:val="0019442B"/>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876"/>
    <w:rsid w:val="00937AFD"/>
    <w:rsid w:val="009415C7"/>
    <w:rsid w:val="00941BB0"/>
    <w:rsid w:val="00943676"/>
    <w:rsid w:val="00944419"/>
    <w:rsid w:val="009455DA"/>
    <w:rsid w:val="00945F19"/>
    <w:rsid w:val="00946056"/>
    <w:rsid w:val="00946383"/>
    <w:rsid w:val="00947A60"/>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5CF2"/>
    <w:rsid w:val="00A963F2"/>
    <w:rsid w:val="00A96C62"/>
    <w:rsid w:val="00A97372"/>
    <w:rsid w:val="00AA2947"/>
    <w:rsid w:val="00AA2CCD"/>
    <w:rsid w:val="00AA2DB9"/>
    <w:rsid w:val="00AA4030"/>
    <w:rsid w:val="00AA46C8"/>
    <w:rsid w:val="00AA51C8"/>
    <w:rsid w:val="00AA5785"/>
    <w:rsid w:val="00AB01D4"/>
    <w:rsid w:val="00AB15CD"/>
    <w:rsid w:val="00AB16F4"/>
    <w:rsid w:val="00AB2DE6"/>
    <w:rsid w:val="00AB330E"/>
    <w:rsid w:val="00AB35F2"/>
    <w:rsid w:val="00AB3E0C"/>
    <w:rsid w:val="00AB4B7F"/>
    <w:rsid w:val="00AB5CD6"/>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C6F18"/>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59"/>
    <w:rsid w:val="00E41B75"/>
    <w:rsid w:val="00E42485"/>
    <w:rsid w:val="00E431A5"/>
    <w:rsid w:val="00E434EB"/>
    <w:rsid w:val="00E43761"/>
    <w:rsid w:val="00E453E7"/>
    <w:rsid w:val="00E45B14"/>
    <w:rsid w:val="00E4648F"/>
    <w:rsid w:val="00E4652E"/>
    <w:rsid w:val="00E46795"/>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0F04-B1B8-498B-98E4-CBF304E5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5770</TotalTime>
  <Pages>10</Pages>
  <Words>5664</Words>
  <Characters>32286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37875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1130</cp:revision>
  <cp:lastPrinted>2009-02-06T08:36:00Z</cp:lastPrinted>
  <dcterms:created xsi:type="dcterms:W3CDTF">2015-03-22T11:10:00Z</dcterms:created>
  <dcterms:modified xsi:type="dcterms:W3CDTF">2015-09-08T12:57:00Z</dcterms:modified>
</cp:coreProperties>
</file>