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7E85" w:rsidRDefault="00DF7E85" w:rsidP="00DF7E85">
      <w:pPr>
        <w:spacing w:line="360" w:lineRule="auto"/>
        <w:jc w:val="center"/>
        <w:rPr>
          <w:b/>
          <w:bCs/>
        </w:rPr>
      </w:pPr>
      <w:bookmarkStart w:id="0" w:name="_Hlt159839706"/>
      <w:bookmarkEnd w:id="0"/>
      <w:r>
        <w:rPr>
          <w:b/>
          <w:bCs/>
        </w:rPr>
        <w:t>МІНІСТЕРСТВО ОХОРОНИ ЗДОРОВ’Я УКРАЇНИ</w:t>
      </w:r>
    </w:p>
    <w:p w:rsidR="00DF7E85" w:rsidRDefault="00DF7E85" w:rsidP="00DF7E85">
      <w:pPr>
        <w:spacing w:line="360" w:lineRule="auto"/>
        <w:jc w:val="center"/>
        <w:rPr>
          <w:b/>
          <w:bCs/>
        </w:rPr>
      </w:pPr>
      <w:r>
        <w:rPr>
          <w:b/>
          <w:bCs/>
        </w:rPr>
        <w:t>ВІННИЦЬКИЙ НАЦІОНАЛЬНИЙ МЕДИЧНИЙ УНІВЕРСИТЕТ</w:t>
      </w:r>
    </w:p>
    <w:p w:rsidR="00DF7E85" w:rsidRDefault="00DF7E85" w:rsidP="00DF7E85">
      <w:pPr>
        <w:spacing w:line="360" w:lineRule="auto"/>
        <w:jc w:val="center"/>
        <w:rPr>
          <w:b/>
          <w:bCs/>
        </w:rPr>
      </w:pPr>
      <w:r>
        <w:rPr>
          <w:b/>
          <w:bCs/>
        </w:rPr>
        <w:t>ІМ.  М. І. ПИРОГОВА</w:t>
      </w:r>
    </w:p>
    <w:p w:rsidR="00DF7E85" w:rsidRDefault="00DF7E85" w:rsidP="00DF7E85">
      <w:pPr>
        <w:spacing w:line="360" w:lineRule="auto"/>
        <w:jc w:val="center"/>
        <w:rPr>
          <w:b/>
          <w:bCs/>
        </w:rPr>
      </w:pPr>
    </w:p>
    <w:p w:rsidR="00DF7E85" w:rsidRDefault="00DF7E85" w:rsidP="00DF7E85">
      <w:pPr>
        <w:spacing w:line="360" w:lineRule="auto"/>
        <w:jc w:val="center"/>
      </w:pPr>
    </w:p>
    <w:p w:rsidR="00DF7E85" w:rsidRDefault="00DF7E85" w:rsidP="00DF7E85">
      <w:pPr>
        <w:pStyle w:val="1"/>
        <w:rPr>
          <w:b w:val="0"/>
          <w:bCs w:val="0"/>
          <w:sz w:val="24"/>
          <w:lang w:val="en-US"/>
        </w:rPr>
      </w:pPr>
    </w:p>
    <w:p w:rsidR="00DF7E85" w:rsidRDefault="00DF7E85" w:rsidP="00DF7E85">
      <w:pPr>
        <w:pStyle w:val="1"/>
        <w:rPr>
          <w:b w:val="0"/>
          <w:bCs w:val="0"/>
          <w:sz w:val="24"/>
        </w:rPr>
      </w:pPr>
      <w:r>
        <w:rPr>
          <w:b w:val="0"/>
          <w:bCs w:val="0"/>
          <w:sz w:val="24"/>
        </w:rPr>
        <w:t>Коробко Лариса Ростиславівна</w:t>
      </w:r>
    </w:p>
    <w:p w:rsidR="00DF7E85" w:rsidRDefault="00DF7E85" w:rsidP="00DF7E85">
      <w:pPr>
        <w:spacing w:line="360" w:lineRule="auto"/>
        <w:jc w:val="center"/>
      </w:pPr>
    </w:p>
    <w:p w:rsidR="00DF7E85" w:rsidRDefault="00DF7E85" w:rsidP="00DF7E85">
      <w:pPr>
        <w:pStyle w:val="afffffffd"/>
        <w:rPr>
          <w:lang w:val="en-US"/>
        </w:rPr>
      </w:pPr>
    </w:p>
    <w:p w:rsidR="00DF7E85" w:rsidRDefault="00DF7E85" w:rsidP="00DF7E85">
      <w:pPr>
        <w:pStyle w:val="afffffffd"/>
        <w:jc w:val="right"/>
      </w:pPr>
      <w:r>
        <w:t>УДК 616.37-002-036.11-06:616.12-008.6]-089.15</w:t>
      </w:r>
    </w:p>
    <w:p w:rsidR="00DF7E85" w:rsidRDefault="00DF7E85" w:rsidP="00DF7E85">
      <w:pPr>
        <w:spacing w:line="360" w:lineRule="auto"/>
        <w:jc w:val="center"/>
        <w:rPr>
          <w:b/>
        </w:rPr>
      </w:pPr>
    </w:p>
    <w:p w:rsidR="00DF7E85" w:rsidRDefault="00DF7E85" w:rsidP="00DF7E85">
      <w:pPr>
        <w:spacing w:line="360" w:lineRule="auto"/>
        <w:jc w:val="center"/>
        <w:rPr>
          <w:b/>
        </w:rPr>
      </w:pPr>
    </w:p>
    <w:p w:rsidR="00DF7E85" w:rsidRDefault="00DF7E85" w:rsidP="00DF7E85">
      <w:pPr>
        <w:spacing w:line="360" w:lineRule="auto"/>
        <w:jc w:val="center"/>
        <w:rPr>
          <w:b/>
          <w:bCs/>
        </w:rPr>
      </w:pPr>
    </w:p>
    <w:p w:rsidR="00DF7E85" w:rsidRDefault="00DF7E85" w:rsidP="00DF7E85">
      <w:pPr>
        <w:spacing w:line="360" w:lineRule="auto"/>
        <w:jc w:val="center"/>
        <w:rPr>
          <w:b/>
          <w:bCs/>
        </w:rPr>
      </w:pPr>
    </w:p>
    <w:p w:rsidR="00DF7E85" w:rsidRDefault="00DF7E85" w:rsidP="00DF7E85">
      <w:pPr>
        <w:spacing w:line="360" w:lineRule="auto"/>
        <w:jc w:val="center"/>
        <w:rPr>
          <w:b/>
          <w:bCs/>
        </w:rPr>
      </w:pPr>
      <w:r>
        <w:rPr>
          <w:b/>
          <w:bCs/>
        </w:rPr>
        <w:t>ВИБІР ЛІКУВАЛЬНОЇ ТАКТИКИ ТА ОБ’ЄМУ ОПЕРАТИВНОГО</w:t>
      </w:r>
    </w:p>
    <w:p w:rsidR="00DF7E85" w:rsidRDefault="00DF7E85" w:rsidP="00DF7E85">
      <w:pPr>
        <w:spacing w:line="360" w:lineRule="auto"/>
        <w:jc w:val="center"/>
        <w:rPr>
          <w:b/>
          <w:bCs/>
        </w:rPr>
      </w:pPr>
      <w:r>
        <w:rPr>
          <w:b/>
          <w:bCs/>
        </w:rPr>
        <w:t>ВТРУЧАННЯ У ХВОРИХ  НА  ГОСТРИЙ  ПАНКРЕАТИТ  ІЗ</w:t>
      </w:r>
    </w:p>
    <w:p w:rsidR="00DF7E85" w:rsidRDefault="00DF7E85" w:rsidP="00DF7E85">
      <w:pPr>
        <w:spacing w:line="360" w:lineRule="auto"/>
        <w:jc w:val="center"/>
      </w:pPr>
      <w:r>
        <w:rPr>
          <w:b/>
          <w:bCs/>
        </w:rPr>
        <w:t>СУПРОВІДНОЮ СЕРЦЕВО-СУДИННОЮ ПАТОЛОГІЄЮ</w:t>
      </w:r>
    </w:p>
    <w:p w:rsidR="00DF7E85" w:rsidRDefault="00DF7E85" w:rsidP="00DF7E85">
      <w:pPr>
        <w:spacing w:line="360" w:lineRule="auto"/>
        <w:jc w:val="center"/>
      </w:pPr>
    </w:p>
    <w:p w:rsidR="00DF7E85" w:rsidRDefault="00DF7E85" w:rsidP="00DF7E85">
      <w:pPr>
        <w:spacing w:line="360" w:lineRule="auto"/>
        <w:jc w:val="center"/>
      </w:pPr>
    </w:p>
    <w:p w:rsidR="00DF7E85" w:rsidRDefault="00DF7E85" w:rsidP="00DF7E85">
      <w:pPr>
        <w:spacing w:line="360" w:lineRule="auto"/>
        <w:jc w:val="center"/>
      </w:pPr>
      <w:r>
        <w:t>14. 01. 03 --  хірургія</w:t>
      </w:r>
    </w:p>
    <w:p w:rsidR="00DF7E85" w:rsidRDefault="00DF7E85" w:rsidP="00DF7E85">
      <w:pPr>
        <w:spacing w:line="360" w:lineRule="auto"/>
        <w:jc w:val="center"/>
      </w:pPr>
    </w:p>
    <w:p w:rsidR="00DF7E85" w:rsidRDefault="00DF7E85" w:rsidP="00DF7E85">
      <w:pPr>
        <w:spacing w:line="360" w:lineRule="auto"/>
        <w:jc w:val="center"/>
      </w:pPr>
    </w:p>
    <w:p w:rsidR="00DF7E85" w:rsidRDefault="00DF7E85" w:rsidP="00DF7E85">
      <w:pPr>
        <w:spacing w:line="360" w:lineRule="auto"/>
        <w:jc w:val="center"/>
      </w:pPr>
    </w:p>
    <w:p w:rsidR="00DF7E85" w:rsidRDefault="00DF7E85" w:rsidP="00DF7E85">
      <w:pPr>
        <w:spacing w:line="360" w:lineRule="auto"/>
        <w:jc w:val="center"/>
      </w:pPr>
      <w:r>
        <w:t>АВТОРЕФЕРАТ</w:t>
      </w:r>
    </w:p>
    <w:p w:rsidR="00DF7E85" w:rsidRDefault="00DF7E85" w:rsidP="00DF7E85">
      <w:pPr>
        <w:pStyle w:val="afffffffd"/>
      </w:pPr>
      <w:r>
        <w:t>дисертації</w:t>
      </w:r>
    </w:p>
    <w:p w:rsidR="00DF7E85" w:rsidRDefault="00DF7E85" w:rsidP="00DF7E85">
      <w:pPr>
        <w:pStyle w:val="afffffffd"/>
      </w:pPr>
      <w:r>
        <w:t>на здобуття наукового ступеня</w:t>
      </w:r>
    </w:p>
    <w:p w:rsidR="00DF7E85" w:rsidRDefault="00DF7E85" w:rsidP="00DF7E85">
      <w:pPr>
        <w:pStyle w:val="afffffffd"/>
      </w:pPr>
      <w:r>
        <w:t>кандидата медичних наук</w:t>
      </w:r>
    </w:p>
    <w:p w:rsidR="00DF7E85" w:rsidRDefault="00DF7E85" w:rsidP="00DF7E85">
      <w:pPr>
        <w:pStyle w:val="afffffffd"/>
      </w:pPr>
    </w:p>
    <w:p w:rsidR="00DF7E85" w:rsidRDefault="00DF7E85" w:rsidP="00DF7E85">
      <w:pPr>
        <w:pStyle w:val="afffffffd"/>
      </w:pPr>
    </w:p>
    <w:p w:rsidR="00DF7E85" w:rsidRDefault="00DF7E85" w:rsidP="00DF7E85">
      <w:pPr>
        <w:pStyle w:val="afffffffd"/>
      </w:pPr>
    </w:p>
    <w:p w:rsidR="00DF7E85" w:rsidRDefault="00DF7E85" w:rsidP="00DF7E85">
      <w:pPr>
        <w:pStyle w:val="afffffffd"/>
      </w:pPr>
    </w:p>
    <w:p w:rsidR="00DF7E85" w:rsidRDefault="00DF7E85" w:rsidP="00DF7E85">
      <w:pPr>
        <w:pStyle w:val="afffffffd"/>
      </w:pPr>
    </w:p>
    <w:p w:rsidR="00DF7E85" w:rsidRDefault="00DF7E85" w:rsidP="00DF7E85">
      <w:pPr>
        <w:pStyle w:val="afffffffd"/>
      </w:pPr>
    </w:p>
    <w:p w:rsidR="00DF7E85" w:rsidRDefault="00DF7E85" w:rsidP="00DF7E85">
      <w:pPr>
        <w:pStyle w:val="afffffffd"/>
      </w:pPr>
      <w:r>
        <w:t>Вінниця – 2008</w:t>
      </w:r>
    </w:p>
    <w:p w:rsidR="00DF7E85" w:rsidRDefault="00DF7E85" w:rsidP="00DF7E85">
      <w:pPr>
        <w:pStyle w:val="afffffffd"/>
        <w:ind w:firstLine="709"/>
        <w:jc w:val="both"/>
      </w:pPr>
    </w:p>
    <w:p w:rsidR="00DF7E85" w:rsidRDefault="00DF7E85" w:rsidP="00DF7E85">
      <w:pPr>
        <w:pStyle w:val="afffffffd"/>
        <w:jc w:val="both"/>
      </w:pPr>
      <w:r>
        <w:t>Дисертацією є рукопис.</w:t>
      </w:r>
    </w:p>
    <w:p w:rsidR="00DF7E85" w:rsidRDefault="00DF7E85" w:rsidP="00DF7E85">
      <w:pPr>
        <w:spacing w:line="360" w:lineRule="auto"/>
        <w:jc w:val="both"/>
      </w:pPr>
      <w:r>
        <w:t xml:space="preserve">Робота виконана в Тернопільському державному медичному університеті </w:t>
      </w:r>
      <w:r>
        <w:br/>
        <w:t xml:space="preserve">ім. І.Я. Горбачевського МОЗ України </w:t>
      </w:r>
    </w:p>
    <w:p w:rsidR="00DF7E85" w:rsidRDefault="00DF7E85" w:rsidP="00DF7E85">
      <w:pPr>
        <w:spacing w:line="360" w:lineRule="auto"/>
        <w:ind w:firstLine="709"/>
        <w:jc w:val="both"/>
      </w:pPr>
    </w:p>
    <w:p w:rsidR="00DF7E85" w:rsidRDefault="00DF7E85" w:rsidP="00DF7E85">
      <w:pPr>
        <w:tabs>
          <w:tab w:val="left" w:pos="3060"/>
        </w:tabs>
        <w:spacing w:line="360" w:lineRule="auto"/>
        <w:jc w:val="both"/>
      </w:pPr>
      <w:r>
        <w:rPr>
          <w:b/>
          <w:bCs/>
        </w:rPr>
        <w:t xml:space="preserve">Науковий керівник: </w:t>
      </w:r>
      <w:r>
        <w:t xml:space="preserve"> доктор  медичних  наук,  професор, Заслужений лікар України  </w:t>
      </w:r>
    </w:p>
    <w:p w:rsidR="00DF7E85" w:rsidRDefault="00DF7E85" w:rsidP="00DF7E85">
      <w:pPr>
        <w:tabs>
          <w:tab w:val="left" w:pos="3060"/>
        </w:tabs>
        <w:spacing w:line="360" w:lineRule="auto"/>
        <w:jc w:val="both"/>
      </w:pPr>
      <w:r>
        <w:t xml:space="preserve">                                      </w:t>
      </w:r>
      <w:r>
        <w:rPr>
          <w:b/>
          <w:bCs/>
        </w:rPr>
        <w:t>Сабадишин Ростислав Олексійович</w:t>
      </w:r>
      <w:r>
        <w:t xml:space="preserve">, </w:t>
      </w:r>
    </w:p>
    <w:p w:rsidR="00DF7E85" w:rsidRDefault="00DF7E85" w:rsidP="00DF7E85">
      <w:pPr>
        <w:tabs>
          <w:tab w:val="left" w:pos="3060"/>
        </w:tabs>
        <w:spacing w:line="360" w:lineRule="auto"/>
        <w:jc w:val="both"/>
      </w:pPr>
      <w:r>
        <w:t xml:space="preserve">                                       Рівненський базовий держа</w:t>
      </w:r>
      <w:r>
        <w:t>в</w:t>
      </w:r>
      <w:r>
        <w:t xml:space="preserve">ний медичний коледж </w:t>
      </w:r>
    </w:p>
    <w:p w:rsidR="00DF7E85" w:rsidRDefault="00DF7E85" w:rsidP="00DF7E85">
      <w:pPr>
        <w:tabs>
          <w:tab w:val="left" w:pos="3060"/>
        </w:tabs>
        <w:spacing w:line="360" w:lineRule="auto"/>
        <w:jc w:val="both"/>
      </w:pPr>
      <w:r>
        <w:t xml:space="preserve">                                       МОЗ України,   директор</w:t>
      </w:r>
    </w:p>
    <w:p w:rsidR="00DF7E85" w:rsidRDefault="00DF7E85" w:rsidP="00DF7E85">
      <w:pPr>
        <w:spacing w:line="360" w:lineRule="auto"/>
        <w:jc w:val="both"/>
      </w:pPr>
      <w:r>
        <w:t xml:space="preserve">                   </w:t>
      </w:r>
    </w:p>
    <w:p w:rsidR="00DF7E85" w:rsidRDefault="00DF7E85" w:rsidP="00DF7E85">
      <w:pPr>
        <w:shd w:val="clear" w:color="auto" w:fill="FFFFFF"/>
        <w:tabs>
          <w:tab w:val="left" w:pos="3060"/>
        </w:tabs>
        <w:autoSpaceDE w:val="0"/>
        <w:autoSpaceDN w:val="0"/>
        <w:adjustRightInd w:val="0"/>
        <w:spacing w:line="360" w:lineRule="auto"/>
        <w:jc w:val="both"/>
        <w:rPr>
          <w:color w:val="000000"/>
        </w:rPr>
      </w:pPr>
      <w:r>
        <w:rPr>
          <w:b/>
          <w:bCs/>
        </w:rPr>
        <w:t>Офіційні опоненти:</w:t>
      </w:r>
      <w:r>
        <w:t xml:space="preserve"> </w:t>
      </w:r>
    </w:p>
    <w:p w:rsidR="00DF7E85" w:rsidRDefault="00DF7E85" w:rsidP="00BF235D">
      <w:pPr>
        <w:numPr>
          <w:ilvl w:val="0"/>
          <w:numId w:val="57"/>
        </w:numPr>
        <w:shd w:val="clear" w:color="auto" w:fill="FFFFFF"/>
        <w:suppressAutoHyphens w:val="0"/>
        <w:autoSpaceDE w:val="0"/>
        <w:autoSpaceDN w:val="0"/>
        <w:adjustRightInd w:val="0"/>
        <w:spacing w:line="360" w:lineRule="auto"/>
        <w:jc w:val="both"/>
      </w:pPr>
      <w:r>
        <w:rPr>
          <w:color w:val="000000"/>
        </w:rPr>
        <w:t xml:space="preserve">доктор медичних наук, професор </w:t>
      </w:r>
      <w:r>
        <w:rPr>
          <w:b/>
          <w:bCs/>
          <w:color w:val="000000"/>
        </w:rPr>
        <w:t>Желіба Микола Дмитрович,</w:t>
      </w:r>
      <w:r>
        <w:rPr>
          <w:color w:val="000000"/>
        </w:rPr>
        <w:t xml:space="preserve"> Вінницький національний медичний університет ім. М.І. Пирогова,</w:t>
      </w:r>
      <w:r>
        <w:t xml:space="preserve"> завідувач кафедри загальної хірургії; </w:t>
      </w:r>
    </w:p>
    <w:p w:rsidR="00DF7E85" w:rsidRDefault="00DF7E85" w:rsidP="00DF7E85">
      <w:pPr>
        <w:shd w:val="clear" w:color="auto" w:fill="FFFFFF"/>
        <w:autoSpaceDE w:val="0"/>
        <w:autoSpaceDN w:val="0"/>
        <w:adjustRightInd w:val="0"/>
        <w:spacing w:line="360" w:lineRule="auto"/>
        <w:jc w:val="both"/>
        <w:rPr>
          <w:color w:val="000000"/>
        </w:rPr>
      </w:pPr>
    </w:p>
    <w:p w:rsidR="00DF7E85" w:rsidRDefault="00DF7E85" w:rsidP="00BF235D">
      <w:pPr>
        <w:numPr>
          <w:ilvl w:val="0"/>
          <w:numId w:val="57"/>
        </w:numPr>
        <w:shd w:val="clear" w:color="auto" w:fill="FFFFFF"/>
        <w:suppressAutoHyphens w:val="0"/>
        <w:autoSpaceDE w:val="0"/>
        <w:autoSpaceDN w:val="0"/>
        <w:adjustRightInd w:val="0"/>
        <w:spacing w:line="360" w:lineRule="auto"/>
        <w:jc w:val="both"/>
        <w:rPr>
          <w:color w:val="000000"/>
        </w:rPr>
      </w:pPr>
      <w:r>
        <w:rPr>
          <w:color w:val="000000"/>
        </w:rPr>
        <w:t>доктор медичних наук, професор</w:t>
      </w:r>
      <w:r>
        <w:rPr>
          <w:b/>
          <w:bCs/>
        </w:rPr>
        <w:t xml:space="preserve"> Іващук Олександр Іванович,</w:t>
      </w:r>
      <w:r>
        <w:rPr>
          <w:color w:val="000000"/>
        </w:rPr>
        <w:t xml:space="preserve"> Буковинський державний медичний  університет МОЗ України  проректор з наукової  роботи та міжнародних зв’язків, професор кафедри загальної хірургії, топографічної анатомії та оперативної хірургії</w:t>
      </w:r>
    </w:p>
    <w:p w:rsidR="00DF7E85" w:rsidRDefault="00DF7E85" w:rsidP="00DF7E85">
      <w:pPr>
        <w:shd w:val="clear" w:color="auto" w:fill="FFFFFF"/>
        <w:autoSpaceDE w:val="0"/>
        <w:autoSpaceDN w:val="0"/>
        <w:adjustRightInd w:val="0"/>
        <w:spacing w:line="360" w:lineRule="auto"/>
        <w:jc w:val="both"/>
        <w:rPr>
          <w:color w:val="000000"/>
        </w:rPr>
      </w:pPr>
    </w:p>
    <w:p w:rsidR="00DF7E85" w:rsidRDefault="00DF7E85" w:rsidP="00DF7E85">
      <w:pPr>
        <w:tabs>
          <w:tab w:val="left" w:pos="3420"/>
        </w:tabs>
        <w:spacing w:line="360" w:lineRule="auto"/>
        <w:jc w:val="both"/>
      </w:pPr>
    </w:p>
    <w:p w:rsidR="00DF7E85" w:rsidRDefault="00DF7E85" w:rsidP="00DF7E85">
      <w:pPr>
        <w:tabs>
          <w:tab w:val="left" w:pos="3420"/>
        </w:tabs>
        <w:spacing w:line="360" w:lineRule="auto"/>
        <w:jc w:val="both"/>
      </w:pPr>
      <w:r>
        <w:t>Захист дисертації відбудеться “</w:t>
      </w:r>
      <w:r>
        <w:rPr>
          <w:u w:val="single"/>
        </w:rPr>
        <w:t>25</w:t>
      </w:r>
      <w:r>
        <w:t xml:space="preserve">” </w:t>
      </w:r>
      <w:r>
        <w:rPr>
          <w:u w:val="single"/>
        </w:rPr>
        <w:t xml:space="preserve">березня </w:t>
      </w:r>
      <w:r>
        <w:t>2008 року о “</w:t>
      </w:r>
      <w:r>
        <w:rPr>
          <w:u w:val="single"/>
        </w:rPr>
        <w:t>12</w:t>
      </w:r>
      <w:r>
        <w:t>” годині на засіданні спеціалізованої вченої ради Д 05.600.01 при Вінницькому наці</w:t>
      </w:r>
      <w:r>
        <w:t>о</w:t>
      </w:r>
      <w:r>
        <w:t xml:space="preserve">нальному медичному університеті ім. М. І. Пирогова (210018, м. Вінниця, вул. М.І. Пирогова, 56). </w:t>
      </w:r>
    </w:p>
    <w:p w:rsidR="00DF7E85" w:rsidRDefault="00DF7E85" w:rsidP="00DF7E85">
      <w:pPr>
        <w:tabs>
          <w:tab w:val="left" w:pos="3420"/>
        </w:tabs>
        <w:spacing w:line="360" w:lineRule="auto"/>
        <w:jc w:val="both"/>
      </w:pPr>
    </w:p>
    <w:p w:rsidR="00DF7E85" w:rsidRDefault="00DF7E85" w:rsidP="00DF7E85">
      <w:pPr>
        <w:tabs>
          <w:tab w:val="left" w:pos="3420"/>
        </w:tabs>
        <w:spacing w:line="360" w:lineRule="auto"/>
        <w:jc w:val="both"/>
      </w:pPr>
      <w:r>
        <w:t xml:space="preserve">З дисертацією можна ознайомитись у бібліотеці Вінницького національного медичного  університету  ім. М. І. Пирогова (210018, м. Вінниця, вул. М.І. Пирогова, 56). </w:t>
      </w:r>
    </w:p>
    <w:p w:rsidR="00DF7E85" w:rsidRDefault="00DF7E85" w:rsidP="00DF7E85">
      <w:pPr>
        <w:tabs>
          <w:tab w:val="left" w:pos="3420"/>
        </w:tabs>
        <w:spacing w:line="360" w:lineRule="auto"/>
        <w:jc w:val="both"/>
      </w:pPr>
    </w:p>
    <w:p w:rsidR="00DF7E85" w:rsidRDefault="00DF7E85" w:rsidP="00DF7E85">
      <w:pPr>
        <w:tabs>
          <w:tab w:val="left" w:pos="3420"/>
        </w:tabs>
        <w:spacing w:line="360" w:lineRule="auto"/>
        <w:jc w:val="both"/>
      </w:pPr>
      <w:r>
        <w:t xml:space="preserve">  </w:t>
      </w:r>
    </w:p>
    <w:p w:rsidR="00DF7E85" w:rsidRDefault="00DF7E85" w:rsidP="00DF7E85">
      <w:pPr>
        <w:tabs>
          <w:tab w:val="left" w:pos="3420"/>
        </w:tabs>
        <w:spacing w:line="360" w:lineRule="auto"/>
        <w:jc w:val="both"/>
      </w:pPr>
      <w:r>
        <w:lastRenderedPageBreak/>
        <w:t>Автореферат розісланий</w:t>
      </w:r>
      <w:r>
        <w:rPr>
          <w:b/>
          <w:bCs/>
        </w:rPr>
        <w:t xml:space="preserve"> </w:t>
      </w:r>
      <w:r>
        <w:t xml:space="preserve"> “</w:t>
      </w:r>
      <w:r>
        <w:rPr>
          <w:u w:val="single"/>
        </w:rPr>
        <w:t>22</w:t>
      </w:r>
      <w:r>
        <w:t xml:space="preserve">” </w:t>
      </w:r>
      <w:r>
        <w:rPr>
          <w:u w:val="single"/>
        </w:rPr>
        <w:t xml:space="preserve">лютого </w:t>
      </w:r>
      <w:r>
        <w:t xml:space="preserve"> 200</w:t>
      </w:r>
      <w:r w:rsidRPr="00DF7E85">
        <w:t>8</w:t>
      </w:r>
      <w:r>
        <w:t xml:space="preserve"> р.</w:t>
      </w:r>
    </w:p>
    <w:p w:rsidR="00DF7E85" w:rsidRDefault="00DF7E85" w:rsidP="00DF7E85">
      <w:pPr>
        <w:tabs>
          <w:tab w:val="left" w:pos="3420"/>
        </w:tabs>
        <w:spacing w:line="360" w:lineRule="auto"/>
        <w:ind w:firstLine="709"/>
        <w:jc w:val="both"/>
      </w:pPr>
    </w:p>
    <w:p w:rsidR="00DF7E85" w:rsidRDefault="00DF7E85" w:rsidP="00DF7E85">
      <w:pPr>
        <w:tabs>
          <w:tab w:val="left" w:pos="3420"/>
        </w:tabs>
        <w:spacing w:line="360" w:lineRule="auto"/>
        <w:ind w:firstLine="709"/>
        <w:jc w:val="both"/>
        <w:rPr>
          <w:b/>
          <w:bCs/>
        </w:rPr>
      </w:pPr>
    </w:p>
    <w:p w:rsidR="00DF7E85" w:rsidRDefault="00DF7E85" w:rsidP="00DF7E85">
      <w:pPr>
        <w:tabs>
          <w:tab w:val="left" w:pos="3420"/>
        </w:tabs>
        <w:spacing w:line="360" w:lineRule="auto"/>
        <w:ind w:firstLine="709"/>
        <w:jc w:val="both"/>
        <w:rPr>
          <w:b/>
          <w:bCs/>
        </w:rPr>
      </w:pPr>
      <w:r>
        <w:rPr>
          <w:b/>
          <w:bCs/>
        </w:rPr>
        <w:t>Вчений секретар</w:t>
      </w:r>
    </w:p>
    <w:p w:rsidR="00DF7E85" w:rsidRDefault="00DF7E85" w:rsidP="00DF7E85">
      <w:pPr>
        <w:tabs>
          <w:tab w:val="left" w:pos="3420"/>
        </w:tabs>
        <w:spacing w:line="360" w:lineRule="auto"/>
        <w:ind w:firstLine="709"/>
        <w:jc w:val="both"/>
        <w:rPr>
          <w:b/>
          <w:bCs/>
        </w:rPr>
      </w:pPr>
      <w:r>
        <w:rPr>
          <w:b/>
          <w:bCs/>
        </w:rPr>
        <w:t xml:space="preserve">спеціалізованої ради, </w:t>
      </w:r>
    </w:p>
    <w:p w:rsidR="00DF7E85" w:rsidRDefault="00DF7E85" w:rsidP="00DF7E85">
      <w:pPr>
        <w:tabs>
          <w:tab w:val="left" w:pos="3420"/>
        </w:tabs>
        <w:spacing w:line="360" w:lineRule="auto"/>
        <w:ind w:firstLine="709"/>
        <w:jc w:val="both"/>
        <w:rPr>
          <w:b/>
          <w:bCs/>
        </w:rPr>
      </w:pPr>
      <w:r>
        <w:rPr>
          <w:b/>
          <w:bCs/>
        </w:rPr>
        <w:t xml:space="preserve">доктор мед. наук, професор                                           </w:t>
      </w:r>
      <w:r>
        <w:t>С.Д. Хіміч</w:t>
      </w:r>
      <w:r>
        <w:rPr>
          <w:b/>
          <w:bCs/>
        </w:rPr>
        <w:t xml:space="preserve">    </w:t>
      </w:r>
    </w:p>
    <w:p w:rsidR="00DF7E85" w:rsidRDefault="00DF7E85" w:rsidP="00DF7E85">
      <w:pPr>
        <w:tabs>
          <w:tab w:val="left" w:pos="3420"/>
        </w:tabs>
        <w:spacing w:line="360" w:lineRule="auto"/>
        <w:ind w:firstLine="709"/>
        <w:jc w:val="both"/>
      </w:pPr>
      <w:r>
        <w:rPr>
          <w:b/>
          <w:bCs/>
        </w:rPr>
        <w:t xml:space="preserve">                                           </w:t>
      </w:r>
    </w:p>
    <w:p w:rsidR="00DF7E85" w:rsidRDefault="00DF7E85" w:rsidP="00DF7E85">
      <w:pPr>
        <w:pStyle w:val="afffffffd"/>
        <w:tabs>
          <w:tab w:val="left" w:pos="4680"/>
        </w:tabs>
        <w:rPr>
          <w:b/>
          <w:bCs/>
        </w:rPr>
      </w:pPr>
      <w:r>
        <w:rPr>
          <w:b/>
          <w:bCs/>
        </w:rPr>
        <w:t>ЗАГАЛЬНА ХАРАКТЕРИСТИКА РОБОТИ</w:t>
      </w:r>
    </w:p>
    <w:p w:rsidR="00DF7E85" w:rsidRDefault="00DF7E85" w:rsidP="00DF7E85">
      <w:pPr>
        <w:spacing w:line="360" w:lineRule="auto"/>
        <w:ind w:firstLine="709"/>
        <w:jc w:val="both"/>
      </w:pPr>
      <w:r>
        <w:rPr>
          <w:b/>
          <w:bCs/>
        </w:rPr>
        <w:t>Актуальність проблеми.</w:t>
      </w:r>
      <w:r>
        <w:t xml:space="preserve"> </w:t>
      </w:r>
      <w:r>
        <w:rPr>
          <w:color w:val="000000"/>
        </w:rPr>
        <w:t>Питання хірургічної тактики, термінів та об’єму хірургічних втручань при гострому панкреатиті з супутньою серцево-судинною патологією залишаються досі невирішеними.</w:t>
      </w:r>
      <w:r>
        <w:t xml:space="preserve"> Порушення функціонального стану міокарду та гемодинаміки відіграє ва</w:t>
      </w:r>
      <w:r>
        <w:t>ж</w:t>
      </w:r>
      <w:r>
        <w:t>ливу роль у патогенезі розладів життєво важливих функцій організму, тим самим погіршує прогноз та перебіг ГП, видозм</w:t>
      </w:r>
      <w:r>
        <w:t>і</w:t>
      </w:r>
      <w:r>
        <w:t>нює та подовжує терміни консервативного лікування, та  має провідне значення у диференційованому  виборі технології хірургічного втручання. П</w:t>
      </w:r>
      <w:r>
        <w:t>о</w:t>
      </w:r>
      <w:r>
        <w:t>дальше удосконалення лікувальної тактики при гострому панкреат</w:t>
      </w:r>
      <w:r>
        <w:t>и</w:t>
      </w:r>
      <w:r>
        <w:t>ті на тлі серцево-судинних захворювань, на наш погляд, залежить від вивчення хара</w:t>
      </w:r>
      <w:r>
        <w:t>к</w:t>
      </w:r>
      <w:r>
        <w:t>теру змін адаптаційно-пристосувальних механізмів та гемостазу з метою раннього виявлення поліоорганної недостатності, оскільки вона у значній м</w:t>
      </w:r>
      <w:r>
        <w:t>і</w:t>
      </w:r>
      <w:r>
        <w:t>рі погіршує перебіг основного паталогічного процесу [О.О. Шалімов та співав,1994; C.Armbuster., 1994] та супутньої патології, яка впливає на оц</w:t>
      </w:r>
      <w:r>
        <w:t>і</w:t>
      </w:r>
      <w:r>
        <w:t>нку операційно-анестезіологічного ризику.</w:t>
      </w:r>
    </w:p>
    <w:p w:rsidR="00DF7E85" w:rsidRDefault="00DF7E85" w:rsidP="00DF7E85">
      <w:pPr>
        <w:pStyle w:val="35"/>
        <w:ind w:firstLine="709"/>
        <w:rPr>
          <w:sz w:val="24"/>
        </w:rPr>
      </w:pPr>
      <w:r>
        <w:rPr>
          <w:sz w:val="24"/>
        </w:rPr>
        <w:t>У зв’язку з викладеним, найважливішим напрямком проблеми є розро</w:t>
      </w:r>
      <w:r>
        <w:rPr>
          <w:sz w:val="24"/>
        </w:rPr>
        <w:t>б</w:t>
      </w:r>
      <w:r>
        <w:rPr>
          <w:sz w:val="24"/>
        </w:rPr>
        <w:t>ка нових та удосконалення існуючих способів лікування різних форм гостр</w:t>
      </w:r>
      <w:r>
        <w:rPr>
          <w:sz w:val="24"/>
        </w:rPr>
        <w:t>о</w:t>
      </w:r>
      <w:r>
        <w:rPr>
          <w:sz w:val="24"/>
        </w:rPr>
        <w:t>го панкреатиту із врахуванням тяжкості перебігу захворювання та прогноз</w:t>
      </w:r>
      <w:r>
        <w:rPr>
          <w:sz w:val="24"/>
        </w:rPr>
        <w:t>у</w:t>
      </w:r>
      <w:r>
        <w:rPr>
          <w:sz w:val="24"/>
        </w:rPr>
        <w:t>вання, супутньої серцево-судинної патології,  профілактика і ефективне л</w:t>
      </w:r>
      <w:r>
        <w:rPr>
          <w:sz w:val="24"/>
        </w:rPr>
        <w:t>і</w:t>
      </w:r>
      <w:r>
        <w:rPr>
          <w:sz w:val="24"/>
        </w:rPr>
        <w:t>кування гнійно-некротичних ускладнень і поліорганної недостатності. Вивчення перелічених питань д</w:t>
      </w:r>
      <w:r>
        <w:rPr>
          <w:sz w:val="24"/>
        </w:rPr>
        <w:t>о</w:t>
      </w:r>
      <w:r>
        <w:rPr>
          <w:sz w:val="24"/>
        </w:rPr>
        <w:t>зволить індивідуалізувати лікувальну та хірургічну тактику у хворих на гострий панкре</w:t>
      </w:r>
      <w:r>
        <w:rPr>
          <w:sz w:val="24"/>
        </w:rPr>
        <w:t>а</w:t>
      </w:r>
      <w:r>
        <w:rPr>
          <w:sz w:val="24"/>
        </w:rPr>
        <w:t xml:space="preserve">тит із супровідною серцево-судинною патологією. </w:t>
      </w:r>
    </w:p>
    <w:p w:rsidR="00DF7E85" w:rsidRDefault="00DF7E85" w:rsidP="00DF7E85">
      <w:pPr>
        <w:pStyle w:val="afffffffd"/>
        <w:ind w:firstLine="709"/>
        <w:jc w:val="both"/>
      </w:pPr>
      <w:r>
        <w:rPr>
          <w:b/>
          <w:bCs/>
        </w:rPr>
        <w:t xml:space="preserve">Зв’язок роботи з науковими програмами, планами, темами. </w:t>
      </w:r>
      <w:r>
        <w:t>Вик</w:t>
      </w:r>
      <w:r>
        <w:t>о</w:t>
      </w:r>
      <w:r>
        <w:t>нана науково-дослідна робота є фрагментом науково-дослідної роботи “ Кл</w:t>
      </w:r>
      <w:r>
        <w:t>і</w:t>
      </w:r>
      <w:r>
        <w:t>ніко-патогенетичні та морфофункціональні особливості ішемічної хвор</w:t>
      </w:r>
      <w:r>
        <w:t>о</w:t>
      </w:r>
      <w:r>
        <w:t>би серця при супутньому хронічному бронхіті, цукровому діабеті, експериме</w:t>
      </w:r>
      <w:r>
        <w:t>н</w:t>
      </w:r>
      <w:r>
        <w:t>тальному гіпертиреозі, гастродуоденальних виразках та їх диференційована терапія” кафедри внутрішньої медицини з клінічною імунологією та алергологією Тернопільського державного медичного  уніве</w:t>
      </w:r>
      <w:r>
        <w:t>р</w:t>
      </w:r>
      <w:r>
        <w:t>ситету ім. І.Я.Горбачевського (номер Держ. реєстрації 0100U005054).</w:t>
      </w:r>
    </w:p>
    <w:p w:rsidR="00DF7E85" w:rsidRDefault="00DF7E85" w:rsidP="00DF7E85">
      <w:pPr>
        <w:spacing w:line="360" w:lineRule="auto"/>
        <w:ind w:firstLine="709"/>
        <w:jc w:val="both"/>
        <w:rPr>
          <w:i/>
        </w:rPr>
      </w:pPr>
      <w:r>
        <w:rPr>
          <w:b/>
          <w:bCs/>
        </w:rPr>
        <w:lastRenderedPageBreak/>
        <w:t>Мета роботи.</w:t>
      </w:r>
      <w:r>
        <w:t xml:space="preserve">  Покращити результати комплексного лікування хворих на гострий панкреатит із супровідною серцево-судинною патологією, шляхом розробки  диференційованих підходів до в</w:t>
      </w:r>
      <w:r>
        <w:t>и</w:t>
      </w:r>
      <w:r>
        <w:t>бору  лікувальної тактики та  об’єму  оперативних втручань залежно від функціонального стану міокарда  і центральної гемодинаміки.</w:t>
      </w:r>
    </w:p>
    <w:p w:rsidR="00DF7E85" w:rsidRDefault="00DF7E85" w:rsidP="00DF7E85">
      <w:pPr>
        <w:spacing w:line="360" w:lineRule="auto"/>
        <w:ind w:firstLine="709"/>
        <w:jc w:val="both"/>
      </w:pPr>
      <w:r>
        <w:rPr>
          <w:b/>
        </w:rPr>
        <w:t>Основні завдання дослідження</w:t>
      </w:r>
      <w:r>
        <w:t>:</w:t>
      </w:r>
    </w:p>
    <w:p w:rsidR="00DF7E85" w:rsidRDefault="00DF7E85" w:rsidP="00DF7E85">
      <w:pPr>
        <w:spacing w:line="360" w:lineRule="auto"/>
        <w:ind w:firstLine="709"/>
        <w:jc w:val="both"/>
        <w:rPr>
          <w:b/>
        </w:rPr>
      </w:pPr>
      <w:r>
        <w:t>1 З’ясувати патогенетичний взаємозв’язок порушень функції підшлу</w:t>
      </w:r>
      <w:r>
        <w:t>н</w:t>
      </w:r>
      <w:r>
        <w:t>кової залози та гемодинаміки і функціонального стану міокарду при гостр</w:t>
      </w:r>
      <w:r>
        <w:t>о</w:t>
      </w:r>
      <w:r>
        <w:t>му  панкреатиту.</w:t>
      </w:r>
    </w:p>
    <w:p w:rsidR="00DF7E85" w:rsidRDefault="00DF7E85" w:rsidP="00DF7E85">
      <w:pPr>
        <w:pStyle w:val="35"/>
        <w:ind w:firstLine="709"/>
        <w:rPr>
          <w:sz w:val="24"/>
        </w:rPr>
      </w:pPr>
      <w:r>
        <w:rPr>
          <w:sz w:val="24"/>
        </w:rPr>
        <w:t>2 Вивчити стан ПОЛ та АОЗ у хворих з різними формами гострого панкреатиту  та супровідною серцево-судинною пат</w:t>
      </w:r>
      <w:r>
        <w:rPr>
          <w:sz w:val="24"/>
        </w:rPr>
        <w:t>о</w:t>
      </w:r>
      <w:r>
        <w:rPr>
          <w:sz w:val="24"/>
        </w:rPr>
        <w:t>логією.</w:t>
      </w:r>
    </w:p>
    <w:p w:rsidR="00DF7E85" w:rsidRDefault="00DF7E85" w:rsidP="00DF7E85">
      <w:pPr>
        <w:spacing w:line="360" w:lineRule="auto"/>
        <w:ind w:firstLine="709"/>
        <w:jc w:val="both"/>
      </w:pPr>
      <w:r>
        <w:t>3 Вивчити  показники гідратації тканин та ендогенної інтоксикації при різних формах гострого панкреатиту  в залежності від глибини ендотоксикозу та з’ясувати їх роль у виникненні кардіоваскулярних  змін   та поліорганної нед</w:t>
      </w:r>
      <w:r>
        <w:t>о</w:t>
      </w:r>
      <w:r>
        <w:t>статності.</w:t>
      </w:r>
    </w:p>
    <w:p w:rsidR="00DF7E85" w:rsidRDefault="00DF7E85" w:rsidP="00DF7E85">
      <w:pPr>
        <w:spacing w:line="360" w:lineRule="auto"/>
        <w:ind w:firstLine="709"/>
        <w:jc w:val="both"/>
      </w:pPr>
      <w:r>
        <w:t>4 Оцінити показники поліорганної дисфункції в прогнозі перебігу та тяжкості гострого панкреатиту на фоні супровідної серцево-судинної патол</w:t>
      </w:r>
      <w:r>
        <w:t>о</w:t>
      </w:r>
      <w:r>
        <w:t>гії .</w:t>
      </w:r>
    </w:p>
    <w:p w:rsidR="00DF7E85" w:rsidRDefault="00DF7E85" w:rsidP="00DF7E85">
      <w:pPr>
        <w:spacing w:line="360" w:lineRule="auto"/>
        <w:ind w:firstLine="709"/>
        <w:jc w:val="both"/>
      </w:pPr>
      <w:r>
        <w:t>5 Визначити найбільш інформативні  критерії ранньої діагност</w:t>
      </w:r>
      <w:r>
        <w:t>и</w:t>
      </w:r>
      <w:r>
        <w:t>ки  та вибору об’єму лікування різних форм  гострого панкреатиту з врахуванням тяжкості та прогнозу перебігу захворювання на фоні серцево-судинної пат</w:t>
      </w:r>
      <w:r>
        <w:t>о</w:t>
      </w:r>
      <w:r>
        <w:t>логії.</w:t>
      </w:r>
    </w:p>
    <w:p w:rsidR="00DF7E85" w:rsidRDefault="00DF7E85" w:rsidP="00DF7E85">
      <w:pPr>
        <w:spacing w:line="360" w:lineRule="auto"/>
        <w:ind w:firstLine="709"/>
        <w:jc w:val="both"/>
      </w:pPr>
      <w:r>
        <w:t>6 Дати патогенетичне обґрунтування  консервативної інтенсивної т</w:t>
      </w:r>
      <w:r>
        <w:t>е</w:t>
      </w:r>
      <w:r>
        <w:t>рапії  і критерії оцінки її ефективності  при різних формах ГП в умовах  с</w:t>
      </w:r>
      <w:r>
        <w:t>у</w:t>
      </w:r>
      <w:r>
        <w:t>провідної серцевої патології.</w:t>
      </w:r>
    </w:p>
    <w:p w:rsidR="00DF7E85" w:rsidRDefault="00DF7E85" w:rsidP="00DF7E85">
      <w:pPr>
        <w:pStyle w:val="35"/>
        <w:ind w:firstLine="709"/>
        <w:rPr>
          <w:sz w:val="24"/>
        </w:rPr>
      </w:pPr>
      <w:r>
        <w:rPr>
          <w:sz w:val="24"/>
        </w:rPr>
        <w:t>7  Розробити показання та визначити  об’єм оперативних втручань з</w:t>
      </w:r>
      <w:r>
        <w:rPr>
          <w:sz w:val="24"/>
        </w:rPr>
        <w:t>а</w:t>
      </w:r>
      <w:r>
        <w:rPr>
          <w:sz w:val="24"/>
        </w:rPr>
        <w:t>лежно від функціонального стану серцево-судинної системи та  тяжкості і прогнозу перебігу ГП.</w:t>
      </w:r>
    </w:p>
    <w:p w:rsidR="00DF7E85" w:rsidRDefault="00DF7E85" w:rsidP="00DF7E85">
      <w:pPr>
        <w:spacing w:line="360" w:lineRule="auto"/>
        <w:ind w:firstLine="709"/>
        <w:jc w:val="both"/>
      </w:pPr>
      <w:r>
        <w:rPr>
          <w:i/>
          <w:iCs/>
          <w:color w:val="000000"/>
        </w:rPr>
        <w:t>Об’єкт дослідження</w:t>
      </w:r>
      <w:r>
        <w:rPr>
          <w:color w:val="000000"/>
        </w:rPr>
        <w:t>:</w:t>
      </w:r>
      <w:r>
        <w:t xml:space="preserve"> гострий панкреат</w:t>
      </w:r>
      <w:r>
        <w:t>и</w:t>
      </w:r>
      <w:r>
        <w:t xml:space="preserve">т із супутньою серцево-судинною патологією.  </w:t>
      </w:r>
    </w:p>
    <w:p w:rsidR="00DF7E85" w:rsidRDefault="00DF7E85" w:rsidP="00DF7E85">
      <w:pPr>
        <w:spacing w:line="360" w:lineRule="auto"/>
        <w:ind w:firstLine="709"/>
        <w:jc w:val="both"/>
        <w:rPr>
          <w:color w:val="000000"/>
        </w:rPr>
      </w:pPr>
      <w:r>
        <w:rPr>
          <w:i/>
          <w:iCs/>
        </w:rPr>
        <w:t xml:space="preserve">Предмет дослідженн: </w:t>
      </w:r>
      <w:r>
        <w:t>функціональний стан міокарду та центральної гемодинаміки, ПОЛ та АОС, показники гідратації тканин та ендогенної інтоксикації, індекс прогнозування тяжкості перебігу гострого панкреатиту,  критерії поліорганної дисфункції, та об’єм оперативних втручань</w:t>
      </w:r>
      <w:r>
        <w:rPr>
          <w:i/>
          <w:iCs/>
          <w:color w:val="000000"/>
        </w:rPr>
        <w:t xml:space="preserve"> </w:t>
      </w:r>
      <w:r>
        <w:rPr>
          <w:color w:val="000000"/>
        </w:rPr>
        <w:t xml:space="preserve"> у хворих на  гострий па</w:t>
      </w:r>
      <w:r>
        <w:rPr>
          <w:color w:val="000000"/>
        </w:rPr>
        <w:t>н</w:t>
      </w:r>
      <w:r>
        <w:rPr>
          <w:color w:val="000000"/>
        </w:rPr>
        <w:t>креатит із супровідною  кардіоваскулярною патологією.</w:t>
      </w:r>
    </w:p>
    <w:p w:rsidR="00DF7E85" w:rsidRDefault="00DF7E85" w:rsidP="00DF7E85">
      <w:pPr>
        <w:pStyle w:val="afffffffd"/>
        <w:ind w:firstLine="709"/>
        <w:jc w:val="both"/>
      </w:pPr>
      <w:r>
        <w:rPr>
          <w:b/>
          <w:bCs/>
        </w:rPr>
        <w:t xml:space="preserve">Методи дослідження: </w:t>
      </w:r>
      <w:r>
        <w:t>загально прийняті</w:t>
      </w:r>
      <w:r>
        <w:rPr>
          <w:b/>
          <w:bCs/>
        </w:rPr>
        <w:t xml:space="preserve"> </w:t>
      </w:r>
      <w:r>
        <w:t>клінічні та лабораторні (в</w:t>
      </w:r>
      <w:r>
        <w:t>и</w:t>
      </w:r>
      <w:r>
        <w:t>значення пептидів середньої молекулярної маси (ПСММ ) за Кирковським В.В., Моіним В. М., Лобачевою Г.А. (1994 ); малонового діальдег</w:t>
      </w:r>
      <w:r>
        <w:t>і</w:t>
      </w:r>
      <w:r>
        <w:t>ду ( МДА ) за методикою Placer; стан системи АОЗ – за вмістом SH –груп; водних секторів), інструментальні (ультрасонографія, фіброгастродуоденоскопія, ретроградна панкреатохолангіографія, комп’ютерна  томографія, електрокардіо</w:t>
      </w:r>
      <w:r>
        <w:t>г</w:t>
      </w:r>
      <w:r>
        <w:t>рафія, ехокардіоскопія), оперативні і консервативні (черезшкірна пункція, та дренування черевної порожнини, лапароскопічна холецистектомія, ендоскопічна папілосфінктеротомія, лапар</w:t>
      </w:r>
      <w:r>
        <w:t>о</w:t>
      </w:r>
      <w:r>
        <w:t>томія, розкриття і дренування сальникової сумки, розкриття і дренування з</w:t>
      </w:r>
      <w:r>
        <w:t>а</w:t>
      </w:r>
      <w:r>
        <w:t xml:space="preserve">очеревенного простору, дренування кіст та  абсцесів, </w:t>
      </w:r>
      <w:r>
        <w:lastRenderedPageBreak/>
        <w:t>холецистектомія, па</w:t>
      </w:r>
      <w:r>
        <w:t>н</w:t>
      </w:r>
      <w:r>
        <w:t>креатонекректомія, марсупіалізація, спленектомія; антибактеріальна, дезінт</w:t>
      </w:r>
      <w:r>
        <w:t>о</w:t>
      </w:r>
      <w:r>
        <w:t>ксикаційна, спазмолітична, кардіоселективна та гіпотензивна терапія), методи статистичної обробки отриманих д</w:t>
      </w:r>
      <w:r>
        <w:t>а</w:t>
      </w:r>
      <w:r>
        <w:t xml:space="preserve">них. </w:t>
      </w:r>
    </w:p>
    <w:p w:rsidR="00DF7E85" w:rsidRDefault="00DF7E85" w:rsidP="00DF7E85">
      <w:pPr>
        <w:spacing w:line="360" w:lineRule="auto"/>
        <w:ind w:firstLine="709"/>
        <w:jc w:val="both"/>
        <w:rPr>
          <w:color w:val="000000"/>
        </w:rPr>
      </w:pPr>
      <w:r>
        <w:rPr>
          <w:b/>
          <w:bCs/>
        </w:rPr>
        <w:t>Наукова новизна одержаних результатів.</w:t>
      </w:r>
      <w:r>
        <w:t xml:space="preserve">  На основі проаналізованих результатів, надана характеристика скоротливої здатності міокарда лівого шлуночка залежно від клінічного перебігу  гострого панкреатиту, встановлено зворотній корелятивний зв’язок між  формами панкреатиту і показниками скоротливої здатності міокарда. Вперше проведено аналіз динаміки порушень ритму та провідності, депресії сегмента </w:t>
      </w:r>
      <w:r>
        <w:rPr>
          <w:lang w:val="en-US"/>
        </w:rPr>
        <w:t>ST</w:t>
      </w:r>
      <w:r>
        <w:t xml:space="preserve"> на фоні “функціональних” пор</w:t>
      </w:r>
      <w:r>
        <w:t>у</w:t>
      </w:r>
      <w:r>
        <w:t xml:space="preserve">шень та (або) “органічних” змін серця  у хворих з гострим панкреатитом,  розроблено комплексну доопераційну діагностику функції серцево-судинної системи із вибором оптимальної хірургічної тактики та об’ємом оперативного втручання, залежно від виявлених розладів міокарда і стану біліарнопанкреато дуоденальної зони.   На основі проаналізованих результатів хірургічного лікування при різних методиках лапаротомічних і лапароскопічних втручань, щодо електричної функції міокарда і скоротливої здатності міокарда лівого шлуночка в післяопераційному періоді вказано, що </w:t>
      </w:r>
      <w:r>
        <w:rPr>
          <w:rFonts w:eastAsia="MS Mincho"/>
          <w:color w:val="000000"/>
        </w:rPr>
        <w:t xml:space="preserve">малий  об’єм при відкритій лапаротомії і </w:t>
      </w:r>
      <w:r>
        <w:t xml:space="preserve"> малоінвазивний метод</w:t>
      </w:r>
      <w:r>
        <w:rPr>
          <w:rFonts w:eastAsia="MS Mincho"/>
          <w:color w:val="000000"/>
        </w:rPr>
        <w:t xml:space="preserve"> з тиском карбоксиперитонеуму 8-11 мм рт. ст. є оптимальні методи  оперативного лік</w:t>
      </w:r>
      <w:r>
        <w:rPr>
          <w:rFonts w:eastAsia="MS Mincho"/>
          <w:color w:val="000000"/>
        </w:rPr>
        <w:t>у</w:t>
      </w:r>
      <w:r>
        <w:rPr>
          <w:rFonts w:eastAsia="MS Mincho"/>
          <w:color w:val="000000"/>
        </w:rPr>
        <w:t>вання у хворих із  деструктивним панкреатитом та органічними захворюванн</w:t>
      </w:r>
      <w:r>
        <w:rPr>
          <w:rFonts w:eastAsia="MS Mincho"/>
          <w:color w:val="000000"/>
        </w:rPr>
        <w:t>я</w:t>
      </w:r>
      <w:r>
        <w:rPr>
          <w:rFonts w:eastAsia="MS Mincho"/>
          <w:color w:val="000000"/>
        </w:rPr>
        <w:t>ми серцево-судинної системи</w:t>
      </w:r>
      <w:r>
        <w:rPr>
          <w:color w:val="000000"/>
        </w:rPr>
        <w:t xml:space="preserve"> </w:t>
      </w:r>
      <w:r>
        <w:t>ІІІ-ІV ФК по  NYHA.</w:t>
      </w:r>
      <w:r>
        <w:rPr>
          <w:color w:val="000000"/>
        </w:rPr>
        <w:t xml:space="preserve">  </w:t>
      </w:r>
    </w:p>
    <w:p w:rsidR="00DF7E85" w:rsidRDefault="00DF7E85" w:rsidP="00DF7E85">
      <w:pPr>
        <w:spacing w:line="360" w:lineRule="auto"/>
        <w:ind w:firstLine="709"/>
        <w:jc w:val="both"/>
        <w:rPr>
          <w:i/>
        </w:rPr>
      </w:pPr>
      <w:r>
        <w:t>Вперше у  практиці вивчено рівень позаклітинної рід</w:t>
      </w:r>
      <w:r>
        <w:t>и</w:t>
      </w:r>
      <w:r>
        <w:t>ни в залежності від форм гострого панкреатиту та супутньої серцево-судинної п</w:t>
      </w:r>
      <w:r>
        <w:t>а</w:t>
      </w:r>
      <w:r>
        <w:t>тології, а також показники інтоксикаційного синдрому. В результаті проведених досліджень, встановлено корелятивний взаємозв’язок  волемічних просторів, показників ендогенної інтоксикації та гемодинаміки з  ступенем тяжкості ендотоксикозу і некротичних процесів в ПЗ.</w:t>
      </w:r>
      <w:r>
        <w:rPr>
          <w:i/>
        </w:rPr>
        <w:t xml:space="preserve"> </w:t>
      </w:r>
      <w:r>
        <w:t xml:space="preserve">Розроблено класифікацію ступеня тяжкості інтоксикаційного синдрому з врахуванням функціонального стану міокарду, гідратації тканин та ПОЛ і АОС. </w:t>
      </w:r>
    </w:p>
    <w:p w:rsidR="00DF7E85" w:rsidRDefault="00DF7E85" w:rsidP="00DF7E85">
      <w:pPr>
        <w:spacing w:line="360" w:lineRule="auto"/>
        <w:ind w:firstLine="709"/>
        <w:jc w:val="both"/>
      </w:pPr>
      <w:r>
        <w:t>Встановлено залежність “функціональних” пор</w:t>
      </w:r>
      <w:r>
        <w:t>у</w:t>
      </w:r>
      <w:r>
        <w:t>шень та (або) “органічних” змін серця на фоні СПОН.</w:t>
      </w:r>
    </w:p>
    <w:p w:rsidR="00DF7E85" w:rsidRDefault="00DF7E85" w:rsidP="00DF7E85">
      <w:pPr>
        <w:spacing w:line="360" w:lineRule="auto"/>
        <w:ind w:firstLine="709"/>
        <w:jc w:val="both"/>
      </w:pPr>
      <w:r>
        <w:t>На основі цього оптимізована та впроваджена тактика комплексного лікування хворих з гострим панкреатитом та супровідною серцево-судинною патологією, створено алгоритм  хірургічного лікування  в залежності від супутньої патології, що дає можл</w:t>
      </w:r>
      <w:r>
        <w:t>и</w:t>
      </w:r>
      <w:r>
        <w:t>вість зменшити число гнійно-некротичних ускладнень, летальність і підвищити ефективність реабілітації оперованих хворих.</w:t>
      </w:r>
    </w:p>
    <w:p w:rsidR="00DF7E85" w:rsidRDefault="00DF7E85" w:rsidP="00DF7E85">
      <w:pPr>
        <w:spacing w:line="360" w:lineRule="auto"/>
        <w:ind w:firstLine="709"/>
        <w:jc w:val="both"/>
      </w:pPr>
      <w:r>
        <w:rPr>
          <w:b/>
          <w:bCs/>
          <w:iCs/>
        </w:rPr>
        <w:t>Практичне значення результатів дослідження.</w:t>
      </w:r>
      <w:r>
        <w:rPr>
          <w:i/>
        </w:rPr>
        <w:t xml:space="preserve"> </w:t>
      </w:r>
      <w:r>
        <w:t>Наукові положення та висновки  дисертаційної роботи адаптовані для впровадження та застос</w:t>
      </w:r>
      <w:r>
        <w:t>у</w:t>
      </w:r>
      <w:r>
        <w:t xml:space="preserve">вання в практичній діяльністі хірургічних стаціонарів Рівненської обласної лікарні, хірургічного відділення Рівненського обласного центру радіаційного захисту населення, в навчальний процес Рівненського базового </w:t>
      </w:r>
      <w:r>
        <w:lastRenderedPageBreak/>
        <w:t xml:space="preserve">медичного коледжу. Результатами проведеного дослідження обґрунтовано доцільність диференційованого підходу до лікування різних форм гострого панкреатиту з супровідною кардіоваскулярною патологією.  </w:t>
      </w:r>
    </w:p>
    <w:p w:rsidR="00DF7E85" w:rsidRDefault="00DF7E85" w:rsidP="00DF7E85">
      <w:pPr>
        <w:spacing w:line="360" w:lineRule="auto"/>
        <w:ind w:firstLine="709"/>
        <w:jc w:val="both"/>
      </w:pPr>
      <w:r>
        <w:t>Доведено доцільність використання берлітіону у хворих з гострим панкреатитом та супровідною серцево-судинною патологією, з  метою антиішемічної, антигіпоксичної   та антиоксидантної дії.</w:t>
      </w:r>
    </w:p>
    <w:p w:rsidR="00DF7E85" w:rsidRDefault="00DF7E85" w:rsidP="00DF7E85">
      <w:pPr>
        <w:spacing w:line="360" w:lineRule="auto"/>
        <w:ind w:firstLine="709"/>
        <w:jc w:val="both"/>
        <w:rPr>
          <w:i/>
        </w:rPr>
      </w:pPr>
      <w:r>
        <w:rPr>
          <w:color w:val="000000"/>
        </w:rPr>
        <w:t>Для зменшення частоти, тяжкості інтра- і післяопераційних серцево-судинних ускладнень та кр</w:t>
      </w:r>
      <w:r>
        <w:rPr>
          <w:color w:val="000000"/>
        </w:rPr>
        <w:t>а</w:t>
      </w:r>
      <w:r>
        <w:rPr>
          <w:color w:val="000000"/>
        </w:rPr>
        <w:t>щої післяопераційної реабілітації міокарда у  хворих</w:t>
      </w:r>
      <w:r>
        <w:rPr>
          <w:rFonts w:eastAsia="MS Mincho"/>
          <w:color w:val="000000"/>
        </w:rPr>
        <w:t xml:space="preserve"> із  деструктивним панкреатитом та органі</w:t>
      </w:r>
      <w:r>
        <w:rPr>
          <w:rFonts w:eastAsia="MS Mincho"/>
          <w:color w:val="000000"/>
        </w:rPr>
        <w:t>ч</w:t>
      </w:r>
      <w:r>
        <w:rPr>
          <w:rFonts w:eastAsia="MS Mincho"/>
          <w:color w:val="000000"/>
        </w:rPr>
        <w:t>ними захворюваннями серцево-судинної системи</w:t>
      </w:r>
      <w:r>
        <w:rPr>
          <w:color w:val="000000"/>
        </w:rPr>
        <w:t xml:space="preserve"> доцільно використання</w:t>
      </w:r>
      <w:r>
        <w:t xml:space="preserve"> м</w:t>
      </w:r>
      <w:r>
        <w:rPr>
          <w:rFonts w:eastAsia="MS Mincho"/>
          <w:color w:val="000000"/>
        </w:rPr>
        <w:t>алого  об’єму при відкритій лапаротомії  та</w:t>
      </w:r>
      <w:r>
        <w:t xml:space="preserve"> малоінвазивний метод</w:t>
      </w:r>
      <w:r>
        <w:rPr>
          <w:rFonts w:eastAsia="MS Mincho"/>
          <w:color w:val="000000"/>
        </w:rPr>
        <w:t xml:space="preserve"> з тиском карбоксиперитонеуму 8-11 мм рт.   </w:t>
      </w:r>
    </w:p>
    <w:p w:rsidR="00DF7E85" w:rsidRDefault="00DF7E85" w:rsidP="00DF7E85">
      <w:pPr>
        <w:spacing w:line="360" w:lineRule="auto"/>
        <w:ind w:firstLine="709"/>
        <w:jc w:val="both"/>
        <w:rPr>
          <w:color w:val="000000"/>
        </w:rPr>
      </w:pPr>
      <w:r>
        <w:rPr>
          <w:b/>
          <w:bCs/>
          <w:iCs/>
        </w:rPr>
        <w:t xml:space="preserve">Особистий внесок здобувача </w:t>
      </w:r>
      <w:r>
        <w:t>Особистий внесок автора полягає  у визначенні актуальності та сучасного стану  проблеми; виборі та опр</w:t>
      </w:r>
      <w:r>
        <w:t>а</w:t>
      </w:r>
      <w:r>
        <w:t>цюванні методик дослідження; формуванні клінічних груп пацієнтів, ан</w:t>
      </w:r>
      <w:r>
        <w:t>а</w:t>
      </w:r>
      <w:r>
        <w:t>лізі та узагальненні отриманих результатів; формулюванні висновків і на</w:t>
      </w:r>
      <w:r>
        <w:t>у</w:t>
      </w:r>
      <w:r>
        <w:t>кових положень дисертації. Основні  об’єми досліджень хворих (об’єктивне обстеження пацієнтів,  визначення ПОЛ, рівня клітинної гі</w:t>
      </w:r>
      <w:r>
        <w:t>д</w:t>
      </w:r>
      <w:r>
        <w:t>ратації, СМП, обробка статистичних даних) проведено дисертантом с</w:t>
      </w:r>
      <w:r>
        <w:t>а</w:t>
      </w:r>
      <w:r>
        <w:t>мостійно, решта – за участю практичних лікарів, працівників і допоміжних підрозділів РОЛ, РБМК ( відділення функціональної діагно</w:t>
      </w:r>
      <w:r>
        <w:t>с</w:t>
      </w:r>
      <w:r>
        <w:t>тики, лабораторія).</w:t>
      </w:r>
      <w:r>
        <w:rPr>
          <w:color w:val="000000"/>
        </w:rPr>
        <w:t xml:space="preserve"> Пошукачем асистовано під час операції,  та виконано  самостійно  оперативні втручання.</w:t>
      </w:r>
      <w:r>
        <w:t>Співавторство інших дослідників, опублікованих за матеріал</w:t>
      </w:r>
      <w:r>
        <w:t>а</w:t>
      </w:r>
      <w:r>
        <w:t>ми дисертації, віддзеркалює їх консультативну допомогу та співучасть у діагностично-лікувальному проц</w:t>
      </w:r>
      <w:r>
        <w:t>е</w:t>
      </w:r>
      <w:r>
        <w:t>сі.</w:t>
      </w:r>
    </w:p>
    <w:p w:rsidR="00DF7E85" w:rsidRDefault="00DF7E85" w:rsidP="00DF7E85">
      <w:pPr>
        <w:spacing w:line="360" w:lineRule="auto"/>
        <w:ind w:firstLine="709"/>
        <w:jc w:val="both"/>
      </w:pPr>
      <w:r>
        <w:rPr>
          <w:b/>
          <w:bCs/>
        </w:rPr>
        <w:t xml:space="preserve">Апробація результатів роботи. </w:t>
      </w:r>
      <w:r>
        <w:t>Основні положення про результати дисертаційної роботи були викладені й обговорені на конгресах та конференціях: “ Кардіальний синдром у хворих з гострим та загостреним хронічним панкреатитом ”(ІХ міжнародний медичний конгрес студентів і молодих учених, Тернопіль 21-22.04.05), “</w:t>
      </w:r>
      <w:r>
        <w:rPr>
          <w:iCs/>
        </w:rPr>
        <w:t>Дослідження електр</w:t>
      </w:r>
      <w:r>
        <w:rPr>
          <w:iCs/>
        </w:rPr>
        <w:t>и</w:t>
      </w:r>
      <w:r>
        <w:rPr>
          <w:iCs/>
        </w:rPr>
        <w:t>чної активності міокарду і фракції викиду у хворих з гострим панкреатитом  та хворих із супровідною серцево-судинною патологією</w:t>
      </w:r>
      <w:r>
        <w:t>” (Всеукраїнська науково-практична конференція ” Здобутки та перспективи внутрішньої медицини” , Тернопіль 19-20.10.06), “Значення середньо молекулярних пептидів в прогнозуванні важкості гострого панкреатиту” (Всеукраїнська науково-практична конференція “Сучасні методичні підходи до аналізу стану здоров’я”, Луганськ, 14-16.05.07), “</w:t>
      </w:r>
      <w:r>
        <w:rPr>
          <w:iCs/>
        </w:rPr>
        <w:t xml:space="preserve">Оцінка поліорганної  дисфункції в прогнозі перебігу та важкості гострого панкреатиту на фоні серцево-судинної патології </w:t>
      </w:r>
      <w:r>
        <w:t xml:space="preserve">” </w:t>
      </w:r>
      <w:r>
        <w:rPr>
          <w:iCs/>
        </w:rPr>
        <w:t xml:space="preserve">( науково-практична конференція </w:t>
      </w:r>
      <w:r>
        <w:t>“</w:t>
      </w:r>
      <w:r>
        <w:rPr>
          <w:iCs/>
        </w:rPr>
        <w:t>Діагностичні центри: медико-біологічні аспекти діагностичного процесу</w:t>
      </w:r>
      <w:r>
        <w:t xml:space="preserve"> ”, Рівне, 2-3.11.07)</w:t>
      </w:r>
      <w:r>
        <w:rPr>
          <w:iCs/>
        </w:rPr>
        <w:t xml:space="preserve">. </w:t>
      </w:r>
      <w:r>
        <w:t xml:space="preserve">    </w:t>
      </w:r>
    </w:p>
    <w:p w:rsidR="00DF7E85" w:rsidRDefault="00DF7E85" w:rsidP="00DF7E85">
      <w:pPr>
        <w:spacing w:line="360" w:lineRule="auto"/>
        <w:ind w:firstLine="709"/>
        <w:jc w:val="both"/>
        <w:rPr>
          <w:i/>
        </w:rPr>
      </w:pPr>
      <w:r>
        <w:rPr>
          <w:b/>
          <w:bCs/>
          <w:iCs/>
        </w:rPr>
        <w:t>Публікація</w:t>
      </w:r>
      <w:r>
        <w:rPr>
          <w:i/>
        </w:rPr>
        <w:t xml:space="preserve">. </w:t>
      </w:r>
      <w:r>
        <w:t xml:space="preserve"> За матеріалами дисертації опубліковано 8 наукових р</w:t>
      </w:r>
      <w:r>
        <w:t>о</w:t>
      </w:r>
      <w:r>
        <w:t xml:space="preserve">біт, з них 6 - у фахових наукових виданнях, рекомендованих ВАК України. </w:t>
      </w:r>
    </w:p>
    <w:p w:rsidR="00DF7E85" w:rsidRDefault="00DF7E85" w:rsidP="00DF7E85">
      <w:pPr>
        <w:pStyle w:val="afffffffd"/>
        <w:ind w:firstLine="709"/>
        <w:jc w:val="both"/>
      </w:pPr>
      <w:r>
        <w:rPr>
          <w:b/>
          <w:bCs/>
        </w:rPr>
        <w:t xml:space="preserve">Структура та обсяг дисертації. </w:t>
      </w:r>
      <w:r>
        <w:t>Дисертація викладена на 163 сторі</w:t>
      </w:r>
      <w:r>
        <w:t>н</w:t>
      </w:r>
      <w:r>
        <w:t>ках машинописного тексту і складається із вступу,  п’яти розділів, висно</w:t>
      </w:r>
      <w:r>
        <w:t>в</w:t>
      </w:r>
      <w:r>
        <w:t xml:space="preserve">ків,  </w:t>
      </w:r>
      <w:r>
        <w:lastRenderedPageBreak/>
        <w:t>рекомендацій щодо наукового і практичного використання здобутих р</w:t>
      </w:r>
      <w:r>
        <w:t>е</w:t>
      </w:r>
      <w:r>
        <w:t>зультатів, списку використаних літературних джерел, додатків. Основний зміст дисертації викладено на 138 сторінках машинописного тексту, робота ілюс</w:t>
      </w:r>
      <w:r>
        <w:t>т</w:t>
      </w:r>
      <w:r>
        <w:t>рована 43 таблицями,  6 рисунками. Список літератури включає 151 джерело, з них  47 наукових праць іноземних авторів. Бібліографічний опис викори</w:t>
      </w:r>
      <w:r>
        <w:t>с</w:t>
      </w:r>
      <w:r>
        <w:t>таних  літературних  джерел, таблиць та додатків  викладені на  29 сторі</w:t>
      </w:r>
      <w:r>
        <w:t>н</w:t>
      </w:r>
      <w:r>
        <w:t>ках.</w:t>
      </w:r>
    </w:p>
    <w:p w:rsidR="00DF7E85" w:rsidRDefault="00DF7E85" w:rsidP="00DF7E85">
      <w:pPr>
        <w:pStyle w:val="afffffffd"/>
      </w:pPr>
      <w:r>
        <w:rPr>
          <w:b/>
          <w:bCs/>
          <w:color w:val="000000"/>
        </w:rPr>
        <w:t>ОСНОВНИЙ  ЗМІСТ</w:t>
      </w:r>
    </w:p>
    <w:p w:rsidR="00DF7E85" w:rsidRDefault="00DF7E85" w:rsidP="00DF7E85">
      <w:pPr>
        <w:spacing w:line="360" w:lineRule="auto"/>
        <w:ind w:firstLine="709"/>
        <w:jc w:val="both"/>
        <w:rPr>
          <w:color w:val="FF0000"/>
          <w:u w:val="single"/>
        </w:rPr>
      </w:pPr>
      <w:r>
        <w:rPr>
          <w:b/>
          <w:bCs/>
        </w:rPr>
        <w:t>Матеріали і методи дослідження.</w:t>
      </w:r>
      <w:r>
        <w:rPr>
          <w:b/>
          <w:bCs/>
          <w:color w:val="000000"/>
        </w:rPr>
        <w:t xml:space="preserve"> </w:t>
      </w:r>
      <w:r>
        <w:t>Дана робота базується на порівн</w:t>
      </w:r>
      <w:r>
        <w:t>я</w:t>
      </w:r>
      <w:r>
        <w:t>льному аналізі результатів обстеження та лікування 103 пацієнтів  та 30 практично здорових  людей, які знаходилися  у відділенні гнійної хірургії Рівненської обласної лікарні з 2004 до 2006 р. Серед пацієнтів переважали чол</w:t>
      </w:r>
      <w:r>
        <w:t>о</w:t>
      </w:r>
      <w:r>
        <w:t>віки - 78 (що складає – 70,87 %), жінок – 25 (19,23 %) ( див.табл.1).  Середній вік склав 44,57±10,64 р. Найбільший процент (67,0 % - 69 хворих ) склали особи працезд</w:t>
      </w:r>
      <w:r>
        <w:t>а</w:t>
      </w:r>
      <w:r>
        <w:t>тного віку.</w:t>
      </w:r>
      <w:r>
        <w:rPr>
          <w:color w:val="FF0000"/>
          <w:u w:val="single"/>
        </w:rPr>
        <w:t xml:space="preserve">  </w:t>
      </w:r>
    </w:p>
    <w:p w:rsidR="00DF7E85" w:rsidRDefault="00DF7E85" w:rsidP="00DF7E85">
      <w:pPr>
        <w:spacing w:line="360" w:lineRule="auto"/>
        <w:ind w:firstLine="709"/>
        <w:jc w:val="right"/>
      </w:pPr>
      <w:r>
        <w:rPr>
          <w:bCs/>
        </w:rPr>
        <w:t xml:space="preserve">Таблиця 1 </w:t>
      </w:r>
    </w:p>
    <w:p w:rsidR="00DF7E85" w:rsidRDefault="00DF7E85" w:rsidP="00DF7E85">
      <w:pPr>
        <w:spacing w:line="360" w:lineRule="auto"/>
        <w:ind w:firstLine="709"/>
        <w:jc w:val="center"/>
      </w:pPr>
      <w:r>
        <w:t xml:space="preserve">Розподіл хворих за статтю та віком в залежності від форми  ( </w:t>
      </w:r>
      <w:r>
        <w:rPr>
          <w:lang w:val="en-US"/>
        </w:rPr>
        <w:t>n</w:t>
      </w:r>
      <w:r>
        <w:t>=103 )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gridCol w:w="857"/>
        <w:gridCol w:w="906"/>
        <w:gridCol w:w="926"/>
        <w:gridCol w:w="916"/>
        <w:gridCol w:w="916"/>
        <w:gridCol w:w="918"/>
        <w:gridCol w:w="916"/>
        <w:gridCol w:w="916"/>
      </w:tblGrid>
      <w:tr w:rsidR="00DF7E85" w:rsidTr="00B85846">
        <w:trPr>
          <w:cantSplit/>
          <w:trHeight w:val="634"/>
        </w:trPr>
        <w:tc>
          <w:tcPr>
            <w:tcW w:w="930" w:type="pct"/>
            <w:vMerge w:val="restart"/>
            <w:vAlign w:val="center"/>
          </w:tcPr>
          <w:p w:rsidR="00DF7E85" w:rsidRDefault="00DF7E85" w:rsidP="00B85846">
            <w:pPr>
              <w:spacing w:line="360" w:lineRule="auto"/>
              <w:jc w:val="center"/>
              <w:rPr>
                <w:lang w:val="en-US"/>
              </w:rPr>
            </w:pPr>
            <w:r>
              <w:t>Форма захвворюва</w:t>
            </w:r>
            <w:r>
              <w:t>н</w:t>
            </w:r>
            <w:r>
              <w:t>ня</w:t>
            </w:r>
          </w:p>
        </w:tc>
        <w:tc>
          <w:tcPr>
            <w:tcW w:w="379" w:type="pct"/>
            <w:vMerge w:val="restart"/>
            <w:textDirection w:val="btLr"/>
            <w:vAlign w:val="center"/>
          </w:tcPr>
          <w:p w:rsidR="00DF7E85" w:rsidRDefault="00DF7E85" w:rsidP="00B85846">
            <w:pPr>
              <w:spacing w:line="360" w:lineRule="auto"/>
              <w:ind w:left="113" w:right="113"/>
              <w:jc w:val="center"/>
            </w:pPr>
            <w:r>
              <w:t>стать</w:t>
            </w:r>
          </w:p>
        </w:tc>
        <w:tc>
          <w:tcPr>
            <w:tcW w:w="2761" w:type="pct"/>
            <w:gridSpan w:val="6"/>
            <w:vAlign w:val="center"/>
          </w:tcPr>
          <w:p w:rsidR="00DF7E85" w:rsidRDefault="00DF7E85" w:rsidP="00B85846">
            <w:pPr>
              <w:spacing w:line="360" w:lineRule="auto"/>
              <w:jc w:val="center"/>
            </w:pPr>
            <w:r>
              <w:t>Вік, років</w:t>
            </w:r>
          </w:p>
        </w:tc>
        <w:tc>
          <w:tcPr>
            <w:tcW w:w="930" w:type="pct"/>
            <w:gridSpan w:val="2"/>
            <w:vAlign w:val="center"/>
          </w:tcPr>
          <w:p w:rsidR="00DF7E85" w:rsidRDefault="00DF7E85" w:rsidP="00B85846">
            <w:pPr>
              <w:spacing w:line="360" w:lineRule="auto"/>
              <w:jc w:val="center"/>
            </w:pPr>
            <w:r>
              <w:t>Разом</w:t>
            </w:r>
          </w:p>
        </w:tc>
      </w:tr>
      <w:tr w:rsidR="00DF7E85" w:rsidTr="00B85846">
        <w:trPr>
          <w:cantSplit/>
          <w:trHeight w:val="518"/>
        </w:trPr>
        <w:tc>
          <w:tcPr>
            <w:tcW w:w="930" w:type="pct"/>
            <w:vMerge/>
            <w:vAlign w:val="center"/>
          </w:tcPr>
          <w:p w:rsidR="00DF7E85" w:rsidRDefault="00DF7E85" w:rsidP="00B85846">
            <w:pPr>
              <w:spacing w:line="360" w:lineRule="auto"/>
              <w:jc w:val="center"/>
            </w:pPr>
          </w:p>
        </w:tc>
        <w:tc>
          <w:tcPr>
            <w:tcW w:w="379" w:type="pct"/>
            <w:vMerge/>
            <w:vAlign w:val="center"/>
          </w:tcPr>
          <w:p w:rsidR="00DF7E85" w:rsidRDefault="00DF7E85" w:rsidP="00B85846">
            <w:pPr>
              <w:spacing w:line="360" w:lineRule="auto"/>
              <w:jc w:val="center"/>
            </w:pPr>
          </w:p>
        </w:tc>
        <w:tc>
          <w:tcPr>
            <w:tcW w:w="435" w:type="pct"/>
            <w:vAlign w:val="center"/>
          </w:tcPr>
          <w:p w:rsidR="00DF7E85" w:rsidRDefault="00DF7E85" w:rsidP="00B85846">
            <w:pPr>
              <w:spacing w:line="360" w:lineRule="auto"/>
              <w:jc w:val="center"/>
            </w:pPr>
            <w:r>
              <w:t>21-30</w:t>
            </w:r>
          </w:p>
        </w:tc>
        <w:tc>
          <w:tcPr>
            <w:tcW w:w="460" w:type="pct"/>
            <w:vAlign w:val="center"/>
          </w:tcPr>
          <w:p w:rsidR="00DF7E85" w:rsidRDefault="00DF7E85" w:rsidP="00B85846">
            <w:pPr>
              <w:spacing w:line="360" w:lineRule="auto"/>
              <w:jc w:val="center"/>
            </w:pPr>
            <w:r>
              <w:t>31-40</w:t>
            </w:r>
          </w:p>
        </w:tc>
        <w:tc>
          <w:tcPr>
            <w:tcW w:w="470" w:type="pct"/>
            <w:vAlign w:val="center"/>
          </w:tcPr>
          <w:p w:rsidR="00DF7E85" w:rsidRDefault="00DF7E85" w:rsidP="00B85846">
            <w:pPr>
              <w:spacing w:line="360" w:lineRule="auto"/>
              <w:jc w:val="center"/>
            </w:pPr>
            <w:r>
              <w:t>41-50</w:t>
            </w:r>
          </w:p>
        </w:tc>
        <w:tc>
          <w:tcPr>
            <w:tcW w:w="465" w:type="pct"/>
            <w:vAlign w:val="center"/>
          </w:tcPr>
          <w:p w:rsidR="00DF7E85" w:rsidRDefault="00DF7E85" w:rsidP="00B85846">
            <w:pPr>
              <w:spacing w:line="360" w:lineRule="auto"/>
              <w:jc w:val="center"/>
            </w:pPr>
            <w:r>
              <w:t>51-60</w:t>
            </w:r>
          </w:p>
        </w:tc>
        <w:tc>
          <w:tcPr>
            <w:tcW w:w="465" w:type="pct"/>
            <w:vAlign w:val="center"/>
          </w:tcPr>
          <w:p w:rsidR="00DF7E85" w:rsidRDefault="00DF7E85" w:rsidP="00B85846">
            <w:pPr>
              <w:spacing w:line="360" w:lineRule="auto"/>
              <w:jc w:val="center"/>
            </w:pPr>
            <w:r>
              <w:t>61-74</w:t>
            </w:r>
          </w:p>
        </w:tc>
        <w:tc>
          <w:tcPr>
            <w:tcW w:w="465" w:type="pct"/>
            <w:vAlign w:val="center"/>
          </w:tcPr>
          <w:p w:rsidR="00DF7E85" w:rsidRDefault="00DF7E85" w:rsidP="00B85846">
            <w:pPr>
              <w:autoSpaceDE w:val="0"/>
              <w:autoSpaceDN w:val="0"/>
              <w:adjustRightInd w:val="0"/>
              <w:spacing w:line="360" w:lineRule="auto"/>
              <w:jc w:val="center"/>
              <w:rPr>
                <w:rFonts w:ascii="MS Shell Dlg" w:hAnsi="MS Shell Dlg" w:cs="MS Shell Dlg"/>
              </w:rPr>
            </w:pPr>
            <w:r>
              <w:t>74</w:t>
            </w:r>
            <w:r>
              <w:rPr>
                <w:rFonts w:ascii="Times New Roman CYR" w:hAnsi="Times New Roman CYR" w:cs="Times New Roman CYR"/>
              </w:rPr>
              <w:t xml:space="preserve"> &gt;</w:t>
            </w:r>
          </w:p>
        </w:tc>
        <w:tc>
          <w:tcPr>
            <w:tcW w:w="465" w:type="pct"/>
            <w:vAlign w:val="center"/>
          </w:tcPr>
          <w:p w:rsidR="00DF7E85" w:rsidRDefault="00DF7E85" w:rsidP="00B85846">
            <w:pPr>
              <w:spacing w:line="360" w:lineRule="auto"/>
              <w:jc w:val="center"/>
            </w:pPr>
            <w:r>
              <w:t xml:space="preserve">абс. </w:t>
            </w:r>
          </w:p>
        </w:tc>
        <w:tc>
          <w:tcPr>
            <w:tcW w:w="465" w:type="pct"/>
            <w:vAlign w:val="center"/>
          </w:tcPr>
          <w:p w:rsidR="00DF7E85" w:rsidRDefault="00DF7E85" w:rsidP="00B85846">
            <w:pPr>
              <w:spacing w:line="360" w:lineRule="auto"/>
              <w:jc w:val="center"/>
            </w:pPr>
            <w:r>
              <w:t xml:space="preserve">% </w:t>
            </w:r>
          </w:p>
        </w:tc>
      </w:tr>
      <w:tr w:rsidR="00DF7E85" w:rsidTr="00B85846">
        <w:trPr>
          <w:trHeight w:val="620"/>
        </w:trPr>
        <w:tc>
          <w:tcPr>
            <w:tcW w:w="930" w:type="pct"/>
            <w:vAlign w:val="center"/>
          </w:tcPr>
          <w:p w:rsidR="00DF7E85" w:rsidRDefault="00DF7E85" w:rsidP="00B85846">
            <w:pPr>
              <w:spacing w:line="360" w:lineRule="auto"/>
              <w:jc w:val="center"/>
            </w:pPr>
            <w:r>
              <w:t>Набряковий</w:t>
            </w:r>
          </w:p>
          <w:p w:rsidR="00DF7E85" w:rsidRDefault="00DF7E85" w:rsidP="00B85846">
            <w:pPr>
              <w:spacing w:line="360" w:lineRule="auto"/>
              <w:jc w:val="center"/>
            </w:pPr>
            <w:r>
              <w:t>панкре</w:t>
            </w:r>
            <w:r>
              <w:t>а</w:t>
            </w:r>
            <w:r>
              <w:t>тит</w:t>
            </w:r>
          </w:p>
        </w:tc>
        <w:tc>
          <w:tcPr>
            <w:tcW w:w="379" w:type="pct"/>
            <w:vAlign w:val="center"/>
          </w:tcPr>
          <w:p w:rsidR="00DF7E85" w:rsidRDefault="00DF7E85" w:rsidP="00B85846">
            <w:pPr>
              <w:spacing w:line="360" w:lineRule="auto"/>
              <w:jc w:val="center"/>
            </w:pPr>
            <w:r>
              <w:t>ч</w:t>
            </w:r>
          </w:p>
          <w:p w:rsidR="00DF7E85" w:rsidRDefault="00DF7E85" w:rsidP="00B85846">
            <w:pPr>
              <w:spacing w:line="360" w:lineRule="auto"/>
              <w:jc w:val="center"/>
            </w:pPr>
            <w:r>
              <w:t>ж</w:t>
            </w:r>
          </w:p>
        </w:tc>
        <w:tc>
          <w:tcPr>
            <w:tcW w:w="435" w:type="pct"/>
            <w:vAlign w:val="center"/>
          </w:tcPr>
          <w:p w:rsidR="00DF7E85" w:rsidRDefault="00DF7E85" w:rsidP="00B85846">
            <w:pPr>
              <w:spacing w:line="360" w:lineRule="auto"/>
              <w:jc w:val="center"/>
            </w:pPr>
            <w:r>
              <w:t>6</w:t>
            </w:r>
          </w:p>
          <w:p w:rsidR="00DF7E85" w:rsidRDefault="00DF7E85" w:rsidP="00B85846">
            <w:pPr>
              <w:spacing w:line="360" w:lineRule="auto"/>
              <w:jc w:val="center"/>
            </w:pPr>
            <w:r>
              <w:t>1</w:t>
            </w:r>
          </w:p>
        </w:tc>
        <w:tc>
          <w:tcPr>
            <w:tcW w:w="460" w:type="pct"/>
            <w:vAlign w:val="center"/>
          </w:tcPr>
          <w:p w:rsidR="00DF7E85" w:rsidRDefault="00DF7E85" w:rsidP="00B85846">
            <w:pPr>
              <w:spacing w:line="360" w:lineRule="auto"/>
              <w:jc w:val="center"/>
            </w:pPr>
            <w:r>
              <w:t>7</w:t>
            </w:r>
          </w:p>
          <w:p w:rsidR="00DF7E85" w:rsidRDefault="00DF7E85" w:rsidP="00B85846">
            <w:pPr>
              <w:spacing w:line="360" w:lineRule="auto"/>
              <w:jc w:val="center"/>
            </w:pPr>
            <w:r>
              <w:t>3</w:t>
            </w:r>
          </w:p>
        </w:tc>
        <w:tc>
          <w:tcPr>
            <w:tcW w:w="470" w:type="pct"/>
            <w:vAlign w:val="center"/>
          </w:tcPr>
          <w:p w:rsidR="00DF7E85" w:rsidRDefault="00DF7E85" w:rsidP="00B85846">
            <w:pPr>
              <w:spacing w:line="360" w:lineRule="auto"/>
              <w:jc w:val="center"/>
            </w:pPr>
            <w:r>
              <w:t>4</w:t>
            </w:r>
          </w:p>
          <w:p w:rsidR="00DF7E85" w:rsidRDefault="00DF7E85" w:rsidP="00B85846">
            <w:pPr>
              <w:spacing w:line="360" w:lineRule="auto"/>
              <w:jc w:val="center"/>
            </w:pPr>
            <w:r>
              <w:t>3</w:t>
            </w:r>
          </w:p>
        </w:tc>
        <w:tc>
          <w:tcPr>
            <w:tcW w:w="465" w:type="pct"/>
            <w:vAlign w:val="center"/>
          </w:tcPr>
          <w:p w:rsidR="00DF7E85" w:rsidRDefault="00DF7E85" w:rsidP="00B85846">
            <w:pPr>
              <w:spacing w:line="360" w:lineRule="auto"/>
              <w:jc w:val="center"/>
            </w:pPr>
            <w:r>
              <w:t>4</w:t>
            </w:r>
          </w:p>
          <w:p w:rsidR="00DF7E85" w:rsidRDefault="00DF7E85" w:rsidP="00B85846">
            <w:pPr>
              <w:spacing w:line="360" w:lineRule="auto"/>
              <w:jc w:val="center"/>
            </w:pPr>
            <w:r>
              <w:t>3</w:t>
            </w:r>
          </w:p>
        </w:tc>
        <w:tc>
          <w:tcPr>
            <w:tcW w:w="465" w:type="pct"/>
            <w:vAlign w:val="center"/>
          </w:tcPr>
          <w:p w:rsidR="00DF7E85" w:rsidRDefault="00DF7E85" w:rsidP="00B85846">
            <w:pPr>
              <w:spacing w:line="360" w:lineRule="auto"/>
              <w:jc w:val="center"/>
            </w:pPr>
            <w:r>
              <w:t>2</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pPr>
            <w:r>
              <w:t>-</w:t>
            </w:r>
          </w:p>
          <w:p w:rsidR="00DF7E85" w:rsidRDefault="00DF7E85" w:rsidP="00B85846">
            <w:pPr>
              <w:spacing w:line="360" w:lineRule="auto"/>
              <w:jc w:val="center"/>
            </w:pPr>
            <w:r>
              <w:t>2</w:t>
            </w:r>
          </w:p>
        </w:tc>
        <w:tc>
          <w:tcPr>
            <w:tcW w:w="465" w:type="pct"/>
            <w:vAlign w:val="center"/>
          </w:tcPr>
          <w:p w:rsidR="00DF7E85" w:rsidRDefault="00DF7E85" w:rsidP="00B85846">
            <w:pPr>
              <w:spacing w:line="360" w:lineRule="auto"/>
              <w:jc w:val="center"/>
            </w:pPr>
            <w:r>
              <w:t>23</w:t>
            </w:r>
          </w:p>
          <w:p w:rsidR="00DF7E85" w:rsidRDefault="00DF7E85" w:rsidP="00B85846">
            <w:pPr>
              <w:spacing w:line="360" w:lineRule="auto"/>
              <w:jc w:val="center"/>
            </w:pPr>
            <w:r>
              <w:t>12</w:t>
            </w:r>
          </w:p>
        </w:tc>
        <w:tc>
          <w:tcPr>
            <w:tcW w:w="465" w:type="pct"/>
            <w:vAlign w:val="center"/>
          </w:tcPr>
          <w:p w:rsidR="00DF7E85" w:rsidRDefault="00DF7E85" w:rsidP="00B85846">
            <w:pPr>
              <w:spacing w:line="360" w:lineRule="auto"/>
              <w:jc w:val="center"/>
            </w:pPr>
            <w:r>
              <w:t>22,33</w:t>
            </w:r>
          </w:p>
          <w:p w:rsidR="00DF7E85" w:rsidRDefault="00DF7E85" w:rsidP="00B85846">
            <w:pPr>
              <w:spacing w:line="360" w:lineRule="auto"/>
              <w:jc w:val="center"/>
            </w:pPr>
            <w:r>
              <w:t>11,65</w:t>
            </w:r>
          </w:p>
        </w:tc>
      </w:tr>
      <w:tr w:rsidR="00DF7E85" w:rsidTr="00B85846">
        <w:trPr>
          <w:trHeight w:val="620"/>
        </w:trPr>
        <w:tc>
          <w:tcPr>
            <w:tcW w:w="930" w:type="pct"/>
            <w:vAlign w:val="center"/>
          </w:tcPr>
          <w:p w:rsidR="00DF7E85" w:rsidRDefault="00DF7E85" w:rsidP="00B85846">
            <w:pPr>
              <w:spacing w:line="360" w:lineRule="auto"/>
              <w:jc w:val="center"/>
            </w:pPr>
            <w:r>
              <w:t>АПН</w:t>
            </w:r>
          </w:p>
        </w:tc>
        <w:tc>
          <w:tcPr>
            <w:tcW w:w="379" w:type="pct"/>
            <w:vAlign w:val="center"/>
          </w:tcPr>
          <w:p w:rsidR="00DF7E85" w:rsidRDefault="00DF7E85" w:rsidP="00B85846">
            <w:pPr>
              <w:spacing w:line="360" w:lineRule="auto"/>
              <w:jc w:val="center"/>
            </w:pPr>
            <w:r>
              <w:t>ч</w:t>
            </w:r>
          </w:p>
          <w:p w:rsidR="00DF7E85" w:rsidRDefault="00DF7E85" w:rsidP="00B85846">
            <w:pPr>
              <w:spacing w:line="360" w:lineRule="auto"/>
              <w:jc w:val="center"/>
            </w:pPr>
            <w:r>
              <w:t>ж</w:t>
            </w:r>
          </w:p>
        </w:tc>
        <w:tc>
          <w:tcPr>
            <w:tcW w:w="435" w:type="pct"/>
            <w:vAlign w:val="center"/>
          </w:tcPr>
          <w:p w:rsidR="00DF7E85" w:rsidRDefault="00DF7E85" w:rsidP="00B85846">
            <w:pPr>
              <w:spacing w:line="360" w:lineRule="auto"/>
              <w:jc w:val="center"/>
            </w:pPr>
            <w:r>
              <w:t>2</w:t>
            </w:r>
          </w:p>
          <w:p w:rsidR="00DF7E85" w:rsidRDefault="00DF7E85" w:rsidP="00B85846">
            <w:pPr>
              <w:spacing w:line="360" w:lineRule="auto"/>
              <w:jc w:val="center"/>
            </w:pPr>
            <w:r>
              <w:t>-</w:t>
            </w:r>
          </w:p>
        </w:tc>
        <w:tc>
          <w:tcPr>
            <w:tcW w:w="460" w:type="pct"/>
            <w:vAlign w:val="center"/>
          </w:tcPr>
          <w:p w:rsidR="00DF7E85" w:rsidRDefault="00DF7E85" w:rsidP="00B85846">
            <w:pPr>
              <w:spacing w:line="360" w:lineRule="auto"/>
              <w:jc w:val="center"/>
              <w:rPr>
                <w:lang w:val="en-US"/>
              </w:rPr>
            </w:pPr>
            <w:r>
              <w:rPr>
                <w:lang w:val="en-US"/>
              </w:rPr>
              <w:t>2</w:t>
            </w:r>
          </w:p>
          <w:p w:rsidR="00DF7E85" w:rsidRDefault="00DF7E85" w:rsidP="00B85846">
            <w:pPr>
              <w:spacing w:line="360" w:lineRule="auto"/>
              <w:jc w:val="center"/>
            </w:pPr>
            <w:r>
              <w:t>-</w:t>
            </w:r>
          </w:p>
        </w:tc>
        <w:tc>
          <w:tcPr>
            <w:tcW w:w="470" w:type="pct"/>
            <w:vAlign w:val="center"/>
          </w:tcPr>
          <w:p w:rsidR="00DF7E85" w:rsidRDefault="00DF7E85" w:rsidP="00B85846">
            <w:pPr>
              <w:spacing w:line="360" w:lineRule="auto"/>
              <w:jc w:val="center"/>
              <w:rPr>
                <w:lang w:val="en-US"/>
              </w:rPr>
            </w:pPr>
            <w:r>
              <w:rPr>
                <w:lang w:val="en-US"/>
              </w:rPr>
              <w:t>1</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rPr>
                <w:lang w:val="en-US"/>
              </w:rPr>
            </w:pPr>
            <w:r>
              <w:rPr>
                <w:lang w:val="en-US"/>
              </w:rPr>
              <w:t>2</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rPr>
                <w:lang w:val="en-US"/>
              </w:rPr>
            </w:pPr>
            <w:r>
              <w:rPr>
                <w:lang w:val="en-US"/>
              </w:rPr>
              <w:t>1</w:t>
            </w:r>
          </w:p>
          <w:p w:rsidR="00DF7E85" w:rsidRDefault="00DF7E85" w:rsidP="00B85846">
            <w:pPr>
              <w:spacing w:line="360" w:lineRule="auto"/>
              <w:jc w:val="center"/>
              <w:rPr>
                <w:lang w:val="en-US"/>
              </w:rPr>
            </w:pPr>
            <w:r>
              <w:rPr>
                <w:lang w:val="en-US"/>
              </w:rPr>
              <w:t>-</w:t>
            </w:r>
          </w:p>
        </w:tc>
        <w:tc>
          <w:tcPr>
            <w:tcW w:w="465" w:type="pct"/>
            <w:vAlign w:val="center"/>
          </w:tcPr>
          <w:p w:rsidR="00DF7E85" w:rsidRDefault="00DF7E85" w:rsidP="00B85846">
            <w:pPr>
              <w:spacing w:line="360" w:lineRule="auto"/>
              <w:jc w:val="center"/>
              <w:rPr>
                <w:lang w:val="en-US"/>
              </w:rPr>
            </w:pPr>
            <w:r>
              <w:rPr>
                <w:lang w:val="en-US"/>
              </w:rPr>
              <w:t>-</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pPr>
            <w:r>
              <w:t>8</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pPr>
            <w:r>
              <w:t>7,77</w:t>
            </w:r>
          </w:p>
          <w:p w:rsidR="00DF7E85" w:rsidRDefault="00DF7E85" w:rsidP="00B85846">
            <w:pPr>
              <w:spacing w:line="360" w:lineRule="auto"/>
              <w:jc w:val="center"/>
            </w:pPr>
            <w:r>
              <w:t>-</w:t>
            </w:r>
          </w:p>
        </w:tc>
      </w:tr>
      <w:tr w:rsidR="00DF7E85" w:rsidTr="00B85846">
        <w:trPr>
          <w:trHeight w:val="620"/>
        </w:trPr>
        <w:tc>
          <w:tcPr>
            <w:tcW w:w="930" w:type="pct"/>
            <w:vAlign w:val="center"/>
          </w:tcPr>
          <w:p w:rsidR="00DF7E85" w:rsidRDefault="00DF7E85" w:rsidP="00B85846">
            <w:pPr>
              <w:spacing w:line="360" w:lineRule="auto"/>
              <w:jc w:val="center"/>
            </w:pPr>
            <w:r>
              <w:t>ІПН</w:t>
            </w:r>
          </w:p>
        </w:tc>
        <w:tc>
          <w:tcPr>
            <w:tcW w:w="379" w:type="pct"/>
            <w:vAlign w:val="center"/>
          </w:tcPr>
          <w:p w:rsidR="00DF7E85" w:rsidRDefault="00DF7E85" w:rsidP="00B85846">
            <w:pPr>
              <w:spacing w:line="360" w:lineRule="auto"/>
              <w:jc w:val="center"/>
            </w:pPr>
            <w:r>
              <w:t>ч</w:t>
            </w:r>
          </w:p>
          <w:p w:rsidR="00DF7E85" w:rsidRDefault="00DF7E85" w:rsidP="00B85846">
            <w:pPr>
              <w:spacing w:line="360" w:lineRule="auto"/>
              <w:jc w:val="center"/>
            </w:pPr>
            <w:r>
              <w:t>ж</w:t>
            </w:r>
          </w:p>
        </w:tc>
        <w:tc>
          <w:tcPr>
            <w:tcW w:w="435" w:type="pct"/>
            <w:vAlign w:val="center"/>
          </w:tcPr>
          <w:p w:rsidR="00DF7E85" w:rsidRDefault="00DF7E85" w:rsidP="00B85846">
            <w:pPr>
              <w:spacing w:line="360" w:lineRule="auto"/>
              <w:jc w:val="center"/>
              <w:rPr>
                <w:lang w:val="en-US"/>
              </w:rPr>
            </w:pPr>
            <w:r>
              <w:rPr>
                <w:lang w:val="en-US"/>
              </w:rPr>
              <w:t>-</w:t>
            </w:r>
          </w:p>
          <w:p w:rsidR="00DF7E85" w:rsidRDefault="00DF7E85" w:rsidP="00B85846">
            <w:pPr>
              <w:spacing w:line="360" w:lineRule="auto"/>
              <w:jc w:val="center"/>
              <w:rPr>
                <w:lang w:val="en-US"/>
              </w:rPr>
            </w:pPr>
            <w:r>
              <w:rPr>
                <w:lang w:val="en-US"/>
              </w:rPr>
              <w:t>-</w:t>
            </w:r>
          </w:p>
        </w:tc>
        <w:tc>
          <w:tcPr>
            <w:tcW w:w="460" w:type="pct"/>
            <w:vAlign w:val="center"/>
          </w:tcPr>
          <w:p w:rsidR="00DF7E85" w:rsidRDefault="00DF7E85" w:rsidP="00B85846">
            <w:pPr>
              <w:spacing w:line="360" w:lineRule="auto"/>
              <w:jc w:val="center"/>
              <w:rPr>
                <w:lang w:val="en-US"/>
              </w:rPr>
            </w:pPr>
            <w:r>
              <w:rPr>
                <w:lang w:val="en-US"/>
              </w:rPr>
              <w:t>3</w:t>
            </w:r>
          </w:p>
          <w:p w:rsidR="00DF7E85" w:rsidRDefault="00DF7E85" w:rsidP="00B85846">
            <w:pPr>
              <w:spacing w:line="360" w:lineRule="auto"/>
              <w:jc w:val="center"/>
              <w:rPr>
                <w:lang w:val="en-US"/>
              </w:rPr>
            </w:pPr>
            <w:r>
              <w:rPr>
                <w:lang w:val="en-US"/>
              </w:rPr>
              <w:t>-</w:t>
            </w:r>
          </w:p>
        </w:tc>
        <w:tc>
          <w:tcPr>
            <w:tcW w:w="470" w:type="pct"/>
            <w:vAlign w:val="center"/>
          </w:tcPr>
          <w:p w:rsidR="00DF7E85" w:rsidRDefault="00DF7E85" w:rsidP="00B85846">
            <w:pPr>
              <w:spacing w:line="360" w:lineRule="auto"/>
              <w:jc w:val="center"/>
              <w:rPr>
                <w:lang w:val="en-US"/>
              </w:rPr>
            </w:pPr>
            <w:r>
              <w:rPr>
                <w:lang w:val="en-US"/>
              </w:rPr>
              <w:t>8</w:t>
            </w:r>
          </w:p>
          <w:p w:rsidR="00DF7E85" w:rsidRDefault="00DF7E85" w:rsidP="00B85846">
            <w:pPr>
              <w:spacing w:line="360" w:lineRule="auto"/>
              <w:jc w:val="center"/>
              <w:rPr>
                <w:lang w:val="en-US"/>
              </w:rPr>
            </w:pPr>
            <w:r>
              <w:rPr>
                <w:lang w:val="en-US"/>
              </w:rPr>
              <w:t>1</w:t>
            </w:r>
          </w:p>
        </w:tc>
        <w:tc>
          <w:tcPr>
            <w:tcW w:w="465" w:type="pct"/>
            <w:vAlign w:val="center"/>
          </w:tcPr>
          <w:p w:rsidR="00DF7E85" w:rsidRDefault="00DF7E85" w:rsidP="00B85846">
            <w:pPr>
              <w:spacing w:line="360" w:lineRule="auto"/>
              <w:jc w:val="center"/>
              <w:rPr>
                <w:lang w:val="en-US"/>
              </w:rPr>
            </w:pPr>
            <w:r>
              <w:rPr>
                <w:lang w:val="en-US"/>
              </w:rPr>
              <w:t>5</w:t>
            </w:r>
          </w:p>
          <w:p w:rsidR="00DF7E85" w:rsidRDefault="00DF7E85" w:rsidP="00B85846">
            <w:pPr>
              <w:spacing w:line="360" w:lineRule="auto"/>
              <w:jc w:val="center"/>
              <w:rPr>
                <w:lang w:val="en-US"/>
              </w:rPr>
            </w:pPr>
            <w:r>
              <w:rPr>
                <w:lang w:val="en-US"/>
              </w:rPr>
              <w:t>3</w:t>
            </w:r>
          </w:p>
        </w:tc>
        <w:tc>
          <w:tcPr>
            <w:tcW w:w="465" w:type="pct"/>
            <w:vAlign w:val="center"/>
          </w:tcPr>
          <w:p w:rsidR="00DF7E85" w:rsidRDefault="00DF7E85" w:rsidP="00B85846">
            <w:pPr>
              <w:spacing w:line="360" w:lineRule="auto"/>
              <w:jc w:val="center"/>
              <w:rPr>
                <w:lang w:val="en-US"/>
              </w:rPr>
            </w:pPr>
            <w:r>
              <w:rPr>
                <w:lang w:val="en-US"/>
              </w:rPr>
              <w:t>2</w:t>
            </w:r>
          </w:p>
          <w:p w:rsidR="00DF7E85" w:rsidRDefault="00DF7E85" w:rsidP="00B85846">
            <w:pPr>
              <w:spacing w:line="360" w:lineRule="auto"/>
              <w:jc w:val="center"/>
              <w:rPr>
                <w:lang w:val="en-US"/>
              </w:rPr>
            </w:pPr>
            <w:r>
              <w:rPr>
                <w:lang w:val="en-US"/>
              </w:rPr>
              <w:t>2</w:t>
            </w:r>
          </w:p>
        </w:tc>
        <w:tc>
          <w:tcPr>
            <w:tcW w:w="465" w:type="pct"/>
            <w:vAlign w:val="center"/>
          </w:tcPr>
          <w:p w:rsidR="00DF7E85" w:rsidRDefault="00DF7E85" w:rsidP="00B85846">
            <w:pPr>
              <w:spacing w:line="360" w:lineRule="auto"/>
              <w:jc w:val="center"/>
              <w:rPr>
                <w:lang w:val="en-US"/>
              </w:rPr>
            </w:pPr>
            <w:r>
              <w:rPr>
                <w:lang w:val="en-US"/>
              </w:rPr>
              <w:t>-</w:t>
            </w:r>
          </w:p>
          <w:p w:rsidR="00DF7E85" w:rsidRDefault="00DF7E85" w:rsidP="00B85846">
            <w:pPr>
              <w:spacing w:line="360" w:lineRule="auto"/>
              <w:jc w:val="center"/>
              <w:rPr>
                <w:lang w:val="en-US"/>
              </w:rPr>
            </w:pPr>
            <w:r>
              <w:rPr>
                <w:lang w:val="en-US"/>
              </w:rPr>
              <w:t>1</w:t>
            </w:r>
          </w:p>
        </w:tc>
        <w:tc>
          <w:tcPr>
            <w:tcW w:w="465" w:type="pct"/>
            <w:vAlign w:val="center"/>
          </w:tcPr>
          <w:p w:rsidR="00DF7E85" w:rsidRDefault="00DF7E85" w:rsidP="00B85846">
            <w:pPr>
              <w:spacing w:line="360" w:lineRule="auto"/>
              <w:jc w:val="center"/>
              <w:rPr>
                <w:lang w:val="en-US"/>
              </w:rPr>
            </w:pPr>
            <w:r>
              <w:t>1</w:t>
            </w:r>
            <w:r>
              <w:rPr>
                <w:lang w:val="en-US"/>
              </w:rPr>
              <w:t>8</w:t>
            </w:r>
          </w:p>
          <w:p w:rsidR="00DF7E85" w:rsidRDefault="00DF7E85" w:rsidP="00B85846">
            <w:pPr>
              <w:spacing w:line="360" w:lineRule="auto"/>
              <w:jc w:val="center"/>
              <w:rPr>
                <w:lang w:val="en-US"/>
              </w:rPr>
            </w:pPr>
            <w:r>
              <w:rPr>
                <w:lang w:val="en-US"/>
              </w:rPr>
              <w:t>7</w:t>
            </w:r>
          </w:p>
        </w:tc>
        <w:tc>
          <w:tcPr>
            <w:tcW w:w="465" w:type="pct"/>
            <w:vAlign w:val="center"/>
          </w:tcPr>
          <w:p w:rsidR="00DF7E85" w:rsidRDefault="00DF7E85" w:rsidP="00B85846">
            <w:pPr>
              <w:spacing w:line="360" w:lineRule="auto"/>
              <w:jc w:val="center"/>
              <w:rPr>
                <w:lang w:val="en-US"/>
              </w:rPr>
            </w:pPr>
            <w:r>
              <w:rPr>
                <w:lang w:val="en-US"/>
              </w:rPr>
              <w:t>17,48</w:t>
            </w:r>
          </w:p>
          <w:p w:rsidR="00DF7E85" w:rsidRDefault="00DF7E85" w:rsidP="00B85846">
            <w:pPr>
              <w:spacing w:line="360" w:lineRule="auto"/>
              <w:jc w:val="center"/>
            </w:pPr>
            <w:r>
              <w:rPr>
                <w:lang w:val="en-US"/>
              </w:rPr>
              <w:t>6,79</w:t>
            </w:r>
          </w:p>
        </w:tc>
      </w:tr>
      <w:tr w:rsidR="00DF7E85" w:rsidTr="00B85846">
        <w:trPr>
          <w:trHeight w:val="620"/>
        </w:trPr>
        <w:tc>
          <w:tcPr>
            <w:tcW w:w="930" w:type="pct"/>
            <w:vAlign w:val="center"/>
          </w:tcPr>
          <w:p w:rsidR="00DF7E85" w:rsidRDefault="00DF7E85" w:rsidP="00B85846">
            <w:pPr>
              <w:spacing w:line="360" w:lineRule="auto"/>
              <w:jc w:val="center"/>
            </w:pPr>
            <w:r>
              <w:t>Абсцеси</w:t>
            </w:r>
          </w:p>
          <w:p w:rsidR="00DF7E85" w:rsidRDefault="00DF7E85" w:rsidP="00B85846">
            <w:pPr>
              <w:spacing w:line="360" w:lineRule="auto"/>
              <w:jc w:val="center"/>
            </w:pPr>
            <w:r>
              <w:t>ПЗ</w:t>
            </w:r>
          </w:p>
        </w:tc>
        <w:tc>
          <w:tcPr>
            <w:tcW w:w="379" w:type="pct"/>
            <w:vAlign w:val="center"/>
          </w:tcPr>
          <w:p w:rsidR="00DF7E85" w:rsidRDefault="00DF7E85" w:rsidP="00B85846">
            <w:pPr>
              <w:spacing w:line="360" w:lineRule="auto"/>
              <w:jc w:val="center"/>
            </w:pPr>
            <w:r>
              <w:t>ч</w:t>
            </w:r>
          </w:p>
          <w:p w:rsidR="00DF7E85" w:rsidRDefault="00DF7E85" w:rsidP="00B85846">
            <w:pPr>
              <w:spacing w:line="360" w:lineRule="auto"/>
              <w:jc w:val="center"/>
            </w:pPr>
            <w:r>
              <w:t>ж</w:t>
            </w:r>
          </w:p>
        </w:tc>
        <w:tc>
          <w:tcPr>
            <w:tcW w:w="435" w:type="pct"/>
            <w:vAlign w:val="center"/>
          </w:tcPr>
          <w:p w:rsidR="00DF7E85" w:rsidRDefault="00DF7E85" w:rsidP="00B85846">
            <w:pPr>
              <w:spacing w:line="360" w:lineRule="auto"/>
              <w:jc w:val="center"/>
            </w:pPr>
            <w:r>
              <w:t>2</w:t>
            </w:r>
          </w:p>
          <w:p w:rsidR="00DF7E85" w:rsidRDefault="00DF7E85" w:rsidP="00B85846">
            <w:pPr>
              <w:spacing w:line="360" w:lineRule="auto"/>
              <w:jc w:val="center"/>
            </w:pPr>
            <w:r>
              <w:t>-</w:t>
            </w:r>
          </w:p>
        </w:tc>
        <w:tc>
          <w:tcPr>
            <w:tcW w:w="460" w:type="pct"/>
            <w:vAlign w:val="center"/>
          </w:tcPr>
          <w:p w:rsidR="00DF7E85" w:rsidRDefault="00DF7E85" w:rsidP="00B85846">
            <w:pPr>
              <w:spacing w:line="360" w:lineRule="auto"/>
              <w:jc w:val="center"/>
              <w:rPr>
                <w:lang w:val="en-US"/>
              </w:rPr>
            </w:pPr>
            <w:r>
              <w:rPr>
                <w:lang w:val="en-US"/>
              </w:rPr>
              <w:t>2</w:t>
            </w:r>
          </w:p>
          <w:p w:rsidR="00DF7E85" w:rsidRDefault="00DF7E85" w:rsidP="00B85846">
            <w:pPr>
              <w:spacing w:line="360" w:lineRule="auto"/>
              <w:jc w:val="center"/>
              <w:rPr>
                <w:lang w:val="en-US"/>
              </w:rPr>
            </w:pPr>
            <w:r>
              <w:rPr>
                <w:lang w:val="en-US"/>
              </w:rPr>
              <w:t>-</w:t>
            </w:r>
          </w:p>
        </w:tc>
        <w:tc>
          <w:tcPr>
            <w:tcW w:w="470" w:type="pct"/>
            <w:vAlign w:val="center"/>
          </w:tcPr>
          <w:p w:rsidR="00DF7E85" w:rsidRDefault="00DF7E85" w:rsidP="00B85846">
            <w:pPr>
              <w:spacing w:line="360" w:lineRule="auto"/>
              <w:jc w:val="center"/>
              <w:rPr>
                <w:lang w:val="en-US"/>
              </w:rPr>
            </w:pPr>
            <w:r>
              <w:rPr>
                <w:lang w:val="en-US"/>
              </w:rPr>
              <w:t>2</w:t>
            </w:r>
          </w:p>
          <w:p w:rsidR="00DF7E85" w:rsidRDefault="00DF7E85" w:rsidP="00B85846">
            <w:pPr>
              <w:spacing w:line="360" w:lineRule="auto"/>
              <w:jc w:val="center"/>
              <w:rPr>
                <w:lang w:val="en-US"/>
              </w:rPr>
            </w:pPr>
            <w:r>
              <w:rPr>
                <w:lang w:val="en-US"/>
              </w:rPr>
              <w:t>-</w:t>
            </w:r>
          </w:p>
        </w:tc>
        <w:tc>
          <w:tcPr>
            <w:tcW w:w="465" w:type="pct"/>
            <w:vAlign w:val="center"/>
          </w:tcPr>
          <w:p w:rsidR="00DF7E85" w:rsidRDefault="00DF7E85" w:rsidP="00B85846">
            <w:pPr>
              <w:spacing w:line="360" w:lineRule="auto"/>
              <w:jc w:val="center"/>
              <w:rPr>
                <w:lang w:val="en-US"/>
              </w:rPr>
            </w:pPr>
            <w:r>
              <w:t>1</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rPr>
                <w:lang w:val="en-US"/>
              </w:rPr>
            </w:pPr>
            <w:r>
              <w:rPr>
                <w:lang w:val="en-US"/>
              </w:rPr>
              <w:t>3</w:t>
            </w:r>
          </w:p>
          <w:p w:rsidR="00DF7E85" w:rsidRDefault="00DF7E85" w:rsidP="00B85846">
            <w:pPr>
              <w:spacing w:line="360" w:lineRule="auto"/>
              <w:jc w:val="center"/>
              <w:rPr>
                <w:lang w:val="en-US"/>
              </w:rPr>
            </w:pPr>
            <w:r>
              <w:rPr>
                <w:lang w:val="en-US"/>
              </w:rPr>
              <w:t>3</w:t>
            </w:r>
          </w:p>
        </w:tc>
        <w:tc>
          <w:tcPr>
            <w:tcW w:w="465" w:type="pct"/>
            <w:vAlign w:val="center"/>
          </w:tcPr>
          <w:p w:rsidR="00DF7E85" w:rsidRDefault="00DF7E85" w:rsidP="00B85846">
            <w:pPr>
              <w:spacing w:line="360" w:lineRule="auto"/>
              <w:jc w:val="center"/>
              <w:rPr>
                <w:lang w:val="en-US"/>
              </w:rPr>
            </w:pPr>
            <w:r>
              <w:rPr>
                <w:lang w:val="en-US"/>
              </w:rPr>
              <w:t>1</w:t>
            </w:r>
          </w:p>
          <w:p w:rsidR="00DF7E85" w:rsidRDefault="00DF7E85" w:rsidP="00B85846">
            <w:pPr>
              <w:spacing w:line="360" w:lineRule="auto"/>
              <w:jc w:val="center"/>
              <w:rPr>
                <w:lang w:val="en-US"/>
              </w:rPr>
            </w:pPr>
            <w:r>
              <w:rPr>
                <w:lang w:val="en-US"/>
              </w:rPr>
              <w:t>-</w:t>
            </w:r>
          </w:p>
        </w:tc>
        <w:tc>
          <w:tcPr>
            <w:tcW w:w="465" w:type="pct"/>
            <w:vAlign w:val="center"/>
          </w:tcPr>
          <w:p w:rsidR="00DF7E85" w:rsidRDefault="00DF7E85" w:rsidP="00B85846">
            <w:pPr>
              <w:spacing w:line="360" w:lineRule="auto"/>
              <w:jc w:val="center"/>
            </w:pPr>
            <w:r>
              <w:t>11</w:t>
            </w:r>
          </w:p>
          <w:p w:rsidR="00DF7E85" w:rsidRDefault="00DF7E85" w:rsidP="00B85846">
            <w:pPr>
              <w:spacing w:line="360" w:lineRule="auto"/>
              <w:jc w:val="center"/>
            </w:pPr>
            <w:r>
              <w:t>3</w:t>
            </w:r>
          </w:p>
        </w:tc>
        <w:tc>
          <w:tcPr>
            <w:tcW w:w="465" w:type="pct"/>
            <w:vAlign w:val="center"/>
          </w:tcPr>
          <w:p w:rsidR="00DF7E85" w:rsidRDefault="00DF7E85" w:rsidP="00B85846">
            <w:pPr>
              <w:spacing w:line="360" w:lineRule="auto"/>
              <w:jc w:val="center"/>
            </w:pPr>
            <w:r>
              <w:t>10,68</w:t>
            </w:r>
          </w:p>
          <w:p w:rsidR="00DF7E85" w:rsidRDefault="00DF7E85" w:rsidP="00B85846">
            <w:pPr>
              <w:spacing w:line="360" w:lineRule="auto"/>
              <w:jc w:val="center"/>
            </w:pPr>
            <w:r>
              <w:t>2,91</w:t>
            </w:r>
          </w:p>
        </w:tc>
      </w:tr>
      <w:tr w:rsidR="00DF7E85" w:rsidTr="00B85846">
        <w:trPr>
          <w:trHeight w:val="620"/>
        </w:trPr>
        <w:tc>
          <w:tcPr>
            <w:tcW w:w="930" w:type="pct"/>
            <w:vAlign w:val="center"/>
          </w:tcPr>
          <w:p w:rsidR="00DF7E85" w:rsidRDefault="00DF7E85" w:rsidP="00B85846">
            <w:pPr>
              <w:spacing w:line="360" w:lineRule="auto"/>
              <w:jc w:val="center"/>
            </w:pPr>
            <w:r>
              <w:rPr>
                <w:lang w:val="en-US"/>
              </w:rPr>
              <w:t>К</w:t>
            </w:r>
            <w:r>
              <w:t>істи  ПЗ</w:t>
            </w:r>
          </w:p>
        </w:tc>
        <w:tc>
          <w:tcPr>
            <w:tcW w:w="379" w:type="pct"/>
            <w:vAlign w:val="center"/>
          </w:tcPr>
          <w:p w:rsidR="00DF7E85" w:rsidRDefault="00DF7E85" w:rsidP="00B85846">
            <w:pPr>
              <w:spacing w:line="360" w:lineRule="auto"/>
              <w:jc w:val="center"/>
            </w:pPr>
            <w:r>
              <w:t>ч</w:t>
            </w:r>
          </w:p>
          <w:p w:rsidR="00DF7E85" w:rsidRDefault="00DF7E85" w:rsidP="00B85846">
            <w:pPr>
              <w:spacing w:line="360" w:lineRule="auto"/>
              <w:jc w:val="center"/>
            </w:pPr>
            <w:r>
              <w:t>ж</w:t>
            </w:r>
          </w:p>
        </w:tc>
        <w:tc>
          <w:tcPr>
            <w:tcW w:w="435" w:type="pct"/>
            <w:vAlign w:val="center"/>
          </w:tcPr>
          <w:p w:rsidR="00DF7E85" w:rsidRDefault="00DF7E85" w:rsidP="00B85846">
            <w:pPr>
              <w:spacing w:line="360" w:lineRule="auto"/>
              <w:jc w:val="center"/>
              <w:rPr>
                <w:lang w:val="en-US"/>
              </w:rPr>
            </w:pPr>
            <w:r>
              <w:rPr>
                <w:lang w:val="en-US"/>
              </w:rPr>
              <w:t>1</w:t>
            </w:r>
          </w:p>
          <w:p w:rsidR="00DF7E85" w:rsidRDefault="00DF7E85" w:rsidP="00B85846">
            <w:pPr>
              <w:spacing w:line="360" w:lineRule="auto"/>
              <w:jc w:val="center"/>
            </w:pPr>
            <w:r>
              <w:t>1</w:t>
            </w:r>
          </w:p>
        </w:tc>
        <w:tc>
          <w:tcPr>
            <w:tcW w:w="460" w:type="pct"/>
            <w:vAlign w:val="center"/>
          </w:tcPr>
          <w:p w:rsidR="00DF7E85" w:rsidRDefault="00DF7E85" w:rsidP="00B85846">
            <w:pPr>
              <w:spacing w:line="360" w:lineRule="auto"/>
              <w:jc w:val="center"/>
              <w:rPr>
                <w:lang w:val="en-US"/>
              </w:rPr>
            </w:pPr>
            <w:r>
              <w:rPr>
                <w:lang w:val="en-US"/>
              </w:rPr>
              <w:t>-</w:t>
            </w:r>
          </w:p>
          <w:p w:rsidR="00DF7E85" w:rsidRDefault="00DF7E85" w:rsidP="00B85846">
            <w:pPr>
              <w:spacing w:line="360" w:lineRule="auto"/>
              <w:jc w:val="center"/>
            </w:pPr>
            <w:r>
              <w:t>-</w:t>
            </w:r>
          </w:p>
        </w:tc>
        <w:tc>
          <w:tcPr>
            <w:tcW w:w="470" w:type="pct"/>
            <w:vAlign w:val="center"/>
          </w:tcPr>
          <w:p w:rsidR="00DF7E85" w:rsidRDefault="00DF7E85" w:rsidP="00B85846">
            <w:pPr>
              <w:spacing w:line="360" w:lineRule="auto"/>
              <w:jc w:val="center"/>
              <w:rPr>
                <w:lang w:val="en-US"/>
              </w:rPr>
            </w:pPr>
            <w:r>
              <w:rPr>
                <w:lang w:val="en-US"/>
              </w:rPr>
              <w:t>1</w:t>
            </w:r>
          </w:p>
          <w:p w:rsidR="00DF7E85" w:rsidRDefault="00DF7E85" w:rsidP="00B85846">
            <w:pPr>
              <w:spacing w:line="360" w:lineRule="auto"/>
              <w:jc w:val="center"/>
              <w:rPr>
                <w:lang w:val="en-US"/>
              </w:rPr>
            </w:pPr>
            <w:r>
              <w:rPr>
                <w:lang w:val="en-US"/>
              </w:rPr>
              <w:t>-</w:t>
            </w:r>
          </w:p>
        </w:tc>
        <w:tc>
          <w:tcPr>
            <w:tcW w:w="465" w:type="pct"/>
            <w:vAlign w:val="center"/>
          </w:tcPr>
          <w:p w:rsidR="00DF7E85" w:rsidRDefault="00DF7E85" w:rsidP="00B85846">
            <w:pPr>
              <w:spacing w:line="360" w:lineRule="auto"/>
              <w:jc w:val="center"/>
              <w:rPr>
                <w:lang w:val="en-US"/>
              </w:rPr>
            </w:pPr>
            <w:r>
              <w:t>2</w:t>
            </w:r>
          </w:p>
          <w:p w:rsidR="00DF7E85" w:rsidRDefault="00DF7E85" w:rsidP="00B85846">
            <w:pPr>
              <w:spacing w:line="360" w:lineRule="auto"/>
              <w:jc w:val="center"/>
            </w:pPr>
            <w:r>
              <w:t>-</w:t>
            </w:r>
          </w:p>
        </w:tc>
        <w:tc>
          <w:tcPr>
            <w:tcW w:w="465" w:type="pct"/>
            <w:vAlign w:val="center"/>
          </w:tcPr>
          <w:p w:rsidR="00DF7E85" w:rsidRDefault="00DF7E85" w:rsidP="00B85846">
            <w:pPr>
              <w:spacing w:line="360" w:lineRule="auto"/>
              <w:jc w:val="center"/>
              <w:rPr>
                <w:lang w:val="en-US"/>
              </w:rPr>
            </w:pPr>
            <w:r>
              <w:rPr>
                <w:lang w:val="en-US"/>
              </w:rPr>
              <w:t>11</w:t>
            </w:r>
          </w:p>
          <w:p w:rsidR="00DF7E85" w:rsidRDefault="00DF7E85" w:rsidP="00B85846">
            <w:pPr>
              <w:spacing w:line="360" w:lineRule="auto"/>
              <w:jc w:val="center"/>
              <w:rPr>
                <w:lang w:val="en-US"/>
              </w:rPr>
            </w:pPr>
            <w:r>
              <w:rPr>
                <w:lang w:val="en-US"/>
              </w:rPr>
              <w:t>-</w:t>
            </w:r>
          </w:p>
        </w:tc>
        <w:tc>
          <w:tcPr>
            <w:tcW w:w="465" w:type="pct"/>
            <w:vAlign w:val="center"/>
          </w:tcPr>
          <w:p w:rsidR="00DF7E85" w:rsidRDefault="00DF7E85" w:rsidP="00B85846">
            <w:pPr>
              <w:spacing w:line="360" w:lineRule="auto"/>
              <w:jc w:val="center"/>
              <w:rPr>
                <w:lang w:val="en-US"/>
              </w:rPr>
            </w:pPr>
            <w:r>
              <w:rPr>
                <w:lang w:val="en-US"/>
              </w:rPr>
              <w:t>3</w:t>
            </w:r>
          </w:p>
          <w:p w:rsidR="00DF7E85" w:rsidRDefault="00DF7E85" w:rsidP="00B85846">
            <w:pPr>
              <w:spacing w:line="360" w:lineRule="auto"/>
              <w:jc w:val="center"/>
              <w:rPr>
                <w:lang w:val="en-US"/>
              </w:rPr>
            </w:pPr>
            <w:r>
              <w:rPr>
                <w:lang w:val="en-US"/>
              </w:rPr>
              <w:t>2</w:t>
            </w:r>
          </w:p>
        </w:tc>
        <w:tc>
          <w:tcPr>
            <w:tcW w:w="465" w:type="pct"/>
            <w:vAlign w:val="center"/>
          </w:tcPr>
          <w:p w:rsidR="00DF7E85" w:rsidRDefault="00DF7E85" w:rsidP="00B85846">
            <w:pPr>
              <w:spacing w:line="360" w:lineRule="auto"/>
              <w:jc w:val="center"/>
              <w:rPr>
                <w:lang w:val="en-US"/>
              </w:rPr>
            </w:pPr>
            <w:r>
              <w:rPr>
                <w:lang w:val="en-US"/>
              </w:rPr>
              <w:t>18</w:t>
            </w:r>
          </w:p>
          <w:p w:rsidR="00DF7E85" w:rsidRDefault="00DF7E85" w:rsidP="00B85846">
            <w:pPr>
              <w:spacing w:line="360" w:lineRule="auto"/>
              <w:jc w:val="center"/>
              <w:rPr>
                <w:lang w:val="en-US"/>
              </w:rPr>
            </w:pPr>
            <w:r>
              <w:rPr>
                <w:lang w:val="en-US"/>
              </w:rPr>
              <w:t>3</w:t>
            </w:r>
          </w:p>
        </w:tc>
        <w:tc>
          <w:tcPr>
            <w:tcW w:w="465" w:type="pct"/>
            <w:vAlign w:val="center"/>
          </w:tcPr>
          <w:p w:rsidR="00DF7E85" w:rsidRDefault="00DF7E85" w:rsidP="00B85846">
            <w:pPr>
              <w:spacing w:line="360" w:lineRule="auto"/>
              <w:jc w:val="center"/>
            </w:pPr>
            <w:r>
              <w:rPr>
                <w:lang w:val="en-US"/>
              </w:rPr>
              <w:t>1</w:t>
            </w:r>
            <w:r>
              <w:t>7</w:t>
            </w:r>
            <w:r>
              <w:rPr>
                <w:lang w:val="en-US"/>
              </w:rPr>
              <w:t>,</w:t>
            </w:r>
            <w:r>
              <w:t>48</w:t>
            </w:r>
          </w:p>
          <w:p w:rsidR="00DF7E85" w:rsidRDefault="00DF7E85" w:rsidP="00B85846">
            <w:pPr>
              <w:spacing w:line="360" w:lineRule="auto"/>
              <w:jc w:val="center"/>
            </w:pPr>
            <w:r>
              <w:rPr>
                <w:lang w:val="en-US"/>
              </w:rPr>
              <w:t>2,91</w:t>
            </w:r>
          </w:p>
        </w:tc>
      </w:tr>
      <w:tr w:rsidR="00DF7E85" w:rsidTr="00B85846">
        <w:trPr>
          <w:trHeight w:val="620"/>
        </w:trPr>
        <w:tc>
          <w:tcPr>
            <w:tcW w:w="930" w:type="pct"/>
            <w:vAlign w:val="center"/>
          </w:tcPr>
          <w:p w:rsidR="00DF7E85" w:rsidRDefault="00DF7E85" w:rsidP="00B85846">
            <w:pPr>
              <w:spacing w:line="360" w:lineRule="auto"/>
              <w:jc w:val="center"/>
            </w:pPr>
            <w:r>
              <w:t>Разом :   %</w:t>
            </w:r>
          </w:p>
        </w:tc>
        <w:tc>
          <w:tcPr>
            <w:tcW w:w="379" w:type="pct"/>
            <w:vAlign w:val="center"/>
          </w:tcPr>
          <w:p w:rsidR="00DF7E85" w:rsidRDefault="00DF7E85" w:rsidP="00B85846">
            <w:pPr>
              <w:spacing w:line="360" w:lineRule="auto"/>
              <w:jc w:val="center"/>
            </w:pPr>
          </w:p>
        </w:tc>
        <w:tc>
          <w:tcPr>
            <w:tcW w:w="435" w:type="pct"/>
            <w:vAlign w:val="center"/>
          </w:tcPr>
          <w:p w:rsidR="00DF7E85" w:rsidRDefault="00DF7E85" w:rsidP="00B85846">
            <w:pPr>
              <w:spacing w:line="360" w:lineRule="auto"/>
              <w:jc w:val="center"/>
              <w:rPr>
                <w:lang w:val="en-US"/>
              </w:rPr>
            </w:pPr>
            <w:r>
              <w:rPr>
                <w:lang w:val="en-US"/>
              </w:rPr>
              <w:t>12</w:t>
            </w:r>
            <w:r>
              <w:t>,</w:t>
            </w:r>
            <w:r>
              <w:rPr>
                <w:lang w:val="en-US"/>
              </w:rPr>
              <w:t>62</w:t>
            </w:r>
          </w:p>
        </w:tc>
        <w:tc>
          <w:tcPr>
            <w:tcW w:w="460" w:type="pct"/>
            <w:vAlign w:val="center"/>
          </w:tcPr>
          <w:p w:rsidR="00DF7E85" w:rsidRDefault="00DF7E85" w:rsidP="00B85846">
            <w:pPr>
              <w:spacing w:line="360" w:lineRule="auto"/>
              <w:jc w:val="center"/>
              <w:rPr>
                <w:lang w:val="en-US"/>
              </w:rPr>
            </w:pPr>
            <w:r>
              <w:rPr>
                <w:lang w:val="en-US"/>
              </w:rPr>
              <w:t>16</w:t>
            </w:r>
            <w:r>
              <w:t>,</w:t>
            </w:r>
            <w:r>
              <w:rPr>
                <w:lang w:val="en-US"/>
              </w:rPr>
              <w:t>50</w:t>
            </w:r>
          </w:p>
        </w:tc>
        <w:tc>
          <w:tcPr>
            <w:tcW w:w="470" w:type="pct"/>
            <w:vAlign w:val="center"/>
          </w:tcPr>
          <w:p w:rsidR="00DF7E85" w:rsidRDefault="00DF7E85" w:rsidP="00B85846">
            <w:pPr>
              <w:spacing w:line="360" w:lineRule="auto"/>
              <w:jc w:val="center"/>
              <w:rPr>
                <w:lang w:val="en-US"/>
              </w:rPr>
            </w:pPr>
            <w:r>
              <w:rPr>
                <w:lang w:val="en-US"/>
              </w:rPr>
              <w:t>19</w:t>
            </w:r>
            <w:r>
              <w:t>,</w:t>
            </w:r>
            <w:r>
              <w:rPr>
                <w:lang w:val="en-US"/>
              </w:rPr>
              <w:t>42</w:t>
            </w:r>
          </w:p>
        </w:tc>
        <w:tc>
          <w:tcPr>
            <w:tcW w:w="465" w:type="pct"/>
            <w:vAlign w:val="center"/>
          </w:tcPr>
          <w:p w:rsidR="00DF7E85" w:rsidRDefault="00DF7E85" w:rsidP="00B85846">
            <w:pPr>
              <w:spacing w:line="360" w:lineRule="auto"/>
              <w:jc w:val="center"/>
            </w:pPr>
            <w:r>
              <w:t>19,42</w:t>
            </w:r>
          </w:p>
        </w:tc>
        <w:tc>
          <w:tcPr>
            <w:tcW w:w="465" w:type="pct"/>
            <w:vAlign w:val="center"/>
          </w:tcPr>
          <w:p w:rsidR="00DF7E85" w:rsidRDefault="00DF7E85" w:rsidP="00B85846">
            <w:pPr>
              <w:spacing w:line="360" w:lineRule="auto"/>
              <w:jc w:val="center"/>
            </w:pPr>
            <w:r>
              <w:t>23,30</w:t>
            </w:r>
          </w:p>
        </w:tc>
        <w:tc>
          <w:tcPr>
            <w:tcW w:w="465" w:type="pct"/>
            <w:vAlign w:val="center"/>
          </w:tcPr>
          <w:p w:rsidR="00DF7E85" w:rsidRDefault="00DF7E85" w:rsidP="00B85846">
            <w:pPr>
              <w:spacing w:line="360" w:lineRule="auto"/>
              <w:jc w:val="center"/>
            </w:pPr>
            <w:r>
              <w:t>8,74</w:t>
            </w:r>
          </w:p>
        </w:tc>
        <w:tc>
          <w:tcPr>
            <w:tcW w:w="465" w:type="pct"/>
            <w:vAlign w:val="center"/>
          </w:tcPr>
          <w:p w:rsidR="00DF7E85" w:rsidRDefault="00DF7E85" w:rsidP="00B85846">
            <w:pPr>
              <w:spacing w:line="360" w:lineRule="auto"/>
              <w:jc w:val="center"/>
            </w:pPr>
            <w:r>
              <w:t>103</w:t>
            </w:r>
          </w:p>
        </w:tc>
        <w:tc>
          <w:tcPr>
            <w:tcW w:w="465" w:type="pct"/>
            <w:vAlign w:val="center"/>
          </w:tcPr>
          <w:p w:rsidR="00DF7E85" w:rsidRDefault="00DF7E85" w:rsidP="00B85846">
            <w:pPr>
              <w:spacing w:line="360" w:lineRule="auto"/>
              <w:jc w:val="center"/>
            </w:pPr>
            <w:r>
              <w:t>100,0</w:t>
            </w:r>
          </w:p>
        </w:tc>
      </w:tr>
    </w:tbl>
    <w:p w:rsidR="00DF7E85" w:rsidRDefault="00DF7E85" w:rsidP="00DF7E85">
      <w:pPr>
        <w:spacing w:line="360" w:lineRule="auto"/>
        <w:ind w:firstLine="709"/>
        <w:jc w:val="both"/>
      </w:pPr>
      <w:r>
        <w:t xml:space="preserve">     </w:t>
      </w:r>
    </w:p>
    <w:p w:rsidR="00DF7E85" w:rsidRDefault="00DF7E85" w:rsidP="00DF7E85">
      <w:pPr>
        <w:spacing w:line="360" w:lineRule="auto"/>
        <w:ind w:firstLine="709"/>
        <w:jc w:val="both"/>
      </w:pPr>
      <w:r>
        <w:t xml:space="preserve">Комісією з біоетики Тернопільського державного медичного університету ім. І.Я. Горбачовського встановлено, що дані дослідження відповідають основним біоетичним вимогам (протокол № 11 від 18.10.20006р). </w:t>
      </w:r>
    </w:p>
    <w:p w:rsidR="00DF7E85" w:rsidRDefault="00DF7E85" w:rsidP="00DF7E85">
      <w:pPr>
        <w:spacing w:line="360" w:lineRule="auto"/>
        <w:ind w:firstLine="709"/>
        <w:jc w:val="both"/>
      </w:pPr>
      <w:r>
        <w:t>В перші 48 годин від початку появи гострого приступу поступило 58 (56,31 %) осіб. Інші  43,4 % п</w:t>
      </w:r>
      <w:r>
        <w:t>о</w:t>
      </w:r>
      <w:r>
        <w:t xml:space="preserve">ступили після 48 годин.  Етіологічними факторами розвитку захворювання стали </w:t>
      </w:r>
      <w:r>
        <w:lastRenderedPageBreak/>
        <w:t>патологія білі</w:t>
      </w:r>
      <w:r>
        <w:t>а</w:t>
      </w:r>
      <w:r>
        <w:t xml:space="preserve">рної системи – 23,3 %, захворювання шлунку та дванадцятипалої кишки  –32,2 %, аліментарні фактори  –16,7 % травми підшлункової залози  – 7,8 % та інші причини –  20 %. </w:t>
      </w:r>
    </w:p>
    <w:p w:rsidR="00DF7E85" w:rsidRDefault="00DF7E85" w:rsidP="00DF7E85">
      <w:pPr>
        <w:spacing w:line="360" w:lineRule="auto"/>
        <w:ind w:firstLine="709"/>
        <w:jc w:val="both"/>
      </w:pPr>
      <w:r>
        <w:t>Щодо супровідної супутньої патології з боку інших орг</w:t>
      </w:r>
      <w:r>
        <w:t>а</w:t>
      </w:r>
      <w:r>
        <w:t>нів та систем, то у 65,05 % вона була н</w:t>
      </w:r>
      <w:r>
        <w:t>а</w:t>
      </w:r>
      <w:r>
        <w:t xml:space="preserve">явна (з них 51,7 % –серцево-судинна патологія) , а у 34,95 % -- відсутня.  </w:t>
      </w:r>
    </w:p>
    <w:p w:rsidR="00DF7E85" w:rsidRDefault="00DF7E85" w:rsidP="00DF7E85">
      <w:pPr>
        <w:spacing w:line="360" w:lineRule="auto"/>
        <w:ind w:firstLine="709"/>
        <w:jc w:val="both"/>
      </w:pPr>
      <w:r>
        <w:t>До операції був встановлений: перитоніт – у 18,45 % хворих, г</w:t>
      </w:r>
      <w:r>
        <w:t>о</w:t>
      </w:r>
      <w:r>
        <w:t>стрий панкреонекроз тіла і хвоста  ПЗ – у 15,50 %, абсцес сальникової сумки – 13,9 %, тотал</w:t>
      </w:r>
      <w:r>
        <w:t>ь</w:t>
      </w:r>
      <w:r>
        <w:t>ний панкреонекроз –  9,09 %, псевдокіста ПЗ – 4,85 %, флегм</w:t>
      </w:r>
      <w:r>
        <w:t>о</w:t>
      </w:r>
      <w:r>
        <w:t>на заочеревинної клітковини – 3,03 %. Було прооперовано 66 пацієнтів (64,08 %). В залежності від знайдених змін в черевній п</w:t>
      </w:r>
      <w:r>
        <w:t>о</w:t>
      </w:r>
      <w:r>
        <w:t>рожнині, підшлунковій залозі, заочеревинній клітковині були виконані  наступні операції (табл.2).</w:t>
      </w:r>
    </w:p>
    <w:p w:rsidR="00DF7E85" w:rsidRDefault="00DF7E85" w:rsidP="00DF7E85">
      <w:pPr>
        <w:spacing w:line="360" w:lineRule="auto"/>
        <w:ind w:firstLine="709"/>
        <w:jc w:val="right"/>
      </w:pPr>
      <w:r>
        <w:rPr>
          <w:bCs/>
        </w:rPr>
        <w:t xml:space="preserve">Таблиця 2 </w:t>
      </w:r>
    </w:p>
    <w:p w:rsidR="00DF7E85" w:rsidRDefault="00DF7E85" w:rsidP="00DF7E85">
      <w:pPr>
        <w:spacing w:line="360" w:lineRule="auto"/>
        <w:jc w:val="center"/>
      </w:pPr>
      <w:r>
        <w:rPr>
          <w:bCs/>
        </w:rPr>
        <w:t>Характер та частота оперативних втручань у хворих на ГП.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2851"/>
        <w:gridCol w:w="2330"/>
      </w:tblGrid>
      <w:tr w:rsidR="00DF7E85" w:rsidTr="00B85846">
        <w:tblPrEx>
          <w:tblCellMar>
            <w:top w:w="0" w:type="dxa"/>
            <w:bottom w:w="0" w:type="dxa"/>
          </w:tblCellMar>
        </w:tblPrEx>
        <w:trPr>
          <w:cantSplit/>
          <w:trHeight w:val="144"/>
        </w:trPr>
        <w:tc>
          <w:tcPr>
            <w:tcW w:w="2826" w:type="pct"/>
            <w:vMerge w:val="restart"/>
            <w:vAlign w:val="center"/>
          </w:tcPr>
          <w:p w:rsidR="00DF7E85" w:rsidRDefault="00DF7E85" w:rsidP="00B85846">
            <w:pPr>
              <w:spacing w:line="360" w:lineRule="auto"/>
              <w:jc w:val="center"/>
            </w:pPr>
            <w:r>
              <w:t>Види оперативного</w:t>
            </w:r>
          </w:p>
          <w:p w:rsidR="00DF7E85" w:rsidRDefault="00DF7E85" w:rsidP="00B85846">
            <w:pPr>
              <w:spacing w:line="360" w:lineRule="auto"/>
              <w:jc w:val="center"/>
            </w:pPr>
            <w:r>
              <w:t>втручання</w:t>
            </w:r>
          </w:p>
        </w:tc>
        <w:tc>
          <w:tcPr>
            <w:tcW w:w="2174" w:type="pct"/>
            <w:gridSpan w:val="2"/>
            <w:vAlign w:val="center"/>
          </w:tcPr>
          <w:p w:rsidR="00DF7E85" w:rsidRDefault="00DF7E85" w:rsidP="00B85846">
            <w:pPr>
              <w:pStyle w:val="31"/>
              <w:spacing w:line="360" w:lineRule="auto"/>
              <w:rPr>
                <w:sz w:val="24"/>
              </w:rPr>
            </w:pPr>
            <w:r>
              <w:rPr>
                <w:sz w:val="24"/>
              </w:rPr>
              <w:t>Кількість хворих</w:t>
            </w:r>
          </w:p>
        </w:tc>
      </w:tr>
      <w:tr w:rsidR="00DF7E85" w:rsidTr="00B85846">
        <w:tblPrEx>
          <w:tblCellMar>
            <w:top w:w="0" w:type="dxa"/>
            <w:bottom w:w="0" w:type="dxa"/>
          </w:tblCellMar>
        </w:tblPrEx>
        <w:trPr>
          <w:cantSplit/>
          <w:trHeight w:val="138"/>
        </w:trPr>
        <w:tc>
          <w:tcPr>
            <w:tcW w:w="2826" w:type="pct"/>
            <w:vMerge/>
            <w:vAlign w:val="center"/>
          </w:tcPr>
          <w:p w:rsidR="00DF7E85" w:rsidRDefault="00DF7E85" w:rsidP="00B85846">
            <w:pPr>
              <w:spacing w:line="360" w:lineRule="auto"/>
              <w:jc w:val="center"/>
            </w:pPr>
          </w:p>
        </w:tc>
        <w:tc>
          <w:tcPr>
            <w:tcW w:w="1196" w:type="pct"/>
            <w:vAlign w:val="center"/>
          </w:tcPr>
          <w:p w:rsidR="00DF7E85" w:rsidRDefault="00DF7E85" w:rsidP="00B85846">
            <w:pPr>
              <w:spacing w:line="360" w:lineRule="auto"/>
              <w:jc w:val="center"/>
            </w:pPr>
            <w:r>
              <w:t>Абсолютне число</w:t>
            </w:r>
          </w:p>
        </w:tc>
        <w:tc>
          <w:tcPr>
            <w:tcW w:w="978" w:type="pct"/>
            <w:vAlign w:val="center"/>
          </w:tcPr>
          <w:p w:rsidR="00DF7E85" w:rsidRDefault="00DF7E85" w:rsidP="00B85846">
            <w:pPr>
              <w:spacing w:line="360" w:lineRule="auto"/>
              <w:jc w:val="center"/>
            </w:pPr>
            <w:r>
              <w:t>Відсоток (%)</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На біліарному тракті:</w:t>
            </w:r>
          </w:p>
        </w:tc>
        <w:tc>
          <w:tcPr>
            <w:tcW w:w="1196" w:type="pct"/>
            <w:vAlign w:val="center"/>
          </w:tcPr>
          <w:p w:rsidR="00DF7E85" w:rsidRDefault="00DF7E85" w:rsidP="00B85846">
            <w:pPr>
              <w:spacing w:line="360" w:lineRule="auto"/>
              <w:jc w:val="center"/>
            </w:pPr>
          </w:p>
        </w:tc>
        <w:tc>
          <w:tcPr>
            <w:tcW w:w="978" w:type="pct"/>
            <w:vAlign w:val="center"/>
          </w:tcPr>
          <w:p w:rsidR="00DF7E85" w:rsidRDefault="00DF7E85" w:rsidP="00B85846">
            <w:pPr>
              <w:spacing w:line="360" w:lineRule="auto"/>
              <w:jc w:val="center"/>
            </w:pP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лапароскопічна холецистектомія</w:t>
            </w:r>
          </w:p>
        </w:tc>
        <w:tc>
          <w:tcPr>
            <w:tcW w:w="1196" w:type="pct"/>
            <w:vAlign w:val="center"/>
          </w:tcPr>
          <w:p w:rsidR="00DF7E85" w:rsidRDefault="00DF7E85" w:rsidP="00B85846">
            <w:pPr>
              <w:spacing w:line="360" w:lineRule="auto"/>
              <w:jc w:val="center"/>
            </w:pPr>
            <w:r>
              <w:t>3</w:t>
            </w:r>
          </w:p>
        </w:tc>
        <w:tc>
          <w:tcPr>
            <w:tcW w:w="978" w:type="pct"/>
            <w:vAlign w:val="center"/>
          </w:tcPr>
          <w:p w:rsidR="00DF7E85" w:rsidRDefault="00DF7E85" w:rsidP="00B85846">
            <w:pPr>
              <w:spacing w:line="360" w:lineRule="auto"/>
              <w:jc w:val="center"/>
            </w:pPr>
            <w:r>
              <w:t>4,55</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ендоскопічна папілосфінеторотомія</w:t>
            </w:r>
          </w:p>
        </w:tc>
        <w:tc>
          <w:tcPr>
            <w:tcW w:w="1196" w:type="pct"/>
            <w:vAlign w:val="center"/>
          </w:tcPr>
          <w:p w:rsidR="00DF7E85" w:rsidRDefault="00DF7E85" w:rsidP="00B85846">
            <w:pPr>
              <w:spacing w:line="360" w:lineRule="auto"/>
              <w:jc w:val="center"/>
            </w:pPr>
            <w:r>
              <w:t>3</w:t>
            </w:r>
          </w:p>
        </w:tc>
        <w:tc>
          <w:tcPr>
            <w:tcW w:w="978" w:type="pct"/>
            <w:vAlign w:val="center"/>
          </w:tcPr>
          <w:p w:rsidR="00DF7E85" w:rsidRDefault="00DF7E85" w:rsidP="00B85846">
            <w:pPr>
              <w:spacing w:line="360" w:lineRule="auto"/>
              <w:jc w:val="center"/>
            </w:pPr>
            <w:r>
              <w:t>4,55</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відкрита холецистектомія</w:t>
            </w:r>
          </w:p>
        </w:tc>
        <w:tc>
          <w:tcPr>
            <w:tcW w:w="1196" w:type="pct"/>
            <w:vAlign w:val="center"/>
          </w:tcPr>
          <w:p w:rsidR="00DF7E85" w:rsidRDefault="00DF7E85" w:rsidP="00B85846">
            <w:pPr>
              <w:spacing w:line="360" w:lineRule="auto"/>
              <w:jc w:val="center"/>
            </w:pPr>
            <w:r>
              <w:t>14</w:t>
            </w:r>
          </w:p>
        </w:tc>
        <w:tc>
          <w:tcPr>
            <w:tcW w:w="978" w:type="pct"/>
            <w:vAlign w:val="center"/>
          </w:tcPr>
          <w:p w:rsidR="00DF7E85" w:rsidRDefault="00DF7E85" w:rsidP="00B85846">
            <w:pPr>
              <w:spacing w:line="360" w:lineRule="auto"/>
              <w:jc w:val="center"/>
            </w:pPr>
            <w:r>
              <w:t>21,21</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На підшлунковій залозі:</w:t>
            </w:r>
          </w:p>
        </w:tc>
        <w:tc>
          <w:tcPr>
            <w:tcW w:w="1196" w:type="pct"/>
            <w:vAlign w:val="center"/>
          </w:tcPr>
          <w:p w:rsidR="00DF7E85" w:rsidRDefault="00DF7E85" w:rsidP="00B85846">
            <w:pPr>
              <w:spacing w:line="360" w:lineRule="auto"/>
              <w:jc w:val="center"/>
            </w:pPr>
          </w:p>
        </w:tc>
        <w:tc>
          <w:tcPr>
            <w:tcW w:w="978" w:type="pct"/>
            <w:vAlign w:val="center"/>
          </w:tcPr>
          <w:p w:rsidR="00DF7E85" w:rsidRDefault="00DF7E85" w:rsidP="00B85846">
            <w:pPr>
              <w:spacing w:line="360" w:lineRule="auto"/>
              <w:jc w:val="center"/>
            </w:pP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-черезшкірна пункція  об’</w:t>
            </w:r>
            <w:r>
              <w:rPr>
                <w:lang w:val="en-US"/>
              </w:rPr>
              <w:t>ємних утворів</w:t>
            </w:r>
          </w:p>
        </w:tc>
        <w:tc>
          <w:tcPr>
            <w:tcW w:w="1196" w:type="pct"/>
            <w:vAlign w:val="center"/>
          </w:tcPr>
          <w:p w:rsidR="00DF7E85" w:rsidRDefault="00DF7E85" w:rsidP="00B85846">
            <w:pPr>
              <w:spacing w:line="360" w:lineRule="auto"/>
              <w:jc w:val="center"/>
            </w:pPr>
            <w:r>
              <w:t>11</w:t>
            </w:r>
          </w:p>
        </w:tc>
        <w:tc>
          <w:tcPr>
            <w:tcW w:w="978" w:type="pct"/>
            <w:vAlign w:val="center"/>
          </w:tcPr>
          <w:p w:rsidR="00DF7E85" w:rsidRDefault="00DF7E85" w:rsidP="00B85846">
            <w:pPr>
              <w:spacing w:line="360" w:lineRule="auto"/>
              <w:jc w:val="center"/>
            </w:pPr>
            <w:r>
              <w:t>16,67</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лапаротомії</w:t>
            </w:r>
          </w:p>
        </w:tc>
        <w:tc>
          <w:tcPr>
            <w:tcW w:w="1196" w:type="pct"/>
            <w:vAlign w:val="center"/>
          </w:tcPr>
          <w:p w:rsidR="00DF7E85" w:rsidRDefault="00DF7E85" w:rsidP="00B85846">
            <w:pPr>
              <w:spacing w:line="360" w:lineRule="auto"/>
              <w:jc w:val="center"/>
            </w:pPr>
            <w:r>
              <w:t>52</w:t>
            </w:r>
          </w:p>
        </w:tc>
        <w:tc>
          <w:tcPr>
            <w:tcW w:w="978" w:type="pct"/>
            <w:vAlign w:val="center"/>
          </w:tcPr>
          <w:p w:rsidR="00DF7E85" w:rsidRDefault="00DF7E85" w:rsidP="00B85846">
            <w:pPr>
              <w:spacing w:line="360" w:lineRule="auto"/>
              <w:jc w:val="center"/>
            </w:pPr>
            <w:r>
              <w:t>78,79</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-розкриття, дренування сальникової сумки</w:t>
            </w:r>
          </w:p>
        </w:tc>
        <w:tc>
          <w:tcPr>
            <w:tcW w:w="1196" w:type="pct"/>
            <w:vAlign w:val="center"/>
          </w:tcPr>
          <w:p w:rsidR="00DF7E85" w:rsidRDefault="00DF7E85" w:rsidP="00B85846">
            <w:pPr>
              <w:spacing w:line="360" w:lineRule="auto"/>
              <w:jc w:val="center"/>
            </w:pPr>
            <w:r>
              <w:t>17</w:t>
            </w:r>
          </w:p>
        </w:tc>
        <w:tc>
          <w:tcPr>
            <w:tcW w:w="978" w:type="pct"/>
            <w:vAlign w:val="center"/>
          </w:tcPr>
          <w:p w:rsidR="00DF7E85" w:rsidRDefault="00DF7E85" w:rsidP="00B85846">
            <w:pPr>
              <w:spacing w:line="360" w:lineRule="auto"/>
              <w:jc w:val="center"/>
            </w:pPr>
            <w:r>
              <w:t>25,76</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-розкриття та дренування заочеревинного простору</w:t>
            </w:r>
          </w:p>
        </w:tc>
        <w:tc>
          <w:tcPr>
            <w:tcW w:w="1196" w:type="pct"/>
            <w:vAlign w:val="center"/>
          </w:tcPr>
          <w:p w:rsidR="00DF7E85" w:rsidRDefault="00DF7E85" w:rsidP="00B85846">
            <w:pPr>
              <w:spacing w:line="360" w:lineRule="auto"/>
              <w:jc w:val="center"/>
            </w:pPr>
            <w:r>
              <w:t>6</w:t>
            </w:r>
          </w:p>
        </w:tc>
        <w:tc>
          <w:tcPr>
            <w:tcW w:w="978" w:type="pct"/>
            <w:vAlign w:val="center"/>
          </w:tcPr>
          <w:p w:rsidR="00DF7E85" w:rsidRDefault="00DF7E85" w:rsidP="00B85846">
            <w:pPr>
              <w:spacing w:line="360" w:lineRule="auto"/>
              <w:jc w:val="center"/>
            </w:pPr>
            <w:r>
              <w:t>9,09</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дренування кіст і абсцесів</w:t>
            </w:r>
          </w:p>
        </w:tc>
        <w:tc>
          <w:tcPr>
            <w:tcW w:w="1196" w:type="pct"/>
            <w:vAlign w:val="center"/>
          </w:tcPr>
          <w:p w:rsidR="00DF7E85" w:rsidRDefault="00DF7E85" w:rsidP="00B85846">
            <w:pPr>
              <w:spacing w:line="360" w:lineRule="auto"/>
              <w:jc w:val="center"/>
            </w:pPr>
            <w:r>
              <w:t>19</w:t>
            </w:r>
          </w:p>
        </w:tc>
        <w:tc>
          <w:tcPr>
            <w:tcW w:w="978" w:type="pct"/>
            <w:vAlign w:val="center"/>
          </w:tcPr>
          <w:p w:rsidR="00DF7E85" w:rsidRDefault="00DF7E85" w:rsidP="00B85846">
            <w:pPr>
              <w:spacing w:line="360" w:lineRule="auto"/>
              <w:jc w:val="center"/>
            </w:pPr>
            <w:r>
              <w:t>28,79</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панкреатонекректомія</w:t>
            </w:r>
          </w:p>
        </w:tc>
        <w:tc>
          <w:tcPr>
            <w:tcW w:w="1196" w:type="pct"/>
            <w:vAlign w:val="center"/>
          </w:tcPr>
          <w:p w:rsidR="00DF7E85" w:rsidRDefault="00DF7E85" w:rsidP="00B85846">
            <w:pPr>
              <w:spacing w:line="360" w:lineRule="auto"/>
              <w:jc w:val="center"/>
            </w:pPr>
            <w:r>
              <w:t>23</w:t>
            </w:r>
          </w:p>
        </w:tc>
        <w:tc>
          <w:tcPr>
            <w:tcW w:w="978" w:type="pct"/>
            <w:vAlign w:val="center"/>
          </w:tcPr>
          <w:p w:rsidR="00DF7E85" w:rsidRDefault="00DF7E85" w:rsidP="00B85846">
            <w:pPr>
              <w:spacing w:line="360" w:lineRule="auto"/>
              <w:jc w:val="center"/>
            </w:pPr>
            <w:r>
              <w:t>34,85</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марсупіалізація</w:t>
            </w:r>
          </w:p>
        </w:tc>
        <w:tc>
          <w:tcPr>
            <w:tcW w:w="1196" w:type="pct"/>
            <w:vAlign w:val="center"/>
          </w:tcPr>
          <w:p w:rsidR="00DF7E85" w:rsidRDefault="00DF7E85" w:rsidP="00B85846">
            <w:pPr>
              <w:spacing w:line="360" w:lineRule="auto"/>
              <w:jc w:val="center"/>
            </w:pPr>
            <w:r>
              <w:t>10</w:t>
            </w:r>
          </w:p>
        </w:tc>
        <w:tc>
          <w:tcPr>
            <w:tcW w:w="978" w:type="pct"/>
            <w:vAlign w:val="center"/>
          </w:tcPr>
          <w:p w:rsidR="00DF7E85" w:rsidRDefault="00DF7E85" w:rsidP="00B85846">
            <w:pPr>
              <w:spacing w:line="360" w:lineRule="auto"/>
              <w:jc w:val="center"/>
            </w:pPr>
            <w:r>
              <w:t>15,15</w:t>
            </w:r>
          </w:p>
        </w:tc>
      </w:tr>
      <w:tr w:rsidR="00DF7E85" w:rsidTr="00B85846">
        <w:tblPrEx>
          <w:tblCellMar>
            <w:top w:w="0" w:type="dxa"/>
            <w:bottom w:w="0" w:type="dxa"/>
          </w:tblCellMar>
        </w:tblPrEx>
        <w:trPr>
          <w:trHeight w:val="138"/>
        </w:trPr>
        <w:tc>
          <w:tcPr>
            <w:tcW w:w="2826" w:type="pct"/>
            <w:vAlign w:val="center"/>
          </w:tcPr>
          <w:p w:rsidR="00DF7E85" w:rsidRDefault="00DF7E85" w:rsidP="00B85846">
            <w:pPr>
              <w:spacing w:line="360" w:lineRule="auto"/>
            </w:pPr>
            <w:r>
              <w:t>- спленектомія</w:t>
            </w:r>
          </w:p>
        </w:tc>
        <w:tc>
          <w:tcPr>
            <w:tcW w:w="1196" w:type="pct"/>
            <w:vAlign w:val="center"/>
          </w:tcPr>
          <w:p w:rsidR="00DF7E85" w:rsidRDefault="00DF7E85" w:rsidP="00B85846">
            <w:pPr>
              <w:spacing w:line="360" w:lineRule="auto"/>
              <w:jc w:val="center"/>
            </w:pPr>
            <w:r>
              <w:t>1</w:t>
            </w:r>
          </w:p>
        </w:tc>
        <w:tc>
          <w:tcPr>
            <w:tcW w:w="978" w:type="pct"/>
            <w:vAlign w:val="center"/>
          </w:tcPr>
          <w:p w:rsidR="00DF7E85" w:rsidRDefault="00DF7E85" w:rsidP="00B85846">
            <w:pPr>
              <w:spacing w:line="360" w:lineRule="auto"/>
              <w:jc w:val="center"/>
            </w:pPr>
            <w:r>
              <w:t>1,52</w:t>
            </w:r>
          </w:p>
        </w:tc>
      </w:tr>
    </w:tbl>
    <w:p w:rsidR="00DF7E85" w:rsidRDefault="00DF7E85" w:rsidP="00DF7E85">
      <w:pPr>
        <w:spacing w:line="360" w:lineRule="auto"/>
        <w:ind w:firstLine="709"/>
        <w:jc w:val="both"/>
      </w:pPr>
      <w:r>
        <w:t xml:space="preserve">       </w:t>
      </w:r>
    </w:p>
    <w:p w:rsidR="00DF7E85" w:rsidRDefault="00DF7E85" w:rsidP="00DF7E85">
      <w:pPr>
        <w:spacing w:line="360" w:lineRule="auto"/>
        <w:ind w:firstLine="709"/>
        <w:jc w:val="both"/>
      </w:pPr>
      <w:r>
        <w:t>Після проведених операцій в різні строки виникали ускладне</w:t>
      </w:r>
      <w:r>
        <w:t>н</w:t>
      </w:r>
      <w:r>
        <w:t>ня:  нориці –13,9 %, абсцеси – 12,12 %, перитоніт –  6,06 %, заочеревинна флегмона – 4,55 %, евентерація –2,8 %, які в   3,88 % привели до летального на</w:t>
      </w:r>
      <w:r>
        <w:t>с</w:t>
      </w:r>
      <w:r>
        <w:t xml:space="preserve">лідку. </w:t>
      </w:r>
    </w:p>
    <w:p w:rsidR="00DF7E85" w:rsidRDefault="00DF7E85" w:rsidP="00DF7E85">
      <w:pPr>
        <w:spacing w:line="360" w:lineRule="auto"/>
        <w:ind w:firstLine="709"/>
        <w:jc w:val="both"/>
      </w:pPr>
      <w:r>
        <w:t xml:space="preserve">Хворих було розділено на три групи: основну  клінічну групу склали  53 хворих із різними формами гострого панкреатиту та супутніми серцево-судинними  захворюваннями, 50 пацієнтів з гострим панкреатитом без кардіоваскулярної патології (контрольна група І ) та  30 </w:t>
      </w:r>
      <w:r>
        <w:lastRenderedPageBreak/>
        <w:t>чоловік – практично здорові люди ( кон</w:t>
      </w:r>
      <w:r>
        <w:t>т</w:t>
      </w:r>
      <w:r>
        <w:t xml:space="preserve">рольна група ІІ ). Із контрольної групи І -32 хворих мали панкреато-кардіальний синдром.  </w:t>
      </w:r>
    </w:p>
    <w:p w:rsidR="00DF7E85" w:rsidRDefault="00DF7E85" w:rsidP="00DF7E85">
      <w:pPr>
        <w:spacing w:line="360" w:lineRule="auto"/>
        <w:ind w:firstLine="709"/>
        <w:jc w:val="both"/>
      </w:pPr>
      <w:r>
        <w:t>Результати досліджень опрацьовували методами варіаційного статистичного аналізу за програмою “Microsoft Еxcel” із визначенням критерію Ст’юдента</w:t>
      </w:r>
    </w:p>
    <w:p w:rsidR="00DF7E85" w:rsidRDefault="00DF7E85" w:rsidP="00DF7E85">
      <w:pPr>
        <w:spacing w:line="360" w:lineRule="auto"/>
        <w:ind w:firstLine="709"/>
        <w:jc w:val="both"/>
        <w:rPr>
          <w:bCs/>
        </w:rPr>
      </w:pPr>
      <w:r>
        <w:rPr>
          <w:b/>
          <w:bCs/>
        </w:rPr>
        <w:t>Основні результати дослідження.</w:t>
      </w:r>
      <w:r>
        <w:t xml:space="preserve">  Важливим моментом є вчасна і ад</w:t>
      </w:r>
      <w:r>
        <w:t>е</w:t>
      </w:r>
      <w:r>
        <w:t>кватна оцінка важкості і прогнозу перебігу панкреатиту.  Тому нами було проведено оцінювання індексу прогнозування тяжкості перебігу гострого панкреатиту  (ІПВ). При оцінюванні індексу прогнозування тяжкості перебігу гострого панкреатиту  (ІПВ)  легкий ступінь тяжкості спостерігався у 32,04 %  хворих ( 33 чоловік ), тяжкий – у  29,13 % (30 хв</w:t>
      </w:r>
      <w:r>
        <w:t>о</w:t>
      </w:r>
      <w:r>
        <w:t>рих ), а  тяжкий перебіг із можливістю розвитку гнійного процесу і загрозою життю хворого – у 38,83 % (40  пацієнтів). Щодо аналізу   прогнозу перебігу панкр</w:t>
      </w:r>
      <w:r>
        <w:t>е</w:t>
      </w:r>
      <w:r>
        <w:t>онекрозу, який зводився  до підрахунку ознак синдрому системної відповіді на запалення (SIRS ) та оцінювався згідно з термінологією Північноамер</w:t>
      </w:r>
      <w:r>
        <w:t>и</w:t>
      </w:r>
      <w:r>
        <w:t>канської узгоджувальної конференції, то легкий ступінь було діагностовано – 46 %, сер</w:t>
      </w:r>
      <w:r>
        <w:t>е</w:t>
      </w:r>
      <w:r>
        <w:t>дній – у 29 %, важкий – у 25 %.</w:t>
      </w:r>
      <w:r>
        <w:rPr>
          <w:rFonts w:eastAsia="MS Mincho"/>
          <w:color w:val="000000"/>
        </w:rPr>
        <w:t xml:space="preserve"> </w:t>
      </w:r>
    </w:p>
    <w:p w:rsidR="00DF7E85" w:rsidRDefault="00DF7E85" w:rsidP="00DF7E85">
      <w:pPr>
        <w:tabs>
          <w:tab w:val="left" w:pos="0"/>
        </w:tabs>
        <w:spacing w:line="360" w:lineRule="auto"/>
        <w:ind w:firstLine="709"/>
        <w:jc w:val="both"/>
      </w:pPr>
      <w:r>
        <w:rPr>
          <w:rFonts w:eastAsia="MS Mincho"/>
          <w:color w:val="000000"/>
        </w:rPr>
        <w:t xml:space="preserve">В процесі роботи  досліджено, що гострий панкреатит поєднується: з панкреато-кардіальним синдромом ( 31,07 % - контрольна група І ) із нього - </w:t>
      </w:r>
      <w:r>
        <w:rPr>
          <w:color w:val="000000"/>
        </w:rPr>
        <w:t>синдромом ранньої реполяризації шлуночків</w:t>
      </w:r>
      <w:r>
        <w:t xml:space="preserve"> (17,5 %)</w:t>
      </w:r>
      <w:r>
        <w:rPr>
          <w:rFonts w:eastAsia="MS Mincho"/>
          <w:color w:val="000000"/>
        </w:rPr>
        <w:t>; та супровідною серцево-судинною пат</w:t>
      </w:r>
      <w:r>
        <w:rPr>
          <w:rFonts w:eastAsia="MS Mincho"/>
          <w:color w:val="000000"/>
        </w:rPr>
        <w:t>о</w:t>
      </w:r>
      <w:r>
        <w:rPr>
          <w:rFonts w:eastAsia="MS Mincho"/>
          <w:color w:val="000000"/>
        </w:rPr>
        <w:t>логією – у 51,7 % ( основна група ): ішемічною хвор</w:t>
      </w:r>
      <w:r>
        <w:rPr>
          <w:rFonts w:eastAsia="MS Mincho"/>
          <w:color w:val="000000"/>
        </w:rPr>
        <w:t>о</w:t>
      </w:r>
      <w:r>
        <w:rPr>
          <w:rFonts w:eastAsia="MS Mincho"/>
          <w:color w:val="000000"/>
        </w:rPr>
        <w:t xml:space="preserve">бою серця та  її ускладненнями ( 35,1 % ), </w:t>
      </w:r>
      <w:r>
        <w:rPr>
          <w:color w:val="000000"/>
        </w:rPr>
        <w:t>гіпертонічною хворобою</w:t>
      </w:r>
      <w:r>
        <w:t xml:space="preserve"> І-ІІІ стадії ( 10,5 %), </w:t>
      </w:r>
      <w:r>
        <w:rPr>
          <w:color w:val="000000"/>
        </w:rPr>
        <w:t>недоста</w:t>
      </w:r>
      <w:r>
        <w:rPr>
          <w:color w:val="000000"/>
        </w:rPr>
        <w:t>т</w:t>
      </w:r>
      <w:r>
        <w:rPr>
          <w:color w:val="000000"/>
        </w:rPr>
        <w:t>ністю кровообігу</w:t>
      </w:r>
      <w:r>
        <w:t xml:space="preserve"> І-ІІ стадії ( 18,45 %) ( табл. 3). </w:t>
      </w:r>
    </w:p>
    <w:p w:rsidR="00DF7E85" w:rsidRDefault="00DF7E85" w:rsidP="00DF7E85">
      <w:pPr>
        <w:spacing w:line="360" w:lineRule="auto"/>
        <w:ind w:firstLine="709"/>
        <w:jc w:val="right"/>
      </w:pPr>
      <w:r>
        <w:rPr>
          <w:bCs/>
        </w:rPr>
        <w:t xml:space="preserve">Таблиця 3 </w:t>
      </w:r>
    </w:p>
    <w:p w:rsidR="00DF7E85" w:rsidRDefault="00DF7E85" w:rsidP="00DF7E85">
      <w:pPr>
        <w:spacing w:line="360" w:lineRule="auto"/>
        <w:jc w:val="center"/>
      </w:pPr>
      <w:r>
        <w:t>Частка   серцево-судинних відхилень та  захворювань у хворих на ГП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821"/>
        <w:gridCol w:w="1750"/>
        <w:gridCol w:w="1712"/>
      </w:tblGrid>
      <w:tr w:rsidR="00DF7E85" w:rsidTr="00B85846">
        <w:trPr>
          <w:cantSplit/>
          <w:trHeight w:val="620"/>
        </w:trPr>
        <w:tc>
          <w:tcPr>
            <w:tcW w:w="3243" w:type="pct"/>
            <w:gridSpan w:val="2"/>
            <w:vMerge w:val="restart"/>
            <w:vAlign w:val="center"/>
          </w:tcPr>
          <w:p w:rsidR="00DF7E85" w:rsidRDefault="00DF7E85" w:rsidP="00B85846">
            <w:pPr>
              <w:spacing w:line="360" w:lineRule="auto"/>
              <w:jc w:val="center"/>
            </w:pPr>
            <w:r>
              <w:t>Супутні серцево-судинні зміни</w:t>
            </w:r>
          </w:p>
          <w:p w:rsidR="00DF7E85" w:rsidRDefault="00DF7E85" w:rsidP="00B85846">
            <w:pPr>
              <w:spacing w:line="360" w:lineRule="auto"/>
              <w:jc w:val="center"/>
              <w:rPr>
                <w:b/>
              </w:rPr>
            </w:pPr>
            <w:r>
              <w:t>та захворювання</w:t>
            </w:r>
          </w:p>
        </w:tc>
        <w:tc>
          <w:tcPr>
            <w:tcW w:w="1757" w:type="pct"/>
            <w:gridSpan w:val="2"/>
            <w:vAlign w:val="center"/>
          </w:tcPr>
          <w:p w:rsidR="00DF7E85" w:rsidRDefault="00DF7E85" w:rsidP="00B85846">
            <w:pPr>
              <w:spacing w:line="360" w:lineRule="auto"/>
              <w:jc w:val="center"/>
            </w:pPr>
            <w:r>
              <w:t>Загальна кількість хворих</w:t>
            </w:r>
          </w:p>
        </w:tc>
      </w:tr>
      <w:tr w:rsidR="00DF7E85" w:rsidTr="00B85846">
        <w:trPr>
          <w:cantSplit/>
          <w:trHeight w:val="340"/>
        </w:trPr>
        <w:tc>
          <w:tcPr>
            <w:tcW w:w="3243" w:type="pct"/>
            <w:gridSpan w:val="2"/>
            <w:vMerge/>
            <w:vAlign w:val="center"/>
          </w:tcPr>
          <w:p w:rsidR="00DF7E85" w:rsidRDefault="00DF7E85" w:rsidP="00B85846">
            <w:pPr>
              <w:spacing w:line="360" w:lineRule="auto"/>
              <w:jc w:val="center"/>
            </w:pPr>
          </w:p>
        </w:tc>
        <w:tc>
          <w:tcPr>
            <w:tcW w:w="888" w:type="pct"/>
            <w:vAlign w:val="center"/>
          </w:tcPr>
          <w:p w:rsidR="00DF7E85" w:rsidRDefault="00DF7E85" w:rsidP="00B85846">
            <w:pPr>
              <w:spacing w:line="360" w:lineRule="auto"/>
              <w:jc w:val="center"/>
            </w:pPr>
            <w:r>
              <w:t>Абс.  число</w:t>
            </w:r>
          </w:p>
        </w:tc>
        <w:tc>
          <w:tcPr>
            <w:tcW w:w="870" w:type="pct"/>
            <w:vAlign w:val="center"/>
          </w:tcPr>
          <w:p w:rsidR="00DF7E85" w:rsidRDefault="00DF7E85" w:rsidP="00B85846">
            <w:pPr>
              <w:spacing w:line="360" w:lineRule="auto"/>
              <w:jc w:val="center"/>
            </w:pPr>
            <w:r>
              <w:t>(%)</w:t>
            </w:r>
          </w:p>
        </w:tc>
      </w:tr>
      <w:tr w:rsidR="00DF7E85" w:rsidTr="00B85846">
        <w:tc>
          <w:tcPr>
            <w:tcW w:w="1304" w:type="pct"/>
            <w:vAlign w:val="center"/>
          </w:tcPr>
          <w:p w:rsidR="00DF7E85" w:rsidRDefault="00DF7E85" w:rsidP="00B85846">
            <w:pPr>
              <w:spacing w:line="360" w:lineRule="auto"/>
              <w:jc w:val="center"/>
            </w:pPr>
            <w:r>
              <w:t>Контрольна</w:t>
            </w:r>
          </w:p>
          <w:p w:rsidR="00DF7E85" w:rsidRDefault="00DF7E85" w:rsidP="00B85846">
            <w:pPr>
              <w:spacing w:line="360" w:lineRule="auto"/>
              <w:jc w:val="center"/>
            </w:pPr>
            <w:r>
              <w:t>група І (n=50)</w:t>
            </w:r>
          </w:p>
        </w:tc>
        <w:tc>
          <w:tcPr>
            <w:tcW w:w="1938" w:type="pct"/>
            <w:vAlign w:val="center"/>
          </w:tcPr>
          <w:p w:rsidR="00DF7E85" w:rsidRDefault="00DF7E85" w:rsidP="00B85846">
            <w:pPr>
              <w:spacing w:line="360" w:lineRule="auto"/>
              <w:jc w:val="center"/>
              <w:rPr>
                <w:rFonts w:eastAsia="MS Mincho"/>
                <w:color w:val="000000"/>
              </w:rPr>
            </w:pPr>
            <w:r>
              <w:rPr>
                <w:rFonts w:eastAsia="MS Mincho"/>
                <w:color w:val="000000"/>
              </w:rPr>
              <w:t>па</w:t>
            </w:r>
            <w:r>
              <w:rPr>
                <w:rFonts w:eastAsia="MS Mincho"/>
                <w:color w:val="000000"/>
              </w:rPr>
              <w:t>н</w:t>
            </w:r>
            <w:r>
              <w:rPr>
                <w:rFonts w:eastAsia="MS Mincho"/>
                <w:color w:val="000000"/>
              </w:rPr>
              <w:t>креато-кардіальний</w:t>
            </w:r>
          </w:p>
          <w:p w:rsidR="00DF7E85" w:rsidRDefault="00DF7E85" w:rsidP="00B85846">
            <w:pPr>
              <w:spacing w:line="360" w:lineRule="auto"/>
              <w:jc w:val="center"/>
              <w:rPr>
                <w:rFonts w:eastAsia="MS Mincho"/>
                <w:color w:val="000000"/>
              </w:rPr>
            </w:pPr>
            <w:r>
              <w:rPr>
                <w:rFonts w:eastAsia="MS Mincho"/>
                <w:color w:val="000000"/>
              </w:rPr>
              <w:t>синдром</w:t>
            </w:r>
          </w:p>
        </w:tc>
        <w:tc>
          <w:tcPr>
            <w:tcW w:w="888" w:type="pct"/>
            <w:vAlign w:val="center"/>
          </w:tcPr>
          <w:p w:rsidR="00DF7E85" w:rsidRDefault="00DF7E85" w:rsidP="00B85846">
            <w:pPr>
              <w:spacing w:line="360" w:lineRule="auto"/>
              <w:jc w:val="center"/>
            </w:pPr>
            <w:r>
              <w:t>32</w:t>
            </w:r>
          </w:p>
        </w:tc>
        <w:tc>
          <w:tcPr>
            <w:tcW w:w="870" w:type="pct"/>
            <w:vAlign w:val="center"/>
          </w:tcPr>
          <w:p w:rsidR="00DF7E85" w:rsidRDefault="00DF7E85" w:rsidP="00B85846">
            <w:pPr>
              <w:spacing w:line="360" w:lineRule="auto"/>
              <w:jc w:val="center"/>
              <w:rPr>
                <w:b/>
              </w:rPr>
            </w:pPr>
            <w:r>
              <w:rPr>
                <w:rFonts w:eastAsia="MS Mincho"/>
                <w:color w:val="000000"/>
              </w:rPr>
              <w:t>31,07</w:t>
            </w:r>
          </w:p>
        </w:tc>
      </w:tr>
      <w:tr w:rsidR="00DF7E85" w:rsidTr="00B85846">
        <w:trPr>
          <w:cantSplit/>
        </w:trPr>
        <w:tc>
          <w:tcPr>
            <w:tcW w:w="1304" w:type="pct"/>
            <w:vMerge w:val="restart"/>
            <w:vAlign w:val="center"/>
          </w:tcPr>
          <w:p w:rsidR="00DF7E85" w:rsidRDefault="00DF7E85" w:rsidP="00B85846">
            <w:pPr>
              <w:spacing w:line="360" w:lineRule="auto"/>
              <w:jc w:val="center"/>
            </w:pPr>
          </w:p>
          <w:p w:rsidR="00DF7E85" w:rsidRDefault="00DF7E85" w:rsidP="00B85846">
            <w:pPr>
              <w:spacing w:line="360" w:lineRule="auto"/>
              <w:jc w:val="center"/>
            </w:pPr>
            <w:r>
              <w:t>Основна група</w:t>
            </w:r>
          </w:p>
          <w:p w:rsidR="00DF7E85" w:rsidRDefault="00DF7E85" w:rsidP="00B85846">
            <w:pPr>
              <w:spacing w:line="360" w:lineRule="auto"/>
              <w:jc w:val="center"/>
            </w:pPr>
            <w:r>
              <w:t>(n=53)</w:t>
            </w:r>
          </w:p>
        </w:tc>
        <w:tc>
          <w:tcPr>
            <w:tcW w:w="1938" w:type="pct"/>
            <w:vAlign w:val="center"/>
          </w:tcPr>
          <w:p w:rsidR="00DF7E85" w:rsidRDefault="00DF7E85" w:rsidP="00B85846">
            <w:pPr>
              <w:spacing w:line="360" w:lineRule="auto"/>
              <w:jc w:val="center"/>
              <w:rPr>
                <w:rFonts w:eastAsia="MS Mincho"/>
                <w:color w:val="000000"/>
              </w:rPr>
            </w:pPr>
            <w:r>
              <w:rPr>
                <w:rFonts w:eastAsia="MS Mincho"/>
                <w:color w:val="000000"/>
              </w:rPr>
              <w:t>ішемічна хвороба серця</w:t>
            </w:r>
          </w:p>
        </w:tc>
        <w:tc>
          <w:tcPr>
            <w:tcW w:w="888" w:type="pct"/>
            <w:vAlign w:val="center"/>
          </w:tcPr>
          <w:p w:rsidR="00DF7E85" w:rsidRDefault="00DF7E85" w:rsidP="00B85846">
            <w:pPr>
              <w:spacing w:line="360" w:lineRule="auto"/>
              <w:jc w:val="center"/>
            </w:pPr>
            <w:r>
              <w:t>36</w:t>
            </w:r>
          </w:p>
        </w:tc>
        <w:tc>
          <w:tcPr>
            <w:tcW w:w="870" w:type="pct"/>
            <w:vAlign w:val="center"/>
          </w:tcPr>
          <w:p w:rsidR="00DF7E85" w:rsidRDefault="00DF7E85" w:rsidP="00B85846">
            <w:pPr>
              <w:spacing w:line="360" w:lineRule="auto"/>
              <w:jc w:val="center"/>
            </w:pPr>
            <w:r>
              <w:t>35,1</w:t>
            </w:r>
          </w:p>
        </w:tc>
      </w:tr>
      <w:tr w:rsidR="00DF7E85" w:rsidTr="00B85846">
        <w:trPr>
          <w:cantSplit/>
        </w:trPr>
        <w:tc>
          <w:tcPr>
            <w:tcW w:w="1304" w:type="pct"/>
            <w:vMerge/>
            <w:vAlign w:val="center"/>
          </w:tcPr>
          <w:p w:rsidR="00DF7E85" w:rsidRDefault="00DF7E85" w:rsidP="00B85846">
            <w:pPr>
              <w:spacing w:line="360" w:lineRule="auto"/>
              <w:jc w:val="center"/>
              <w:rPr>
                <w:b/>
              </w:rPr>
            </w:pPr>
          </w:p>
        </w:tc>
        <w:tc>
          <w:tcPr>
            <w:tcW w:w="1938" w:type="pct"/>
            <w:vAlign w:val="center"/>
          </w:tcPr>
          <w:p w:rsidR="00DF7E85" w:rsidRDefault="00DF7E85" w:rsidP="00B85846">
            <w:pPr>
              <w:spacing w:line="360" w:lineRule="auto"/>
              <w:jc w:val="center"/>
            </w:pPr>
            <w:r>
              <w:rPr>
                <w:color w:val="000000"/>
              </w:rPr>
              <w:t xml:space="preserve">ГХ </w:t>
            </w:r>
            <w:r>
              <w:t xml:space="preserve"> І-ІІІ ст.</w:t>
            </w:r>
          </w:p>
        </w:tc>
        <w:tc>
          <w:tcPr>
            <w:tcW w:w="888" w:type="pct"/>
            <w:vAlign w:val="center"/>
          </w:tcPr>
          <w:p w:rsidR="00DF7E85" w:rsidRDefault="00DF7E85" w:rsidP="00B85846">
            <w:pPr>
              <w:spacing w:line="360" w:lineRule="auto"/>
              <w:jc w:val="center"/>
            </w:pPr>
            <w:r>
              <w:t>11</w:t>
            </w:r>
          </w:p>
        </w:tc>
        <w:tc>
          <w:tcPr>
            <w:tcW w:w="870" w:type="pct"/>
            <w:vAlign w:val="center"/>
          </w:tcPr>
          <w:p w:rsidR="00DF7E85" w:rsidRDefault="00DF7E85" w:rsidP="00B85846">
            <w:pPr>
              <w:spacing w:line="360" w:lineRule="auto"/>
              <w:jc w:val="center"/>
              <w:rPr>
                <w:b/>
              </w:rPr>
            </w:pPr>
            <w:r>
              <w:t>10,5</w:t>
            </w:r>
          </w:p>
        </w:tc>
      </w:tr>
      <w:tr w:rsidR="00DF7E85" w:rsidTr="00B85846">
        <w:trPr>
          <w:cantSplit/>
        </w:trPr>
        <w:tc>
          <w:tcPr>
            <w:tcW w:w="1304" w:type="pct"/>
            <w:vMerge/>
            <w:vAlign w:val="center"/>
          </w:tcPr>
          <w:p w:rsidR="00DF7E85" w:rsidRDefault="00DF7E85" w:rsidP="00B85846">
            <w:pPr>
              <w:spacing w:line="360" w:lineRule="auto"/>
              <w:jc w:val="center"/>
            </w:pPr>
          </w:p>
        </w:tc>
        <w:tc>
          <w:tcPr>
            <w:tcW w:w="1938" w:type="pct"/>
            <w:vAlign w:val="center"/>
          </w:tcPr>
          <w:p w:rsidR="00DF7E85" w:rsidRDefault="00DF7E85" w:rsidP="00B85846">
            <w:pPr>
              <w:spacing w:line="360" w:lineRule="auto"/>
              <w:jc w:val="center"/>
            </w:pPr>
            <w:r>
              <w:rPr>
                <w:color w:val="000000"/>
              </w:rPr>
              <w:t>НК</w:t>
            </w:r>
            <w:r>
              <w:t xml:space="preserve"> І-ІІ ст.</w:t>
            </w:r>
          </w:p>
        </w:tc>
        <w:tc>
          <w:tcPr>
            <w:tcW w:w="888" w:type="pct"/>
            <w:vAlign w:val="center"/>
          </w:tcPr>
          <w:p w:rsidR="00DF7E85" w:rsidRDefault="00DF7E85" w:rsidP="00B85846">
            <w:pPr>
              <w:spacing w:line="360" w:lineRule="auto"/>
              <w:jc w:val="center"/>
            </w:pPr>
            <w:r>
              <w:t>19</w:t>
            </w:r>
          </w:p>
        </w:tc>
        <w:tc>
          <w:tcPr>
            <w:tcW w:w="870" w:type="pct"/>
            <w:vAlign w:val="center"/>
          </w:tcPr>
          <w:p w:rsidR="00DF7E85" w:rsidRDefault="00DF7E85" w:rsidP="00B85846">
            <w:pPr>
              <w:spacing w:line="360" w:lineRule="auto"/>
              <w:jc w:val="center"/>
              <w:rPr>
                <w:b/>
              </w:rPr>
            </w:pPr>
            <w:r>
              <w:t>18,45</w:t>
            </w:r>
          </w:p>
        </w:tc>
      </w:tr>
    </w:tbl>
    <w:p w:rsidR="00DF7E85" w:rsidRDefault="00DF7E85" w:rsidP="00DF7E85">
      <w:pPr>
        <w:spacing w:line="360" w:lineRule="auto"/>
        <w:ind w:firstLine="709"/>
        <w:jc w:val="both"/>
      </w:pPr>
    </w:p>
    <w:p w:rsidR="00DF7E85" w:rsidRDefault="00DF7E85" w:rsidP="00DF7E85">
      <w:pPr>
        <w:pStyle w:val="35"/>
        <w:ind w:firstLine="709"/>
        <w:rPr>
          <w:sz w:val="24"/>
        </w:rPr>
      </w:pPr>
      <w:r>
        <w:rPr>
          <w:sz w:val="24"/>
        </w:rPr>
        <w:t>Аналізуючи вікову тенденцію супровідної серцево-судинної патології, ми б</w:t>
      </w:r>
      <w:r>
        <w:rPr>
          <w:sz w:val="24"/>
        </w:rPr>
        <w:t>а</w:t>
      </w:r>
      <w:r>
        <w:rPr>
          <w:sz w:val="24"/>
        </w:rPr>
        <w:t>чимо превалювання її з віком, а наявність панкреато-кардіального синдрому має прямо пропорційну залежність від клініко-морфологічної форми гостр</w:t>
      </w:r>
      <w:r>
        <w:rPr>
          <w:sz w:val="24"/>
        </w:rPr>
        <w:t>о</w:t>
      </w:r>
      <w:r>
        <w:rPr>
          <w:sz w:val="24"/>
        </w:rPr>
        <w:t xml:space="preserve">го панкреатиту. </w:t>
      </w:r>
      <w:r>
        <w:rPr>
          <w:color w:val="000000"/>
          <w:sz w:val="24"/>
        </w:rPr>
        <w:t xml:space="preserve"> </w:t>
      </w:r>
    </w:p>
    <w:p w:rsidR="00DF7E85" w:rsidRDefault="00DF7E85" w:rsidP="00DF7E85">
      <w:pPr>
        <w:spacing w:line="360" w:lineRule="auto"/>
        <w:ind w:firstLine="709"/>
        <w:jc w:val="both"/>
      </w:pPr>
      <w:r>
        <w:rPr>
          <w:color w:val="000000"/>
        </w:rPr>
        <w:t xml:space="preserve">Щодо </w:t>
      </w:r>
      <w:r>
        <w:t>функціонал</w:t>
      </w:r>
      <w:r>
        <w:t>ь</w:t>
      </w:r>
      <w:r>
        <w:t xml:space="preserve">них класів за критеріями Нью-Йоркської асоціації серця ( </w:t>
      </w:r>
      <w:r>
        <w:rPr>
          <w:lang w:val="en-US"/>
        </w:rPr>
        <w:t>NYHA</w:t>
      </w:r>
      <w:r>
        <w:t>), то  хворих з І ФК б</w:t>
      </w:r>
      <w:r>
        <w:t>у</w:t>
      </w:r>
      <w:r>
        <w:t>ло 22,64 %, ІІ ФК – 30,19 %,  ІІІ ФК – 41,51 % та І</w:t>
      </w:r>
      <w:r>
        <w:rPr>
          <w:lang w:val="en-US"/>
        </w:rPr>
        <w:t>V</w:t>
      </w:r>
      <w:r>
        <w:t xml:space="preserve"> ФК – 5,66 %, із них 75,47 % </w:t>
      </w:r>
      <w:r>
        <w:lastRenderedPageBreak/>
        <w:t>мали хронічну серцево-судинну недост</w:t>
      </w:r>
      <w:r>
        <w:t>а</w:t>
      </w:r>
      <w:r>
        <w:t xml:space="preserve">тність ( n=53). </w:t>
      </w:r>
      <w:r>
        <w:rPr>
          <w:rFonts w:eastAsia="MS Mincho"/>
          <w:color w:val="000000"/>
        </w:rPr>
        <w:t>Частота інтра- і післяопераційних серцево-судинних ускладнень стан</w:t>
      </w:r>
      <w:r>
        <w:rPr>
          <w:rFonts w:eastAsia="MS Mincho"/>
          <w:color w:val="000000"/>
        </w:rPr>
        <w:t>о</w:t>
      </w:r>
      <w:r>
        <w:rPr>
          <w:rFonts w:eastAsia="MS Mincho"/>
          <w:color w:val="000000"/>
        </w:rPr>
        <w:t xml:space="preserve">вить 22,5 % випадків, її </w:t>
      </w:r>
      <w:r>
        <w:t>виразність залежить від віку, тяжкості до-операційних розладів функції міокарда,  характеру патології ПЗ, об’єму оперативного втручання при відкритій  лапаротомії і тиску карбоксиперитонеуму при лапароскопічному методі. У випадку  некректомій із одночасною марсупіалізацією залози ускладнення в 2 рази частіше спост</w:t>
      </w:r>
      <w:r>
        <w:t>е</w:t>
      </w:r>
      <w:r>
        <w:t>рігались  в порівнянні з  розкриттям та дренуванням гнійників. При  мініінвазивному методі лікування  вони були в 1,6 рази частіше у випадку лапароскопії з тиском карбоксиперитонеуму 12-13 мм рт. ст.</w:t>
      </w:r>
      <w:r>
        <w:rPr>
          <w:rFonts w:eastAsia="MS Mincho"/>
          <w:color w:val="000000"/>
        </w:rPr>
        <w:t xml:space="preserve"> </w:t>
      </w:r>
      <w:r>
        <w:t>порівняно з</w:t>
      </w:r>
      <w:r>
        <w:rPr>
          <w:rFonts w:eastAsia="MS Mincho"/>
          <w:color w:val="000000"/>
        </w:rPr>
        <w:t xml:space="preserve"> </w:t>
      </w:r>
      <w:r>
        <w:t>лапароскопією з ти</w:t>
      </w:r>
      <w:r>
        <w:t>с</w:t>
      </w:r>
      <w:r>
        <w:t xml:space="preserve">ком карбоксиперитонеуму 8-11 мм рт. ст. Під час проведення порівняльного аналізу частоти </w:t>
      </w:r>
      <w:r>
        <w:rPr>
          <w:rFonts w:eastAsia="MS Mincho"/>
          <w:color w:val="000000"/>
        </w:rPr>
        <w:t>с</w:t>
      </w:r>
      <w:r>
        <w:t>ерцево-судинних ускладнень між верхньо-серединною л</w:t>
      </w:r>
      <w:r>
        <w:t>а</w:t>
      </w:r>
      <w:r>
        <w:t>паротомією і лапароскопічним втручанням з тиском карбоксиперитонеуму 8-11 мм рт. ст., вони були в 2,3 рази частіше при верхньо-серединному доступі, а порівняно з лапароскопічною операцією з тиском карбоксиперитон</w:t>
      </w:r>
      <w:r>
        <w:t>е</w:t>
      </w:r>
      <w:r>
        <w:t xml:space="preserve">уму 12-13 мм рт. ст. суттєвої різниці практично не було. </w:t>
      </w:r>
    </w:p>
    <w:p w:rsidR="00DF7E85" w:rsidRDefault="00DF7E85" w:rsidP="00DF7E85">
      <w:pPr>
        <w:spacing w:line="360" w:lineRule="auto"/>
        <w:ind w:firstLine="709"/>
        <w:jc w:val="both"/>
      </w:pPr>
      <w:r>
        <w:rPr>
          <w:color w:val="000000"/>
        </w:rPr>
        <w:t>Наявність синдрому ранньої реполяризації шлуночків</w:t>
      </w:r>
      <w:r>
        <w:t xml:space="preserve"> без супровідної органічної патології міокарда істотно не впливає на функцію міокарда та бе</w:t>
      </w:r>
      <w:r>
        <w:t>з</w:t>
      </w:r>
      <w:r>
        <w:t>посередні результати  мініінвазивного втручання при набряковому панкре</w:t>
      </w:r>
      <w:r>
        <w:t>а</w:t>
      </w:r>
      <w:r>
        <w:t xml:space="preserve">титі та асептичному панкреонекрозі  </w:t>
      </w:r>
      <w:r>
        <w:rPr>
          <w:color w:val="000000"/>
        </w:rPr>
        <w:t>(ΔS ((</w:t>
      </w:r>
      <w:r>
        <w:t>36,39 ±0,88 ) %,  (31,03 ± 0,07) % Р&lt; 0,05</w:t>
      </w:r>
      <w:r>
        <w:rPr>
          <w:color w:val="000000"/>
        </w:rPr>
        <w:t xml:space="preserve">), </w:t>
      </w:r>
      <w:r>
        <w:t xml:space="preserve">фракції викиду ((65,38±1,47) %  і (59,70± 0,33) % </w:t>
      </w:r>
      <w:r>
        <w:rPr>
          <w:lang w:val="en-US"/>
        </w:rPr>
        <w:t>P</w:t>
      </w:r>
      <w:r>
        <w:t xml:space="preserve"> &lt; 0,05)   і уда</w:t>
      </w:r>
      <w:r>
        <w:t>р</w:t>
      </w:r>
      <w:r>
        <w:t xml:space="preserve">ного об’єму ((79,63 ± 1,70) мл і (81,50±2,33) мл Р&lt; 0,05 ) </w:t>
      </w:r>
      <w:r>
        <w:rPr>
          <w:snapToGrid w:val="0"/>
        </w:rPr>
        <w:t>)</w:t>
      </w:r>
      <w:r>
        <w:t>. Синдром зберігається у  30,77 % оперованих хв</w:t>
      </w:r>
      <w:r>
        <w:t>о</w:t>
      </w:r>
      <w:r>
        <w:t>рих.</w:t>
      </w:r>
    </w:p>
    <w:p w:rsidR="00DF7E85" w:rsidRDefault="00DF7E85" w:rsidP="00DF7E85">
      <w:pPr>
        <w:spacing w:line="360" w:lineRule="auto"/>
        <w:ind w:firstLine="709"/>
        <w:jc w:val="both"/>
        <w:rPr>
          <w:color w:val="000000"/>
        </w:rPr>
      </w:pPr>
      <w:r>
        <w:t>У хворих із гострим  панкреатитом при наявності панкреато-кардіального синдрому ( при збереженій систолічній фун</w:t>
      </w:r>
      <w:r>
        <w:t>к</w:t>
      </w:r>
      <w:r>
        <w:t>ції міокарду (фракції викиду &gt; 56 % )), або супутній серцево-судинній пат</w:t>
      </w:r>
      <w:r>
        <w:t>о</w:t>
      </w:r>
      <w:r>
        <w:t xml:space="preserve">логії І-ІІ ФК за </w:t>
      </w:r>
      <w:r>
        <w:rPr>
          <w:lang w:val="en-US"/>
        </w:rPr>
        <w:t>NYHA</w:t>
      </w:r>
      <w:r>
        <w:t>, становить незначний операційно-анестезіологічний ризик, дозволяє притримуватись активної тактики, а вибір тиску карбоксиперитонеуму між 8- 11 мм рт.ст. і 12-13 мм рт.ст. при  мініінвазивному втр</w:t>
      </w:r>
      <w:r>
        <w:t>у</w:t>
      </w:r>
      <w:r>
        <w:t>чанні та об’єму оперативного   втручання при  лапаротомії  практичного зн</w:t>
      </w:r>
      <w:r>
        <w:t>а</w:t>
      </w:r>
      <w:r>
        <w:t>чення не має.</w:t>
      </w:r>
    </w:p>
    <w:p w:rsidR="00DF7E85" w:rsidRDefault="00DF7E85" w:rsidP="00DF7E85">
      <w:pPr>
        <w:spacing w:line="360" w:lineRule="auto"/>
        <w:ind w:firstLine="709"/>
        <w:jc w:val="both"/>
      </w:pPr>
      <w:r>
        <w:t>При гострому  панкреатиті із супровідною серцево-судинною патолог</w:t>
      </w:r>
      <w:r>
        <w:t>і</w:t>
      </w:r>
      <w:r>
        <w:t>єю ІІІ –І</w:t>
      </w:r>
      <w:r>
        <w:rPr>
          <w:lang w:val="en-US"/>
        </w:rPr>
        <w:t>V</w:t>
      </w:r>
      <w:r>
        <w:t xml:space="preserve"> ФК по </w:t>
      </w:r>
      <w:r>
        <w:rPr>
          <w:lang w:val="en-US"/>
        </w:rPr>
        <w:t>NYHA</w:t>
      </w:r>
      <w:r>
        <w:t xml:space="preserve"> ( за наявності депресії сегмента </w:t>
      </w:r>
      <w:r>
        <w:rPr>
          <w:lang w:val="en-US"/>
        </w:rPr>
        <w:t>ST</w:t>
      </w:r>
      <w:r>
        <w:t xml:space="preserve"> з епізодами гос</w:t>
      </w:r>
      <w:r>
        <w:t>т</w:t>
      </w:r>
      <w:r>
        <w:t xml:space="preserve">рої ішемії міокарда (депресії сегмента </w:t>
      </w:r>
      <w:r>
        <w:rPr>
          <w:lang w:val="en-US"/>
        </w:rPr>
        <w:t>ST</w:t>
      </w:r>
      <w:r>
        <w:t xml:space="preserve"> ≥ 2,5 мм), екстрасистолічних ари</w:t>
      </w:r>
      <w:r>
        <w:t>т</w:t>
      </w:r>
      <w:r>
        <w:t>мій, миготливої аритмії,  систолічної дисфункції   (фракції вик</w:t>
      </w:r>
      <w:r>
        <w:t>и</w:t>
      </w:r>
      <w:r>
        <w:t>ду &lt; 49 %) або діастолічної дисфункції (фракції викиду &gt;49 % ))  становить високий операційно-анестезіологічний ризик, що вимагає притримуватись активно-вичікувальної тактики. Хірургічне втручання в таких хворих здійснювали в “холодному періоді”. Провівши порівняльний аналіз функціонального стану мі</w:t>
      </w:r>
      <w:r>
        <w:t>о</w:t>
      </w:r>
      <w:r>
        <w:t>карда у 16 хворих із депресією сегмента ST та фракцією викиду   48,00-58,00 % за допом</w:t>
      </w:r>
      <w:r>
        <w:t>о</w:t>
      </w:r>
      <w:r>
        <w:t>гою показників фракції викиду,  ступеня (глибини),   зміщення ST на момент госпіталіз</w:t>
      </w:r>
      <w:r>
        <w:t>а</w:t>
      </w:r>
      <w:r>
        <w:t>ції і під час превентивної до-операційної підготовки на 6-7 добу,  встановили, що комплексна передопераційна підготовка у даному випадку суттєво змінила фракцію викиду в бік покращання скоротливої здатності м</w:t>
      </w:r>
      <w:r>
        <w:t>і</w:t>
      </w:r>
      <w:r>
        <w:t xml:space="preserve">окарду ((56,53 </w:t>
      </w:r>
      <w:r>
        <w:sym w:font="Symbol" w:char="F0B1"/>
      </w:r>
      <w:r>
        <w:t xml:space="preserve">0,51) % і (60,60 </w:t>
      </w:r>
      <w:r>
        <w:sym w:font="Symbol" w:char="F0B1"/>
      </w:r>
      <w:r>
        <w:t xml:space="preserve">0,33) </w:t>
      </w:r>
      <w:r>
        <w:lastRenderedPageBreak/>
        <w:t>%, Р&lt;0,05)  , а гл</w:t>
      </w:r>
      <w:r>
        <w:t>и</w:t>
      </w:r>
      <w:r>
        <w:t>бини ((9,57</w:t>
      </w:r>
      <w:r>
        <w:sym w:font="Symbol" w:char="F0B1"/>
      </w:r>
      <w:r>
        <w:t>0,05) мм  і (9,44</w:t>
      </w:r>
      <w:r>
        <w:sym w:font="Symbol" w:char="F0B1"/>
      </w:r>
      <w:r>
        <w:t>0,04)) мм, Р&gt;0,05)    депресії сегмента ST виражених змін не в</w:t>
      </w:r>
      <w:r>
        <w:t>и</w:t>
      </w:r>
      <w:r>
        <w:t xml:space="preserve">явили. </w:t>
      </w:r>
    </w:p>
    <w:p w:rsidR="00DF7E85" w:rsidRDefault="00DF7E85" w:rsidP="00DF7E85">
      <w:pPr>
        <w:spacing w:line="360" w:lineRule="auto"/>
        <w:ind w:firstLine="709"/>
        <w:jc w:val="both"/>
      </w:pPr>
      <w:r>
        <w:t>У  хворих з органічною кардіал</w:t>
      </w:r>
      <w:r>
        <w:t>ь</w:t>
      </w:r>
      <w:r>
        <w:t xml:space="preserve">ною патологією при фракції викиду  54,12 </w:t>
      </w:r>
      <w:r>
        <w:sym w:font="Symbol" w:char="F0B1"/>
      </w:r>
      <w:r>
        <w:t>0,87 % у випадку неможливості медикаментозної корекції функції міокарда при  некротичному  панкреатиті операцією вибору вважати  розкриття та дренування гнійників та мініінвазивне втручання  при тиску карбоксипер</w:t>
      </w:r>
      <w:r>
        <w:t>и</w:t>
      </w:r>
      <w:r>
        <w:t>тонеуму 8-11 мм рт. ст., що дозволило в   2-2,3 рази зменшити частоту інтра- і післяопераційних серцево-судинних ускладнень в порівнянні із некректом</w:t>
      </w:r>
      <w:r>
        <w:t>і</w:t>
      </w:r>
      <w:r>
        <w:t xml:space="preserve">єю. </w:t>
      </w:r>
    </w:p>
    <w:p w:rsidR="00DF7E85" w:rsidRDefault="00DF7E85" w:rsidP="00DF7E85">
      <w:pPr>
        <w:spacing w:line="360" w:lineRule="auto"/>
        <w:ind w:firstLine="709"/>
        <w:jc w:val="both"/>
      </w:pPr>
      <w:r>
        <w:rPr>
          <w:color w:val="000000"/>
        </w:rPr>
        <w:t>Розвиток інтоксикаційного синдрому при гострому панкреатиті супроводжується надлишковим накопиченням продуктів ПОЛ вже на ранніх стад</w:t>
      </w:r>
      <w:r>
        <w:rPr>
          <w:color w:val="000000"/>
        </w:rPr>
        <w:t>і</w:t>
      </w:r>
      <w:r>
        <w:rPr>
          <w:color w:val="000000"/>
        </w:rPr>
        <w:t>ях захворювання з високим темпом подальшого їх зростання на тлі пригніч</w:t>
      </w:r>
      <w:r>
        <w:rPr>
          <w:color w:val="000000"/>
        </w:rPr>
        <w:t>е</w:t>
      </w:r>
      <w:r>
        <w:rPr>
          <w:color w:val="000000"/>
        </w:rPr>
        <w:t>ності антиоксидантної системи організму. В середньому рівень МДА збіл</w:t>
      </w:r>
      <w:r>
        <w:rPr>
          <w:color w:val="000000"/>
        </w:rPr>
        <w:t>ь</w:t>
      </w:r>
      <w:r>
        <w:rPr>
          <w:color w:val="000000"/>
        </w:rPr>
        <w:t>шувався в 2,55-2,66 рази ( р&lt;0,05 ), а декомпенсація АОС була найбільш виражена при інфікованому панкреонекрозі, що відповідає даним л</w:t>
      </w:r>
      <w:r>
        <w:rPr>
          <w:color w:val="000000"/>
        </w:rPr>
        <w:t>і</w:t>
      </w:r>
      <w:r>
        <w:rPr>
          <w:color w:val="000000"/>
        </w:rPr>
        <w:t>тератури [ 151] . Щодо супровідної серцево-судинної патології, то активація ПОЛ на тлі пр</w:t>
      </w:r>
      <w:r>
        <w:rPr>
          <w:color w:val="000000"/>
        </w:rPr>
        <w:t>и</w:t>
      </w:r>
      <w:r>
        <w:rPr>
          <w:color w:val="000000"/>
        </w:rPr>
        <w:t>гнічення АОС виражена більше ніж при  патології ПЗ в 1,4 рази, що в свою чергу веде до  обтяження перебігу захворювання.</w:t>
      </w:r>
      <w:r>
        <w:rPr>
          <w:b/>
        </w:rPr>
        <w:t xml:space="preserve"> </w:t>
      </w:r>
      <w:r>
        <w:t>Як ми б</w:t>
      </w:r>
      <w:r>
        <w:t>а</w:t>
      </w:r>
      <w:r>
        <w:t>чимо, крім тісного взаємозв’язку об’єму деструкції підшлункової залози з рівнем активності лізосомальних ферментів та виразністю процесів перекисного окислення ліпідів, ІХС відіграє певну роль в посиленні вільно рад</w:t>
      </w:r>
      <w:r>
        <w:t>и</w:t>
      </w:r>
      <w:r>
        <w:t>кальних реакцій.</w:t>
      </w:r>
    </w:p>
    <w:p w:rsidR="00DF7E85" w:rsidRDefault="00DF7E85" w:rsidP="00DF7E85">
      <w:pPr>
        <w:spacing w:line="360" w:lineRule="auto"/>
        <w:ind w:firstLine="709"/>
        <w:jc w:val="both"/>
      </w:pPr>
      <w:r>
        <w:rPr>
          <w:color w:val="000000"/>
        </w:rPr>
        <w:t>Поряд з цим встановлено, що використання берлітіону (в основній клінічній групі ) в комплексній терапії панкреатиту інгібує процеси вільно радикального окислення ліпідів (( 5,77</w:t>
      </w:r>
      <w:r>
        <w:rPr>
          <w:i/>
        </w:rPr>
        <w:t>±</w:t>
      </w:r>
      <w:r>
        <w:t>0,25 ) мкмоль/л та (2,93</w:t>
      </w:r>
      <w:r>
        <w:rPr>
          <w:i/>
        </w:rPr>
        <w:t>±</w:t>
      </w:r>
      <w:r>
        <w:t>0,30 ) мкмоль/л ( р&lt;0,05 ))</w:t>
      </w:r>
      <w:r>
        <w:rPr>
          <w:color w:val="000000"/>
        </w:rPr>
        <w:t>,</w:t>
      </w:r>
      <w:r>
        <w:t xml:space="preserve">  сприяє антиішемі</w:t>
      </w:r>
      <w:r>
        <w:t>ч</w:t>
      </w:r>
      <w:r>
        <w:t>ній і антигіпоксичній активності ( з</w:t>
      </w:r>
      <w:r>
        <w:t>о</w:t>
      </w:r>
      <w:r>
        <w:t>крема проявляється покращенням стану скоротливої здатності міокарда лівого шлуночка ФВ ( 56,07</w:t>
      </w:r>
      <w:r>
        <w:rPr>
          <w:i/>
        </w:rPr>
        <w:t>±</w:t>
      </w:r>
      <w:r>
        <w:t>0,74 ) % і (60,60</w:t>
      </w:r>
      <w:r>
        <w:rPr>
          <w:i/>
        </w:rPr>
        <w:t>±</w:t>
      </w:r>
      <w:r>
        <w:t>0,07 ) %;   ΔS ( 29,89</w:t>
      </w:r>
      <w:r>
        <w:rPr>
          <w:i/>
        </w:rPr>
        <w:t>±</w:t>
      </w:r>
      <w:r>
        <w:t>0,87) % та (33,17</w:t>
      </w:r>
      <w:r>
        <w:rPr>
          <w:i/>
        </w:rPr>
        <w:t>±</w:t>
      </w:r>
      <w:r>
        <w:t xml:space="preserve">0,76) % ( р&lt;0,05), покращує показники цитолізу та холестазу ( АлАТ (5,31 </w:t>
      </w:r>
      <w:r>
        <w:rPr>
          <w:i/>
        </w:rPr>
        <w:t>±</w:t>
      </w:r>
      <w:r>
        <w:t>1,67) мкмоль/год/мл та ( 2,83</w:t>
      </w:r>
      <w:r>
        <w:rPr>
          <w:i/>
        </w:rPr>
        <w:t>±</w:t>
      </w:r>
      <w:r>
        <w:t>1,74 ) мкмоль/год/мл; АсАТ ( 5,17</w:t>
      </w:r>
      <w:r>
        <w:rPr>
          <w:i/>
        </w:rPr>
        <w:t>±</w:t>
      </w:r>
      <w:r>
        <w:t>1,69 ) мкмоль/год/мл і ( 2,35</w:t>
      </w:r>
      <w:r>
        <w:rPr>
          <w:i/>
        </w:rPr>
        <w:t>±</w:t>
      </w:r>
      <w:r>
        <w:t xml:space="preserve">2,01) мкмоль/ год/мл, загальний білірубін (30,38  </w:t>
      </w:r>
      <w:r>
        <w:rPr>
          <w:i/>
        </w:rPr>
        <w:t xml:space="preserve">± </w:t>
      </w:r>
      <w:r>
        <w:t xml:space="preserve">1,09) мкмоль/л та 21,50 </w:t>
      </w:r>
      <w:r>
        <w:rPr>
          <w:i/>
        </w:rPr>
        <w:t>±</w:t>
      </w:r>
      <w:r>
        <w:t>0,60) мкмоль/л, де ( р&lt;0,05); має детоксичну дію,  що клінічно проявляється більш сприятливим перебігом захворювання, швидким досягненням клін</w:t>
      </w:r>
      <w:r>
        <w:t>і</w:t>
      </w:r>
      <w:r>
        <w:t xml:space="preserve">ко-лабораторної ремісії. </w:t>
      </w:r>
    </w:p>
    <w:p w:rsidR="00DF7E85" w:rsidRDefault="00DF7E85" w:rsidP="00DF7E85">
      <w:pPr>
        <w:spacing w:line="360" w:lineRule="auto"/>
        <w:ind w:firstLine="709"/>
        <w:jc w:val="both"/>
      </w:pPr>
      <w:r>
        <w:t>У хворих на гострий  панкреатит ( контрольна група І) в початковій формі спостерігається компенсаторне зменшення внутріклітинної рідини з певною динамікою ( &gt;на 1,45 % від норми ) вел</w:t>
      </w:r>
      <w:r>
        <w:t>и</w:t>
      </w:r>
      <w:r>
        <w:t>чини позаклітинної рідини (р&lt;0,05).  В групах хворих на асептичний та інфікований некрози в міру прогресування клітинна гіпог</w:t>
      </w:r>
      <w:r>
        <w:t>і</w:t>
      </w:r>
      <w:r>
        <w:t>дратація супроводжується парадоксальною незначною позаклітинною гіпог</w:t>
      </w:r>
      <w:r>
        <w:t>і</w:t>
      </w:r>
      <w:r>
        <w:t xml:space="preserve">дратацією. Тому враховуючи важливе прогностичне значення показника Zн /Zв, нами була проаналізована його динаміка у хворих на гострий панкреатит в залежності від важкості протікання захворювання і виявлено, що наявне зниження  даного співвідношення при всіх формах захворювання . Але при цьому найбільш </w:t>
      </w:r>
      <w:r>
        <w:lastRenderedPageBreak/>
        <w:t>виражені зміни констатовані у хворих з інфікованим панкреонекрозом (Zн /Zв менший від норми у 1,83 рази, при асептичному панкре</w:t>
      </w:r>
      <w:r>
        <w:t>о</w:t>
      </w:r>
      <w:r>
        <w:t xml:space="preserve">некрозі – у 1,63 рази, а при набряковому панкреатиті – в 1,45 рази ) р &lt; 0,05.  </w:t>
      </w:r>
    </w:p>
    <w:p w:rsidR="00DF7E85" w:rsidRDefault="00DF7E85" w:rsidP="00DF7E85">
      <w:pPr>
        <w:spacing w:line="360" w:lineRule="auto"/>
        <w:ind w:firstLine="709"/>
        <w:jc w:val="both"/>
      </w:pPr>
      <w:r>
        <w:t>Але при  гострому  панкреатиті у випадку приєднання набрякового с</w:t>
      </w:r>
      <w:r>
        <w:t>и</w:t>
      </w:r>
      <w:r>
        <w:t>ндрому (основна група)  спостерігається  порушення співвідношення позаклітинного та внутріклітинного просторів за рахунок п</w:t>
      </w:r>
      <w:r>
        <w:t>о</w:t>
      </w:r>
      <w:r>
        <w:t>заклітинної гіпергідратації (1:0,7)  ( р&lt;0,05).   Отже, аналізуючи дану тенде</w:t>
      </w:r>
      <w:r>
        <w:t>н</w:t>
      </w:r>
      <w:r>
        <w:t>цію падіння загальної гідратації, можна зробити наступні висновки: в міру прогресування процесу  рівень загальної рідини буде зменшуватися в основному за рахунок внутріклітинної та позаклітинної дегідратації ( співвідн</w:t>
      </w:r>
      <w:r>
        <w:t>о</w:t>
      </w:r>
      <w:r>
        <w:t>шення позаклітинного та внутріклітинного секторів при панкреонекрозі становить 1:0,4 ) за виключенням наявності набрякового синдрому.  Слід відмітити, що вказані зміни гідратації тканин супроводжувалися різким зниже</w:t>
      </w:r>
      <w:r>
        <w:t>н</w:t>
      </w:r>
      <w:r>
        <w:t xml:space="preserve">ням показника Zн /Zв до (1,09 </w:t>
      </w:r>
      <w:r>
        <w:rPr>
          <w:i/>
        </w:rPr>
        <w:t>±</w:t>
      </w:r>
      <w:r>
        <w:t xml:space="preserve"> 0,11 ) та (( 1,27</w:t>
      </w:r>
      <w:r>
        <w:rPr>
          <w:i/>
        </w:rPr>
        <w:t>±</w:t>
      </w:r>
      <w:r>
        <w:t>0,27 ) при супровідній кард</w:t>
      </w:r>
      <w:r>
        <w:t>і</w:t>
      </w:r>
      <w:r>
        <w:t>альній патології) відносних одиниць. Проведене нами обстеження сприяло проведенню кількісного вибору інфузійної терапії з метою ліквідації  загальної дегідратації та профілактики позаклітинної гіпергідратиції, в послідуючому п</w:t>
      </w:r>
      <w:r>
        <w:t>е</w:t>
      </w:r>
      <w:r>
        <w:t>ревантаженню лівих та правих відділів серця у хворих із хронічною серцево-судинною недостатністю.</w:t>
      </w:r>
    </w:p>
    <w:p w:rsidR="00DF7E85" w:rsidRDefault="00DF7E85" w:rsidP="00DF7E85">
      <w:pPr>
        <w:spacing w:line="360" w:lineRule="auto"/>
        <w:ind w:firstLine="709"/>
        <w:jc w:val="both"/>
      </w:pPr>
      <w:r>
        <w:t>Так як панкреатит являє собою 2-ох фазний паталогічний процес: п</w:t>
      </w:r>
      <w:r>
        <w:t>е</w:t>
      </w:r>
      <w:r>
        <w:t>рша фаза характеризується вираженою інтоксикацією; друга фаза протікання, якої визначається еволюцією вогнищ панкреонекрозу та зон панкреатогенної диструкції в заочеревинній клітковині, то нами було проведено вияснення взаємозв’язку між вираженою ендогенною інтоксикацією та розвитком гнійних ускладнень, а також між впливом ендогенної інтоксикації на функціональний стан міокарду та гемодинаміку. Для виявлення пр</w:t>
      </w:r>
      <w:r>
        <w:t>о</w:t>
      </w:r>
      <w:r>
        <w:t>гностичної залежності протікання гострого панкреатиту  нами було проаналізовано отримані дані показників пептидів середньо-молекулярної маси у хворих із набряковим панкреатитом  та асептичним і інф</w:t>
      </w:r>
      <w:r>
        <w:t>і</w:t>
      </w:r>
      <w:r>
        <w:t>кованим панкреонекрозами в 3-ьох тижневі строки від моменту початку лікування та встановлено,  що крім достовірного підвищення рі</w:t>
      </w:r>
      <w:r>
        <w:t>в</w:t>
      </w:r>
      <w:r>
        <w:t>ня СМП у  ранні строки спостереження, у хворих з набряковим панкреатитом та асептичним панкреонекрозом д</w:t>
      </w:r>
      <w:r>
        <w:t>а</w:t>
      </w:r>
      <w:r>
        <w:t>ний показник на 14-ту добу має тенденцію до зменшення на відміну від пацієнтів з інфікованим панкреонекрозом. В даної групи хв</w:t>
      </w:r>
      <w:r>
        <w:t>о</w:t>
      </w:r>
      <w:r>
        <w:t>рих рівень СМП на 14-ту добу був вищим ніж при поступленні на 1,3 % ( р&lt;0,05) і лише на третій тиждень від початку лікування мав тенденцію до зменшення, що свідчить про обмеження зони некрозу та зменшення рівня е</w:t>
      </w:r>
      <w:r>
        <w:t>н</w:t>
      </w:r>
      <w:r>
        <w:t>догенної інтоксикації та є показом до проведення оперативного втручання. При  порівнянні динаміки рівня СМП у пацієнтів, що померли, було встано</w:t>
      </w:r>
      <w:r>
        <w:t>в</w:t>
      </w:r>
      <w:r>
        <w:t xml:space="preserve">лено: рівень СМП на першу та 14-у доби відповідно становили (3,23 </w:t>
      </w:r>
      <w:r>
        <w:rPr>
          <w:i/>
        </w:rPr>
        <w:t>±</w:t>
      </w:r>
      <w:r>
        <w:t xml:space="preserve">0,02) г/л та (3,39 </w:t>
      </w:r>
      <w:r>
        <w:rPr>
          <w:i/>
        </w:rPr>
        <w:t>±</w:t>
      </w:r>
      <w:r>
        <w:t xml:space="preserve"> 0,03) г/л. Крім того проаналізовано показники ступеня т</w:t>
      </w:r>
      <w:r>
        <w:t>я</w:t>
      </w:r>
      <w:r>
        <w:t>жкості  інтоксикаційного синдрому. Встановлено що перший ступінь ( компенсації ) охоплював такі зміни гемостазу, які ле</w:t>
      </w:r>
      <w:r>
        <w:t>г</w:t>
      </w:r>
      <w:r>
        <w:t xml:space="preserve">ко коригувалися детоксикаційними системами і спостерігалися у 48 (46,60 %)  хворих основної групи, </w:t>
      </w:r>
      <w:r>
        <w:lastRenderedPageBreak/>
        <w:t>гемодинамічні порушення характеризувались незначною гіпотензією, тахікардією, п</w:t>
      </w:r>
      <w:r>
        <w:t>о</w:t>
      </w:r>
      <w:r>
        <w:t>рушенням процесів реполяризації по задньо-бічній стінці, синдромом ранньої реполяризації шлуночків, п</w:t>
      </w:r>
      <w:r>
        <w:rPr>
          <w:snapToGrid w:val="0"/>
        </w:rPr>
        <w:t xml:space="preserve">оказники скоротливої здатності міокарда лівого шлуночка </w:t>
      </w:r>
      <w:r>
        <w:t>істотно не  змінювалися, рівень МДА був збільшений в сере</w:t>
      </w:r>
      <w:r>
        <w:t>д</w:t>
      </w:r>
      <w:r>
        <w:t>ньому в 2,5 рази (р&lt;0,05), АОС знаходилася в компенсованому стані. Другий ступінь (субкомпенсації), який відмічено у  20,39 % хворих характериз</w:t>
      </w:r>
      <w:r>
        <w:t>у</w:t>
      </w:r>
      <w:r>
        <w:t>вався різноплановими гемодинамічними зрушеннями: блідість, частий м’який пульс, задишка, нестабільні показники гемодинаміки (підвищення УО – на 8 %  та зменшення ФВ) на фоні  артеріальної гіпотензії, ішемічні зміни на ЕКГ, які були зумовлені епізодами гострої ішемії міокарда зі „ значним зм</w:t>
      </w:r>
      <w:r>
        <w:t>і</w:t>
      </w:r>
      <w:r>
        <w:t>щенням сегмента ST ” яке характерне для “…типів епізодів зміщення сегмента ST...4,5” ( виникли на фоні супровідної ішемічної хвороби серця (стенокардії напруження ІІІ функціонального класу)), акроціаноз; зменшення внутріклітинної та позаклітинної р</w:t>
      </w:r>
      <w:r>
        <w:t>і</w:t>
      </w:r>
      <w:r>
        <w:t xml:space="preserve">дини:  ( Zн  – (523, 29 </w:t>
      </w:r>
      <w:r>
        <w:rPr>
          <w:i/>
        </w:rPr>
        <w:t>±</w:t>
      </w:r>
      <w:r>
        <w:t xml:space="preserve"> 64,46 ) ,   Zв – ( 424,00  </w:t>
      </w:r>
      <w:r>
        <w:rPr>
          <w:i/>
        </w:rPr>
        <w:t>±</w:t>
      </w:r>
      <w:r>
        <w:t xml:space="preserve"> 37,00 ) * відн. од.,  Zн /Zв  – (1,23  </w:t>
      </w:r>
      <w:r>
        <w:rPr>
          <w:i/>
        </w:rPr>
        <w:t>±</w:t>
      </w:r>
      <w:r>
        <w:t>0,05)* відн. од.  (*p &lt; 0,05).  Ріст рівня МДА ( в середньому у 3,1 рази ( р&lt;0,05) ) супроводжувався зменшенням SH –груп ( відповідно в 1,18 рази ). ІС ІІІ ступеня ( декомпенсація), який діагно</w:t>
      </w:r>
      <w:r>
        <w:t>с</w:t>
      </w:r>
      <w:r>
        <w:t>товано у 30 (  29,13 % ) хворих  характеризувався глибокими порушеннями гемостазу (розвиток кардіоваскулярної та легеневої недостатності, ДВЗ – синдрому ) при повній неспроможності природних детокс</w:t>
      </w:r>
      <w:r>
        <w:t>и</w:t>
      </w:r>
      <w:r>
        <w:t>каційних систем ( розвиток печінкової, ниркової недостатності,  або їх поєднання). Гемодин</w:t>
      </w:r>
      <w:r>
        <w:t>а</w:t>
      </w:r>
      <w:r>
        <w:t>мічні порушення у  хворих контрольної групи І характеризувалися розвитком синдрому „ малого серцевого викиду ”. Щодо хворих із супровідною серц</w:t>
      </w:r>
      <w:r>
        <w:t>е</w:t>
      </w:r>
      <w:r>
        <w:t>во-судинною патологією, то вони належали до ФК ІІІ-І</w:t>
      </w:r>
      <w:r>
        <w:rPr>
          <w:lang w:val="en-US"/>
        </w:rPr>
        <w:t>V</w:t>
      </w:r>
      <w:r>
        <w:t xml:space="preserve"> по </w:t>
      </w:r>
      <w:r>
        <w:rPr>
          <w:lang w:val="en-US"/>
        </w:rPr>
        <w:t>NYHA</w:t>
      </w:r>
      <w:r>
        <w:t xml:space="preserve">;  та мали зменшення ФВ -- 56,07  </w:t>
      </w:r>
      <w:r>
        <w:sym w:font="Symbol" w:char="F0B1"/>
      </w:r>
      <w:r>
        <w:t xml:space="preserve"> 0,74 % і менше (р&lt;0,05) із діастолічною  та сист</w:t>
      </w:r>
      <w:r>
        <w:t>о</w:t>
      </w:r>
      <w:r>
        <w:t xml:space="preserve">лічною дисфункціями, </w:t>
      </w:r>
      <w:r>
        <w:rPr>
          <w:color w:val="000000"/>
        </w:rPr>
        <w:t xml:space="preserve">ΔS -- </w:t>
      </w:r>
      <w:r>
        <w:t xml:space="preserve">29,89 </w:t>
      </w:r>
      <w:r>
        <w:sym w:font="Symbol" w:char="F0B1"/>
      </w:r>
      <w:r>
        <w:t xml:space="preserve"> 0,87, р&lt;0,05, розвиток легеневої гіпертензії та порушення продуктивності лівих та правих відд</w:t>
      </w:r>
      <w:r>
        <w:t>і</w:t>
      </w:r>
      <w:r>
        <w:t>лів серця. Підвищення рівня МДА (в середньому в 4,5 разу)  супроводжувалося виснаженням антиоксидантної системи  захисту в 1,24 рази ( р&lt; 0,05 ). Рівень клітинної гідратації ст</w:t>
      </w:r>
      <w:r>
        <w:t>а</w:t>
      </w:r>
      <w:r>
        <w:t xml:space="preserve">новив:  Zн  – ( 587,38  </w:t>
      </w:r>
      <w:r>
        <w:rPr>
          <w:i/>
        </w:rPr>
        <w:t>±</w:t>
      </w:r>
      <w:r>
        <w:t xml:space="preserve">  101,73 ),   Zв  – ( 524,39  </w:t>
      </w:r>
      <w:r>
        <w:rPr>
          <w:i/>
        </w:rPr>
        <w:t>±</w:t>
      </w:r>
      <w:r>
        <w:t xml:space="preserve">   94,00)* відн. од.  Zн /Zв  – (1, 14 </w:t>
      </w:r>
      <w:r>
        <w:rPr>
          <w:i/>
        </w:rPr>
        <w:t>±</w:t>
      </w:r>
      <w:r>
        <w:t xml:space="preserve"> 0,14 ) * відн. од., де  *р&lt;0,05). Отже  ступінь клінічних пр</w:t>
      </w:r>
      <w:r>
        <w:t>о</w:t>
      </w:r>
      <w:r>
        <w:t>явів ендотоксичного синдрому  при ГП на фоні серцево-судинної патології йде паралельно із ступінню  зниження функції  антиоксидантної системи і  збільшенню вмісту недоокисленних продуктів ПОЛ,  волемічними  та гемод</w:t>
      </w:r>
      <w:r>
        <w:t>и</w:t>
      </w:r>
      <w:r>
        <w:t>намічними   порушенняими.</w:t>
      </w:r>
    </w:p>
    <w:p w:rsidR="00DF7E85" w:rsidRDefault="00DF7E85" w:rsidP="00DF7E85">
      <w:pPr>
        <w:spacing w:line="360" w:lineRule="auto"/>
        <w:ind w:firstLine="709"/>
        <w:jc w:val="both"/>
      </w:pPr>
      <w:r>
        <w:t>Оцінюючи показники поліорганної дисфункції в прогнозі перебігу та тя</w:t>
      </w:r>
      <w:r>
        <w:t>ж</w:t>
      </w:r>
      <w:r>
        <w:t>кості ГП на фоні серцево-судинної патології, встановлено, що в даної групи пацієнтів (n=30)  гемодинамічні порушення  характеризувалися розвитком синдрому „ малого серцевого викиду ” ( зниже</w:t>
      </w:r>
      <w:r>
        <w:t>н</w:t>
      </w:r>
      <w:r>
        <w:t xml:space="preserve">ням ударного об’єму до  (71,20 </w:t>
      </w:r>
      <w:r>
        <w:rPr>
          <w:i/>
        </w:rPr>
        <w:t xml:space="preserve">± </w:t>
      </w:r>
      <w:r>
        <w:t>4,53) мл, загального периферичного опору на фоні артер</w:t>
      </w:r>
      <w:r>
        <w:t>і</w:t>
      </w:r>
      <w:r>
        <w:t>альної гіпотензії , зниження ОЦК на  10 % та більше, розвитку легеневої гіпертензії та порушення продуктивності лівих та правих відділів серця ). Інкреторна функція підшлункової залози відзначалася гіпергл</w:t>
      </w:r>
      <w:r>
        <w:t>і</w:t>
      </w:r>
      <w:r>
        <w:t xml:space="preserve">кемією ( у 1,26 разу ). Підвищення рівня МДА (в середньому в 4,5 разу)  </w:t>
      </w:r>
      <w:r>
        <w:lastRenderedPageBreak/>
        <w:t>супроводжувалося висн</w:t>
      </w:r>
      <w:r>
        <w:t>а</w:t>
      </w:r>
      <w:r>
        <w:t xml:space="preserve">женням антиоксидантної системи  захисту в 1,24 рази ( р&lt; 0,05 ). При цьому </w:t>
      </w:r>
      <w:r>
        <w:rPr>
          <w:b/>
        </w:rPr>
        <w:t xml:space="preserve"> </w:t>
      </w:r>
      <w:r>
        <w:t>рівень загальної рідини  був нижчим від н</w:t>
      </w:r>
      <w:r>
        <w:t>о</w:t>
      </w:r>
      <w:r>
        <w:t>рми на  52,6 % ( р&lt; 0,05 ), а позаклітинної – на 16,3 %,  Zн /Zв менший від норми у 1,83 рази, а рівень  СМП був більший в 5,7  та ЛІ –  в 12,9 рази. Тобто наявність СПОН (20,39 % хворих ) погіршує  порушення гемодинаміки ( наявність з</w:t>
      </w:r>
      <w:r>
        <w:t>а</w:t>
      </w:r>
      <w:r>
        <w:t>стійних явищ у малому та великому колі кровообігу) та переходу ФК ІІ в ФК ІІІ-І</w:t>
      </w:r>
      <w:r>
        <w:rPr>
          <w:lang w:val="en-US"/>
        </w:rPr>
        <w:t>V</w:t>
      </w:r>
      <w:r>
        <w:t xml:space="preserve"> за класифікацією </w:t>
      </w:r>
      <w:r>
        <w:rPr>
          <w:lang w:val="en-US"/>
        </w:rPr>
        <w:t>NYHA</w:t>
      </w:r>
      <w:r>
        <w:t xml:space="preserve"> у 96,28 %. </w:t>
      </w:r>
    </w:p>
    <w:p w:rsidR="00DF7E85" w:rsidRDefault="00DF7E85" w:rsidP="00DF7E85">
      <w:pPr>
        <w:spacing w:line="360" w:lineRule="auto"/>
        <w:ind w:firstLine="709"/>
        <w:jc w:val="both"/>
      </w:pPr>
      <w:r>
        <w:t>На підставі проведених досліджень була індивідуалізована лікувальна та хірургічна тактика, розроблені способи етапної профілактики та лікування поліорганної недостатності і гнійно-некротичних ускладнень у хворих на панкреатит. Основою лікувальної тактики  у хворих на гострий панкреатит на тлі кардіоваскулярного синдрому є проведення консервативної терапії, яка передбачала етіопатогенетичне лікування (зменшення секреторного набряку підшлункової залози, усунення біліарної гіпертензії, синтезу ферментів та аутол</w:t>
      </w:r>
      <w:r>
        <w:t>і</w:t>
      </w:r>
      <w:r>
        <w:t>зу органа ), зниження ферментемії і інтоксикації організму продуктами тканинного розпаду, стимуляцію антиоксидантної системи захисту та коре</w:t>
      </w:r>
      <w:r>
        <w:t>к</w:t>
      </w:r>
      <w:r>
        <w:t>ція і відновлення функції життєво важливих органів та дала позитивні р</w:t>
      </w:r>
      <w:r>
        <w:t>е</w:t>
      </w:r>
      <w:r>
        <w:t>зультати без хірургічного втручання у 35,92 % . У решти хворих ( 69,90 %) при необхідності проведення оперативного втручання, використання прин</w:t>
      </w:r>
      <w:r>
        <w:t>а</w:t>
      </w:r>
      <w:r>
        <w:t>тивної консервативної терапії кардіоваскулярної патології  у передопер</w:t>
      </w:r>
      <w:r>
        <w:t>а</w:t>
      </w:r>
      <w:r>
        <w:t>ційному періоді сприяло покращенню функціонального стану міокарду в 1,08-1,12 рази. Так у  21,3 % хворих ( загальна кількість 31,07 %)  з гострим панкреатитом та супровідними функціональними змінами міокарду та пацієнтів основної групи ФК І д</w:t>
      </w:r>
      <w:r>
        <w:t>а</w:t>
      </w:r>
      <w:r>
        <w:t>не лікування доповнювалося призначенням вазоділятатора ( каптоприл  добова доза не повинна перевищувати 37,5-75 мг) або інгібіторів АПФ ( енал</w:t>
      </w:r>
      <w:r>
        <w:t>а</w:t>
      </w:r>
      <w:r>
        <w:t>прил по 2,5 мг1-2 рази на добу). При низькому АТ призначали престаріум ( периндоприл) 2-4 мг на добу. Для покращення скоротливої  здатності міок</w:t>
      </w:r>
      <w:r>
        <w:t>а</w:t>
      </w:r>
      <w:r>
        <w:t>рда призначалося введення нітропрепаратів ( нітрогліцерин, ізосорбіт). Доповнювалося лікування дачею сечогінних (триампур, урегіт, лазікс, фуросемід). У   хворих на ГП  з с</w:t>
      </w:r>
      <w:r>
        <w:t>у</w:t>
      </w:r>
      <w:r>
        <w:t>провідними органічними захворюваннями серця ФК ІІ-І</w:t>
      </w:r>
      <w:r>
        <w:rPr>
          <w:lang w:val="en-US"/>
        </w:rPr>
        <w:t>V</w:t>
      </w:r>
      <w:r>
        <w:t xml:space="preserve"> консервативне лікування доповнювалося: В-адреноблокаторами ( пропр</w:t>
      </w:r>
      <w:r>
        <w:t>а</w:t>
      </w:r>
      <w:r>
        <w:t>нолол 20 мг 3рази на добу, атенолол 50-100 мг 2 рази на добу, мето</w:t>
      </w:r>
      <w:r>
        <w:t>п</w:t>
      </w:r>
      <w:r>
        <w:t>ролол по 100 мг 2 рази на добу); поляризуючі суміші; в стадії суб- та декомпенсації – нітропрепарати ( олікард 40 ретард 1 раз на добу, нітрогранулонг, нітр</w:t>
      </w:r>
      <w:r>
        <w:t>о</w:t>
      </w:r>
      <w:r>
        <w:t>нг-форте); антагоністи іонів кальцію (верапаміл 80 мг 3 рази на добу, коринфа по 10 мг 4 рази на добу ), інгібітори АПФ ( еналаприл по 2,5 мг1-2 рази на добу, периндоприл ), ко</w:t>
      </w:r>
      <w:r>
        <w:t>р</w:t>
      </w:r>
      <w:r>
        <w:t>дарон 200 мг 2 рази на добу, предуктал 20мг 2 рази на добу з антиішемічною та антиаритмічною ціллю. Також лікувальна пр</w:t>
      </w:r>
      <w:r>
        <w:t>о</w:t>
      </w:r>
      <w:r>
        <w:t>грама включала: антиоксиданти, антиагреганти, сечогінні ( особливо при ХСН ІІ-ІІІст ), при високому АТ – гіпотензивні ( ноліпрел по 2 та 4 мг, аккузид 20 та ін.). Доза препаратів підбиралася індивідуально, з врахуванням органічних змін  та систолічної і діастолічної функції міок</w:t>
      </w:r>
      <w:r>
        <w:t>а</w:t>
      </w:r>
      <w:r>
        <w:t>рду.</w:t>
      </w:r>
    </w:p>
    <w:p w:rsidR="00DF7E85" w:rsidRDefault="00DF7E85" w:rsidP="00DF7E85">
      <w:pPr>
        <w:spacing w:line="360" w:lineRule="auto"/>
        <w:ind w:firstLine="709"/>
        <w:jc w:val="both"/>
      </w:pPr>
      <w:r>
        <w:lastRenderedPageBreak/>
        <w:t>Щодо широкого діапазону хірургічних втручань, то їх вибір проводився спираючись на стан підшлункової залози,  рівень ендогенної інтоксикації з обов’язковим врахуванням ФК супровідної серцево-судинної патології. Тому  при виникненні ферментного перитоніту, прогресуванні ендогенної інтокс</w:t>
      </w:r>
      <w:r>
        <w:t>и</w:t>
      </w:r>
      <w:r>
        <w:t>кації, олігоурії, неефективності консервативного лікування у хворих на па</w:t>
      </w:r>
      <w:r>
        <w:t>н</w:t>
      </w:r>
      <w:r>
        <w:t>креатит із супровідною серцево-судинною патологією ФК І-ІІ проводилися мініінвазивні екстренні та термінові оперативні втручання; при наявності постнекротичних кіст, обмежених абсцесів ПЗ на фоні супу</w:t>
      </w:r>
      <w:r>
        <w:t>т</w:t>
      </w:r>
      <w:r>
        <w:t>ньої  серцево-судинної патології  ФК ІІ-ІІІ із систолічною чи діастолічною дисфункціями -- відстрочені мініінвазивні операції; при спостережені прогресування перит</w:t>
      </w:r>
      <w:r>
        <w:t>о</w:t>
      </w:r>
      <w:r>
        <w:t>ніту, біліарного панкреатиту за наявності деструктивного калькульозного холециститу, жовтяниці, холедохолітіазу, який не вдавалося усунути за доп</w:t>
      </w:r>
      <w:r>
        <w:t>о</w:t>
      </w:r>
      <w:r>
        <w:t>могою ЕПСТ, збільшенні інфільтрату ПЗ або парапанкреатичної кл</w:t>
      </w:r>
      <w:r>
        <w:t>і</w:t>
      </w:r>
      <w:r>
        <w:t>тковини за неефективності консервативного та мініінвазивного лікування, інфікуванні вогнищ асептичного некрозу, виникненні кровотечі з вогнищ некрозу  вик</w:t>
      </w:r>
      <w:r>
        <w:t>о</w:t>
      </w:r>
      <w:r>
        <w:t>нувалися відкриті оперативні втручання. Об’єм операції  та терміни проведення визначалися з врахуванням суп</w:t>
      </w:r>
      <w:r>
        <w:t>у</w:t>
      </w:r>
      <w:r>
        <w:t xml:space="preserve">тньої кардіальної патології. Тобто:   </w:t>
      </w:r>
    </w:p>
    <w:p w:rsidR="00DF7E85" w:rsidRDefault="00DF7E85" w:rsidP="00DF7E85">
      <w:pPr>
        <w:spacing w:line="360" w:lineRule="auto"/>
        <w:ind w:firstLine="709"/>
        <w:jc w:val="both"/>
      </w:pPr>
      <w:r>
        <w:t>1 ) при наявності серцево-судинної патології  ФК ІІІ-І</w:t>
      </w:r>
      <w:r>
        <w:rPr>
          <w:lang w:val="en-US"/>
        </w:rPr>
        <w:t>V</w:t>
      </w:r>
      <w:r>
        <w:t xml:space="preserve"> із систолічною чи діастолічною дисфункціями — проводилися  дренування гнійника, фо</w:t>
      </w:r>
      <w:r>
        <w:t>р</w:t>
      </w:r>
      <w:r>
        <w:t>мування панкреатолапаростоми та етапні санації паталогічного вогнища, після покращення гемодинаміки та ск</w:t>
      </w:r>
      <w:r>
        <w:t>о</w:t>
      </w:r>
      <w:r>
        <w:t>ротливої функції серця;</w:t>
      </w:r>
    </w:p>
    <w:p w:rsidR="00DF7E85" w:rsidRDefault="00DF7E85" w:rsidP="00DF7E85">
      <w:pPr>
        <w:spacing w:line="360" w:lineRule="auto"/>
        <w:ind w:firstLine="709"/>
        <w:jc w:val="both"/>
      </w:pPr>
      <w:r>
        <w:t>2) при наявності панкреато-кардіального синдрому, або серцево-судинної патології  ФК І-ІІ зі збереженою систолічною функцією — викон</w:t>
      </w:r>
      <w:r>
        <w:t>у</w:t>
      </w:r>
      <w:r>
        <w:t>валися панкреатосеквестректомія, марсупіалізація ПЗ, дренування СС, поз</w:t>
      </w:r>
      <w:r>
        <w:t>а</w:t>
      </w:r>
      <w:r>
        <w:t>очеревинних клітковинних просторів, при необхідності санація біліарної системи  у ві</w:t>
      </w:r>
      <w:r>
        <w:t>д</w:t>
      </w:r>
      <w:r>
        <w:t xml:space="preserve">строчені строки, при потребі — у термінові.  </w:t>
      </w:r>
    </w:p>
    <w:p w:rsidR="00DF7E85" w:rsidRDefault="00DF7E85" w:rsidP="00DF7E85">
      <w:pPr>
        <w:spacing w:line="360" w:lineRule="auto"/>
        <w:ind w:firstLine="709"/>
        <w:jc w:val="both"/>
      </w:pPr>
      <w:r>
        <w:t xml:space="preserve">На підставі результатів порівняльного аналізу летальності у хворих на пенкреонекроз та гнійно-некротичний панкреатит, ми дійшли висновку, що її зниження залежить, насамперед, від диференційованого підходу до лікування різних категорій хворих. Тому  </w:t>
      </w:r>
      <w:r>
        <w:rPr>
          <w:rFonts w:eastAsia="MS Mincho"/>
          <w:color w:val="000000"/>
        </w:rPr>
        <w:t>такий виважений підхід до лікування гострого панкреатиту на фоні серцево-судинної патології сприяв зменшенню післяопераційних ускладнень та смертності на 8,3 % в порівнянні із 2002-2003 р</w:t>
      </w:r>
      <w:r>
        <w:rPr>
          <w:rFonts w:eastAsia="MS Mincho"/>
          <w:color w:val="000000"/>
        </w:rPr>
        <w:t>о</w:t>
      </w:r>
      <w:r>
        <w:rPr>
          <w:rFonts w:eastAsia="MS Mincho"/>
          <w:color w:val="000000"/>
        </w:rPr>
        <w:t>ками.</w:t>
      </w:r>
    </w:p>
    <w:p w:rsidR="00DF7E85" w:rsidRDefault="00DF7E85" w:rsidP="00DF7E85">
      <w:pPr>
        <w:spacing w:line="360" w:lineRule="auto"/>
        <w:jc w:val="center"/>
      </w:pPr>
      <w:r>
        <w:rPr>
          <w:rFonts w:eastAsia="MS Mincho"/>
          <w:b/>
          <w:color w:val="000000"/>
        </w:rPr>
        <w:t>ВИСНОВКИ</w:t>
      </w:r>
    </w:p>
    <w:p w:rsidR="00DF7E85" w:rsidRDefault="00DF7E85" w:rsidP="00DF7E85">
      <w:pPr>
        <w:spacing w:line="360" w:lineRule="auto"/>
        <w:ind w:firstLine="709"/>
        <w:jc w:val="both"/>
        <w:rPr>
          <w:rFonts w:eastAsia="MS Mincho"/>
          <w:b/>
          <w:color w:val="000000"/>
        </w:rPr>
      </w:pPr>
      <w:r>
        <w:rPr>
          <w:rFonts w:eastAsia="MS Mincho"/>
          <w:color w:val="000000"/>
        </w:rPr>
        <w:t>У дисертації наведене теоретичне узагальнення і нове вирішення на</w:t>
      </w:r>
      <w:r>
        <w:rPr>
          <w:rFonts w:eastAsia="MS Mincho"/>
          <w:color w:val="000000"/>
        </w:rPr>
        <w:t>у</w:t>
      </w:r>
      <w:r>
        <w:rPr>
          <w:rFonts w:eastAsia="MS Mincho"/>
          <w:color w:val="000000"/>
        </w:rPr>
        <w:t>кової задачі покращання результатів лікування хворих на  різні форми па</w:t>
      </w:r>
      <w:r>
        <w:rPr>
          <w:rFonts w:eastAsia="MS Mincho"/>
          <w:color w:val="000000"/>
        </w:rPr>
        <w:t>н</w:t>
      </w:r>
      <w:r>
        <w:rPr>
          <w:rFonts w:eastAsia="MS Mincho"/>
          <w:color w:val="000000"/>
        </w:rPr>
        <w:t xml:space="preserve">креатиту  із супровідною </w:t>
      </w:r>
      <w:r>
        <w:t>серцево-судинною патологією  шляхом розробки диференц</w:t>
      </w:r>
      <w:r>
        <w:t>і</w:t>
      </w:r>
      <w:r>
        <w:t>йованих підходів до вибору  мініінвазивних та відкритих оперативних втручань залежно від функціонального стану міока</w:t>
      </w:r>
      <w:r>
        <w:t>р</w:t>
      </w:r>
      <w:r>
        <w:t xml:space="preserve">да і центральної геодинаміки, та прогнозу тяжкості перебігу гострого панкреатиту. Дана проблема  вирішена на основі </w:t>
      </w:r>
      <w:r>
        <w:rPr>
          <w:rFonts w:eastAsia="MS Mincho"/>
          <w:color w:val="000000"/>
        </w:rPr>
        <w:t>д</w:t>
      </w:r>
      <w:r>
        <w:rPr>
          <w:rFonts w:eastAsia="MS Mincho"/>
          <w:color w:val="000000"/>
        </w:rPr>
        <w:t>о</w:t>
      </w:r>
      <w:r>
        <w:rPr>
          <w:rFonts w:eastAsia="MS Mincho"/>
          <w:color w:val="000000"/>
        </w:rPr>
        <w:t xml:space="preserve">слідження зміщення сегмента ST, порушень ритму, стану скоротливої здатності </w:t>
      </w:r>
      <w:r>
        <w:rPr>
          <w:rFonts w:eastAsia="MS Mincho"/>
          <w:color w:val="000000"/>
        </w:rPr>
        <w:lastRenderedPageBreak/>
        <w:t>міокарда лівого шлуночка, вивчення показників ПОЛ, АОС, тканинної гідратації,  ендогенної інтоксикації та оцінки показників поліорганної дисфункції в прогнозі переб</w:t>
      </w:r>
      <w:r>
        <w:rPr>
          <w:rFonts w:eastAsia="MS Mincho"/>
          <w:color w:val="000000"/>
        </w:rPr>
        <w:t>і</w:t>
      </w:r>
      <w:r>
        <w:rPr>
          <w:rFonts w:eastAsia="MS Mincho"/>
          <w:color w:val="000000"/>
        </w:rPr>
        <w:t>гу ГП.</w:t>
      </w:r>
    </w:p>
    <w:p w:rsidR="00DF7E85" w:rsidRDefault="00DF7E85" w:rsidP="00DF7E85">
      <w:pPr>
        <w:spacing w:line="360" w:lineRule="auto"/>
        <w:ind w:firstLine="709"/>
        <w:jc w:val="both"/>
      </w:pPr>
      <w:r>
        <w:rPr>
          <w:rFonts w:eastAsia="MS Mincho"/>
          <w:color w:val="000000"/>
        </w:rPr>
        <w:t>1. При тяжких формах гострого па</w:t>
      </w:r>
      <w:r>
        <w:rPr>
          <w:rFonts w:eastAsia="MS Mincho"/>
          <w:color w:val="000000"/>
        </w:rPr>
        <w:t>н</w:t>
      </w:r>
      <w:r>
        <w:rPr>
          <w:rFonts w:eastAsia="MS Mincho"/>
          <w:color w:val="000000"/>
        </w:rPr>
        <w:t>креатиту наявний панкреато-кардіальний синдром у 31,07 %. При гострому панкреатиті з супутньою серцево-судинною патологією</w:t>
      </w:r>
      <w:r>
        <w:rPr>
          <w:color w:val="000000"/>
        </w:rPr>
        <w:t xml:space="preserve"> </w:t>
      </w:r>
      <w:r>
        <w:rPr>
          <w:rFonts w:eastAsia="MS Mincho"/>
          <w:color w:val="000000"/>
        </w:rPr>
        <w:t xml:space="preserve"> частота інтра- і післяопераційних ускладнень  з боку серця становить   22,5 % випадків та</w:t>
      </w:r>
      <w:r>
        <w:t xml:space="preserve"> залежить від віку, важкості до-операційних розладів фун</w:t>
      </w:r>
      <w:r>
        <w:t>к</w:t>
      </w:r>
      <w:r>
        <w:t>ції міокарда, стану патології  підшлункової залози, об’єму оперативного   втручання при відкритій  лапаротомії і тиску карбоксиперитонеуму при лапароскопічному методі.</w:t>
      </w:r>
    </w:p>
    <w:p w:rsidR="00DF7E85" w:rsidRDefault="00DF7E85" w:rsidP="00DF7E85">
      <w:pPr>
        <w:spacing w:line="360" w:lineRule="auto"/>
        <w:ind w:firstLine="709"/>
        <w:jc w:val="both"/>
        <w:rPr>
          <w:color w:val="000000"/>
        </w:rPr>
      </w:pPr>
      <w:r>
        <w:rPr>
          <w:color w:val="000000"/>
        </w:rPr>
        <w:t>2. Розвиток інтоксикаційного синдрому при гострому панкреатиті на тлі кардіоваскулярної патології супроводжується надлишковим накоп</w:t>
      </w:r>
      <w:r>
        <w:rPr>
          <w:color w:val="000000"/>
        </w:rPr>
        <w:t>и</w:t>
      </w:r>
      <w:r>
        <w:rPr>
          <w:color w:val="000000"/>
        </w:rPr>
        <w:t>ченням продуктів ПОЛ вже на ранніх стадіях захворювання з високим темпом подальшого їх зростання на тлі пригніченості антиоксидантної системи органі</w:t>
      </w:r>
      <w:r>
        <w:rPr>
          <w:color w:val="000000"/>
        </w:rPr>
        <w:t>з</w:t>
      </w:r>
      <w:r>
        <w:rPr>
          <w:color w:val="000000"/>
        </w:rPr>
        <w:t>му. В порівнянні з контрольною групою І – це відхилення становить 1:1,4, а з контрольною групою ІІ – 1:4.</w:t>
      </w:r>
    </w:p>
    <w:p w:rsidR="00DF7E85" w:rsidRDefault="00DF7E85" w:rsidP="00DF7E85">
      <w:pPr>
        <w:spacing w:line="360" w:lineRule="auto"/>
        <w:ind w:firstLine="709"/>
        <w:jc w:val="both"/>
      </w:pPr>
      <w:r>
        <w:t>3. Вивчення показників гідратації тканин та ендогенної інтоксикації у хворих на ГП з супровідною серцево-судинною патологією, в залежності від ступеня інтоксикаційного синдрому показало, що прогресування некротичного пр</w:t>
      </w:r>
      <w:r>
        <w:t>о</w:t>
      </w:r>
      <w:r>
        <w:t xml:space="preserve">цесу в ПЗ сприяє тенденції  збільшення гемодинамічних  та волемічних ( зменшення загального рівня рідини (Zн /Zв 1,27 </w:t>
      </w:r>
      <w:r>
        <w:rPr>
          <w:i/>
        </w:rPr>
        <w:t>±</w:t>
      </w:r>
      <w:r>
        <w:t xml:space="preserve"> 0,27  відносних одиниць) ускладнень та  порушенню співвідношення позаклітинних та внутр</w:t>
      </w:r>
      <w:r>
        <w:t>і</w:t>
      </w:r>
      <w:r>
        <w:t xml:space="preserve">клітинних секторів, за рахунок позаклітинної гіпергідратації .  </w:t>
      </w:r>
    </w:p>
    <w:p w:rsidR="00DF7E85" w:rsidRDefault="00DF7E85" w:rsidP="00DF7E85">
      <w:pPr>
        <w:spacing w:line="360" w:lineRule="auto"/>
        <w:ind w:firstLine="709"/>
        <w:jc w:val="both"/>
      </w:pPr>
      <w:r>
        <w:t>4. У хворих із контрольної групи І (n=5) при наявності СПОН, виникнувший панкреато-кардіальний синдром був наслідком  субкомпенсованого ішемічного стану міокарду, який проявлявся синдромом ранньої реполяризації  та компенсованими надшлуночковими екстрасистолами.  Щодо хворих із некротичним панкреатитом та супровідною серцево-судинною патологією, то СПОН веде до усугу</w:t>
      </w:r>
      <w:r>
        <w:t>б</w:t>
      </w:r>
      <w:r>
        <w:t>лення порушення гемодинаміки  та переходу ФК ІІ в ФК ІІІ-І</w:t>
      </w:r>
      <w:r>
        <w:rPr>
          <w:lang w:val="en-US"/>
        </w:rPr>
        <w:t>V</w:t>
      </w:r>
      <w:r>
        <w:t xml:space="preserve">. </w:t>
      </w:r>
    </w:p>
    <w:p w:rsidR="00DF7E85" w:rsidRDefault="00DF7E85" w:rsidP="00DF7E85">
      <w:pPr>
        <w:spacing w:line="360" w:lineRule="auto"/>
        <w:ind w:firstLine="709"/>
        <w:jc w:val="both"/>
      </w:pPr>
      <w:r>
        <w:t>5.  Збільшення рівня СМП в середньому у 4,5 рази ( р&lt;0,05 ), ЛІ  –  6,12 разу, розвиток І фази гіп</w:t>
      </w:r>
      <w:r>
        <w:t>о</w:t>
      </w:r>
      <w:r>
        <w:t xml:space="preserve">динамічного режиму на фоні  артеріальної гіпотензії, депресії сегмента </w:t>
      </w:r>
      <w:r>
        <w:rPr>
          <w:lang w:val="en-US"/>
        </w:rPr>
        <w:t>ST</w:t>
      </w:r>
      <w:r>
        <w:t xml:space="preserve"> ≥ 2,5 мм,   достовірне зменшення внутріклітинної та позаклітинної р</w:t>
      </w:r>
      <w:r>
        <w:t>і</w:t>
      </w:r>
      <w:r>
        <w:t>дини на 25,2 %   (*p &lt; 0,05), ріст рівня МДА ( в середньому у 3,1 рази ( р&lt;0,05) )  та зменшення  SH –груп ( ві</w:t>
      </w:r>
      <w:r>
        <w:t>д</w:t>
      </w:r>
      <w:r>
        <w:t>повідно в 1,18 раза ) свідчать про розвиток панкреонекрозу або некротичного панкреатиту та потребують акт</w:t>
      </w:r>
      <w:r>
        <w:t>и</w:t>
      </w:r>
      <w:r>
        <w:t>вно-вичікувальної тактики.</w:t>
      </w:r>
    </w:p>
    <w:p w:rsidR="00DF7E85" w:rsidRDefault="00DF7E85" w:rsidP="00DF7E85">
      <w:pPr>
        <w:spacing w:line="360" w:lineRule="auto"/>
        <w:ind w:firstLine="709"/>
        <w:jc w:val="both"/>
      </w:pPr>
      <w:r>
        <w:t>6.  Основою лікувальної тактики  у хворих на гострий панкреатит на тлі  се</w:t>
      </w:r>
      <w:r>
        <w:t>р</w:t>
      </w:r>
      <w:r>
        <w:t>цево-судинної патології є проведення консервативного  лікування з  включенням патогенетичної антиішемічної, антигіпоксичної та антиоксидантної (берлітіон) терапії,  яка  у   35,92 %  дала позит</w:t>
      </w:r>
      <w:r>
        <w:t>и</w:t>
      </w:r>
      <w:r>
        <w:t xml:space="preserve">вні результати без хірургічного втручання. У решти хворих (64,08 %) при необхідності проведення оперативного втручання, використання принативної консервативної терапії </w:t>
      </w:r>
      <w:r>
        <w:lastRenderedPageBreak/>
        <w:t>кардіоваскулярного синдрому та серцево-судинної патології  у передопераційному періоді сприяло покращенню функціонального стану міокарду в 1,08-1,12 р</w:t>
      </w:r>
      <w:r>
        <w:t>а</w:t>
      </w:r>
      <w:r>
        <w:t>зи.</w:t>
      </w:r>
    </w:p>
    <w:p w:rsidR="00DF7E85" w:rsidRDefault="00DF7E85" w:rsidP="00DF7E85">
      <w:pPr>
        <w:spacing w:line="360" w:lineRule="auto"/>
        <w:ind w:firstLine="709"/>
        <w:jc w:val="both"/>
        <w:rPr>
          <w:color w:val="000000"/>
        </w:rPr>
      </w:pPr>
      <w:r>
        <w:rPr>
          <w:rFonts w:eastAsia="MS Mincho"/>
          <w:color w:val="000000"/>
        </w:rPr>
        <w:t>7. Комплексний підхід щодо вивчення клінічної картини депресії сег менту ST, порушень ритму, стану скоротливої здатності міокарда лівого шлуно</w:t>
      </w:r>
      <w:r>
        <w:rPr>
          <w:rFonts w:eastAsia="MS Mincho"/>
          <w:color w:val="000000"/>
        </w:rPr>
        <w:t>ч</w:t>
      </w:r>
      <w:r>
        <w:rPr>
          <w:rFonts w:eastAsia="MS Mincho"/>
          <w:color w:val="000000"/>
        </w:rPr>
        <w:t xml:space="preserve">ка </w:t>
      </w:r>
      <w:r>
        <w:t xml:space="preserve">особливо при супутній патології серцево-судинної системи за </w:t>
      </w:r>
      <w:r>
        <w:rPr>
          <w:lang w:val="en-US"/>
        </w:rPr>
        <w:t>NYHA</w:t>
      </w:r>
      <w:r>
        <w:t xml:space="preserve">  ІІІ-І</w:t>
      </w:r>
      <w:r>
        <w:rPr>
          <w:lang w:val="en-US"/>
        </w:rPr>
        <w:t>V</w:t>
      </w:r>
      <w:r>
        <w:t xml:space="preserve"> ФК</w:t>
      </w:r>
      <w:r>
        <w:rPr>
          <w:color w:val="000000"/>
        </w:rPr>
        <w:t xml:space="preserve"> </w:t>
      </w:r>
      <w:r>
        <w:rPr>
          <w:rFonts w:eastAsia="MS Mincho"/>
          <w:color w:val="000000"/>
        </w:rPr>
        <w:t>в умовах   панкреонекрозу та некротичного панкреатиту, дозволив адеква</w:t>
      </w:r>
      <w:r>
        <w:rPr>
          <w:rFonts w:eastAsia="MS Mincho"/>
          <w:color w:val="000000"/>
        </w:rPr>
        <w:t>т</w:t>
      </w:r>
      <w:r>
        <w:rPr>
          <w:rFonts w:eastAsia="MS Mincho"/>
          <w:color w:val="000000"/>
        </w:rPr>
        <w:t>но визначити операційно-анестезіологічний ризик, вибрати хірургічну тактику, а також встан</w:t>
      </w:r>
      <w:r>
        <w:rPr>
          <w:rFonts w:eastAsia="MS Mincho"/>
          <w:color w:val="000000"/>
        </w:rPr>
        <w:t>о</w:t>
      </w:r>
      <w:r>
        <w:rPr>
          <w:rFonts w:eastAsia="MS Mincho"/>
          <w:color w:val="000000"/>
        </w:rPr>
        <w:t xml:space="preserve">вити, що малий  об’єм при відкритій лапаротомії    і </w:t>
      </w:r>
      <w:r>
        <w:t xml:space="preserve"> малоінвазивний метод</w:t>
      </w:r>
      <w:r>
        <w:rPr>
          <w:rFonts w:eastAsia="MS Mincho"/>
          <w:color w:val="000000"/>
        </w:rPr>
        <w:t xml:space="preserve"> з тиском карбо</w:t>
      </w:r>
      <w:r>
        <w:rPr>
          <w:rFonts w:eastAsia="MS Mincho"/>
          <w:color w:val="000000"/>
        </w:rPr>
        <w:t>к</w:t>
      </w:r>
      <w:r>
        <w:rPr>
          <w:rFonts w:eastAsia="MS Mincho"/>
          <w:color w:val="000000"/>
        </w:rPr>
        <w:t>сиперитонеуму 8-11 мм рт. ст. є оптимальні методи  оперативного лікування у хворих із  деструктивним панкреатитом та органічними захворюванн</w:t>
      </w:r>
      <w:r>
        <w:rPr>
          <w:rFonts w:eastAsia="MS Mincho"/>
          <w:color w:val="000000"/>
        </w:rPr>
        <w:t>я</w:t>
      </w:r>
      <w:r>
        <w:rPr>
          <w:rFonts w:eastAsia="MS Mincho"/>
          <w:color w:val="000000"/>
        </w:rPr>
        <w:t>ми серцево-судинної системи</w:t>
      </w:r>
      <w:r>
        <w:rPr>
          <w:color w:val="000000"/>
        </w:rPr>
        <w:t xml:space="preserve"> для зменшення частоти, тяжкості інтра- і післяопераційних серцево-судинних ускладнень та кращої післяопераційної р</w:t>
      </w:r>
      <w:r>
        <w:rPr>
          <w:color w:val="000000"/>
        </w:rPr>
        <w:t>е</w:t>
      </w:r>
      <w:r>
        <w:rPr>
          <w:color w:val="000000"/>
        </w:rPr>
        <w:t>абілітації міокарда у таких хворих.</w:t>
      </w:r>
    </w:p>
    <w:p w:rsidR="00DF7E85" w:rsidRDefault="00DF7E85" w:rsidP="00DF7E85">
      <w:pPr>
        <w:spacing w:line="360" w:lineRule="auto"/>
        <w:ind w:firstLine="709"/>
        <w:jc w:val="both"/>
        <w:rPr>
          <w:rFonts w:eastAsia="MS Mincho"/>
          <w:color w:val="000000"/>
        </w:rPr>
      </w:pPr>
      <w:r>
        <w:rPr>
          <w:rFonts w:eastAsia="MS Mincho"/>
          <w:color w:val="000000"/>
        </w:rPr>
        <w:t>8. Розроблена індивідуалізована програма діагностики, прогнозування та лікування хворих з гострим панкреатитом на фоні кардіоваскулярної  патології  дозволила знизити летальність при дифузному панкреонекр</w:t>
      </w:r>
      <w:r>
        <w:rPr>
          <w:rFonts w:eastAsia="MS Mincho"/>
          <w:color w:val="000000"/>
        </w:rPr>
        <w:t>о</w:t>
      </w:r>
      <w:r>
        <w:rPr>
          <w:rFonts w:eastAsia="MS Mincho"/>
          <w:color w:val="000000"/>
        </w:rPr>
        <w:t xml:space="preserve">зі на – 8,3 %. </w:t>
      </w:r>
    </w:p>
    <w:p w:rsidR="00DF7E85" w:rsidRDefault="00DF7E85" w:rsidP="00DF7E85">
      <w:pPr>
        <w:spacing w:line="360" w:lineRule="auto"/>
        <w:jc w:val="center"/>
        <w:rPr>
          <w:rFonts w:eastAsia="MS Mincho"/>
          <w:color w:val="000000"/>
        </w:rPr>
      </w:pPr>
      <w:r>
        <w:rPr>
          <w:b/>
        </w:rPr>
        <w:t>НАУКОВО –ПРАКТИЧНІ РЕКОМЕНДАЦІЇ</w:t>
      </w:r>
    </w:p>
    <w:p w:rsidR="00DF7E85" w:rsidRDefault="00DF7E85" w:rsidP="00DF7E85">
      <w:pPr>
        <w:spacing w:line="360" w:lineRule="auto"/>
        <w:ind w:firstLine="709"/>
        <w:jc w:val="both"/>
        <w:rPr>
          <w:color w:val="000000"/>
        </w:rPr>
      </w:pPr>
      <w:r>
        <w:t xml:space="preserve">1. Традиційна клініко-лабораторна діагностика гострого панкреатиту із супровідною серцево-судинною патологією  повинна доповнюватися </w:t>
      </w:r>
      <w:r>
        <w:rPr>
          <w:color w:val="000000"/>
        </w:rPr>
        <w:t>ехока</w:t>
      </w:r>
      <w:r>
        <w:rPr>
          <w:color w:val="000000"/>
        </w:rPr>
        <w:t>р</w:t>
      </w:r>
      <w:r>
        <w:rPr>
          <w:color w:val="000000"/>
        </w:rPr>
        <w:t>діографію з метою адекватної оцінки операційно-анестезіологічного р</w:t>
      </w:r>
      <w:r>
        <w:rPr>
          <w:color w:val="000000"/>
        </w:rPr>
        <w:t>и</w:t>
      </w:r>
      <w:r>
        <w:rPr>
          <w:color w:val="000000"/>
        </w:rPr>
        <w:t>зику, прогнозу інтра- і післяопераційних серцево-судинних ускладнень.</w:t>
      </w:r>
    </w:p>
    <w:p w:rsidR="00DF7E85" w:rsidRDefault="00DF7E85" w:rsidP="00DF7E85">
      <w:pPr>
        <w:spacing w:line="360" w:lineRule="auto"/>
        <w:ind w:firstLine="709"/>
        <w:jc w:val="both"/>
        <w:rPr>
          <w:iCs/>
        </w:rPr>
      </w:pPr>
      <w:r>
        <w:t xml:space="preserve">2.   </w:t>
      </w:r>
      <w:r>
        <w:rPr>
          <w:iCs/>
        </w:rPr>
        <w:t>Для визначення глибини інтоксикації надійними параметрами служать тести ( СМП , ЛІ ) при одночасній оцінці порушень фун</w:t>
      </w:r>
      <w:r>
        <w:rPr>
          <w:iCs/>
        </w:rPr>
        <w:t>к</w:t>
      </w:r>
      <w:r>
        <w:rPr>
          <w:iCs/>
        </w:rPr>
        <w:t>ції печінки та нирок та серця. Доповненням щодо визначення глибини ІС  визначати стан ПОЛ та АОС, а також рівень водних секторів; особливо це стосується хворих із суп</w:t>
      </w:r>
      <w:r>
        <w:rPr>
          <w:iCs/>
        </w:rPr>
        <w:t>у</w:t>
      </w:r>
      <w:r>
        <w:rPr>
          <w:iCs/>
        </w:rPr>
        <w:t xml:space="preserve">тньою кардіальною патологією. </w:t>
      </w:r>
    </w:p>
    <w:p w:rsidR="00DF7E85" w:rsidRDefault="00DF7E85" w:rsidP="00DF7E85">
      <w:pPr>
        <w:spacing w:line="360" w:lineRule="auto"/>
        <w:ind w:firstLine="709"/>
        <w:jc w:val="both"/>
        <w:rPr>
          <w:iCs/>
        </w:rPr>
      </w:pPr>
      <w:r>
        <w:rPr>
          <w:iCs/>
        </w:rPr>
        <w:t xml:space="preserve">3.  З ціллю інгібування процесу </w:t>
      </w:r>
      <w:r>
        <w:rPr>
          <w:color w:val="000000"/>
        </w:rPr>
        <w:t>вільно радикального окислення ліпідів,</w:t>
      </w:r>
      <w:r>
        <w:t xml:space="preserve"> цитолізу, холестазу та прояву антиіш</w:t>
      </w:r>
      <w:r>
        <w:t>е</w:t>
      </w:r>
      <w:r>
        <w:t>мічної,  антигіпоксичної і детоксикаційної дії  в більш стислі строки – доцільним є в</w:t>
      </w:r>
      <w:r>
        <w:t>и</w:t>
      </w:r>
      <w:r>
        <w:t>користання берлітіону.</w:t>
      </w:r>
    </w:p>
    <w:p w:rsidR="00DF7E85" w:rsidRDefault="00DF7E85" w:rsidP="00DF7E85">
      <w:pPr>
        <w:spacing w:line="360" w:lineRule="auto"/>
        <w:ind w:firstLine="709"/>
        <w:jc w:val="both"/>
      </w:pPr>
      <w:r>
        <w:rPr>
          <w:iCs/>
        </w:rPr>
        <w:t xml:space="preserve">4.  </w:t>
      </w:r>
      <w:r>
        <w:rPr>
          <w:rFonts w:eastAsia="MS Mincho"/>
          <w:color w:val="000000"/>
        </w:rPr>
        <w:t xml:space="preserve">Малий  об’єм при відкритій лапаротомії і </w:t>
      </w:r>
      <w:r>
        <w:t xml:space="preserve"> малоінвазивний метод</w:t>
      </w:r>
      <w:r>
        <w:rPr>
          <w:rFonts w:eastAsia="MS Mincho"/>
          <w:color w:val="000000"/>
        </w:rPr>
        <w:t xml:space="preserve"> з ти</w:t>
      </w:r>
      <w:r>
        <w:rPr>
          <w:rFonts w:eastAsia="MS Mincho"/>
          <w:color w:val="000000"/>
        </w:rPr>
        <w:t>с</w:t>
      </w:r>
      <w:r>
        <w:rPr>
          <w:rFonts w:eastAsia="MS Mincho"/>
          <w:color w:val="000000"/>
        </w:rPr>
        <w:t>ком карбоксиперитонеуму 8-11 мм рт. ст. є оптимальні методи  оперативного лікування у хворих із  деструктивним панкреатитом та органічними захвор</w:t>
      </w:r>
      <w:r>
        <w:rPr>
          <w:rFonts w:eastAsia="MS Mincho"/>
          <w:color w:val="000000"/>
        </w:rPr>
        <w:t>ю</w:t>
      </w:r>
      <w:r>
        <w:rPr>
          <w:rFonts w:eastAsia="MS Mincho"/>
          <w:color w:val="000000"/>
        </w:rPr>
        <w:t>ваннями серцево-судинної системи</w:t>
      </w:r>
      <w:r>
        <w:rPr>
          <w:color w:val="000000"/>
        </w:rPr>
        <w:t xml:space="preserve">.  </w:t>
      </w:r>
    </w:p>
    <w:p w:rsidR="00DF7E85" w:rsidRDefault="00DF7E85" w:rsidP="00DF7E85">
      <w:pPr>
        <w:spacing w:line="360" w:lineRule="auto"/>
        <w:ind w:firstLine="709"/>
        <w:jc w:val="both"/>
        <w:rPr>
          <w:rFonts w:eastAsia="MS Mincho"/>
          <w:color w:val="000000"/>
        </w:rPr>
      </w:pPr>
      <w:r>
        <w:rPr>
          <w:color w:val="000000"/>
        </w:rPr>
        <w:t>5. Комплексна терапія гострого панкреатиту повинна включати одноча</w:t>
      </w:r>
      <w:r>
        <w:rPr>
          <w:color w:val="000000"/>
        </w:rPr>
        <w:t>с</w:t>
      </w:r>
      <w:r>
        <w:rPr>
          <w:color w:val="000000"/>
        </w:rPr>
        <w:t>ну корекцію порушень гомеостазу із врахуванням волемічних просторів ( особливо при  супутній серцево-судинній патології ФК ІІІ-І</w:t>
      </w:r>
      <w:r>
        <w:rPr>
          <w:color w:val="000000"/>
          <w:lang w:val="en-US"/>
        </w:rPr>
        <w:t>V</w:t>
      </w:r>
      <w:r>
        <w:rPr>
          <w:color w:val="000000"/>
        </w:rPr>
        <w:t>),  вплив на пе</w:t>
      </w:r>
      <w:r>
        <w:rPr>
          <w:color w:val="000000"/>
        </w:rPr>
        <w:t>р</w:t>
      </w:r>
      <w:r>
        <w:rPr>
          <w:color w:val="000000"/>
        </w:rPr>
        <w:t>винний осередок та лікування інтоксикаційного синдрому</w:t>
      </w:r>
      <w:r>
        <w:rPr>
          <w:rFonts w:eastAsia="MS Mincho"/>
          <w:color w:val="000000"/>
        </w:rPr>
        <w:t xml:space="preserve">. </w:t>
      </w:r>
    </w:p>
    <w:p w:rsidR="00DF7E85" w:rsidRDefault="00DF7E85" w:rsidP="00DF7E85">
      <w:pPr>
        <w:pStyle w:val="afffffffd"/>
        <w:ind w:firstLine="709"/>
        <w:jc w:val="both"/>
        <w:rPr>
          <w:color w:val="000000"/>
        </w:rPr>
      </w:pPr>
      <w:r>
        <w:rPr>
          <w:rFonts w:eastAsia="MS Mincho"/>
          <w:b/>
          <w:bCs/>
          <w:color w:val="000000"/>
        </w:rPr>
        <w:t>СПИСОК ОПУБЛІКОВАНИХ ПРАЦЬ ЗА ТЕМОЮ ДИСЕРТАЦІЇ</w:t>
      </w:r>
    </w:p>
    <w:p w:rsidR="00DF7E85" w:rsidRDefault="00DF7E85" w:rsidP="00DF7E85">
      <w:pPr>
        <w:pStyle w:val="afffffffd"/>
        <w:ind w:firstLine="709"/>
        <w:jc w:val="both"/>
      </w:pPr>
      <w:r>
        <w:lastRenderedPageBreak/>
        <w:t>1. Кардіал</w:t>
      </w:r>
      <w:r>
        <w:t>ь</w:t>
      </w:r>
      <w:r>
        <w:t>ний  синдром при панкреатитах / Л.Р. Коробко, Р.О. Сабадишин, Ю.С. Семенюк, В.Ф. Денещук //Шпитальна хірургія  2005. -№2.-С. 102-106 (</w:t>
      </w:r>
      <w:r>
        <w:rPr>
          <w:color w:val="000000"/>
        </w:rPr>
        <w:t xml:space="preserve"> Автором самостійно проведено  огляд літератури та статистичну обробку і підг</w:t>
      </w:r>
      <w:r>
        <w:rPr>
          <w:color w:val="000000"/>
        </w:rPr>
        <w:t>о</w:t>
      </w:r>
      <w:r>
        <w:rPr>
          <w:color w:val="000000"/>
        </w:rPr>
        <w:t>товлено матеріал до друку.</w:t>
      </w:r>
    </w:p>
    <w:p w:rsidR="00DF7E85" w:rsidRDefault="00DF7E85" w:rsidP="00DF7E85">
      <w:pPr>
        <w:pStyle w:val="afffffffd"/>
        <w:ind w:firstLine="709"/>
        <w:jc w:val="both"/>
        <w:rPr>
          <w:iCs/>
        </w:rPr>
      </w:pPr>
      <w:r>
        <w:t xml:space="preserve">2. Коробко Л.Р. Стан  перекисного  окислення  ліпідів  та антиоксидантної системи при панкреатитах //Шпитальна хірургія  2006.-№2.-С. 58-60. </w:t>
      </w:r>
    </w:p>
    <w:p w:rsidR="00DF7E85" w:rsidRDefault="00DF7E85" w:rsidP="00DF7E85">
      <w:pPr>
        <w:pStyle w:val="afffffffd"/>
        <w:ind w:firstLine="709"/>
        <w:jc w:val="both"/>
        <w:rPr>
          <w:iCs/>
        </w:rPr>
      </w:pPr>
      <w:r>
        <w:rPr>
          <w:iCs/>
        </w:rPr>
        <w:t>3. Сабадишин Р.О., Коробко Л.Р. Показники водного імпедансу при панкре</w:t>
      </w:r>
      <w:r>
        <w:rPr>
          <w:iCs/>
        </w:rPr>
        <w:t>а</w:t>
      </w:r>
      <w:r>
        <w:rPr>
          <w:iCs/>
        </w:rPr>
        <w:t xml:space="preserve">титі залежно від супутньої серцево-судинної патології // Шпитальна хірургія  2006.-№3.-С. 48-50 ( Здобувачем   вивчено результати визначення рівня загальної рідини в залежності від форми захворювання та супутньої серцево-судинної патології у хворих, проведено статистичну обробку і підготовлено матеріал до друку. </w:t>
      </w:r>
    </w:p>
    <w:p w:rsidR="00DF7E85" w:rsidRDefault="00DF7E85" w:rsidP="00DF7E85">
      <w:pPr>
        <w:pStyle w:val="20"/>
        <w:ind w:firstLine="709"/>
        <w:jc w:val="both"/>
        <w:rPr>
          <w:iCs w:val="0"/>
          <w:sz w:val="24"/>
        </w:rPr>
      </w:pPr>
      <w:r>
        <w:rPr>
          <w:sz w:val="24"/>
        </w:rPr>
        <w:t>4</w:t>
      </w:r>
      <w:r>
        <w:rPr>
          <w:iCs w:val="0"/>
          <w:sz w:val="24"/>
        </w:rPr>
        <w:t>. Коробко Л.Р., Євтушенко О.В., Рижковський В.О. Дослідження електр</w:t>
      </w:r>
      <w:r>
        <w:rPr>
          <w:iCs w:val="0"/>
          <w:sz w:val="24"/>
        </w:rPr>
        <w:t>и</w:t>
      </w:r>
      <w:r>
        <w:rPr>
          <w:iCs w:val="0"/>
          <w:sz w:val="24"/>
        </w:rPr>
        <w:t>чної активності міокарду і фракції викиду у хворих з гострим панкреатитом  та хворих із супровідною серцево-судинною патологією //Вісник  на</w:t>
      </w:r>
      <w:r>
        <w:rPr>
          <w:iCs w:val="0"/>
          <w:sz w:val="24"/>
        </w:rPr>
        <w:t>у</w:t>
      </w:r>
      <w:r>
        <w:rPr>
          <w:iCs w:val="0"/>
          <w:sz w:val="24"/>
        </w:rPr>
        <w:t xml:space="preserve">кових досліджень. 2007. -№1. –С. 52-54  (Здобувачем вивчено результати дослідження електричної активності міокарда і фракції викиду у хворих з панкреатитом та у хворих з супровідною серцево-судинною патологією. </w:t>
      </w:r>
      <w:r>
        <w:rPr>
          <w:rFonts w:eastAsia="MS Mincho"/>
          <w:iCs w:val="0"/>
          <w:color w:val="000000"/>
          <w:sz w:val="24"/>
        </w:rPr>
        <w:t xml:space="preserve"> </w:t>
      </w:r>
      <w:r>
        <w:rPr>
          <w:iCs w:val="0"/>
          <w:sz w:val="24"/>
        </w:rPr>
        <w:t xml:space="preserve">Проведено статистичну обробку і підготовлено матеріал до друку. </w:t>
      </w:r>
    </w:p>
    <w:p w:rsidR="00DF7E85" w:rsidRDefault="00DF7E85" w:rsidP="00DF7E85">
      <w:pPr>
        <w:spacing w:line="360" w:lineRule="auto"/>
        <w:ind w:firstLine="709"/>
        <w:jc w:val="both"/>
      </w:pPr>
      <w:r>
        <w:rPr>
          <w:rFonts w:eastAsia="MS Mincho"/>
          <w:color w:val="000000"/>
        </w:rPr>
        <w:t>5.</w:t>
      </w:r>
      <w:r>
        <w:t xml:space="preserve"> Коробко Л.Р.,Сабадишин Р.О. Значення середньо молекулярних пептидів в прогнозуванні важкості гострого панкреатиту //Український медичний альманах. 2007.- Том 10,-№3. –С. 16-17. </w:t>
      </w:r>
    </w:p>
    <w:p w:rsidR="00DF7E85" w:rsidRDefault="00DF7E85" w:rsidP="00DF7E85">
      <w:pPr>
        <w:spacing w:line="360" w:lineRule="auto"/>
        <w:ind w:firstLine="709"/>
        <w:jc w:val="both"/>
        <w:rPr>
          <w:iCs/>
        </w:rPr>
      </w:pPr>
      <w:r>
        <w:t xml:space="preserve">(Автором самостійно вивчено СМП, проведено аналіз результатів дослідження та підготовлено статтю до друку).  </w:t>
      </w:r>
    </w:p>
    <w:p w:rsidR="00DF7E85" w:rsidRDefault="00DF7E85" w:rsidP="00DF7E85">
      <w:pPr>
        <w:spacing w:line="360" w:lineRule="auto"/>
        <w:ind w:firstLine="709"/>
        <w:jc w:val="both"/>
        <w:rPr>
          <w:rFonts w:ascii="Arial" w:hAnsi="Arial" w:cs="Arial"/>
        </w:rPr>
      </w:pPr>
      <w:r>
        <w:rPr>
          <w:color w:val="000000"/>
        </w:rPr>
        <w:t xml:space="preserve">6. </w:t>
      </w:r>
      <w:r>
        <w:rPr>
          <w:iCs/>
        </w:rPr>
        <w:t>Коробко Л.Р. Вибір лікувальної тактики у хворих на гострий панкреатит з супровідною серцево-судинною патологією</w:t>
      </w:r>
      <w:r>
        <w:rPr>
          <w:rFonts w:ascii="Arial" w:hAnsi="Arial" w:cs="Arial"/>
        </w:rPr>
        <w:t xml:space="preserve"> // </w:t>
      </w:r>
      <w:r>
        <w:t>Науковий вісник Ужгородського університету. Серія “медицина” №33. –</w:t>
      </w:r>
      <w:r>
        <w:rPr>
          <w:lang w:val="en-US"/>
        </w:rPr>
        <w:t xml:space="preserve"> </w:t>
      </w:r>
      <w:r>
        <w:t xml:space="preserve">С. </w:t>
      </w:r>
      <w:r>
        <w:rPr>
          <w:lang w:val="en-US"/>
        </w:rPr>
        <w:t>145-147.</w:t>
      </w:r>
    </w:p>
    <w:p w:rsidR="00DF7E85" w:rsidRDefault="00DF7E85" w:rsidP="00DF7E85">
      <w:pPr>
        <w:spacing w:line="360" w:lineRule="auto"/>
        <w:ind w:firstLine="709"/>
        <w:jc w:val="both"/>
        <w:rPr>
          <w:iCs/>
        </w:rPr>
      </w:pPr>
      <w:r>
        <w:rPr>
          <w:iCs/>
        </w:rPr>
        <w:t>7. Коробко Л.Р.,</w:t>
      </w:r>
      <w:r>
        <w:t xml:space="preserve">Кардіальний синдром у хворих з гострим та загостреним хронічним панкреатитом ”(ІХ міжнародний медичний конгрес студентів і молодих учених, Тернопіль 21-22.04.05). -2005.-С 47. </w:t>
      </w:r>
    </w:p>
    <w:p w:rsidR="00DF7E85" w:rsidRDefault="00DF7E85" w:rsidP="00DF7E85">
      <w:pPr>
        <w:spacing w:line="360" w:lineRule="auto"/>
        <w:ind w:firstLine="709"/>
        <w:jc w:val="both"/>
        <w:rPr>
          <w:rFonts w:eastAsia="MS Mincho"/>
          <w:color w:val="000000"/>
        </w:rPr>
      </w:pPr>
      <w:r>
        <w:rPr>
          <w:rFonts w:eastAsia="MS Mincho"/>
          <w:color w:val="000000"/>
        </w:rPr>
        <w:t>8.</w:t>
      </w:r>
      <w:r>
        <w:rPr>
          <w:b/>
        </w:rPr>
        <w:t xml:space="preserve">  </w:t>
      </w:r>
      <w:r>
        <w:rPr>
          <w:iCs/>
        </w:rPr>
        <w:t xml:space="preserve">Коробко Л.Р. , Рижковський  В.О.  Оцінка поліорганної  дисфункції в прогнозі перебігу та важкості гострого панкреатиту на фоні серцево-судинної патології // Збірник </w:t>
      </w:r>
      <w:r>
        <w:rPr>
          <w:iCs/>
        </w:rPr>
        <w:lastRenderedPageBreak/>
        <w:t>наукових праць.-практична конференція з міжнародною участю “Діагностичні центри: медико-біологічні аспекти діагностичного процесу”, Рівне 2-3 листопада. 2007.- Рівне, 2007.-С.91-93 ( Автором самостійно вивчено критерії важкості СПОН, їх оцінку та вплив на системи,  підготувлено статтю до друку).</w:t>
      </w:r>
    </w:p>
    <w:p w:rsidR="00DF7E85" w:rsidRDefault="00DF7E85" w:rsidP="00DF7E85">
      <w:pPr>
        <w:spacing w:line="360" w:lineRule="auto"/>
        <w:ind w:firstLine="709"/>
        <w:jc w:val="both"/>
        <w:rPr>
          <w:b/>
        </w:rPr>
      </w:pPr>
    </w:p>
    <w:p w:rsidR="00DF7E85" w:rsidRDefault="00DF7E85" w:rsidP="00DF7E85">
      <w:pPr>
        <w:spacing w:line="360" w:lineRule="auto"/>
        <w:jc w:val="center"/>
        <w:rPr>
          <w:rFonts w:ascii="Arial" w:hAnsi="Arial" w:cs="Arial"/>
          <w:b/>
          <w:i/>
        </w:rPr>
      </w:pPr>
      <w:r>
        <w:rPr>
          <w:b/>
        </w:rPr>
        <w:t>АНОТАЦІЯ</w:t>
      </w:r>
    </w:p>
    <w:p w:rsidR="00DF7E85" w:rsidRDefault="00DF7E85" w:rsidP="00DF7E85">
      <w:pPr>
        <w:spacing w:line="360" w:lineRule="auto"/>
        <w:ind w:firstLine="709"/>
        <w:jc w:val="both"/>
        <w:rPr>
          <w:b/>
        </w:rPr>
      </w:pPr>
      <w:r>
        <w:rPr>
          <w:b/>
        </w:rPr>
        <w:t>Коробко Л.Р. Вибір лікувальної тактики та об’єму оперативного втр</w:t>
      </w:r>
      <w:r>
        <w:rPr>
          <w:b/>
        </w:rPr>
        <w:t>у</w:t>
      </w:r>
      <w:r>
        <w:rPr>
          <w:b/>
        </w:rPr>
        <w:t>чання у хворих на гострий панкреатит із супровідною серцево-судинною патологією. – Рукопис.</w:t>
      </w:r>
    </w:p>
    <w:p w:rsidR="00DF7E85" w:rsidRDefault="00DF7E85" w:rsidP="00DF7E85">
      <w:pPr>
        <w:pStyle w:val="afffffffd"/>
        <w:ind w:firstLine="709"/>
        <w:jc w:val="both"/>
      </w:pPr>
      <w:r>
        <w:t>Дисертація на здобуття  наукового ступеня кандидата медичних наук за спеціальні</w:t>
      </w:r>
      <w:r>
        <w:t>с</w:t>
      </w:r>
      <w:r>
        <w:t>тю – 14.01.03 – хірургія.  Вінницький національний  медичний  університет ім.  М.І. Пирогова  МОЗ України. -   Вінниця, 2008 .</w:t>
      </w:r>
    </w:p>
    <w:p w:rsidR="00DF7E85" w:rsidRDefault="00DF7E85" w:rsidP="00DF7E85">
      <w:pPr>
        <w:spacing w:line="360" w:lineRule="auto"/>
        <w:ind w:firstLine="709"/>
        <w:jc w:val="both"/>
      </w:pPr>
      <w:r>
        <w:t>У клінічній  частині роботи  містяться дані  про вибір лікувальної та</w:t>
      </w:r>
      <w:r>
        <w:t>к</w:t>
      </w:r>
      <w:r>
        <w:t>тики та об’єму  оперативного втручання у 103 хворих  на гострий панкреат</w:t>
      </w:r>
      <w:r>
        <w:t>и</w:t>
      </w:r>
      <w:r>
        <w:t>т та супровідну серцево-судинну патологію. Вивчені зміни електри</w:t>
      </w:r>
      <w:r>
        <w:t>ч</w:t>
      </w:r>
      <w:r>
        <w:t>ної функції міокарда, показники скоротливої здатності міокарда лівого шлуночка, ПОЛ та АОС, показники гідратації тканин та ендогенної інтоксикації при різних формах панкреатиту та при гострому панкреатиті із с</w:t>
      </w:r>
      <w:r>
        <w:t>у</w:t>
      </w:r>
      <w:r>
        <w:t>провідною серцево-судинною патологією.</w:t>
      </w:r>
    </w:p>
    <w:p w:rsidR="00DF7E85" w:rsidRDefault="00DF7E85" w:rsidP="00DF7E85">
      <w:pPr>
        <w:spacing w:line="360" w:lineRule="auto"/>
        <w:ind w:firstLine="709"/>
        <w:jc w:val="both"/>
      </w:pPr>
      <w:r>
        <w:t>Вивчено найбільш інформативні крит</w:t>
      </w:r>
      <w:r>
        <w:t>е</w:t>
      </w:r>
      <w:r>
        <w:t>рії ранньої діагностики  та вибору об’єму лікування різних форм  гострого панкреатиту з вр</w:t>
      </w:r>
      <w:r>
        <w:t>а</w:t>
      </w:r>
      <w:r>
        <w:t>хуванням тяжкості та прогнозу перебігу захворювання на фоні серцево-судинної патології.  Дано патогенетичне обґрунтування  консервативної інтенсивної терапії  і критерії оц</w:t>
      </w:r>
      <w:r>
        <w:t>і</w:t>
      </w:r>
      <w:r>
        <w:t>нки її ефективності  при різних формах ГП в умовах  супровідної серцевої патології.  Розроблено показання та визначено  об’єм оперативних втручань залежно від функціонального стану серц</w:t>
      </w:r>
      <w:r>
        <w:t>е</w:t>
      </w:r>
      <w:r>
        <w:t xml:space="preserve">во-судинної системи та  тяжкості і прогнозу перебігу ГП.  </w:t>
      </w:r>
      <w:r>
        <w:rPr>
          <w:color w:val="000000"/>
        </w:rPr>
        <w:t xml:space="preserve">Встановлено, що  </w:t>
      </w:r>
      <w:r>
        <w:rPr>
          <w:rFonts w:eastAsia="MS Mincho"/>
          <w:color w:val="000000"/>
        </w:rPr>
        <w:t xml:space="preserve"> малий  об’єм при відкритій лап</w:t>
      </w:r>
      <w:r>
        <w:rPr>
          <w:rFonts w:eastAsia="MS Mincho"/>
          <w:color w:val="000000"/>
        </w:rPr>
        <w:t>а</w:t>
      </w:r>
      <w:r>
        <w:rPr>
          <w:rFonts w:eastAsia="MS Mincho"/>
          <w:color w:val="000000"/>
        </w:rPr>
        <w:t xml:space="preserve">ротомії і </w:t>
      </w:r>
      <w:r>
        <w:t xml:space="preserve"> малоінвазивний метод</w:t>
      </w:r>
      <w:r>
        <w:rPr>
          <w:rFonts w:eastAsia="MS Mincho"/>
          <w:color w:val="000000"/>
        </w:rPr>
        <w:t xml:space="preserve"> з тиском карбоксиперитонеуму 8-11 мм рт. ст. є оптимальні м</w:t>
      </w:r>
      <w:r>
        <w:rPr>
          <w:rFonts w:eastAsia="MS Mincho"/>
          <w:color w:val="000000"/>
        </w:rPr>
        <w:t>е</w:t>
      </w:r>
      <w:r>
        <w:rPr>
          <w:rFonts w:eastAsia="MS Mincho"/>
          <w:color w:val="000000"/>
        </w:rPr>
        <w:t>тоди  оперативного лікування у хворих із  деструктивним панкреатитом та органічними захворюваннями с</w:t>
      </w:r>
      <w:r>
        <w:rPr>
          <w:rFonts w:eastAsia="MS Mincho"/>
          <w:color w:val="000000"/>
        </w:rPr>
        <w:t>е</w:t>
      </w:r>
      <w:r>
        <w:rPr>
          <w:rFonts w:eastAsia="MS Mincho"/>
          <w:color w:val="000000"/>
        </w:rPr>
        <w:t>рцево-судинної системи</w:t>
      </w:r>
      <w:r>
        <w:rPr>
          <w:color w:val="000000"/>
        </w:rPr>
        <w:t xml:space="preserve"> для зменшення частоти, тяжкості інтра- і післяопераційних серцево-судинних ускладнень та кращої післяопераційної реабіл</w:t>
      </w:r>
      <w:r>
        <w:rPr>
          <w:color w:val="000000"/>
        </w:rPr>
        <w:t>і</w:t>
      </w:r>
      <w:r>
        <w:rPr>
          <w:color w:val="000000"/>
        </w:rPr>
        <w:t>тації міокарда у таких хворих.</w:t>
      </w:r>
    </w:p>
    <w:p w:rsidR="00DF7E85" w:rsidRDefault="00DF7E85" w:rsidP="00DF7E85">
      <w:pPr>
        <w:spacing w:line="360" w:lineRule="auto"/>
        <w:ind w:firstLine="709"/>
        <w:jc w:val="both"/>
      </w:pPr>
      <w:r>
        <w:rPr>
          <w:b/>
          <w:bCs/>
        </w:rPr>
        <w:t xml:space="preserve">Ключові слова: </w:t>
      </w:r>
      <w:r>
        <w:rPr>
          <w:bCs/>
        </w:rPr>
        <w:t xml:space="preserve">гострий панкреатит, панкреонекроз, </w:t>
      </w:r>
      <w:r>
        <w:t>серцево-судинна пат</w:t>
      </w:r>
      <w:r>
        <w:t>о</w:t>
      </w:r>
      <w:r>
        <w:t>логія, мініінвазивне втручання, відкрита лапаротомія.</w:t>
      </w:r>
    </w:p>
    <w:p w:rsidR="00DF7E85" w:rsidRDefault="00DF7E85" w:rsidP="00DF7E85">
      <w:pPr>
        <w:spacing w:line="360" w:lineRule="auto"/>
        <w:ind w:firstLine="709"/>
        <w:jc w:val="both"/>
      </w:pPr>
    </w:p>
    <w:p w:rsidR="00DF7E85" w:rsidRDefault="00DF7E85" w:rsidP="00DF7E85">
      <w:pPr>
        <w:spacing w:line="360" w:lineRule="auto"/>
        <w:jc w:val="center"/>
        <w:rPr>
          <w:b/>
        </w:rPr>
      </w:pPr>
      <w:r>
        <w:rPr>
          <w:b/>
        </w:rPr>
        <w:t>АНОТАЦИЯ</w:t>
      </w:r>
    </w:p>
    <w:p w:rsidR="00DF7E85" w:rsidRDefault="00DF7E85" w:rsidP="00DF7E85">
      <w:pPr>
        <w:spacing w:line="360" w:lineRule="auto"/>
        <w:ind w:firstLine="709"/>
        <w:jc w:val="both"/>
        <w:rPr>
          <w:b/>
        </w:rPr>
      </w:pPr>
      <w:r>
        <w:t>Коробко Л.Р. Выбор лечебной тактики и объема оперативного вмеш</w:t>
      </w:r>
      <w:r>
        <w:t>а</w:t>
      </w:r>
      <w:r>
        <w:t>тельства у больных  острым панкреатитом с сопутствующей сердечно-сосудистой патологией. - Рукопись.</w:t>
      </w:r>
    </w:p>
    <w:p w:rsidR="00DF7E85" w:rsidRDefault="00DF7E85" w:rsidP="00DF7E85">
      <w:pPr>
        <w:pStyle w:val="afffffffd"/>
        <w:ind w:firstLine="709"/>
        <w:jc w:val="both"/>
      </w:pPr>
      <w:r>
        <w:t>Диссертация на получение ученого степени кандидата медицинских наук за специальностью - 14.01.03 - хирургия.  Винницкий национальный  медицинский  униве</w:t>
      </w:r>
      <w:r>
        <w:t>р</w:t>
      </w:r>
      <w:r>
        <w:t xml:space="preserve">ситет им.  Н.И. Пирогова МОЗ Украины – Винница, 2008.  </w:t>
      </w:r>
    </w:p>
    <w:p w:rsidR="00DF7E85" w:rsidRDefault="00DF7E85" w:rsidP="00DF7E85">
      <w:pPr>
        <w:spacing w:line="360" w:lineRule="auto"/>
        <w:ind w:firstLine="709"/>
        <w:jc w:val="both"/>
      </w:pPr>
      <w:r>
        <w:lastRenderedPageBreak/>
        <w:t>В клинической  части работы  содержатся данные  о выборе лечебной тактики и объеме  оперативного вмешательства в 103 больных  с острым панкреатитом и сопутствующей  сердечно-сосудистой патологией. Изуче</w:t>
      </w:r>
      <w:r>
        <w:t>н</w:t>
      </w:r>
      <w:r>
        <w:t>ные изменения электрической функции миокарда, показатели сокращающе</w:t>
      </w:r>
      <w:r>
        <w:t>й</w:t>
      </w:r>
      <w:r>
        <w:t>ся способности миокарда  левого  желудочка, ПОЛ и АОС, показатели гидратации тканей и эндогенной интоксикации при разных формах панкреатита и при остром панкреатите с  сопутствующей сердечно-сосудистой пат</w:t>
      </w:r>
      <w:r>
        <w:t>о</w:t>
      </w:r>
      <w:r>
        <w:t>логией. Установлены выраженная тахикардия, депрессия и елевация сегмента ST, аритмии, угнетение  сократительной способности миокарда левого  желудо</w:t>
      </w:r>
      <w:r>
        <w:t>ч</w:t>
      </w:r>
      <w:r>
        <w:t>ка, нарушение водных секторов и увеличение СМП, активацию ПОЛ и депрессию АОС. Определены критерии оценки степени тяжести интоксикационного синдрома, его роль в возникновении ка</w:t>
      </w:r>
      <w:r>
        <w:t>р</w:t>
      </w:r>
      <w:r>
        <w:t>диоваскулярных изменений  и в патогенезе полиорганной недостаточности. Оценены показатели полио</w:t>
      </w:r>
      <w:r>
        <w:t>р</w:t>
      </w:r>
      <w:r>
        <w:t>ганной дисфункции в прогнозе хода и тяжести острого панкреатита на фоне  сопутствующей сердечно-сосудистой патологии. Изучено наиболее инфо</w:t>
      </w:r>
      <w:r>
        <w:t>р</w:t>
      </w:r>
      <w:r>
        <w:t>мативные критерии ранней диагностики  и выбора объема  лечения разных форм  острого панкре</w:t>
      </w:r>
      <w:r>
        <w:t>а</w:t>
      </w:r>
      <w:r>
        <w:t>тита с учетом тяжести и прогноза хода заболевания на фоне сердечно-сосудистой патол</w:t>
      </w:r>
      <w:r>
        <w:t>о</w:t>
      </w:r>
      <w:r>
        <w:t>гии.  Дано патогенетическое обоснование  консервативной интенсивной терапии  и критерии оценки ее эффективности  при разных формах ГП в условиях   сопутствующей се</w:t>
      </w:r>
      <w:r>
        <w:t>р</w:t>
      </w:r>
      <w:r>
        <w:t>дечной патологии.  Разработано показания и определен  объем оперативных вмешательств в завис</w:t>
      </w:r>
      <w:r>
        <w:t>и</w:t>
      </w:r>
      <w:r>
        <w:t xml:space="preserve">мости от функционального состояния сердечно-сосудистой системы и  тяжести и прогноза хода ГП.  </w:t>
      </w:r>
      <w:r>
        <w:rPr>
          <w:color w:val="000000"/>
        </w:rPr>
        <w:t xml:space="preserve">Установлено, что наличие синдрома ранней </w:t>
      </w:r>
      <w:r>
        <w:t>р</w:t>
      </w:r>
      <w:r>
        <w:t>е</w:t>
      </w:r>
      <w:r>
        <w:t>поляризации</w:t>
      </w:r>
      <w:r>
        <w:rPr>
          <w:color w:val="000000"/>
        </w:rPr>
        <w:t xml:space="preserve"> </w:t>
      </w:r>
      <w:r>
        <w:t xml:space="preserve"> желудочков без  сопутствующей органической патологии миокарда существенным образом не влияет на функцию миокарда и непосредственные результаты   малоинвазивного вмешательства при  отечному панкре</w:t>
      </w:r>
      <w:r>
        <w:t>а</w:t>
      </w:r>
      <w:r>
        <w:t>тите и асептическому панкреонэкрозе. Относительно больных с острым  панкреатитом при наличии панкреато-кардиального синдрома (при отсутствии перед операцией депрессии сегмента ST, мирцательной аритмии, екстрасистол</w:t>
      </w:r>
      <w:r>
        <w:t>и</w:t>
      </w:r>
      <w:r>
        <w:t>ческих аритмий, при сохраненной систолической функции миокарду (фракции выброса &gt; 56 %), или сопутствующий сердечно-сосудистой пат</w:t>
      </w:r>
      <w:r>
        <w:t>о</w:t>
      </w:r>
      <w:r>
        <w:t>логии І-ІІ ФК за NYHA, представляет незначительный операционно-анестезиологич</w:t>
      </w:r>
      <w:r>
        <w:t>е</w:t>
      </w:r>
      <w:r>
        <w:t>ский риск, разрешает придерживаться активной тактики, а выбор давления карбоксиперитонэуму между 8- 11 мм рт. ст. и 12-13 мм рт. ст. при  малоинвазивному  вмешательстве и объема оперативного   вмеш</w:t>
      </w:r>
      <w:r>
        <w:t>а</w:t>
      </w:r>
      <w:r>
        <w:t xml:space="preserve">тельства при  лапаротомии  практического значения не имеют. </w:t>
      </w:r>
      <w:r>
        <w:rPr>
          <w:rFonts w:eastAsia="MS Mincho"/>
          <w:color w:val="000000"/>
        </w:rPr>
        <w:t xml:space="preserve">Комплексный же подход  </w:t>
      </w:r>
      <w:r>
        <w:rPr>
          <w:rFonts w:eastAsia="MS Mincho"/>
        </w:rPr>
        <w:t>к</w:t>
      </w:r>
      <w:r>
        <w:rPr>
          <w:rFonts w:eastAsia="MS Mincho"/>
          <w:color w:val="000000"/>
        </w:rPr>
        <w:t xml:space="preserve"> изучению клинической картины депрессии сегмента ST, нарушений ритма, </w:t>
      </w:r>
      <w:r>
        <w:rPr>
          <w:rFonts w:eastAsia="MS Mincho"/>
        </w:rPr>
        <w:t>состояния</w:t>
      </w:r>
      <w:r>
        <w:rPr>
          <w:rFonts w:eastAsia="MS Mincho"/>
          <w:color w:val="000000"/>
        </w:rPr>
        <w:t xml:space="preserve"> </w:t>
      </w:r>
      <w:r>
        <w:rPr>
          <w:rFonts w:eastAsia="MS Mincho"/>
        </w:rPr>
        <w:t>сократительной</w:t>
      </w:r>
      <w:r>
        <w:rPr>
          <w:rFonts w:eastAsia="MS Mincho"/>
          <w:color w:val="000000"/>
        </w:rPr>
        <w:t xml:space="preserve"> способности миокарда левого </w:t>
      </w:r>
      <w:r>
        <w:rPr>
          <w:rFonts w:eastAsia="MS Mincho"/>
        </w:rPr>
        <w:t>жел</w:t>
      </w:r>
      <w:r>
        <w:rPr>
          <w:rFonts w:eastAsia="MS Mincho"/>
        </w:rPr>
        <w:t>у</w:t>
      </w:r>
      <w:r>
        <w:rPr>
          <w:rFonts w:eastAsia="MS Mincho"/>
        </w:rPr>
        <w:t>дочка</w:t>
      </w:r>
      <w:r>
        <w:rPr>
          <w:rFonts w:eastAsia="MS Mincho"/>
          <w:color w:val="000000"/>
        </w:rPr>
        <w:t xml:space="preserve"> </w:t>
      </w:r>
      <w:r>
        <w:t>особенно при сопутствующей патологии сердечно-сосудистой системы за  NYHA  ІІІ-І ФК   и в вековой группе пациентов (61,80 ± 0,01) р</w:t>
      </w:r>
      <w:r>
        <w:rPr>
          <w:color w:val="000000"/>
        </w:rPr>
        <w:t xml:space="preserve"> ( </w:t>
      </w:r>
      <w:r>
        <w:t>р</w:t>
      </w:r>
      <w:r>
        <w:rPr>
          <w:color w:val="000000"/>
        </w:rPr>
        <w:t xml:space="preserve">&lt;0,05) </w:t>
      </w:r>
      <w:r>
        <w:rPr>
          <w:rFonts w:eastAsia="MS Mincho"/>
        </w:rPr>
        <w:t>в</w:t>
      </w:r>
      <w:r>
        <w:rPr>
          <w:rFonts w:eastAsia="MS Mincho"/>
          <w:color w:val="000000"/>
        </w:rPr>
        <w:t xml:space="preserve"> условиях   </w:t>
      </w:r>
      <w:r>
        <w:rPr>
          <w:rFonts w:eastAsia="MS Mincho"/>
        </w:rPr>
        <w:t>панкреонэкроза</w:t>
      </w:r>
      <w:r>
        <w:rPr>
          <w:rFonts w:eastAsia="MS Mincho"/>
          <w:color w:val="000000"/>
        </w:rPr>
        <w:t xml:space="preserve"> и </w:t>
      </w:r>
      <w:r>
        <w:rPr>
          <w:rFonts w:eastAsia="MS Mincho"/>
        </w:rPr>
        <w:t>некротического</w:t>
      </w:r>
      <w:r>
        <w:rPr>
          <w:rFonts w:eastAsia="MS Mincho"/>
          <w:color w:val="000000"/>
        </w:rPr>
        <w:t xml:space="preserve"> панкреатита, разрешил адекватно определить </w:t>
      </w:r>
      <w:r>
        <w:rPr>
          <w:rFonts w:eastAsia="MS Mincho"/>
        </w:rPr>
        <w:t>операционно-анестезиологический</w:t>
      </w:r>
      <w:r>
        <w:rPr>
          <w:rFonts w:eastAsia="MS Mincho"/>
          <w:color w:val="000000"/>
        </w:rPr>
        <w:t xml:space="preserve"> риск, выбрать хирургич</w:t>
      </w:r>
      <w:r>
        <w:rPr>
          <w:rFonts w:eastAsia="MS Mincho"/>
          <w:color w:val="000000"/>
        </w:rPr>
        <w:t>е</w:t>
      </w:r>
      <w:r>
        <w:rPr>
          <w:rFonts w:eastAsia="MS Mincho"/>
          <w:color w:val="000000"/>
        </w:rPr>
        <w:t xml:space="preserve">скую тактику, а также установить, что </w:t>
      </w:r>
      <w:r>
        <w:rPr>
          <w:rFonts w:eastAsia="MS Mincho"/>
        </w:rPr>
        <w:t>малый</w:t>
      </w:r>
      <w:r>
        <w:rPr>
          <w:rFonts w:eastAsia="MS Mincho"/>
          <w:color w:val="000000"/>
        </w:rPr>
        <w:t xml:space="preserve">  объем при открытой </w:t>
      </w:r>
      <w:r>
        <w:rPr>
          <w:rFonts w:eastAsia="MS Mincho"/>
        </w:rPr>
        <w:t>лапаротомии</w:t>
      </w:r>
      <w:r>
        <w:rPr>
          <w:rFonts w:eastAsia="MS Mincho"/>
          <w:color w:val="000000"/>
        </w:rPr>
        <w:t xml:space="preserve"> ( </w:t>
      </w:r>
      <w:r>
        <w:rPr>
          <w:rFonts w:eastAsia="MS Mincho"/>
        </w:rPr>
        <w:t>который</w:t>
      </w:r>
      <w:r>
        <w:rPr>
          <w:rFonts w:eastAsia="MS Mincho"/>
          <w:color w:val="000000"/>
        </w:rPr>
        <w:t xml:space="preserve"> возможно </w:t>
      </w:r>
      <w:r>
        <w:rPr>
          <w:rFonts w:eastAsia="MS Mincho"/>
          <w:color w:val="000000"/>
        </w:rPr>
        <w:lastRenderedPageBreak/>
        <w:t xml:space="preserve">осуществить лишь при сформированном, ограниченном некрозе </w:t>
      </w:r>
      <w:r>
        <w:t>в</w:t>
      </w:r>
      <w:r>
        <w:rPr>
          <w:color w:val="000000"/>
        </w:rPr>
        <w:t xml:space="preserve"> </w:t>
      </w:r>
      <w:r>
        <w:t>сроки</w:t>
      </w:r>
      <w:r>
        <w:rPr>
          <w:color w:val="000000"/>
        </w:rPr>
        <w:t xml:space="preserve">: 12-14 суток при </w:t>
      </w:r>
      <w:r>
        <w:t>инфицированному</w:t>
      </w:r>
      <w:r>
        <w:rPr>
          <w:color w:val="000000"/>
        </w:rPr>
        <w:t xml:space="preserve"> </w:t>
      </w:r>
      <w:r>
        <w:t>панкреонэкрозе</w:t>
      </w:r>
      <w:r>
        <w:rPr>
          <w:color w:val="000000"/>
        </w:rPr>
        <w:t xml:space="preserve">, и 18-21 суток при асептических </w:t>
      </w:r>
      <w:r>
        <w:t>панкреонэ</w:t>
      </w:r>
      <w:r>
        <w:t>к</w:t>
      </w:r>
      <w:r>
        <w:t>розах</w:t>
      </w:r>
      <w:r>
        <w:rPr>
          <w:rFonts w:eastAsia="MS Mincho"/>
          <w:color w:val="000000"/>
        </w:rPr>
        <w:t xml:space="preserve">) и </w:t>
      </w:r>
      <w:r>
        <w:t xml:space="preserve"> малоинвазивний метод</w:t>
      </w:r>
      <w:r>
        <w:rPr>
          <w:rFonts w:eastAsia="MS Mincho"/>
          <w:color w:val="000000"/>
        </w:rPr>
        <w:t xml:space="preserve"> с давлением </w:t>
      </w:r>
      <w:r>
        <w:rPr>
          <w:rFonts w:eastAsia="MS Mincho"/>
        </w:rPr>
        <w:t>карбоксиперитонэуму</w:t>
      </w:r>
      <w:r>
        <w:rPr>
          <w:rFonts w:eastAsia="MS Mincho"/>
          <w:color w:val="000000"/>
        </w:rPr>
        <w:t xml:space="preserve"> 8-11 мм </w:t>
      </w:r>
      <w:r>
        <w:rPr>
          <w:rFonts w:eastAsia="MS Mincho"/>
        </w:rPr>
        <w:t>рт.</w:t>
      </w:r>
      <w:r>
        <w:rPr>
          <w:rFonts w:eastAsia="MS Mincho"/>
          <w:color w:val="000000"/>
        </w:rPr>
        <w:t xml:space="preserve"> ст. </w:t>
      </w:r>
      <w:r>
        <w:rPr>
          <w:rFonts w:eastAsia="MS Mincho"/>
        </w:rPr>
        <w:t>есть</w:t>
      </w:r>
      <w:r>
        <w:rPr>
          <w:rFonts w:eastAsia="MS Mincho"/>
          <w:color w:val="000000"/>
        </w:rPr>
        <w:t xml:space="preserve"> оптимальные методы  оперативного лечения </w:t>
      </w:r>
      <w:r>
        <w:rPr>
          <w:rFonts w:eastAsia="MS Mincho"/>
        </w:rPr>
        <w:t>в</w:t>
      </w:r>
      <w:r>
        <w:rPr>
          <w:rFonts w:eastAsia="MS Mincho"/>
          <w:color w:val="000000"/>
        </w:rPr>
        <w:t xml:space="preserve"> больных с  деструктивным панкреатитом и </w:t>
      </w:r>
      <w:r>
        <w:rPr>
          <w:rFonts w:eastAsia="MS Mincho"/>
        </w:rPr>
        <w:t>орган</w:t>
      </w:r>
      <w:r>
        <w:rPr>
          <w:rFonts w:eastAsia="MS Mincho"/>
        </w:rPr>
        <w:t>и</w:t>
      </w:r>
      <w:r>
        <w:rPr>
          <w:rFonts w:eastAsia="MS Mincho"/>
        </w:rPr>
        <w:t>ческими</w:t>
      </w:r>
      <w:r>
        <w:rPr>
          <w:rFonts w:eastAsia="MS Mincho"/>
          <w:color w:val="000000"/>
        </w:rPr>
        <w:t xml:space="preserve"> заболеваниями сердечно-сосудистой системы</w:t>
      </w:r>
      <w:r>
        <w:rPr>
          <w:color w:val="000000"/>
        </w:rPr>
        <w:t xml:space="preserve"> для уменьшения частоты, тяжести </w:t>
      </w:r>
      <w:r>
        <w:t>интра</w:t>
      </w:r>
      <w:r>
        <w:rPr>
          <w:color w:val="000000"/>
        </w:rPr>
        <w:t>- и послеоперационных сердечно-сосудистых осложн</w:t>
      </w:r>
      <w:r>
        <w:rPr>
          <w:color w:val="000000"/>
        </w:rPr>
        <w:t>е</w:t>
      </w:r>
      <w:r>
        <w:rPr>
          <w:color w:val="000000"/>
        </w:rPr>
        <w:t xml:space="preserve">ний и лучшей послеоперационной реабилитации миокарда </w:t>
      </w:r>
      <w:r>
        <w:t>в</w:t>
      </w:r>
      <w:r>
        <w:rPr>
          <w:color w:val="000000"/>
        </w:rPr>
        <w:t xml:space="preserve"> таких </w:t>
      </w:r>
      <w:r>
        <w:t>больных</w:t>
      </w:r>
      <w:r>
        <w:rPr>
          <w:color w:val="000000"/>
        </w:rPr>
        <w:t>.</w:t>
      </w:r>
    </w:p>
    <w:p w:rsidR="00DF7E85" w:rsidRDefault="00DF7E85" w:rsidP="00DF7E85">
      <w:pPr>
        <w:spacing w:line="360" w:lineRule="auto"/>
        <w:ind w:firstLine="709"/>
        <w:jc w:val="both"/>
      </w:pPr>
      <w:r>
        <w:rPr>
          <w:b/>
          <w:bCs/>
        </w:rPr>
        <w:t xml:space="preserve">Ключевые слова: </w:t>
      </w:r>
      <w:r>
        <w:rPr>
          <w:bCs/>
        </w:rPr>
        <w:t xml:space="preserve">острый панкреатит, панкреонэкроз, панкреато-кардиальный синдром, </w:t>
      </w:r>
      <w:r>
        <w:t>синдром ранней реполяризации желудочков, серде</w:t>
      </w:r>
      <w:r>
        <w:t>ч</w:t>
      </w:r>
      <w:r>
        <w:t>но-сосудистая патология, малоинвазивное вмешательство, открытая лапар</w:t>
      </w:r>
      <w:r>
        <w:t>о</w:t>
      </w:r>
      <w:r>
        <w:t>томия.</w:t>
      </w:r>
    </w:p>
    <w:p w:rsidR="00DF7E85" w:rsidRDefault="00DF7E85" w:rsidP="00DF7E85">
      <w:pPr>
        <w:autoSpaceDE w:val="0"/>
        <w:autoSpaceDN w:val="0"/>
        <w:adjustRightInd w:val="0"/>
        <w:spacing w:line="360" w:lineRule="auto"/>
        <w:jc w:val="center"/>
        <w:rPr>
          <w:lang w:val="en-US"/>
        </w:rPr>
      </w:pPr>
      <w:r>
        <w:rPr>
          <w:b/>
          <w:bCs/>
          <w:lang w:val="en-US"/>
        </w:rPr>
        <w:t>ANNOTATION</w:t>
      </w:r>
    </w:p>
    <w:p w:rsidR="00DF7E85" w:rsidRDefault="00DF7E85" w:rsidP="00DF7E85">
      <w:pPr>
        <w:autoSpaceDE w:val="0"/>
        <w:autoSpaceDN w:val="0"/>
        <w:adjustRightInd w:val="0"/>
        <w:spacing w:line="360" w:lineRule="auto"/>
        <w:ind w:firstLine="709"/>
        <w:jc w:val="both"/>
        <w:rPr>
          <w:lang w:val="en-US"/>
        </w:rPr>
      </w:pPr>
      <w:r>
        <w:rPr>
          <w:b/>
          <w:bCs/>
          <w:lang w:val="en-US"/>
        </w:rPr>
        <w:t>Korobko l.R. Choice of medical tactic and volume of operative interference for patients with a  acute pancreatitis with accompanying  cardio-vasculary pathology.  Manuscript.</w:t>
      </w:r>
    </w:p>
    <w:p w:rsidR="00DF7E85" w:rsidRDefault="00DF7E85" w:rsidP="00DF7E85">
      <w:pPr>
        <w:autoSpaceDE w:val="0"/>
        <w:autoSpaceDN w:val="0"/>
        <w:adjustRightInd w:val="0"/>
        <w:spacing w:line="360" w:lineRule="auto"/>
        <w:ind w:firstLine="709"/>
        <w:jc w:val="both"/>
        <w:rPr>
          <w:lang w:val="en-US"/>
        </w:rPr>
      </w:pPr>
      <w:r>
        <w:rPr>
          <w:lang w:val="en-US"/>
        </w:rPr>
        <w:t>Dissertation on the receipt of graduate degree of candidate of medical sciences after speciality - 14.01.03  surgery.  The Vinnytsya national  medical  university named after  M.I. Pirogov  M. of Public Health of Ukraine.   Vinnytsya, 200</w:t>
      </w:r>
      <w:r>
        <w:t>8</w:t>
      </w:r>
      <w:r>
        <w:rPr>
          <w:lang w:val="en-US"/>
        </w:rPr>
        <w:t xml:space="preserve"> .</w:t>
      </w:r>
    </w:p>
    <w:p w:rsidR="00DF7E85" w:rsidRDefault="00DF7E85" w:rsidP="00DF7E85">
      <w:pPr>
        <w:autoSpaceDE w:val="0"/>
        <w:autoSpaceDN w:val="0"/>
        <w:adjustRightInd w:val="0"/>
        <w:spacing w:line="360" w:lineRule="auto"/>
        <w:ind w:firstLine="709"/>
        <w:jc w:val="both"/>
        <w:rPr>
          <w:lang w:val="en-US"/>
        </w:rPr>
      </w:pPr>
      <w:r>
        <w:rPr>
          <w:lang w:val="en-US"/>
        </w:rPr>
        <w:t xml:space="preserve">In clinical  part of work  there is information  about the choice of medical tactic and volume  of operative interference for 103 patients  with an  acute pancreatitis and accompanying </w:t>
      </w:r>
      <w:r>
        <w:rPr>
          <w:bCs/>
          <w:lang w:val="en-US"/>
        </w:rPr>
        <w:t>cardio-vasculary</w:t>
      </w:r>
      <w:r>
        <w:rPr>
          <w:lang w:val="en-US"/>
        </w:rPr>
        <w:t xml:space="preserve">  pathology. The changes of electric function of myocardium, indexes of retractive ability of myocardium of left ventricle,  LPO and AOS, were studied; indexes of hydratation of tissues and endogenous intoxication at the different forms of pancreatitis and at a  acute pancreatitis with accompanying  </w:t>
      </w:r>
      <w:r>
        <w:rPr>
          <w:bCs/>
          <w:lang w:val="en-US"/>
        </w:rPr>
        <w:t>cardio-vasculary</w:t>
      </w:r>
      <w:r>
        <w:rPr>
          <w:lang w:val="en-US"/>
        </w:rPr>
        <w:t xml:space="preserve"> pathology.</w:t>
      </w:r>
    </w:p>
    <w:p w:rsidR="00DF7E85" w:rsidRDefault="00DF7E85" w:rsidP="00DF7E85">
      <w:pPr>
        <w:autoSpaceDE w:val="0"/>
        <w:autoSpaceDN w:val="0"/>
        <w:adjustRightInd w:val="0"/>
        <w:spacing w:line="360" w:lineRule="auto"/>
        <w:ind w:firstLine="709"/>
        <w:jc w:val="both"/>
        <w:rPr>
          <w:lang w:val="en-US"/>
        </w:rPr>
      </w:pPr>
      <w:r>
        <w:rPr>
          <w:lang w:val="en-US"/>
        </w:rPr>
        <w:t xml:space="preserve">The most informed criteria of early diagnostics  and choice of volume treatment of different forms  of acute pancreatitis were studied taking including difficulty and prognosis of disease motion  on a background  </w:t>
      </w:r>
      <w:r>
        <w:rPr>
          <w:bCs/>
          <w:lang w:val="en-US"/>
        </w:rPr>
        <w:t>cardio-vasculary</w:t>
      </w:r>
      <w:r>
        <w:rPr>
          <w:lang w:val="en-US"/>
        </w:rPr>
        <w:t xml:space="preserve"> pathology.  The nosotropic ground  of conservative intensive therapy  and criteria of estimation of its efficiency  is given at the different forms of acute pancreatitis in the conditions of  accompanying cardiac pathology.  A testimony and  volume of operative interferences are developed depending on the functional state of the  </w:t>
      </w:r>
      <w:r>
        <w:rPr>
          <w:bCs/>
          <w:lang w:val="en-US"/>
        </w:rPr>
        <w:t>cardio-vasculary</w:t>
      </w:r>
      <w:r>
        <w:rPr>
          <w:lang w:val="en-US"/>
        </w:rPr>
        <w:t xml:space="preserve"> system and  difficulty and prognosis of motion of acute pancreatitis .  </w:t>
      </w:r>
      <w:r>
        <w:rPr>
          <w:color w:val="000000"/>
          <w:lang w:val="en-US"/>
        </w:rPr>
        <w:t xml:space="preserve">It is set that   small  volume at abdominal </w:t>
      </w:r>
      <w:r>
        <w:rPr>
          <w:color w:val="000000"/>
        </w:rPr>
        <w:t>laparotom</w:t>
      </w:r>
      <w:r>
        <w:rPr>
          <w:color w:val="000000"/>
          <w:lang w:val="en-US"/>
        </w:rPr>
        <w:t xml:space="preserve">y and </w:t>
      </w:r>
      <w:r>
        <w:rPr>
          <w:lang w:val="en-US"/>
        </w:rPr>
        <w:t xml:space="preserve"> littleinvasion method </w:t>
      </w:r>
      <w:r>
        <w:rPr>
          <w:color w:val="000000"/>
          <w:lang w:val="en-US"/>
        </w:rPr>
        <w:t xml:space="preserve">with pressure of  </w:t>
      </w:r>
      <w:r>
        <w:rPr>
          <w:lang w:val="en-US"/>
        </w:rPr>
        <w:t>carboxyperitoneum 8-11 gg rt</w:t>
      </w:r>
      <w:r>
        <w:rPr>
          <w:color w:val="000000"/>
          <w:lang w:val="en-US"/>
        </w:rPr>
        <w:t xml:space="preserve">. an item is the optimum methods  of operative treatment for patients with  a destructive pancreatitis and organic diseases of the  </w:t>
      </w:r>
      <w:r>
        <w:rPr>
          <w:bCs/>
          <w:lang w:val="en-US"/>
        </w:rPr>
        <w:t>cardio-vasculary</w:t>
      </w:r>
      <w:r>
        <w:rPr>
          <w:color w:val="000000"/>
          <w:lang w:val="en-US"/>
        </w:rPr>
        <w:t xml:space="preserve"> system for diminishing of frequency, difficulty of </w:t>
      </w:r>
      <w:r>
        <w:rPr>
          <w:color w:val="000000"/>
        </w:rPr>
        <w:t>intra-</w:t>
      </w:r>
      <w:r>
        <w:rPr>
          <w:color w:val="000000"/>
          <w:lang w:val="en-US"/>
        </w:rPr>
        <w:t xml:space="preserve"> and after operation  cardio- vasculary complications and  better after operation     rehabilitation of myocardium for such patients.</w:t>
      </w:r>
    </w:p>
    <w:p w:rsidR="00DF7E85" w:rsidRDefault="00DF7E85" w:rsidP="00DF7E85">
      <w:pPr>
        <w:autoSpaceDE w:val="0"/>
        <w:autoSpaceDN w:val="0"/>
        <w:adjustRightInd w:val="0"/>
        <w:spacing w:line="360" w:lineRule="auto"/>
        <w:ind w:firstLine="709"/>
        <w:jc w:val="both"/>
        <w:rPr>
          <w:lang w:val="en-US"/>
        </w:rPr>
      </w:pPr>
      <w:r>
        <w:rPr>
          <w:b/>
          <w:bCs/>
          <w:lang w:val="en-US"/>
        </w:rPr>
        <w:t xml:space="preserve">Keywords: </w:t>
      </w:r>
      <w:r>
        <w:rPr>
          <w:lang w:val="en-US"/>
        </w:rPr>
        <w:t xml:space="preserve"> acute pancreatitis, </w:t>
      </w:r>
      <w:r>
        <w:t>pan</w:t>
      </w:r>
      <w:r>
        <w:rPr>
          <w:lang w:val="en-US"/>
        </w:rPr>
        <w:t>c</w:t>
      </w:r>
      <w:r>
        <w:t>reone</w:t>
      </w:r>
      <w:r>
        <w:rPr>
          <w:lang w:val="en-US"/>
        </w:rPr>
        <w:t xml:space="preserve">crose,  </w:t>
      </w:r>
      <w:r>
        <w:rPr>
          <w:bCs/>
          <w:lang w:val="en-US"/>
        </w:rPr>
        <w:t>cardio-vasculary</w:t>
      </w:r>
      <w:r>
        <w:rPr>
          <w:lang w:val="en-US"/>
        </w:rPr>
        <w:t xml:space="preserve"> pathology,  laparoscopy a method, abdominal </w:t>
      </w:r>
      <w:r>
        <w:t>laparotomy</w:t>
      </w:r>
      <w:r>
        <w:rPr>
          <w:lang w:val="en-US"/>
        </w:rPr>
        <w:t xml:space="preserve">  .</w:t>
      </w:r>
    </w:p>
    <w:p w:rsidR="00DF7E85" w:rsidRDefault="00DF7E85" w:rsidP="00DF7E85">
      <w:pPr>
        <w:autoSpaceDE w:val="0"/>
        <w:autoSpaceDN w:val="0"/>
        <w:adjustRightInd w:val="0"/>
        <w:spacing w:line="360" w:lineRule="auto"/>
        <w:ind w:firstLine="709"/>
        <w:jc w:val="both"/>
      </w:pPr>
    </w:p>
    <w:p w:rsidR="00DF7E85" w:rsidRDefault="00DF7E85" w:rsidP="00DF7E85">
      <w:pPr>
        <w:autoSpaceDE w:val="0"/>
        <w:autoSpaceDN w:val="0"/>
        <w:adjustRightInd w:val="0"/>
        <w:spacing w:line="360" w:lineRule="auto"/>
        <w:ind w:firstLine="709"/>
        <w:jc w:val="both"/>
      </w:pPr>
    </w:p>
    <w:p w:rsidR="00DF7E85" w:rsidRDefault="00DF7E85" w:rsidP="00DF7E85">
      <w:pPr>
        <w:autoSpaceDE w:val="0"/>
        <w:autoSpaceDN w:val="0"/>
        <w:adjustRightInd w:val="0"/>
        <w:spacing w:line="360" w:lineRule="auto"/>
        <w:ind w:firstLine="709"/>
        <w:jc w:val="both"/>
      </w:pPr>
    </w:p>
    <w:p w:rsidR="00DF7E85" w:rsidRDefault="00DF7E85" w:rsidP="00DF7E85">
      <w:pPr>
        <w:autoSpaceDE w:val="0"/>
        <w:autoSpaceDN w:val="0"/>
        <w:adjustRightInd w:val="0"/>
        <w:spacing w:line="360" w:lineRule="auto"/>
        <w:ind w:firstLine="709"/>
        <w:jc w:val="both"/>
      </w:pPr>
    </w:p>
    <w:p w:rsidR="00DF7E85" w:rsidRDefault="00DF7E85" w:rsidP="00DF7E85">
      <w:pPr>
        <w:autoSpaceDE w:val="0"/>
        <w:autoSpaceDN w:val="0"/>
        <w:adjustRightInd w:val="0"/>
        <w:spacing w:line="360" w:lineRule="auto"/>
        <w:ind w:firstLine="709"/>
        <w:jc w:val="both"/>
      </w:pPr>
    </w:p>
    <w:p w:rsidR="00DF7E85" w:rsidRDefault="00DF7E85" w:rsidP="00DF7E85">
      <w:pPr>
        <w:autoSpaceDE w:val="0"/>
        <w:autoSpaceDN w:val="0"/>
        <w:adjustRightInd w:val="0"/>
        <w:spacing w:line="360" w:lineRule="auto"/>
        <w:ind w:firstLine="709"/>
        <w:jc w:val="both"/>
      </w:pPr>
    </w:p>
    <w:p w:rsidR="00DF7E85" w:rsidRDefault="00DF7E85" w:rsidP="00DF7E85">
      <w:pPr>
        <w:spacing w:line="360" w:lineRule="auto"/>
        <w:ind w:firstLine="142"/>
        <w:jc w:val="center"/>
        <w:rPr>
          <w:b/>
        </w:rPr>
      </w:pPr>
      <w:r>
        <w:rPr>
          <w:b/>
        </w:rPr>
        <w:t>ПЕРЕЛІК УМОВНИХ СКОРОЧЕНЬ</w:t>
      </w:r>
    </w:p>
    <w:p w:rsidR="00DF7E85" w:rsidRDefault="00DF7E85" w:rsidP="00DF7E85">
      <w:pPr>
        <w:tabs>
          <w:tab w:val="left" w:pos="8820"/>
        </w:tabs>
        <w:spacing w:line="360" w:lineRule="auto"/>
        <w:ind w:firstLine="709"/>
        <w:jc w:val="both"/>
      </w:pPr>
      <w:r>
        <w:t>АОС – антиоксидантна система</w:t>
      </w:r>
    </w:p>
    <w:p w:rsidR="00DF7E85" w:rsidRDefault="00DF7E85" w:rsidP="00DF7E85">
      <w:pPr>
        <w:tabs>
          <w:tab w:val="left" w:pos="8820"/>
        </w:tabs>
        <w:spacing w:line="360" w:lineRule="auto"/>
        <w:ind w:firstLine="709"/>
        <w:jc w:val="both"/>
      </w:pPr>
      <w:r>
        <w:t>ГП –гострий панкреатит</w:t>
      </w:r>
    </w:p>
    <w:p w:rsidR="00DF7E85" w:rsidRDefault="00DF7E85" w:rsidP="00DF7E85">
      <w:pPr>
        <w:tabs>
          <w:tab w:val="left" w:pos="8820"/>
        </w:tabs>
        <w:spacing w:line="360" w:lineRule="auto"/>
        <w:ind w:firstLine="709"/>
        <w:jc w:val="both"/>
      </w:pPr>
      <w:r>
        <w:t>ІС – інтоксикаційний синдром</w:t>
      </w:r>
    </w:p>
    <w:p w:rsidR="00DF7E85" w:rsidRDefault="00DF7E85" w:rsidP="00DF7E85">
      <w:pPr>
        <w:tabs>
          <w:tab w:val="left" w:pos="8820"/>
        </w:tabs>
        <w:spacing w:line="360" w:lineRule="auto"/>
        <w:ind w:firstLine="709"/>
        <w:jc w:val="both"/>
      </w:pPr>
      <w:r>
        <w:t>МДА – малоновий деальдигід</w:t>
      </w:r>
    </w:p>
    <w:p w:rsidR="00DF7E85" w:rsidRDefault="00DF7E85" w:rsidP="00DF7E85">
      <w:pPr>
        <w:tabs>
          <w:tab w:val="left" w:pos="8820"/>
        </w:tabs>
        <w:spacing w:line="360" w:lineRule="auto"/>
        <w:ind w:firstLine="709"/>
        <w:jc w:val="both"/>
      </w:pPr>
      <w:r>
        <w:t>ПЗ – підшлункова залоза</w:t>
      </w:r>
    </w:p>
    <w:p w:rsidR="00DF7E85" w:rsidRDefault="00DF7E85" w:rsidP="00DF7E85">
      <w:pPr>
        <w:tabs>
          <w:tab w:val="left" w:pos="8820"/>
        </w:tabs>
        <w:spacing w:line="360" w:lineRule="auto"/>
        <w:ind w:firstLine="709"/>
        <w:jc w:val="both"/>
      </w:pPr>
      <w:r>
        <w:t>ПОЛ – перекисне окислення ліпідів</w:t>
      </w:r>
    </w:p>
    <w:p w:rsidR="00DF7E85" w:rsidRDefault="00DF7E85" w:rsidP="00DF7E85">
      <w:pPr>
        <w:tabs>
          <w:tab w:val="left" w:pos="8820"/>
        </w:tabs>
        <w:spacing w:line="360" w:lineRule="auto"/>
        <w:ind w:firstLine="709"/>
        <w:jc w:val="both"/>
      </w:pPr>
      <w:r>
        <w:t>СМП – середньо молекулярні пептиди</w:t>
      </w:r>
    </w:p>
    <w:p w:rsidR="00DF7E85" w:rsidRDefault="00DF7E85" w:rsidP="00DF7E85">
      <w:pPr>
        <w:tabs>
          <w:tab w:val="left" w:pos="8820"/>
        </w:tabs>
        <w:spacing w:line="360" w:lineRule="auto"/>
        <w:ind w:firstLine="709"/>
        <w:jc w:val="both"/>
      </w:pPr>
      <w:r>
        <w:t>СПОН – синдром полі органної недостатності</w:t>
      </w:r>
    </w:p>
    <w:p w:rsidR="00DF7E85" w:rsidRDefault="00DF7E85" w:rsidP="00DF7E85">
      <w:pPr>
        <w:tabs>
          <w:tab w:val="left" w:pos="8820"/>
        </w:tabs>
        <w:spacing w:line="360" w:lineRule="auto"/>
        <w:ind w:firstLine="709"/>
        <w:jc w:val="both"/>
      </w:pPr>
      <w:r>
        <w:t>ФК – функціональний клас</w:t>
      </w:r>
    </w:p>
    <w:p w:rsidR="0068362D" w:rsidRPr="00785095" w:rsidRDefault="000533F6" w:rsidP="000533F6">
      <w:pPr>
        <w:autoSpaceDE w:val="0"/>
        <w:autoSpaceDN w:val="0"/>
        <w:spacing w:line="360" w:lineRule="auto"/>
        <w:jc w:val="center"/>
        <w:outlineLvl w:val="0"/>
        <w:rPr>
          <w:lang w:val="en-US"/>
        </w:rPr>
      </w:pPr>
      <w:bookmarkStart w:id="1" w:name="_GoBack"/>
      <w:bookmarkEnd w:id="1"/>
      <w:r w:rsidRPr="00785095">
        <w:rPr>
          <w:b/>
          <w:sz w:val="28"/>
          <w:szCs w:val="28"/>
          <w:lang w:val="en-US"/>
        </w:rPr>
        <w:t xml:space="preserve">  </w:t>
      </w: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5D" w:rsidRDefault="00BF235D">
      <w:r>
        <w:separator/>
      </w:r>
    </w:p>
  </w:endnote>
  <w:endnote w:type="continuationSeparator" w:id="0">
    <w:p w:rsidR="00BF235D" w:rsidRDefault="00BF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MS Shell Dlg">
    <w:panose1 w:val="020B0604020202020204"/>
    <w:charset w:val="CC"/>
    <w:family w:val="swiss"/>
    <w:pitch w:val="variable"/>
    <w:sig w:usb0="61002BDF"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5D" w:rsidRDefault="00BF235D">
      <w:r>
        <w:separator/>
      </w:r>
    </w:p>
  </w:footnote>
  <w:footnote w:type="continuationSeparator" w:id="0">
    <w:p w:rsidR="00BF235D" w:rsidRDefault="00BF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1EC353E"/>
    <w:multiLevelType w:val="hybridMultilevel"/>
    <w:tmpl w:val="24AE6AFE"/>
    <w:lvl w:ilvl="0" w:tplc="AF446110">
      <w:start w:val="575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235D"/>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F832-5DCC-418A-A2CE-171E005B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22</Pages>
  <Words>7985</Words>
  <Characters>45519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2009-02-06T08:36:00Z</cp:lastPrinted>
  <dcterms:created xsi:type="dcterms:W3CDTF">2015-03-22T11:10:00Z</dcterms:created>
  <dcterms:modified xsi:type="dcterms:W3CDTF">2015-08-27T07:05:00Z</dcterms:modified>
</cp:coreProperties>
</file>