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a"/>
            <w:color w:val="0070C0"/>
          </w:rPr>
          <w:t>http://www.mydisser.com/search.html</w:t>
        </w:r>
      </w:hyperlink>
    </w:p>
    <w:p w:rsidR="009347A9" w:rsidRDefault="009347A9" w:rsidP="009347A9">
      <w:pPr>
        <w:widowControl w:val="0"/>
        <w:shd w:val="clear" w:color="auto" w:fill="FFFFFF"/>
        <w:autoSpaceDE w:val="0"/>
        <w:autoSpaceDN w:val="0"/>
        <w:adjustRightInd w:val="0"/>
        <w:spacing w:line="360" w:lineRule="auto"/>
        <w:jc w:val="center"/>
        <w:rPr>
          <w:b/>
          <w:bCs/>
          <w:sz w:val="28"/>
          <w:szCs w:val="28"/>
          <w:lang w:val="uk-UA"/>
        </w:rPr>
      </w:pPr>
      <w:bookmarkStart w:id="0" w:name="_Hlt159839706"/>
      <w:bookmarkEnd w:id="0"/>
      <w:r>
        <w:rPr>
          <w:b/>
          <w:bCs/>
          <w:sz w:val="28"/>
          <w:szCs w:val="28"/>
          <w:lang w:val="uk-UA"/>
        </w:rPr>
        <w:t>МІНІСТЕРСТВО ОХОРОНИ ЗДОРОВ’Я УКРАЇНИ</w:t>
      </w:r>
    </w:p>
    <w:p w:rsidR="009347A9" w:rsidRDefault="009347A9" w:rsidP="009347A9">
      <w:pPr>
        <w:pStyle w:val="8"/>
        <w:widowControl w:val="0"/>
        <w:rPr>
          <w:b/>
          <w:szCs w:val="28"/>
        </w:rPr>
      </w:pPr>
      <w:r>
        <w:rPr>
          <w:b/>
          <w:szCs w:val="28"/>
        </w:rPr>
        <w:t xml:space="preserve">НАЦІОНАЛЬНИЙ МЕДИЧНИЙ УНІВЕРСИТЕТ </w:t>
      </w:r>
    </w:p>
    <w:p w:rsidR="009347A9" w:rsidRDefault="009347A9" w:rsidP="009347A9">
      <w:pPr>
        <w:pStyle w:val="8"/>
        <w:widowControl w:val="0"/>
        <w:rPr>
          <w:b/>
          <w:szCs w:val="28"/>
        </w:rPr>
      </w:pPr>
      <w:r>
        <w:rPr>
          <w:b/>
          <w:szCs w:val="28"/>
        </w:rPr>
        <w:t>ім. О.О. БОГОМОЛЬЦЯ</w:t>
      </w:r>
    </w:p>
    <w:p w:rsidR="009347A9" w:rsidRDefault="009347A9" w:rsidP="009347A9">
      <w:pPr>
        <w:widowControl w:val="0"/>
        <w:spacing w:line="360" w:lineRule="auto"/>
        <w:jc w:val="center"/>
        <w:rPr>
          <w:b/>
          <w:sz w:val="28"/>
          <w:szCs w:val="28"/>
          <w:lang w:val="uk-UA"/>
        </w:rPr>
      </w:pPr>
    </w:p>
    <w:p w:rsidR="009347A9" w:rsidRDefault="009347A9" w:rsidP="009347A9">
      <w:pPr>
        <w:widowControl w:val="0"/>
        <w:spacing w:line="360" w:lineRule="auto"/>
        <w:jc w:val="center"/>
        <w:rPr>
          <w:b/>
          <w:sz w:val="28"/>
          <w:szCs w:val="28"/>
          <w:lang w:val="uk-UA"/>
        </w:rPr>
      </w:pPr>
    </w:p>
    <w:p w:rsidR="009347A9" w:rsidRDefault="009347A9" w:rsidP="009347A9">
      <w:pPr>
        <w:widowControl w:val="0"/>
        <w:spacing w:line="360" w:lineRule="auto"/>
        <w:jc w:val="center"/>
        <w:rPr>
          <w:b/>
          <w:sz w:val="28"/>
          <w:szCs w:val="28"/>
          <w:lang w:val="uk-UA"/>
        </w:rPr>
      </w:pPr>
    </w:p>
    <w:p w:rsidR="009347A9" w:rsidRDefault="009347A9" w:rsidP="009347A9">
      <w:pPr>
        <w:pStyle w:val="50"/>
        <w:keepNext w:val="0"/>
        <w:spacing w:line="360" w:lineRule="auto"/>
        <w:rPr>
          <w:szCs w:val="28"/>
        </w:rPr>
      </w:pPr>
      <w:r>
        <w:rPr>
          <w:szCs w:val="28"/>
        </w:rPr>
        <w:t>ФЕДЖАГА  Ірина  Володимирівна</w:t>
      </w:r>
    </w:p>
    <w:p w:rsidR="009347A9" w:rsidRDefault="009347A9" w:rsidP="009347A9">
      <w:pPr>
        <w:widowControl w:val="0"/>
        <w:spacing w:line="360" w:lineRule="auto"/>
        <w:rPr>
          <w:b/>
          <w:sz w:val="28"/>
          <w:szCs w:val="28"/>
          <w:lang w:val="uk-UA"/>
        </w:rPr>
      </w:pPr>
    </w:p>
    <w:p w:rsidR="009347A9" w:rsidRDefault="009347A9" w:rsidP="009347A9">
      <w:pPr>
        <w:widowControl w:val="0"/>
        <w:spacing w:line="360" w:lineRule="auto"/>
        <w:rPr>
          <w:b/>
          <w:sz w:val="28"/>
          <w:szCs w:val="28"/>
          <w:lang w:val="uk-UA"/>
        </w:rPr>
      </w:pPr>
    </w:p>
    <w:p w:rsidR="009347A9" w:rsidRDefault="009347A9" w:rsidP="009347A9">
      <w:pPr>
        <w:widowControl w:val="0"/>
        <w:spacing w:line="360" w:lineRule="auto"/>
        <w:jc w:val="right"/>
        <w:rPr>
          <w:b/>
          <w:sz w:val="28"/>
          <w:szCs w:val="28"/>
          <w:lang w:val="uk-UA"/>
        </w:rPr>
      </w:pPr>
      <w:r>
        <w:rPr>
          <w:b/>
          <w:sz w:val="28"/>
          <w:szCs w:val="28"/>
          <w:lang w:val="uk-UA"/>
        </w:rPr>
        <w:t>УДК 616.37-002-071-08:616.33:616-08-039.57</w:t>
      </w:r>
    </w:p>
    <w:p w:rsidR="009347A9" w:rsidRDefault="009347A9" w:rsidP="009347A9">
      <w:pPr>
        <w:widowControl w:val="0"/>
        <w:spacing w:line="360" w:lineRule="auto"/>
        <w:jc w:val="right"/>
        <w:rPr>
          <w:b/>
          <w:sz w:val="28"/>
          <w:szCs w:val="28"/>
          <w:lang w:val="uk-UA"/>
        </w:rPr>
      </w:pPr>
    </w:p>
    <w:p w:rsidR="009347A9" w:rsidRDefault="009347A9" w:rsidP="009347A9">
      <w:pPr>
        <w:widowControl w:val="0"/>
        <w:spacing w:line="360" w:lineRule="auto"/>
        <w:jc w:val="right"/>
        <w:rPr>
          <w:b/>
          <w:sz w:val="28"/>
          <w:szCs w:val="28"/>
          <w:lang w:val="uk-UA"/>
        </w:rPr>
      </w:pPr>
    </w:p>
    <w:p w:rsidR="009347A9" w:rsidRDefault="009347A9" w:rsidP="009347A9">
      <w:pPr>
        <w:pStyle w:val="1ffff2"/>
        <w:spacing w:line="400" w:lineRule="exact"/>
        <w:jc w:val="center"/>
        <w:rPr>
          <w:rFonts w:ascii="Times New Roman" w:hAnsi="Times New Roman"/>
          <w:b/>
          <w:caps/>
          <w:szCs w:val="28"/>
        </w:rPr>
      </w:pPr>
      <w:r>
        <w:rPr>
          <w:rFonts w:ascii="Times New Roman" w:hAnsi="Times New Roman"/>
          <w:b/>
          <w:caps/>
          <w:szCs w:val="28"/>
        </w:rPr>
        <w:t xml:space="preserve">Особливості діагностики та лікування хронічного </w:t>
      </w:r>
    </w:p>
    <w:p w:rsidR="009347A9" w:rsidRDefault="009347A9" w:rsidP="009347A9">
      <w:pPr>
        <w:pStyle w:val="1ffff2"/>
        <w:spacing w:line="400" w:lineRule="exact"/>
        <w:jc w:val="center"/>
        <w:rPr>
          <w:rFonts w:ascii="Times New Roman" w:hAnsi="Times New Roman"/>
          <w:b/>
          <w:caps/>
          <w:szCs w:val="28"/>
        </w:rPr>
      </w:pPr>
      <w:r>
        <w:rPr>
          <w:rFonts w:ascii="Times New Roman" w:hAnsi="Times New Roman"/>
          <w:b/>
          <w:caps/>
          <w:szCs w:val="28"/>
        </w:rPr>
        <w:t>панкреатиту з синдромом шлункової гіперацидності в амбулаторних умовах</w:t>
      </w:r>
    </w:p>
    <w:p w:rsidR="009347A9" w:rsidRDefault="009347A9" w:rsidP="009347A9">
      <w:pPr>
        <w:widowControl w:val="0"/>
        <w:shd w:val="clear" w:color="auto" w:fill="FFFFFF"/>
        <w:tabs>
          <w:tab w:val="left" w:pos="-3960"/>
        </w:tabs>
        <w:spacing w:line="360" w:lineRule="auto"/>
        <w:jc w:val="center"/>
        <w:rPr>
          <w:b/>
          <w:caps/>
          <w:sz w:val="28"/>
          <w:szCs w:val="28"/>
          <w:lang w:val="uk-UA" w:bidi="ar-LB"/>
        </w:rPr>
      </w:pPr>
    </w:p>
    <w:p w:rsidR="009347A9" w:rsidRDefault="009347A9" w:rsidP="009347A9">
      <w:pPr>
        <w:widowControl w:val="0"/>
        <w:shd w:val="clear" w:color="auto" w:fill="FFFFFF"/>
        <w:tabs>
          <w:tab w:val="left" w:pos="-3960"/>
        </w:tabs>
        <w:spacing w:line="360" w:lineRule="auto"/>
        <w:jc w:val="center"/>
        <w:rPr>
          <w:b/>
          <w:caps/>
          <w:sz w:val="28"/>
          <w:szCs w:val="28"/>
          <w:lang w:val="uk-UA" w:bidi="ar-LB"/>
        </w:rPr>
      </w:pPr>
    </w:p>
    <w:p w:rsidR="009347A9" w:rsidRDefault="009347A9" w:rsidP="009347A9">
      <w:pPr>
        <w:widowControl w:val="0"/>
        <w:spacing w:line="360" w:lineRule="auto"/>
        <w:jc w:val="center"/>
        <w:rPr>
          <w:b/>
          <w:sz w:val="28"/>
          <w:szCs w:val="28"/>
          <w:lang w:val="uk-UA"/>
        </w:rPr>
      </w:pPr>
      <w:r>
        <w:rPr>
          <w:b/>
          <w:caps/>
          <w:sz w:val="28"/>
          <w:szCs w:val="28"/>
          <w:lang w:val="uk-UA"/>
        </w:rPr>
        <w:t xml:space="preserve">14.01.36 – </w:t>
      </w:r>
      <w:r>
        <w:rPr>
          <w:b/>
          <w:sz w:val="28"/>
          <w:szCs w:val="28"/>
          <w:lang w:val="uk-UA"/>
        </w:rPr>
        <w:t>гастроентерологія</w:t>
      </w:r>
    </w:p>
    <w:p w:rsidR="009347A9" w:rsidRDefault="009347A9" w:rsidP="009347A9">
      <w:pPr>
        <w:widowControl w:val="0"/>
        <w:spacing w:line="360" w:lineRule="auto"/>
        <w:jc w:val="center"/>
        <w:rPr>
          <w:b/>
          <w:sz w:val="28"/>
          <w:szCs w:val="28"/>
          <w:lang w:val="uk-UA"/>
        </w:rPr>
      </w:pPr>
    </w:p>
    <w:p w:rsidR="009347A9" w:rsidRDefault="009347A9" w:rsidP="009347A9">
      <w:pPr>
        <w:widowControl w:val="0"/>
        <w:spacing w:line="360" w:lineRule="auto"/>
        <w:jc w:val="center"/>
        <w:rPr>
          <w:b/>
          <w:caps/>
          <w:sz w:val="28"/>
          <w:szCs w:val="28"/>
          <w:lang w:val="uk-UA"/>
        </w:rPr>
      </w:pPr>
    </w:p>
    <w:p w:rsidR="009347A9" w:rsidRDefault="009347A9" w:rsidP="009347A9">
      <w:pPr>
        <w:pStyle w:val="7"/>
        <w:widowControl w:val="0"/>
        <w:spacing w:line="360" w:lineRule="auto"/>
        <w:rPr>
          <w:caps/>
          <w:szCs w:val="28"/>
        </w:rPr>
      </w:pPr>
      <w:r>
        <w:rPr>
          <w:caps/>
          <w:szCs w:val="28"/>
        </w:rPr>
        <w:t>АВТОРЕФЕРАТ</w:t>
      </w:r>
    </w:p>
    <w:p w:rsidR="009347A9" w:rsidRDefault="009347A9" w:rsidP="009347A9">
      <w:pPr>
        <w:widowControl w:val="0"/>
        <w:spacing w:line="360" w:lineRule="auto"/>
        <w:jc w:val="center"/>
        <w:rPr>
          <w:b/>
          <w:sz w:val="28"/>
          <w:szCs w:val="28"/>
          <w:lang w:val="uk-UA"/>
        </w:rPr>
      </w:pPr>
      <w:r>
        <w:rPr>
          <w:b/>
          <w:sz w:val="28"/>
          <w:szCs w:val="28"/>
          <w:lang w:val="uk-UA"/>
        </w:rPr>
        <w:t>дисертації на здобуття наукового ступеня</w:t>
      </w:r>
    </w:p>
    <w:p w:rsidR="009347A9" w:rsidRDefault="009347A9" w:rsidP="009347A9">
      <w:pPr>
        <w:widowControl w:val="0"/>
        <w:spacing w:line="360" w:lineRule="auto"/>
        <w:jc w:val="center"/>
        <w:rPr>
          <w:b/>
          <w:sz w:val="28"/>
          <w:szCs w:val="28"/>
          <w:lang w:val="uk-UA"/>
        </w:rPr>
      </w:pPr>
      <w:r>
        <w:rPr>
          <w:b/>
          <w:sz w:val="28"/>
          <w:szCs w:val="28"/>
          <w:lang w:val="uk-UA"/>
        </w:rPr>
        <w:t>кандидата медичних наук</w:t>
      </w:r>
    </w:p>
    <w:p w:rsidR="009347A9" w:rsidRDefault="009347A9" w:rsidP="009347A9">
      <w:pPr>
        <w:widowControl w:val="0"/>
        <w:spacing w:line="360" w:lineRule="auto"/>
        <w:jc w:val="center"/>
        <w:rPr>
          <w:b/>
          <w:sz w:val="28"/>
          <w:szCs w:val="28"/>
          <w:lang w:val="uk-UA"/>
        </w:rPr>
      </w:pPr>
    </w:p>
    <w:p w:rsidR="009347A9" w:rsidRDefault="009347A9" w:rsidP="009347A9">
      <w:pPr>
        <w:widowControl w:val="0"/>
        <w:spacing w:line="360" w:lineRule="auto"/>
        <w:jc w:val="center"/>
        <w:rPr>
          <w:b/>
          <w:sz w:val="28"/>
          <w:szCs w:val="28"/>
          <w:lang w:val="uk-UA"/>
        </w:rPr>
      </w:pPr>
    </w:p>
    <w:p w:rsidR="009347A9" w:rsidRDefault="009347A9" w:rsidP="009347A9">
      <w:pPr>
        <w:widowControl w:val="0"/>
        <w:spacing w:line="360" w:lineRule="auto"/>
        <w:jc w:val="center"/>
        <w:rPr>
          <w:b/>
          <w:sz w:val="28"/>
          <w:szCs w:val="28"/>
          <w:lang w:val="uk-UA"/>
        </w:rPr>
      </w:pPr>
    </w:p>
    <w:p w:rsidR="009347A9" w:rsidRDefault="009347A9" w:rsidP="009347A9">
      <w:pPr>
        <w:widowControl w:val="0"/>
        <w:spacing w:line="360" w:lineRule="auto"/>
        <w:jc w:val="center"/>
        <w:rPr>
          <w:b/>
          <w:sz w:val="28"/>
          <w:szCs w:val="28"/>
          <w:lang w:val="uk-UA"/>
        </w:rPr>
      </w:pPr>
    </w:p>
    <w:p w:rsidR="009347A9" w:rsidRDefault="009347A9" w:rsidP="009347A9">
      <w:pPr>
        <w:widowControl w:val="0"/>
        <w:spacing w:line="360" w:lineRule="auto"/>
        <w:jc w:val="center"/>
        <w:rPr>
          <w:b/>
          <w:sz w:val="28"/>
          <w:szCs w:val="28"/>
          <w:lang w:val="uk-UA"/>
        </w:rPr>
      </w:pPr>
    </w:p>
    <w:p w:rsidR="009347A9" w:rsidRDefault="009347A9" w:rsidP="009347A9">
      <w:pPr>
        <w:widowControl w:val="0"/>
        <w:spacing w:line="360" w:lineRule="auto"/>
        <w:jc w:val="center"/>
        <w:rPr>
          <w:b/>
          <w:sz w:val="28"/>
          <w:szCs w:val="28"/>
          <w:lang w:val="uk-UA"/>
        </w:rPr>
      </w:pPr>
    </w:p>
    <w:p w:rsidR="009347A9" w:rsidRDefault="009347A9" w:rsidP="009347A9">
      <w:pPr>
        <w:widowControl w:val="0"/>
        <w:spacing w:line="360" w:lineRule="auto"/>
        <w:jc w:val="center"/>
        <w:rPr>
          <w:b/>
          <w:caps/>
          <w:sz w:val="28"/>
          <w:szCs w:val="28"/>
          <w:lang w:val="uk-UA"/>
        </w:rPr>
      </w:pPr>
      <w:r>
        <w:rPr>
          <w:b/>
          <w:sz w:val="28"/>
          <w:szCs w:val="28"/>
          <w:lang w:val="uk-UA"/>
        </w:rPr>
        <w:t>Київ</w:t>
      </w:r>
      <w:r>
        <w:rPr>
          <w:b/>
          <w:caps/>
          <w:sz w:val="28"/>
          <w:szCs w:val="28"/>
          <w:lang w:val="uk-UA"/>
        </w:rPr>
        <w:t xml:space="preserve"> – 2008</w:t>
      </w:r>
    </w:p>
    <w:p w:rsidR="009347A9" w:rsidRDefault="009347A9" w:rsidP="009347A9">
      <w:pPr>
        <w:widowControl w:val="0"/>
        <w:spacing w:line="360" w:lineRule="exact"/>
        <w:ind w:firstLine="720"/>
        <w:jc w:val="center"/>
        <w:rPr>
          <w:sz w:val="28"/>
          <w:szCs w:val="28"/>
          <w:lang w:val="uk-UA"/>
        </w:rPr>
      </w:pPr>
    </w:p>
    <w:p w:rsidR="009347A9" w:rsidRDefault="009347A9" w:rsidP="009347A9">
      <w:pPr>
        <w:widowControl w:val="0"/>
        <w:spacing w:line="360" w:lineRule="exact"/>
        <w:rPr>
          <w:sz w:val="28"/>
          <w:szCs w:val="28"/>
          <w:lang w:val="uk-UA"/>
        </w:rPr>
      </w:pPr>
      <w:r>
        <w:rPr>
          <w:sz w:val="28"/>
          <w:szCs w:val="28"/>
          <w:lang w:val="uk-UA"/>
        </w:rPr>
        <w:t>Дисертацією є рукопис.</w:t>
      </w:r>
    </w:p>
    <w:p w:rsidR="009347A9" w:rsidRDefault="009347A9" w:rsidP="009347A9">
      <w:pPr>
        <w:pStyle w:val="2ffff9"/>
        <w:widowControl w:val="0"/>
        <w:spacing w:line="360" w:lineRule="exact"/>
        <w:rPr>
          <w:szCs w:val="28"/>
        </w:rPr>
      </w:pPr>
      <w:r>
        <w:rPr>
          <w:szCs w:val="28"/>
        </w:rPr>
        <w:t xml:space="preserve">Робота виконана у Вінницькому національному медичному університеті </w:t>
      </w:r>
      <w:r>
        <w:rPr>
          <w:szCs w:val="28"/>
        </w:rPr>
        <w:br/>
        <w:t xml:space="preserve">ім. </w:t>
      </w:r>
      <w:r>
        <w:rPr>
          <w:szCs w:val="28"/>
          <w:lang w:bidi="ar-LB"/>
        </w:rPr>
        <w:t>М</w:t>
      </w:r>
      <w:r>
        <w:rPr>
          <w:szCs w:val="28"/>
        </w:rPr>
        <w:t>.І.Пирогова МОЗ України</w:t>
      </w:r>
    </w:p>
    <w:p w:rsidR="009347A9" w:rsidRDefault="009347A9" w:rsidP="009347A9">
      <w:pPr>
        <w:widowControl w:val="0"/>
        <w:shd w:val="clear" w:color="auto" w:fill="FFFFFF"/>
        <w:autoSpaceDE w:val="0"/>
        <w:autoSpaceDN w:val="0"/>
        <w:adjustRightInd w:val="0"/>
        <w:spacing w:line="360" w:lineRule="exact"/>
        <w:ind w:firstLine="720"/>
        <w:jc w:val="both"/>
        <w:rPr>
          <w:b/>
          <w:bCs/>
          <w:sz w:val="28"/>
          <w:szCs w:val="28"/>
          <w:lang w:val="uk-UA"/>
        </w:rPr>
      </w:pPr>
    </w:p>
    <w:p w:rsidR="009347A9" w:rsidRDefault="009347A9" w:rsidP="009347A9">
      <w:pPr>
        <w:widowControl w:val="0"/>
        <w:shd w:val="clear" w:color="auto" w:fill="FFFFFF"/>
        <w:autoSpaceDE w:val="0"/>
        <w:autoSpaceDN w:val="0"/>
        <w:adjustRightInd w:val="0"/>
        <w:spacing w:line="360" w:lineRule="exact"/>
        <w:ind w:firstLine="720"/>
        <w:jc w:val="both"/>
        <w:rPr>
          <w:b/>
          <w:bCs/>
          <w:sz w:val="28"/>
          <w:szCs w:val="28"/>
          <w:lang w:val="uk-UA"/>
        </w:rPr>
      </w:pPr>
    </w:p>
    <w:p w:rsidR="009347A9" w:rsidRDefault="009347A9" w:rsidP="009347A9">
      <w:pPr>
        <w:widowControl w:val="0"/>
        <w:shd w:val="clear" w:color="auto" w:fill="FFFFFF"/>
        <w:autoSpaceDE w:val="0"/>
        <w:autoSpaceDN w:val="0"/>
        <w:adjustRightInd w:val="0"/>
        <w:spacing w:line="360" w:lineRule="exact"/>
        <w:ind w:left="2700" w:hanging="2700"/>
        <w:jc w:val="both"/>
        <w:rPr>
          <w:sz w:val="28"/>
          <w:szCs w:val="28"/>
          <w:lang w:val="uk-UA"/>
        </w:rPr>
      </w:pPr>
      <w:r>
        <w:rPr>
          <w:b/>
          <w:bCs/>
          <w:sz w:val="28"/>
          <w:szCs w:val="28"/>
          <w:lang w:val="uk-UA"/>
        </w:rPr>
        <w:t>Науковий керівник:</w:t>
      </w:r>
      <w:r>
        <w:rPr>
          <w:sz w:val="28"/>
          <w:szCs w:val="28"/>
          <w:lang w:val="uk-UA"/>
        </w:rPr>
        <w:t xml:space="preserve"> </w:t>
      </w:r>
    </w:p>
    <w:p w:rsidR="009347A9" w:rsidRDefault="009347A9" w:rsidP="009347A9">
      <w:pPr>
        <w:widowControl w:val="0"/>
        <w:shd w:val="clear" w:color="auto" w:fill="FFFFFF"/>
        <w:autoSpaceDE w:val="0"/>
        <w:autoSpaceDN w:val="0"/>
        <w:adjustRightInd w:val="0"/>
        <w:spacing w:line="360" w:lineRule="exact"/>
        <w:jc w:val="both"/>
        <w:rPr>
          <w:sz w:val="28"/>
          <w:szCs w:val="28"/>
          <w:lang w:val="uk-UA"/>
        </w:rPr>
      </w:pPr>
      <w:r>
        <w:rPr>
          <w:sz w:val="28"/>
          <w:szCs w:val="28"/>
          <w:lang w:val="uk-UA"/>
        </w:rPr>
        <w:t xml:space="preserve">доктор медичних наук, професор </w:t>
      </w:r>
      <w:r>
        <w:rPr>
          <w:b/>
          <w:sz w:val="28"/>
          <w:szCs w:val="28"/>
          <w:lang w:val="uk-UA"/>
        </w:rPr>
        <w:t>Чернобровий В'ячеслав Миколайович</w:t>
      </w:r>
      <w:r>
        <w:rPr>
          <w:sz w:val="28"/>
          <w:szCs w:val="28"/>
          <w:lang w:val="uk-UA"/>
        </w:rPr>
        <w:t xml:space="preserve">, Вінницький національний </w:t>
      </w:r>
      <w:r>
        <w:rPr>
          <w:spacing w:val="-10"/>
          <w:sz w:val="28"/>
          <w:szCs w:val="28"/>
          <w:lang w:val="uk-UA"/>
        </w:rPr>
        <w:t>медичний університет</w:t>
      </w:r>
      <w:r>
        <w:rPr>
          <w:sz w:val="28"/>
          <w:szCs w:val="28"/>
          <w:lang w:val="uk-UA"/>
        </w:rPr>
        <w:t xml:space="preserve"> ім. М.І. Пирогова МОЗ України, кафедра поліклінічної терапії та сімейної медицини, завідувач кафедри.</w:t>
      </w:r>
    </w:p>
    <w:p w:rsidR="009347A9" w:rsidRDefault="009347A9" w:rsidP="009347A9">
      <w:pPr>
        <w:widowControl w:val="0"/>
        <w:shd w:val="clear" w:color="auto" w:fill="FFFFFF"/>
        <w:autoSpaceDE w:val="0"/>
        <w:autoSpaceDN w:val="0"/>
        <w:adjustRightInd w:val="0"/>
        <w:spacing w:line="360" w:lineRule="exact"/>
        <w:ind w:firstLine="720"/>
        <w:jc w:val="both"/>
        <w:rPr>
          <w:b/>
          <w:bCs/>
          <w:sz w:val="28"/>
          <w:szCs w:val="28"/>
          <w:lang w:val="uk-UA"/>
        </w:rPr>
      </w:pPr>
    </w:p>
    <w:p w:rsidR="009347A9" w:rsidRDefault="009347A9" w:rsidP="009347A9">
      <w:pPr>
        <w:widowControl w:val="0"/>
        <w:shd w:val="clear" w:color="auto" w:fill="FFFFFF"/>
        <w:autoSpaceDE w:val="0"/>
        <w:autoSpaceDN w:val="0"/>
        <w:adjustRightInd w:val="0"/>
        <w:spacing w:line="360" w:lineRule="exact"/>
        <w:jc w:val="both"/>
        <w:rPr>
          <w:sz w:val="28"/>
          <w:szCs w:val="28"/>
          <w:lang w:val="uk-UA"/>
        </w:rPr>
      </w:pPr>
      <w:r>
        <w:rPr>
          <w:b/>
          <w:bCs/>
          <w:sz w:val="28"/>
          <w:szCs w:val="28"/>
          <w:lang w:val="uk-UA"/>
        </w:rPr>
        <w:t>Офіційні опоненти:</w:t>
      </w:r>
      <w:r>
        <w:rPr>
          <w:sz w:val="28"/>
          <w:szCs w:val="28"/>
          <w:lang w:val="uk-UA"/>
        </w:rPr>
        <w:t xml:space="preserve"> </w:t>
      </w:r>
    </w:p>
    <w:p w:rsidR="009347A9" w:rsidRDefault="009347A9" w:rsidP="009347A9">
      <w:pPr>
        <w:widowControl w:val="0"/>
        <w:shd w:val="clear" w:color="auto" w:fill="FFFFFF"/>
        <w:autoSpaceDE w:val="0"/>
        <w:autoSpaceDN w:val="0"/>
        <w:adjustRightInd w:val="0"/>
        <w:spacing w:line="360" w:lineRule="exact"/>
        <w:jc w:val="both"/>
        <w:rPr>
          <w:sz w:val="28"/>
          <w:szCs w:val="28"/>
          <w:lang w:val="uk-UA"/>
        </w:rPr>
      </w:pPr>
      <w:r>
        <w:rPr>
          <w:sz w:val="28"/>
          <w:szCs w:val="28"/>
          <w:lang w:val="uk-UA"/>
        </w:rPr>
        <w:t xml:space="preserve">доктор медичних наук, професор </w:t>
      </w:r>
      <w:r>
        <w:rPr>
          <w:b/>
          <w:sz w:val="28"/>
          <w:szCs w:val="28"/>
          <w:lang w:val="uk-UA"/>
        </w:rPr>
        <w:t>Мойсеєнко Валентина Олексіївна</w:t>
      </w:r>
      <w:r>
        <w:rPr>
          <w:sz w:val="28"/>
          <w:szCs w:val="28"/>
          <w:lang w:val="uk-UA"/>
        </w:rPr>
        <w:t xml:space="preserve">, </w:t>
      </w:r>
      <w:r>
        <w:rPr>
          <w:sz w:val="28"/>
          <w:szCs w:val="28"/>
          <w:lang w:val="uk-UA"/>
        </w:rPr>
        <w:br/>
      </w:r>
      <w:r>
        <w:rPr>
          <w:bCs/>
          <w:sz w:val="28"/>
          <w:szCs w:val="28"/>
          <w:lang w:val="uk-UA"/>
        </w:rPr>
        <w:t xml:space="preserve">Національний медичний університет ім. </w:t>
      </w:r>
      <w:r>
        <w:rPr>
          <w:sz w:val="28"/>
          <w:szCs w:val="28"/>
          <w:lang w:val="uk-UA"/>
        </w:rPr>
        <w:t xml:space="preserve">О.О. Богомольця МОЗ України, </w:t>
      </w:r>
      <w:r>
        <w:rPr>
          <w:sz w:val="28"/>
          <w:szCs w:val="28"/>
          <w:lang w:val="uk-UA"/>
        </w:rPr>
        <w:br/>
        <w:t>кафедра пропедевтики вну</w:t>
      </w:r>
      <w:r>
        <w:rPr>
          <w:sz w:val="28"/>
          <w:szCs w:val="28"/>
          <w:lang w:val="uk-UA"/>
        </w:rPr>
        <w:t>т</w:t>
      </w:r>
      <w:r>
        <w:rPr>
          <w:sz w:val="28"/>
          <w:szCs w:val="28"/>
          <w:lang w:val="uk-UA"/>
        </w:rPr>
        <w:t>рішніх хвороб № 2, професор кафедри.</w:t>
      </w:r>
    </w:p>
    <w:p w:rsidR="009347A9" w:rsidRDefault="009347A9" w:rsidP="009347A9">
      <w:pPr>
        <w:jc w:val="both"/>
        <w:rPr>
          <w:sz w:val="28"/>
          <w:szCs w:val="28"/>
          <w:lang w:val="uk-UA"/>
        </w:rPr>
      </w:pPr>
    </w:p>
    <w:p w:rsidR="009347A9" w:rsidRDefault="009347A9" w:rsidP="009347A9">
      <w:pPr>
        <w:jc w:val="both"/>
        <w:rPr>
          <w:sz w:val="28"/>
          <w:szCs w:val="28"/>
          <w:lang w:val="uk-UA"/>
        </w:rPr>
      </w:pPr>
      <w:r>
        <w:rPr>
          <w:sz w:val="28"/>
          <w:szCs w:val="28"/>
          <w:lang w:val="uk-UA"/>
        </w:rPr>
        <w:t xml:space="preserve">доктор медичних наук, професор </w:t>
      </w:r>
      <w:r>
        <w:rPr>
          <w:b/>
          <w:bCs/>
          <w:sz w:val="28"/>
          <w:szCs w:val="28"/>
          <w:lang w:val="uk-UA"/>
        </w:rPr>
        <w:t>Христич Тамара Миколаївна</w:t>
      </w:r>
      <w:r>
        <w:rPr>
          <w:sz w:val="28"/>
          <w:szCs w:val="28"/>
          <w:lang w:val="uk-UA"/>
        </w:rPr>
        <w:t xml:space="preserve">, </w:t>
      </w:r>
      <w:r>
        <w:rPr>
          <w:sz w:val="28"/>
          <w:szCs w:val="28"/>
          <w:lang w:val="uk-UA"/>
        </w:rPr>
        <w:br/>
        <w:t>Буковинський державний медичний університет МОЗ України, кафедра сіме</w:t>
      </w:r>
      <w:r>
        <w:rPr>
          <w:sz w:val="28"/>
          <w:szCs w:val="28"/>
          <w:lang w:val="uk-UA"/>
        </w:rPr>
        <w:t>й</w:t>
      </w:r>
      <w:r>
        <w:rPr>
          <w:sz w:val="28"/>
          <w:szCs w:val="28"/>
          <w:lang w:val="uk-UA"/>
        </w:rPr>
        <w:t>ної медицини, професор кафедри</w:t>
      </w:r>
    </w:p>
    <w:p w:rsidR="009347A9" w:rsidRDefault="009347A9" w:rsidP="009347A9">
      <w:pPr>
        <w:widowControl w:val="0"/>
        <w:spacing w:line="360" w:lineRule="exact"/>
        <w:jc w:val="both"/>
        <w:rPr>
          <w:sz w:val="28"/>
          <w:szCs w:val="28"/>
          <w:lang w:val="uk-UA"/>
        </w:rPr>
      </w:pPr>
    </w:p>
    <w:p w:rsidR="009347A9" w:rsidRDefault="009347A9" w:rsidP="009347A9">
      <w:pPr>
        <w:widowControl w:val="0"/>
        <w:spacing w:line="360" w:lineRule="exact"/>
        <w:rPr>
          <w:sz w:val="28"/>
          <w:szCs w:val="28"/>
          <w:lang w:val="uk-UA"/>
        </w:rPr>
      </w:pPr>
    </w:p>
    <w:p w:rsidR="009347A9" w:rsidRDefault="009347A9" w:rsidP="009347A9">
      <w:pPr>
        <w:widowControl w:val="0"/>
        <w:spacing w:line="360" w:lineRule="exact"/>
        <w:rPr>
          <w:sz w:val="28"/>
          <w:szCs w:val="28"/>
          <w:lang w:val="uk-UA"/>
        </w:rPr>
      </w:pPr>
    </w:p>
    <w:p w:rsidR="009347A9" w:rsidRDefault="009347A9" w:rsidP="009347A9">
      <w:pPr>
        <w:widowControl w:val="0"/>
        <w:spacing w:line="360" w:lineRule="exact"/>
        <w:rPr>
          <w:sz w:val="28"/>
          <w:szCs w:val="28"/>
          <w:lang w:val="uk-UA"/>
        </w:rPr>
      </w:pPr>
    </w:p>
    <w:p w:rsidR="009347A9" w:rsidRDefault="009347A9" w:rsidP="009347A9">
      <w:pPr>
        <w:pStyle w:val="affffffff7"/>
        <w:widowControl w:val="0"/>
        <w:spacing w:line="360" w:lineRule="exact"/>
        <w:jc w:val="both"/>
        <w:rPr>
          <w:rFonts w:ascii="Times New Roman" w:hAnsi="Times New Roman"/>
          <w:b/>
          <w:bCs/>
          <w:szCs w:val="28"/>
        </w:rPr>
      </w:pPr>
      <w:r>
        <w:rPr>
          <w:rFonts w:ascii="Times New Roman" w:hAnsi="Times New Roman"/>
          <w:b/>
          <w:bCs/>
          <w:szCs w:val="28"/>
        </w:rPr>
        <w:t xml:space="preserve">Захист відбудеться “_____” ________________ 2008 р. о _____ год. на засіданні спеціалізованої вченої ради Д 26.003.09 при Національному </w:t>
      </w:r>
      <w:r>
        <w:rPr>
          <w:rFonts w:ascii="Times New Roman" w:hAnsi="Times New Roman"/>
          <w:b/>
          <w:bCs/>
          <w:szCs w:val="28"/>
        </w:rPr>
        <w:br/>
        <w:t xml:space="preserve">медичному університеті ім. </w:t>
      </w:r>
      <w:r>
        <w:rPr>
          <w:rFonts w:ascii="Times New Roman" w:hAnsi="Times New Roman"/>
          <w:b/>
          <w:szCs w:val="28"/>
        </w:rPr>
        <w:t>О.О. Богомольця</w:t>
      </w:r>
      <w:r>
        <w:rPr>
          <w:rFonts w:ascii="Times New Roman" w:hAnsi="Times New Roman"/>
          <w:b/>
          <w:bCs/>
          <w:szCs w:val="28"/>
        </w:rPr>
        <w:t xml:space="preserve"> </w:t>
      </w:r>
      <w:r>
        <w:rPr>
          <w:rFonts w:ascii="Times New Roman" w:hAnsi="Times New Roman"/>
          <w:b/>
          <w:szCs w:val="28"/>
        </w:rPr>
        <w:t>МОЗ України</w:t>
      </w:r>
      <w:r>
        <w:rPr>
          <w:rFonts w:ascii="Times New Roman" w:hAnsi="Times New Roman"/>
          <w:b/>
          <w:bCs/>
          <w:szCs w:val="28"/>
        </w:rPr>
        <w:t xml:space="preserve"> (01030, м. </w:t>
      </w:r>
      <w:r>
        <w:rPr>
          <w:rFonts w:ascii="Times New Roman" w:hAnsi="Times New Roman"/>
          <w:b/>
          <w:szCs w:val="28"/>
        </w:rPr>
        <w:t>Київ</w:t>
      </w:r>
      <w:r>
        <w:rPr>
          <w:rFonts w:ascii="Times New Roman" w:hAnsi="Times New Roman"/>
          <w:b/>
          <w:bCs/>
          <w:szCs w:val="28"/>
        </w:rPr>
        <w:t xml:space="preserve">, </w:t>
      </w:r>
      <w:r>
        <w:rPr>
          <w:rFonts w:ascii="Times New Roman" w:hAnsi="Times New Roman"/>
          <w:b/>
          <w:szCs w:val="28"/>
        </w:rPr>
        <w:t>б</w:t>
      </w:r>
      <w:r>
        <w:rPr>
          <w:rFonts w:ascii="Times New Roman" w:hAnsi="Times New Roman"/>
          <w:b/>
          <w:szCs w:val="28"/>
        </w:rPr>
        <w:t>у</w:t>
      </w:r>
      <w:r>
        <w:rPr>
          <w:rFonts w:ascii="Times New Roman" w:hAnsi="Times New Roman"/>
          <w:b/>
          <w:szCs w:val="28"/>
        </w:rPr>
        <w:t>львар Шевченка, 17</w:t>
      </w:r>
      <w:r>
        <w:rPr>
          <w:rFonts w:ascii="Times New Roman" w:hAnsi="Times New Roman"/>
          <w:b/>
          <w:bCs/>
          <w:szCs w:val="28"/>
        </w:rPr>
        <w:t>)</w:t>
      </w:r>
    </w:p>
    <w:p w:rsidR="009347A9" w:rsidRDefault="009347A9" w:rsidP="009347A9">
      <w:pPr>
        <w:pStyle w:val="affffffff7"/>
        <w:widowControl w:val="0"/>
        <w:spacing w:line="360" w:lineRule="exact"/>
        <w:jc w:val="both"/>
        <w:rPr>
          <w:rFonts w:ascii="Times New Roman" w:hAnsi="Times New Roman"/>
          <w:b/>
          <w:bCs/>
          <w:szCs w:val="28"/>
        </w:rPr>
      </w:pPr>
    </w:p>
    <w:p w:rsidR="009347A9" w:rsidRDefault="009347A9" w:rsidP="009347A9">
      <w:pPr>
        <w:pStyle w:val="affffffff7"/>
        <w:widowControl w:val="0"/>
        <w:spacing w:line="360" w:lineRule="exact"/>
        <w:jc w:val="both"/>
        <w:rPr>
          <w:rFonts w:ascii="Times New Roman" w:hAnsi="Times New Roman"/>
          <w:b/>
          <w:bCs/>
          <w:szCs w:val="28"/>
        </w:rPr>
      </w:pPr>
      <w:r>
        <w:rPr>
          <w:rFonts w:ascii="Times New Roman" w:hAnsi="Times New Roman"/>
          <w:b/>
          <w:bCs/>
          <w:szCs w:val="28"/>
        </w:rPr>
        <w:t xml:space="preserve">З дисертацією можна ознайомитись у бібліотеці </w:t>
      </w:r>
      <w:r>
        <w:rPr>
          <w:rFonts w:ascii="Times New Roman" w:hAnsi="Times New Roman"/>
          <w:b/>
          <w:szCs w:val="28"/>
        </w:rPr>
        <w:t>Національного медичного ун</w:t>
      </w:r>
      <w:r>
        <w:rPr>
          <w:rFonts w:ascii="Times New Roman" w:hAnsi="Times New Roman"/>
          <w:b/>
          <w:szCs w:val="28"/>
        </w:rPr>
        <w:t>і</w:t>
      </w:r>
      <w:r>
        <w:rPr>
          <w:rFonts w:ascii="Times New Roman" w:hAnsi="Times New Roman"/>
          <w:b/>
          <w:szCs w:val="28"/>
        </w:rPr>
        <w:t>верситету ім. О.О. Богомольця МОЗ України</w:t>
      </w:r>
      <w:r>
        <w:rPr>
          <w:rFonts w:ascii="Times New Roman" w:hAnsi="Times New Roman"/>
          <w:b/>
          <w:bCs/>
          <w:szCs w:val="28"/>
        </w:rPr>
        <w:t xml:space="preserve"> </w:t>
      </w:r>
      <w:r>
        <w:rPr>
          <w:rFonts w:ascii="Times New Roman" w:hAnsi="Times New Roman"/>
          <w:b/>
          <w:szCs w:val="28"/>
        </w:rPr>
        <w:t xml:space="preserve">(03057, м. Київ, вул. </w:t>
      </w:r>
      <w:r>
        <w:rPr>
          <w:rFonts w:ascii="Times New Roman" w:hAnsi="Times New Roman"/>
          <w:b/>
          <w:szCs w:val="28"/>
        </w:rPr>
        <w:lastRenderedPageBreak/>
        <w:t>Зоологічна, 1)</w:t>
      </w:r>
    </w:p>
    <w:p w:rsidR="009347A9" w:rsidRDefault="009347A9" w:rsidP="009347A9">
      <w:pPr>
        <w:pStyle w:val="affffffff7"/>
        <w:widowControl w:val="0"/>
        <w:spacing w:line="360" w:lineRule="exact"/>
        <w:jc w:val="both"/>
        <w:rPr>
          <w:rFonts w:ascii="Times New Roman" w:hAnsi="Times New Roman"/>
          <w:b/>
          <w:bCs/>
          <w:szCs w:val="28"/>
        </w:rPr>
      </w:pPr>
    </w:p>
    <w:p w:rsidR="009347A9" w:rsidRDefault="009347A9" w:rsidP="009347A9">
      <w:pPr>
        <w:pStyle w:val="affffffff7"/>
        <w:widowControl w:val="0"/>
        <w:spacing w:line="360" w:lineRule="exact"/>
        <w:jc w:val="both"/>
        <w:rPr>
          <w:rFonts w:ascii="Times New Roman" w:hAnsi="Times New Roman"/>
          <w:b/>
          <w:bCs/>
          <w:szCs w:val="28"/>
        </w:rPr>
      </w:pPr>
    </w:p>
    <w:p w:rsidR="009347A9" w:rsidRDefault="009347A9" w:rsidP="009347A9">
      <w:pPr>
        <w:pStyle w:val="affffffff7"/>
        <w:widowControl w:val="0"/>
        <w:spacing w:line="360" w:lineRule="exact"/>
        <w:jc w:val="both"/>
        <w:rPr>
          <w:rFonts w:ascii="Times New Roman" w:hAnsi="Times New Roman"/>
          <w:b/>
          <w:bCs/>
          <w:szCs w:val="28"/>
        </w:rPr>
      </w:pPr>
    </w:p>
    <w:p w:rsidR="009347A9" w:rsidRDefault="009347A9" w:rsidP="009347A9">
      <w:pPr>
        <w:pStyle w:val="affffffff7"/>
        <w:widowControl w:val="0"/>
        <w:spacing w:line="360" w:lineRule="exact"/>
        <w:jc w:val="both"/>
        <w:rPr>
          <w:rFonts w:ascii="Times New Roman" w:hAnsi="Times New Roman"/>
          <w:b/>
          <w:bCs/>
          <w:szCs w:val="28"/>
        </w:rPr>
      </w:pPr>
      <w:r>
        <w:rPr>
          <w:rFonts w:ascii="Times New Roman" w:hAnsi="Times New Roman"/>
          <w:b/>
          <w:bCs/>
          <w:szCs w:val="28"/>
        </w:rPr>
        <w:t xml:space="preserve">Автореферат розісланий “_____” ________________ 2008 р.  </w:t>
      </w:r>
    </w:p>
    <w:p w:rsidR="009347A9" w:rsidRDefault="009347A9" w:rsidP="009347A9">
      <w:pPr>
        <w:pStyle w:val="affffffff7"/>
        <w:widowControl w:val="0"/>
        <w:spacing w:line="360" w:lineRule="exact"/>
        <w:ind w:firstLine="720"/>
        <w:jc w:val="both"/>
        <w:rPr>
          <w:rFonts w:ascii="Times New Roman" w:hAnsi="Times New Roman"/>
          <w:b/>
          <w:bCs/>
          <w:szCs w:val="28"/>
        </w:rPr>
      </w:pPr>
    </w:p>
    <w:p w:rsidR="009347A9" w:rsidRDefault="009347A9" w:rsidP="009347A9">
      <w:pPr>
        <w:pStyle w:val="affffffff7"/>
        <w:widowControl w:val="0"/>
        <w:spacing w:line="360" w:lineRule="exact"/>
        <w:ind w:firstLine="720"/>
        <w:jc w:val="both"/>
        <w:rPr>
          <w:rFonts w:ascii="Times New Roman" w:hAnsi="Times New Roman"/>
          <w:b/>
          <w:bCs/>
          <w:szCs w:val="28"/>
        </w:rPr>
      </w:pPr>
    </w:p>
    <w:p w:rsidR="009347A9" w:rsidRDefault="009347A9" w:rsidP="009347A9">
      <w:pPr>
        <w:pStyle w:val="affffffff7"/>
        <w:widowControl w:val="0"/>
        <w:spacing w:line="360" w:lineRule="exact"/>
        <w:ind w:firstLine="720"/>
        <w:jc w:val="both"/>
        <w:rPr>
          <w:rFonts w:ascii="Times New Roman" w:hAnsi="Times New Roman"/>
          <w:b/>
          <w:bCs/>
          <w:szCs w:val="28"/>
        </w:rPr>
      </w:pPr>
    </w:p>
    <w:p w:rsidR="009347A9" w:rsidRDefault="009347A9" w:rsidP="009347A9">
      <w:pPr>
        <w:pStyle w:val="affffffff7"/>
        <w:widowControl w:val="0"/>
        <w:spacing w:line="360" w:lineRule="exact"/>
        <w:jc w:val="both"/>
        <w:rPr>
          <w:rFonts w:ascii="Times New Roman" w:hAnsi="Times New Roman"/>
          <w:bCs/>
          <w:szCs w:val="28"/>
        </w:rPr>
      </w:pPr>
      <w:r>
        <w:rPr>
          <w:rFonts w:ascii="Times New Roman" w:hAnsi="Times New Roman"/>
          <w:bCs/>
          <w:szCs w:val="28"/>
        </w:rPr>
        <w:t>Вчений секретар</w:t>
      </w:r>
    </w:p>
    <w:p w:rsidR="009347A9" w:rsidRDefault="009347A9" w:rsidP="009347A9">
      <w:pPr>
        <w:pStyle w:val="affffffff7"/>
        <w:widowControl w:val="0"/>
        <w:tabs>
          <w:tab w:val="left" w:pos="-3780"/>
        </w:tabs>
        <w:spacing w:line="360" w:lineRule="exact"/>
        <w:jc w:val="both"/>
        <w:rPr>
          <w:rFonts w:ascii="Times New Roman" w:hAnsi="Times New Roman"/>
          <w:bCs/>
          <w:szCs w:val="28"/>
        </w:rPr>
      </w:pPr>
      <w:r>
        <w:rPr>
          <w:rFonts w:ascii="Times New Roman" w:hAnsi="Times New Roman"/>
          <w:bCs/>
          <w:szCs w:val="28"/>
        </w:rPr>
        <w:t>спеціалізованої вченої ради,</w:t>
      </w:r>
    </w:p>
    <w:p w:rsidR="009347A9" w:rsidRDefault="009347A9" w:rsidP="009347A9">
      <w:pPr>
        <w:pStyle w:val="affffffff7"/>
        <w:widowControl w:val="0"/>
        <w:tabs>
          <w:tab w:val="left" w:pos="-3780"/>
        </w:tabs>
        <w:spacing w:line="360" w:lineRule="exact"/>
        <w:jc w:val="both"/>
        <w:rPr>
          <w:rFonts w:ascii="Times New Roman" w:hAnsi="Times New Roman"/>
          <w:bCs/>
          <w:szCs w:val="28"/>
        </w:rPr>
      </w:pPr>
      <w:r>
        <w:rPr>
          <w:rFonts w:ascii="Times New Roman" w:hAnsi="Times New Roman"/>
          <w:bCs/>
          <w:szCs w:val="28"/>
        </w:rPr>
        <w:t xml:space="preserve">кандидат медичних наук </w:t>
      </w: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Pr>
          <w:rFonts w:ascii="Times New Roman" w:hAnsi="Times New Roman"/>
          <w:bCs/>
          <w:szCs w:val="28"/>
        </w:rPr>
        <w:tab/>
        <w:t>В.В. Чернявський</w:t>
      </w:r>
    </w:p>
    <w:p w:rsidR="009347A9" w:rsidRDefault="009347A9" w:rsidP="009347A9">
      <w:pPr>
        <w:widowControl w:val="0"/>
        <w:spacing w:line="360" w:lineRule="exact"/>
        <w:rPr>
          <w:sz w:val="28"/>
          <w:szCs w:val="28"/>
          <w:lang w:val="uk-UA"/>
        </w:rPr>
      </w:pPr>
    </w:p>
    <w:p w:rsidR="009347A9" w:rsidRDefault="009347A9" w:rsidP="009347A9">
      <w:pPr>
        <w:widowControl w:val="0"/>
        <w:spacing w:line="360" w:lineRule="exact"/>
        <w:rPr>
          <w:sz w:val="28"/>
          <w:szCs w:val="28"/>
          <w:lang w:val="uk-UA"/>
        </w:rPr>
      </w:pPr>
    </w:p>
    <w:p w:rsidR="009347A9" w:rsidRDefault="009347A9" w:rsidP="009347A9">
      <w:pPr>
        <w:pStyle w:val="affffffffa"/>
        <w:widowControl w:val="0"/>
        <w:spacing w:line="360" w:lineRule="exact"/>
        <w:jc w:val="center"/>
        <w:rPr>
          <w:rFonts w:ascii="Times New Roman" w:hAnsi="Times New Roman"/>
          <w:szCs w:val="28"/>
          <w:lang w:val="uk-UA"/>
        </w:rPr>
      </w:pPr>
    </w:p>
    <w:p w:rsidR="009347A9" w:rsidRDefault="009347A9" w:rsidP="009347A9">
      <w:pPr>
        <w:pStyle w:val="affffffffa"/>
        <w:widowControl w:val="0"/>
        <w:spacing w:line="360" w:lineRule="exact"/>
        <w:jc w:val="center"/>
        <w:rPr>
          <w:rFonts w:ascii="Times New Roman" w:hAnsi="Times New Roman"/>
          <w:szCs w:val="28"/>
          <w:lang w:val="uk-UA" w:bidi="ar-LB"/>
        </w:rPr>
      </w:pPr>
      <w:r>
        <w:rPr>
          <w:rFonts w:ascii="Times New Roman" w:hAnsi="Times New Roman"/>
          <w:szCs w:val="28"/>
          <w:lang w:val="uk-UA"/>
        </w:rPr>
        <w:t>ЗАГАЛЬНА ХАРАКТЕРИСТИКА РОБОТИ</w:t>
      </w:r>
    </w:p>
    <w:p w:rsidR="009347A9" w:rsidRDefault="009347A9" w:rsidP="009347A9">
      <w:pPr>
        <w:widowControl w:val="0"/>
        <w:autoSpaceDE w:val="0"/>
        <w:autoSpaceDN w:val="0"/>
        <w:adjustRightInd w:val="0"/>
        <w:spacing w:line="360" w:lineRule="exact"/>
        <w:ind w:firstLine="709"/>
        <w:jc w:val="both"/>
        <w:rPr>
          <w:b/>
          <w:bCs/>
          <w:sz w:val="28"/>
          <w:szCs w:val="28"/>
          <w:lang w:val="uk-UA"/>
        </w:rPr>
      </w:pPr>
    </w:p>
    <w:p w:rsidR="009347A9" w:rsidRDefault="009347A9" w:rsidP="009347A9">
      <w:pPr>
        <w:widowControl w:val="0"/>
        <w:spacing w:line="360" w:lineRule="exact"/>
        <w:ind w:firstLine="709"/>
        <w:jc w:val="both"/>
        <w:rPr>
          <w:sz w:val="28"/>
          <w:szCs w:val="28"/>
          <w:lang w:val="uk-UA"/>
        </w:rPr>
      </w:pPr>
      <w:r>
        <w:rPr>
          <w:b/>
          <w:bCs/>
          <w:sz w:val="28"/>
          <w:szCs w:val="28"/>
          <w:lang w:val="uk-UA"/>
        </w:rPr>
        <w:t>Актуальність проблеми</w:t>
      </w:r>
      <w:r>
        <w:rPr>
          <w:bCs/>
          <w:sz w:val="28"/>
          <w:szCs w:val="28"/>
          <w:lang w:val="uk-UA"/>
        </w:rPr>
        <w:t>.</w:t>
      </w:r>
      <w:r>
        <w:rPr>
          <w:sz w:val="28"/>
          <w:szCs w:val="28"/>
          <w:lang w:val="uk-UA"/>
        </w:rPr>
        <w:t xml:space="preserve"> Хронічний панкреатит (ХП) за частотою вин</w:t>
      </w:r>
      <w:r>
        <w:rPr>
          <w:sz w:val="28"/>
          <w:szCs w:val="28"/>
          <w:lang w:val="uk-UA"/>
        </w:rPr>
        <w:t>и</w:t>
      </w:r>
      <w:r>
        <w:rPr>
          <w:sz w:val="28"/>
          <w:szCs w:val="28"/>
          <w:lang w:val="uk-UA"/>
        </w:rPr>
        <w:t>кнення, етіологією та патогенезом, важкістю клінічного перебігу, складнощами діагностики і незадовільними результатами лікування займає одне з провідних місць серед низки сучасних проблем захворювань органів системи травлення (</w:t>
      </w:r>
      <w:r>
        <w:rPr>
          <w:iCs/>
          <w:sz w:val="28"/>
          <w:szCs w:val="28"/>
          <w:lang w:val="uk-UA"/>
        </w:rPr>
        <w:t>Передерий В.Г., Ткач С.М., 2001; Христич Т.Н., Пишак В.П., Кендзерская Т.Б., 2006)</w:t>
      </w:r>
      <w:r>
        <w:rPr>
          <w:sz w:val="28"/>
          <w:szCs w:val="28"/>
          <w:lang w:val="uk-UA"/>
        </w:rPr>
        <w:t>.</w:t>
      </w:r>
    </w:p>
    <w:p w:rsidR="009347A9" w:rsidRDefault="009347A9" w:rsidP="009347A9">
      <w:pPr>
        <w:widowControl w:val="0"/>
        <w:spacing w:line="360" w:lineRule="exact"/>
        <w:ind w:firstLine="709"/>
        <w:jc w:val="both"/>
        <w:rPr>
          <w:sz w:val="28"/>
          <w:szCs w:val="28"/>
          <w:lang w:val="uk-UA"/>
        </w:rPr>
      </w:pPr>
      <w:r>
        <w:rPr>
          <w:sz w:val="28"/>
          <w:szCs w:val="28"/>
          <w:lang w:val="uk-UA"/>
        </w:rPr>
        <w:t>За останні 30 років у світі відмічене більш ніж двократне зростання захворюваності на ХП. Захворюваність на ХП в Росії склала 4–8 на 100 000 нас</w:t>
      </w:r>
      <w:r>
        <w:rPr>
          <w:sz w:val="28"/>
          <w:szCs w:val="28"/>
          <w:lang w:val="uk-UA"/>
        </w:rPr>
        <w:t>е</w:t>
      </w:r>
      <w:r>
        <w:rPr>
          <w:sz w:val="28"/>
          <w:szCs w:val="28"/>
          <w:lang w:val="uk-UA"/>
        </w:rPr>
        <w:t xml:space="preserve">лення в рік, а поширеність – 20–25 на 100000 чоловік. Ризик розвитку раку при ХП в 5 разів вищий, ніж в популяції (Калинин А.В., 2006; </w:t>
      </w:r>
      <w:r>
        <w:rPr>
          <w:rStyle w:val="aff5"/>
          <w:b w:val="0"/>
          <w:lang w:val="uk-UA"/>
        </w:rPr>
        <w:t>Whitcomb D.C., 2004</w:t>
      </w:r>
      <w:r>
        <w:rPr>
          <w:sz w:val="28"/>
          <w:szCs w:val="28"/>
          <w:lang w:val="uk-UA"/>
        </w:rPr>
        <w:t>).</w:t>
      </w:r>
    </w:p>
    <w:p w:rsidR="009347A9" w:rsidRDefault="009347A9" w:rsidP="009347A9">
      <w:pPr>
        <w:widowControl w:val="0"/>
        <w:autoSpaceDE w:val="0"/>
        <w:autoSpaceDN w:val="0"/>
        <w:adjustRightInd w:val="0"/>
        <w:spacing w:line="360" w:lineRule="exact"/>
        <w:ind w:firstLine="709"/>
        <w:jc w:val="both"/>
        <w:rPr>
          <w:sz w:val="28"/>
          <w:szCs w:val="28"/>
          <w:lang w:val="uk-UA"/>
        </w:rPr>
      </w:pPr>
      <w:r>
        <w:rPr>
          <w:sz w:val="28"/>
          <w:szCs w:val="28"/>
          <w:lang w:val="uk-UA"/>
        </w:rPr>
        <w:t>Значний ріст захворюваності на ХП, часті рецидиви, тимчасова непрац</w:t>
      </w:r>
      <w:r>
        <w:rPr>
          <w:sz w:val="28"/>
          <w:szCs w:val="28"/>
          <w:lang w:val="uk-UA"/>
        </w:rPr>
        <w:t>е</w:t>
      </w:r>
      <w:r>
        <w:rPr>
          <w:sz w:val="28"/>
          <w:szCs w:val="28"/>
          <w:lang w:val="uk-UA"/>
        </w:rPr>
        <w:t>здатність та інвалідизація хворих визначають соціально-еконо</w:t>
      </w:r>
      <w:r>
        <w:rPr>
          <w:sz w:val="28"/>
          <w:szCs w:val="28"/>
          <w:lang w:val="uk-UA"/>
        </w:rPr>
        <w:softHyphen/>
        <w:t>міч</w:t>
      </w:r>
      <w:r>
        <w:rPr>
          <w:sz w:val="28"/>
          <w:szCs w:val="28"/>
          <w:lang w:val="uk-UA"/>
        </w:rPr>
        <w:softHyphen/>
        <w:t xml:space="preserve">ну значимість цієї хвороби (Губергриц Н.Б., Христич Т.Н., 2000; </w:t>
      </w:r>
      <w:r>
        <w:rPr>
          <w:iCs/>
          <w:sz w:val="28"/>
          <w:szCs w:val="28"/>
          <w:lang w:val="uk-UA"/>
        </w:rPr>
        <w:t>Передерий В.Г., Ткач С.М., 2001;</w:t>
      </w:r>
      <w:r>
        <w:rPr>
          <w:sz w:val="28"/>
          <w:szCs w:val="28"/>
          <w:lang w:val="uk-UA"/>
        </w:rPr>
        <w:t xml:space="preserve"> Buchler M.W. et al., 2002; Neoptolemos J.P., Bhutani M.S., 2006). В Україні темпи росту частоти патології підшлункової залози (ПЗ) є найвищими серед показників усіх захворювань системи травлення. За останні 7 років розповс</w:t>
      </w:r>
      <w:r>
        <w:rPr>
          <w:sz w:val="28"/>
          <w:szCs w:val="28"/>
          <w:lang w:val="uk-UA"/>
        </w:rPr>
        <w:t>ю</w:t>
      </w:r>
      <w:r>
        <w:rPr>
          <w:sz w:val="28"/>
          <w:szCs w:val="28"/>
          <w:lang w:val="uk-UA"/>
        </w:rPr>
        <w:t>дженість захворювань ПЗ збільшилась на 118,6%, захворюваність — на 91,5% (</w:t>
      </w:r>
      <w:r>
        <w:rPr>
          <w:iCs/>
          <w:sz w:val="28"/>
          <w:szCs w:val="28"/>
          <w:lang w:val="uk-UA"/>
        </w:rPr>
        <w:t>Філіппов Ю.О., Скирда І.Ю., Петречук Л.М</w:t>
      </w:r>
      <w:r>
        <w:rPr>
          <w:sz w:val="28"/>
          <w:szCs w:val="28"/>
          <w:lang w:val="uk-UA"/>
        </w:rPr>
        <w:t>., 2006, 2007).</w:t>
      </w:r>
    </w:p>
    <w:p w:rsidR="009347A9" w:rsidRDefault="009347A9" w:rsidP="009347A9">
      <w:pPr>
        <w:widowControl w:val="0"/>
        <w:spacing w:line="360" w:lineRule="exact"/>
        <w:ind w:firstLine="709"/>
        <w:jc w:val="both"/>
        <w:rPr>
          <w:sz w:val="28"/>
          <w:szCs w:val="28"/>
          <w:lang w:val="uk-UA"/>
        </w:rPr>
      </w:pPr>
      <w:r>
        <w:rPr>
          <w:sz w:val="28"/>
          <w:szCs w:val="28"/>
          <w:lang w:val="uk-UA"/>
        </w:rPr>
        <w:t>Поєднання ХП з іншою патологією органів травлення (хронічними гастродуоденітами, холециститами, гепатитами, пептичною виразкою, гастроезоф</w:t>
      </w:r>
      <w:r>
        <w:rPr>
          <w:sz w:val="28"/>
          <w:szCs w:val="28"/>
          <w:lang w:val="uk-UA"/>
        </w:rPr>
        <w:t>а</w:t>
      </w:r>
      <w:r>
        <w:rPr>
          <w:sz w:val="28"/>
          <w:szCs w:val="28"/>
          <w:lang w:val="uk-UA"/>
        </w:rPr>
        <w:t>гальною рефлексною хворобою) призводить до збільшення кількості рецидивів та зме</w:t>
      </w:r>
      <w:r>
        <w:rPr>
          <w:sz w:val="28"/>
          <w:szCs w:val="28"/>
          <w:lang w:val="uk-UA"/>
        </w:rPr>
        <w:t>н</w:t>
      </w:r>
      <w:r>
        <w:rPr>
          <w:sz w:val="28"/>
          <w:szCs w:val="28"/>
          <w:lang w:val="uk-UA"/>
        </w:rPr>
        <w:t>шення ефективності його лікування (</w:t>
      </w:r>
      <w:r>
        <w:rPr>
          <w:rStyle w:val="aff5"/>
          <w:b w:val="0"/>
          <w:lang w:val="uk-UA"/>
        </w:rPr>
        <w:t>Дегтярева И.И., 2000</w:t>
      </w:r>
      <w:r>
        <w:rPr>
          <w:sz w:val="28"/>
          <w:szCs w:val="28"/>
          <w:lang w:val="uk-UA"/>
        </w:rPr>
        <w:t xml:space="preserve">; Savarino </w:t>
      </w:r>
      <w:r>
        <w:rPr>
          <w:sz w:val="28"/>
          <w:szCs w:val="28"/>
          <w:lang w:val="uk-UA"/>
        </w:rPr>
        <w:lastRenderedPageBreak/>
        <w:t>V. et al., 2000). Встановлено механізм формування вторинної зовнішньосекреторної н</w:t>
      </w:r>
      <w:r>
        <w:rPr>
          <w:sz w:val="28"/>
          <w:szCs w:val="28"/>
          <w:lang w:val="uk-UA"/>
        </w:rPr>
        <w:t>е</w:t>
      </w:r>
      <w:r>
        <w:rPr>
          <w:sz w:val="28"/>
          <w:szCs w:val="28"/>
          <w:lang w:val="uk-UA"/>
        </w:rPr>
        <w:t>достатності ПЗ в зв'язку з підвищенням шлункової секреції (Губергриц Н.Б., Крюк М.О., 2008).</w:t>
      </w:r>
    </w:p>
    <w:p w:rsidR="009347A9" w:rsidRDefault="009347A9" w:rsidP="009347A9">
      <w:pPr>
        <w:autoSpaceDE w:val="0"/>
        <w:autoSpaceDN w:val="0"/>
        <w:adjustRightInd w:val="0"/>
        <w:spacing w:line="360" w:lineRule="exact"/>
        <w:ind w:firstLine="709"/>
        <w:jc w:val="both"/>
        <w:rPr>
          <w:sz w:val="28"/>
          <w:szCs w:val="28"/>
          <w:lang w:val="uk-UA"/>
        </w:rPr>
      </w:pPr>
      <w:r>
        <w:rPr>
          <w:sz w:val="28"/>
          <w:szCs w:val="28"/>
          <w:lang w:val="uk-UA"/>
        </w:rPr>
        <w:t>Незважаючи на встановлену роль шлункової гіперхлоргідрії в патогенезі ХП, особливості кислотопродукуючої функції шлунка у хворих на ХП залиш</w:t>
      </w:r>
      <w:r>
        <w:rPr>
          <w:sz w:val="28"/>
          <w:szCs w:val="28"/>
          <w:lang w:val="uk-UA"/>
        </w:rPr>
        <w:t>а</w:t>
      </w:r>
      <w:r>
        <w:rPr>
          <w:sz w:val="28"/>
          <w:szCs w:val="28"/>
          <w:lang w:val="uk-UA"/>
        </w:rPr>
        <w:t>ються вивченими недостатньо (</w:t>
      </w:r>
      <w:r>
        <w:rPr>
          <w:iCs/>
          <w:sz w:val="28"/>
          <w:szCs w:val="28"/>
          <w:lang w:val="uk-UA"/>
        </w:rPr>
        <w:t>Шульпекова Ю.О., Ивашкин В.Т., 2004</w:t>
      </w:r>
      <w:r>
        <w:rPr>
          <w:sz w:val="28"/>
          <w:szCs w:val="28"/>
          <w:lang w:val="uk-UA"/>
        </w:rPr>
        <w:t>). Диск</w:t>
      </w:r>
      <w:r>
        <w:rPr>
          <w:sz w:val="28"/>
          <w:szCs w:val="28"/>
          <w:lang w:val="uk-UA"/>
        </w:rPr>
        <w:t>у</w:t>
      </w:r>
      <w:r>
        <w:rPr>
          <w:sz w:val="28"/>
          <w:szCs w:val="28"/>
          <w:lang w:val="uk-UA"/>
        </w:rPr>
        <w:t>сійною також є роль хелікобактерної інфекції в патогенезі ХП (Savarino V. et al., 2000). Застосовуються різні схеми антихелікобактерної терапії (Свінціцький А.С., Соловйова Г.А., Усова Т.В., 2006; Фадеенко Г.Д., 2006).</w:t>
      </w:r>
      <w:r>
        <w:rPr>
          <w:rFonts w:ascii="Arial" w:hAnsi="Arial" w:cs="Arial"/>
          <w:lang w:val="uk-UA"/>
        </w:rPr>
        <w:t xml:space="preserve"> </w:t>
      </w:r>
      <w:r>
        <w:rPr>
          <w:sz w:val="28"/>
          <w:szCs w:val="28"/>
          <w:lang w:val="uk-UA"/>
        </w:rPr>
        <w:t>На сьогодні не доведено ефективність ерадикаційної терапії H.pylori при ХП з позицій доказ</w:t>
      </w:r>
      <w:r>
        <w:rPr>
          <w:sz w:val="28"/>
          <w:szCs w:val="28"/>
          <w:lang w:val="uk-UA"/>
        </w:rPr>
        <w:t>о</w:t>
      </w:r>
      <w:r>
        <w:rPr>
          <w:sz w:val="28"/>
          <w:szCs w:val="28"/>
          <w:lang w:val="uk-UA"/>
        </w:rPr>
        <w:t>вої медицини (Ткач С.М., Николаева А.П., 2008). Одним з важливих механізмів порушення панкреатичної секреції за умови гіперхлоргідрії є зниження чутл</w:t>
      </w:r>
      <w:r>
        <w:rPr>
          <w:sz w:val="28"/>
          <w:szCs w:val="28"/>
          <w:lang w:val="uk-UA"/>
        </w:rPr>
        <w:t>и</w:t>
      </w:r>
      <w:r>
        <w:rPr>
          <w:sz w:val="28"/>
          <w:szCs w:val="28"/>
          <w:lang w:val="uk-UA"/>
        </w:rPr>
        <w:t>вості секретинпр</w:t>
      </w:r>
      <w:r>
        <w:rPr>
          <w:sz w:val="28"/>
          <w:szCs w:val="28"/>
          <w:lang w:val="uk-UA"/>
        </w:rPr>
        <w:t>о</w:t>
      </w:r>
      <w:r>
        <w:rPr>
          <w:sz w:val="28"/>
          <w:szCs w:val="28"/>
          <w:lang w:val="uk-UA"/>
        </w:rPr>
        <w:t>дукуючих клітин (Скрипник І.М., 2002).</w:t>
      </w:r>
    </w:p>
    <w:p w:rsidR="009347A9" w:rsidRDefault="009347A9" w:rsidP="009347A9">
      <w:pPr>
        <w:widowControl w:val="0"/>
        <w:autoSpaceDE w:val="0"/>
        <w:autoSpaceDN w:val="0"/>
        <w:adjustRightInd w:val="0"/>
        <w:spacing w:line="360" w:lineRule="exact"/>
        <w:ind w:firstLine="709"/>
        <w:jc w:val="both"/>
        <w:rPr>
          <w:sz w:val="28"/>
          <w:szCs w:val="28"/>
          <w:lang w:val="uk-UA"/>
        </w:rPr>
      </w:pPr>
      <w:r>
        <w:rPr>
          <w:sz w:val="28"/>
          <w:szCs w:val="28"/>
          <w:lang w:val="uk-UA"/>
        </w:rPr>
        <w:t>Одним з основних напрямків лікування хронічного панкреатиту є усуне</w:t>
      </w:r>
      <w:r>
        <w:rPr>
          <w:sz w:val="28"/>
          <w:szCs w:val="28"/>
          <w:lang w:val="uk-UA"/>
        </w:rPr>
        <w:t>н</w:t>
      </w:r>
      <w:r>
        <w:rPr>
          <w:sz w:val="28"/>
          <w:szCs w:val="28"/>
          <w:lang w:val="uk-UA"/>
        </w:rPr>
        <w:t>ня болю (</w:t>
      </w:r>
      <w:r w:rsidRPr="009347A9">
        <w:rPr>
          <w:sz w:val="28"/>
          <w:szCs w:val="28"/>
          <w:lang w:val="uk-UA"/>
        </w:rPr>
        <w:t xml:space="preserve">Иванов Ю.В., 2005; </w:t>
      </w:r>
      <w:r>
        <w:rPr>
          <w:bCs/>
          <w:iCs/>
          <w:sz w:val="28"/>
          <w:szCs w:val="28"/>
          <w:lang w:val="uk-UA"/>
        </w:rPr>
        <w:t>Степанов Ю.М., Косинська С.В., 2007)</w:t>
      </w:r>
      <w:r>
        <w:rPr>
          <w:sz w:val="28"/>
          <w:szCs w:val="28"/>
          <w:lang w:val="uk-UA"/>
        </w:rPr>
        <w:t>. Це відб</w:t>
      </w:r>
      <w:r>
        <w:rPr>
          <w:sz w:val="28"/>
          <w:szCs w:val="28"/>
          <w:lang w:val="uk-UA"/>
        </w:rPr>
        <w:t>у</w:t>
      </w:r>
      <w:r>
        <w:rPr>
          <w:sz w:val="28"/>
          <w:szCs w:val="28"/>
          <w:lang w:val="uk-UA"/>
        </w:rPr>
        <w:t xml:space="preserve">вається через різні механізми, один із них </w:t>
      </w:r>
      <w:r>
        <w:rPr>
          <w:sz w:val="28"/>
          <w:szCs w:val="28"/>
          <w:lang w:val="uk-UA"/>
        </w:rPr>
        <w:noBreakHyphen/>
        <w:t xml:space="preserve"> пригнічення кислотоутворюючої функції шлунку, виключення секретинової стимуляції зовнішньосекреторної функції ПЗ і надання їй таким чином «функціонального спокою». Такий підхід сприяє зменшенню аутолізу паренхіми органу та важкості ферментної інтокс</w:t>
      </w:r>
      <w:r>
        <w:rPr>
          <w:sz w:val="28"/>
          <w:szCs w:val="28"/>
          <w:lang w:val="uk-UA"/>
        </w:rPr>
        <w:t>и</w:t>
      </w:r>
      <w:r>
        <w:rPr>
          <w:sz w:val="28"/>
          <w:szCs w:val="28"/>
          <w:lang w:val="uk-UA"/>
        </w:rPr>
        <w:t>кації, пригніченню гіперферментемії, зниженню ризику виникнення си</w:t>
      </w:r>
      <w:r>
        <w:rPr>
          <w:sz w:val="28"/>
          <w:szCs w:val="28"/>
          <w:lang w:val="uk-UA"/>
        </w:rPr>
        <w:t>с</w:t>
      </w:r>
      <w:r>
        <w:rPr>
          <w:sz w:val="28"/>
          <w:szCs w:val="28"/>
          <w:lang w:val="uk-UA"/>
        </w:rPr>
        <w:t>темних ускладнень панкреатиту, створенню сприятливих умов для регенерації тканини ПЗ. Застосування інгібіторів протонної помпи (ІПП) зменшує екзокринну фу</w:t>
      </w:r>
      <w:r>
        <w:rPr>
          <w:sz w:val="28"/>
          <w:szCs w:val="28"/>
          <w:lang w:val="uk-UA"/>
        </w:rPr>
        <w:t>н</w:t>
      </w:r>
      <w:r>
        <w:rPr>
          <w:sz w:val="28"/>
          <w:szCs w:val="28"/>
          <w:lang w:val="uk-UA"/>
        </w:rPr>
        <w:t>кцію ПЗ, продукцію панкреатичних ферментів шляхом гальмування секреції шлунка. На сьогодні продовжує залишатися дискусійним питання «нічного прориву» кислотності та нічних коливань при застосуванні ІПП (Бабак О.Я., 2007). На порядку денному - медикаментозне зниження к</w:t>
      </w:r>
      <w:r>
        <w:rPr>
          <w:iCs/>
          <w:sz w:val="28"/>
          <w:szCs w:val="28"/>
          <w:lang w:val="uk-UA"/>
        </w:rPr>
        <w:t>ислотності з п</w:t>
      </w:r>
      <w:r>
        <w:rPr>
          <w:iCs/>
          <w:sz w:val="28"/>
          <w:szCs w:val="28"/>
          <w:lang w:val="uk-UA"/>
        </w:rPr>
        <w:t>о</w:t>
      </w:r>
      <w:r>
        <w:rPr>
          <w:iCs/>
          <w:sz w:val="28"/>
          <w:szCs w:val="28"/>
          <w:lang w:val="uk-UA"/>
        </w:rPr>
        <w:t>зицій доказової медицини (Передерий В.Г., Чернявский В.В., 2008).</w:t>
      </w:r>
    </w:p>
    <w:p w:rsidR="009347A9" w:rsidRDefault="009347A9" w:rsidP="009347A9">
      <w:pPr>
        <w:widowControl w:val="0"/>
        <w:spacing w:line="360" w:lineRule="exact"/>
        <w:ind w:firstLine="709"/>
        <w:jc w:val="both"/>
        <w:rPr>
          <w:sz w:val="28"/>
          <w:szCs w:val="28"/>
          <w:lang w:val="uk-UA"/>
        </w:rPr>
      </w:pPr>
      <w:r>
        <w:rPr>
          <w:sz w:val="28"/>
          <w:szCs w:val="28"/>
          <w:lang w:val="uk-UA"/>
        </w:rPr>
        <w:t>Проте препарати, що діють на шлункову кислотність – ІПП та Н</w:t>
      </w:r>
      <w:r>
        <w:rPr>
          <w:sz w:val="28"/>
          <w:szCs w:val="28"/>
          <w:vertAlign w:val="subscript"/>
          <w:lang w:val="uk-UA"/>
        </w:rPr>
        <w:t>2</w:t>
      </w:r>
      <w:r>
        <w:rPr>
          <w:sz w:val="28"/>
          <w:szCs w:val="28"/>
          <w:lang w:val="uk-UA"/>
        </w:rPr>
        <w:t>-блокатори гістаміну, нерідко призначаються без попереднього вимірювання кислотності. Якщо питання дозування цих препаратів при терапії пептичної вир</w:t>
      </w:r>
      <w:r>
        <w:rPr>
          <w:sz w:val="28"/>
          <w:szCs w:val="28"/>
          <w:lang w:val="uk-UA"/>
        </w:rPr>
        <w:t>а</w:t>
      </w:r>
      <w:r>
        <w:rPr>
          <w:sz w:val="28"/>
          <w:szCs w:val="28"/>
          <w:lang w:val="uk-UA"/>
        </w:rPr>
        <w:t>зки вирішене, то при ХП залишається відкритим. Невідомо, чи залежить доза ІПП від вихідного рівня ацидності шлунка.</w:t>
      </w:r>
    </w:p>
    <w:p w:rsidR="009347A9" w:rsidRDefault="009347A9" w:rsidP="009347A9">
      <w:pPr>
        <w:widowControl w:val="0"/>
        <w:spacing w:line="360" w:lineRule="exact"/>
        <w:ind w:firstLine="709"/>
        <w:jc w:val="both"/>
        <w:rPr>
          <w:sz w:val="28"/>
          <w:szCs w:val="28"/>
          <w:lang w:val="uk-UA"/>
        </w:rPr>
      </w:pPr>
      <w:r>
        <w:rPr>
          <w:sz w:val="28"/>
          <w:szCs w:val="28"/>
          <w:lang w:val="uk-UA"/>
        </w:rPr>
        <w:t>Наявні літературні дані про функціональний стан ПЗ та органи гастрод</w:t>
      </w:r>
      <w:r>
        <w:rPr>
          <w:sz w:val="28"/>
          <w:szCs w:val="28"/>
          <w:lang w:val="uk-UA"/>
        </w:rPr>
        <w:t>у</w:t>
      </w:r>
      <w:r>
        <w:rPr>
          <w:sz w:val="28"/>
          <w:szCs w:val="28"/>
          <w:lang w:val="uk-UA"/>
        </w:rPr>
        <w:t>оденальної зони при ХП з синдромом шлункової гіперацидності недостатні для розробки методів профілактики, індивідуалізованого підходу до комплексного лікування, крім того, ці відомості іноді суперечливі. Це свідчить про необхі</w:t>
      </w:r>
      <w:r>
        <w:rPr>
          <w:sz w:val="28"/>
          <w:szCs w:val="28"/>
          <w:lang w:val="uk-UA"/>
        </w:rPr>
        <w:t>д</w:t>
      </w:r>
      <w:r>
        <w:rPr>
          <w:sz w:val="28"/>
          <w:szCs w:val="28"/>
          <w:lang w:val="uk-UA"/>
        </w:rPr>
        <w:t xml:space="preserve">ність більш детального вивчення даної проблеми. </w:t>
      </w:r>
      <w:r>
        <w:rPr>
          <w:rFonts w:eastAsia="MS Mincho"/>
          <w:sz w:val="28"/>
          <w:szCs w:val="28"/>
          <w:lang w:val="uk-UA"/>
        </w:rPr>
        <w:t xml:space="preserve">У доступній нам літературі не виявлено даних про лікування хворих на ХП у поліклініці </w:t>
      </w:r>
      <w:r>
        <w:rPr>
          <w:sz w:val="28"/>
          <w:szCs w:val="28"/>
          <w:lang w:val="uk-UA"/>
        </w:rPr>
        <w:t>в залежності від рі</w:t>
      </w:r>
      <w:r>
        <w:rPr>
          <w:sz w:val="28"/>
          <w:szCs w:val="28"/>
          <w:lang w:val="uk-UA"/>
        </w:rPr>
        <w:t>в</w:t>
      </w:r>
      <w:r>
        <w:rPr>
          <w:sz w:val="28"/>
          <w:szCs w:val="28"/>
          <w:lang w:val="uk-UA"/>
        </w:rPr>
        <w:t>ня кислотопродукції в шлунку</w:t>
      </w:r>
      <w:r>
        <w:rPr>
          <w:rFonts w:eastAsia="MS Mincho"/>
          <w:sz w:val="28"/>
          <w:szCs w:val="28"/>
          <w:lang w:val="uk-UA"/>
        </w:rPr>
        <w:t>, що представляється істотним.</w:t>
      </w:r>
    </w:p>
    <w:p w:rsidR="009347A9" w:rsidRDefault="009347A9" w:rsidP="009347A9">
      <w:pPr>
        <w:widowControl w:val="0"/>
        <w:autoSpaceDE w:val="0"/>
        <w:autoSpaceDN w:val="0"/>
        <w:adjustRightInd w:val="0"/>
        <w:spacing w:line="360" w:lineRule="exact"/>
        <w:ind w:firstLine="709"/>
        <w:jc w:val="both"/>
        <w:rPr>
          <w:sz w:val="28"/>
          <w:szCs w:val="28"/>
          <w:lang w:val="uk-UA"/>
        </w:rPr>
      </w:pPr>
      <w:r>
        <w:rPr>
          <w:b/>
          <w:sz w:val="28"/>
          <w:szCs w:val="28"/>
          <w:lang w:val="uk-UA"/>
        </w:rPr>
        <w:t>Зв’язок роботи з науковими програмами, планами, темами.</w:t>
      </w:r>
      <w:r>
        <w:rPr>
          <w:b/>
          <w:caps/>
          <w:sz w:val="28"/>
          <w:szCs w:val="28"/>
          <w:lang w:val="uk-UA"/>
        </w:rPr>
        <w:t xml:space="preserve"> </w:t>
      </w:r>
      <w:r>
        <w:rPr>
          <w:sz w:val="28"/>
          <w:szCs w:val="28"/>
          <w:lang w:val="uk-UA"/>
        </w:rPr>
        <w:t xml:space="preserve">Тема </w:t>
      </w:r>
      <w:r>
        <w:rPr>
          <w:sz w:val="28"/>
          <w:szCs w:val="28"/>
          <w:lang w:val="uk-UA"/>
        </w:rPr>
        <w:lastRenderedPageBreak/>
        <w:t>дисертації обговорена та затверджена на засіданні вченої ради медичного факул</w:t>
      </w:r>
      <w:r>
        <w:rPr>
          <w:sz w:val="28"/>
          <w:szCs w:val="28"/>
          <w:lang w:val="uk-UA"/>
        </w:rPr>
        <w:t>ь</w:t>
      </w:r>
      <w:r>
        <w:rPr>
          <w:sz w:val="28"/>
          <w:szCs w:val="28"/>
          <w:lang w:val="uk-UA"/>
        </w:rPr>
        <w:t>тету Вінницького державного медичного університету ім. М.І.Пирогова МОЗ України (протокол №3 від 23.01.2003 року), на засіданні проблемної комісії МОЗ та АМН України "Гастроентерологія" (протокол № 8 від 8 вересня 2005). Дисертація є фрагментом планової наукової роботи кафедри поліклінічної т</w:t>
      </w:r>
      <w:r>
        <w:rPr>
          <w:sz w:val="28"/>
          <w:szCs w:val="28"/>
          <w:lang w:val="uk-UA"/>
        </w:rPr>
        <w:t>е</w:t>
      </w:r>
      <w:r>
        <w:rPr>
          <w:sz w:val="28"/>
          <w:szCs w:val="28"/>
          <w:lang w:val="uk-UA"/>
        </w:rPr>
        <w:t>рапії та сімейної медицини Вінницького національного медичного університету ім. М.І.Пирогова "Вибір сучасних фармакопрепаратів та контроль ефективності лікування амбулаторних хворих на кислотозалежні захворювання органів травлення на основі комп’ютерної езофагогастродуоденальної рН-метрії" (№ де</w:t>
      </w:r>
      <w:r>
        <w:rPr>
          <w:sz w:val="28"/>
          <w:szCs w:val="28"/>
          <w:lang w:val="uk-UA"/>
        </w:rPr>
        <w:t>р</w:t>
      </w:r>
      <w:r>
        <w:rPr>
          <w:sz w:val="28"/>
          <w:szCs w:val="28"/>
          <w:lang w:val="uk-UA"/>
        </w:rPr>
        <w:t>жавної реєстрації: 0102U003335)</w:t>
      </w:r>
      <w:r>
        <w:rPr>
          <w:bCs/>
          <w:sz w:val="28"/>
          <w:szCs w:val="28"/>
          <w:lang w:val="uk-UA"/>
        </w:rPr>
        <w:t>.</w:t>
      </w:r>
    </w:p>
    <w:p w:rsidR="009347A9" w:rsidRDefault="009347A9" w:rsidP="009347A9">
      <w:pPr>
        <w:widowControl w:val="0"/>
        <w:tabs>
          <w:tab w:val="left" w:pos="567"/>
        </w:tabs>
        <w:spacing w:line="360" w:lineRule="exact"/>
        <w:ind w:firstLine="720"/>
        <w:jc w:val="both"/>
        <w:rPr>
          <w:sz w:val="28"/>
          <w:szCs w:val="28"/>
          <w:lang w:val="uk-UA"/>
        </w:rPr>
      </w:pPr>
      <w:r>
        <w:rPr>
          <w:b/>
          <w:sz w:val="28"/>
          <w:szCs w:val="28"/>
          <w:lang w:val="uk-UA"/>
        </w:rPr>
        <w:t xml:space="preserve">Мета дослідження. </w:t>
      </w:r>
      <w:r>
        <w:rPr>
          <w:sz w:val="28"/>
          <w:szCs w:val="28"/>
          <w:lang w:val="uk-UA"/>
        </w:rPr>
        <w:t>Визначити особливості діагностики та раціонального амбулаторного лікування хворих на хронічний панкреатит в залежності від рі</w:t>
      </w:r>
      <w:r>
        <w:rPr>
          <w:sz w:val="28"/>
          <w:szCs w:val="28"/>
          <w:lang w:val="uk-UA"/>
        </w:rPr>
        <w:t>в</w:t>
      </w:r>
      <w:r>
        <w:rPr>
          <w:sz w:val="28"/>
          <w:szCs w:val="28"/>
          <w:lang w:val="uk-UA"/>
        </w:rPr>
        <w:t>ня кислотопродукції в шлунку.</w:t>
      </w:r>
    </w:p>
    <w:p w:rsidR="009347A9" w:rsidRDefault="009347A9" w:rsidP="009347A9">
      <w:pPr>
        <w:widowControl w:val="0"/>
        <w:spacing w:line="360" w:lineRule="exact"/>
        <w:ind w:firstLine="720"/>
        <w:jc w:val="both"/>
        <w:rPr>
          <w:b/>
          <w:caps/>
          <w:sz w:val="28"/>
          <w:szCs w:val="28"/>
          <w:lang w:val="uk-UA"/>
        </w:rPr>
      </w:pPr>
      <w:r>
        <w:rPr>
          <w:bCs/>
          <w:sz w:val="28"/>
          <w:szCs w:val="28"/>
          <w:lang w:val="uk-UA"/>
        </w:rPr>
        <w:t xml:space="preserve">Відповідно до поставленої мети сформульовані основні </w:t>
      </w:r>
      <w:r>
        <w:rPr>
          <w:b/>
          <w:sz w:val="28"/>
          <w:szCs w:val="28"/>
          <w:lang w:val="uk-UA"/>
        </w:rPr>
        <w:t>задачі досл</w:t>
      </w:r>
      <w:r>
        <w:rPr>
          <w:b/>
          <w:sz w:val="28"/>
          <w:szCs w:val="28"/>
          <w:lang w:val="uk-UA"/>
        </w:rPr>
        <w:t>і</w:t>
      </w:r>
      <w:r>
        <w:rPr>
          <w:b/>
          <w:sz w:val="28"/>
          <w:szCs w:val="28"/>
          <w:lang w:val="uk-UA"/>
        </w:rPr>
        <w:t>дження</w:t>
      </w:r>
      <w:r>
        <w:rPr>
          <w:b/>
          <w:caps/>
          <w:sz w:val="28"/>
          <w:szCs w:val="28"/>
          <w:lang w:val="uk-UA"/>
        </w:rPr>
        <w:t>:</w:t>
      </w:r>
    </w:p>
    <w:p w:rsidR="009347A9" w:rsidRDefault="009347A9" w:rsidP="00671A60">
      <w:pPr>
        <w:widowControl w:val="0"/>
        <w:numPr>
          <w:ilvl w:val="0"/>
          <w:numId w:val="61"/>
        </w:numPr>
        <w:suppressAutoHyphens w:val="0"/>
        <w:spacing w:line="360" w:lineRule="exact"/>
        <w:ind w:left="0" w:firstLine="720"/>
        <w:jc w:val="both"/>
        <w:rPr>
          <w:sz w:val="28"/>
          <w:szCs w:val="28"/>
          <w:lang w:val="uk-UA"/>
        </w:rPr>
      </w:pPr>
      <w:r>
        <w:rPr>
          <w:sz w:val="28"/>
          <w:szCs w:val="28"/>
          <w:lang w:val="uk-UA"/>
        </w:rPr>
        <w:t>Проаналізувати особливості клініки та функціонального стану ПЗ у хворих на ХП з синдромом шлункової гіперацидності.</w:t>
      </w:r>
    </w:p>
    <w:p w:rsidR="009347A9" w:rsidRDefault="009347A9" w:rsidP="00671A60">
      <w:pPr>
        <w:widowControl w:val="0"/>
        <w:numPr>
          <w:ilvl w:val="0"/>
          <w:numId w:val="61"/>
        </w:numPr>
        <w:suppressAutoHyphens w:val="0"/>
        <w:spacing w:line="360" w:lineRule="exact"/>
        <w:ind w:left="0" w:firstLine="720"/>
        <w:jc w:val="both"/>
        <w:rPr>
          <w:sz w:val="28"/>
          <w:szCs w:val="28"/>
          <w:lang w:val="uk-UA"/>
        </w:rPr>
      </w:pPr>
      <w:r>
        <w:rPr>
          <w:sz w:val="28"/>
          <w:szCs w:val="28"/>
          <w:lang w:val="uk-UA"/>
        </w:rPr>
        <w:t>Дослідити внутрішньошлунковий рН в денний, нічний час та пос</w:t>
      </w:r>
      <w:r>
        <w:rPr>
          <w:sz w:val="28"/>
          <w:szCs w:val="28"/>
          <w:lang w:val="uk-UA"/>
        </w:rPr>
        <w:t>т</w:t>
      </w:r>
      <w:r>
        <w:rPr>
          <w:sz w:val="28"/>
          <w:szCs w:val="28"/>
          <w:lang w:val="uk-UA"/>
        </w:rPr>
        <w:t>прандіальний період у хворих на ХП з синдромом шлункової гіперацидності.</w:t>
      </w:r>
    </w:p>
    <w:p w:rsidR="009347A9" w:rsidRDefault="009347A9" w:rsidP="00671A60">
      <w:pPr>
        <w:widowControl w:val="0"/>
        <w:numPr>
          <w:ilvl w:val="0"/>
          <w:numId w:val="61"/>
        </w:numPr>
        <w:suppressAutoHyphens w:val="0"/>
        <w:spacing w:line="360" w:lineRule="exact"/>
        <w:ind w:left="0" w:firstLine="720"/>
        <w:jc w:val="both"/>
        <w:rPr>
          <w:sz w:val="28"/>
          <w:szCs w:val="28"/>
          <w:lang w:val="uk-UA"/>
        </w:rPr>
      </w:pPr>
      <w:r>
        <w:rPr>
          <w:bCs/>
          <w:sz w:val="28"/>
          <w:szCs w:val="28"/>
          <w:lang w:val="uk-UA"/>
        </w:rPr>
        <w:t>Вивчити H.pylori-статус у хворих на ХП.</w:t>
      </w:r>
    </w:p>
    <w:p w:rsidR="009347A9" w:rsidRDefault="009347A9" w:rsidP="00671A60">
      <w:pPr>
        <w:widowControl w:val="0"/>
        <w:numPr>
          <w:ilvl w:val="0"/>
          <w:numId w:val="61"/>
        </w:numPr>
        <w:suppressAutoHyphens w:val="0"/>
        <w:spacing w:line="360" w:lineRule="exact"/>
        <w:ind w:left="0" w:firstLine="720"/>
        <w:jc w:val="both"/>
        <w:rPr>
          <w:sz w:val="28"/>
          <w:szCs w:val="28"/>
          <w:lang w:val="uk-UA"/>
        </w:rPr>
      </w:pPr>
      <w:r>
        <w:rPr>
          <w:bCs/>
          <w:sz w:val="28"/>
          <w:szCs w:val="28"/>
          <w:lang w:val="uk-UA"/>
        </w:rPr>
        <w:t>Вивчити зв’язок зовнішньосекреторної функції ПЗ з кислотопрод</w:t>
      </w:r>
      <w:r>
        <w:rPr>
          <w:bCs/>
          <w:sz w:val="28"/>
          <w:szCs w:val="28"/>
          <w:lang w:val="uk-UA"/>
        </w:rPr>
        <w:t>у</w:t>
      </w:r>
      <w:r>
        <w:rPr>
          <w:bCs/>
          <w:sz w:val="28"/>
          <w:szCs w:val="28"/>
          <w:lang w:val="uk-UA"/>
        </w:rPr>
        <w:t xml:space="preserve">куючою функцією шлунка у хворих на ХП. </w:t>
      </w:r>
    </w:p>
    <w:p w:rsidR="009347A9" w:rsidRDefault="009347A9" w:rsidP="00671A60">
      <w:pPr>
        <w:widowControl w:val="0"/>
        <w:numPr>
          <w:ilvl w:val="0"/>
          <w:numId w:val="61"/>
        </w:numPr>
        <w:suppressAutoHyphens w:val="0"/>
        <w:spacing w:line="360" w:lineRule="exact"/>
        <w:ind w:left="0" w:firstLine="720"/>
        <w:jc w:val="both"/>
        <w:rPr>
          <w:sz w:val="28"/>
          <w:szCs w:val="28"/>
          <w:lang w:val="uk-UA"/>
        </w:rPr>
      </w:pPr>
      <w:r>
        <w:rPr>
          <w:sz w:val="28"/>
          <w:szCs w:val="28"/>
          <w:lang w:val="uk-UA"/>
        </w:rPr>
        <w:t>Встановити характер ультраструктурних змін ПЗ при ХП з синдр</w:t>
      </w:r>
      <w:r>
        <w:rPr>
          <w:sz w:val="28"/>
          <w:szCs w:val="28"/>
          <w:lang w:val="uk-UA"/>
        </w:rPr>
        <w:t>о</w:t>
      </w:r>
      <w:r>
        <w:rPr>
          <w:sz w:val="28"/>
          <w:szCs w:val="28"/>
          <w:lang w:val="uk-UA"/>
        </w:rPr>
        <w:t>мом шлункової гіперацидності.</w:t>
      </w:r>
    </w:p>
    <w:p w:rsidR="009347A9" w:rsidRDefault="009347A9" w:rsidP="00671A60">
      <w:pPr>
        <w:widowControl w:val="0"/>
        <w:numPr>
          <w:ilvl w:val="0"/>
          <w:numId w:val="61"/>
        </w:numPr>
        <w:suppressAutoHyphens w:val="0"/>
        <w:spacing w:line="360" w:lineRule="exact"/>
        <w:ind w:left="0" w:firstLine="720"/>
        <w:jc w:val="both"/>
        <w:rPr>
          <w:sz w:val="28"/>
          <w:szCs w:val="28"/>
          <w:lang w:val="uk-UA"/>
        </w:rPr>
      </w:pPr>
      <w:r>
        <w:rPr>
          <w:bCs/>
          <w:sz w:val="28"/>
          <w:szCs w:val="28"/>
          <w:lang w:val="uk-UA"/>
        </w:rPr>
        <w:t>Визначити ефективність ІПП та Н</w:t>
      </w:r>
      <w:r>
        <w:rPr>
          <w:bCs/>
          <w:sz w:val="28"/>
          <w:szCs w:val="28"/>
          <w:vertAlign w:val="subscript"/>
          <w:lang w:val="uk-UA"/>
        </w:rPr>
        <w:t>2</w:t>
      </w:r>
      <w:r>
        <w:rPr>
          <w:bCs/>
          <w:sz w:val="28"/>
          <w:szCs w:val="28"/>
          <w:lang w:val="uk-UA"/>
        </w:rPr>
        <w:t>-гістаміноблокаторів в комплек</w:t>
      </w:r>
      <w:r>
        <w:rPr>
          <w:bCs/>
          <w:sz w:val="28"/>
          <w:szCs w:val="28"/>
          <w:lang w:val="uk-UA"/>
        </w:rPr>
        <w:t>с</w:t>
      </w:r>
      <w:r>
        <w:rPr>
          <w:bCs/>
          <w:sz w:val="28"/>
          <w:szCs w:val="28"/>
          <w:lang w:val="uk-UA"/>
        </w:rPr>
        <w:t>ній терапії загострення у хворих на ХП з різним рівнем внутрішньошлункової ацидності та обґрунтувати їх диференційоване призначення</w:t>
      </w:r>
      <w:r>
        <w:rPr>
          <w:sz w:val="28"/>
          <w:szCs w:val="28"/>
          <w:lang w:val="uk-UA"/>
        </w:rPr>
        <w:t>.</w:t>
      </w:r>
    </w:p>
    <w:p w:rsidR="009347A9" w:rsidRDefault="009347A9" w:rsidP="009347A9">
      <w:pPr>
        <w:widowControl w:val="0"/>
        <w:spacing w:line="360" w:lineRule="exact"/>
        <w:ind w:firstLine="709"/>
        <w:jc w:val="both"/>
        <w:rPr>
          <w:sz w:val="28"/>
          <w:szCs w:val="28"/>
          <w:lang w:val="uk-UA"/>
        </w:rPr>
      </w:pPr>
      <w:r>
        <w:rPr>
          <w:i/>
          <w:sz w:val="28"/>
          <w:szCs w:val="28"/>
          <w:lang w:val="uk-UA"/>
        </w:rPr>
        <w:t>Об’єкт дослідження</w:t>
      </w:r>
      <w:r>
        <w:rPr>
          <w:sz w:val="28"/>
          <w:szCs w:val="28"/>
          <w:lang w:val="uk-UA"/>
        </w:rPr>
        <w:t xml:space="preserve"> – діагностика та лікування хворих на хронічний панкреатит в залежності від рівня кислотопродукції в шлунку.</w:t>
      </w:r>
    </w:p>
    <w:p w:rsidR="009347A9" w:rsidRDefault="009347A9" w:rsidP="009347A9">
      <w:pPr>
        <w:widowControl w:val="0"/>
        <w:spacing w:line="360" w:lineRule="exact"/>
        <w:ind w:firstLine="709"/>
        <w:jc w:val="both"/>
        <w:rPr>
          <w:sz w:val="28"/>
          <w:szCs w:val="28"/>
          <w:lang w:val="uk-UA"/>
        </w:rPr>
      </w:pPr>
      <w:r>
        <w:rPr>
          <w:i/>
          <w:sz w:val="28"/>
          <w:szCs w:val="28"/>
          <w:lang w:val="uk-UA"/>
        </w:rPr>
        <w:t>Предмет дослідження</w:t>
      </w:r>
      <w:r>
        <w:rPr>
          <w:sz w:val="28"/>
          <w:szCs w:val="28"/>
          <w:lang w:val="uk-UA"/>
        </w:rPr>
        <w:t xml:space="preserve"> – клінічні прояви ХП з синдромом шлункової гіперацидності, кислотоутворююча функція шлунка, зовнішньосекреторна фун</w:t>
      </w:r>
      <w:r>
        <w:rPr>
          <w:sz w:val="28"/>
          <w:szCs w:val="28"/>
          <w:lang w:val="uk-UA"/>
        </w:rPr>
        <w:t>к</w:t>
      </w:r>
      <w:r>
        <w:rPr>
          <w:sz w:val="28"/>
          <w:szCs w:val="28"/>
          <w:lang w:val="uk-UA"/>
        </w:rPr>
        <w:t xml:space="preserve">ція ПЗ, морфологічні зміни ПЗ, ступінь заселеності H.pylori слизової оболонки шлунка, критерії ефективності лікування. </w:t>
      </w:r>
    </w:p>
    <w:p w:rsidR="009347A9" w:rsidRDefault="009347A9" w:rsidP="009347A9">
      <w:pPr>
        <w:widowControl w:val="0"/>
        <w:spacing w:line="360" w:lineRule="exact"/>
        <w:ind w:firstLine="709"/>
        <w:jc w:val="both"/>
        <w:rPr>
          <w:sz w:val="28"/>
          <w:szCs w:val="28"/>
          <w:lang w:val="uk-UA"/>
        </w:rPr>
      </w:pPr>
      <w:r>
        <w:rPr>
          <w:i/>
          <w:sz w:val="28"/>
          <w:szCs w:val="28"/>
          <w:lang w:val="uk-UA"/>
        </w:rPr>
        <w:t>Методи дослідження</w:t>
      </w:r>
      <w:r>
        <w:rPr>
          <w:sz w:val="28"/>
          <w:szCs w:val="28"/>
          <w:lang w:val="uk-UA"/>
        </w:rPr>
        <w:t xml:space="preserve"> –- загально-клінічні та загальнолабораторні (анал</w:t>
      </w:r>
      <w:r>
        <w:rPr>
          <w:sz w:val="28"/>
          <w:szCs w:val="28"/>
          <w:lang w:val="uk-UA"/>
        </w:rPr>
        <w:t>і</w:t>
      </w:r>
      <w:r>
        <w:rPr>
          <w:sz w:val="28"/>
          <w:szCs w:val="28"/>
          <w:lang w:val="uk-UA"/>
        </w:rPr>
        <w:t>зи крові, сечі, калу) – для діагностики та диференціальної діагностики ХП; C13-амі</w:t>
      </w:r>
      <w:r>
        <w:rPr>
          <w:sz w:val="28"/>
          <w:szCs w:val="28"/>
          <w:lang w:val="uk-UA"/>
        </w:rPr>
        <w:softHyphen/>
        <w:t>лаз</w:t>
      </w:r>
      <w:r>
        <w:rPr>
          <w:sz w:val="28"/>
          <w:szCs w:val="28"/>
          <w:lang w:val="uk-UA"/>
        </w:rPr>
        <w:softHyphen/>
        <w:t>ний тест, визначення альфа-амілази крові, кількісний копрологічний тест визначення панкреатичної еластази-1 людини – для оцінки екзокринної функції ПЗ; внутрішньошлункова експрес-рН-метрія, багатогодинний моніторинг вну</w:t>
      </w:r>
      <w:r>
        <w:rPr>
          <w:sz w:val="28"/>
          <w:szCs w:val="28"/>
          <w:lang w:val="uk-UA"/>
        </w:rPr>
        <w:t>т</w:t>
      </w:r>
      <w:r>
        <w:rPr>
          <w:sz w:val="28"/>
          <w:szCs w:val="28"/>
          <w:lang w:val="uk-UA"/>
        </w:rPr>
        <w:t>рішньошлункового рН з фармакопробою, добовий моніторинг внутрішньошл</w:t>
      </w:r>
      <w:r>
        <w:rPr>
          <w:sz w:val="28"/>
          <w:szCs w:val="28"/>
          <w:lang w:val="uk-UA"/>
        </w:rPr>
        <w:t>у</w:t>
      </w:r>
      <w:r>
        <w:rPr>
          <w:sz w:val="28"/>
          <w:szCs w:val="28"/>
          <w:lang w:val="uk-UA"/>
        </w:rPr>
        <w:t xml:space="preserve">нкового рН – для аналізу кислотоутворюючої функції шлунка; </w:t>
      </w:r>
      <w:r>
        <w:rPr>
          <w:sz w:val="28"/>
          <w:szCs w:val="28"/>
          <w:lang w:val="uk-UA"/>
        </w:rPr>
        <w:lastRenderedPageBreak/>
        <w:t>езофагогастро</w:t>
      </w:r>
      <w:r>
        <w:rPr>
          <w:sz w:val="28"/>
          <w:szCs w:val="28"/>
          <w:lang w:val="uk-UA"/>
        </w:rPr>
        <w:softHyphen/>
        <w:t xml:space="preserve">дуоденофіброскопія з біопсією – для встановлення </w:t>
      </w:r>
      <w:r>
        <w:rPr>
          <w:bCs/>
          <w:sz w:val="28"/>
          <w:szCs w:val="28"/>
          <w:lang w:val="uk-UA"/>
        </w:rPr>
        <w:t>макро- та мікроскопічних змін слизової оболонки шлунка при ХП та його лікуванні</w:t>
      </w:r>
      <w:r>
        <w:rPr>
          <w:sz w:val="28"/>
          <w:szCs w:val="28"/>
          <w:lang w:val="uk-UA"/>
        </w:rPr>
        <w:t>; інструментальні (с</w:t>
      </w:r>
      <w:r>
        <w:rPr>
          <w:sz w:val="28"/>
          <w:szCs w:val="28"/>
          <w:lang w:val="uk-UA"/>
        </w:rPr>
        <w:t>о</w:t>
      </w:r>
      <w:r>
        <w:rPr>
          <w:sz w:val="28"/>
          <w:szCs w:val="28"/>
          <w:lang w:val="uk-UA"/>
        </w:rPr>
        <w:t>нографія, рентгенографія, комп’ютерна рентгенівська томографія органів чер</w:t>
      </w:r>
      <w:r>
        <w:rPr>
          <w:sz w:val="28"/>
          <w:szCs w:val="28"/>
          <w:lang w:val="uk-UA"/>
        </w:rPr>
        <w:t>е</w:t>
      </w:r>
      <w:r>
        <w:rPr>
          <w:sz w:val="28"/>
          <w:szCs w:val="28"/>
          <w:lang w:val="uk-UA"/>
        </w:rPr>
        <w:t>вної порожнини та заочеревенного простору) – для аналізу структурних змін ПЗ; гістологічний та електронно-мікроскопічний — для вивчення морфологі</w:t>
      </w:r>
      <w:r>
        <w:rPr>
          <w:sz w:val="28"/>
          <w:szCs w:val="28"/>
          <w:lang w:val="uk-UA"/>
        </w:rPr>
        <w:t>ч</w:t>
      </w:r>
      <w:r>
        <w:rPr>
          <w:sz w:val="28"/>
          <w:szCs w:val="28"/>
          <w:lang w:val="uk-UA"/>
        </w:rPr>
        <w:t>них критеріїв пошкодження та компенсаторно-пристосувальних реакцій ПЗ при ХП з гіперацидним синдромом; швидкий уреазний тест, С</w:t>
      </w:r>
      <w:r>
        <w:rPr>
          <w:sz w:val="28"/>
          <w:szCs w:val="28"/>
          <w:vertAlign w:val="superscript"/>
          <w:lang w:val="uk-UA"/>
        </w:rPr>
        <w:t>13</w:t>
      </w:r>
      <w:r>
        <w:rPr>
          <w:sz w:val="28"/>
          <w:szCs w:val="28"/>
          <w:lang w:val="uk-UA"/>
        </w:rPr>
        <w:t xml:space="preserve"> дихальний уреа</w:t>
      </w:r>
      <w:r>
        <w:rPr>
          <w:sz w:val="28"/>
          <w:szCs w:val="28"/>
          <w:lang w:val="uk-UA"/>
        </w:rPr>
        <w:t>з</w:t>
      </w:r>
      <w:r>
        <w:rPr>
          <w:sz w:val="28"/>
          <w:szCs w:val="28"/>
          <w:lang w:val="uk-UA"/>
        </w:rPr>
        <w:t>ний тест на Н.pylori та забарвлення гістологічних зрізів за Гімзе – для визн</w:t>
      </w:r>
      <w:r>
        <w:rPr>
          <w:sz w:val="28"/>
          <w:szCs w:val="28"/>
          <w:lang w:val="uk-UA"/>
        </w:rPr>
        <w:t>а</w:t>
      </w:r>
      <w:r>
        <w:rPr>
          <w:sz w:val="28"/>
          <w:szCs w:val="28"/>
          <w:lang w:val="uk-UA"/>
        </w:rPr>
        <w:t>чення рівня інфікування слизової оболонки шлунка Н.pylori.</w:t>
      </w:r>
    </w:p>
    <w:p w:rsidR="009347A9" w:rsidRDefault="009347A9" w:rsidP="009347A9">
      <w:pPr>
        <w:widowControl w:val="0"/>
        <w:spacing w:line="360" w:lineRule="exact"/>
        <w:ind w:firstLine="709"/>
        <w:jc w:val="both"/>
        <w:rPr>
          <w:sz w:val="28"/>
          <w:szCs w:val="28"/>
          <w:lang w:val="uk-UA"/>
        </w:rPr>
      </w:pPr>
      <w:r>
        <w:rPr>
          <w:sz w:val="28"/>
          <w:szCs w:val="28"/>
          <w:lang w:val="uk-UA"/>
        </w:rPr>
        <w:t>Статистичними методами проведена обробка цифрових матеріалів, отриманих в процесі дослідження (визначення середніх величин, їх похибок, коеф</w:t>
      </w:r>
      <w:r>
        <w:rPr>
          <w:sz w:val="28"/>
          <w:szCs w:val="28"/>
          <w:lang w:val="uk-UA"/>
        </w:rPr>
        <w:t>і</w:t>
      </w:r>
      <w:r>
        <w:rPr>
          <w:sz w:val="28"/>
          <w:szCs w:val="28"/>
          <w:lang w:val="uk-UA"/>
        </w:rPr>
        <w:t>цієнтів багатофакторного кореляційного аналізу).</w:t>
      </w:r>
    </w:p>
    <w:p w:rsidR="009347A9" w:rsidRDefault="009347A9" w:rsidP="009347A9">
      <w:pPr>
        <w:widowControl w:val="0"/>
        <w:spacing w:line="360" w:lineRule="exact"/>
        <w:ind w:firstLine="709"/>
        <w:jc w:val="both"/>
        <w:rPr>
          <w:sz w:val="28"/>
          <w:szCs w:val="28"/>
          <w:lang w:val="uk-UA"/>
        </w:rPr>
      </w:pPr>
      <w:r>
        <w:rPr>
          <w:b/>
          <w:sz w:val="28"/>
          <w:szCs w:val="28"/>
          <w:lang w:val="uk-UA"/>
        </w:rPr>
        <w:t>Наукова новизна одержаних результатів.</w:t>
      </w:r>
      <w:r>
        <w:rPr>
          <w:sz w:val="28"/>
          <w:szCs w:val="28"/>
          <w:lang w:val="uk-UA"/>
        </w:rPr>
        <w:t xml:space="preserve"> Вперше обґрунтовано покази до диференційованого призначення блокаторів шлункової ацидності в компле</w:t>
      </w:r>
      <w:r>
        <w:rPr>
          <w:sz w:val="28"/>
          <w:szCs w:val="28"/>
          <w:lang w:val="uk-UA"/>
        </w:rPr>
        <w:t>к</w:t>
      </w:r>
      <w:r>
        <w:rPr>
          <w:sz w:val="28"/>
          <w:szCs w:val="28"/>
          <w:lang w:val="uk-UA"/>
        </w:rPr>
        <w:t>сному лікуванні зовнішньосекреторної недостатності ПЗ на основі значення ч</w:t>
      </w:r>
      <w:r>
        <w:rPr>
          <w:sz w:val="28"/>
          <w:szCs w:val="28"/>
          <w:lang w:val="uk-UA"/>
        </w:rPr>
        <w:t>а</w:t>
      </w:r>
      <w:r>
        <w:rPr>
          <w:sz w:val="28"/>
          <w:szCs w:val="28"/>
          <w:lang w:val="uk-UA"/>
        </w:rPr>
        <w:t>стки ефективного постпрандіального залуження.</w:t>
      </w:r>
    </w:p>
    <w:p w:rsidR="009347A9" w:rsidRDefault="009347A9" w:rsidP="009347A9">
      <w:pPr>
        <w:widowControl w:val="0"/>
        <w:spacing w:line="360" w:lineRule="exact"/>
        <w:ind w:firstLine="709"/>
        <w:jc w:val="both"/>
        <w:rPr>
          <w:sz w:val="28"/>
          <w:szCs w:val="28"/>
          <w:lang w:val="uk-UA"/>
        </w:rPr>
      </w:pPr>
      <w:r>
        <w:rPr>
          <w:sz w:val="28"/>
          <w:szCs w:val="28"/>
          <w:lang w:val="uk-UA"/>
        </w:rPr>
        <w:t>Вперше запропонований показник кількісної оцінки постпрандіального залуження у хворих на ХП – показник постпрандіального залуження, величина якого тісно корелює зі ступенем вираженості зовнішньосекреторної недоста</w:t>
      </w:r>
      <w:r>
        <w:rPr>
          <w:sz w:val="28"/>
          <w:szCs w:val="28"/>
          <w:lang w:val="uk-UA"/>
        </w:rPr>
        <w:t>т</w:t>
      </w:r>
      <w:r>
        <w:rPr>
          <w:sz w:val="28"/>
          <w:szCs w:val="28"/>
          <w:lang w:val="uk-UA"/>
        </w:rPr>
        <w:t>ності.</w:t>
      </w:r>
    </w:p>
    <w:p w:rsidR="009347A9" w:rsidRDefault="009347A9" w:rsidP="009347A9">
      <w:pPr>
        <w:widowControl w:val="0"/>
        <w:spacing w:line="360" w:lineRule="exact"/>
        <w:ind w:firstLine="709"/>
        <w:jc w:val="both"/>
        <w:rPr>
          <w:sz w:val="28"/>
          <w:szCs w:val="28"/>
          <w:lang w:val="uk-UA"/>
        </w:rPr>
      </w:pPr>
      <w:r>
        <w:rPr>
          <w:sz w:val="28"/>
          <w:szCs w:val="28"/>
          <w:lang w:val="uk-UA"/>
        </w:rPr>
        <w:t>Вперше виявлена достовірна різниця між середніми показниками пост</w:t>
      </w:r>
      <w:r>
        <w:rPr>
          <w:sz w:val="28"/>
          <w:szCs w:val="28"/>
          <w:lang w:val="uk-UA"/>
        </w:rPr>
        <w:t>п</w:t>
      </w:r>
      <w:r>
        <w:rPr>
          <w:sz w:val="28"/>
          <w:szCs w:val="28"/>
          <w:lang w:val="uk-UA"/>
        </w:rPr>
        <w:t>рандіального залуження у хворих з зовнішньосекреторною недостатністю та без неї, що покладено в основу способу діагностики вторинної зовнішньосекрето</w:t>
      </w:r>
      <w:r>
        <w:rPr>
          <w:sz w:val="28"/>
          <w:szCs w:val="28"/>
          <w:lang w:val="uk-UA"/>
        </w:rPr>
        <w:t>р</w:t>
      </w:r>
      <w:r>
        <w:rPr>
          <w:sz w:val="28"/>
          <w:szCs w:val="28"/>
          <w:lang w:val="uk-UA"/>
        </w:rPr>
        <w:t>ної недостатності підшлункової залози.</w:t>
      </w:r>
    </w:p>
    <w:p w:rsidR="009347A9" w:rsidRDefault="009347A9" w:rsidP="009347A9">
      <w:pPr>
        <w:widowControl w:val="0"/>
        <w:spacing w:line="360" w:lineRule="exact"/>
        <w:ind w:firstLine="709"/>
        <w:jc w:val="both"/>
        <w:rPr>
          <w:sz w:val="28"/>
          <w:szCs w:val="28"/>
          <w:lang w:val="uk-UA"/>
        </w:rPr>
      </w:pPr>
      <w:r>
        <w:rPr>
          <w:noProof/>
          <w:sz w:val="28"/>
          <w:szCs w:val="28"/>
          <w:lang w:val="uk-UA"/>
        </w:rPr>
        <w:t>Встановлено, що і</w:t>
      </w:r>
      <w:r>
        <w:rPr>
          <w:sz w:val="28"/>
          <w:szCs w:val="28"/>
          <w:lang w:val="uk-UA"/>
        </w:rPr>
        <w:t>нгібітори протонної помпи достовірно (p&lt;0,05) зменшують інтенсивність больового синдрому у хворих з підвищеним та нормал</w:t>
      </w:r>
      <w:r>
        <w:rPr>
          <w:sz w:val="28"/>
          <w:szCs w:val="28"/>
          <w:lang w:val="uk-UA"/>
        </w:rPr>
        <w:t>ь</w:t>
      </w:r>
      <w:r>
        <w:rPr>
          <w:sz w:val="28"/>
          <w:szCs w:val="28"/>
          <w:lang w:val="uk-UA"/>
        </w:rPr>
        <w:t>ним рівнем ацидності в шлунку та значно менше впливають на його інтенси</w:t>
      </w:r>
      <w:r>
        <w:rPr>
          <w:sz w:val="28"/>
          <w:szCs w:val="28"/>
          <w:lang w:val="uk-UA"/>
        </w:rPr>
        <w:t>в</w:t>
      </w:r>
      <w:r>
        <w:rPr>
          <w:sz w:val="28"/>
          <w:szCs w:val="28"/>
          <w:lang w:val="uk-UA"/>
        </w:rPr>
        <w:t>ність при гіпоацидності шлунка.</w:t>
      </w:r>
    </w:p>
    <w:p w:rsidR="009347A9" w:rsidRDefault="009347A9" w:rsidP="009347A9">
      <w:pPr>
        <w:widowControl w:val="0"/>
        <w:spacing w:line="360" w:lineRule="exact"/>
        <w:ind w:firstLine="709"/>
        <w:jc w:val="both"/>
        <w:rPr>
          <w:noProof/>
          <w:sz w:val="28"/>
          <w:szCs w:val="28"/>
          <w:lang w:val="uk-UA"/>
        </w:rPr>
      </w:pPr>
      <w:r>
        <w:rPr>
          <w:sz w:val="28"/>
          <w:szCs w:val="28"/>
          <w:lang w:val="uk-UA"/>
        </w:rPr>
        <w:t>Комбінована терапія з короткостроковим трьохдобовим призначенням фамотидину та подовженим призначенням пантопразолу забезпечує зменшення больового синдрому в хворих на ХП найбільш ефективно як за швидкістю так і за інтенсивністю.</w:t>
      </w:r>
    </w:p>
    <w:p w:rsidR="009347A9" w:rsidRDefault="009347A9" w:rsidP="009347A9">
      <w:pPr>
        <w:pStyle w:val="affffffffa"/>
        <w:widowControl w:val="0"/>
        <w:spacing w:line="360" w:lineRule="exact"/>
        <w:ind w:firstLine="709"/>
        <w:rPr>
          <w:rFonts w:ascii="Times New Roman" w:hAnsi="Times New Roman"/>
          <w:b/>
          <w:caps/>
          <w:szCs w:val="28"/>
          <w:lang w:val="uk-UA"/>
        </w:rPr>
      </w:pPr>
      <w:r>
        <w:rPr>
          <w:rFonts w:ascii="Times New Roman" w:hAnsi="Times New Roman"/>
          <w:caps/>
          <w:szCs w:val="28"/>
          <w:lang w:val="uk-UA"/>
        </w:rPr>
        <w:t xml:space="preserve">Практичне значення одержаних результатів </w:t>
      </w:r>
      <w:r>
        <w:rPr>
          <w:rFonts w:ascii="Times New Roman" w:hAnsi="Times New Roman"/>
          <w:b/>
          <w:caps/>
          <w:szCs w:val="28"/>
          <w:lang w:val="uk-UA"/>
        </w:rPr>
        <w:t>визначається розробкою диференційованого, під контролем pH-метрії, призначення інгібітора протонної помпи – пантопразолу. В групі хворих на ХП з вираженою та помірною гіпер</w:t>
      </w:r>
      <w:r>
        <w:rPr>
          <w:rFonts w:ascii="Times New Roman" w:hAnsi="Times New Roman"/>
          <w:b/>
          <w:caps/>
          <w:szCs w:val="28"/>
          <w:lang w:val="uk-UA"/>
        </w:rPr>
        <w:t>а</w:t>
      </w:r>
      <w:r>
        <w:rPr>
          <w:rFonts w:ascii="Times New Roman" w:hAnsi="Times New Roman"/>
          <w:b/>
          <w:caps/>
          <w:szCs w:val="28"/>
          <w:lang w:val="uk-UA"/>
        </w:rPr>
        <w:t>цидністю, а також нормоацидністю шлунка рекомендовано пантопразол у дозі 40 мг 2 рази на добу, а в хворих з помірною гіпоацидністю шлунка – 40 мг 1 раз на добу.</w:t>
      </w:r>
    </w:p>
    <w:p w:rsidR="009347A9" w:rsidRDefault="009347A9" w:rsidP="009347A9">
      <w:pPr>
        <w:widowControl w:val="0"/>
        <w:spacing w:line="360" w:lineRule="exact"/>
        <w:ind w:firstLine="709"/>
        <w:jc w:val="both"/>
        <w:rPr>
          <w:sz w:val="28"/>
          <w:szCs w:val="28"/>
          <w:lang w:val="uk-UA"/>
        </w:rPr>
      </w:pPr>
      <w:r>
        <w:rPr>
          <w:sz w:val="28"/>
          <w:szCs w:val="28"/>
          <w:lang w:val="uk-UA"/>
        </w:rPr>
        <w:lastRenderedPageBreak/>
        <w:t>Значення частки ефективного постпрандіального залуження менше 24,68±6,64 % є об'єктивним показником, що визначає покази до диференцій</w:t>
      </w:r>
      <w:r>
        <w:rPr>
          <w:sz w:val="28"/>
          <w:szCs w:val="28"/>
          <w:lang w:val="uk-UA"/>
        </w:rPr>
        <w:t>о</w:t>
      </w:r>
      <w:r>
        <w:rPr>
          <w:sz w:val="28"/>
          <w:szCs w:val="28"/>
          <w:lang w:val="uk-UA"/>
        </w:rPr>
        <w:t>ваного призначення блокаторів шлункової ацидності в комплексному лікуванні зовнішньосекреторної недостатності.</w:t>
      </w:r>
    </w:p>
    <w:p w:rsidR="009347A9" w:rsidRDefault="009347A9" w:rsidP="009347A9">
      <w:pPr>
        <w:widowControl w:val="0"/>
        <w:spacing w:line="360" w:lineRule="exact"/>
        <w:ind w:firstLine="709"/>
        <w:jc w:val="both"/>
        <w:rPr>
          <w:sz w:val="28"/>
          <w:szCs w:val="28"/>
          <w:lang w:val="uk-UA"/>
        </w:rPr>
      </w:pPr>
      <w:r>
        <w:rPr>
          <w:sz w:val="28"/>
          <w:szCs w:val="28"/>
          <w:lang w:val="uk-UA"/>
        </w:rPr>
        <w:t>Результати роботи впроваджені в лікувальну практику гастроцентру Вінницької міської поліклініки № 2, Вінницької центральної районної клінічної л</w:t>
      </w:r>
      <w:r>
        <w:rPr>
          <w:sz w:val="28"/>
          <w:szCs w:val="28"/>
          <w:lang w:val="uk-UA"/>
        </w:rPr>
        <w:t>і</w:t>
      </w:r>
      <w:r>
        <w:rPr>
          <w:sz w:val="28"/>
          <w:szCs w:val="28"/>
          <w:lang w:val="uk-UA"/>
        </w:rPr>
        <w:t>карні, гастроентерологічних відділень Вінницької обласної клінічної лікарні ім. М.І.Пирогова, Кримської республіканської установи: клінічної лікарні ім. Н.А.Семашко.</w:t>
      </w:r>
    </w:p>
    <w:p w:rsidR="009347A9" w:rsidRDefault="009347A9" w:rsidP="009347A9">
      <w:pPr>
        <w:widowControl w:val="0"/>
        <w:spacing w:line="360" w:lineRule="exact"/>
        <w:ind w:firstLine="709"/>
        <w:jc w:val="both"/>
        <w:rPr>
          <w:sz w:val="28"/>
          <w:szCs w:val="28"/>
          <w:lang w:val="uk-UA"/>
        </w:rPr>
      </w:pPr>
      <w:r>
        <w:rPr>
          <w:sz w:val="28"/>
          <w:szCs w:val="28"/>
          <w:lang w:val="uk-UA"/>
        </w:rPr>
        <w:t>Матеріали дисертації використовуються у лекційному курсі для студе</w:t>
      </w:r>
      <w:r>
        <w:rPr>
          <w:sz w:val="28"/>
          <w:szCs w:val="28"/>
          <w:lang w:val="uk-UA"/>
        </w:rPr>
        <w:t>н</w:t>
      </w:r>
      <w:r>
        <w:rPr>
          <w:sz w:val="28"/>
          <w:szCs w:val="28"/>
          <w:lang w:val="uk-UA"/>
        </w:rPr>
        <w:t>тів, лікарів-інтернів, практичних лікарів та при проведенні практичних занять на кафедрі поліклінічної терапії та сімейної медицини Вінницького націонал</w:t>
      </w:r>
      <w:r>
        <w:rPr>
          <w:sz w:val="28"/>
          <w:szCs w:val="28"/>
          <w:lang w:val="uk-UA"/>
        </w:rPr>
        <w:t>ь</w:t>
      </w:r>
      <w:r>
        <w:rPr>
          <w:sz w:val="28"/>
          <w:szCs w:val="28"/>
          <w:lang w:val="uk-UA"/>
        </w:rPr>
        <w:t>ного медичного університету ім. М.І.Пирогова, кафедрі шпитальної терапії Львівського національного медичного університету ім. Д.Галицького, кафедрі внутрішньої медицини Сумського державного університету, кафедрі пропеде</w:t>
      </w:r>
      <w:r>
        <w:rPr>
          <w:sz w:val="28"/>
          <w:szCs w:val="28"/>
          <w:lang w:val="uk-UA"/>
        </w:rPr>
        <w:t>в</w:t>
      </w:r>
      <w:r>
        <w:rPr>
          <w:sz w:val="28"/>
          <w:szCs w:val="28"/>
          <w:lang w:val="uk-UA"/>
        </w:rPr>
        <w:t>тики внутрішньої медицини, кафедрі терапії та сімейної медицини ФПО Кри</w:t>
      </w:r>
      <w:r>
        <w:rPr>
          <w:sz w:val="28"/>
          <w:szCs w:val="28"/>
          <w:lang w:val="uk-UA"/>
        </w:rPr>
        <w:t>м</w:t>
      </w:r>
      <w:r>
        <w:rPr>
          <w:sz w:val="28"/>
          <w:szCs w:val="28"/>
          <w:lang w:val="uk-UA"/>
        </w:rPr>
        <w:t>ського державного медичного університету ім. С.І.Георгієвського.</w:t>
      </w:r>
    </w:p>
    <w:p w:rsidR="009347A9" w:rsidRDefault="009347A9" w:rsidP="009347A9">
      <w:pPr>
        <w:pStyle w:val="affffffff3"/>
        <w:widowControl w:val="0"/>
        <w:spacing w:after="0" w:line="360" w:lineRule="exact"/>
        <w:ind w:firstLine="709"/>
        <w:jc w:val="both"/>
        <w:rPr>
          <w:szCs w:val="28"/>
          <w:lang w:val="uk-UA"/>
        </w:rPr>
      </w:pPr>
      <w:r>
        <w:rPr>
          <w:b/>
          <w:bCs/>
          <w:szCs w:val="28"/>
          <w:lang w:val="uk-UA"/>
        </w:rPr>
        <w:t xml:space="preserve">Особистий внесок здобувача. </w:t>
      </w:r>
      <w:r>
        <w:rPr>
          <w:szCs w:val="28"/>
          <w:lang w:val="uk-UA"/>
        </w:rPr>
        <w:t>Автором здійснено розробку основних т</w:t>
      </w:r>
      <w:r>
        <w:rPr>
          <w:szCs w:val="28"/>
          <w:lang w:val="uk-UA"/>
        </w:rPr>
        <w:t>е</w:t>
      </w:r>
      <w:r>
        <w:rPr>
          <w:szCs w:val="28"/>
          <w:lang w:val="uk-UA"/>
        </w:rPr>
        <w:t>оретичних і практичних положень дисертаційного дослідження. Дисертантом самостійно визначена мета та завдання даного дослідження, проаналізована н</w:t>
      </w:r>
      <w:r>
        <w:rPr>
          <w:szCs w:val="28"/>
          <w:lang w:val="uk-UA"/>
        </w:rPr>
        <w:t>а</w:t>
      </w:r>
      <w:r>
        <w:rPr>
          <w:szCs w:val="28"/>
          <w:lang w:val="uk-UA"/>
        </w:rPr>
        <w:t xml:space="preserve">укова література з вивченої проблеми. </w:t>
      </w:r>
    </w:p>
    <w:p w:rsidR="009347A9" w:rsidRDefault="009347A9" w:rsidP="009347A9">
      <w:pPr>
        <w:pStyle w:val="affffffff3"/>
        <w:widowControl w:val="0"/>
        <w:spacing w:after="0" w:line="360" w:lineRule="exact"/>
        <w:ind w:firstLine="709"/>
        <w:jc w:val="both"/>
        <w:rPr>
          <w:snapToGrid w:val="0"/>
          <w:szCs w:val="28"/>
          <w:lang w:val="uk-UA"/>
        </w:rPr>
      </w:pPr>
      <w:r>
        <w:rPr>
          <w:snapToGrid w:val="0"/>
          <w:szCs w:val="28"/>
          <w:lang w:val="uk-UA"/>
        </w:rPr>
        <w:t>Здобувач провела самостійно клінічні, лабораторні та інструментальні дослідження, серед яких: комп'ютерна базальна рН-метрія по протягу шлунка за методикою проф. В.М. Чернобрового, багатогодинні внутрішньошлункові рН-фармакопроби, добовий внутрішньошлунковий рН-моніторинг</w:t>
      </w:r>
      <w:r>
        <w:rPr>
          <w:szCs w:val="28"/>
          <w:lang w:val="uk-UA"/>
        </w:rPr>
        <w:t>, C</w:t>
      </w:r>
      <w:r>
        <w:rPr>
          <w:szCs w:val="28"/>
          <w:vertAlign w:val="superscript"/>
          <w:lang w:val="uk-UA"/>
        </w:rPr>
        <w:t>13</w:t>
      </w:r>
      <w:r>
        <w:rPr>
          <w:szCs w:val="28"/>
          <w:lang w:val="uk-UA"/>
        </w:rPr>
        <w:t>-ди</w:t>
      </w:r>
      <w:r>
        <w:rPr>
          <w:szCs w:val="28"/>
          <w:lang w:val="uk-UA"/>
        </w:rPr>
        <w:softHyphen/>
        <w:t>халь</w:t>
      </w:r>
      <w:r>
        <w:rPr>
          <w:szCs w:val="28"/>
          <w:lang w:val="uk-UA"/>
        </w:rPr>
        <w:softHyphen/>
        <w:t>ний уреазний тест на Н.pylori, C</w:t>
      </w:r>
      <w:r>
        <w:rPr>
          <w:szCs w:val="28"/>
          <w:vertAlign w:val="superscript"/>
          <w:lang w:val="uk-UA"/>
        </w:rPr>
        <w:t>13</w:t>
      </w:r>
      <w:r>
        <w:rPr>
          <w:szCs w:val="28"/>
          <w:lang w:val="uk-UA"/>
        </w:rPr>
        <w:t>-амілазний тест</w:t>
      </w:r>
      <w:r>
        <w:rPr>
          <w:snapToGrid w:val="0"/>
          <w:szCs w:val="28"/>
          <w:lang w:val="uk-UA"/>
        </w:rPr>
        <w:t xml:space="preserve"> до моменту апаратного анал</w:t>
      </w:r>
      <w:r>
        <w:rPr>
          <w:snapToGrid w:val="0"/>
          <w:szCs w:val="28"/>
          <w:lang w:val="uk-UA"/>
        </w:rPr>
        <w:t>і</w:t>
      </w:r>
      <w:r>
        <w:rPr>
          <w:snapToGrid w:val="0"/>
          <w:szCs w:val="28"/>
          <w:lang w:val="uk-UA"/>
        </w:rPr>
        <w:t xml:space="preserve">зу. </w:t>
      </w:r>
      <w:r>
        <w:rPr>
          <w:szCs w:val="28"/>
          <w:lang w:val="uk-UA"/>
        </w:rPr>
        <w:t xml:space="preserve">За участі асистентів та лаборантів кафедри проведені </w:t>
      </w:r>
      <w:r>
        <w:rPr>
          <w:snapToGrid w:val="0"/>
          <w:szCs w:val="28"/>
          <w:lang w:val="uk-UA"/>
        </w:rPr>
        <w:t>фіброезофагогастродуоден</w:t>
      </w:r>
      <w:r>
        <w:rPr>
          <w:snapToGrid w:val="0"/>
          <w:szCs w:val="28"/>
          <w:lang w:val="uk-UA"/>
        </w:rPr>
        <w:t>о</w:t>
      </w:r>
      <w:r>
        <w:rPr>
          <w:snapToGrid w:val="0"/>
          <w:szCs w:val="28"/>
          <w:lang w:val="uk-UA"/>
        </w:rPr>
        <w:t>скопії з прицільною біопсією. З</w:t>
      </w:r>
      <w:r>
        <w:rPr>
          <w:szCs w:val="28"/>
          <w:lang w:val="uk-UA"/>
        </w:rPr>
        <w:t>агально-клінічні та загально-лабо</w:t>
      </w:r>
      <w:r>
        <w:rPr>
          <w:szCs w:val="28"/>
          <w:lang w:val="uk-UA"/>
        </w:rPr>
        <w:softHyphen/>
        <w:t>раторні анал</w:t>
      </w:r>
      <w:r>
        <w:rPr>
          <w:szCs w:val="28"/>
          <w:lang w:val="uk-UA"/>
        </w:rPr>
        <w:t>і</w:t>
      </w:r>
      <w:r>
        <w:rPr>
          <w:szCs w:val="28"/>
          <w:lang w:val="uk-UA"/>
        </w:rPr>
        <w:t>зи проведені лаборантами Вінницької міської поліклініки № 2.</w:t>
      </w:r>
    </w:p>
    <w:p w:rsidR="009347A9" w:rsidRDefault="009347A9" w:rsidP="009347A9">
      <w:pPr>
        <w:pStyle w:val="24"/>
        <w:spacing w:line="360" w:lineRule="exact"/>
        <w:ind w:firstLine="709"/>
        <w:rPr>
          <w:rFonts w:ascii="Times New Roman" w:hAnsi="Times New Roman"/>
          <w:szCs w:val="28"/>
          <w:lang w:val="uk-UA"/>
        </w:rPr>
      </w:pPr>
      <w:r>
        <w:rPr>
          <w:rFonts w:ascii="Times New Roman" w:hAnsi="Times New Roman"/>
          <w:szCs w:val="28"/>
          <w:lang w:val="uk-UA"/>
        </w:rPr>
        <w:t>Спільно зі співробітниками науково-дослідного центру Вінницького н</w:t>
      </w:r>
      <w:r>
        <w:rPr>
          <w:rFonts w:ascii="Times New Roman" w:hAnsi="Times New Roman"/>
          <w:szCs w:val="28"/>
          <w:lang w:val="uk-UA"/>
        </w:rPr>
        <w:t>а</w:t>
      </w:r>
      <w:r>
        <w:rPr>
          <w:rFonts w:ascii="Times New Roman" w:hAnsi="Times New Roman"/>
          <w:szCs w:val="28"/>
          <w:lang w:val="uk-UA"/>
        </w:rPr>
        <w:t>ціонального медичного університету ім. М.І. Пирогова здійснено морфологічні та біохімічні дослідження. Здобувачем особисто написані всі розділи дисерт</w:t>
      </w:r>
      <w:r>
        <w:rPr>
          <w:rFonts w:ascii="Times New Roman" w:hAnsi="Times New Roman"/>
          <w:szCs w:val="28"/>
          <w:lang w:val="uk-UA"/>
        </w:rPr>
        <w:t>а</w:t>
      </w:r>
      <w:r>
        <w:rPr>
          <w:rFonts w:ascii="Times New Roman" w:hAnsi="Times New Roman"/>
          <w:szCs w:val="28"/>
          <w:lang w:val="uk-UA"/>
        </w:rPr>
        <w:t>ції. Аналіз та узагальнення одержаних результатів, обґрунтування висновків проведено спільно з науковим керівником. У наукових працях, опублікованих у співавторстві, використано фактичний матеріал, отриманий дисертантом у пр</w:t>
      </w:r>
      <w:r>
        <w:rPr>
          <w:rFonts w:ascii="Times New Roman" w:hAnsi="Times New Roman"/>
          <w:szCs w:val="28"/>
          <w:lang w:val="uk-UA"/>
        </w:rPr>
        <w:t>о</w:t>
      </w:r>
      <w:r>
        <w:rPr>
          <w:rFonts w:ascii="Times New Roman" w:hAnsi="Times New Roman"/>
          <w:szCs w:val="28"/>
          <w:lang w:val="uk-UA"/>
        </w:rPr>
        <w:t>цесі виконання досліджень.</w:t>
      </w:r>
    </w:p>
    <w:p w:rsidR="009347A9" w:rsidRDefault="009347A9" w:rsidP="009347A9">
      <w:pPr>
        <w:widowControl w:val="0"/>
        <w:spacing w:line="360" w:lineRule="exact"/>
        <w:ind w:firstLine="709"/>
        <w:jc w:val="both"/>
        <w:rPr>
          <w:sz w:val="28"/>
          <w:szCs w:val="28"/>
          <w:lang w:val="uk-UA"/>
        </w:rPr>
      </w:pPr>
      <w:r>
        <w:rPr>
          <w:b/>
          <w:bCs/>
          <w:sz w:val="28"/>
          <w:szCs w:val="28"/>
          <w:lang w:val="uk-UA"/>
        </w:rPr>
        <w:t>Апробація результатів дисертації.</w:t>
      </w:r>
      <w:r>
        <w:rPr>
          <w:b/>
          <w:bCs/>
          <w:caps/>
          <w:sz w:val="28"/>
          <w:szCs w:val="28"/>
          <w:lang w:val="uk-UA"/>
        </w:rPr>
        <w:t xml:space="preserve"> </w:t>
      </w:r>
      <w:r>
        <w:rPr>
          <w:sz w:val="28"/>
          <w:szCs w:val="28"/>
          <w:lang w:val="uk-UA"/>
        </w:rPr>
        <w:t xml:space="preserve">Основні положення роботи викладені та обговорені на VI Міжнародному медичному конгресі студентів та молодих учених (Тернопіль, 21-23 травня 2002); XIII науково-практичній конференції </w:t>
      </w:r>
      <w:r>
        <w:rPr>
          <w:sz w:val="28"/>
          <w:szCs w:val="28"/>
          <w:lang w:val="uk-UA"/>
        </w:rPr>
        <w:lastRenderedPageBreak/>
        <w:t>вищих медичних закладів освіти Вінницького регіону (Київ-Вінниця, 14-15 ч</w:t>
      </w:r>
      <w:r>
        <w:rPr>
          <w:sz w:val="28"/>
          <w:szCs w:val="28"/>
          <w:lang w:val="uk-UA"/>
        </w:rPr>
        <w:t>е</w:t>
      </w:r>
      <w:r>
        <w:rPr>
          <w:sz w:val="28"/>
          <w:szCs w:val="28"/>
          <w:lang w:val="uk-UA"/>
        </w:rPr>
        <w:t>рвня 2002); Всеукраїнській науково-прак</w:t>
      </w:r>
      <w:r>
        <w:rPr>
          <w:sz w:val="28"/>
          <w:szCs w:val="28"/>
          <w:lang w:val="uk-UA"/>
        </w:rPr>
        <w:softHyphen/>
        <w:t>тич</w:t>
      </w:r>
      <w:r>
        <w:rPr>
          <w:sz w:val="28"/>
          <w:szCs w:val="28"/>
          <w:lang w:val="uk-UA"/>
        </w:rPr>
        <w:softHyphen/>
        <w:t>ній конференції "Сучасні методи діагностики та лікування в клініці внутрішніх хвороб" (5-6 лютого 20004); ХV з’їзді терапевтів України (Київ, 21- 23 квітня 2004); Пироговських читаннях (Вінниця, 3-4 червня 2004); науково-практичному симпозіумі "Езофаго-гастро-pH-моніторинг та ізотопні тести в сучасній гастроентерології" (Вінниця, 5-6 квітня 2006); науково-практичній конференції "Актуальні питання фармакот</w:t>
      </w:r>
      <w:r>
        <w:rPr>
          <w:sz w:val="28"/>
          <w:szCs w:val="28"/>
          <w:lang w:val="uk-UA"/>
        </w:rPr>
        <w:t>е</w:t>
      </w:r>
      <w:r>
        <w:rPr>
          <w:sz w:val="28"/>
          <w:szCs w:val="28"/>
          <w:lang w:val="uk-UA"/>
        </w:rPr>
        <w:t>рапії у загальній практиці – сімейній медицині" (Вінниця, 26-27 жовтня 2006); ІХ з’їзді Всеукраїнського лікарського товариства (Вінниця, 10-12 травня 2007); науково-практичній конференції "Актуальні питання фармакотерапії у загал</w:t>
      </w:r>
      <w:r>
        <w:rPr>
          <w:sz w:val="28"/>
          <w:szCs w:val="28"/>
          <w:lang w:val="uk-UA"/>
        </w:rPr>
        <w:t>ь</w:t>
      </w:r>
      <w:r>
        <w:rPr>
          <w:sz w:val="28"/>
          <w:szCs w:val="28"/>
          <w:lang w:val="uk-UA"/>
        </w:rPr>
        <w:t>ній практиці – сімейній медицині" (Вінниця, 8-9 листопада 2007); науково-практичній конференції "Досягнення і терапія поєднаних хвороб органів тра</w:t>
      </w:r>
      <w:r>
        <w:rPr>
          <w:sz w:val="28"/>
          <w:szCs w:val="28"/>
          <w:lang w:val="uk-UA"/>
        </w:rPr>
        <w:t>в</w:t>
      </w:r>
      <w:r>
        <w:rPr>
          <w:sz w:val="28"/>
          <w:szCs w:val="28"/>
          <w:lang w:val="uk-UA"/>
        </w:rPr>
        <w:t>лення" (Тернопіль, 22-23 листопада 2007).</w:t>
      </w:r>
    </w:p>
    <w:p w:rsidR="009347A9" w:rsidRDefault="009347A9" w:rsidP="009347A9">
      <w:pPr>
        <w:widowControl w:val="0"/>
        <w:spacing w:line="360" w:lineRule="exact"/>
        <w:ind w:firstLine="709"/>
        <w:jc w:val="both"/>
        <w:rPr>
          <w:sz w:val="28"/>
          <w:szCs w:val="28"/>
          <w:lang w:val="uk-UA"/>
        </w:rPr>
      </w:pPr>
      <w:r>
        <w:rPr>
          <w:snapToGrid w:val="0"/>
          <w:sz w:val="28"/>
          <w:szCs w:val="28"/>
          <w:lang w:val="uk-UA"/>
        </w:rPr>
        <w:t xml:space="preserve">Матеріали дисертації апробовані на спільному засіданні кафедр </w:t>
      </w:r>
      <w:r>
        <w:rPr>
          <w:sz w:val="28"/>
          <w:szCs w:val="28"/>
          <w:lang w:val="uk-UA"/>
        </w:rPr>
        <w:t>полікл</w:t>
      </w:r>
      <w:r>
        <w:rPr>
          <w:sz w:val="28"/>
          <w:szCs w:val="28"/>
          <w:lang w:val="uk-UA"/>
        </w:rPr>
        <w:t>і</w:t>
      </w:r>
      <w:r>
        <w:rPr>
          <w:sz w:val="28"/>
          <w:szCs w:val="28"/>
          <w:lang w:val="uk-UA"/>
        </w:rPr>
        <w:t>нічної терапії та сімейної медицини, внутрішньої медицини № 1, № 2, № 3, вн</w:t>
      </w:r>
      <w:r>
        <w:rPr>
          <w:sz w:val="28"/>
          <w:szCs w:val="28"/>
          <w:lang w:val="uk-UA"/>
        </w:rPr>
        <w:t>у</w:t>
      </w:r>
      <w:r>
        <w:rPr>
          <w:sz w:val="28"/>
          <w:szCs w:val="28"/>
          <w:lang w:val="uk-UA"/>
        </w:rPr>
        <w:t>трішньої медицини медичного факультету № 2, клінічної фармакології, клініко-діагностичної гастроентерологічної лабораторії Вінницького національного м</w:t>
      </w:r>
      <w:r>
        <w:rPr>
          <w:sz w:val="28"/>
          <w:szCs w:val="28"/>
          <w:lang w:val="uk-UA"/>
        </w:rPr>
        <w:t>е</w:t>
      </w:r>
      <w:r>
        <w:rPr>
          <w:sz w:val="28"/>
          <w:szCs w:val="28"/>
          <w:lang w:val="uk-UA"/>
        </w:rPr>
        <w:t xml:space="preserve">дичного університету ім. М.І.Пирогова, Вінницького міського гастроцентру </w:t>
      </w:r>
      <w:r>
        <w:rPr>
          <w:snapToGrid w:val="0"/>
          <w:sz w:val="28"/>
          <w:szCs w:val="28"/>
          <w:lang w:val="uk-UA"/>
        </w:rPr>
        <w:t>(лютий, 2008).</w:t>
      </w:r>
    </w:p>
    <w:p w:rsidR="009347A9" w:rsidRDefault="009347A9" w:rsidP="009347A9">
      <w:pPr>
        <w:widowControl w:val="0"/>
        <w:spacing w:line="360" w:lineRule="exact"/>
        <w:ind w:firstLine="720"/>
        <w:jc w:val="both"/>
        <w:rPr>
          <w:sz w:val="28"/>
          <w:szCs w:val="28"/>
          <w:lang w:val="uk-UA"/>
        </w:rPr>
      </w:pPr>
      <w:r>
        <w:rPr>
          <w:b/>
          <w:bCs/>
          <w:sz w:val="28"/>
          <w:szCs w:val="28"/>
          <w:lang w:val="uk-UA"/>
        </w:rPr>
        <w:t>Публікації.</w:t>
      </w:r>
      <w:r>
        <w:rPr>
          <w:b/>
          <w:bCs/>
          <w:caps/>
          <w:sz w:val="28"/>
          <w:szCs w:val="28"/>
          <w:lang w:val="uk-UA"/>
        </w:rPr>
        <w:t xml:space="preserve"> </w:t>
      </w:r>
      <w:r>
        <w:rPr>
          <w:sz w:val="28"/>
          <w:szCs w:val="28"/>
          <w:lang w:val="uk-UA"/>
        </w:rPr>
        <w:t>За темою дисертаційного дослідження За матеріалами дисертації опубліковано 14 наукових праць (з них 3 у співавторстві), які повністю відображають зміст проведеного дослідження. 8 праць опубліковано в рекоме</w:t>
      </w:r>
      <w:r>
        <w:rPr>
          <w:sz w:val="28"/>
          <w:szCs w:val="28"/>
          <w:lang w:val="uk-UA"/>
        </w:rPr>
        <w:t>н</w:t>
      </w:r>
      <w:r>
        <w:rPr>
          <w:sz w:val="28"/>
          <w:szCs w:val="28"/>
          <w:lang w:val="uk-UA"/>
        </w:rPr>
        <w:t>дованих ВАК України наукових журналах (з них 6 самостійних).</w:t>
      </w:r>
    </w:p>
    <w:p w:rsidR="009347A9" w:rsidRDefault="009347A9" w:rsidP="009347A9">
      <w:pPr>
        <w:pStyle w:val="213"/>
        <w:overflowPunct/>
        <w:autoSpaceDE/>
        <w:spacing w:line="360" w:lineRule="exact"/>
        <w:ind w:firstLine="720"/>
        <w:textAlignment w:val="auto"/>
        <w:rPr>
          <w:szCs w:val="28"/>
          <w:lang w:val="uk-UA"/>
        </w:rPr>
      </w:pPr>
      <w:r>
        <w:rPr>
          <w:b w:val="0"/>
          <w:bCs/>
          <w:szCs w:val="28"/>
          <w:lang w:val="uk-UA"/>
        </w:rPr>
        <w:t>Структура та обсяг дисертації.</w:t>
      </w:r>
      <w:r>
        <w:rPr>
          <w:b w:val="0"/>
          <w:bCs/>
          <w:caps/>
          <w:szCs w:val="28"/>
          <w:lang w:val="uk-UA"/>
        </w:rPr>
        <w:t xml:space="preserve"> </w:t>
      </w:r>
      <w:r>
        <w:rPr>
          <w:bCs/>
          <w:caps/>
          <w:szCs w:val="28"/>
          <w:lang w:val="uk-UA"/>
        </w:rPr>
        <w:t>Д</w:t>
      </w:r>
      <w:r>
        <w:rPr>
          <w:szCs w:val="28"/>
          <w:lang w:val="uk-UA"/>
        </w:rPr>
        <w:t>исертація викладена на 170 сторінках машинописного тексту, з яких 130 сторінок залікового принтерного тексту, і складається із вступу, огляду літератури, загальної методики та основних мет</w:t>
      </w:r>
      <w:r>
        <w:rPr>
          <w:szCs w:val="28"/>
          <w:lang w:val="uk-UA"/>
        </w:rPr>
        <w:t>о</w:t>
      </w:r>
      <w:r>
        <w:rPr>
          <w:szCs w:val="28"/>
          <w:lang w:val="uk-UA"/>
        </w:rPr>
        <w:t>дів дослідження, двох розділів власних досліджень, аналізу та узагальнення результатів досліджень, висновків, практичних рекомендацій, списку використ</w:t>
      </w:r>
      <w:r>
        <w:rPr>
          <w:szCs w:val="28"/>
          <w:lang w:val="uk-UA"/>
        </w:rPr>
        <w:t>а</w:t>
      </w:r>
      <w:r>
        <w:rPr>
          <w:szCs w:val="28"/>
          <w:lang w:val="uk-UA"/>
        </w:rPr>
        <w:t>них літературних джерел (271 джерело: 161 викладених кирилицею та 110 викладених латиницею) та додатків. Робота ілюстрована 30 рисунками та 28 та</w:t>
      </w:r>
      <w:r>
        <w:rPr>
          <w:szCs w:val="28"/>
          <w:lang w:val="uk-UA"/>
        </w:rPr>
        <w:t>б</w:t>
      </w:r>
      <w:r>
        <w:rPr>
          <w:szCs w:val="28"/>
          <w:lang w:val="uk-UA"/>
        </w:rPr>
        <w:t>лицями. Наведено 3 розрахункові формули.</w:t>
      </w:r>
    </w:p>
    <w:p w:rsidR="009347A9" w:rsidRDefault="009347A9" w:rsidP="009347A9">
      <w:pPr>
        <w:pStyle w:val="1"/>
        <w:keepNext w:val="0"/>
        <w:widowControl w:val="0"/>
        <w:spacing w:line="360" w:lineRule="exact"/>
        <w:ind w:left="0"/>
        <w:jc w:val="center"/>
        <w:rPr>
          <w:szCs w:val="28"/>
        </w:rPr>
      </w:pPr>
      <w:r>
        <w:rPr>
          <w:szCs w:val="28"/>
        </w:rPr>
        <w:t>ОСНОВНИЙ ЗМІСТ РОБОТИ</w:t>
      </w:r>
    </w:p>
    <w:p w:rsidR="009347A9" w:rsidRDefault="009347A9" w:rsidP="009347A9">
      <w:pPr>
        <w:pStyle w:val="affffffff3"/>
        <w:tabs>
          <w:tab w:val="left" w:pos="360"/>
        </w:tabs>
        <w:spacing w:after="0" w:line="360" w:lineRule="exact"/>
        <w:ind w:firstLine="709"/>
        <w:jc w:val="both"/>
        <w:rPr>
          <w:szCs w:val="28"/>
          <w:lang w:val="uk-UA"/>
        </w:rPr>
      </w:pPr>
      <w:r>
        <w:rPr>
          <w:b/>
          <w:bCs/>
          <w:szCs w:val="28"/>
          <w:lang w:val="uk-UA"/>
        </w:rPr>
        <w:t>Матеріал і методи дослідження.</w:t>
      </w:r>
      <w:r>
        <w:rPr>
          <w:bCs/>
          <w:szCs w:val="28"/>
          <w:lang w:val="uk-UA"/>
        </w:rPr>
        <w:t xml:space="preserve"> </w:t>
      </w:r>
      <w:r>
        <w:rPr>
          <w:szCs w:val="28"/>
          <w:lang w:val="uk-UA"/>
        </w:rPr>
        <w:t>Усі пацієнти, відібрані для дослідже</w:t>
      </w:r>
      <w:r>
        <w:rPr>
          <w:szCs w:val="28"/>
          <w:lang w:val="uk-UA"/>
        </w:rPr>
        <w:t>н</w:t>
      </w:r>
      <w:r>
        <w:rPr>
          <w:szCs w:val="28"/>
          <w:lang w:val="uk-UA"/>
        </w:rPr>
        <w:t>ня, перебували в стадії загострення ХП, хворі включались в дослідження з пе</w:t>
      </w:r>
      <w:r>
        <w:rPr>
          <w:szCs w:val="28"/>
          <w:lang w:val="uk-UA"/>
        </w:rPr>
        <w:t>р</w:t>
      </w:r>
      <w:r>
        <w:rPr>
          <w:szCs w:val="28"/>
          <w:lang w:val="uk-UA"/>
        </w:rPr>
        <w:t>шого дня перебування в денному стаціонарі, в дослідження включались хворі з наступними супутніми захворюваннями: біліарні дискінезії, хронічні холеци</w:t>
      </w:r>
      <w:r>
        <w:rPr>
          <w:szCs w:val="28"/>
          <w:lang w:val="uk-UA"/>
        </w:rPr>
        <w:t>с</w:t>
      </w:r>
      <w:r>
        <w:rPr>
          <w:szCs w:val="28"/>
          <w:lang w:val="uk-UA"/>
        </w:rPr>
        <w:t>тити, постхолецистектомічний синдром, гастроезофагеальна рефлюксна хвор</w:t>
      </w:r>
      <w:r>
        <w:rPr>
          <w:szCs w:val="28"/>
          <w:lang w:val="uk-UA"/>
        </w:rPr>
        <w:t>о</w:t>
      </w:r>
      <w:r>
        <w:rPr>
          <w:szCs w:val="28"/>
          <w:lang w:val="uk-UA"/>
        </w:rPr>
        <w:t>ба, функціональна шлункова диспепсія, хронічний гастродуоденіт, пептична ерозія, пептична в</w:t>
      </w:r>
      <w:r>
        <w:rPr>
          <w:szCs w:val="28"/>
          <w:lang w:val="uk-UA"/>
        </w:rPr>
        <w:t>и</w:t>
      </w:r>
      <w:r>
        <w:rPr>
          <w:szCs w:val="28"/>
          <w:lang w:val="uk-UA"/>
        </w:rPr>
        <w:t xml:space="preserve">разка шлунка та/або ДПК. </w:t>
      </w:r>
    </w:p>
    <w:p w:rsidR="009347A9" w:rsidRDefault="009347A9" w:rsidP="009347A9">
      <w:pPr>
        <w:pStyle w:val="affffffff3"/>
        <w:tabs>
          <w:tab w:val="left" w:pos="360"/>
        </w:tabs>
        <w:spacing w:after="0" w:line="360" w:lineRule="exact"/>
        <w:ind w:firstLine="709"/>
        <w:jc w:val="both"/>
        <w:rPr>
          <w:szCs w:val="28"/>
          <w:lang w:val="uk-UA"/>
        </w:rPr>
      </w:pPr>
      <w:r>
        <w:rPr>
          <w:szCs w:val="28"/>
          <w:lang w:val="uk-UA"/>
        </w:rPr>
        <w:lastRenderedPageBreak/>
        <w:t>З дослідження виключались: хворі віком менше 17 років та більше 70 р</w:t>
      </w:r>
      <w:r>
        <w:rPr>
          <w:szCs w:val="28"/>
          <w:lang w:val="uk-UA"/>
        </w:rPr>
        <w:t>о</w:t>
      </w:r>
      <w:r>
        <w:rPr>
          <w:szCs w:val="28"/>
          <w:lang w:val="uk-UA"/>
        </w:rPr>
        <w:t>ків, хворі з вираженою серцевою, легеневою, печінковою, нирковою недоста</w:t>
      </w:r>
      <w:r>
        <w:rPr>
          <w:szCs w:val="28"/>
          <w:lang w:val="uk-UA"/>
        </w:rPr>
        <w:t>т</w:t>
      </w:r>
      <w:r>
        <w:rPr>
          <w:szCs w:val="28"/>
          <w:lang w:val="uk-UA"/>
        </w:rPr>
        <w:t>ністю, хворі з хірургічними втручаннями на шлунку в анамнезі, вагітні, хворі, які мали медикаментозну алергію до ІПП та Н2-гістаміно</w:t>
      </w:r>
      <w:r>
        <w:rPr>
          <w:szCs w:val="28"/>
          <w:lang w:val="uk-UA"/>
        </w:rPr>
        <w:softHyphen/>
        <w:t>блокаторів, хворі на злоякісні новоутворення.</w:t>
      </w:r>
    </w:p>
    <w:p w:rsidR="009347A9" w:rsidRDefault="009347A9" w:rsidP="009347A9">
      <w:pPr>
        <w:pStyle w:val="1fff4"/>
        <w:spacing w:before="0" w:after="0" w:line="360" w:lineRule="exact"/>
        <w:ind w:firstLine="709"/>
        <w:jc w:val="both"/>
        <w:rPr>
          <w:sz w:val="28"/>
          <w:szCs w:val="28"/>
          <w:lang w:val="uk-UA"/>
        </w:rPr>
      </w:pPr>
      <w:r>
        <w:rPr>
          <w:sz w:val="28"/>
          <w:szCs w:val="28"/>
          <w:lang w:val="uk-UA"/>
        </w:rPr>
        <w:t>У всіх обстежених хворих виконувався збір анамнезу, оцінка клінічної симптоматики, клінічний аналіз крові (гемоглобін, еритроцити, лейкоцити та лейкоцитарна формула), біохімічний аналіз крові (загальний білок, білірубін, АЛТ, АСТ), рівень альфа-амілази крові, загальний аналіз сечі, діастаза сечі, к</w:t>
      </w:r>
      <w:r>
        <w:rPr>
          <w:sz w:val="28"/>
          <w:szCs w:val="28"/>
          <w:lang w:val="uk-UA"/>
        </w:rPr>
        <w:t>о</w:t>
      </w:r>
      <w:r>
        <w:rPr>
          <w:sz w:val="28"/>
          <w:szCs w:val="28"/>
          <w:lang w:val="uk-UA"/>
        </w:rPr>
        <w:t>програма. Всім досліджуваним хворим виконувалась езофагогастродуодено</w:t>
      </w:r>
      <w:r>
        <w:rPr>
          <w:sz w:val="28"/>
          <w:szCs w:val="28"/>
          <w:lang w:val="uk-UA"/>
        </w:rPr>
        <w:t>с</w:t>
      </w:r>
      <w:r>
        <w:rPr>
          <w:sz w:val="28"/>
          <w:szCs w:val="28"/>
          <w:lang w:val="uk-UA"/>
        </w:rPr>
        <w:t>копія, тести на Н. рylori: швидкий уреазний тест з гастробіоптатом, Immunocomb 2, дихальний С</w:t>
      </w:r>
      <w:r>
        <w:rPr>
          <w:sz w:val="28"/>
          <w:szCs w:val="28"/>
          <w:vertAlign w:val="superscript"/>
          <w:lang w:val="uk-UA"/>
        </w:rPr>
        <w:t>13</w:t>
      </w:r>
      <w:r>
        <w:rPr>
          <w:sz w:val="28"/>
          <w:szCs w:val="28"/>
          <w:lang w:val="uk-UA"/>
        </w:rPr>
        <w:t>-уреазний тест, УЗД органів черевної порожнини та заочеревинного простору, С</w:t>
      </w:r>
      <w:r>
        <w:rPr>
          <w:sz w:val="28"/>
          <w:szCs w:val="28"/>
          <w:vertAlign w:val="superscript"/>
          <w:lang w:val="uk-UA"/>
        </w:rPr>
        <w:t>13</w:t>
      </w:r>
      <w:r>
        <w:rPr>
          <w:sz w:val="28"/>
          <w:szCs w:val="28"/>
          <w:lang w:val="uk-UA"/>
        </w:rPr>
        <w:t>-амілазний дихальний тест. Всім хворим пр</w:t>
      </w:r>
      <w:r>
        <w:rPr>
          <w:sz w:val="28"/>
          <w:szCs w:val="28"/>
          <w:lang w:val="uk-UA"/>
        </w:rPr>
        <w:t>о</w:t>
      </w:r>
      <w:r>
        <w:rPr>
          <w:sz w:val="28"/>
          <w:szCs w:val="28"/>
          <w:lang w:val="uk-UA"/>
        </w:rPr>
        <w:t>водили комп’ютерну експрес-гастро-рН-метрію, вивчали динаміку внутрішньошлунк</w:t>
      </w:r>
      <w:r>
        <w:rPr>
          <w:sz w:val="28"/>
          <w:szCs w:val="28"/>
          <w:lang w:val="uk-UA"/>
        </w:rPr>
        <w:t>о</w:t>
      </w:r>
      <w:r>
        <w:rPr>
          <w:sz w:val="28"/>
          <w:szCs w:val="28"/>
          <w:lang w:val="uk-UA"/>
        </w:rPr>
        <w:t>вої ацидності шляхом добового та багатогодинного моніторування внутрі</w:t>
      </w:r>
      <w:r>
        <w:rPr>
          <w:sz w:val="28"/>
          <w:szCs w:val="28"/>
          <w:lang w:val="uk-UA"/>
        </w:rPr>
        <w:t>ш</w:t>
      </w:r>
      <w:r>
        <w:rPr>
          <w:sz w:val="28"/>
          <w:szCs w:val="28"/>
          <w:lang w:val="uk-UA"/>
        </w:rPr>
        <w:t>ньошлункового рН.</w:t>
      </w:r>
    </w:p>
    <w:p w:rsidR="009347A9" w:rsidRDefault="009347A9" w:rsidP="009347A9">
      <w:pPr>
        <w:pStyle w:val="1fff4"/>
        <w:spacing w:before="0" w:after="0" w:line="360" w:lineRule="exact"/>
        <w:ind w:firstLine="709"/>
        <w:jc w:val="both"/>
        <w:rPr>
          <w:sz w:val="28"/>
          <w:szCs w:val="28"/>
          <w:lang w:val="uk-UA"/>
        </w:rPr>
      </w:pPr>
      <w:r>
        <w:rPr>
          <w:sz w:val="28"/>
          <w:szCs w:val="28"/>
          <w:lang w:val="uk-UA"/>
        </w:rPr>
        <w:t xml:space="preserve">Дослідження проведено в 2 етапи. На </w:t>
      </w:r>
      <w:r>
        <w:rPr>
          <w:i/>
          <w:sz w:val="28"/>
          <w:szCs w:val="28"/>
          <w:lang w:val="uk-UA"/>
        </w:rPr>
        <w:t>першому етапі</w:t>
      </w:r>
      <w:r>
        <w:rPr>
          <w:sz w:val="28"/>
          <w:szCs w:val="28"/>
          <w:lang w:val="uk-UA"/>
        </w:rPr>
        <w:t xml:space="preserve"> обстежено 237 хв</w:t>
      </w:r>
      <w:r>
        <w:rPr>
          <w:sz w:val="28"/>
          <w:szCs w:val="28"/>
          <w:lang w:val="uk-UA"/>
        </w:rPr>
        <w:t>о</w:t>
      </w:r>
      <w:r>
        <w:rPr>
          <w:sz w:val="28"/>
          <w:szCs w:val="28"/>
          <w:lang w:val="uk-UA"/>
        </w:rPr>
        <w:t>рих, яким встановлено діагноз ХП в фазі загострення, та ще не призначено л</w:t>
      </w:r>
      <w:r>
        <w:rPr>
          <w:sz w:val="28"/>
          <w:szCs w:val="28"/>
          <w:lang w:val="uk-UA"/>
        </w:rPr>
        <w:t>і</w:t>
      </w:r>
      <w:r>
        <w:rPr>
          <w:sz w:val="28"/>
          <w:szCs w:val="28"/>
          <w:lang w:val="uk-UA"/>
        </w:rPr>
        <w:t>кування.</w:t>
      </w:r>
    </w:p>
    <w:p w:rsidR="009347A9" w:rsidRDefault="009347A9" w:rsidP="009347A9">
      <w:pPr>
        <w:spacing w:line="360" w:lineRule="exact"/>
        <w:ind w:firstLine="709"/>
        <w:jc w:val="both"/>
        <w:rPr>
          <w:bCs/>
          <w:sz w:val="28"/>
          <w:szCs w:val="28"/>
          <w:lang w:val="uk-UA"/>
        </w:rPr>
      </w:pPr>
      <w:r>
        <w:rPr>
          <w:sz w:val="28"/>
          <w:szCs w:val="28"/>
          <w:lang w:val="uk-UA"/>
        </w:rPr>
        <w:t xml:space="preserve">Всіх хворих розподілили на дві групи: </w:t>
      </w:r>
      <w:r>
        <w:rPr>
          <w:i/>
          <w:sz w:val="28"/>
          <w:szCs w:val="28"/>
          <w:lang w:val="uk-UA"/>
        </w:rPr>
        <w:t>основна та порівняльна</w:t>
      </w:r>
      <w:r>
        <w:rPr>
          <w:sz w:val="28"/>
          <w:szCs w:val="28"/>
          <w:lang w:val="uk-UA"/>
        </w:rPr>
        <w:t xml:space="preserve">. До </w:t>
      </w:r>
      <w:r>
        <w:rPr>
          <w:i/>
          <w:sz w:val="28"/>
          <w:szCs w:val="28"/>
          <w:lang w:val="uk-UA"/>
        </w:rPr>
        <w:t>осно</w:t>
      </w:r>
      <w:r>
        <w:rPr>
          <w:i/>
          <w:sz w:val="28"/>
          <w:szCs w:val="28"/>
          <w:lang w:val="uk-UA"/>
        </w:rPr>
        <w:t>в</w:t>
      </w:r>
      <w:r>
        <w:rPr>
          <w:i/>
          <w:sz w:val="28"/>
          <w:szCs w:val="28"/>
          <w:lang w:val="uk-UA"/>
        </w:rPr>
        <w:t>ної</w:t>
      </w:r>
      <w:r>
        <w:rPr>
          <w:sz w:val="28"/>
          <w:szCs w:val="28"/>
          <w:lang w:val="uk-UA"/>
        </w:rPr>
        <w:t xml:space="preserve"> групи відносили хворих на ХП у випадку виявлення гіперацидності в шлу</w:t>
      </w:r>
      <w:r>
        <w:rPr>
          <w:sz w:val="28"/>
          <w:szCs w:val="28"/>
          <w:lang w:val="uk-UA"/>
        </w:rPr>
        <w:t>н</w:t>
      </w:r>
      <w:r>
        <w:rPr>
          <w:sz w:val="28"/>
          <w:szCs w:val="28"/>
          <w:lang w:val="uk-UA"/>
        </w:rPr>
        <w:t>ку за методикою комп’ютерної внутрішньошлункової експрес рН-метрії (четв</w:t>
      </w:r>
      <w:r>
        <w:rPr>
          <w:sz w:val="28"/>
          <w:szCs w:val="28"/>
          <w:lang w:val="uk-UA"/>
        </w:rPr>
        <w:t>е</w:t>
      </w:r>
      <w:r>
        <w:rPr>
          <w:sz w:val="28"/>
          <w:szCs w:val="28"/>
          <w:lang w:val="uk-UA"/>
        </w:rPr>
        <w:t>ртий чи п’ятий функціональний інтервал (ФІ) рН за Чернобровим). Групу ро</w:t>
      </w:r>
      <w:r>
        <w:rPr>
          <w:sz w:val="28"/>
          <w:szCs w:val="28"/>
          <w:lang w:val="uk-UA"/>
        </w:rPr>
        <w:t>з</w:t>
      </w:r>
      <w:r>
        <w:rPr>
          <w:sz w:val="28"/>
          <w:szCs w:val="28"/>
          <w:lang w:val="uk-UA"/>
        </w:rPr>
        <w:t xml:space="preserve">ділили на дві підгрупи: перша підгрупа - гіперацидність </w:t>
      </w:r>
      <w:r>
        <w:rPr>
          <w:bCs/>
          <w:sz w:val="28"/>
          <w:szCs w:val="28"/>
          <w:lang w:val="uk-UA"/>
        </w:rPr>
        <w:t>виражена при рН</w:t>
      </w:r>
      <w:r>
        <w:rPr>
          <w:bCs/>
          <w:noProof/>
          <w:sz w:val="28"/>
          <w:szCs w:val="28"/>
          <w:lang w:val="uk-UA"/>
        </w:rPr>
        <w:t xml:space="preserve"> 0,86 — 1,29</w:t>
      </w:r>
      <w:r>
        <w:rPr>
          <w:bCs/>
          <w:sz w:val="28"/>
          <w:szCs w:val="28"/>
          <w:lang w:val="uk-UA"/>
        </w:rPr>
        <w:t xml:space="preserve"> (ФІ рН5)</w:t>
      </w:r>
      <w:r>
        <w:rPr>
          <w:sz w:val="28"/>
          <w:szCs w:val="28"/>
          <w:lang w:val="uk-UA"/>
        </w:rPr>
        <w:t>; друга підгрупа</w:t>
      </w:r>
      <w:r>
        <w:rPr>
          <w:bCs/>
          <w:noProof/>
          <w:sz w:val="28"/>
          <w:szCs w:val="28"/>
          <w:lang w:val="uk-UA"/>
        </w:rPr>
        <w:t xml:space="preserve"> —</w:t>
      </w:r>
      <w:r>
        <w:rPr>
          <w:bCs/>
          <w:sz w:val="28"/>
          <w:szCs w:val="28"/>
          <w:lang w:val="uk-UA"/>
        </w:rPr>
        <w:t xml:space="preserve"> гіперацидність</w:t>
      </w:r>
      <w:r>
        <w:rPr>
          <w:sz w:val="28"/>
          <w:szCs w:val="28"/>
          <w:lang w:val="uk-UA"/>
        </w:rPr>
        <w:t xml:space="preserve"> помірна при рН</w:t>
      </w:r>
      <w:r>
        <w:rPr>
          <w:noProof/>
          <w:sz w:val="28"/>
          <w:szCs w:val="28"/>
          <w:lang w:val="uk-UA"/>
        </w:rPr>
        <w:t xml:space="preserve"> 1,3 — 1,59</w:t>
      </w:r>
      <w:r>
        <w:rPr>
          <w:sz w:val="28"/>
          <w:szCs w:val="28"/>
          <w:lang w:val="uk-UA"/>
        </w:rPr>
        <w:t xml:space="preserve"> (ФІ рН4)</w:t>
      </w:r>
      <w:r>
        <w:rPr>
          <w:bCs/>
          <w:sz w:val="28"/>
          <w:szCs w:val="28"/>
          <w:lang w:val="uk-UA"/>
        </w:rPr>
        <w:t xml:space="preserve">. До </w:t>
      </w:r>
      <w:r>
        <w:rPr>
          <w:bCs/>
          <w:i/>
          <w:sz w:val="28"/>
          <w:szCs w:val="28"/>
          <w:lang w:val="uk-UA"/>
        </w:rPr>
        <w:t>порівняльної</w:t>
      </w:r>
      <w:r>
        <w:rPr>
          <w:bCs/>
          <w:sz w:val="28"/>
          <w:szCs w:val="28"/>
          <w:lang w:val="uk-UA"/>
        </w:rPr>
        <w:t xml:space="preserve"> групи </w:t>
      </w:r>
      <w:r>
        <w:rPr>
          <w:sz w:val="28"/>
          <w:szCs w:val="28"/>
          <w:lang w:val="uk-UA"/>
        </w:rPr>
        <w:t>відносили хворих на ХП у випадку виявлення нормоацидності або гіпоацидності в шлунку за методикою комп’ютерної ек</w:t>
      </w:r>
      <w:r>
        <w:rPr>
          <w:sz w:val="28"/>
          <w:szCs w:val="28"/>
          <w:lang w:val="uk-UA"/>
        </w:rPr>
        <w:t>с</w:t>
      </w:r>
      <w:r>
        <w:rPr>
          <w:sz w:val="28"/>
          <w:szCs w:val="28"/>
          <w:lang w:val="uk-UA"/>
        </w:rPr>
        <w:t>прес-гастро-рН-метрії. Групу розділили на три підгрупи: перша підгрупа - но</w:t>
      </w:r>
      <w:r>
        <w:rPr>
          <w:sz w:val="28"/>
          <w:szCs w:val="28"/>
          <w:lang w:val="uk-UA"/>
        </w:rPr>
        <w:t>р</w:t>
      </w:r>
      <w:r>
        <w:rPr>
          <w:sz w:val="28"/>
          <w:szCs w:val="28"/>
          <w:lang w:val="uk-UA"/>
        </w:rPr>
        <w:t>моацидність при рН</w:t>
      </w:r>
      <w:r>
        <w:rPr>
          <w:noProof/>
          <w:sz w:val="28"/>
          <w:szCs w:val="28"/>
          <w:lang w:val="uk-UA"/>
        </w:rPr>
        <w:t xml:space="preserve"> 1,6 — 2,29 (</w:t>
      </w:r>
      <w:r>
        <w:rPr>
          <w:bCs/>
          <w:sz w:val="28"/>
          <w:szCs w:val="28"/>
          <w:lang w:val="uk-UA"/>
        </w:rPr>
        <w:t>ФІ рН3</w:t>
      </w:r>
      <w:r>
        <w:rPr>
          <w:sz w:val="28"/>
          <w:szCs w:val="28"/>
          <w:lang w:val="uk-UA"/>
        </w:rPr>
        <w:t>); друга підгрупа - гіпоацидність помі</w:t>
      </w:r>
      <w:r>
        <w:rPr>
          <w:sz w:val="28"/>
          <w:szCs w:val="28"/>
          <w:lang w:val="uk-UA"/>
        </w:rPr>
        <w:t>р</w:t>
      </w:r>
      <w:r>
        <w:rPr>
          <w:sz w:val="28"/>
          <w:szCs w:val="28"/>
          <w:lang w:val="uk-UA"/>
        </w:rPr>
        <w:t>на при рН</w:t>
      </w:r>
      <w:r>
        <w:rPr>
          <w:noProof/>
          <w:sz w:val="28"/>
          <w:szCs w:val="28"/>
          <w:lang w:val="uk-UA"/>
        </w:rPr>
        <w:t xml:space="preserve"> 2,3 — 3,59 (</w:t>
      </w:r>
      <w:r>
        <w:rPr>
          <w:bCs/>
          <w:sz w:val="28"/>
          <w:szCs w:val="28"/>
          <w:lang w:val="uk-UA"/>
        </w:rPr>
        <w:t xml:space="preserve">ФІ рН2); </w:t>
      </w:r>
      <w:r>
        <w:rPr>
          <w:sz w:val="28"/>
          <w:szCs w:val="28"/>
          <w:lang w:val="uk-UA"/>
        </w:rPr>
        <w:t>третя підгрупа - гіпоацидність виражена при рН</w:t>
      </w:r>
      <w:r>
        <w:rPr>
          <w:noProof/>
          <w:sz w:val="28"/>
          <w:szCs w:val="28"/>
          <w:lang w:val="uk-UA"/>
        </w:rPr>
        <w:t xml:space="preserve"> 3,6 — 6,99 (</w:t>
      </w:r>
      <w:r>
        <w:rPr>
          <w:bCs/>
          <w:sz w:val="28"/>
          <w:szCs w:val="28"/>
          <w:lang w:val="uk-UA"/>
        </w:rPr>
        <w:t>ФІ рН1</w:t>
      </w:r>
      <w:r>
        <w:rPr>
          <w:sz w:val="28"/>
          <w:szCs w:val="28"/>
          <w:lang w:val="uk-UA"/>
        </w:rPr>
        <w:t>).</w:t>
      </w:r>
    </w:p>
    <w:p w:rsidR="009347A9" w:rsidRDefault="009347A9" w:rsidP="009347A9">
      <w:pPr>
        <w:pStyle w:val="1fff4"/>
        <w:spacing w:before="0" w:after="0" w:line="360" w:lineRule="exact"/>
        <w:ind w:firstLine="709"/>
        <w:jc w:val="both"/>
        <w:rPr>
          <w:rStyle w:val="rvts8"/>
          <w:sz w:val="28"/>
          <w:szCs w:val="28"/>
          <w:lang w:val="uk-UA"/>
        </w:rPr>
      </w:pPr>
      <w:r>
        <w:rPr>
          <w:i/>
          <w:sz w:val="28"/>
          <w:szCs w:val="28"/>
          <w:lang w:val="uk-UA"/>
        </w:rPr>
        <w:t>На другому етапі</w:t>
      </w:r>
      <w:r>
        <w:rPr>
          <w:sz w:val="28"/>
          <w:szCs w:val="28"/>
          <w:lang w:val="uk-UA"/>
        </w:rPr>
        <w:t xml:space="preserve"> досліджували 142 хворих, які після обстеження та встановлення діагнозу ХП знаходились на амбулаторному лікуванні, яке, окрім ді</w:t>
      </w:r>
      <w:r>
        <w:rPr>
          <w:sz w:val="28"/>
          <w:szCs w:val="28"/>
          <w:lang w:val="uk-UA"/>
        </w:rPr>
        <w:t>є</w:t>
      </w:r>
      <w:r>
        <w:rPr>
          <w:sz w:val="28"/>
          <w:szCs w:val="28"/>
          <w:lang w:val="uk-UA"/>
        </w:rPr>
        <w:t>ти типу 5-П (за Певзнером), включало обов'язкове застосування міотропних спазмолітиків (но-шпа, дуспаталін), анальгетиків (баралгін, парацетамол), ферментних препаратів (креон) та диференційоване призначення кислотознижу</w:t>
      </w:r>
      <w:r>
        <w:rPr>
          <w:sz w:val="28"/>
          <w:szCs w:val="28"/>
          <w:lang w:val="uk-UA"/>
        </w:rPr>
        <w:t>ю</w:t>
      </w:r>
      <w:r>
        <w:rPr>
          <w:sz w:val="28"/>
          <w:szCs w:val="28"/>
          <w:lang w:val="uk-UA"/>
        </w:rPr>
        <w:t xml:space="preserve">чих препаратів. </w:t>
      </w:r>
      <w:r>
        <w:rPr>
          <w:rStyle w:val="rvts8"/>
          <w:sz w:val="28"/>
          <w:szCs w:val="28"/>
          <w:lang w:val="uk-UA"/>
        </w:rPr>
        <w:t>Всіх обстежених цієї групи було розподілено на 3 групи, репр</w:t>
      </w:r>
      <w:r>
        <w:rPr>
          <w:rStyle w:val="rvts8"/>
          <w:sz w:val="28"/>
          <w:szCs w:val="28"/>
          <w:lang w:val="uk-UA"/>
        </w:rPr>
        <w:t>е</w:t>
      </w:r>
      <w:r>
        <w:rPr>
          <w:rStyle w:val="rvts8"/>
          <w:sz w:val="28"/>
          <w:szCs w:val="28"/>
          <w:lang w:val="uk-UA"/>
        </w:rPr>
        <w:t xml:space="preserve">зентативних за чисельністю, віком і статтю. </w:t>
      </w:r>
    </w:p>
    <w:p w:rsidR="009347A9" w:rsidRDefault="009347A9" w:rsidP="009347A9">
      <w:pPr>
        <w:spacing w:line="360" w:lineRule="exact"/>
        <w:ind w:firstLine="709"/>
        <w:jc w:val="both"/>
        <w:rPr>
          <w:sz w:val="28"/>
          <w:szCs w:val="28"/>
          <w:lang w:val="uk-UA"/>
        </w:rPr>
      </w:pPr>
      <w:r>
        <w:rPr>
          <w:sz w:val="28"/>
          <w:szCs w:val="28"/>
          <w:lang w:val="uk-UA"/>
        </w:rPr>
        <w:t xml:space="preserve">Пацієнти </w:t>
      </w:r>
      <w:r>
        <w:rPr>
          <w:i/>
          <w:sz w:val="28"/>
          <w:szCs w:val="28"/>
          <w:lang w:val="uk-UA"/>
        </w:rPr>
        <w:t>першої групи</w:t>
      </w:r>
      <w:r>
        <w:rPr>
          <w:sz w:val="28"/>
          <w:szCs w:val="28"/>
          <w:lang w:val="uk-UA"/>
        </w:rPr>
        <w:t xml:space="preserve"> (31 особа), хворі на ХП отримували лише обов’язкове лікування.</w:t>
      </w:r>
    </w:p>
    <w:p w:rsidR="009347A9" w:rsidRDefault="009347A9" w:rsidP="009347A9">
      <w:pPr>
        <w:spacing w:line="360" w:lineRule="exact"/>
        <w:ind w:firstLine="709"/>
        <w:jc w:val="both"/>
        <w:rPr>
          <w:sz w:val="28"/>
          <w:szCs w:val="28"/>
          <w:lang w:val="uk-UA"/>
        </w:rPr>
      </w:pPr>
      <w:r>
        <w:rPr>
          <w:sz w:val="28"/>
          <w:szCs w:val="28"/>
          <w:lang w:val="uk-UA"/>
        </w:rPr>
        <w:t xml:space="preserve">Пацієнти </w:t>
      </w:r>
      <w:r>
        <w:rPr>
          <w:i/>
          <w:sz w:val="28"/>
          <w:szCs w:val="28"/>
          <w:lang w:val="uk-UA"/>
        </w:rPr>
        <w:t>другої групи</w:t>
      </w:r>
      <w:r>
        <w:rPr>
          <w:sz w:val="28"/>
          <w:szCs w:val="28"/>
          <w:lang w:val="uk-UA"/>
        </w:rPr>
        <w:t xml:space="preserve"> - 40 хворих на ХП, які окрім обов’язкового лік</w:t>
      </w:r>
      <w:r>
        <w:rPr>
          <w:sz w:val="28"/>
          <w:szCs w:val="28"/>
          <w:lang w:val="uk-UA"/>
        </w:rPr>
        <w:t>у</w:t>
      </w:r>
      <w:r>
        <w:rPr>
          <w:sz w:val="28"/>
          <w:szCs w:val="28"/>
          <w:lang w:val="uk-UA"/>
        </w:rPr>
        <w:t>вання отримували фамотидин.</w:t>
      </w:r>
    </w:p>
    <w:p w:rsidR="009347A9" w:rsidRDefault="009347A9" w:rsidP="009347A9">
      <w:pPr>
        <w:spacing w:line="360" w:lineRule="exact"/>
        <w:ind w:firstLine="709"/>
        <w:jc w:val="both"/>
        <w:rPr>
          <w:sz w:val="28"/>
          <w:szCs w:val="28"/>
          <w:lang w:val="uk-UA"/>
        </w:rPr>
      </w:pPr>
      <w:r>
        <w:rPr>
          <w:sz w:val="28"/>
          <w:szCs w:val="28"/>
          <w:lang w:val="uk-UA"/>
        </w:rPr>
        <w:lastRenderedPageBreak/>
        <w:t xml:space="preserve">Хворі </w:t>
      </w:r>
      <w:r>
        <w:rPr>
          <w:i/>
          <w:sz w:val="28"/>
          <w:szCs w:val="28"/>
          <w:lang w:val="uk-UA"/>
        </w:rPr>
        <w:t>третьої групи</w:t>
      </w:r>
      <w:r>
        <w:rPr>
          <w:sz w:val="28"/>
          <w:szCs w:val="28"/>
          <w:lang w:val="uk-UA"/>
        </w:rPr>
        <w:t xml:space="preserve"> - 46 хворих на ХП, які окрім обов’язкового лікува</w:t>
      </w:r>
      <w:r>
        <w:rPr>
          <w:sz w:val="28"/>
          <w:szCs w:val="28"/>
          <w:lang w:val="uk-UA"/>
        </w:rPr>
        <w:t>н</w:t>
      </w:r>
      <w:r>
        <w:rPr>
          <w:sz w:val="28"/>
          <w:szCs w:val="28"/>
          <w:lang w:val="uk-UA"/>
        </w:rPr>
        <w:t>ня отримували пантопразол.</w:t>
      </w:r>
    </w:p>
    <w:p w:rsidR="009347A9" w:rsidRDefault="009347A9" w:rsidP="009347A9">
      <w:pPr>
        <w:spacing w:line="360" w:lineRule="exact"/>
        <w:ind w:firstLine="709"/>
        <w:jc w:val="both"/>
        <w:rPr>
          <w:sz w:val="28"/>
          <w:szCs w:val="28"/>
          <w:lang w:val="uk-UA"/>
        </w:rPr>
      </w:pPr>
      <w:r>
        <w:rPr>
          <w:sz w:val="28"/>
          <w:szCs w:val="28"/>
          <w:lang w:val="uk-UA"/>
        </w:rPr>
        <w:t xml:space="preserve">Хворі </w:t>
      </w:r>
      <w:r>
        <w:rPr>
          <w:i/>
          <w:sz w:val="28"/>
          <w:szCs w:val="28"/>
          <w:lang w:val="uk-UA"/>
        </w:rPr>
        <w:t>четвертої групи</w:t>
      </w:r>
      <w:r>
        <w:rPr>
          <w:sz w:val="28"/>
          <w:szCs w:val="28"/>
          <w:lang w:val="uk-UA"/>
        </w:rPr>
        <w:t xml:space="preserve"> - 35 хворих на ХП, яким окрім обов’язкового лік</w:t>
      </w:r>
      <w:r>
        <w:rPr>
          <w:sz w:val="28"/>
          <w:szCs w:val="28"/>
          <w:lang w:val="uk-UA"/>
        </w:rPr>
        <w:t>у</w:t>
      </w:r>
      <w:r>
        <w:rPr>
          <w:sz w:val="28"/>
          <w:szCs w:val="28"/>
          <w:lang w:val="uk-UA"/>
        </w:rPr>
        <w:t>вання призначали комбіновану терапію фамотидином та пантопразолом.</w:t>
      </w:r>
    </w:p>
    <w:p w:rsidR="009347A9" w:rsidRDefault="009347A9" w:rsidP="009347A9">
      <w:pPr>
        <w:spacing w:line="360" w:lineRule="exact"/>
        <w:ind w:firstLine="709"/>
        <w:jc w:val="both"/>
        <w:rPr>
          <w:sz w:val="28"/>
          <w:szCs w:val="28"/>
          <w:lang w:val="uk-UA"/>
        </w:rPr>
      </w:pPr>
      <w:r>
        <w:rPr>
          <w:color w:val="000000"/>
          <w:sz w:val="28"/>
          <w:szCs w:val="28"/>
          <w:lang w:val="uk-UA"/>
        </w:rPr>
        <w:t xml:space="preserve">Для переважної більшості хворих на ХП характерним був біль </w:t>
      </w:r>
      <w:r>
        <w:rPr>
          <w:sz w:val="28"/>
          <w:szCs w:val="28"/>
          <w:lang w:val="uk-UA"/>
        </w:rPr>
        <w:t>різного характеру у верхньому відділі живота. Більшість хворих скаржились на біль в епігастральній зоні (38,56 %), біль у правому підребер'ї (31,78 %). Рідше хворі ск</w:t>
      </w:r>
      <w:r>
        <w:rPr>
          <w:sz w:val="28"/>
          <w:szCs w:val="28"/>
          <w:lang w:val="uk-UA"/>
        </w:rPr>
        <w:t>а</w:t>
      </w:r>
      <w:r>
        <w:rPr>
          <w:sz w:val="28"/>
          <w:szCs w:val="28"/>
          <w:lang w:val="uk-UA"/>
        </w:rPr>
        <w:t>ржились на біль в лівому підребер'ї (</w:t>
      </w:r>
      <w:r>
        <w:rPr>
          <w:color w:val="000000"/>
          <w:sz w:val="28"/>
          <w:szCs w:val="28"/>
          <w:lang w:val="uk-UA"/>
        </w:rPr>
        <w:t xml:space="preserve">16,53 </w:t>
      </w:r>
      <w:r>
        <w:rPr>
          <w:sz w:val="28"/>
          <w:szCs w:val="28"/>
          <w:lang w:val="uk-UA"/>
        </w:rPr>
        <w:t>% випадків). Біль в епігастрії часто супроводжувалась іррадіацією у спину, рідше біль віддавав у ліву половину грудної клітки. У 69,78 % хворих мали місце відчуття тиску та важкості в епіг</w:t>
      </w:r>
      <w:r>
        <w:rPr>
          <w:sz w:val="28"/>
          <w:szCs w:val="28"/>
          <w:lang w:val="uk-UA"/>
        </w:rPr>
        <w:t>а</w:t>
      </w:r>
      <w:r>
        <w:rPr>
          <w:sz w:val="28"/>
          <w:szCs w:val="28"/>
          <w:lang w:val="uk-UA"/>
        </w:rPr>
        <w:t>стральній зоні.</w:t>
      </w:r>
    </w:p>
    <w:p w:rsidR="009347A9" w:rsidRDefault="009347A9" w:rsidP="009347A9">
      <w:pPr>
        <w:pStyle w:val="Aftoref"/>
        <w:spacing w:line="360" w:lineRule="exact"/>
        <w:ind w:firstLine="709"/>
        <w:rPr>
          <w:spacing w:val="0"/>
        </w:rPr>
      </w:pPr>
      <w:r>
        <w:rPr>
          <w:spacing w:val="0"/>
        </w:rPr>
        <w:t>Больові відчуття супроводжувалися диспептичними розладами. Спостер</w:t>
      </w:r>
      <w:r>
        <w:rPr>
          <w:spacing w:val="0"/>
        </w:rPr>
        <w:t>і</w:t>
      </w:r>
      <w:r>
        <w:rPr>
          <w:spacing w:val="0"/>
        </w:rPr>
        <w:t>гались нудота, що часто не мала зв'язку з прийомом їжі, блювання, що не пр</w:t>
      </w:r>
      <w:r>
        <w:rPr>
          <w:spacing w:val="0"/>
        </w:rPr>
        <w:t>и</w:t>
      </w:r>
      <w:r>
        <w:rPr>
          <w:spacing w:val="0"/>
        </w:rPr>
        <w:t>носило полегшення, метеоризм. У більшості хворих (78,35 %) відзначалися зниження апетиту та маси тіла.</w:t>
      </w:r>
    </w:p>
    <w:p w:rsidR="009347A9" w:rsidRDefault="009347A9" w:rsidP="009347A9">
      <w:pPr>
        <w:widowControl w:val="0"/>
        <w:spacing w:line="360" w:lineRule="exact"/>
        <w:ind w:firstLine="709"/>
        <w:jc w:val="both"/>
        <w:rPr>
          <w:color w:val="000000"/>
          <w:sz w:val="28"/>
          <w:szCs w:val="28"/>
          <w:lang w:val="uk-UA"/>
        </w:rPr>
      </w:pPr>
      <w:r>
        <w:rPr>
          <w:sz w:val="28"/>
          <w:szCs w:val="28"/>
          <w:lang w:val="uk-UA"/>
        </w:rPr>
        <w:t>Серед обстежених на обох етапах переважали хворі віком від 36 до 60 р</w:t>
      </w:r>
      <w:r>
        <w:rPr>
          <w:sz w:val="28"/>
          <w:szCs w:val="28"/>
          <w:lang w:val="uk-UA"/>
        </w:rPr>
        <w:t>о</w:t>
      </w:r>
      <w:r>
        <w:rPr>
          <w:sz w:val="28"/>
          <w:szCs w:val="28"/>
          <w:lang w:val="uk-UA"/>
        </w:rPr>
        <w:t>ків</w:t>
      </w:r>
      <w:r>
        <w:rPr>
          <w:color w:val="000000"/>
          <w:sz w:val="28"/>
          <w:szCs w:val="28"/>
          <w:lang w:val="uk-UA"/>
        </w:rPr>
        <w:t xml:space="preserve"> (на І етапі - 53,81 %; на ІІ етапі -  52,63%).</w:t>
      </w:r>
    </w:p>
    <w:p w:rsidR="009347A9" w:rsidRDefault="009347A9" w:rsidP="009347A9">
      <w:pPr>
        <w:widowControl w:val="0"/>
        <w:spacing w:line="360" w:lineRule="exact"/>
        <w:ind w:firstLine="709"/>
        <w:jc w:val="both"/>
        <w:rPr>
          <w:snapToGrid w:val="0"/>
          <w:sz w:val="28"/>
          <w:szCs w:val="28"/>
          <w:lang w:val="uk-UA"/>
        </w:rPr>
      </w:pPr>
      <w:r>
        <w:rPr>
          <w:color w:val="000000"/>
          <w:sz w:val="28"/>
          <w:szCs w:val="28"/>
          <w:lang w:val="uk-UA"/>
        </w:rPr>
        <w:t>Тривалість захворювання в обстежених пацієнтів з ХП коливалася в м</w:t>
      </w:r>
      <w:r>
        <w:rPr>
          <w:color w:val="000000"/>
          <w:sz w:val="28"/>
          <w:szCs w:val="28"/>
          <w:lang w:val="uk-UA"/>
        </w:rPr>
        <w:t>е</w:t>
      </w:r>
      <w:r>
        <w:rPr>
          <w:color w:val="000000"/>
          <w:sz w:val="28"/>
          <w:szCs w:val="28"/>
          <w:lang w:val="uk-UA"/>
        </w:rPr>
        <w:t>жах від 6 місяців до 26 років. Звертає на себе увагу те, що в міру збільшення тривалості хвороби зменшувалася кількість чоловіків від 72,7% серед пацієнтів, хворих строком до 1 року, до 20,0% серед осіб, які хворіють від 11 до 20 років</w:t>
      </w:r>
      <w:r>
        <w:rPr>
          <w:snapToGrid w:val="0"/>
          <w:sz w:val="28"/>
          <w:szCs w:val="28"/>
          <w:lang w:val="uk-UA"/>
        </w:rPr>
        <w:t>. Найбільше хворих нашої вибірки хворіли від двох до 10 років (58,5%).</w:t>
      </w:r>
    </w:p>
    <w:p w:rsidR="009347A9" w:rsidRDefault="009347A9" w:rsidP="009347A9">
      <w:pPr>
        <w:widowControl w:val="0"/>
        <w:spacing w:line="360" w:lineRule="exact"/>
        <w:ind w:firstLine="709"/>
        <w:jc w:val="both"/>
        <w:rPr>
          <w:snapToGrid w:val="0"/>
          <w:sz w:val="28"/>
          <w:szCs w:val="28"/>
          <w:highlight w:val="yellow"/>
          <w:lang w:val="uk-UA"/>
        </w:rPr>
      </w:pPr>
      <w:r>
        <w:rPr>
          <w:sz w:val="28"/>
          <w:szCs w:val="28"/>
          <w:lang w:val="uk-UA"/>
        </w:rPr>
        <w:t xml:space="preserve">Інтенсивність болю при ХП оцінювалась за міжнародною бально-ранговою шкалою та ранжувалась за 10 балами.  </w:t>
      </w:r>
    </w:p>
    <w:p w:rsidR="009347A9" w:rsidRDefault="009347A9" w:rsidP="009347A9">
      <w:pPr>
        <w:widowControl w:val="0"/>
        <w:spacing w:line="360" w:lineRule="exact"/>
        <w:ind w:firstLine="709"/>
        <w:jc w:val="both"/>
        <w:rPr>
          <w:snapToGrid w:val="0"/>
          <w:sz w:val="28"/>
          <w:szCs w:val="28"/>
          <w:lang w:val="uk-UA"/>
        </w:rPr>
      </w:pPr>
      <w:r>
        <w:rPr>
          <w:sz w:val="28"/>
          <w:szCs w:val="28"/>
          <w:lang w:val="uk-UA"/>
        </w:rPr>
        <w:t>Статистичну обробку отриманих результатів провели з використанням програми “STATISTICA 5.5” (ліцензійний № AXXR910A374605FA, належить ЦНІТ ВНМУ ім. М.І.Пирогова) з використанням параметричних і непараметр</w:t>
      </w:r>
      <w:r>
        <w:rPr>
          <w:sz w:val="28"/>
          <w:szCs w:val="28"/>
          <w:lang w:val="uk-UA"/>
        </w:rPr>
        <w:t>и</w:t>
      </w:r>
      <w:r>
        <w:rPr>
          <w:sz w:val="28"/>
          <w:szCs w:val="28"/>
          <w:lang w:val="uk-UA"/>
        </w:rPr>
        <w:t>чних методів оцінки отриманих результатів. Окрім описової статистичної обр</w:t>
      </w:r>
      <w:r>
        <w:rPr>
          <w:sz w:val="28"/>
          <w:szCs w:val="28"/>
          <w:lang w:val="uk-UA"/>
        </w:rPr>
        <w:t>о</w:t>
      </w:r>
      <w:r>
        <w:rPr>
          <w:sz w:val="28"/>
          <w:szCs w:val="28"/>
          <w:lang w:val="uk-UA"/>
        </w:rPr>
        <w:t>бки даних, визначали достовірність різниці значень між дослідними групами при нормальності розподілів за критерієм Стьюдента, а в інших випадках – за допомогою U-критерію Мана-Уітні. Для визначення взаємозв’язків між пока</w:t>
      </w:r>
      <w:r>
        <w:rPr>
          <w:sz w:val="28"/>
          <w:szCs w:val="28"/>
          <w:lang w:val="uk-UA"/>
        </w:rPr>
        <w:t>з</w:t>
      </w:r>
      <w:r>
        <w:rPr>
          <w:sz w:val="28"/>
          <w:szCs w:val="28"/>
          <w:lang w:val="uk-UA"/>
        </w:rPr>
        <w:t xml:space="preserve">никами використовували </w:t>
      </w:r>
      <w:r>
        <w:rPr>
          <w:snapToGrid w:val="0"/>
          <w:sz w:val="28"/>
          <w:szCs w:val="28"/>
          <w:lang w:val="uk-UA"/>
        </w:rPr>
        <w:t>метод парної кореляції Пірсона, а при непараметри</w:t>
      </w:r>
      <w:r>
        <w:rPr>
          <w:snapToGrid w:val="0"/>
          <w:sz w:val="28"/>
          <w:szCs w:val="28"/>
          <w:lang w:val="uk-UA"/>
        </w:rPr>
        <w:t>ч</w:t>
      </w:r>
      <w:r>
        <w:rPr>
          <w:snapToGrid w:val="0"/>
          <w:sz w:val="28"/>
          <w:szCs w:val="28"/>
          <w:lang w:val="uk-UA"/>
        </w:rPr>
        <w:t xml:space="preserve">них розподілах ознак застосовували рангову кореляцію Спірмена. </w:t>
      </w:r>
    </w:p>
    <w:p w:rsidR="009347A9" w:rsidRDefault="009347A9" w:rsidP="009347A9">
      <w:pPr>
        <w:spacing w:line="360" w:lineRule="exact"/>
        <w:ind w:firstLine="709"/>
        <w:rPr>
          <w:sz w:val="28"/>
          <w:szCs w:val="28"/>
          <w:lang w:val="uk-UA"/>
        </w:rPr>
      </w:pPr>
      <w:r>
        <w:rPr>
          <w:b/>
          <w:bCs/>
          <w:sz w:val="28"/>
          <w:szCs w:val="28"/>
          <w:lang w:val="uk-UA"/>
        </w:rPr>
        <w:t xml:space="preserve">Результати дослідження та їх аналіз. </w:t>
      </w:r>
      <w:r>
        <w:rPr>
          <w:sz w:val="28"/>
          <w:szCs w:val="28"/>
          <w:lang w:val="uk-UA"/>
        </w:rPr>
        <w:t>Виконані нами дослідження продемонстрували стан кислотоутворюючої функції шлунка у хворих на ХП. Ек</w:t>
      </w:r>
      <w:r>
        <w:rPr>
          <w:sz w:val="28"/>
          <w:szCs w:val="28"/>
          <w:lang w:val="uk-UA"/>
        </w:rPr>
        <w:t>с</w:t>
      </w:r>
      <w:r>
        <w:rPr>
          <w:sz w:val="28"/>
          <w:szCs w:val="28"/>
          <w:lang w:val="uk-UA"/>
        </w:rPr>
        <w:t>прес- pH –метрія показала, що серед досліджуваної вибірки хворих на ХП, що обстежувались в гастроентерологічній лабораторії, визначено в базальних ум</w:t>
      </w:r>
      <w:r>
        <w:rPr>
          <w:sz w:val="28"/>
          <w:szCs w:val="28"/>
          <w:lang w:val="uk-UA"/>
        </w:rPr>
        <w:t>о</w:t>
      </w:r>
      <w:r>
        <w:rPr>
          <w:sz w:val="28"/>
          <w:szCs w:val="28"/>
          <w:lang w:val="uk-UA"/>
        </w:rPr>
        <w:t xml:space="preserve">вах наступні рівні шлункової кислотності: 35,02% хворих мали гіперацидність, з них у 8,86% хворих виявили гіперацидність виражену (ФІpH-5), у 26,16 % - </w:t>
      </w:r>
      <w:r>
        <w:rPr>
          <w:sz w:val="28"/>
          <w:szCs w:val="28"/>
          <w:lang w:val="uk-UA"/>
        </w:rPr>
        <w:lastRenderedPageBreak/>
        <w:t>гіперацидність помірну (ФІpH-4), а 64,98 % хворих на ХП шлункової гіперац</w:t>
      </w:r>
      <w:r>
        <w:rPr>
          <w:sz w:val="28"/>
          <w:szCs w:val="28"/>
          <w:lang w:val="uk-UA"/>
        </w:rPr>
        <w:t>и</w:t>
      </w:r>
      <w:r>
        <w:rPr>
          <w:sz w:val="28"/>
          <w:szCs w:val="28"/>
          <w:lang w:val="uk-UA"/>
        </w:rPr>
        <w:t>дності не мали, з них у 17,30 % виявлено нормоацидність (ФІpH-3), у 21,94 % - гіпоацидність помірну (ФІpH-2), у 25,32 % - гіпоацидність виражену (ФІpH-1) і у одного хворого виявлена анацидність (ФІpH-0). За даними інших дослідників (Мелащенко С.Г., 1997) внутрішньошлункова ацидність у здорових осіб стан</w:t>
      </w:r>
      <w:r>
        <w:rPr>
          <w:sz w:val="28"/>
          <w:szCs w:val="28"/>
          <w:lang w:val="uk-UA"/>
        </w:rPr>
        <w:t>о</w:t>
      </w:r>
      <w:r>
        <w:rPr>
          <w:sz w:val="28"/>
          <w:szCs w:val="28"/>
          <w:lang w:val="uk-UA"/>
        </w:rPr>
        <w:t>вила: 11,36% мали гіперацидність виражену (ФІpH-5), 13,64% - гіперацидність помірну (ФІpH-4), у 68,18% виявлена нормоацидність (ФІpH-3), у 6,82% - гіп</w:t>
      </w:r>
      <w:r>
        <w:rPr>
          <w:sz w:val="28"/>
          <w:szCs w:val="28"/>
          <w:lang w:val="uk-UA"/>
        </w:rPr>
        <w:t>о</w:t>
      </w:r>
      <w:r>
        <w:rPr>
          <w:sz w:val="28"/>
          <w:szCs w:val="28"/>
          <w:lang w:val="uk-UA"/>
        </w:rPr>
        <w:t xml:space="preserve">ацидність помірна (ФІpH-2). </w:t>
      </w:r>
    </w:p>
    <w:p w:rsidR="009347A9" w:rsidRDefault="009347A9" w:rsidP="009347A9">
      <w:pPr>
        <w:spacing w:line="360" w:lineRule="exact"/>
        <w:ind w:firstLine="709"/>
        <w:rPr>
          <w:sz w:val="28"/>
          <w:szCs w:val="28"/>
          <w:lang w:val="uk-UA"/>
        </w:rPr>
      </w:pPr>
      <w:r>
        <w:rPr>
          <w:sz w:val="28"/>
          <w:szCs w:val="28"/>
          <w:lang w:val="uk-UA"/>
        </w:rPr>
        <w:t>Розподіл значень pH по довжині шлунка у хворих на ХП значно відрізн</w:t>
      </w:r>
      <w:r>
        <w:rPr>
          <w:sz w:val="28"/>
          <w:szCs w:val="28"/>
          <w:lang w:val="uk-UA"/>
        </w:rPr>
        <w:t>я</w:t>
      </w:r>
      <w:r>
        <w:rPr>
          <w:sz w:val="28"/>
          <w:szCs w:val="28"/>
          <w:lang w:val="uk-UA"/>
        </w:rPr>
        <w:t>ється від такого при пептичній виразці. У хворих на хронічний панкреатит сп</w:t>
      </w:r>
      <w:r>
        <w:rPr>
          <w:sz w:val="28"/>
          <w:szCs w:val="28"/>
          <w:lang w:val="uk-UA"/>
        </w:rPr>
        <w:t>о</w:t>
      </w:r>
      <w:r>
        <w:rPr>
          <w:sz w:val="28"/>
          <w:szCs w:val="28"/>
          <w:lang w:val="uk-UA"/>
        </w:rPr>
        <w:t>стерігалась тенденція до більшої протяжності гіпоацидних інтервалів та меншої протяжності гіперацидних, тоді як у хворих на пептичну виразку більшу пр</w:t>
      </w:r>
      <w:r>
        <w:rPr>
          <w:sz w:val="28"/>
          <w:szCs w:val="28"/>
          <w:lang w:val="uk-UA"/>
        </w:rPr>
        <w:t>о</w:t>
      </w:r>
      <w:r>
        <w:rPr>
          <w:sz w:val="28"/>
          <w:szCs w:val="28"/>
          <w:lang w:val="uk-UA"/>
        </w:rPr>
        <w:t>тяжність займали функціональні інтервали 5 і 4.</w:t>
      </w:r>
    </w:p>
    <w:p w:rsidR="009347A9" w:rsidRDefault="009347A9" w:rsidP="009347A9">
      <w:pPr>
        <w:autoSpaceDE w:val="0"/>
        <w:autoSpaceDN w:val="0"/>
        <w:adjustRightInd w:val="0"/>
        <w:spacing w:line="360" w:lineRule="exact"/>
        <w:ind w:firstLine="709"/>
        <w:jc w:val="both"/>
        <w:rPr>
          <w:sz w:val="28"/>
          <w:szCs w:val="28"/>
          <w:lang w:val="uk-UA"/>
        </w:rPr>
      </w:pPr>
      <w:r>
        <w:rPr>
          <w:sz w:val="28"/>
          <w:szCs w:val="28"/>
          <w:lang w:val="uk-UA"/>
        </w:rPr>
        <w:t>За віковим складом група хворих на ХП з гіперацидністю шлунка відрізнялась від групи з шлунковою нормоацидністю та гіпоацидністю. Базальна г</w:t>
      </w:r>
      <w:r>
        <w:rPr>
          <w:sz w:val="28"/>
          <w:szCs w:val="28"/>
          <w:lang w:val="uk-UA"/>
        </w:rPr>
        <w:t>і</w:t>
      </w:r>
      <w:r>
        <w:rPr>
          <w:sz w:val="28"/>
          <w:szCs w:val="28"/>
          <w:lang w:val="uk-UA"/>
        </w:rPr>
        <w:t>перацидність спостерігалась у хворих, молодших за віком, з супутніми H.pylori-залежними гастродуоденітом та пептичною виразкою. Базальна гіпоацидність у хворих на ХП виявлялась у пацієнтів старше 50 років, при супутніх холецист</w:t>
      </w:r>
      <w:r>
        <w:rPr>
          <w:sz w:val="28"/>
          <w:szCs w:val="28"/>
          <w:lang w:val="uk-UA"/>
        </w:rPr>
        <w:t>и</w:t>
      </w:r>
      <w:r>
        <w:rPr>
          <w:sz w:val="28"/>
          <w:szCs w:val="28"/>
          <w:lang w:val="uk-UA"/>
        </w:rPr>
        <w:t>тах (калькульозному та некалькульозному), при постхолецистектомічному си</w:t>
      </w:r>
      <w:r>
        <w:rPr>
          <w:sz w:val="28"/>
          <w:szCs w:val="28"/>
          <w:lang w:val="uk-UA"/>
        </w:rPr>
        <w:t>н</w:t>
      </w:r>
      <w:r>
        <w:rPr>
          <w:sz w:val="28"/>
          <w:szCs w:val="28"/>
          <w:lang w:val="uk-UA"/>
        </w:rPr>
        <w:t>дромі та дуоденогастральному рефлюксі жовчі.</w:t>
      </w:r>
    </w:p>
    <w:p w:rsidR="009347A9" w:rsidRDefault="009347A9" w:rsidP="009347A9">
      <w:pPr>
        <w:autoSpaceDE w:val="0"/>
        <w:autoSpaceDN w:val="0"/>
        <w:adjustRightInd w:val="0"/>
        <w:spacing w:line="360" w:lineRule="exact"/>
        <w:ind w:firstLine="709"/>
        <w:jc w:val="both"/>
        <w:rPr>
          <w:sz w:val="28"/>
          <w:szCs w:val="28"/>
          <w:lang w:val="uk-UA"/>
        </w:rPr>
      </w:pPr>
      <w:r>
        <w:rPr>
          <w:sz w:val="28"/>
          <w:szCs w:val="28"/>
          <w:lang w:val="uk-UA"/>
        </w:rPr>
        <w:t>Аналіз локалізації болю показав, що у хворих зі шлунковою гіперацидні</w:t>
      </w:r>
      <w:r>
        <w:rPr>
          <w:sz w:val="28"/>
          <w:szCs w:val="28"/>
          <w:lang w:val="uk-UA"/>
        </w:rPr>
        <w:t>с</w:t>
      </w:r>
      <w:r>
        <w:rPr>
          <w:sz w:val="28"/>
          <w:szCs w:val="28"/>
          <w:lang w:val="uk-UA"/>
        </w:rPr>
        <w:t>тю біль частіше локалізується не тільки в підребер'ях, а і в епігастрії, а у хв</w:t>
      </w:r>
      <w:r>
        <w:rPr>
          <w:sz w:val="28"/>
          <w:szCs w:val="28"/>
          <w:lang w:val="uk-UA"/>
        </w:rPr>
        <w:t>о</w:t>
      </w:r>
      <w:r>
        <w:rPr>
          <w:sz w:val="28"/>
          <w:szCs w:val="28"/>
          <w:lang w:val="uk-UA"/>
        </w:rPr>
        <w:t>рих, які не мають шлункової гіперацидності переважала локалізація саме в пі</w:t>
      </w:r>
      <w:r>
        <w:rPr>
          <w:sz w:val="28"/>
          <w:szCs w:val="28"/>
          <w:lang w:val="uk-UA"/>
        </w:rPr>
        <w:t>д</w:t>
      </w:r>
      <w:r>
        <w:rPr>
          <w:sz w:val="28"/>
          <w:szCs w:val="28"/>
          <w:lang w:val="uk-UA"/>
        </w:rPr>
        <w:t>ребер'ях.</w:t>
      </w:r>
    </w:p>
    <w:p w:rsidR="009347A9" w:rsidRDefault="009347A9" w:rsidP="009347A9">
      <w:pPr>
        <w:autoSpaceDE w:val="0"/>
        <w:autoSpaceDN w:val="0"/>
        <w:adjustRightInd w:val="0"/>
        <w:spacing w:line="360" w:lineRule="exact"/>
        <w:ind w:firstLine="709"/>
        <w:jc w:val="both"/>
        <w:rPr>
          <w:sz w:val="28"/>
          <w:szCs w:val="28"/>
          <w:lang w:val="uk-UA"/>
        </w:rPr>
      </w:pPr>
      <w:r>
        <w:rPr>
          <w:sz w:val="28"/>
          <w:szCs w:val="28"/>
          <w:lang w:val="uk-UA"/>
        </w:rPr>
        <w:t>Дослідження інтенсивності болю за міжнародною бально–ранговою шкалою виявило найвищий його рівень у хворих на ХП зі шлунковою гіперацидн</w:t>
      </w:r>
      <w:r>
        <w:rPr>
          <w:sz w:val="28"/>
          <w:szCs w:val="28"/>
          <w:lang w:val="uk-UA"/>
        </w:rPr>
        <w:t>і</w:t>
      </w:r>
      <w:r>
        <w:rPr>
          <w:sz w:val="28"/>
          <w:szCs w:val="28"/>
          <w:lang w:val="uk-UA"/>
        </w:rPr>
        <w:t>стю в основній групі (8,28 ± 0,63 бала). У порівняльній групі інтенсивність б</w:t>
      </w:r>
      <w:r>
        <w:rPr>
          <w:sz w:val="28"/>
          <w:szCs w:val="28"/>
          <w:lang w:val="uk-UA"/>
        </w:rPr>
        <w:t>о</w:t>
      </w:r>
      <w:r>
        <w:rPr>
          <w:sz w:val="28"/>
          <w:szCs w:val="28"/>
          <w:lang w:val="uk-UA"/>
        </w:rPr>
        <w:t>льового синдрому становила 5,57±0,64 бала (табл. 1). На основі кореляційного аналізу нами встановлено прямий позитивний зв'язок середньої сили між вел</w:t>
      </w:r>
      <w:r>
        <w:rPr>
          <w:sz w:val="28"/>
          <w:szCs w:val="28"/>
          <w:lang w:val="uk-UA"/>
        </w:rPr>
        <w:t>и</w:t>
      </w:r>
      <w:r>
        <w:rPr>
          <w:sz w:val="28"/>
          <w:szCs w:val="28"/>
          <w:lang w:val="uk-UA"/>
        </w:rPr>
        <w:t>чиною інтенсивності больового синдрому та тривалістю перебування значень внутрішньошлункового pH в ФІрН 5 і 4 в діапазоні pH 0,86 – 1,59 (r=0,45). У хворих зі шлунковою гіперацидністю загострення панкреатиту частіше проя</w:t>
      </w:r>
      <w:r>
        <w:rPr>
          <w:sz w:val="28"/>
          <w:szCs w:val="28"/>
          <w:lang w:val="uk-UA"/>
        </w:rPr>
        <w:t>в</w:t>
      </w:r>
      <w:r>
        <w:rPr>
          <w:sz w:val="28"/>
          <w:szCs w:val="28"/>
          <w:lang w:val="uk-UA"/>
        </w:rPr>
        <w:t>лялося нападоподібним болем, ніж постійним, а у хворих без гіперацидності частіше біль був постійним. У хворих з синдромом шлункової гіперацидності часто виникав біль в другій половині ночі та його інтенсивність була більшою, ніж у хворих без гіпераци</w:t>
      </w:r>
      <w:r>
        <w:rPr>
          <w:sz w:val="28"/>
          <w:szCs w:val="28"/>
          <w:lang w:val="uk-UA"/>
        </w:rPr>
        <w:t>д</w:t>
      </w:r>
      <w:r>
        <w:rPr>
          <w:sz w:val="28"/>
          <w:szCs w:val="28"/>
          <w:lang w:val="uk-UA"/>
        </w:rPr>
        <w:t>ності.</w:t>
      </w:r>
    </w:p>
    <w:p w:rsidR="009347A9" w:rsidRDefault="009347A9" w:rsidP="009347A9">
      <w:pPr>
        <w:widowControl w:val="0"/>
        <w:spacing w:line="360" w:lineRule="exact"/>
        <w:ind w:firstLine="720"/>
        <w:jc w:val="right"/>
        <w:rPr>
          <w:b/>
          <w:snapToGrid w:val="0"/>
          <w:sz w:val="28"/>
          <w:szCs w:val="28"/>
          <w:lang w:val="uk-UA"/>
        </w:rPr>
      </w:pPr>
      <w:r>
        <w:rPr>
          <w:b/>
          <w:snapToGrid w:val="0"/>
          <w:sz w:val="28"/>
          <w:szCs w:val="28"/>
          <w:lang w:val="uk-UA"/>
        </w:rPr>
        <w:t>Таблиця 1</w:t>
      </w:r>
    </w:p>
    <w:p w:rsidR="009347A9" w:rsidRDefault="009347A9" w:rsidP="009347A9">
      <w:pPr>
        <w:pStyle w:val="affffffff3"/>
        <w:widowControl w:val="0"/>
        <w:spacing w:after="0" w:line="360" w:lineRule="exact"/>
        <w:jc w:val="center"/>
        <w:rPr>
          <w:b/>
          <w:bCs/>
          <w:szCs w:val="28"/>
          <w:lang w:val="uk-UA"/>
        </w:rPr>
      </w:pPr>
      <w:r>
        <w:rPr>
          <w:b/>
          <w:szCs w:val="28"/>
          <w:lang w:val="uk-UA"/>
        </w:rPr>
        <w:t>Якісна та кількісна оцінка больового синдрому в хворих на ХП</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073"/>
        <w:gridCol w:w="743"/>
        <w:gridCol w:w="1578"/>
        <w:gridCol w:w="1701"/>
        <w:gridCol w:w="1709"/>
        <w:gridCol w:w="1585"/>
      </w:tblGrid>
      <w:tr w:rsidR="009347A9" w:rsidTr="003B6E3D">
        <w:trPr>
          <w:cantSplit/>
        </w:trPr>
        <w:tc>
          <w:tcPr>
            <w:tcW w:w="534" w:type="dxa"/>
            <w:vMerge w:val="restart"/>
            <w:textDirection w:val="btLr"/>
          </w:tcPr>
          <w:p w:rsidR="009347A9" w:rsidRDefault="009347A9" w:rsidP="003B6E3D">
            <w:pPr>
              <w:widowControl w:val="0"/>
              <w:ind w:left="113" w:right="113"/>
              <w:rPr>
                <w:sz w:val="28"/>
                <w:szCs w:val="28"/>
                <w:lang w:val="uk-UA"/>
              </w:rPr>
            </w:pPr>
            <w:r>
              <w:rPr>
                <w:sz w:val="28"/>
                <w:szCs w:val="28"/>
                <w:lang w:val="uk-UA"/>
              </w:rPr>
              <w:t xml:space="preserve">Група </w:t>
            </w:r>
          </w:p>
        </w:tc>
        <w:tc>
          <w:tcPr>
            <w:tcW w:w="2073" w:type="dxa"/>
            <w:vMerge w:val="restart"/>
          </w:tcPr>
          <w:p w:rsidR="009347A9" w:rsidRDefault="009347A9" w:rsidP="003B6E3D">
            <w:pPr>
              <w:widowControl w:val="0"/>
              <w:rPr>
                <w:sz w:val="28"/>
                <w:szCs w:val="28"/>
                <w:lang w:val="uk-UA"/>
              </w:rPr>
            </w:pPr>
            <w:r>
              <w:rPr>
                <w:sz w:val="28"/>
                <w:szCs w:val="28"/>
                <w:lang w:val="uk-UA"/>
              </w:rPr>
              <w:t>Характер</w:t>
            </w:r>
          </w:p>
          <w:p w:rsidR="009347A9" w:rsidRDefault="009347A9" w:rsidP="003B6E3D">
            <w:pPr>
              <w:widowControl w:val="0"/>
              <w:rPr>
                <w:sz w:val="28"/>
                <w:szCs w:val="28"/>
                <w:lang w:val="uk-UA"/>
              </w:rPr>
            </w:pPr>
            <w:r>
              <w:rPr>
                <w:sz w:val="28"/>
                <w:szCs w:val="28"/>
                <w:lang w:val="uk-UA"/>
              </w:rPr>
              <w:lastRenderedPageBreak/>
              <w:t>підгрупи</w:t>
            </w:r>
          </w:p>
        </w:tc>
        <w:tc>
          <w:tcPr>
            <w:tcW w:w="743" w:type="dxa"/>
            <w:vMerge w:val="restart"/>
          </w:tcPr>
          <w:p w:rsidR="009347A9" w:rsidRDefault="009347A9" w:rsidP="003B6E3D">
            <w:pPr>
              <w:widowControl w:val="0"/>
              <w:rPr>
                <w:sz w:val="28"/>
                <w:szCs w:val="28"/>
                <w:lang w:val="uk-UA"/>
              </w:rPr>
            </w:pPr>
            <w:r>
              <w:rPr>
                <w:sz w:val="28"/>
                <w:szCs w:val="28"/>
                <w:lang w:val="uk-UA"/>
              </w:rPr>
              <w:lastRenderedPageBreak/>
              <w:t xml:space="preserve">К-ть </w:t>
            </w:r>
            <w:r>
              <w:rPr>
                <w:sz w:val="28"/>
                <w:szCs w:val="28"/>
                <w:lang w:val="uk-UA"/>
              </w:rPr>
              <w:lastRenderedPageBreak/>
              <w:t>хворих</w:t>
            </w:r>
          </w:p>
        </w:tc>
        <w:tc>
          <w:tcPr>
            <w:tcW w:w="6573" w:type="dxa"/>
            <w:gridSpan w:val="4"/>
          </w:tcPr>
          <w:p w:rsidR="009347A9" w:rsidRDefault="009347A9" w:rsidP="003B6E3D">
            <w:pPr>
              <w:widowControl w:val="0"/>
              <w:jc w:val="center"/>
              <w:rPr>
                <w:sz w:val="28"/>
                <w:szCs w:val="28"/>
                <w:lang w:val="uk-UA"/>
              </w:rPr>
            </w:pPr>
            <w:r>
              <w:rPr>
                <w:sz w:val="28"/>
                <w:szCs w:val="28"/>
                <w:lang w:val="uk-UA"/>
              </w:rPr>
              <w:lastRenderedPageBreak/>
              <w:t>Характеристика болю</w:t>
            </w:r>
          </w:p>
        </w:tc>
      </w:tr>
      <w:tr w:rsidR="009347A9" w:rsidTr="003B6E3D">
        <w:trPr>
          <w:cantSplit/>
        </w:trPr>
        <w:tc>
          <w:tcPr>
            <w:tcW w:w="534" w:type="dxa"/>
            <w:vMerge/>
          </w:tcPr>
          <w:p w:rsidR="009347A9" w:rsidRDefault="009347A9" w:rsidP="003B6E3D">
            <w:pPr>
              <w:widowControl w:val="0"/>
              <w:rPr>
                <w:sz w:val="28"/>
                <w:szCs w:val="28"/>
                <w:lang w:val="uk-UA"/>
              </w:rPr>
            </w:pPr>
          </w:p>
        </w:tc>
        <w:tc>
          <w:tcPr>
            <w:tcW w:w="2073" w:type="dxa"/>
            <w:vMerge/>
          </w:tcPr>
          <w:p w:rsidR="009347A9" w:rsidRDefault="009347A9" w:rsidP="003B6E3D">
            <w:pPr>
              <w:widowControl w:val="0"/>
              <w:rPr>
                <w:sz w:val="28"/>
                <w:szCs w:val="28"/>
                <w:lang w:val="uk-UA"/>
              </w:rPr>
            </w:pPr>
          </w:p>
        </w:tc>
        <w:tc>
          <w:tcPr>
            <w:tcW w:w="743" w:type="dxa"/>
            <w:vMerge/>
          </w:tcPr>
          <w:p w:rsidR="009347A9" w:rsidRDefault="009347A9" w:rsidP="003B6E3D">
            <w:pPr>
              <w:widowControl w:val="0"/>
              <w:rPr>
                <w:sz w:val="28"/>
                <w:szCs w:val="28"/>
                <w:lang w:val="uk-UA"/>
              </w:rPr>
            </w:pPr>
          </w:p>
        </w:tc>
        <w:tc>
          <w:tcPr>
            <w:tcW w:w="1578" w:type="dxa"/>
          </w:tcPr>
          <w:p w:rsidR="009347A9" w:rsidRDefault="009347A9" w:rsidP="003B6E3D">
            <w:pPr>
              <w:widowControl w:val="0"/>
              <w:rPr>
                <w:sz w:val="28"/>
                <w:szCs w:val="28"/>
                <w:lang w:val="uk-UA"/>
              </w:rPr>
            </w:pPr>
            <w:r>
              <w:rPr>
                <w:sz w:val="28"/>
                <w:szCs w:val="28"/>
                <w:lang w:val="uk-UA"/>
              </w:rPr>
              <w:t>інтенси</w:t>
            </w:r>
            <w:r>
              <w:rPr>
                <w:sz w:val="28"/>
                <w:szCs w:val="28"/>
                <w:lang w:val="uk-UA"/>
              </w:rPr>
              <w:t>в</w:t>
            </w:r>
            <w:r>
              <w:rPr>
                <w:sz w:val="28"/>
                <w:szCs w:val="28"/>
                <w:lang w:val="uk-UA"/>
              </w:rPr>
              <w:t>ність (у балах)</w:t>
            </w:r>
          </w:p>
        </w:tc>
        <w:tc>
          <w:tcPr>
            <w:tcW w:w="1701" w:type="dxa"/>
          </w:tcPr>
          <w:p w:rsidR="009347A9" w:rsidRDefault="009347A9" w:rsidP="003B6E3D">
            <w:pPr>
              <w:widowControl w:val="0"/>
              <w:rPr>
                <w:sz w:val="28"/>
                <w:szCs w:val="28"/>
                <w:lang w:val="uk-UA"/>
              </w:rPr>
            </w:pPr>
            <w:r>
              <w:rPr>
                <w:sz w:val="28"/>
                <w:szCs w:val="28"/>
                <w:lang w:val="uk-UA"/>
              </w:rPr>
              <w:t>постійний (%)</w:t>
            </w:r>
          </w:p>
        </w:tc>
        <w:tc>
          <w:tcPr>
            <w:tcW w:w="1709" w:type="dxa"/>
          </w:tcPr>
          <w:p w:rsidR="009347A9" w:rsidRDefault="009347A9" w:rsidP="003B6E3D">
            <w:pPr>
              <w:widowControl w:val="0"/>
              <w:rPr>
                <w:sz w:val="28"/>
                <w:szCs w:val="28"/>
                <w:lang w:val="uk-UA"/>
              </w:rPr>
            </w:pPr>
            <w:r>
              <w:rPr>
                <w:sz w:val="28"/>
                <w:szCs w:val="28"/>
                <w:lang w:val="uk-UA"/>
              </w:rPr>
              <w:t>нападопо-дібний (%)</w:t>
            </w:r>
          </w:p>
        </w:tc>
        <w:tc>
          <w:tcPr>
            <w:tcW w:w="1585" w:type="dxa"/>
          </w:tcPr>
          <w:p w:rsidR="009347A9" w:rsidRDefault="009347A9" w:rsidP="003B6E3D">
            <w:pPr>
              <w:widowControl w:val="0"/>
              <w:rPr>
                <w:sz w:val="28"/>
                <w:szCs w:val="28"/>
                <w:lang w:val="uk-UA"/>
              </w:rPr>
            </w:pPr>
            <w:r>
              <w:rPr>
                <w:sz w:val="28"/>
                <w:szCs w:val="28"/>
                <w:lang w:val="uk-UA"/>
              </w:rPr>
              <w:t>частота нападів за добу (к-ть)</w:t>
            </w:r>
          </w:p>
        </w:tc>
      </w:tr>
      <w:tr w:rsidR="009347A9" w:rsidTr="003B6E3D">
        <w:trPr>
          <w:cantSplit/>
        </w:trPr>
        <w:tc>
          <w:tcPr>
            <w:tcW w:w="534" w:type="dxa"/>
            <w:vMerge w:val="restart"/>
            <w:textDirection w:val="btLr"/>
          </w:tcPr>
          <w:p w:rsidR="009347A9" w:rsidRDefault="009347A9" w:rsidP="003B6E3D">
            <w:pPr>
              <w:widowControl w:val="0"/>
              <w:ind w:left="113" w:right="113"/>
              <w:rPr>
                <w:sz w:val="28"/>
                <w:szCs w:val="28"/>
                <w:lang w:val="uk-UA"/>
              </w:rPr>
            </w:pPr>
            <w:r>
              <w:rPr>
                <w:sz w:val="28"/>
                <w:szCs w:val="28"/>
                <w:lang w:val="uk-UA"/>
              </w:rPr>
              <w:lastRenderedPageBreak/>
              <w:t>Основна</w:t>
            </w:r>
          </w:p>
        </w:tc>
        <w:tc>
          <w:tcPr>
            <w:tcW w:w="2073" w:type="dxa"/>
          </w:tcPr>
          <w:p w:rsidR="009347A9" w:rsidRDefault="009347A9" w:rsidP="003B6E3D">
            <w:pPr>
              <w:widowControl w:val="0"/>
              <w:rPr>
                <w:sz w:val="28"/>
                <w:szCs w:val="28"/>
                <w:lang w:val="uk-UA"/>
              </w:rPr>
            </w:pPr>
            <w:r>
              <w:rPr>
                <w:sz w:val="28"/>
                <w:szCs w:val="28"/>
                <w:lang w:val="uk-UA"/>
              </w:rPr>
              <w:t>Гіперацидність</w:t>
            </w:r>
          </w:p>
          <w:p w:rsidR="009347A9" w:rsidRDefault="009347A9" w:rsidP="003B6E3D">
            <w:pPr>
              <w:widowControl w:val="0"/>
              <w:rPr>
                <w:sz w:val="28"/>
                <w:szCs w:val="28"/>
                <w:lang w:val="uk-UA"/>
              </w:rPr>
            </w:pPr>
            <w:r>
              <w:rPr>
                <w:bCs/>
                <w:sz w:val="28"/>
                <w:szCs w:val="28"/>
                <w:lang w:val="uk-UA"/>
              </w:rPr>
              <w:t>виражена</w:t>
            </w:r>
            <w:r>
              <w:rPr>
                <w:sz w:val="28"/>
                <w:szCs w:val="28"/>
                <w:lang w:val="uk-UA"/>
              </w:rPr>
              <w:t xml:space="preserve"> </w:t>
            </w:r>
          </w:p>
        </w:tc>
        <w:tc>
          <w:tcPr>
            <w:tcW w:w="743" w:type="dxa"/>
            <w:vAlign w:val="center"/>
          </w:tcPr>
          <w:p w:rsidR="009347A9" w:rsidRDefault="009347A9" w:rsidP="003B6E3D">
            <w:pPr>
              <w:widowControl w:val="0"/>
              <w:jc w:val="center"/>
              <w:rPr>
                <w:sz w:val="28"/>
                <w:szCs w:val="28"/>
                <w:lang w:val="uk-UA"/>
              </w:rPr>
            </w:pPr>
            <w:r>
              <w:rPr>
                <w:sz w:val="28"/>
                <w:szCs w:val="28"/>
                <w:lang w:val="uk-UA"/>
              </w:rPr>
              <w:t>21</w:t>
            </w:r>
          </w:p>
        </w:tc>
        <w:tc>
          <w:tcPr>
            <w:tcW w:w="1578" w:type="dxa"/>
            <w:vAlign w:val="center"/>
          </w:tcPr>
          <w:p w:rsidR="009347A9" w:rsidRDefault="009347A9" w:rsidP="003B6E3D">
            <w:pPr>
              <w:widowControl w:val="0"/>
              <w:jc w:val="center"/>
              <w:rPr>
                <w:sz w:val="28"/>
                <w:szCs w:val="28"/>
                <w:lang w:val="uk-UA"/>
              </w:rPr>
            </w:pPr>
            <w:r>
              <w:rPr>
                <w:color w:val="000000"/>
                <w:sz w:val="28"/>
                <w:szCs w:val="28"/>
                <w:lang w:val="uk-UA"/>
              </w:rPr>
              <w:t>8,71±0,64*</w:t>
            </w:r>
          </w:p>
        </w:tc>
        <w:tc>
          <w:tcPr>
            <w:tcW w:w="1701" w:type="dxa"/>
            <w:vAlign w:val="center"/>
          </w:tcPr>
          <w:p w:rsidR="009347A9" w:rsidRDefault="009347A9" w:rsidP="003B6E3D">
            <w:pPr>
              <w:widowControl w:val="0"/>
              <w:jc w:val="center"/>
              <w:rPr>
                <w:sz w:val="28"/>
                <w:szCs w:val="28"/>
                <w:lang w:val="uk-UA"/>
              </w:rPr>
            </w:pPr>
            <w:r>
              <w:rPr>
                <w:color w:val="000000"/>
                <w:sz w:val="28"/>
                <w:szCs w:val="28"/>
                <w:lang w:val="uk-UA"/>
              </w:rPr>
              <w:t>23,81</w:t>
            </w:r>
            <w:r>
              <w:rPr>
                <w:sz w:val="28"/>
                <w:szCs w:val="28"/>
                <w:lang w:val="uk-UA"/>
              </w:rPr>
              <w:t>±</w:t>
            </w:r>
            <w:r>
              <w:rPr>
                <w:color w:val="000000"/>
                <w:sz w:val="28"/>
                <w:szCs w:val="28"/>
                <w:lang w:val="uk-UA"/>
              </w:rPr>
              <w:t>0,36*</w:t>
            </w:r>
          </w:p>
        </w:tc>
        <w:tc>
          <w:tcPr>
            <w:tcW w:w="1709" w:type="dxa"/>
            <w:vAlign w:val="center"/>
          </w:tcPr>
          <w:p w:rsidR="009347A9" w:rsidRDefault="009347A9" w:rsidP="003B6E3D">
            <w:pPr>
              <w:widowControl w:val="0"/>
              <w:jc w:val="center"/>
              <w:rPr>
                <w:color w:val="000000"/>
                <w:sz w:val="28"/>
                <w:szCs w:val="28"/>
                <w:lang w:val="uk-UA"/>
              </w:rPr>
            </w:pPr>
            <w:r>
              <w:rPr>
                <w:color w:val="000000"/>
                <w:sz w:val="28"/>
                <w:szCs w:val="28"/>
                <w:lang w:val="uk-UA"/>
              </w:rPr>
              <w:t>76,19</w:t>
            </w:r>
            <w:r>
              <w:rPr>
                <w:sz w:val="28"/>
                <w:szCs w:val="28"/>
                <w:lang w:val="uk-UA"/>
              </w:rPr>
              <w:t>±</w:t>
            </w:r>
            <w:r>
              <w:rPr>
                <w:color w:val="000000"/>
                <w:sz w:val="28"/>
                <w:szCs w:val="28"/>
                <w:lang w:val="uk-UA"/>
              </w:rPr>
              <w:t>0,36*</w:t>
            </w:r>
          </w:p>
        </w:tc>
        <w:tc>
          <w:tcPr>
            <w:tcW w:w="1585" w:type="dxa"/>
            <w:vAlign w:val="center"/>
          </w:tcPr>
          <w:p w:rsidR="009347A9" w:rsidRDefault="009347A9" w:rsidP="003B6E3D">
            <w:pPr>
              <w:widowControl w:val="0"/>
              <w:jc w:val="center"/>
              <w:rPr>
                <w:sz w:val="28"/>
                <w:szCs w:val="28"/>
                <w:lang w:val="uk-UA"/>
              </w:rPr>
            </w:pPr>
            <w:r>
              <w:rPr>
                <w:color w:val="000000"/>
                <w:sz w:val="28"/>
                <w:szCs w:val="28"/>
                <w:lang w:val="uk-UA"/>
              </w:rPr>
              <w:t>4,71</w:t>
            </w:r>
            <w:r>
              <w:rPr>
                <w:sz w:val="28"/>
                <w:szCs w:val="28"/>
                <w:lang w:val="uk-UA"/>
              </w:rPr>
              <w:t>±</w:t>
            </w:r>
            <w:r>
              <w:rPr>
                <w:color w:val="000000"/>
                <w:sz w:val="28"/>
                <w:szCs w:val="28"/>
                <w:lang w:val="uk-UA"/>
              </w:rPr>
              <w:t>0,54*</w:t>
            </w:r>
          </w:p>
        </w:tc>
      </w:tr>
      <w:tr w:rsidR="009347A9" w:rsidTr="003B6E3D">
        <w:trPr>
          <w:cantSplit/>
        </w:trPr>
        <w:tc>
          <w:tcPr>
            <w:tcW w:w="534" w:type="dxa"/>
            <w:vMerge/>
          </w:tcPr>
          <w:p w:rsidR="009347A9" w:rsidRDefault="009347A9" w:rsidP="003B6E3D">
            <w:pPr>
              <w:widowControl w:val="0"/>
              <w:rPr>
                <w:sz w:val="28"/>
                <w:szCs w:val="28"/>
                <w:lang w:val="uk-UA"/>
              </w:rPr>
            </w:pPr>
          </w:p>
        </w:tc>
        <w:tc>
          <w:tcPr>
            <w:tcW w:w="2073" w:type="dxa"/>
          </w:tcPr>
          <w:p w:rsidR="009347A9" w:rsidRDefault="009347A9" w:rsidP="003B6E3D">
            <w:pPr>
              <w:widowControl w:val="0"/>
              <w:rPr>
                <w:bCs/>
                <w:sz w:val="28"/>
                <w:szCs w:val="28"/>
                <w:lang w:val="uk-UA"/>
              </w:rPr>
            </w:pPr>
            <w:r>
              <w:rPr>
                <w:bCs/>
                <w:sz w:val="28"/>
                <w:szCs w:val="28"/>
                <w:lang w:val="uk-UA"/>
              </w:rPr>
              <w:t>Гіперацидність</w:t>
            </w:r>
          </w:p>
          <w:p w:rsidR="009347A9" w:rsidRDefault="009347A9" w:rsidP="003B6E3D">
            <w:pPr>
              <w:widowControl w:val="0"/>
              <w:rPr>
                <w:sz w:val="28"/>
                <w:szCs w:val="28"/>
                <w:lang w:val="uk-UA"/>
              </w:rPr>
            </w:pPr>
            <w:r>
              <w:rPr>
                <w:sz w:val="28"/>
                <w:szCs w:val="28"/>
                <w:lang w:val="uk-UA"/>
              </w:rPr>
              <w:t>помірна</w:t>
            </w:r>
          </w:p>
        </w:tc>
        <w:tc>
          <w:tcPr>
            <w:tcW w:w="743" w:type="dxa"/>
            <w:vAlign w:val="center"/>
          </w:tcPr>
          <w:p w:rsidR="009347A9" w:rsidRDefault="009347A9" w:rsidP="003B6E3D">
            <w:pPr>
              <w:widowControl w:val="0"/>
              <w:jc w:val="center"/>
              <w:rPr>
                <w:sz w:val="28"/>
                <w:szCs w:val="28"/>
                <w:lang w:val="uk-UA"/>
              </w:rPr>
            </w:pPr>
            <w:r>
              <w:rPr>
                <w:sz w:val="28"/>
                <w:szCs w:val="28"/>
                <w:lang w:val="uk-UA"/>
              </w:rPr>
              <w:t>62</w:t>
            </w:r>
          </w:p>
        </w:tc>
        <w:tc>
          <w:tcPr>
            <w:tcW w:w="1578" w:type="dxa"/>
            <w:vAlign w:val="center"/>
          </w:tcPr>
          <w:p w:rsidR="009347A9" w:rsidRDefault="009347A9" w:rsidP="003B6E3D">
            <w:pPr>
              <w:widowControl w:val="0"/>
              <w:jc w:val="center"/>
              <w:rPr>
                <w:sz w:val="28"/>
                <w:szCs w:val="28"/>
                <w:lang w:val="uk-UA"/>
              </w:rPr>
            </w:pPr>
            <w:r>
              <w:rPr>
                <w:color w:val="000000"/>
                <w:sz w:val="28"/>
                <w:szCs w:val="28"/>
                <w:lang w:val="uk-UA"/>
              </w:rPr>
              <w:t>8,13±0,56*</w:t>
            </w:r>
          </w:p>
        </w:tc>
        <w:tc>
          <w:tcPr>
            <w:tcW w:w="1701" w:type="dxa"/>
            <w:vAlign w:val="center"/>
          </w:tcPr>
          <w:p w:rsidR="009347A9" w:rsidRDefault="009347A9" w:rsidP="003B6E3D">
            <w:pPr>
              <w:widowControl w:val="0"/>
              <w:jc w:val="center"/>
              <w:rPr>
                <w:sz w:val="28"/>
                <w:szCs w:val="28"/>
                <w:lang w:val="uk-UA"/>
              </w:rPr>
            </w:pPr>
            <w:r>
              <w:rPr>
                <w:color w:val="000000"/>
                <w:sz w:val="28"/>
                <w:szCs w:val="28"/>
                <w:lang w:val="uk-UA"/>
              </w:rPr>
              <w:t>27,42</w:t>
            </w:r>
            <w:r>
              <w:rPr>
                <w:sz w:val="28"/>
                <w:szCs w:val="28"/>
                <w:lang w:val="uk-UA"/>
              </w:rPr>
              <w:t>±</w:t>
            </w:r>
            <w:r>
              <w:rPr>
                <w:color w:val="000000"/>
                <w:sz w:val="28"/>
                <w:szCs w:val="28"/>
                <w:lang w:val="uk-UA"/>
              </w:rPr>
              <w:t>0,40*</w:t>
            </w:r>
          </w:p>
        </w:tc>
        <w:tc>
          <w:tcPr>
            <w:tcW w:w="1709" w:type="dxa"/>
            <w:vAlign w:val="center"/>
          </w:tcPr>
          <w:p w:rsidR="009347A9" w:rsidRDefault="009347A9" w:rsidP="003B6E3D">
            <w:pPr>
              <w:widowControl w:val="0"/>
              <w:jc w:val="center"/>
              <w:rPr>
                <w:sz w:val="28"/>
                <w:szCs w:val="28"/>
                <w:lang w:val="uk-UA"/>
              </w:rPr>
            </w:pPr>
            <w:r>
              <w:rPr>
                <w:color w:val="000000"/>
                <w:sz w:val="28"/>
                <w:szCs w:val="28"/>
                <w:lang w:val="uk-UA"/>
              </w:rPr>
              <w:t>72,58</w:t>
            </w:r>
            <w:r>
              <w:rPr>
                <w:sz w:val="28"/>
                <w:szCs w:val="28"/>
                <w:lang w:val="uk-UA"/>
              </w:rPr>
              <w:t>±</w:t>
            </w:r>
            <w:r>
              <w:rPr>
                <w:color w:val="000000"/>
                <w:sz w:val="28"/>
                <w:szCs w:val="28"/>
                <w:lang w:val="uk-UA"/>
              </w:rPr>
              <w:t>0,40*</w:t>
            </w:r>
          </w:p>
        </w:tc>
        <w:tc>
          <w:tcPr>
            <w:tcW w:w="1585" w:type="dxa"/>
            <w:vAlign w:val="center"/>
          </w:tcPr>
          <w:p w:rsidR="009347A9" w:rsidRDefault="009347A9" w:rsidP="003B6E3D">
            <w:pPr>
              <w:widowControl w:val="0"/>
              <w:jc w:val="center"/>
              <w:rPr>
                <w:sz w:val="28"/>
                <w:szCs w:val="28"/>
                <w:lang w:val="uk-UA"/>
              </w:rPr>
            </w:pPr>
            <w:r>
              <w:rPr>
                <w:color w:val="000000"/>
                <w:sz w:val="28"/>
                <w:szCs w:val="28"/>
                <w:lang w:val="uk-UA"/>
              </w:rPr>
              <w:t>4,26</w:t>
            </w:r>
            <w:r>
              <w:rPr>
                <w:sz w:val="28"/>
                <w:szCs w:val="28"/>
                <w:lang w:val="uk-UA"/>
              </w:rPr>
              <w:t>±</w:t>
            </w:r>
            <w:r>
              <w:rPr>
                <w:color w:val="000000"/>
                <w:sz w:val="28"/>
                <w:szCs w:val="28"/>
                <w:lang w:val="uk-UA"/>
              </w:rPr>
              <w:t>0,45*</w:t>
            </w:r>
          </w:p>
        </w:tc>
      </w:tr>
      <w:tr w:rsidR="009347A9" w:rsidTr="003B6E3D">
        <w:trPr>
          <w:cantSplit/>
        </w:trPr>
        <w:tc>
          <w:tcPr>
            <w:tcW w:w="534" w:type="dxa"/>
            <w:vMerge w:val="restart"/>
            <w:textDirection w:val="btLr"/>
          </w:tcPr>
          <w:p w:rsidR="009347A9" w:rsidRDefault="009347A9" w:rsidP="003B6E3D">
            <w:pPr>
              <w:widowControl w:val="0"/>
              <w:ind w:left="113" w:right="113"/>
              <w:rPr>
                <w:sz w:val="28"/>
                <w:szCs w:val="28"/>
                <w:lang w:val="uk-UA"/>
              </w:rPr>
            </w:pPr>
            <w:r>
              <w:rPr>
                <w:sz w:val="28"/>
                <w:szCs w:val="28"/>
                <w:lang w:val="uk-UA"/>
              </w:rPr>
              <w:t>Порівняльна</w:t>
            </w:r>
          </w:p>
        </w:tc>
        <w:tc>
          <w:tcPr>
            <w:tcW w:w="2073" w:type="dxa"/>
          </w:tcPr>
          <w:p w:rsidR="009347A9" w:rsidRDefault="009347A9" w:rsidP="003B6E3D">
            <w:pPr>
              <w:widowControl w:val="0"/>
              <w:rPr>
                <w:sz w:val="28"/>
                <w:szCs w:val="28"/>
                <w:lang w:val="uk-UA"/>
              </w:rPr>
            </w:pPr>
            <w:r>
              <w:rPr>
                <w:sz w:val="28"/>
                <w:szCs w:val="28"/>
                <w:lang w:val="uk-UA"/>
              </w:rPr>
              <w:t>Нормоаци</w:t>
            </w:r>
            <w:r>
              <w:rPr>
                <w:sz w:val="28"/>
                <w:szCs w:val="28"/>
                <w:lang w:val="uk-UA"/>
              </w:rPr>
              <w:t>д</w:t>
            </w:r>
            <w:r>
              <w:rPr>
                <w:sz w:val="28"/>
                <w:szCs w:val="28"/>
                <w:lang w:val="uk-UA"/>
              </w:rPr>
              <w:t>ність</w:t>
            </w:r>
          </w:p>
        </w:tc>
        <w:tc>
          <w:tcPr>
            <w:tcW w:w="743" w:type="dxa"/>
            <w:vAlign w:val="center"/>
          </w:tcPr>
          <w:p w:rsidR="009347A9" w:rsidRDefault="009347A9" w:rsidP="003B6E3D">
            <w:pPr>
              <w:widowControl w:val="0"/>
              <w:jc w:val="center"/>
              <w:rPr>
                <w:sz w:val="28"/>
                <w:szCs w:val="28"/>
                <w:lang w:val="uk-UA"/>
              </w:rPr>
            </w:pPr>
            <w:r>
              <w:rPr>
                <w:sz w:val="28"/>
                <w:szCs w:val="28"/>
                <w:lang w:val="uk-UA"/>
              </w:rPr>
              <w:t>41</w:t>
            </w:r>
          </w:p>
        </w:tc>
        <w:tc>
          <w:tcPr>
            <w:tcW w:w="1578" w:type="dxa"/>
            <w:vAlign w:val="center"/>
          </w:tcPr>
          <w:p w:rsidR="009347A9" w:rsidRDefault="009347A9" w:rsidP="003B6E3D">
            <w:pPr>
              <w:widowControl w:val="0"/>
              <w:jc w:val="center"/>
              <w:rPr>
                <w:sz w:val="28"/>
                <w:szCs w:val="28"/>
                <w:lang w:val="uk-UA"/>
              </w:rPr>
            </w:pPr>
            <w:r>
              <w:rPr>
                <w:color w:val="000000"/>
                <w:sz w:val="28"/>
                <w:szCs w:val="28"/>
                <w:lang w:val="uk-UA"/>
              </w:rPr>
              <w:t>5,39±0,55</w:t>
            </w:r>
          </w:p>
        </w:tc>
        <w:tc>
          <w:tcPr>
            <w:tcW w:w="1701" w:type="dxa"/>
            <w:vAlign w:val="center"/>
          </w:tcPr>
          <w:p w:rsidR="009347A9" w:rsidRDefault="009347A9" w:rsidP="003B6E3D">
            <w:pPr>
              <w:widowControl w:val="0"/>
              <w:jc w:val="center"/>
              <w:rPr>
                <w:sz w:val="28"/>
                <w:szCs w:val="28"/>
                <w:lang w:val="uk-UA"/>
              </w:rPr>
            </w:pPr>
            <w:r>
              <w:rPr>
                <w:color w:val="000000"/>
                <w:sz w:val="28"/>
                <w:szCs w:val="28"/>
                <w:lang w:val="uk-UA"/>
              </w:rPr>
              <w:t>58,54</w:t>
            </w:r>
            <w:r>
              <w:rPr>
                <w:sz w:val="28"/>
                <w:szCs w:val="28"/>
                <w:lang w:val="uk-UA"/>
              </w:rPr>
              <w:t>±</w:t>
            </w:r>
            <w:r>
              <w:rPr>
                <w:color w:val="000000"/>
                <w:sz w:val="28"/>
                <w:szCs w:val="28"/>
                <w:lang w:val="uk-UA"/>
              </w:rPr>
              <w:t>0,49</w:t>
            </w:r>
          </w:p>
        </w:tc>
        <w:tc>
          <w:tcPr>
            <w:tcW w:w="1709" w:type="dxa"/>
            <w:vAlign w:val="center"/>
          </w:tcPr>
          <w:p w:rsidR="009347A9" w:rsidRDefault="009347A9" w:rsidP="003B6E3D">
            <w:pPr>
              <w:widowControl w:val="0"/>
              <w:jc w:val="center"/>
              <w:rPr>
                <w:sz w:val="28"/>
                <w:szCs w:val="28"/>
                <w:lang w:val="uk-UA"/>
              </w:rPr>
            </w:pPr>
            <w:r>
              <w:rPr>
                <w:color w:val="000000"/>
                <w:sz w:val="28"/>
                <w:szCs w:val="28"/>
                <w:lang w:val="uk-UA"/>
              </w:rPr>
              <w:t>41,46</w:t>
            </w:r>
            <w:r>
              <w:rPr>
                <w:sz w:val="28"/>
                <w:szCs w:val="28"/>
                <w:lang w:val="uk-UA"/>
              </w:rPr>
              <w:t>±</w:t>
            </w:r>
            <w:r>
              <w:rPr>
                <w:color w:val="000000"/>
                <w:sz w:val="28"/>
                <w:szCs w:val="28"/>
                <w:lang w:val="uk-UA"/>
              </w:rPr>
              <w:t>0,49</w:t>
            </w:r>
          </w:p>
        </w:tc>
        <w:tc>
          <w:tcPr>
            <w:tcW w:w="1585" w:type="dxa"/>
            <w:vAlign w:val="center"/>
          </w:tcPr>
          <w:p w:rsidR="009347A9" w:rsidRDefault="009347A9" w:rsidP="003B6E3D">
            <w:pPr>
              <w:widowControl w:val="0"/>
              <w:jc w:val="center"/>
              <w:rPr>
                <w:sz w:val="28"/>
                <w:szCs w:val="28"/>
                <w:lang w:val="uk-UA"/>
              </w:rPr>
            </w:pPr>
            <w:r>
              <w:rPr>
                <w:color w:val="000000"/>
                <w:sz w:val="28"/>
                <w:szCs w:val="28"/>
                <w:lang w:val="uk-UA"/>
              </w:rPr>
              <w:t>2,22</w:t>
            </w:r>
            <w:r>
              <w:rPr>
                <w:sz w:val="28"/>
                <w:szCs w:val="28"/>
                <w:lang w:val="uk-UA"/>
              </w:rPr>
              <w:t>±0,49</w:t>
            </w:r>
          </w:p>
        </w:tc>
      </w:tr>
      <w:tr w:rsidR="009347A9" w:rsidTr="003B6E3D">
        <w:trPr>
          <w:cantSplit/>
        </w:trPr>
        <w:tc>
          <w:tcPr>
            <w:tcW w:w="534" w:type="dxa"/>
            <w:vMerge/>
          </w:tcPr>
          <w:p w:rsidR="009347A9" w:rsidRDefault="009347A9" w:rsidP="003B6E3D">
            <w:pPr>
              <w:widowControl w:val="0"/>
              <w:rPr>
                <w:sz w:val="28"/>
                <w:szCs w:val="28"/>
                <w:lang w:val="uk-UA"/>
              </w:rPr>
            </w:pPr>
          </w:p>
        </w:tc>
        <w:tc>
          <w:tcPr>
            <w:tcW w:w="2073" w:type="dxa"/>
          </w:tcPr>
          <w:p w:rsidR="009347A9" w:rsidRDefault="009347A9" w:rsidP="003B6E3D">
            <w:pPr>
              <w:widowControl w:val="0"/>
              <w:rPr>
                <w:sz w:val="28"/>
                <w:szCs w:val="28"/>
                <w:lang w:val="uk-UA"/>
              </w:rPr>
            </w:pPr>
            <w:r>
              <w:rPr>
                <w:sz w:val="28"/>
                <w:szCs w:val="28"/>
                <w:lang w:val="uk-UA"/>
              </w:rPr>
              <w:t>Гіпоацидність</w:t>
            </w:r>
          </w:p>
          <w:p w:rsidR="009347A9" w:rsidRDefault="009347A9" w:rsidP="003B6E3D">
            <w:pPr>
              <w:widowControl w:val="0"/>
              <w:rPr>
                <w:sz w:val="28"/>
                <w:szCs w:val="28"/>
                <w:lang w:val="uk-UA"/>
              </w:rPr>
            </w:pPr>
            <w:r>
              <w:rPr>
                <w:sz w:val="28"/>
                <w:szCs w:val="28"/>
                <w:lang w:val="uk-UA"/>
              </w:rPr>
              <w:t>помірна</w:t>
            </w:r>
          </w:p>
        </w:tc>
        <w:tc>
          <w:tcPr>
            <w:tcW w:w="743" w:type="dxa"/>
            <w:vAlign w:val="center"/>
          </w:tcPr>
          <w:p w:rsidR="009347A9" w:rsidRDefault="009347A9" w:rsidP="003B6E3D">
            <w:pPr>
              <w:widowControl w:val="0"/>
              <w:jc w:val="center"/>
              <w:rPr>
                <w:sz w:val="28"/>
                <w:szCs w:val="28"/>
                <w:lang w:val="uk-UA"/>
              </w:rPr>
            </w:pPr>
            <w:r>
              <w:rPr>
                <w:sz w:val="28"/>
                <w:szCs w:val="28"/>
                <w:lang w:val="uk-UA"/>
              </w:rPr>
              <w:t>52</w:t>
            </w:r>
          </w:p>
        </w:tc>
        <w:tc>
          <w:tcPr>
            <w:tcW w:w="1578" w:type="dxa"/>
            <w:vAlign w:val="center"/>
          </w:tcPr>
          <w:p w:rsidR="009347A9" w:rsidRDefault="009347A9" w:rsidP="003B6E3D">
            <w:pPr>
              <w:widowControl w:val="0"/>
              <w:jc w:val="center"/>
              <w:rPr>
                <w:sz w:val="28"/>
                <w:szCs w:val="28"/>
                <w:lang w:val="uk-UA"/>
              </w:rPr>
            </w:pPr>
            <w:r>
              <w:rPr>
                <w:color w:val="000000"/>
                <w:sz w:val="28"/>
                <w:szCs w:val="28"/>
                <w:lang w:val="uk-UA"/>
              </w:rPr>
              <w:t>5,65±0,62</w:t>
            </w:r>
          </w:p>
        </w:tc>
        <w:tc>
          <w:tcPr>
            <w:tcW w:w="1701" w:type="dxa"/>
            <w:vAlign w:val="center"/>
          </w:tcPr>
          <w:p w:rsidR="009347A9" w:rsidRDefault="009347A9" w:rsidP="003B6E3D">
            <w:pPr>
              <w:widowControl w:val="0"/>
              <w:jc w:val="center"/>
              <w:rPr>
                <w:sz w:val="28"/>
                <w:szCs w:val="28"/>
                <w:lang w:val="uk-UA"/>
              </w:rPr>
            </w:pPr>
            <w:r>
              <w:rPr>
                <w:color w:val="000000"/>
                <w:sz w:val="28"/>
                <w:szCs w:val="28"/>
                <w:lang w:val="uk-UA"/>
              </w:rPr>
              <w:t>63,46</w:t>
            </w:r>
            <w:r>
              <w:rPr>
                <w:sz w:val="28"/>
                <w:szCs w:val="28"/>
                <w:lang w:val="uk-UA"/>
              </w:rPr>
              <w:t>±</w:t>
            </w:r>
            <w:r>
              <w:rPr>
                <w:color w:val="000000"/>
                <w:sz w:val="28"/>
                <w:szCs w:val="28"/>
                <w:lang w:val="uk-UA"/>
              </w:rPr>
              <w:t>0,46</w:t>
            </w:r>
          </w:p>
        </w:tc>
        <w:tc>
          <w:tcPr>
            <w:tcW w:w="1709" w:type="dxa"/>
            <w:vAlign w:val="center"/>
          </w:tcPr>
          <w:p w:rsidR="009347A9" w:rsidRDefault="009347A9" w:rsidP="003B6E3D">
            <w:pPr>
              <w:widowControl w:val="0"/>
              <w:jc w:val="center"/>
              <w:rPr>
                <w:sz w:val="28"/>
                <w:szCs w:val="28"/>
                <w:lang w:val="uk-UA"/>
              </w:rPr>
            </w:pPr>
            <w:r>
              <w:rPr>
                <w:color w:val="000000"/>
                <w:sz w:val="28"/>
                <w:szCs w:val="28"/>
                <w:lang w:val="uk-UA"/>
              </w:rPr>
              <w:t>36,54</w:t>
            </w:r>
            <w:r>
              <w:rPr>
                <w:sz w:val="28"/>
                <w:szCs w:val="28"/>
                <w:lang w:val="uk-UA"/>
              </w:rPr>
              <w:t>±</w:t>
            </w:r>
            <w:r>
              <w:rPr>
                <w:color w:val="000000"/>
                <w:sz w:val="28"/>
                <w:szCs w:val="28"/>
                <w:lang w:val="uk-UA"/>
              </w:rPr>
              <w:t>0,46</w:t>
            </w:r>
          </w:p>
        </w:tc>
        <w:tc>
          <w:tcPr>
            <w:tcW w:w="1585" w:type="dxa"/>
            <w:vAlign w:val="center"/>
          </w:tcPr>
          <w:p w:rsidR="009347A9" w:rsidRDefault="009347A9" w:rsidP="003B6E3D">
            <w:pPr>
              <w:widowControl w:val="0"/>
              <w:jc w:val="center"/>
              <w:rPr>
                <w:sz w:val="28"/>
                <w:szCs w:val="28"/>
                <w:lang w:val="uk-UA"/>
              </w:rPr>
            </w:pPr>
            <w:r>
              <w:rPr>
                <w:color w:val="000000"/>
                <w:sz w:val="28"/>
                <w:szCs w:val="28"/>
                <w:lang w:val="uk-UA"/>
              </w:rPr>
              <w:t>2,37</w:t>
            </w:r>
            <w:r>
              <w:rPr>
                <w:sz w:val="28"/>
                <w:szCs w:val="28"/>
                <w:lang w:val="uk-UA"/>
              </w:rPr>
              <w:t>±0,46</w:t>
            </w:r>
          </w:p>
        </w:tc>
      </w:tr>
      <w:tr w:rsidR="009347A9" w:rsidTr="003B6E3D">
        <w:trPr>
          <w:cantSplit/>
        </w:trPr>
        <w:tc>
          <w:tcPr>
            <w:tcW w:w="534" w:type="dxa"/>
            <w:vMerge/>
          </w:tcPr>
          <w:p w:rsidR="009347A9" w:rsidRDefault="009347A9" w:rsidP="003B6E3D">
            <w:pPr>
              <w:widowControl w:val="0"/>
              <w:rPr>
                <w:sz w:val="28"/>
                <w:szCs w:val="28"/>
                <w:lang w:val="uk-UA"/>
              </w:rPr>
            </w:pPr>
          </w:p>
        </w:tc>
        <w:tc>
          <w:tcPr>
            <w:tcW w:w="2073" w:type="dxa"/>
          </w:tcPr>
          <w:p w:rsidR="009347A9" w:rsidRDefault="009347A9" w:rsidP="003B6E3D">
            <w:pPr>
              <w:widowControl w:val="0"/>
              <w:rPr>
                <w:sz w:val="28"/>
                <w:szCs w:val="28"/>
                <w:lang w:val="uk-UA"/>
              </w:rPr>
            </w:pPr>
            <w:r>
              <w:rPr>
                <w:sz w:val="28"/>
                <w:szCs w:val="28"/>
                <w:lang w:val="uk-UA"/>
              </w:rPr>
              <w:t>Гіпоацидність</w:t>
            </w:r>
          </w:p>
          <w:p w:rsidR="009347A9" w:rsidRDefault="009347A9" w:rsidP="003B6E3D">
            <w:pPr>
              <w:widowControl w:val="0"/>
              <w:rPr>
                <w:sz w:val="28"/>
                <w:szCs w:val="28"/>
                <w:lang w:val="uk-UA"/>
              </w:rPr>
            </w:pPr>
            <w:r>
              <w:rPr>
                <w:sz w:val="28"/>
                <w:szCs w:val="28"/>
                <w:lang w:val="uk-UA"/>
              </w:rPr>
              <w:t>виражена</w:t>
            </w:r>
          </w:p>
        </w:tc>
        <w:tc>
          <w:tcPr>
            <w:tcW w:w="743" w:type="dxa"/>
            <w:vAlign w:val="center"/>
          </w:tcPr>
          <w:p w:rsidR="009347A9" w:rsidRDefault="009347A9" w:rsidP="003B6E3D">
            <w:pPr>
              <w:widowControl w:val="0"/>
              <w:jc w:val="center"/>
              <w:rPr>
                <w:sz w:val="28"/>
                <w:szCs w:val="28"/>
                <w:lang w:val="uk-UA"/>
              </w:rPr>
            </w:pPr>
            <w:r>
              <w:rPr>
                <w:sz w:val="28"/>
                <w:szCs w:val="28"/>
                <w:lang w:val="uk-UA"/>
              </w:rPr>
              <w:t>60</w:t>
            </w:r>
          </w:p>
        </w:tc>
        <w:tc>
          <w:tcPr>
            <w:tcW w:w="1578" w:type="dxa"/>
            <w:vAlign w:val="center"/>
          </w:tcPr>
          <w:p w:rsidR="009347A9" w:rsidRDefault="009347A9" w:rsidP="003B6E3D">
            <w:pPr>
              <w:widowControl w:val="0"/>
              <w:jc w:val="center"/>
              <w:rPr>
                <w:sz w:val="28"/>
                <w:szCs w:val="28"/>
                <w:lang w:val="uk-UA"/>
              </w:rPr>
            </w:pPr>
            <w:r>
              <w:rPr>
                <w:color w:val="000000"/>
                <w:sz w:val="28"/>
                <w:szCs w:val="28"/>
                <w:lang w:val="uk-UA"/>
              </w:rPr>
              <w:t>5,62±0,63</w:t>
            </w:r>
          </w:p>
        </w:tc>
        <w:tc>
          <w:tcPr>
            <w:tcW w:w="1701" w:type="dxa"/>
            <w:vAlign w:val="center"/>
          </w:tcPr>
          <w:p w:rsidR="009347A9" w:rsidRDefault="009347A9" w:rsidP="003B6E3D">
            <w:pPr>
              <w:widowControl w:val="0"/>
              <w:jc w:val="center"/>
              <w:rPr>
                <w:sz w:val="28"/>
                <w:szCs w:val="28"/>
                <w:lang w:val="uk-UA"/>
              </w:rPr>
            </w:pPr>
            <w:r>
              <w:rPr>
                <w:color w:val="000000"/>
                <w:sz w:val="28"/>
                <w:szCs w:val="28"/>
                <w:lang w:val="uk-UA"/>
              </w:rPr>
              <w:t>63,33</w:t>
            </w:r>
            <w:r>
              <w:rPr>
                <w:sz w:val="28"/>
                <w:szCs w:val="28"/>
                <w:lang w:val="uk-UA"/>
              </w:rPr>
              <w:t>±</w:t>
            </w:r>
            <w:r>
              <w:rPr>
                <w:color w:val="000000"/>
                <w:sz w:val="28"/>
                <w:szCs w:val="28"/>
                <w:lang w:val="uk-UA"/>
              </w:rPr>
              <w:t>0,46</w:t>
            </w:r>
          </w:p>
        </w:tc>
        <w:tc>
          <w:tcPr>
            <w:tcW w:w="1709" w:type="dxa"/>
            <w:vAlign w:val="center"/>
          </w:tcPr>
          <w:p w:rsidR="009347A9" w:rsidRDefault="009347A9" w:rsidP="003B6E3D">
            <w:pPr>
              <w:widowControl w:val="0"/>
              <w:jc w:val="center"/>
              <w:rPr>
                <w:sz w:val="28"/>
                <w:szCs w:val="28"/>
                <w:lang w:val="uk-UA"/>
              </w:rPr>
            </w:pPr>
            <w:r>
              <w:rPr>
                <w:color w:val="000000"/>
                <w:sz w:val="28"/>
                <w:szCs w:val="28"/>
                <w:lang w:val="uk-UA"/>
              </w:rPr>
              <w:t>36,67</w:t>
            </w:r>
            <w:r>
              <w:rPr>
                <w:sz w:val="28"/>
                <w:szCs w:val="28"/>
                <w:lang w:val="uk-UA"/>
              </w:rPr>
              <w:t>±</w:t>
            </w:r>
            <w:r>
              <w:rPr>
                <w:color w:val="000000"/>
                <w:sz w:val="28"/>
                <w:szCs w:val="28"/>
                <w:lang w:val="uk-UA"/>
              </w:rPr>
              <w:t>0,46</w:t>
            </w:r>
          </w:p>
        </w:tc>
        <w:tc>
          <w:tcPr>
            <w:tcW w:w="1585" w:type="dxa"/>
            <w:vAlign w:val="center"/>
          </w:tcPr>
          <w:p w:rsidR="009347A9" w:rsidRDefault="009347A9" w:rsidP="003B6E3D">
            <w:pPr>
              <w:widowControl w:val="0"/>
              <w:jc w:val="center"/>
              <w:rPr>
                <w:sz w:val="28"/>
                <w:szCs w:val="28"/>
                <w:lang w:val="uk-UA"/>
              </w:rPr>
            </w:pPr>
            <w:r>
              <w:rPr>
                <w:color w:val="000000"/>
                <w:sz w:val="28"/>
                <w:szCs w:val="28"/>
                <w:lang w:val="uk-UA"/>
              </w:rPr>
              <w:t>2,52</w:t>
            </w:r>
            <w:r>
              <w:rPr>
                <w:sz w:val="28"/>
                <w:szCs w:val="28"/>
                <w:lang w:val="uk-UA"/>
              </w:rPr>
              <w:t>±0,50</w:t>
            </w:r>
          </w:p>
        </w:tc>
      </w:tr>
      <w:tr w:rsidR="009347A9" w:rsidTr="003B6E3D">
        <w:tc>
          <w:tcPr>
            <w:tcW w:w="534" w:type="dxa"/>
          </w:tcPr>
          <w:p w:rsidR="009347A9" w:rsidRDefault="009347A9" w:rsidP="003B6E3D">
            <w:pPr>
              <w:widowControl w:val="0"/>
              <w:rPr>
                <w:sz w:val="28"/>
                <w:szCs w:val="28"/>
                <w:lang w:val="uk-UA"/>
              </w:rPr>
            </w:pPr>
          </w:p>
        </w:tc>
        <w:tc>
          <w:tcPr>
            <w:tcW w:w="2073" w:type="dxa"/>
          </w:tcPr>
          <w:p w:rsidR="009347A9" w:rsidRDefault="009347A9" w:rsidP="003B6E3D">
            <w:pPr>
              <w:widowControl w:val="0"/>
              <w:rPr>
                <w:sz w:val="28"/>
                <w:szCs w:val="28"/>
                <w:lang w:val="uk-UA"/>
              </w:rPr>
            </w:pPr>
            <w:r>
              <w:rPr>
                <w:sz w:val="28"/>
                <w:szCs w:val="28"/>
                <w:lang w:val="uk-UA"/>
              </w:rPr>
              <w:t>Уся вибірка</w:t>
            </w:r>
          </w:p>
        </w:tc>
        <w:tc>
          <w:tcPr>
            <w:tcW w:w="743" w:type="dxa"/>
            <w:vAlign w:val="center"/>
          </w:tcPr>
          <w:p w:rsidR="009347A9" w:rsidRDefault="009347A9" w:rsidP="003B6E3D">
            <w:pPr>
              <w:widowControl w:val="0"/>
              <w:jc w:val="center"/>
              <w:rPr>
                <w:sz w:val="28"/>
                <w:szCs w:val="28"/>
                <w:lang w:val="uk-UA"/>
              </w:rPr>
            </w:pPr>
            <w:r>
              <w:rPr>
                <w:sz w:val="28"/>
                <w:szCs w:val="28"/>
                <w:lang w:val="uk-UA"/>
              </w:rPr>
              <w:t>236</w:t>
            </w:r>
          </w:p>
        </w:tc>
        <w:tc>
          <w:tcPr>
            <w:tcW w:w="1578" w:type="dxa"/>
            <w:vAlign w:val="center"/>
          </w:tcPr>
          <w:p w:rsidR="009347A9" w:rsidRDefault="009347A9" w:rsidP="003B6E3D">
            <w:pPr>
              <w:widowControl w:val="0"/>
              <w:jc w:val="center"/>
              <w:rPr>
                <w:sz w:val="28"/>
                <w:szCs w:val="28"/>
                <w:lang w:val="uk-UA"/>
              </w:rPr>
            </w:pPr>
            <w:r>
              <w:rPr>
                <w:color w:val="000000"/>
                <w:sz w:val="28"/>
                <w:szCs w:val="28"/>
                <w:lang w:val="uk-UA"/>
              </w:rPr>
              <w:t>6,52±0,68</w:t>
            </w:r>
          </w:p>
        </w:tc>
        <w:tc>
          <w:tcPr>
            <w:tcW w:w="1701" w:type="dxa"/>
            <w:vAlign w:val="center"/>
          </w:tcPr>
          <w:p w:rsidR="009347A9" w:rsidRDefault="009347A9" w:rsidP="003B6E3D">
            <w:pPr>
              <w:widowControl w:val="0"/>
              <w:jc w:val="center"/>
              <w:rPr>
                <w:sz w:val="28"/>
                <w:szCs w:val="28"/>
                <w:lang w:val="uk-UA"/>
              </w:rPr>
            </w:pPr>
            <w:r>
              <w:rPr>
                <w:color w:val="000000"/>
                <w:sz w:val="28"/>
                <w:szCs w:val="28"/>
                <w:lang w:val="uk-UA"/>
              </w:rPr>
              <w:t>49,58</w:t>
            </w:r>
            <w:r>
              <w:rPr>
                <w:sz w:val="28"/>
                <w:szCs w:val="28"/>
                <w:lang w:val="uk-UA"/>
              </w:rPr>
              <w:t>±0,50</w:t>
            </w:r>
          </w:p>
        </w:tc>
        <w:tc>
          <w:tcPr>
            <w:tcW w:w="1709" w:type="dxa"/>
            <w:vAlign w:val="center"/>
          </w:tcPr>
          <w:p w:rsidR="009347A9" w:rsidRDefault="009347A9" w:rsidP="003B6E3D">
            <w:pPr>
              <w:widowControl w:val="0"/>
              <w:jc w:val="center"/>
              <w:rPr>
                <w:sz w:val="28"/>
                <w:szCs w:val="28"/>
                <w:lang w:val="uk-UA"/>
              </w:rPr>
            </w:pPr>
            <w:r>
              <w:rPr>
                <w:color w:val="000000"/>
                <w:sz w:val="28"/>
                <w:szCs w:val="28"/>
                <w:lang w:val="uk-UA"/>
              </w:rPr>
              <w:t>50,42</w:t>
            </w:r>
            <w:r>
              <w:rPr>
                <w:sz w:val="28"/>
                <w:szCs w:val="28"/>
                <w:lang w:val="uk-UA"/>
              </w:rPr>
              <w:t>±0,50</w:t>
            </w:r>
          </w:p>
        </w:tc>
        <w:tc>
          <w:tcPr>
            <w:tcW w:w="1585" w:type="dxa"/>
            <w:vAlign w:val="center"/>
          </w:tcPr>
          <w:p w:rsidR="009347A9" w:rsidRDefault="009347A9" w:rsidP="003B6E3D">
            <w:pPr>
              <w:widowControl w:val="0"/>
              <w:jc w:val="center"/>
              <w:rPr>
                <w:sz w:val="28"/>
                <w:szCs w:val="28"/>
                <w:lang w:val="uk-UA"/>
              </w:rPr>
            </w:pPr>
            <w:r>
              <w:rPr>
                <w:color w:val="000000"/>
                <w:sz w:val="28"/>
                <w:szCs w:val="28"/>
                <w:lang w:val="uk-UA"/>
              </w:rPr>
              <w:t>3,08</w:t>
            </w:r>
            <w:r>
              <w:rPr>
                <w:sz w:val="28"/>
                <w:szCs w:val="28"/>
                <w:lang w:val="uk-UA"/>
              </w:rPr>
              <w:t>±</w:t>
            </w:r>
            <w:r>
              <w:rPr>
                <w:color w:val="000000"/>
                <w:sz w:val="28"/>
                <w:szCs w:val="28"/>
                <w:lang w:val="uk-UA"/>
              </w:rPr>
              <w:t>0,91</w:t>
            </w:r>
          </w:p>
        </w:tc>
      </w:tr>
    </w:tbl>
    <w:p w:rsidR="009347A9" w:rsidRDefault="009347A9" w:rsidP="009347A9">
      <w:pPr>
        <w:widowControl w:val="0"/>
        <w:spacing w:line="360" w:lineRule="exact"/>
        <w:ind w:firstLine="709"/>
        <w:rPr>
          <w:sz w:val="28"/>
          <w:szCs w:val="28"/>
          <w:lang w:val="uk-UA"/>
        </w:rPr>
      </w:pPr>
      <w:r>
        <w:rPr>
          <w:sz w:val="28"/>
          <w:szCs w:val="28"/>
          <w:lang w:val="uk-UA"/>
        </w:rPr>
        <w:t>Примітка.* – достовірність відмінностей з порівняльною групою на рівні &lt;0,05;</w:t>
      </w:r>
    </w:p>
    <w:p w:rsidR="009347A9" w:rsidRDefault="009347A9" w:rsidP="009347A9">
      <w:pPr>
        <w:spacing w:line="360" w:lineRule="exact"/>
        <w:ind w:firstLine="709"/>
        <w:jc w:val="both"/>
        <w:rPr>
          <w:sz w:val="28"/>
          <w:szCs w:val="28"/>
          <w:lang w:val="uk-UA"/>
        </w:rPr>
      </w:pPr>
      <w:r>
        <w:rPr>
          <w:sz w:val="28"/>
          <w:szCs w:val="28"/>
          <w:lang w:val="uk-UA"/>
        </w:rPr>
        <w:t>Детальне вивчення симптомів диспептичного синдрому у хворих на ХП, у яких була виявлена шлункова гіперацидність, дозволяє виявити симптоми синдрому шлункової гіперацидності. Так, серед хворих на ХП з виявленою гіпер</w:t>
      </w:r>
      <w:r>
        <w:rPr>
          <w:sz w:val="28"/>
          <w:szCs w:val="28"/>
          <w:lang w:val="uk-UA"/>
        </w:rPr>
        <w:t>а</w:t>
      </w:r>
      <w:r>
        <w:rPr>
          <w:sz w:val="28"/>
          <w:szCs w:val="28"/>
          <w:lang w:val="uk-UA"/>
        </w:rPr>
        <w:t>цидністю шлунка переважали або мали тенденцію до переважання симптоми печії, нудоти, блювання, гіперсалівації.</w:t>
      </w:r>
    </w:p>
    <w:p w:rsidR="009347A9" w:rsidRDefault="009347A9" w:rsidP="009347A9">
      <w:pPr>
        <w:autoSpaceDE w:val="0"/>
        <w:autoSpaceDN w:val="0"/>
        <w:adjustRightInd w:val="0"/>
        <w:spacing w:line="360" w:lineRule="exact"/>
        <w:ind w:firstLine="709"/>
        <w:jc w:val="both"/>
        <w:rPr>
          <w:sz w:val="28"/>
          <w:szCs w:val="28"/>
          <w:lang w:val="uk-UA"/>
        </w:rPr>
      </w:pPr>
      <w:r>
        <w:rPr>
          <w:sz w:val="28"/>
          <w:szCs w:val="28"/>
          <w:lang w:val="uk-UA"/>
        </w:rPr>
        <w:t>Хворі на ХП, у яких не виявлено гіперацидного стану шлунка, мають б</w:t>
      </w:r>
      <w:r>
        <w:rPr>
          <w:sz w:val="28"/>
          <w:szCs w:val="28"/>
          <w:lang w:val="uk-UA"/>
        </w:rPr>
        <w:t>і</w:t>
      </w:r>
      <w:r>
        <w:rPr>
          <w:sz w:val="28"/>
          <w:szCs w:val="28"/>
          <w:lang w:val="uk-UA"/>
        </w:rPr>
        <w:t>льшу розповсюдженість наступних симптомів диспептичного синдрому: мете</w:t>
      </w:r>
      <w:r>
        <w:rPr>
          <w:sz w:val="28"/>
          <w:szCs w:val="28"/>
          <w:lang w:val="uk-UA"/>
        </w:rPr>
        <w:t>о</w:t>
      </w:r>
      <w:r>
        <w:rPr>
          <w:sz w:val="28"/>
          <w:szCs w:val="28"/>
          <w:lang w:val="uk-UA"/>
        </w:rPr>
        <w:t>ризму, утрати апетиту, діареї, стеатореї, креатореї, поліфекалії. Характерно, що наявність пізніх симптомів зовнішньосекреторної недостатності мала прямий позитивний кореляційний зв'язок середньої сили з тривалістю захворювання (r=0,5).</w:t>
      </w:r>
    </w:p>
    <w:p w:rsidR="009347A9" w:rsidRDefault="009347A9" w:rsidP="009347A9">
      <w:pPr>
        <w:spacing w:line="360" w:lineRule="exact"/>
        <w:ind w:firstLine="709"/>
        <w:jc w:val="both"/>
        <w:rPr>
          <w:sz w:val="28"/>
          <w:szCs w:val="28"/>
          <w:lang w:val="uk-UA"/>
        </w:rPr>
      </w:pPr>
      <w:r>
        <w:rPr>
          <w:sz w:val="28"/>
          <w:szCs w:val="28"/>
          <w:lang w:val="uk-UA"/>
        </w:rPr>
        <w:t>Вивчення добових pH-грам у хворих на хронічний панкреатит дозволило виявити два фізіологічних феномени зміни внутрішньошлункового pH – фен</w:t>
      </w:r>
      <w:r>
        <w:rPr>
          <w:sz w:val="28"/>
          <w:szCs w:val="28"/>
          <w:lang w:val="uk-UA"/>
        </w:rPr>
        <w:t>о</w:t>
      </w:r>
      <w:r>
        <w:rPr>
          <w:sz w:val="28"/>
          <w:szCs w:val="28"/>
          <w:lang w:val="uk-UA"/>
        </w:rPr>
        <w:t>мен спонтанного нічного залуження та феномен зростання внутрішньошлунк</w:t>
      </w:r>
      <w:r>
        <w:rPr>
          <w:sz w:val="28"/>
          <w:szCs w:val="28"/>
          <w:lang w:val="uk-UA"/>
        </w:rPr>
        <w:t>о</w:t>
      </w:r>
      <w:r>
        <w:rPr>
          <w:sz w:val="28"/>
          <w:szCs w:val="28"/>
          <w:lang w:val="uk-UA"/>
        </w:rPr>
        <w:t>вого pH у постпрандіальний період – феномен постпрандіального залуження.</w:t>
      </w:r>
    </w:p>
    <w:p w:rsidR="009347A9" w:rsidRDefault="009347A9" w:rsidP="009347A9">
      <w:pPr>
        <w:spacing w:line="360" w:lineRule="exact"/>
        <w:ind w:firstLine="709"/>
        <w:jc w:val="both"/>
        <w:rPr>
          <w:sz w:val="28"/>
          <w:szCs w:val="28"/>
          <w:lang w:val="uk-UA"/>
        </w:rPr>
      </w:pPr>
      <w:r>
        <w:rPr>
          <w:sz w:val="28"/>
          <w:szCs w:val="28"/>
          <w:lang w:val="uk-UA"/>
        </w:rPr>
        <w:t>Нами було виявлено, що серед осіб з відсутнім або невираженим феном</w:t>
      </w:r>
      <w:r>
        <w:rPr>
          <w:sz w:val="28"/>
          <w:szCs w:val="28"/>
          <w:lang w:val="uk-UA"/>
        </w:rPr>
        <w:t>е</w:t>
      </w:r>
      <w:r>
        <w:rPr>
          <w:sz w:val="28"/>
          <w:szCs w:val="28"/>
          <w:lang w:val="uk-UA"/>
        </w:rPr>
        <w:t>ном спонтанного нічного залуження при обстеженні в базальних умовах частіше виявляється внутрішньошлункова гіперацидність (ФІрН-4, ФІрН-5) та інф</w:t>
      </w:r>
      <w:r>
        <w:rPr>
          <w:sz w:val="28"/>
          <w:szCs w:val="28"/>
          <w:lang w:val="uk-UA"/>
        </w:rPr>
        <w:t>і</w:t>
      </w:r>
      <w:r>
        <w:rPr>
          <w:sz w:val="28"/>
          <w:szCs w:val="28"/>
          <w:lang w:val="uk-UA"/>
        </w:rPr>
        <w:t>кованість слизової оболонки шлунка H.pylory порівняно з пацієнтами, у яких феномен спонтанного нічного залуження був виражений. Хворих з невираж</w:t>
      </w:r>
      <w:r>
        <w:rPr>
          <w:sz w:val="28"/>
          <w:szCs w:val="28"/>
          <w:lang w:val="uk-UA"/>
        </w:rPr>
        <w:t>е</w:t>
      </w:r>
      <w:r>
        <w:rPr>
          <w:sz w:val="28"/>
          <w:szCs w:val="28"/>
          <w:lang w:val="uk-UA"/>
        </w:rPr>
        <w:t>ним феноменом спонтанного нічного залуження частіше турбують болі в другій половині ночі, які характеризуються високою інтенсивністю та нападоподібним характером. Знання виявлених феноменів дозволяє з більшою точністю рег</w:t>
      </w:r>
      <w:r>
        <w:rPr>
          <w:sz w:val="28"/>
          <w:szCs w:val="28"/>
          <w:lang w:val="uk-UA"/>
        </w:rPr>
        <w:t>у</w:t>
      </w:r>
      <w:r>
        <w:rPr>
          <w:sz w:val="28"/>
          <w:szCs w:val="28"/>
          <w:lang w:val="uk-UA"/>
        </w:rPr>
        <w:t xml:space="preserve">лювати схему прийому кислотознижуючих препаратів. </w:t>
      </w:r>
    </w:p>
    <w:p w:rsidR="009347A9" w:rsidRDefault="009347A9" w:rsidP="009347A9">
      <w:pPr>
        <w:autoSpaceDE w:val="0"/>
        <w:autoSpaceDN w:val="0"/>
        <w:adjustRightInd w:val="0"/>
        <w:spacing w:line="360" w:lineRule="exact"/>
        <w:ind w:firstLine="709"/>
        <w:jc w:val="both"/>
        <w:rPr>
          <w:sz w:val="28"/>
          <w:szCs w:val="28"/>
          <w:lang w:val="uk-UA"/>
        </w:rPr>
      </w:pPr>
      <w:r>
        <w:rPr>
          <w:sz w:val="28"/>
          <w:szCs w:val="28"/>
          <w:lang w:val="uk-UA"/>
        </w:rPr>
        <w:t>Нами визначені характерні (типові) параметри постпрандіального зал</w:t>
      </w:r>
      <w:r>
        <w:rPr>
          <w:sz w:val="28"/>
          <w:szCs w:val="28"/>
          <w:lang w:val="uk-UA"/>
        </w:rPr>
        <w:t>у</w:t>
      </w:r>
      <w:r>
        <w:rPr>
          <w:sz w:val="28"/>
          <w:szCs w:val="28"/>
          <w:lang w:val="uk-UA"/>
        </w:rPr>
        <w:t xml:space="preserve">ження для хворих на ХП. До них ми віднесли тривалий характер залуження (в межах </w:t>
      </w:r>
      <w:r>
        <w:rPr>
          <w:color w:val="000000"/>
          <w:sz w:val="28"/>
          <w:szCs w:val="28"/>
          <w:lang w:val="uk-UA"/>
        </w:rPr>
        <w:t>134,88±28,23</w:t>
      </w:r>
      <w:r>
        <w:rPr>
          <w:sz w:val="28"/>
          <w:szCs w:val="28"/>
          <w:lang w:val="uk-UA"/>
        </w:rPr>
        <w:t xml:space="preserve"> хв.), округлість форми заглиблення кривої pH-грами в п</w:t>
      </w:r>
      <w:r>
        <w:rPr>
          <w:sz w:val="28"/>
          <w:szCs w:val="28"/>
          <w:lang w:val="uk-UA"/>
        </w:rPr>
        <w:t>е</w:t>
      </w:r>
      <w:r>
        <w:rPr>
          <w:sz w:val="28"/>
          <w:szCs w:val="28"/>
          <w:lang w:val="uk-UA"/>
        </w:rPr>
        <w:t xml:space="preserve">ріод </w:t>
      </w:r>
      <w:r>
        <w:rPr>
          <w:sz w:val="28"/>
          <w:szCs w:val="28"/>
          <w:lang w:val="uk-UA"/>
        </w:rPr>
        <w:lastRenderedPageBreak/>
        <w:t>залуження. Глибина залуження залежала від ступеня зовнішньосекреторної недостатності.</w:t>
      </w:r>
    </w:p>
    <w:p w:rsidR="009347A9" w:rsidRDefault="009347A9" w:rsidP="009347A9">
      <w:pPr>
        <w:pStyle w:val="1"/>
        <w:spacing w:line="360" w:lineRule="exact"/>
        <w:ind w:left="0" w:firstLine="709"/>
        <w:rPr>
          <w:b w:val="0"/>
          <w:szCs w:val="28"/>
        </w:rPr>
      </w:pPr>
      <w:r>
        <w:rPr>
          <w:b w:val="0"/>
          <w:szCs w:val="28"/>
        </w:rPr>
        <w:t>Розраховували, запропонований нами, показник постпрандіального зал</w:t>
      </w:r>
      <w:r>
        <w:rPr>
          <w:b w:val="0"/>
          <w:szCs w:val="28"/>
        </w:rPr>
        <w:t>у</w:t>
      </w:r>
      <w:r>
        <w:rPr>
          <w:b w:val="0"/>
          <w:szCs w:val="28"/>
        </w:rPr>
        <w:t>ження (ППЗ) за формулою:</w:t>
      </w:r>
    </w:p>
    <w:p w:rsidR="009347A9" w:rsidRPr="009347A9" w:rsidRDefault="009347A9" w:rsidP="009347A9">
      <w:pPr>
        <w:spacing w:line="360" w:lineRule="auto"/>
        <w:ind w:firstLine="709"/>
        <w:jc w:val="center"/>
        <w:rPr>
          <w:sz w:val="28"/>
          <w:szCs w:val="28"/>
          <w:lang w:val="uk-UA"/>
        </w:rPr>
      </w:pPr>
      <m:oMathPara>
        <m:oMath>
          <m:r>
            <m:rPr>
              <m:sty m:val="p"/>
            </m:rPr>
            <w:rPr>
              <w:rFonts w:ascii="Cambria Math" w:hAnsi="Cambria Math"/>
              <w:sz w:val="28"/>
              <w:szCs w:val="28"/>
              <w:lang w:val="uk-UA"/>
            </w:rPr>
            <m:t>ППЗ</m:t>
          </m:r>
          <m:r>
            <m:rPr>
              <m:sty m:val="p"/>
            </m:rPr>
            <w:rPr>
              <w:rFonts w:ascii="Cambria Math"/>
              <w:sz w:val="28"/>
              <w:szCs w:val="28"/>
              <w:lang w:val="uk-UA"/>
            </w:rPr>
            <m:t>=</m:t>
          </m:r>
          <m:f>
            <m:fPr>
              <m:ctrlPr>
                <w:rPr>
                  <w:rFonts w:ascii="Cambria Math" w:eastAsia="Calibri" w:hAnsi="Cambria Math"/>
                  <w:sz w:val="28"/>
                  <w:szCs w:val="28"/>
                  <w:lang w:val="uk-UA" w:eastAsia="en-US"/>
                </w:rPr>
              </m:ctrlPr>
            </m:fPr>
            <m:num>
              <m:r>
                <m:rPr>
                  <m:sty m:val="p"/>
                </m:rPr>
                <w:rPr>
                  <w:rFonts w:ascii="Cambria Math" w:hAnsi="Cambria Math"/>
                  <w:sz w:val="28"/>
                  <w:szCs w:val="28"/>
                  <w:lang w:val="uk-UA"/>
                </w:rPr>
                <m:t>Тривалість</m:t>
              </m:r>
              <m:r>
                <m:rPr>
                  <m:sty m:val="p"/>
                </m:rPr>
                <w:rPr>
                  <w:rFonts w:ascii="Cambria Math"/>
                  <w:sz w:val="28"/>
                  <w:szCs w:val="28"/>
                  <w:lang w:val="uk-UA"/>
                </w:rPr>
                <m:t xml:space="preserve"> </m:t>
              </m:r>
              <m:r>
                <m:rPr>
                  <m:sty m:val="p"/>
                </m:rPr>
                <w:rPr>
                  <w:rFonts w:ascii="Cambria Math" w:hAnsi="Cambria Math"/>
                  <w:sz w:val="28"/>
                  <w:szCs w:val="28"/>
                  <w:lang w:val="uk-UA"/>
                </w:rPr>
                <m:t>перебування</m:t>
              </m:r>
              <m:r>
                <m:rPr>
                  <m:sty m:val="p"/>
                </m:rPr>
                <w:rPr>
                  <w:rFonts w:ascii="Cambria Math"/>
                  <w:sz w:val="28"/>
                  <w:szCs w:val="28"/>
                  <w:lang w:val="uk-UA"/>
                </w:rPr>
                <m:t xml:space="preserve"> pH </m:t>
              </m:r>
              <m:r>
                <m:rPr>
                  <m:sty m:val="p"/>
                </m:rPr>
                <w:rPr>
                  <w:rFonts w:ascii="Cambria Math" w:hAnsi="Cambria Math"/>
                  <w:sz w:val="28"/>
                  <w:szCs w:val="28"/>
                  <w:lang w:val="uk-UA"/>
                </w:rPr>
                <m:t>в</m:t>
              </m:r>
              <m:r>
                <m:rPr>
                  <m:sty m:val="p"/>
                </m:rPr>
                <w:rPr>
                  <w:rFonts w:ascii="Cambria Math"/>
                  <w:sz w:val="28"/>
                  <w:szCs w:val="28"/>
                  <w:lang w:val="uk-UA"/>
                </w:rPr>
                <m:t xml:space="preserve"> </m:t>
              </m:r>
              <m:r>
                <m:rPr>
                  <m:sty m:val="p"/>
                </m:rPr>
                <w:rPr>
                  <w:rFonts w:ascii="Cambria Math" w:hAnsi="Cambria Math"/>
                  <w:sz w:val="28"/>
                  <w:szCs w:val="28"/>
                  <w:lang w:val="uk-UA"/>
                </w:rPr>
                <m:t>І</m:t>
              </m:r>
              <m:r>
                <m:rPr>
                  <m:sty m:val="p"/>
                </m:rPr>
                <w:rPr>
                  <w:rFonts w:ascii="Cambria Math"/>
                  <w:sz w:val="28"/>
                  <w:szCs w:val="28"/>
                  <w:lang w:val="uk-UA"/>
                </w:rPr>
                <m:t xml:space="preserve"> </m:t>
              </m:r>
              <m:r>
                <m:rPr>
                  <m:sty m:val="p"/>
                </m:rPr>
                <w:rPr>
                  <w:rFonts w:ascii="Cambria Math" w:hAnsi="Cambria Math"/>
                  <w:sz w:val="28"/>
                  <w:szCs w:val="28"/>
                  <w:lang w:val="uk-UA"/>
                </w:rPr>
                <m:t>та</m:t>
              </m:r>
              <m:r>
                <m:rPr>
                  <m:sty m:val="p"/>
                </m:rPr>
                <w:rPr>
                  <w:rFonts w:ascii="Cambria Math"/>
                  <w:sz w:val="28"/>
                  <w:szCs w:val="28"/>
                  <w:lang w:val="uk-UA"/>
                </w:rPr>
                <m:t xml:space="preserve"> 0 </m:t>
              </m:r>
              <m:r>
                <m:rPr>
                  <m:sty m:val="p"/>
                </m:rPr>
                <w:rPr>
                  <w:rFonts w:ascii="Cambria Math" w:hAnsi="Cambria Math"/>
                  <w:sz w:val="28"/>
                  <w:szCs w:val="28"/>
                  <w:lang w:val="uk-UA"/>
                </w:rPr>
                <m:t>ФІрН</m:t>
              </m:r>
            </m:num>
            <m:den>
              <m:r>
                <m:rPr>
                  <m:sty m:val="p"/>
                </m:rPr>
                <w:rPr>
                  <w:rFonts w:ascii="Cambria Math" w:hAnsi="Cambria Math"/>
                  <w:sz w:val="28"/>
                  <w:szCs w:val="28"/>
                  <w:lang w:val="uk-UA"/>
                </w:rPr>
                <m:t>Тривалість</m:t>
              </m:r>
              <m:r>
                <m:rPr>
                  <m:sty m:val="p"/>
                </m:rPr>
                <w:rPr>
                  <w:rFonts w:ascii="Cambria Math"/>
                  <w:sz w:val="28"/>
                  <w:szCs w:val="28"/>
                  <w:lang w:val="uk-UA"/>
                </w:rPr>
                <m:t xml:space="preserve"> </m:t>
              </m:r>
              <m:r>
                <m:rPr>
                  <m:sty m:val="p"/>
                </m:rPr>
                <w:rPr>
                  <w:rFonts w:ascii="Cambria Math" w:hAnsi="Cambria Math"/>
                  <w:sz w:val="28"/>
                  <w:szCs w:val="28"/>
                  <w:lang w:val="uk-UA"/>
                </w:rPr>
                <m:t>всього</m:t>
              </m:r>
              <m:r>
                <m:rPr>
                  <m:sty m:val="p"/>
                </m:rPr>
                <w:rPr>
                  <w:rFonts w:ascii="Cambria Math"/>
                  <w:sz w:val="28"/>
                  <w:szCs w:val="28"/>
                  <w:lang w:val="uk-UA"/>
                </w:rPr>
                <m:t xml:space="preserve"> </m:t>
              </m:r>
              <m:r>
                <m:rPr>
                  <m:sty m:val="p"/>
                </m:rPr>
                <w:rPr>
                  <w:rFonts w:ascii="Cambria Math" w:hAnsi="Cambria Math"/>
                  <w:sz w:val="28"/>
                  <w:szCs w:val="28"/>
                  <w:lang w:val="uk-UA"/>
                </w:rPr>
                <m:t>залуження</m:t>
              </m:r>
            </m:den>
          </m:f>
          <m:r>
            <m:rPr>
              <m:sty m:val="p"/>
            </m:rPr>
            <w:rPr>
              <w:rFonts w:ascii="Cambria Math" w:hAnsi="Cambria Math"/>
              <w:sz w:val="28"/>
              <w:szCs w:val="28"/>
              <w:lang w:val="uk-UA"/>
            </w:rPr>
            <m:t>×</m:t>
          </m:r>
          <m:r>
            <m:rPr>
              <m:sty m:val="p"/>
            </m:rPr>
            <w:rPr>
              <w:rFonts w:ascii="Cambria Math"/>
              <w:sz w:val="28"/>
              <w:szCs w:val="28"/>
              <w:lang w:val="uk-UA"/>
            </w:rPr>
            <m:t>100</m:t>
          </m:r>
        </m:oMath>
      </m:oMathPara>
    </w:p>
    <w:p w:rsidR="009347A9" w:rsidRDefault="009347A9" w:rsidP="009347A9">
      <w:pPr>
        <w:spacing w:line="360" w:lineRule="exact"/>
        <w:ind w:firstLine="709"/>
        <w:jc w:val="both"/>
        <w:rPr>
          <w:sz w:val="28"/>
          <w:szCs w:val="28"/>
          <w:lang w:val="uk-UA"/>
        </w:rPr>
      </w:pPr>
      <w:r>
        <w:rPr>
          <w:sz w:val="28"/>
          <w:szCs w:val="28"/>
          <w:lang w:val="uk-UA"/>
        </w:rPr>
        <w:t>Отримуючи показник нижче 25%, вважали наявність вторинної зовні</w:t>
      </w:r>
      <w:r>
        <w:rPr>
          <w:sz w:val="28"/>
          <w:szCs w:val="28"/>
          <w:lang w:val="uk-UA"/>
        </w:rPr>
        <w:t>ш</w:t>
      </w:r>
      <w:r>
        <w:rPr>
          <w:sz w:val="28"/>
          <w:szCs w:val="28"/>
          <w:lang w:val="uk-UA"/>
        </w:rPr>
        <w:t>ньосекреторної недостатності підшлункової залози встановленою</w:t>
      </w:r>
      <w:r>
        <w:rPr>
          <w:lang w:val="uk-UA"/>
        </w:rPr>
        <w:t>.</w:t>
      </w:r>
    </w:p>
    <w:p w:rsidR="009347A9" w:rsidRDefault="009347A9" w:rsidP="009347A9">
      <w:pPr>
        <w:spacing w:line="360" w:lineRule="exact"/>
        <w:ind w:firstLine="709"/>
        <w:jc w:val="both"/>
        <w:rPr>
          <w:sz w:val="28"/>
          <w:szCs w:val="28"/>
          <w:lang w:val="uk-UA"/>
        </w:rPr>
      </w:pPr>
      <w:r>
        <w:rPr>
          <w:sz w:val="28"/>
          <w:szCs w:val="28"/>
          <w:lang w:val="uk-UA"/>
        </w:rPr>
        <w:t>Добова медіана pH у хворих на хронічний панкреатит основної та порі</w:t>
      </w:r>
      <w:r>
        <w:rPr>
          <w:sz w:val="28"/>
          <w:szCs w:val="28"/>
          <w:lang w:val="uk-UA"/>
        </w:rPr>
        <w:t>в</w:t>
      </w:r>
      <w:r>
        <w:rPr>
          <w:sz w:val="28"/>
          <w:szCs w:val="28"/>
          <w:lang w:val="uk-UA"/>
        </w:rPr>
        <w:t>няльної груп, за отриманими даними, лежить на межі інтервалу "гіпоацидність виражена" і складає (3,61</w:t>
      </w:r>
      <w:r>
        <w:rPr>
          <w:color w:val="000000"/>
          <w:sz w:val="28"/>
          <w:szCs w:val="28"/>
        </w:rPr>
        <w:t>±</w:t>
      </w:r>
      <w:r>
        <w:rPr>
          <w:color w:val="000000"/>
          <w:sz w:val="28"/>
          <w:szCs w:val="28"/>
          <w:lang w:val="uk-UA"/>
        </w:rPr>
        <w:t>0</w:t>
      </w:r>
      <w:r>
        <w:rPr>
          <w:color w:val="000000"/>
          <w:sz w:val="28"/>
          <w:szCs w:val="28"/>
        </w:rPr>
        <w:t>,</w:t>
      </w:r>
      <w:r>
        <w:rPr>
          <w:color w:val="000000"/>
          <w:sz w:val="28"/>
          <w:szCs w:val="28"/>
          <w:lang w:val="uk-UA"/>
        </w:rPr>
        <w:t>9</w:t>
      </w:r>
      <w:r>
        <w:rPr>
          <w:color w:val="000000"/>
          <w:sz w:val="28"/>
          <w:szCs w:val="28"/>
        </w:rPr>
        <w:t>8</w:t>
      </w:r>
      <w:r>
        <w:rPr>
          <w:color w:val="000000"/>
          <w:sz w:val="28"/>
          <w:szCs w:val="28"/>
          <w:lang w:val="uk-UA"/>
        </w:rPr>
        <w:t>)</w:t>
      </w:r>
      <w:r>
        <w:rPr>
          <w:sz w:val="28"/>
          <w:szCs w:val="28"/>
          <w:lang w:val="uk-UA"/>
        </w:rPr>
        <w:t xml:space="preserve"> од. </w:t>
      </w:r>
      <w:r>
        <w:rPr>
          <w:sz w:val="28"/>
          <w:szCs w:val="28"/>
          <w:lang w:val="en-US"/>
        </w:rPr>
        <w:t>pH</w:t>
      </w:r>
      <w:r>
        <w:rPr>
          <w:sz w:val="28"/>
          <w:szCs w:val="28"/>
        </w:rPr>
        <w:t>.</w:t>
      </w:r>
    </w:p>
    <w:p w:rsidR="009347A9" w:rsidRDefault="009347A9" w:rsidP="009347A9">
      <w:pPr>
        <w:spacing w:line="360" w:lineRule="exact"/>
        <w:ind w:firstLine="709"/>
        <w:jc w:val="both"/>
        <w:rPr>
          <w:sz w:val="28"/>
          <w:szCs w:val="28"/>
          <w:lang w:val="uk-UA" w:eastAsia="uk-UA"/>
        </w:rPr>
      </w:pPr>
      <w:r>
        <w:rPr>
          <w:sz w:val="28"/>
          <w:szCs w:val="28"/>
          <w:lang w:val="uk-UA" w:eastAsia="uk-UA"/>
        </w:rPr>
        <w:t xml:space="preserve">За даними інших дослідників медіана внутрішньодуоденального та внутрішньошлункового pH істотно не зменшуються в хворих на ХП з </w:t>
      </w:r>
      <w:r>
        <w:rPr>
          <w:sz w:val="28"/>
          <w:szCs w:val="28"/>
          <w:lang w:val="uk-UA"/>
        </w:rPr>
        <w:t>зовнішньос</w:t>
      </w:r>
      <w:r>
        <w:rPr>
          <w:sz w:val="28"/>
          <w:szCs w:val="28"/>
          <w:lang w:val="uk-UA"/>
        </w:rPr>
        <w:t>е</w:t>
      </w:r>
      <w:r>
        <w:rPr>
          <w:sz w:val="28"/>
          <w:szCs w:val="28"/>
          <w:lang w:val="uk-UA"/>
        </w:rPr>
        <w:t>креторно</w:t>
      </w:r>
      <w:r>
        <w:rPr>
          <w:sz w:val="28"/>
          <w:szCs w:val="28"/>
          <w:lang w:val="uk-UA" w:eastAsia="uk-UA"/>
        </w:rPr>
        <w:t xml:space="preserve">ю недостатністю, але </w:t>
      </w:r>
      <w:r>
        <w:rPr>
          <w:sz w:val="28"/>
          <w:szCs w:val="28"/>
          <w:lang w:val="uk-UA"/>
        </w:rPr>
        <w:t>постпрандіальний період у хворих і</w:t>
      </w:r>
      <w:r>
        <w:rPr>
          <w:sz w:val="28"/>
          <w:szCs w:val="28"/>
          <w:lang w:val="uk-UA" w:eastAsia="uk-UA"/>
        </w:rPr>
        <w:t>з закисле</w:t>
      </w:r>
      <w:r>
        <w:rPr>
          <w:sz w:val="28"/>
          <w:szCs w:val="28"/>
          <w:lang w:val="uk-UA" w:eastAsia="uk-UA"/>
        </w:rPr>
        <w:t>н</w:t>
      </w:r>
      <w:r>
        <w:rPr>
          <w:sz w:val="28"/>
          <w:szCs w:val="28"/>
          <w:lang w:val="uk-UA" w:eastAsia="uk-UA"/>
        </w:rPr>
        <w:t>ням у ДПК (pH &lt; 5) та в шлунку (pH &lt; 3) істотно (P &lt; 0.05) збільшується [</w:t>
      </w:r>
      <w:r>
        <w:rPr>
          <w:sz w:val="28"/>
          <w:szCs w:val="28"/>
          <w:lang w:val="uk-UA"/>
        </w:rPr>
        <w:t>W.P.Geus et al., 1999</w:t>
      </w:r>
      <w:r>
        <w:rPr>
          <w:sz w:val="28"/>
          <w:szCs w:val="28"/>
          <w:lang w:val="uk-UA" w:eastAsia="uk-UA"/>
        </w:rPr>
        <w:t>].</w:t>
      </w:r>
    </w:p>
    <w:p w:rsidR="009347A9" w:rsidRDefault="009347A9" w:rsidP="009347A9">
      <w:pPr>
        <w:widowControl w:val="0"/>
        <w:spacing w:line="360" w:lineRule="exact"/>
        <w:ind w:firstLine="709"/>
        <w:jc w:val="both"/>
        <w:rPr>
          <w:sz w:val="28"/>
          <w:szCs w:val="28"/>
          <w:lang w:val="uk-UA"/>
        </w:rPr>
      </w:pPr>
      <w:r>
        <w:rPr>
          <w:sz w:val="28"/>
          <w:szCs w:val="28"/>
          <w:lang w:val="uk-UA"/>
        </w:rPr>
        <w:t>Дослідження показало, що у хворих на ХП з зовнішньо-секреторною недостатністю в періоди спонтанного нічного залуження та, особливо, постпра</w:t>
      </w:r>
      <w:r>
        <w:rPr>
          <w:sz w:val="28"/>
          <w:szCs w:val="28"/>
          <w:lang w:val="uk-UA"/>
        </w:rPr>
        <w:t>н</w:t>
      </w:r>
      <w:r>
        <w:rPr>
          <w:sz w:val="28"/>
          <w:szCs w:val="28"/>
          <w:lang w:val="uk-UA"/>
        </w:rPr>
        <w:t>діального залуження, показники внутрішньошлункового pH зменшувались (рис. 1).</w:t>
      </w:r>
    </w:p>
    <w:p w:rsidR="009347A9" w:rsidRDefault="009347A9" w:rsidP="009347A9">
      <w:pPr>
        <w:widowControl w:val="0"/>
        <w:spacing w:line="360" w:lineRule="auto"/>
        <w:jc w:val="center"/>
        <w:rPr>
          <w:b/>
          <w:sz w:val="28"/>
          <w:szCs w:val="28"/>
          <w:lang w:val="uk-UA"/>
        </w:rPr>
      </w:pPr>
      <w:r>
        <w:rPr>
          <w:noProof/>
          <w:lang w:eastAsia="ru-RU"/>
        </w:rPr>
        <w:lastRenderedPageBreak/>
        <w:drawing>
          <wp:inline distT="0" distB="0" distL="0" distR="0">
            <wp:extent cx="5313045" cy="435102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347A9" w:rsidRDefault="009347A9" w:rsidP="009347A9">
      <w:pPr>
        <w:widowControl w:val="0"/>
        <w:spacing w:line="360" w:lineRule="exact"/>
        <w:ind w:firstLine="709"/>
        <w:jc w:val="both"/>
        <w:rPr>
          <w:sz w:val="28"/>
          <w:szCs w:val="28"/>
          <w:lang w:val="uk-UA"/>
        </w:rPr>
      </w:pPr>
      <w:r>
        <w:rPr>
          <w:sz w:val="28"/>
          <w:szCs w:val="28"/>
          <w:lang w:val="uk-UA"/>
        </w:rPr>
        <w:t>Рис. 1. Погодинна динаміка медіан внутрішньошлункового pH у хворих на ХП з зовнішньосекреторною недостатністю та без неї.</w:t>
      </w:r>
    </w:p>
    <w:p w:rsidR="009347A9" w:rsidRDefault="009347A9" w:rsidP="009347A9">
      <w:pPr>
        <w:widowControl w:val="0"/>
        <w:spacing w:line="360" w:lineRule="exact"/>
        <w:ind w:firstLine="709"/>
        <w:jc w:val="both"/>
        <w:rPr>
          <w:sz w:val="28"/>
          <w:szCs w:val="28"/>
          <w:lang w:val="uk-UA"/>
        </w:rPr>
      </w:pPr>
      <w:r>
        <w:rPr>
          <w:sz w:val="28"/>
          <w:szCs w:val="28"/>
          <w:lang w:val="uk-UA"/>
        </w:rPr>
        <w:t>Визначення ППЗ показало, що при вираженій зовнішньосекреторній недостатності зменшується час перебування внутрішньошлункового pH в перш</w:t>
      </w:r>
      <w:r>
        <w:rPr>
          <w:sz w:val="28"/>
          <w:szCs w:val="28"/>
          <w:lang w:val="uk-UA"/>
        </w:rPr>
        <w:t>о</w:t>
      </w:r>
      <w:r>
        <w:rPr>
          <w:sz w:val="28"/>
          <w:szCs w:val="28"/>
          <w:lang w:val="uk-UA"/>
        </w:rPr>
        <w:t>му та нульовому ФІ pH в 3,1± 0,3 рази.</w:t>
      </w:r>
    </w:p>
    <w:p w:rsidR="009347A9" w:rsidRDefault="009347A9" w:rsidP="009347A9">
      <w:pPr>
        <w:widowControl w:val="0"/>
        <w:autoSpaceDE w:val="0"/>
        <w:autoSpaceDN w:val="0"/>
        <w:spacing w:line="360" w:lineRule="exact"/>
        <w:ind w:firstLine="709"/>
        <w:jc w:val="both"/>
        <w:rPr>
          <w:sz w:val="28"/>
          <w:szCs w:val="28"/>
          <w:lang w:val="uk-UA"/>
        </w:rPr>
      </w:pPr>
      <w:r>
        <w:rPr>
          <w:sz w:val="28"/>
          <w:szCs w:val="28"/>
          <w:lang w:val="uk-UA"/>
        </w:rPr>
        <w:t>Порівняльне дослідження ультраструктури підшлункової залози при хронічному панкреатиті при різних рівнях шлункової ацидності показало, що субмікроскопічна організація клітин підшлункової залози при хронічному панкр</w:t>
      </w:r>
      <w:r>
        <w:rPr>
          <w:sz w:val="28"/>
          <w:szCs w:val="28"/>
          <w:lang w:val="uk-UA"/>
        </w:rPr>
        <w:t>е</w:t>
      </w:r>
      <w:r>
        <w:rPr>
          <w:sz w:val="28"/>
          <w:szCs w:val="28"/>
          <w:lang w:val="uk-UA"/>
        </w:rPr>
        <w:t>атиті з синдромом шлункової гіперацидності багато в чому залишається анал</w:t>
      </w:r>
      <w:r>
        <w:rPr>
          <w:sz w:val="28"/>
          <w:szCs w:val="28"/>
          <w:lang w:val="uk-UA"/>
        </w:rPr>
        <w:t>о</w:t>
      </w:r>
      <w:r>
        <w:rPr>
          <w:sz w:val="28"/>
          <w:szCs w:val="28"/>
          <w:lang w:val="uk-UA"/>
        </w:rPr>
        <w:t>гічною тій, що була виявлена при хронічному панкреатиті з шлунковою норм</w:t>
      </w:r>
      <w:r>
        <w:rPr>
          <w:sz w:val="28"/>
          <w:szCs w:val="28"/>
          <w:lang w:val="uk-UA"/>
        </w:rPr>
        <w:t>о</w:t>
      </w:r>
      <w:r>
        <w:rPr>
          <w:sz w:val="28"/>
          <w:szCs w:val="28"/>
          <w:lang w:val="uk-UA"/>
        </w:rPr>
        <w:t>ацидністю та зі шлунковою гіпоацидністю. Тут також виявляється морфологі</w:t>
      </w:r>
      <w:r>
        <w:rPr>
          <w:sz w:val="28"/>
          <w:szCs w:val="28"/>
          <w:lang w:val="uk-UA"/>
        </w:rPr>
        <w:t>ч</w:t>
      </w:r>
      <w:r>
        <w:rPr>
          <w:sz w:val="28"/>
          <w:szCs w:val="28"/>
          <w:lang w:val="uk-UA"/>
        </w:rPr>
        <w:t>на неоднорідність клітин, які відмінні одна від одної ступенем розвитку кан</w:t>
      </w:r>
      <w:r>
        <w:rPr>
          <w:sz w:val="28"/>
          <w:szCs w:val="28"/>
          <w:lang w:val="uk-UA"/>
        </w:rPr>
        <w:t>а</w:t>
      </w:r>
      <w:r>
        <w:rPr>
          <w:sz w:val="28"/>
          <w:szCs w:val="28"/>
          <w:lang w:val="uk-UA"/>
        </w:rPr>
        <w:t>лів гранулярного ендоплазматичного ретикулума, кількістю запасу глікогену, числом мітохондрій, наявністю фібрилярних включень цитоплазми, ступенем ро</w:t>
      </w:r>
      <w:r>
        <w:rPr>
          <w:sz w:val="28"/>
          <w:szCs w:val="28"/>
          <w:lang w:val="uk-UA"/>
        </w:rPr>
        <w:t>з</w:t>
      </w:r>
      <w:r>
        <w:rPr>
          <w:sz w:val="28"/>
          <w:szCs w:val="28"/>
          <w:lang w:val="uk-UA"/>
        </w:rPr>
        <w:t xml:space="preserve">витку і кількістю вакуолей. Проте існують деякі особливості. </w:t>
      </w:r>
    </w:p>
    <w:p w:rsidR="009347A9" w:rsidRDefault="009347A9" w:rsidP="009347A9">
      <w:pPr>
        <w:widowControl w:val="0"/>
        <w:autoSpaceDE w:val="0"/>
        <w:autoSpaceDN w:val="0"/>
        <w:spacing w:line="360" w:lineRule="exact"/>
        <w:ind w:firstLine="709"/>
        <w:jc w:val="both"/>
        <w:rPr>
          <w:sz w:val="28"/>
          <w:szCs w:val="28"/>
          <w:lang w:val="uk-UA"/>
        </w:rPr>
      </w:pPr>
      <w:r>
        <w:rPr>
          <w:sz w:val="28"/>
          <w:szCs w:val="28"/>
          <w:lang w:val="uk-UA"/>
        </w:rPr>
        <w:t>При хронічному панкреатиті з синдромом шлункової гіперацидності частіше зустрічаються ізогенні групи клітин, розташовані в тісному контакті з ле</w:t>
      </w:r>
      <w:r>
        <w:rPr>
          <w:sz w:val="28"/>
          <w:szCs w:val="28"/>
          <w:lang w:val="uk-UA"/>
        </w:rPr>
        <w:t>й</w:t>
      </w:r>
      <w:r>
        <w:rPr>
          <w:sz w:val="28"/>
          <w:szCs w:val="28"/>
          <w:lang w:val="uk-UA"/>
        </w:rPr>
        <w:t xml:space="preserve">коцитами, фібробластами, фіброцитами і колагеновими структурами. Велика частина ацинозних клітин знаходиться в неактивному, щодо синтезу білкових структур, стані. Разом з цим, визначаються зони залози, де можна спостерігати клітини, які, в тій чи іншій мірі, проявляють ознаки деструктивних змін аж до їх </w:t>
      </w:r>
      <w:r>
        <w:rPr>
          <w:sz w:val="28"/>
          <w:szCs w:val="28"/>
          <w:lang w:val="uk-UA"/>
        </w:rPr>
        <w:lastRenderedPageBreak/>
        <w:t>повного розпаду. Але деструкції не передувало збільшення клітинного об'єму через відсутність або слабкий прояв гідратації цитоплазми. Можливо, цю особливість можна пов'язати з умовами метаболізму, що змінилися, при хронічн</w:t>
      </w:r>
      <w:r>
        <w:rPr>
          <w:sz w:val="28"/>
          <w:szCs w:val="28"/>
          <w:lang w:val="uk-UA"/>
        </w:rPr>
        <w:t>о</w:t>
      </w:r>
      <w:r>
        <w:rPr>
          <w:sz w:val="28"/>
          <w:szCs w:val="28"/>
          <w:lang w:val="uk-UA"/>
        </w:rPr>
        <w:t xml:space="preserve">му панкреатиті з синдромом шлункової гіперацидності. </w:t>
      </w:r>
    </w:p>
    <w:p w:rsidR="009347A9" w:rsidRDefault="009347A9" w:rsidP="009347A9">
      <w:pPr>
        <w:autoSpaceDE w:val="0"/>
        <w:autoSpaceDN w:val="0"/>
        <w:adjustRightInd w:val="0"/>
        <w:spacing w:line="360" w:lineRule="exact"/>
        <w:ind w:firstLine="709"/>
        <w:jc w:val="both"/>
        <w:rPr>
          <w:sz w:val="28"/>
          <w:szCs w:val="28"/>
          <w:lang w:val="uk-UA"/>
        </w:rPr>
      </w:pPr>
      <w:r>
        <w:rPr>
          <w:sz w:val="28"/>
          <w:szCs w:val="28"/>
          <w:lang w:val="uk-UA"/>
        </w:rPr>
        <w:t>Проведений ультраструктурний аналіз клітин підшлункової залози при хронічному панкреатиті з синдромом шлункової гіперацидності свідчив про те, що розвиток захворювання пов'язаний з первинними деструктивними змінами в ацинозних і дуктальних клітинах. Як правило, патологічний процес протікає на фоні наростання фіброзу і подальшого пошкодження секреторних і протокових структур органу.</w:t>
      </w:r>
    </w:p>
    <w:p w:rsidR="009347A9" w:rsidRDefault="009347A9" w:rsidP="009347A9">
      <w:pPr>
        <w:autoSpaceDE w:val="0"/>
        <w:autoSpaceDN w:val="0"/>
        <w:adjustRightInd w:val="0"/>
        <w:spacing w:line="360" w:lineRule="exact"/>
        <w:ind w:firstLine="709"/>
        <w:jc w:val="both"/>
        <w:rPr>
          <w:sz w:val="28"/>
          <w:szCs w:val="28"/>
          <w:lang w:val="uk-UA"/>
        </w:rPr>
      </w:pPr>
      <w:r>
        <w:rPr>
          <w:sz w:val="28"/>
          <w:szCs w:val="28"/>
          <w:lang w:val="uk-UA"/>
        </w:rPr>
        <w:t>За даними добового гастро-рН-моніторингу лікування фамотидином в складі комплексної терапії у хворих на ХП значно впливало на тривалість пер</w:t>
      </w:r>
      <w:r>
        <w:rPr>
          <w:sz w:val="28"/>
          <w:szCs w:val="28"/>
          <w:lang w:val="uk-UA"/>
        </w:rPr>
        <w:t>і</w:t>
      </w:r>
      <w:r>
        <w:rPr>
          <w:sz w:val="28"/>
          <w:szCs w:val="28"/>
          <w:lang w:val="uk-UA"/>
        </w:rPr>
        <w:t>оду перебування інтрагастрального pH в першому та нульовому ФІ pH прот</w:t>
      </w:r>
      <w:r>
        <w:rPr>
          <w:sz w:val="28"/>
          <w:szCs w:val="28"/>
          <w:lang w:val="uk-UA"/>
        </w:rPr>
        <w:t>я</w:t>
      </w:r>
      <w:r>
        <w:rPr>
          <w:sz w:val="28"/>
          <w:szCs w:val="28"/>
          <w:lang w:val="uk-UA"/>
        </w:rPr>
        <w:t>гом доби. Так, тривалість цього періоду лише за першу добу збільшилась у хв</w:t>
      </w:r>
      <w:r>
        <w:rPr>
          <w:sz w:val="28"/>
          <w:szCs w:val="28"/>
          <w:lang w:val="uk-UA"/>
        </w:rPr>
        <w:t>о</w:t>
      </w:r>
      <w:r>
        <w:rPr>
          <w:sz w:val="28"/>
          <w:szCs w:val="28"/>
          <w:lang w:val="uk-UA"/>
        </w:rPr>
        <w:t>рих зі шлунковою г</w:t>
      </w:r>
      <w:r>
        <w:rPr>
          <w:bCs/>
          <w:sz w:val="28"/>
          <w:szCs w:val="28"/>
          <w:lang w:val="uk-UA"/>
        </w:rPr>
        <w:t xml:space="preserve">іперацидністю вираженою та </w:t>
      </w:r>
      <w:r>
        <w:rPr>
          <w:sz w:val="28"/>
          <w:szCs w:val="28"/>
          <w:lang w:val="uk-UA"/>
        </w:rPr>
        <w:t>помірною на 20%, у хворих зі шлунковою нормоацидністю на 10,42%, а у хворих зі шлунковою г</w:t>
      </w:r>
      <w:r>
        <w:rPr>
          <w:bCs/>
          <w:sz w:val="28"/>
          <w:szCs w:val="28"/>
          <w:lang w:val="uk-UA"/>
        </w:rPr>
        <w:t>іпоацидні</w:t>
      </w:r>
      <w:r>
        <w:rPr>
          <w:bCs/>
          <w:sz w:val="28"/>
          <w:szCs w:val="28"/>
          <w:lang w:val="uk-UA"/>
        </w:rPr>
        <w:t>с</w:t>
      </w:r>
      <w:r>
        <w:rPr>
          <w:bCs/>
          <w:sz w:val="28"/>
          <w:szCs w:val="28"/>
          <w:lang w:val="uk-UA"/>
        </w:rPr>
        <w:t xml:space="preserve">тю </w:t>
      </w:r>
      <w:r>
        <w:rPr>
          <w:sz w:val="28"/>
          <w:szCs w:val="28"/>
          <w:lang w:val="uk-UA"/>
        </w:rPr>
        <w:t>помірною тільки на 0,83%. Разом з тим, найбільший період залуженості сп</w:t>
      </w:r>
      <w:r>
        <w:rPr>
          <w:sz w:val="28"/>
          <w:szCs w:val="28"/>
          <w:lang w:val="uk-UA"/>
        </w:rPr>
        <w:t>о</w:t>
      </w:r>
      <w:r>
        <w:rPr>
          <w:sz w:val="28"/>
          <w:szCs w:val="28"/>
          <w:lang w:val="uk-UA"/>
        </w:rPr>
        <w:t>стерігався у хворих зі шлунковою г</w:t>
      </w:r>
      <w:r>
        <w:rPr>
          <w:bCs/>
          <w:sz w:val="28"/>
          <w:szCs w:val="28"/>
          <w:lang w:val="uk-UA"/>
        </w:rPr>
        <w:t xml:space="preserve">іпоацидністю </w:t>
      </w:r>
      <w:r>
        <w:rPr>
          <w:sz w:val="28"/>
          <w:szCs w:val="28"/>
          <w:lang w:val="uk-UA"/>
        </w:rPr>
        <w:t>помірною.</w:t>
      </w:r>
    </w:p>
    <w:p w:rsidR="009347A9" w:rsidRDefault="009347A9" w:rsidP="009347A9">
      <w:pPr>
        <w:spacing w:line="360" w:lineRule="exact"/>
        <w:ind w:firstLine="709"/>
        <w:rPr>
          <w:sz w:val="28"/>
          <w:szCs w:val="28"/>
          <w:lang w:val="uk-UA"/>
        </w:rPr>
      </w:pPr>
      <w:r>
        <w:rPr>
          <w:sz w:val="28"/>
          <w:szCs w:val="28"/>
          <w:lang w:val="uk-UA"/>
        </w:rPr>
        <w:t>Враховуючи залежність панкреатичної недостатності від вираженості періоду постпрандіального залуження, ми запропонували диференційований пі</w:t>
      </w:r>
      <w:r>
        <w:rPr>
          <w:sz w:val="28"/>
          <w:szCs w:val="28"/>
          <w:lang w:val="uk-UA"/>
        </w:rPr>
        <w:t>д</w:t>
      </w:r>
      <w:r>
        <w:rPr>
          <w:sz w:val="28"/>
          <w:szCs w:val="28"/>
          <w:lang w:val="uk-UA"/>
        </w:rPr>
        <w:t>хід до призначення інгібітора протонної помпи пантопразолу.</w:t>
      </w:r>
    </w:p>
    <w:p w:rsidR="009347A9" w:rsidRDefault="009347A9" w:rsidP="009347A9">
      <w:pPr>
        <w:widowControl w:val="0"/>
        <w:spacing w:line="360" w:lineRule="exact"/>
        <w:ind w:firstLine="709"/>
        <w:jc w:val="both"/>
        <w:rPr>
          <w:sz w:val="28"/>
          <w:szCs w:val="28"/>
          <w:lang w:val="uk-UA"/>
        </w:rPr>
      </w:pPr>
      <w:r>
        <w:rPr>
          <w:sz w:val="28"/>
          <w:szCs w:val="28"/>
          <w:lang w:val="uk-UA"/>
        </w:rPr>
        <w:t>Результати дослідження показали, що у хворих на ХП з вираженою та помірною гіперацидністю шлунка зниження інтенсивності болю було більш значним, ніж у хворих з нормоацидністю та помірною гіпоацидністю шлунка. Проте швидкість зниження сили болю під дією ІПП пантопразолу була біл</w:t>
      </w:r>
      <w:r>
        <w:rPr>
          <w:sz w:val="28"/>
          <w:szCs w:val="28"/>
          <w:lang w:val="uk-UA"/>
        </w:rPr>
        <w:t>ь</w:t>
      </w:r>
      <w:r>
        <w:rPr>
          <w:sz w:val="28"/>
          <w:szCs w:val="28"/>
          <w:lang w:val="uk-UA"/>
        </w:rPr>
        <w:t>шою при вираженій та помірній гіперацидності шлунка. Ефективність панто</w:t>
      </w:r>
      <w:r>
        <w:rPr>
          <w:sz w:val="28"/>
          <w:szCs w:val="28"/>
          <w:lang w:val="uk-UA"/>
        </w:rPr>
        <w:t>п</w:t>
      </w:r>
      <w:r>
        <w:rPr>
          <w:sz w:val="28"/>
          <w:szCs w:val="28"/>
          <w:lang w:val="uk-UA"/>
        </w:rPr>
        <w:t>разолу значно більша (P&lt; 0,05) при дозуванні 40 мг 2 рази на добу у всіх досл</w:t>
      </w:r>
      <w:r>
        <w:rPr>
          <w:sz w:val="28"/>
          <w:szCs w:val="28"/>
          <w:lang w:val="uk-UA"/>
        </w:rPr>
        <w:t>і</w:t>
      </w:r>
      <w:r>
        <w:rPr>
          <w:sz w:val="28"/>
          <w:szCs w:val="28"/>
          <w:lang w:val="uk-UA"/>
        </w:rPr>
        <w:t>джуваних групах.</w:t>
      </w:r>
    </w:p>
    <w:p w:rsidR="009347A9" w:rsidRDefault="009347A9" w:rsidP="009347A9">
      <w:pPr>
        <w:widowControl w:val="0"/>
        <w:spacing w:line="360" w:lineRule="exact"/>
        <w:ind w:firstLine="709"/>
        <w:jc w:val="both"/>
        <w:rPr>
          <w:color w:val="000000"/>
          <w:sz w:val="28"/>
          <w:szCs w:val="28"/>
          <w:lang w:val="uk-UA"/>
        </w:rPr>
      </w:pPr>
      <w:r>
        <w:rPr>
          <w:sz w:val="28"/>
          <w:szCs w:val="28"/>
          <w:lang w:val="uk-UA"/>
        </w:rPr>
        <w:t>Ми порівняли ефективність дії фамотидину (20 мг 2 рази на добу), пант</w:t>
      </w:r>
      <w:r>
        <w:rPr>
          <w:sz w:val="28"/>
          <w:szCs w:val="28"/>
          <w:lang w:val="uk-UA"/>
        </w:rPr>
        <w:t>о</w:t>
      </w:r>
      <w:r>
        <w:rPr>
          <w:sz w:val="28"/>
          <w:szCs w:val="28"/>
          <w:lang w:val="uk-UA"/>
        </w:rPr>
        <w:t>празолу (40 мг 1 раз на добу) та пантопразолу (40 мг 2 рази на добу) у хворих на ХП з вираженою та помірною гіперацидністю шлунка, нормоацидністю та помірною гіпоацидністю шлунка. На другу добу інтенсивність болю найкраще знижувалась у другій групі, де проводилось комплексне лікування з застос</w:t>
      </w:r>
      <w:r>
        <w:rPr>
          <w:sz w:val="28"/>
          <w:szCs w:val="28"/>
          <w:lang w:val="uk-UA"/>
        </w:rPr>
        <w:t>у</w:t>
      </w:r>
      <w:r>
        <w:rPr>
          <w:sz w:val="28"/>
          <w:szCs w:val="28"/>
          <w:lang w:val="uk-UA"/>
        </w:rPr>
        <w:t>ванням фамотидину (20 мг 2 рази на добу). У хворих на ХП з вираженою та п</w:t>
      </w:r>
      <w:r>
        <w:rPr>
          <w:sz w:val="28"/>
          <w:szCs w:val="28"/>
          <w:lang w:val="uk-UA"/>
        </w:rPr>
        <w:t>о</w:t>
      </w:r>
      <w:r>
        <w:rPr>
          <w:sz w:val="28"/>
          <w:szCs w:val="28"/>
          <w:lang w:val="uk-UA"/>
        </w:rPr>
        <w:t xml:space="preserve">мірною гіперацидністю шлунка рівень болю за міжнародною бальною шкалою знизився на 29,2%, тоді, як при застосуванні пантопразолу (40 мг 1 раз на добу) біль знизився на 3,4%, а при застосуванні пантопразолу (40 мг 2 рази на добу) - на 10,9%. На четверту, сьому та чотирнадцяту добу біль краще знижувався під дією пантопразолу (40 мг 1 раз на добу) відповідно на </w:t>
      </w:r>
      <w:r>
        <w:rPr>
          <w:color w:val="000000"/>
          <w:sz w:val="28"/>
          <w:szCs w:val="28"/>
          <w:lang w:val="uk-UA"/>
        </w:rPr>
        <w:t xml:space="preserve">41,3%, 70,7%, 79,3%. Найкраще зниження болю зафіксовано </w:t>
      </w:r>
      <w:r>
        <w:rPr>
          <w:sz w:val="28"/>
          <w:szCs w:val="28"/>
          <w:lang w:val="uk-UA"/>
        </w:rPr>
        <w:t xml:space="preserve">при застосуванні пантопразолу (40 мг 2 рази на добу) </w:t>
      </w:r>
      <w:r>
        <w:rPr>
          <w:sz w:val="28"/>
          <w:szCs w:val="28"/>
          <w:lang w:val="uk-UA"/>
        </w:rPr>
        <w:lastRenderedPageBreak/>
        <w:t xml:space="preserve">на 4 добу - на </w:t>
      </w:r>
      <w:r>
        <w:rPr>
          <w:color w:val="000000"/>
          <w:sz w:val="28"/>
          <w:szCs w:val="28"/>
          <w:lang w:val="uk-UA"/>
        </w:rPr>
        <w:t>65,9%</w:t>
      </w:r>
      <w:r>
        <w:rPr>
          <w:sz w:val="28"/>
          <w:szCs w:val="28"/>
          <w:lang w:val="uk-UA"/>
        </w:rPr>
        <w:t xml:space="preserve">, на 7 добу - на </w:t>
      </w:r>
      <w:r>
        <w:rPr>
          <w:color w:val="000000"/>
          <w:sz w:val="28"/>
          <w:szCs w:val="28"/>
          <w:lang w:val="uk-UA"/>
        </w:rPr>
        <w:t>75,6%</w:t>
      </w:r>
      <w:r>
        <w:rPr>
          <w:sz w:val="28"/>
          <w:szCs w:val="28"/>
          <w:lang w:val="uk-UA"/>
        </w:rPr>
        <w:t xml:space="preserve">, на 14 добу - на </w:t>
      </w:r>
      <w:r>
        <w:rPr>
          <w:color w:val="000000"/>
          <w:sz w:val="28"/>
          <w:szCs w:val="28"/>
          <w:lang w:val="uk-UA"/>
        </w:rPr>
        <w:t>81,7%. Це був найкращий результат зниження болю з усієї вибірки.</w:t>
      </w:r>
    </w:p>
    <w:p w:rsidR="009347A9" w:rsidRDefault="009347A9" w:rsidP="009347A9">
      <w:pPr>
        <w:widowControl w:val="0"/>
        <w:spacing w:line="360" w:lineRule="exact"/>
        <w:ind w:firstLine="709"/>
        <w:jc w:val="both"/>
        <w:rPr>
          <w:sz w:val="28"/>
          <w:szCs w:val="28"/>
          <w:lang w:val="uk-UA"/>
        </w:rPr>
      </w:pPr>
      <w:r>
        <w:rPr>
          <w:sz w:val="28"/>
          <w:szCs w:val="28"/>
          <w:lang w:val="uk-UA"/>
        </w:rPr>
        <w:t>Нами визначений проміжок часу протягом доби, коли pH перебував в першому та нульовому функціональних інтервалах pH. В групі хворих на ХП з вираженою та помірною гіперацидністю шлунка при застосуванні пантопразолу 40 мг 1 раз на добу тривалість періоду перебування в першому та нульовому функціональних інтервалах pH протягом доби за першу добу застосування збільшилась у 3,3±1,1 рази, на четверту добу збільшилась у 7,2±1,2 рази, а при д</w:t>
      </w:r>
      <w:r>
        <w:rPr>
          <w:sz w:val="28"/>
          <w:szCs w:val="28"/>
          <w:lang w:val="uk-UA"/>
        </w:rPr>
        <w:t>о</w:t>
      </w:r>
      <w:r>
        <w:rPr>
          <w:sz w:val="28"/>
          <w:szCs w:val="28"/>
          <w:lang w:val="uk-UA"/>
        </w:rPr>
        <w:t xml:space="preserve">зуванні пантопразолу двічі на добу за першу добу застосування збільшилась у 4,6±1,2 рази, на четверту добу збільшилась у 12,3±1,3 рази. </w:t>
      </w:r>
    </w:p>
    <w:p w:rsidR="009347A9" w:rsidRDefault="009347A9" w:rsidP="009347A9">
      <w:pPr>
        <w:widowControl w:val="0"/>
        <w:spacing w:line="360" w:lineRule="exact"/>
        <w:ind w:firstLine="709"/>
        <w:jc w:val="both"/>
        <w:rPr>
          <w:color w:val="000000"/>
          <w:sz w:val="28"/>
          <w:szCs w:val="28"/>
          <w:lang w:val="uk-UA"/>
        </w:rPr>
      </w:pPr>
      <w:r>
        <w:rPr>
          <w:sz w:val="28"/>
          <w:szCs w:val="28"/>
          <w:lang w:val="uk-UA"/>
        </w:rPr>
        <w:t>У всіх хворих з диспептичним синдромом відмічений позитивний ефект лікування. До кінця першого (при лікуванні пантопразолом 40 мг 2 рази на д</w:t>
      </w:r>
      <w:r>
        <w:rPr>
          <w:sz w:val="28"/>
          <w:szCs w:val="28"/>
          <w:lang w:val="uk-UA"/>
        </w:rPr>
        <w:t>о</w:t>
      </w:r>
      <w:r>
        <w:rPr>
          <w:sz w:val="28"/>
          <w:szCs w:val="28"/>
          <w:lang w:val="uk-UA"/>
        </w:rPr>
        <w:t>бу) або протягом другого тижня лікування (при лікуванні пантопразолом 40 мг 1 раз на добу) у всіх хворих даної групи зникли такі диспептичні симптоми, як нудота - у 16 хворих, блювання - у 11 хворих, печія - у всіх 5 пацієнтів, які до лікування пред'являли такі скарги.</w:t>
      </w:r>
    </w:p>
    <w:p w:rsidR="009347A9" w:rsidRDefault="009347A9" w:rsidP="009347A9">
      <w:pPr>
        <w:spacing w:line="360" w:lineRule="exact"/>
        <w:ind w:firstLine="709"/>
        <w:jc w:val="both"/>
        <w:rPr>
          <w:sz w:val="28"/>
          <w:szCs w:val="28"/>
          <w:lang w:val="uk-UA"/>
        </w:rPr>
      </w:pPr>
      <w:r>
        <w:rPr>
          <w:color w:val="000000"/>
          <w:sz w:val="28"/>
          <w:szCs w:val="28"/>
          <w:lang w:val="uk-UA"/>
        </w:rPr>
        <w:t>При порівнянні результатів лікування з другою групою хворих на ХП, яким</w:t>
      </w:r>
      <w:r>
        <w:rPr>
          <w:sz w:val="28"/>
          <w:szCs w:val="28"/>
          <w:lang w:val="uk-UA"/>
        </w:rPr>
        <w:t xml:space="preserve"> окрім обов’язкового лікування призначали фамотидин, визначили, що швидкість зникнення всіх диспептичних синдромів теж була більшою в третій групі хворих, які окрім обов’язкового лікування отримували пантопразол.</w:t>
      </w:r>
    </w:p>
    <w:p w:rsidR="009347A9" w:rsidRDefault="009347A9" w:rsidP="009347A9">
      <w:pPr>
        <w:spacing w:line="360" w:lineRule="exact"/>
        <w:ind w:firstLine="709"/>
        <w:jc w:val="both"/>
        <w:rPr>
          <w:sz w:val="28"/>
          <w:szCs w:val="28"/>
          <w:lang w:val="uk-UA"/>
        </w:rPr>
      </w:pPr>
      <w:r>
        <w:rPr>
          <w:sz w:val="28"/>
          <w:szCs w:val="28"/>
          <w:lang w:val="uk-UA"/>
        </w:rPr>
        <w:t>На основі отриманих даних при загостренні ХП рекомендовано дифере</w:t>
      </w:r>
      <w:r>
        <w:rPr>
          <w:sz w:val="28"/>
          <w:szCs w:val="28"/>
          <w:lang w:val="uk-UA"/>
        </w:rPr>
        <w:t>н</w:t>
      </w:r>
      <w:r>
        <w:rPr>
          <w:sz w:val="28"/>
          <w:szCs w:val="28"/>
          <w:lang w:val="uk-UA"/>
        </w:rPr>
        <w:t>ційоване, під контролем pH-метрії, призначення інгібітора протонної помпи – пантопразолу. В групі хворих на хронічний панкреатит з вираженою та помі</w:t>
      </w:r>
      <w:r>
        <w:rPr>
          <w:sz w:val="28"/>
          <w:szCs w:val="28"/>
          <w:lang w:val="uk-UA"/>
        </w:rPr>
        <w:t>р</w:t>
      </w:r>
      <w:r>
        <w:rPr>
          <w:sz w:val="28"/>
          <w:szCs w:val="28"/>
          <w:lang w:val="uk-UA"/>
        </w:rPr>
        <w:t>ною гіперацидністю, а також нормоацидністю шлунка можна рекомендувати пантопразол у дозі 40 мг 2 рази на добу, а в хворих з помірною гіпоацидністю шлунка – 40 мг 1 раз на добу.</w:t>
      </w:r>
    </w:p>
    <w:p w:rsidR="009347A9" w:rsidRDefault="009347A9" w:rsidP="009347A9">
      <w:pPr>
        <w:widowControl w:val="0"/>
        <w:spacing w:line="360" w:lineRule="exact"/>
        <w:ind w:firstLine="709"/>
        <w:jc w:val="both"/>
        <w:rPr>
          <w:sz w:val="28"/>
          <w:szCs w:val="28"/>
          <w:lang w:val="uk-UA"/>
        </w:rPr>
      </w:pPr>
      <w:r>
        <w:rPr>
          <w:sz w:val="28"/>
          <w:szCs w:val="28"/>
          <w:lang w:val="uk-UA"/>
        </w:rPr>
        <w:t>Порівнявши вплив препаратів на інтенсивність болю в другій та третій групі хворих на ХП, ми визначили, що на другу добу після прийому препарату найкращий ефект мало призначення фамотидину 20 мг 2 рази на добу, а в більш пізні строки - призначення пантопразолу (40 мг 1 або 2 рази на добу). Ці обставини й обумовили застосування фамотидину (перші три дні лікування) та па</w:t>
      </w:r>
      <w:r>
        <w:rPr>
          <w:sz w:val="28"/>
          <w:szCs w:val="28"/>
          <w:lang w:val="uk-UA"/>
        </w:rPr>
        <w:t>н</w:t>
      </w:r>
      <w:r>
        <w:rPr>
          <w:sz w:val="28"/>
          <w:szCs w:val="28"/>
          <w:lang w:val="uk-UA"/>
        </w:rPr>
        <w:t>топразолу в складі комплексної терапії хворих на ХП.</w:t>
      </w:r>
    </w:p>
    <w:p w:rsidR="009347A9" w:rsidRDefault="009347A9" w:rsidP="009347A9">
      <w:pPr>
        <w:spacing w:line="360" w:lineRule="exact"/>
        <w:ind w:firstLine="709"/>
        <w:jc w:val="both"/>
        <w:rPr>
          <w:sz w:val="28"/>
          <w:szCs w:val="28"/>
          <w:lang w:val="uk-UA"/>
        </w:rPr>
      </w:pPr>
      <w:r>
        <w:rPr>
          <w:sz w:val="28"/>
          <w:szCs w:val="28"/>
          <w:lang w:val="uk-UA"/>
        </w:rPr>
        <w:t xml:space="preserve">Застосування фамотидину (перші три дні лікування) та пантопразолу в складі комплексної терапії показало, що в даній групі в ранні строки (2 доби) виявлено найкраще зниження рівня болю в цілому по всій групі незалежно від ацидності шлунка. Так, застосування фамотидину (перші три дні лікування) та пантопразолу в складі комплексної терапії дозволяє знизити біль на другу </w:t>
      </w:r>
      <w:r>
        <w:rPr>
          <w:color w:val="000000"/>
          <w:sz w:val="28"/>
          <w:szCs w:val="28"/>
          <w:lang w:val="uk-UA"/>
        </w:rPr>
        <w:t xml:space="preserve">29,0 </w:t>
      </w:r>
      <w:r>
        <w:rPr>
          <w:sz w:val="28"/>
          <w:szCs w:val="28"/>
          <w:lang w:val="uk-UA"/>
        </w:rPr>
        <w:t xml:space="preserve">%, відповідно, через чотири доби інтенсивність болю знижується на </w:t>
      </w:r>
      <w:r>
        <w:rPr>
          <w:color w:val="000000"/>
          <w:sz w:val="28"/>
          <w:szCs w:val="28"/>
          <w:lang w:val="uk-UA"/>
        </w:rPr>
        <w:t>57,1</w:t>
      </w:r>
      <w:r>
        <w:rPr>
          <w:sz w:val="28"/>
          <w:szCs w:val="28"/>
          <w:lang w:val="uk-UA"/>
        </w:rPr>
        <w:t xml:space="preserve"> %, ч</w:t>
      </w:r>
      <w:r>
        <w:rPr>
          <w:sz w:val="28"/>
          <w:szCs w:val="28"/>
          <w:lang w:val="uk-UA"/>
        </w:rPr>
        <w:t>е</w:t>
      </w:r>
      <w:r>
        <w:rPr>
          <w:sz w:val="28"/>
          <w:szCs w:val="28"/>
          <w:lang w:val="uk-UA"/>
        </w:rPr>
        <w:t xml:space="preserve">рез сім діб - на </w:t>
      </w:r>
      <w:r>
        <w:rPr>
          <w:color w:val="000000"/>
          <w:sz w:val="28"/>
          <w:szCs w:val="28"/>
          <w:lang w:val="uk-UA"/>
        </w:rPr>
        <w:t>65,7</w:t>
      </w:r>
      <w:r>
        <w:rPr>
          <w:sz w:val="28"/>
          <w:szCs w:val="28"/>
          <w:lang w:val="uk-UA"/>
        </w:rPr>
        <w:t xml:space="preserve"> %, через 14 діб - на </w:t>
      </w:r>
      <w:r>
        <w:rPr>
          <w:color w:val="000000"/>
          <w:sz w:val="28"/>
          <w:szCs w:val="28"/>
          <w:lang w:val="uk-UA"/>
        </w:rPr>
        <w:t xml:space="preserve">77,4 </w:t>
      </w:r>
      <w:r>
        <w:rPr>
          <w:sz w:val="28"/>
          <w:szCs w:val="28"/>
          <w:lang w:val="uk-UA"/>
        </w:rPr>
        <w:t xml:space="preserve">% </w:t>
      </w:r>
      <w:r>
        <w:rPr>
          <w:b/>
          <w:caps/>
          <w:sz w:val="28"/>
          <w:szCs w:val="28"/>
          <w:lang w:val="uk-UA"/>
        </w:rPr>
        <w:t>(</w:t>
      </w:r>
      <w:r>
        <w:rPr>
          <w:sz w:val="28"/>
          <w:szCs w:val="28"/>
          <w:lang w:val="uk-UA"/>
        </w:rPr>
        <w:t>рис. 2</w:t>
      </w:r>
      <w:r>
        <w:rPr>
          <w:b/>
          <w:caps/>
          <w:sz w:val="28"/>
          <w:szCs w:val="28"/>
          <w:lang w:val="uk-UA"/>
        </w:rPr>
        <w:t>)</w:t>
      </w:r>
      <w:r>
        <w:rPr>
          <w:sz w:val="28"/>
          <w:szCs w:val="28"/>
          <w:lang w:val="uk-UA"/>
        </w:rPr>
        <w:t>.</w:t>
      </w:r>
    </w:p>
    <w:p w:rsidR="009347A9" w:rsidRDefault="009347A9" w:rsidP="009347A9">
      <w:pPr>
        <w:spacing w:line="360" w:lineRule="exact"/>
        <w:ind w:firstLine="709"/>
        <w:jc w:val="both"/>
        <w:rPr>
          <w:sz w:val="28"/>
          <w:szCs w:val="28"/>
          <w:lang w:val="uk-UA"/>
        </w:rPr>
      </w:pPr>
      <w:r>
        <w:rPr>
          <w:sz w:val="28"/>
          <w:szCs w:val="28"/>
          <w:lang w:val="uk-UA"/>
        </w:rPr>
        <w:lastRenderedPageBreak/>
        <w:t>В групі хворих на ХП з вираженою та помірною гіперацидністю шлунка при застосуванні фамотидину (перші 3 дні лікування) та пантопразолу в складі комплексної терапії тривалість періоду перебування в першому та нульовому функціональних інтервалах pH протягом доби на першу добу збільшилась в 5,0±1,1 рази, на четверту добу збільшилась в 7,3±1,3 рази.</w:t>
      </w:r>
    </w:p>
    <w:p w:rsidR="009347A9" w:rsidRDefault="009347A9" w:rsidP="009347A9">
      <w:pPr>
        <w:jc w:val="center"/>
        <w:rPr>
          <w:lang w:val="uk-UA"/>
        </w:rPr>
      </w:pPr>
      <w:r>
        <w:rPr>
          <w:noProof/>
          <w:lang w:eastAsia="ru-RU"/>
        </w:rPr>
        <w:drawing>
          <wp:inline distT="0" distB="0" distL="0" distR="0">
            <wp:extent cx="6245225" cy="3357880"/>
            <wp:effectExtent l="0" t="0" r="22225" b="1397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47A9" w:rsidRDefault="009347A9" w:rsidP="009347A9">
      <w:pPr>
        <w:jc w:val="center"/>
        <w:rPr>
          <w:lang w:val="uk-UA"/>
        </w:rPr>
      </w:pPr>
    </w:p>
    <w:p w:rsidR="009347A9" w:rsidRDefault="009347A9" w:rsidP="009347A9">
      <w:pPr>
        <w:widowControl w:val="0"/>
        <w:spacing w:line="360" w:lineRule="exact"/>
        <w:ind w:firstLine="709"/>
        <w:rPr>
          <w:bCs/>
          <w:sz w:val="28"/>
          <w:szCs w:val="28"/>
          <w:lang w:val="uk-UA"/>
        </w:rPr>
      </w:pPr>
      <w:r>
        <w:rPr>
          <w:sz w:val="28"/>
          <w:szCs w:val="28"/>
          <w:lang w:val="uk-UA"/>
        </w:rPr>
        <w:t>Рис. 2.</w:t>
      </w:r>
      <w:r>
        <w:rPr>
          <w:bCs/>
          <w:sz w:val="28"/>
          <w:szCs w:val="28"/>
          <w:lang w:val="uk-UA"/>
        </w:rPr>
        <w:t xml:space="preserve"> Порівняльна ефективність зменшення больового синдрому в хв</w:t>
      </w:r>
      <w:r>
        <w:rPr>
          <w:bCs/>
          <w:sz w:val="28"/>
          <w:szCs w:val="28"/>
          <w:lang w:val="uk-UA"/>
        </w:rPr>
        <w:t>о</w:t>
      </w:r>
      <w:r>
        <w:rPr>
          <w:bCs/>
          <w:sz w:val="28"/>
          <w:szCs w:val="28"/>
          <w:lang w:val="uk-UA"/>
        </w:rPr>
        <w:t>рих на ХП при застосуванні різних схем кислотознижуючих препаратів.</w:t>
      </w:r>
    </w:p>
    <w:p w:rsidR="009347A9" w:rsidRDefault="009347A9" w:rsidP="009347A9">
      <w:pPr>
        <w:pStyle w:val="affffffffa"/>
        <w:widowControl w:val="0"/>
        <w:spacing w:line="360" w:lineRule="exact"/>
        <w:ind w:firstLine="709"/>
        <w:rPr>
          <w:b/>
          <w:caps/>
          <w:szCs w:val="28"/>
          <w:lang w:val="uk-UA"/>
        </w:rPr>
      </w:pPr>
      <w:r>
        <w:rPr>
          <w:b/>
          <w:caps/>
          <w:szCs w:val="28"/>
          <w:lang w:val="uk-UA"/>
        </w:rPr>
        <w:t>Результати проведеного дослідження дозволяють стверджувати про в</w:t>
      </w:r>
      <w:r>
        <w:rPr>
          <w:b/>
          <w:caps/>
          <w:szCs w:val="28"/>
          <w:lang w:val="uk-UA"/>
        </w:rPr>
        <w:t>и</w:t>
      </w:r>
      <w:r>
        <w:rPr>
          <w:b/>
          <w:caps/>
          <w:szCs w:val="28"/>
          <w:lang w:val="uk-UA"/>
        </w:rPr>
        <w:t>ражений клінічний ефект блокатора Н</w:t>
      </w:r>
      <w:r>
        <w:rPr>
          <w:b/>
          <w:caps/>
          <w:szCs w:val="28"/>
          <w:vertAlign w:val="subscript"/>
          <w:lang w:val="uk-UA"/>
        </w:rPr>
        <w:t>2</w:t>
      </w:r>
      <w:r>
        <w:rPr>
          <w:b/>
          <w:caps/>
          <w:szCs w:val="28"/>
          <w:lang w:val="uk-UA"/>
        </w:rPr>
        <w:t>-гістамінових рецепторів третього пок</w:t>
      </w:r>
      <w:r>
        <w:rPr>
          <w:b/>
          <w:caps/>
          <w:szCs w:val="28"/>
          <w:lang w:val="uk-UA"/>
        </w:rPr>
        <w:t>о</w:t>
      </w:r>
      <w:r>
        <w:rPr>
          <w:b/>
          <w:caps/>
          <w:szCs w:val="28"/>
          <w:lang w:val="uk-UA"/>
        </w:rPr>
        <w:t>ління фамотидину, ІПП пантопразолу в складі комплексної терапії у хв</w:t>
      </w:r>
      <w:r>
        <w:rPr>
          <w:b/>
          <w:caps/>
          <w:szCs w:val="28"/>
          <w:lang w:val="uk-UA"/>
        </w:rPr>
        <w:t>о</w:t>
      </w:r>
      <w:r>
        <w:rPr>
          <w:b/>
          <w:caps/>
          <w:szCs w:val="28"/>
          <w:lang w:val="uk-UA"/>
        </w:rPr>
        <w:t>рих на ХП у стадії загострення. Виявлені особливості зменшення больового с</w:t>
      </w:r>
      <w:r>
        <w:rPr>
          <w:b/>
          <w:caps/>
          <w:szCs w:val="28"/>
          <w:lang w:val="uk-UA"/>
        </w:rPr>
        <w:t>и</w:t>
      </w:r>
      <w:r>
        <w:rPr>
          <w:b/>
          <w:caps/>
          <w:szCs w:val="28"/>
          <w:lang w:val="uk-UA"/>
        </w:rPr>
        <w:t>ндрому, інтенсивність якого у перші дві доби зменшувалась найкраще під дією фамот</w:t>
      </w:r>
      <w:r>
        <w:rPr>
          <w:b/>
          <w:caps/>
          <w:szCs w:val="28"/>
          <w:lang w:val="uk-UA"/>
        </w:rPr>
        <w:t>и</w:t>
      </w:r>
      <w:r>
        <w:rPr>
          <w:b/>
          <w:caps/>
          <w:szCs w:val="28"/>
          <w:lang w:val="uk-UA"/>
        </w:rPr>
        <w:t>дину. В подальшому вплив на інтенсивність болю більше всього мав ІПП па</w:t>
      </w:r>
      <w:r>
        <w:rPr>
          <w:b/>
          <w:caps/>
          <w:szCs w:val="28"/>
          <w:lang w:val="uk-UA"/>
        </w:rPr>
        <w:t>н</w:t>
      </w:r>
      <w:r>
        <w:rPr>
          <w:b/>
          <w:caps/>
          <w:szCs w:val="28"/>
          <w:lang w:val="uk-UA"/>
        </w:rPr>
        <w:t xml:space="preserve">топразол. </w:t>
      </w:r>
    </w:p>
    <w:p w:rsidR="009347A9" w:rsidRDefault="009347A9" w:rsidP="009347A9">
      <w:pPr>
        <w:pStyle w:val="affffffffa"/>
        <w:widowControl w:val="0"/>
        <w:spacing w:line="360" w:lineRule="exact"/>
        <w:ind w:firstLine="709"/>
        <w:rPr>
          <w:b/>
          <w:caps/>
          <w:szCs w:val="28"/>
          <w:lang w:val="uk-UA"/>
        </w:rPr>
      </w:pPr>
      <w:r>
        <w:rPr>
          <w:b/>
          <w:caps/>
          <w:szCs w:val="28"/>
          <w:lang w:val="uk-UA"/>
        </w:rPr>
        <w:t>Застосування фамотидину та пантопразолу в складі комплексної терапії дозволило забезпечити зниження рівня болю найбільш ефективно як за швидк</w:t>
      </w:r>
      <w:r>
        <w:rPr>
          <w:b/>
          <w:caps/>
          <w:szCs w:val="28"/>
          <w:lang w:val="uk-UA"/>
        </w:rPr>
        <w:t>і</w:t>
      </w:r>
      <w:r>
        <w:rPr>
          <w:b/>
          <w:caps/>
          <w:szCs w:val="28"/>
          <w:lang w:val="uk-UA"/>
        </w:rPr>
        <w:t xml:space="preserve">стю так і за інтенсивністю. </w:t>
      </w:r>
    </w:p>
    <w:p w:rsidR="009347A9" w:rsidRDefault="009347A9" w:rsidP="009347A9">
      <w:pPr>
        <w:pStyle w:val="24"/>
        <w:spacing w:line="360" w:lineRule="exact"/>
        <w:jc w:val="center"/>
        <w:rPr>
          <w:rFonts w:ascii="Times New Roman" w:hAnsi="Times New Roman"/>
          <w:b/>
          <w:bCs/>
          <w:szCs w:val="28"/>
          <w:lang w:val="uk-UA"/>
        </w:rPr>
      </w:pPr>
      <w:r>
        <w:rPr>
          <w:rFonts w:ascii="Times New Roman" w:hAnsi="Times New Roman"/>
          <w:b/>
          <w:bCs/>
          <w:szCs w:val="28"/>
          <w:lang w:val="uk-UA"/>
        </w:rPr>
        <w:t>ВИСНОВКИ</w:t>
      </w:r>
    </w:p>
    <w:p w:rsidR="009347A9" w:rsidRDefault="009347A9" w:rsidP="009347A9">
      <w:pPr>
        <w:widowControl w:val="0"/>
        <w:spacing w:line="360" w:lineRule="exact"/>
        <w:ind w:firstLine="709"/>
        <w:jc w:val="both"/>
        <w:rPr>
          <w:sz w:val="28"/>
          <w:szCs w:val="28"/>
          <w:lang w:val="uk-UA"/>
        </w:rPr>
      </w:pPr>
      <w:r>
        <w:rPr>
          <w:sz w:val="28"/>
          <w:szCs w:val="28"/>
          <w:lang w:val="uk-UA"/>
        </w:rPr>
        <w:t xml:space="preserve">У дисертаційній роботі наведено теоретичне узагальнення та нове </w:t>
      </w:r>
      <w:r>
        <w:rPr>
          <w:sz w:val="28"/>
          <w:szCs w:val="28"/>
          <w:lang w:val="uk-UA"/>
        </w:rPr>
        <w:lastRenderedPageBreak/>
        <w:t>вирішення конкретного науково-практичного завдання гастроентерології, що полягає у вдосконаленні діагностики зовнішньосекреторної недостатності підшлу</w:t>
      </w:r>
      <w:r>
        <w:rPr>
          <w:sz w:val="28"/>
          <w:szCs w:val="28"/>
          <w:lang w:val="uk-UA"/>
        </w:rPr>
        <w:t>н</w:t>
      </w:r>
      <w:r>
        <w:rPr>
          <w:sz w:val="28"/>
          <w:szCs w:val="28"/>
          <w:lang w:val="uk-UA"/>
        </w:rPr>
        <w:t>кової залози на ранніх стадіях хронічного панкреатиту за показниками кількі</w:t>
      </w:r>
      <w:r>
        <w:rPr>
          <w:sz w:val="28"/>
          <w:szCs w:val="28"/>
          <w:lang w:val="uk-UA"/>
        </w:rPr>
        <w:t>с</w:t>
      </w:r>
      <w:r>
        <w:rPr>
          <w:sz w:val="28"/>
          <w:szCs w:val="28"/>
          <w:lang w:val="uk-UA"/>
        </w:rPr>
        <w:t>ної оцінки постпрандіального періоду добового гастро-pH-моніторингу, диференційованому, під контролем pH-метрії, призначенні кислотознижуючих пр</w:t>
      </w:r>
      <w:r>
        <w:rPr>
          <w:sz w:val="28"/>
          <w:szCs w:val="28"/>
          <w:lang w:val="uk-UA"/>
        </w:rPr>
        <w:t>е</w:t>
      </w:r>
      <w:r>
        <w:rPr>
          <w:sz w:val="28"/>
          <w:szCs w:val="28"/>
          <w:lang w:val="uk-UA"/>
        </w:rPr>
        <w:t>паратів.</w:t>
      </w:r>
    </w:p>
    <w:p w:rsidR="009347A9" w:rsidRDefault="009347A9" w:rsidP="00671A60">
      <w:pPr>
        <w:widowControl w:val="0"/>
        <w:numPr>
          <w:ilvl w:val="0"/>
          <w:numId w:val="62"/>
        </w:numPr>
        <w:suppressAutoHyphens w:val="0"/>
        <w:spacing w:line="360" w:lineRule="exact"/>
        <w:ind w:left="0" w:firstLine="709"/>
        <w:jc w:val="both"/>
        <w:rPr>
          <w:sz w:val="28"/>
          <w:szCs w:val="28"/>
          <w:lang w:val="uk-UA"/>
        </w:rPr>
      </w:pPr>
      <w:r>
        <w:rPr>
          <w:sz w:val="28"/>
          <w:szCs w:val="28"/>
          <w:lang w:val="uk-UA"/>
        </w:rPr>
        <w:t>Інтенсивність, характер і частота виникнення болю при загостренні ХП залежить, окрім інших причин, від кислотопродукуючої функції шлунка. У хворих на хронічний панкреатит зі шлунковою гіперацидністю больовий син</w:t>
      </w:r>
      <w:r>
        <w:rPr>
          <w:sz w:val="28"/>
          <w:szCs w:val="28"/>
          <w:lang w:val="uk-UA"/>
        </w:rPr>
        <w:t>д</w:t>
      </w:r>
      <w:r>
        <w:rPr>
          <w:sz w:val="28"/>
          <w:szCs w:val="28"/>
          <w:lang w:val="uk-UA"/>
        </w:rPr>
        <w:t>ром достовірно більше виражений, ніж у хворих з нормоацидністю та гіпоаци</w:t>
      </w:r>
      <w:r>
        <w:rPr>
          <w:sz w:val="28"/>
          <w:szCs w:val="28"/>
          <w:lang w:val="uk-UA"/>
        </w:rPr>
        <w:t>д</w:t>
      </w:r>
      <w:r>
        <w:rPr>
          <w:sz w:val="28"/>
          <w:szCs w:val="28"/>
          <w:lang w:val="uk-UA"/>
        </w:rPr>
        <w:t>ністю шлунка та має нападоподібний характер з переважною локалізацією в епігастрії та правому підребер’ї, має високу інтенсивність, зменшення інтенс</w:t>
      </w:r>
      <w:r>
        <w:rPr>
          <w:sz w:val="28"/>
          <w:szCs w:val="28"/>
          <w:lang w:val="uk-UA"/>
        </w:rPr>
        <w:t>и</w:t>
      </w:r>
      <w:r>
        <w:rPr>
          <w:sz w:val="28"/>
          <w:szCs w:val="28"/>
          <w:lang w:val="uk-UA"/>
        </w:rPr>
        <w:t>вності болю в першу половину ночі та збільшення в другу половину ночі.</w:t>
      </w:r>
    </w:p>
    <w:p w:rsidR="009347A9" w:rsidRDefault="009347A9" w:rsidP="00671A60">
      <w:pPr>
        <w:widowControl w:val="0"/>
        <w:numPr>
          <w:ilvl w:val="0"/>
          <w:numId w:val="62"/>
        </w:numPr>
        <w:suppressAutoHyphens w:val="0"/>
        <w:spacing w:line="360" w:lineRule="exact"/>
        <w:ind w:left="0" w:firstLine="709"/>
        <w:jc w:val="both"/>
        <w:rPr>
          <w:sz w:val="28"/>
          <w:szCs w:val="28"/>
          <w:lang w:val="uk-UA"/>
        </w:rPr>
      </w:pPr>
      <w:r>
        <w:rPr>
          <w:sz w:val="28"/>
          <w:szCs w:val="28"/>
          <w:lang w:val="uk-UA"/>
        </w:rPr>
        <w:t>Характерними параметрами постпрандіального залуження шлунка за даними добового pH-моніторингу для хворих на ХП є тривалий характер з</w:t>
      </w:r>
      <w:r>
        <w:rPr>
          <w:sz w:val="28"/>
          <w:szCs w:val="28"/>
          <w:lang w:val="uk-UA"/>
        </w:rPr>
        <w:t>а</w:t>
      </w:r>
      <w:r>
        <w:rPr>
          <w:sz w:val="28"/>
          <w:szCs w:val="28"/>
          <w:lang w:val="uk-UA"/>
        </w:rPr>
        <w:t xml:space="preserve">луження (в межах </w:t>
      </w:r>
      <w:r>
        <w:rPr>
          <w:color w:val="000000"/>
          <w:sz w:val="28"/>
          <w:szCs w:val="28"/>
          <w:lang w:val="uk-UA"/>
        </w:rPr>
        <w:t>134,88±28,23</w:t>
      </w:r>
      <w:r>
        <w:rPr>
          <w:sz w:val="28"/>
          <w:szCs w:val="28"/>
          <w:lang w:val="uk-UA"/>
        </w:rPr>
        <w:t xml:space="preserve"> хв.), округлість форми заглиблення pH-грами в період залуження. Глибина залуження залежить (P&lt;0,05) від ступеня зовні</w:t>
      </w:r>
      <w:r>
        <w:rPr>
          <w:sz w:val="28"/>
          <w:szCs w:val="28"/>
          <w:lang w:val="uk-UA"/>
        </w:rPr>
        <w:t>ш</w:t>
      </w:r>
      <w:r>
        <w:rPr>
          <w:sz w:val="28"/>
          <w:szCs w:val="28"/>
          <w:lang w:val="uk-UA"/>
        </w:rPr>
        <w:t>ньосекреторної недостатності.</w:t>
      </w:r>
    </w:p>
    <w:p w:rsidR="009347A9" w:rsidRDefault="009347A9" w:rsidP="00671A60">
      <w:pPr>
        <w:widowControl w:val="0"/>
        <w:numPr>
          <w:ilvl w:val="0"/>
          <w:numId w:val="62"/>
        </w:numPr>
        <w:suppressAutoHyphens w:val="0"/>
        <w:spacing w:line="360" w:lineRule="exact"/>
        <w:ind w:left="0" w:firstLine="709"/>
        <w:jc w:val="both"/>
        <w:rPr>
          <w:sz w:val="28"/>
          <w:szCs w:val="28"/>
          <w:lang w:val="uk-UA"/>
        </w:rPr>
      </w:pPr>
      <w:r>
        <w:rPr>
          <w:sz w:val="28"/>
          <w:szCs w:val="28"/>
          <w:lang w:val="uk-UA"/>
        </w:rPr>
        <w:t>Показник постпрандіального залуження шлунка (відношення часу перебування внутрішньошлункового pH у першому та нульовому функціонал</w:t>
      </w:r>
      <w:r>
        <w:rPr>
          <w:sz w:val="28"/>
          <w:szCs w:val="28"/>
          <w:lang w:val="uk-UA"/>
        </w:rPr>
        <w:t>ь</w:t>
      </w:r>
      <w:r>
        <w:rPr>
          <w:sz w:val="28"/>
          <w:szCs w:val="28"/>
          <w:lang w:val="uk-UA"/>
        </w:rPr>
        <w:t>ному інтервалі pH до тривалості всього залуження) може ефективно застосов</w:t>
      </w:r>
      <w:r>
        <w:rPr>
          <w:sz w:val="28"/>
          <w:szCs w:val="28"/>
          <w:lang w:val="uk-UA"/>
        </w:rPr>
        <w:t>у</w:t>
      </w:r>
      <w:r>
        <w:rPr>
          <w:sz w:val="28"/>
          <w:szCs w:val="28"/>
          <w:lang w:val="uk-UA"/>
        </w:rPr>
        <w:t>ватись, як для кількісної оцінки постпрандіального періоду, так і для визначе</w:t>
      </w:r>
      <w:r>
        <w:rPr>
          <w:sz w:val="28"/>
          <w:szCs w:val="28"/>
          <w:lang w:val="uk-UA"/>
        </w:rPr>
        <w:t>н</w:t>
      </w:r>
      <w:r>
        <w:rPr>
          <w:sz w:val="28"/>
          <w:szCs w:val="28"/>
          <w:lang w:val="uk-UA"/>
        </w:rPr>
        <w:t>ня рівня зовнішньосекреторної недостатності підшлункової залози.</w:t>
      </w:r>
    </w:p>
    <w:p w:rsidR="009347A9" w:rsidRDefault="009347A9" w:rsidP="00671A60">
      <w:pPr>
        <w:widowControl w:val="0"/>
        <w:numPr>
          <w:ilvl w:val="0"/>
          <w:numId w:val="62"/>
        </w:numPr>
        <w:suppressAutoHyphens w:val="0"/>
        <w:spacing w:line="360" w:lineRule="exact"/>
        <w:ind w:left="0" w:firstLine="709"/>
        <w:jc w:val="both"/>
        <w:rPr>
          <w:sz w:val="28"/>
          <w:szCs w:val="28"/>
          <w:lang w:val="uk-UA"/>
        </w:rPr>
      </w:pPr>
      <w:r>
        <w:rPr>
          <w:sz w:val="28"/>
          <w:szCs w:val="28"/>
          <w:lang w:val="uk-UA"/>
        </w:rPr>
        <w:t>Феномен спонтанного нічного залуження у хворих при ХП характ</w:t>
      </w:r>
      <w:r>
        <w:rPr>
          <w:sz w:val="28"/>
          <w:szCs w:val="28"/>
          <w:lang w:val="uk-UA"/>
        </w:rPr>
        <w:t>е</w:t>
      </w:r>
      <w:r>
        <w:rPr>
          <w:sz w:val="28"/>
          <w:szCs w:val="28"/>
          <w:lang w:val="uk-UA"/>
        </w:rPr>
        <w:t>ризувався більшою тривалістю та більшою глибиною на відміну від хворих на пептичну виразку ДПК. Спонтанне нічне залуження у хворих на ХП з гіперац</w:t>
      </w:r>
      <w:r>
        <w:rPr>
          <w:sz w:val="28"/>
          <w:szCs w:val="28"/>
          <w:lang w:val="uk-UA"/>
        </w:rPr>
        <w:t>и</w:t>
      </w:r>
      <w:r>
        <w:rPr>
          <w:sz w:val="28"/>
          <w:szCs w:val="28"/>
          <w:lang w:val="uk-UA"/>
        </w:rPr>
        <w:t>дним синдромом має меншу (P&gt;0,05) тривалість та більшу (P&gt;0,05) глибину з</w:t>
      </w:r>
      <w:r>
        <w:rPr>
          <w:sz w:val="28"/>
          <w:szCs w:val="28"/>
          <w:lang w:val="uk-UA"/>
        </w:rPr>
        <w:t>а</w:t>
      </w:r>
      <w:r>
        <w:rPr>
          <w:sz w:val="28"/>
          <w:szCs w:val="28"/>
          <w:lang w:val="uk-UA"/>
        </w:rPr>
        <w:t>луження в порівнянні з хворими на ХП з нормоацидністю та гіпоацидністю шлунка.</w:t>
      </w:r>
    </w:p>
    <w:p w:rsidR="009347A9" w:rsidRDefault="009347A9" w:rsidP="00671A60">
      <w:pPr>
        <w:widowControl w:val="0"/>
        <w:numPr>
          <w:ilvl w:val="0"/>
          <w:numId w:val="62"/>
        </w:numPr>
        <w:suppressAutoHyphens w:val="0"/>
        <w:spacing w:line="360" w:lineRule="exact"/>
        <w:ind w:left="0" w:firstLine="709"/>
        <w:jc w:val="both"/>
        <w:rPr>
          <w:sz w:val="28"/>
          <w:szCs w:val="28"/>
          <w:lang w:val="uk-UA"/>
        </w:rPr>
      </w:pPr>
      <w:r>
        <w:rPr>
          <w:sz w:val="28"/>
          <w:szCs w:val="28"/>
          <w:lang w:val="uk-UA"/>
        </w:rPr>
        <w:t>Інфіковані H.pylori хворі на ХП характеризувались значно вищими показниками внутрішньошлункової ацидності: мінімального pH, максимальн</w:t>
      </w:r>
      <w:r>
        <w:rPr>
          <w:sz w:val="28"/>
          <w:szCs w:val="28"/>
          <w:lang w:val="uk-UA"/>
        </w:rPr>
        <w:t>о</w:t>
      </w:r>
      <w:r>
        <w:rPr>
          <w:sz w:val="28"/>
          <w:szCs w:val="28"/>
          <w:lang w:val="uk-UA"/>
        </w:rPr>
        <w:t>го pH та медіани внутрішньошлункового pH, недостатньо вираженим як за тр</w:t>
      </w:r>
      <w:r>
        <w:rPr>
          <w:sz w:val="28"/>
          <w:szCs w:val="28"/>
          <w:lang w:val="uk-UA"/>
        </w:rPr>
        <w:t>и</w:t>
      </w:r>
      <w:r>
        <w:rPr>
          <w:sz w:val="28"/>
          <w:szCs w:val="28"/>
          <w:lang w:val="uk-UA"/>
        </w:rPr>
        <w:t xml:space="preserve">валістю так і за глибиною феноменом спонтанного нічного залуження шлунка або його відсутністю, порівняно з неінфікованими хворими. </w:t>
      </w:r>
    </w:p>
    <w:p w:rsidR="009347A9" w:rsidRDefault="009347A9" w:rsidP="00671A60">
      <w:pPr>
        <w:widowControl w:val="0"/>
        <w:numPr>
          <w:ilvl w:val="0"/>
          <w:numId w:val="62"/>
        </w:numPr>
        <w:suppressAutoHyphens w:val="0"/>
        <w:spacing w:line="360" w:lineRule="exact"/>
        <w:ind w:left="0" w:firstLine="709"/>
        <w:jc w:val="both"/>
        <w:rPr>
          <w:sz w:val="28"/>
          <w:szCs w:val="28"/>
          <w:lang w:val="uk-UA"/>
        </w:rPr>
      </w:pPr>
      <w:r>
        <w:rPr>
          <w:sz w:val="28"/>
          <w:szCs w:val="28"/>
          <w:lang w:val="uk-UA"/>
        </w:rPr>
        <w:t>Проведений ультраструктурний аналіз стану клітин підшлункової залози при хронічному панкреатиті з синдромом шлункової гіперацидності свідчив про те, що розвиток захворювання пов'язаний з первинними деструкти</w:t>
      </w:r>
      <w:r>
        <w:rPr>
          <w:sz w:val="28"/>
          <w:szCs w:val="28"/>
          <w:lang w:val="uk-UA"/>
        </w:rPr>
        <w:t>в</w:t>
      </w:r>
      <w:r>
        <w:rPr>
          <w:sz w:val="28"/>
          <w:szCs w:val="28"/>
          <w:lang w:val="uk-UA"/>
        </w:rPr>
        <w:t>ними змінами в ацинозних і дуктальних клітинах. Як правило, патологічний процес протікає на фоні наростання фіброзу і подальшого пошкодження секр</w:t>
      </w:r>
      <w:r>
        <w:rPr>
          <w:sz w:val="28"/>
          <w:szCs w:val="28"/>
          <w:lang w:val="uk-UA"/>
        </w:rPr>
        <w:t>е</w:t>
      </w:r>
      <w:r>
        <w:rPr>
          <w:sz w:val="28"/>
          <w:szCs w:val="28"/>
          <w:lang w:val="uk-UA"/>
        </w:rPr>
        <w:t>торних і протокових структур органу.</w:t>
      </w:r>
    </w:p>
    <w:p w:rsidR="009347A9" w:rsidRDefault="009347A9" w:rsidP="00671A60">
      <w:pPr>
        <w:widowControl w:val="0"/>
        <w:numPr>
          <w:ilvl w:val="0"/>
          <w:numId w:val="62"/>
        </w:numPr>
        <w:suppressAutoHyphens w:val="0"/>
        <w:spacing w:line="360" w:lineRule="exact"/>
        <w:ind w:left="0" w:firstLine="709"/>
        <w:jc w:val="both"/>
        <w:rPr>
          <w:sz w:val="28"/>
          <w:szCs w:val="28"/>
          <w:lang w:val="uk-UA"/>
        </w:rPr>
      </w:pPr>
      <w:r>
        <w:rPr>
          <w:sz w:val="28"/>
          <w:szCs w:val="28"/>
          <w:lang w:val="uk-UA"/>
        </w:rPr>
        <w:lastRenderedPageBreak/>
        <w:t>При застосуванні кислотознижуючих препаратів зменшення інте</w:t>
      </w:r>
      <w:r>
        <w:rPr>
          <w:sz w:val="28"/>
          <w:szCs w:val="28"/>
          <w:lang w:val="uk-UA"/>
        </w:rPr>
        <w:t>н</w:t>
      </w:r>
      <w:r>
        <w:rPr>
          <w:sz w:val="28"/>
          <w:szCs w:val="28"/>
          <w:lang w:val="uk-UA"/>
        </w:rPr>
        <w:t>сивності больового синдрому в перші дві доби відбувається більш ефективно (P&lt;0,05) під дією блокатора Н</w:t>
      </w:r>
      <w:r>
        <w:rPr>
          <w:sz w:val="28"/>
          <w:szCs w:val="28"/>
          <w:vertAlign w:val="subscript"/>
          <w:lang w:val="uk-UA"/>
        </w:rPr>
        <w:t>2</w:t>
      </w:r>
      <w:r>
        <w:rPr>
          <w:sz w:val="28"/>
          <w:szCs w:val="28"/>
          <w:lang w:val="uk-UA"/>
        </w:rPr>
        <w:t>-гістамінових рецепторів третього покоління ф</w:t>
      </w:r>
      <w:r>
        <w:rPr>
          <w:sz w:val="28"/>
          <w:szCs w:val="28"/>
          <w:lang w:val="uk-UA"/>
        </w:rPr>
        <w:t>а</w:t>
      </w:r>
      <w:r>
        <w:rPr>
          <w:sz w:val="28"/>
          <w:szCs w:val="28"/>
          <w:lang w:val="uk-UA"/>
        </w:rPr>
        <w:t>мотидину. У більш пізні строки ефективніший вплив на інтенсивність болю має інгібітор протонної помпи пантопразол (P&lt;0,05). Застосування одночасно ф</w:t>
      </w:r>
      <w:r>
        <w:rPr>
          <w:sz w:val="28"/>
          <w:szCs w:val="28"/>
          <w:lang w:val="uk-UA"/>
        </w:rPr>
        <w:t>а</w:t>
      </w:r>
      <w:r>
        <w:rPr>
          <w:sz w:val="28"/>
          <w:szCs w:val="28"/>
          <w:lang w:val="uk-UA"/>
        </w:rPr>
        <w:t>мотидину (перші 3 дні лікування) та пантопразолу в складі комплексної терапії дозволяє забезпечити зниження рівня болю найбільш ефективно як за швидкі</w:t>
      </w:r>
      <w:r>
        <w:rPr>
          <w:sz w:val="28"/>
          <w:szCs w:val="28"/>
          <w:lang w:val="uk-UA"/>
        </w:rPr>
        <w:t>с</w:t>
      </w:r>
      <w:r>
        <w:rPr>
          <w:sz w:val="28"/>
          <w:szCs w:val="28"/>
          <w:lang w:val="uk-UA"/>
        </w:rPr>
        <w:t>тю так і за інтенсивністю.</w:t>
      </w:r>
    </w:p>
    <w:p w:rsidR="009347A9" w:rsidRDefault="009347A9" w:rsidP="00671A60">
      <w:pPr>
        <w:widowControl w:val="0"/>
        <w:numPr>
          <w:ilvl w:val="0"/>
          <w:numId w:val="62"/>
        </w:numPr>
        <w:suppressAutoHyphens w:val="0"/>
        <w:spacing w:line="360" w:lineRule="exact"/>
        <w:ind w:left="0" w:firstLine="709"/>
        <w:jc w:val="both"/>
        <w:rPr>
          <w:bCs/>
          <w:sz w:val="28"/>
          <w:szCs w:val="28"/>
          <w:lang w:val="uk-UA"/>
        </w:rPr>
      </w:pPr>
      <w:r>
        <w:rPr>
          <w:sz w:val="28"/>
          <w:szCs w:val="28"/>
          <w:lang w:val="uk-UA"/>
        </w:rPr>
        <w:t>При лікуванні загострення хронічного панкреатиту диференційов</w:t>
      </w:r>
      <w:r>
        <w:rPr>
          <w:sz w:val="28"/>
          <w:szCs w:val="28"/>
          <w:lang w:val="uk-UA"/>
        </w:rPr>
        <w:t>а</w:t>
      </w:r>
      <w:r>
        <w:rPr>
          <w:sz w:val="28"/>
          <w:szCs w:val="28"/>
          <w:lang w:val="uk-UA"/>
        </w:rPr>
        <w:t>не призначення інгібітора протонної помпи – пантопразолу: хворим на хроні</w:t>
      </w:r>
      <w:r>
        <w:rPr>
          <w:sz w:val="28"/>
          <w:szCs w:val="28"/>
          <w:lang w:val="uk-UA"/>
        </w:rPr>
        <w:t>ч</w:t>
      </w:r>
      <w:r>
        <w:rPr>
          <w:sz w:val="28"/>
          <w:szCs w:val="28"/>
          <w:lang w:val="uk-UA"/>
        </w:rPr>
        <w:t>ний панкреатит з вираженою та помірною гіперацидністю, а також нормоаци</w:t>
      </w:r>
      <w:r>
        <w:rPr>
          <w:sz w:val="28"/>
          <w:szCs w:val="28"/>
          <w:lang w:val="uk-UA"/>
        </w:rPr>
        <w:t>д</w:t>
      </w:r>
      <w:r>
        <w:rPr>
          <w:sz w:val="28"/>
          <w:szCs w:val="28"/>
          <w:lang w:val="uk-UA"/>
        </w:rPr>
        <w:t xml:space="preserve">ністю шлунка у дозі 40 мг 2 рази на добу, хворим з помірною гіпоацидністю шлунка – 40 мг 1 раз на добу забезпечує достатнє залуження протягом доби, високу клінічну ефективність, </w:t>
      </w:r>
      <w:r>
        <w:rPr>
          <w:color w:val="000000"/>
          <w:sz w:val="28"/>
          <w:szCs w:val="28"/>
          <w:lang w:val="uk-UA"/>
        </w:rPr>
        <w:t>покращення зовнішньосекреторної функції пі</w:t>
      </w:r>
      <w:r>
        <w:rPr>
          <w:color w:val="000000"/>
          <w:sz w:val="28"/>
          <w:szCs w:val="28"/>
          <w:lang w:val="uk-UA"/>
        </w:rPr>
        <w:t>д</w:t>
      </w:r>
      <w:r>
        <w:rPr>
          <w:color w:val="000000"/>
          <w:sz w:val="28"/>
          <w:szCs w:val="28"/>
          <w:lang w:val="uk-UA"/>
        </w:rPr>
        <w:t>шлункової залози</w:t>
      </w:r>
      <w:r>
        <w:rPr>
          <w:sz w:val="28"/>
          <w:szCs w:val="28"/>
          <w:lang w:val="uk-UA"/>
        </w:rPr>
        <w:t>.</w:t>
      </w:r>
    </w:p>
    <w:p w:rsidR="009347A9" w:rsidRDefault="009347A9" w:rsidP="009347A9">
      <w:pPr>
        <w:spacing w:line="360" w:lineRule="exact"/>
        <w:ind w:firstLine="709"/>
        <w:jc w:val="center"/>
        <w:rPr>
          <w:b/>
          <w:bCs/>
          <w:sz w:val="28"/>
          <w:szCs w:val="28"/>
          <w:lang w:val="uk-UA"/>
        </w:rPr>
      </w:pPr>
    </w:p>
    <w:p w:rsidR="009347A9" w:rsidRDefault="009347A9" w:rsidP="009347A9">
      <w:pPr>
        <w:spacing w:line="360" w:lineRule="exact"/>
        <w:ind w:firstLine="709"/>
        <w:jc w:val="center"/>
        <w:rPr>
          <w:b/>
          <w:bCs/>
          <w:sz w:val="28"/>
          <w:szCs w:val="28"/>
          <w:lang w:val="uk-UA"/>
        </w:rPr>
      </w:pPr>
      <w:r>
        <w:rPr>
          <w:b/>
          <w:bCs/>
          <w:sz w:val="28"/>
          <w:szCs w:val="28"/>
          <w:lang w:val="uk-UA"/>
        </w:rPr>
        <w:t>ПРАКТИЧНІ РЕКОМЕНДАЦІЇ</w:t>
      </w:r>
    </w:p>
    <w:p w:rsidR="009347A9" w:rsidRDefault="009347A9" w:rsidP="00671A60">
      <w:pPr>
        <w:numPr>
          <w:ilvl w:val="0"/>
          <w:numId w:val="63"/>
        </w:numPr>
        <w:suppressAutoHyphens w:val="0"/>
        <w:spacing w:line="360" w:lineRule="exact"/>
        <w:ind w:left="0" w:firstLine="709"/>
        <w:jc w:val="both"/>
        <w:rPr>
          <w:sz w:val="28"/>
          <w:szCs w:val="28"/>
          <w:lang w:val="uk-UA"/>
        </w:rPr>
      </w:pPr>
      <w:r>
        <w:rPr>
          <w:sz w:val="28"/>
          <w:szCs w:val="28"/>
          <w:lang w:val="uk-UA"/>
        </w:rPr>
        <w:t>Хворим на хронічний панкреатит доцільно проводити експрес-гастро-рН-метрію та добовий гастро-рН-моніторинг з визначенням показника постпрандіального залуження.</w:t>
      </w:r>
    </w:p>
    <w:p w:rsidR="009347A9" w:rsidRDefault="009347A9" w:rsidP="00671A60">
      <w:pPr>
        <w:numPr>
          <w:ilvl w:val="0"/>
          <w:numId w:val="63"/>
        </w:numPr>
        <w:suppressAutoHyphens w:val="0"/>
        <w:spacing w:line="360" w:lineRule="exact"/>
        <w:ind w:left="0" w:firstLine="709"/>
        <w:jc w:val="both"/>
        <w:rPr>
          <w:sz w:val="28"/>
          <w:szCs w:val="28"/>
          <w:lang w:val="uk-UA"/>
        </w:rPr>
      </w:pPr>
      <w:r>
        <w:rPr>
          <w:sz w:val="28"/>
          <w:szCs w:val="28"/>
          <w:lang w:val="uk-UA"/>
        </w:rPr>
        <w:t>Призначення кислотознижуючих препаратів хворим на хронічний панкреатит повинно проводитись з урахуванням тривалості латентного періоду їх дії та широкої варіабельності чутливості до них.</w:t>
      </w:r>
    </w:p>
    <w:p w:rsidR="009347A9" w:rsidRDefault="009347A9" w:rsidP="00671A60">
      <w:pPr>
        <w:numPr>
          <w:ilvl w:val="0"/>
          <w:numId w:val="63"/>
        </w:numPr>
        <w:suppressAutoHyphens w:val="0"/>
        <w:spacing w:line="360" w:lineRule="exact"/>
        <w:ind w:left="0" w:firstLine="709"/>
        <w:jc w:val="both"/>
        <w:rPr>
          <w:sz w:val="28"/>
          <w:szCs w:val="28"/>
          <w:lang w:val="uk-UA"/>
        </w:rPr>
      </w:pPr>
      <w:r>
        <w:rPr>
          <w:sz w:val="28"/>
          <w:szCs w:val="28"/>
          <w:lang w:val="uk-UA"/>
        </w:rPr>
        <w:t xml:space="preserve"> При загостренні хронічного панкреатиту рекомендовано дифере</w:t>
      </w:r>
      <w:r>
        <w:rPr>
          <w:sz w:val="28"/>
          <w:szCs w:val="28"/>
          <w:lang w:val="uk-UA"/>
        </w:rPr>
        <w:t>н</w:t>
      </w:r>
      <w:r>
        <w:rPr>
          <w:sz w:val="28"/>
          <w:szCs w:val="28"/>
          <w:lang w:val="uk-UA"/>
        </w:rPr>
        <w:t>ційоване, під контролем pH-метрії, призначення інгібітора протонної помпи – пантопразолу. В групі хворих на хронічний панкреатит з вираженою та помі</w:t>
      </w:r>
      <w:r>
        <w:rPr>
          <w:sz w:val="28"/>
          <w:szCs w:val="28"/>
          <w:lang w:val="uk-UA"/>
        </w:rPr>
        <w:t>р</w:t>
      </w:r>
      <w:r>
        <w:rPr>
          <w:sz w:val="28"/>
          <w:szCs w:val="28"/>
          <w:lang w:val="uk-UA"/>
        </w:rPr>
        <w:t>ною гіперацидністю, а також нормоацидністю шлунка можна рекомендувати пантопразол у дозі 40 мг 2 рази на добу, а в хворих з помірною гіпоацидністю шлунка – 40 мг 1 раз на добу.</w:t>
      </w:r>
    </w:p>
    <w:p w:rsidR="009347A9" w:rsidRDefault="009347A9" w:rsidP="00671A60">
      <w:pPr>
        <w:numPr>
          <w:ilvl w:val="0"/>
          <w:numId w:val="63"/>
        </w:numPr>
        <w:suppressAutoHyphens w:val="0"/>
        <w:spacing w:line="360" w:lineRule="exact"/>
        <w:ind w:left="0" w:firstLine="709"/>
        <w:jc w:val="both"/>
        <w:rPr>
          <w:sz w:val="28"/>
          <w:szCs w:val="28"/>
          <w:lang w:val="uk-UA"/>
        </w:rPr>
      </w:pPr>
      <w:r>
        <w:rPr>
          <w:sz w:val="28"/>
          <w:szCs w:val="28"/>
          <w:lang w:val="uk-UA"/>
        </w:rPr>
        <w:t>При проведенні фармакотерапії хворим на хронічний панкреатит з інтенсивним больовим синдромом необхідно враховувати швидкість зняття або зменшення болю. Таким хворим рекомендовано застосування одночасно блок</w:t>
      </w:r>
      <w:r>
        <w:rPr>
          <w:sz w:val="28"/>
          <w:szCs w:val="28"/>
          <w:lang w:val="uk-UA"/>
        </w:rPr>
        <w:t>а</w:t>
      </w:r>
      <w:r>
        <w:rPr>
          <w:sz w:val="28"/>
          <w:szCs w:val="28"/>
          <w:lang w:val="uk-UA"/>
        </w:rPr>
        <w:t>тора Н</w:t>
      </w:r>
      <w:r>
        <w:rPr>
          <w:sz w:val="28"/>
          <w:szCs w:val="28"/>
          <w:vertAlign w:val="subscript"/>
          <w:lang w:val="uk-UA"/>
        </w:rPr>
        <w:t>2</w:t>
      </w:r>
      <w:r>
        <w:rPr>
          <w:sz w:val="28"/>
          <w:szCs w:val="28"/>
          <w:lang w:val="uk-UA"/>
        </w:rPr>
        <w:t>-гістамінових рецепторів третього покоління фамотидину (перші 3 дні лікування) та інгібітора протонної помпи пантопразолу в складі комплексної терапії.</w:t>
      </w:r>
    </w:p>
    <w:p w:rsidR="009347A9" w:rsidRDefault="009347A9" w:rsidP="009347A9">
      <w:pPr>
        <w:pStyle w:val="affffffff7"/>
        <w:widowControl w:val="0"/>
        <w:spacing w:line="360" w:lineRule="exact"/>
        <w:rPr>
          <w:rFonts w:ascii="Times New Roman" w:hAnsi="Times New Roman"/>
          <w:caps w:val="0"/>
          <w:szCs w:val="28"/>
        </w:rPr>
      </w:pPr>
    </w:p>
    <w:p w:rsidR="009347A9" w:rsidRDefault="009347A9" w:rsidP="009347A9">
      <w:pPr>
        <w:pStyle w:val="affffffff7"/>
        <w:widowControl w:val="0"/>
        <w:spacing w:line="360" w:lineRule="exact"/>
        <w:rPr>
          <w:rFonts w:ascii="Times New Roman" w:hAnsi="Times New Roman"/>
          <w:caps w:val="0"/>
          <w:szCs w:val="28"/>
        </w:rPr>
      </w:pPr>
      <w:r>
        <w:rPr>
          <w:rFonts w:ascii="Times New Roman" w:hAnsi="Times New Roman"/>
          <w:caps w:val="0"/>
          <w:szCs w:val="28"/>
        </w:rPr>
        <w:t xml:space="preserve">Список опублікованих праць за темою дисертації </w:t>
      </w:r>
    </w:p>
    <w:p w:rsidR="009347A9" w:rsidRDefault="009347A9" w:rsidP="009347A9">
      <w:pPr>
        <w:pStyle w:val="affffffff7"/>
        <w:widowControl w:val="0"/>
        <w:spacing w:line="360" w:lineRule="exact"/>
        <w:rPr>
          <w:rFonts w:ascii="Times New Roman" w:hAnsi="Times New Roman"/>
          <w:caps w:val="0"/>
          <w:szCs w:val="28"/>
        </w:rPr>
      </w:pPr>
    </w:p>
    <w:p w:rsidR="009347A9" w:rsidRDefault="009347A9" w:rsidP="009347A9">
      <w:pPr>
        <w:pStyle w:val="affffffff3"/>
        <w:tabs>
          <w:tab w:val="left" w:pos="2694"/>
          <w:tab w:val="left" w:pos="3686"/>
        </w:tabs>
        <w:spacing w:after="0" w:line="360" w:lineRule="exact"/>
        <w:ind w:firstLine="709"/>
        <w:jc w:val="both"/>
        <w:rPr>
          <w:szCs w:val="28"/>
          <w:lang w:val="uk-UA"/>
        </w:rPr>
      </w:pPr>
      <w:r>
        <w:rPr>
          <w:szCs w:val="28"/>
          <w:lang w:val="uk-UA"/>
        </w:rPr>
        <w:t>1. Феджага І.В. Особливості кислотопродукуючої функції шлунка при лікуванні хворих на хронічний панкреатит, інфікованих Helicobacter pylori // Ві</w:t>
      </w:r>
      <w:r>
        <w:rPr>
          <w:szCs w:val="28"/>
          <w:lang w:val="uk-UA"/>
        </w:rPr>
        <w:t>с</w:t>
      </w:r>
      <w:r>
        <w:rPr>
          <w:szCs w:val="28"/>
          <w:lang w:val="uk-UA"/>
        </w:rPr>
        <w:t>ник морфології. 2003. Т.9, № 2. - С. 396-398.</w:t>
      </w:r>
    </w:p>
    <w:p w:rsidR="009347A9" w:rsidRDefault="009347A9" w:rsidP="009347A9">
      <w:pPr>
        <w:spacing w:line="360" w:lineRule="exact"/>
        <w:ind w:firstLine="709"/>
        <w:jc w:val="both"/>
        <w:rPr>
          <w:sz w:val="28"/>
          <w:szCs w:val="28"/>
        </w:rPr>
      </w:pPr>
      <w:r>
        <w:rPr>
          <w:sz w:val="28"/>
          <w:szCs w:val="28"/>
          <w:lang w:val="uk-UA"/>
        </w:rPr>
        <w:lastRenderedPageBreak/>
        <w:t>2. Феджага І.В. Особливості амбулаторного лікування загострення хрон</w:t>
      </w:r>
      <w:r>
        <w:rPr>
          <w:sz w:val="28"/>
          <w:szCs w:val="28"/>
          <w:lang w:val="uk-UA"/>
        </w:rPr>
        <w:t>і</w:t>
      </w:r>
      <w:r>
        <w:rPr>
          <w:sz w:val="28"/>
          <w:szCs w:val="28"/>
          <w:lang w:val="uk-UA"/>
        </w:rPr>
        <w:t xml:space="preserve">чного панкреатиту з урахуванням рівня кислотопродукуючої функції шлунка // </w:t>
      </w:r>
      <w:r>
        <w:rPr>
          <w:sz w:val="28"/>
          <w:szCs w:val="28"/>
        </w:rPr>
        <w:t>Крымский терапевтический журнал. - 2007. - Т.1, № 2(9). - С. 60-62.</w:t>
      </w:r>
    </w:p>
    <w:p w:rsidR="009347A9" w:rsidRDefault="009347A9" w:rsidP="009347A9">
      <w:pPr>
        <w:spacing w:line="360" w:lineRule="exact"/>
        <w:ind w:firstLine="709"/>
        <w:jc w:val="both"/>
        <w:rPr>
          <w:sz w:val="28"/>
          <w:szCs w:val="28"/>
          <w:lang w:val="uk-UA"/>
        </w:rPr>
      </w:pPr>
      <w:r>
        <w:rPr>
          <w:sz w:val="28"/>
          <w:szCs w:val="28"/>
          <w:lang w:val="uk-UA"/>
        </w:rPr>
        <w:t>3. Феджага І.В. Циркадні коливання шлункової ацидності у хворих на хронічний панкреатит // Вісник Вінницького національного медичного уніве</w:t>
      </w:r>
      <w:r>
        <w:rPr>
          <w:sz w:val="28"/>
          <w:szCs w:val="28"/>
          <w:lang w:val="uk-UA"/>
        </w:rPr>
        <w:t>р</w:t>
      </w:r>
      <w:r>
        <w:rPr>
          <w:sz w:val="28"/>
          <w:szCs w:val="28"/>
          <w:lang w:val="uk-UA"/>
        </w:rPr>
        <w:t>ситету. - 2007. - Т.11, № 2/1. - С. 597-599.</w:t>
      </w:r>
    </w:p>
    <w:p w:rsidR="009347A9" w:rsidRDefault="009347A9" w:rsidP="009347A9">
      <w:pPr>
        <w:widowControl w:val="0"/>
        <w:autoSpaceDE w:val="0"/>
        <w:autoSpaceDN w:val="0"/>
        <w:spacing w:line="360" w:lineRule="exact"/>
        <w:ind w:firstLine="709"/>
        <w:jc w:val="both"/>
        <w:rPr>
          <w:sz w:val="28"/>
          <w:szCs w:val="28"/>
          <w:lang w:val="uk-UA"/>
        </w:rPr>
      </w:pPr>
      <w:r>
        <w:rPr>
          <w:sz w:val="28"/>
          <w:szCs w:val="28"/>
          <w:lang w:val="uk-UA"/>
        </w:rPr>
        <w:t xml:space="preserve">4. Чернобровий В.М., Феджага І.В. Роль шлункової секреції в патогенезі хронічного панкреатиту // Буковинський медичний вісник - 2008. - Т. 12, № 1. - С. 156-162. </w:t>
      </w:r>
      <w:r>
        <w:rPr>
          <w:sz w:val="28"/>
          <w:szCs w:val="28"/>
          <w:lang w:val="uk-UA" w:bidi="ar-LB"/>
        </w:rPr>
        <w:t>(</w:t>
      </w:r>
      <w:r>
        <w:rPr>
          <w:sz w:val="28"/>
          <w:szCs w:val="28"/>
          <w:lang w:val="uk-UA"/>
        </w:rPr>
        <w:t>Здобувачем особисто зібрані та проаналізовані літературні джерела з даної проблеми, підготовлено матеріали до друку).</w:t>
      </w:r>
    </w:p>
    <w:p w:rsidR="009347A9" w:rsidRDefault="009347A9" w:rsidP="009347A9">
      <w:pPr>
        <w:pStyle w:val="affffffff3"/>
        <w:tabs>
          <w:tab w:val="left" w:pos="2694"/>
          <w:tab w:val="left" w:pos="3686"/>
        </w:tabs>
        <w:spacing w:after="0" w:line="360" w:lineRule="exact"/>
        <w:ind w:firstLine="709"/>
        <w:jc w:val="both"/>
        <w:rPr>
          <w:szCs w:val="28"/>
          <w:lang w:val="uk-UA"/>
        </w:rPr>
      </w:pPr>
      <w:r>
        <w:rPr>
          <w:szCs w:val="28"/>
          <w:lang w:val="uk-UA"/>
        </w:rPr>
        <w:t>5. Чернобровий В.М., Феджага І.В. Ефективність дуспаталіну у хворих на хронічний панкреатит // Вісник Вінницького державного медичного універс</w:t>
      </w:r>
      <w:r>
        <w:rPr>
          <w:szCs w:val="28"/>
          <w:lang w:val="uk-UA"/>
        </w:rPr>
        <w:t>и</w:t>
      </w:r>
      <w:r>
        <w:rPr>
          <w:szCs w:val="28"/>
          <w:lang w:val="uk-UA"/>
        </w:rPr>
        <w:t>тету. - 2003. - Т.7, № 1. - С. 172.</w:t>
      </w:r>
      <w:r>
        <w:rPr>
          <w:szCs w:val="28"/>
          <w:lang w:val="uk-UA" w:bidi="ar-LB"/>
        </w:rPr>
        <w:t xml:space="preserve"> (</w:t>
      </w:r>
      <w:r>
        <w:rPr>
          <w:szCs w:val="28"/>
          <w:lang w:val="uk-UA"/>
        </w:rPr>
        <w:t>Здобувач зібрала матеріал і підготувала його до друку, описала та проаналізувала отримані результати).</w:t>
      </w:r>
    </w:p>
    <w:p w:rsidR="009347A9" w:rsidRDefault="009347A9" w:rsidP="009347A9">
      <w:pPr>
        <w:spacing w:line="360" w:lineRule="exact"/>
        <w:ind w:firstLine="709"/>
        <w:jc w:val="both"/>
        <w:rPr>
          <w:sz w:val="28"/>
          <w:szCs w:val="28"/>
          <w:lang w:val="uk-UA"/>
        </w:rPr>
      </w:pPr>
      <w:r>
        <w:rPr>
          <w:sz w:val="28"/>
          <w:szCs w:val="28"/>
          <w:lang w:val="uk-UA"/>
        </w:rPr>
        <w:t>6. Феджага І.В. Антихелікобактерна терапія хворих на хронічний панкр</w:t>
      </w:r>
      <w:r>
        <w:rPr>
          <w:sz w:val="28"/>
          <w:szCs w:val="28"/>
          <w:lang w:val="uk-UA"/>
        </w:rPr>
        <w:t>е</w:t>
      </w:r>
      <w:r>
        <w:rPr>
          <w:sz w:val="28"/>
          <w:szCs w:val="28"/>
          <w:lang w:val="uk-UA"/>
        </w:rPr>
        <w:t>атит з синдромом шлункової гіперацидності // Вісник Вінницького державного медичного університету. - 2004. - Т.8, № 1. - С. 59.</w:t>
      </w:r>
    </w:p>
    <w:p w:rsidR="009347A9" w:rsidRDefault="009347A9" w:rsidP="009347A9">
      <w:pPr>
        <w:pStyle w:val="affffffff3"/>
        <w:widowControl w:val="0"/>
        <w:tabs>
          <w:tab w:val="left" w:pos="2694"/>
          <w:tab w:val="left" w:pos="3686"/>
        </w:tabs>
        <w:spacing w:after="0" w:line="360" w:lineRule="exact"/>
        <w:ind w:firstLine="709"/>
        <w:jc w:val="both"/>
        <w:rPr>
          <w:szCs w:val="28"/>
          <w:lang w:val="uk-UA"/>
        </w:rPr>
      </w:pPr>
      <w:r>
        <w:rPr>
          <w:szCs w:val="28"/>
          <w:lang w:val="uk-UA"/>
        </w:rPr>
        <w:t>7. Феджага І.В., Півторак Н.А. Порівняльна характеристика кислотобл</w:t>
      </w:r>
      <w:r>
        <w:rPr>
          <w:szCs w:val="28"/>
          <w:lang w:val="uk-UA"/>
        </w:rPr>
        <w:t>о</w:t>
      </w:r>
      <w:r>
        <w:rPr>
          <w:szCs w:val="28"/>
          <w:lang w:val="uk-UA"/>
        </w:rPr>
        <w:t>куючої дії осиду та ланзи на четверту добу лікування у хворих на хронічний панкреатит з синдромом шлункової гіперацидності // Вісник Вінницького де</w:t>
      </w:r>
      <w:r>
        <w:rPr>
          <w:szCs w:val="28"/>
          <w:lang w:val="uk-UA"/>
        </w:rPr>
        <w:t>р</w:t>
      </w:r>
      <w:r>
        <w:rPr>
          <w:szCs w:val="28"/>
          <w:lang w:val="uk-UA"/>
        </w:rPr>
        <w:t>жавного медичного університету. - 2006. - Т.10, № 1. - С. 150-151. (Здобувачем особисто проведено підбір хворих, проведення гастро-рН-моніторингу, стати</w:t>
      </w:r>
      <w:r>
        <w:rPr>
          <w:szCs w:val="28"/>
          <w:lang w:val="uk-UA"/>
        </w:rPr>
        <w:t>с</w:t>
      </w:r>
      <w:r>
        <w:rPr>
          <w:szCs w:val="28"/>
          <w:lang w:val="uk-UA"/>
        </w:rPr>
        <w:t>тична обробка матеріалу).</w:t>
      </w:r>
    </w:p>
    <w:p w:rsidR="009347A9" w:rsidRDefault="009347A9" w:rsidP="009347A9">
      <w:pPr>
        <w:spacing w:line="360" w:lineRule="exact"/>
        <w:ind w:firstLine="709"/>
        <w:jc w:val="both"/>
        <w:rPr>
          <w:sz w:val="28"/>
          <w:szCs w:val="28"/>
          <w:lang w:val="uk-UA"/>
        </w:rPr>
      </w:pPr>
      <w:r>
        <w:rPr>
          <w:sz w:val="28"/>
          <w:szCs w:val="28"/>
          <w:lang w:val="uk-UA"/>
        </w:rPr>
        <w:t>8. Феджага І.В. Ефективність замісної ферментотерапії при панкреатичній недостатності у хворих на хронічний панкреатит з синдромом шлункової гіп</w:t>
      </w:r>
      <w:r>
        <w:rPr>
          <w:sz w:val="28"/>
          <w:szCs w:val="28"/>
          <w:lang w:val="uk-UA"/>
        </w:rPr>
        <w:t>е</w:t>
      </w:r>
      <w:r>
        <w:rPr>
          <w:sz w:val="28"/>
          <w:szCs w:val="28"/>
          <w:lang w:val="uk-UA"/>
        </w:rPr>
        <w:t>рацидності // Biomedical and biosocial anthropology - 2006. - № 7 – С. 205-206.</w:t>
      </w:r>
    </w:p>
    <w:p w:rsidR="009347A9" w:rsidRDefault="009347A9" w:rsidP="009347A9">
      <w:pPr>
        <w:pStyle w:val="affffffff3"/>
        <w:tabs>
          <w:tab w:val="left" w:pos="2694"/>
          <w:tab w:val="left" w:pos="3686"/>
        </w:tabs>
        <w:spacing w:after="0" w:line="360" w:lineRule="exact"/>
        <w:ind w:firstLine="709"/>
        <w:jc w:val="both"/>
        <w:rPr>
          <w:szCs w:val="28"/>
          <w:lang w:val="uk-UA"/>
        </w:rPr>
      </w:pPr>
      <w:r>
        <w:rPr>
          <w:szCs w:val="28"/>
          <w:lang w:val="uk-UA"/>
        </w:rPr>
        <w:t>9. Феджага І.В. Добові коливання шлункової ацидності у хворих на хр</w:t>
      </w:r>
      <w:r>
        <w:rPr>
          <w:szCs w:val="28"/>
          <w:lang w:val="uk-UA"/>
        </w:rPr>
        <w:t>о</w:t>
      </w:r>
      <w:r>
        <w:rPr>
          <w:szCs w:val="28"/>
          <w:lang w:val="uk-UA"/>
        </w:rPr>
        <w:t>нічний панкреатит // Biomedical and biosocial anthropology - 2007. - № 8 – С. 164.</w:t>
      </w:r>
    </w:p>
    <w:p w:rsidR="009347A9" w:rsidRDefault="009347A9" w:rsidP="009347A9">
      <w:pPr>
        <w:spacing w:line="360" w:lineRule="exact"/>
        <w:ind w:firstLine="709"/>
        <w:jc w:val="both"/>
        <w:rPr>
          <w:sz w:val="28"/>
          <w:szCs w:val="28"/>
          <w:lang w:val="uk-UA"/>
        </w:rPr>
      </w:pPr>
      <w:r>
        <w:rPr>
          <w:sz w:val="28"/>
          <w:szCs w:val="28"/>
          <w:lang w:val="uk-UA"/>
        </w:rPr>
        <w:t>10. Феджага І.В. Доказова фармакотерапія загострення хронічного панкреатиту з використанням антисекреторного препарату квамател // VI Міжн</w:t>
      </w:r>
      <w:r>
        <w:rPr>
          <w:sz w:val="28"/>
          <w:szCs w:val="28"/>
          <w:lang w:val="uk-UA"/>
        </w:rPr>
        <w:t>а</w:t>
      </w:r>
      <w:r>
        <w:rPr>
          <w:sz w:val="28"/>
          <w:szCs w:val="28"/>
          <w:lang w:val="uk-UA"/>
        </w:rPr>
        <w:t>родний медичний конгрес студентів та молодих учених: Матеріали (21-23 тра</w:t>
      </w:r>
      <w:r>
        <w:rPr>
          <w:sz w:val="28"/>
          <w:szCs w:val="28"/>
          <w:lang w:val="uk-UA"/>
        </w:rPr>
        <w:t>в</w:t>
      </w:r>
      <w:r>
        <w:rPr>
          <w:sz w:val="28"/>
          <w:szCs w:val="28"/>
          <w:lang w:val="uk-UA"/>
        </w:rPr>
        <w:t>ня 2002) – Тернопіль: Укрмедкнига. – 2002. - С. 45.</w:t>
      </w:r>
    </w:p>
    <w:p w:rsidR="009347A9" w:rsidRDefault="009347A9" w:rsidP="009347A9">
      <w:pPr>
        <w:pStyle w:val="affffffff3"/>
        <w:tabs>
          <w:tab w:val="left" w:pos="2694"/>
          <w:tab w:val="left" w:pos="3686"/>
        </w:tabs>
        <w:spacing w:after="0" w:line="360" w:lineRule="exact"/>
        <w:ind w:firstLine="709"/>
        <w:jc w:val="both"/>
        <w:rPr>
          <w:szCs w:val="28"/>
          <w:lang w:val="uk-UA"/>
        </w:rPr>
      </w:pPr>
      <w:r>
        <w:rPr>
          <w:szCs w:val="28"/>
          <w:lang w:val="uk-UA"/>
        </w:rPr>
        <w:t>11. Півторак І.В. Особливості перебігу та лікування хронічного панкре</w:t>
      </w:r>
      <w:r>
        <w:rPr>
          <w:szCs w:val="28"/>
          <w:lang w:val="uk-UA"/>
        </w:rPr>
        <w:t>а</w:t>
      </w:r>
      <w:r>
        <w:rPr>
          <w:szCs w:val="28"/>
          <w:lang w:val="uk-UA"/>
        </w:rPr>
        <w:t>титу, поєднаного з гіперацидним синдромом // XIII науково-практична конф</w:t>
      </w:r>
      <w:r>
        <w:rPr>
          <w:szCs w:val="28"/>
          <w:lang w:val="uk-UA"/>
        </w:rPr>
        <w:t>е</w:t>
      </w:r>
      <w:r>
        <w:rPr>
          <w:szCs w:val="28"/>
          <w:lang w:val="uk-UA"/>
        </w:rPr>
        <w:t>ренція вищих медичних закладів освіти Вінницького регіону: Матеріали конф</w:t>
      </w:r>
      <w:r>
        <w:rPr>
          <w:szCs w:val="28"/>
          <w:lang w:val="uk-UA"/>
        </w:rPr>
        <w:t>е</w:t>
      </w:r>
      <w:r>
        <w:rPr>
          <w:szCs w:val="28"/>
          <w:lang w:val="uk-UA"/>
        </w:rPr>
        <w:t>ренції. – Київ-Вінниця: МОЗ України, 2002. – С.51-52.</w:t>
      </w:r>
    </w:p>
    <w:p w:rsidR="009347A9" w:rsidRDefault="009347A9" w:rsidP="009347A9">
      <w:pPr>
        <w:pStyle w:val="affffffff3"/>
        <w:tabs>
          <w:tab w:val="left" w:pos="2694"/>
          <w:tab w:val="left" w:pos="3686"/>
        </w:tabs>
        <w:spacing w:after="0" w:line="360" w:lineRule="exact"/>
        <w:ind w:firstLine="709"/>
        <w:jc w:val="both"/>
        <w:rPr>
          <w:szCs w:val="28"/>
          <w:lang w:val="uk-UA"/>
        </w:rPr>
      </w:pPr>
      <w:r>
        <w:rPr>
          <w:szCs w:val="28"/>
          <w:lang w:val="uk-UA"/>
        </w:rPr>
        <w:t>12. Феджага І.В. рН-моніторинг шлунка у хворих на хронічний панкре</w:t>
      </w:r>
      <w:r>
        <w:rPr>
          <w:szCs w:val="28"/>
          <w:lang w:val="uk-UA"/>
        </w:rPr>
        <w:t>а</w:t>
      </w:r>
      <w:r>
        <w:rPr>
          <w:szCs w:val="28"/>
          <w:lang w:val="uk-UA"/>
        </w:rPr>
        <w:t>тит з синдромом шлункової гіперацидності // Матеріали ХV з’їзду терапевтів України (21- 23 квітня 2004 р.). – К. -2004. – С. 99-100.</w:t>
      </w:r>
    </w:p>
    <w:p w:rsidR="009347A9" w:rsidRDefault="009347A9" w:rsidP="009347A9">
      <w:pPr>
        <w:spacing w:line="360" w:lineRule="exact"/>
        <w:ind w:firstLine="709"/>
        <w:jc w:val="both"/>
        <w:rPr>
          <w:sz w:val="28"/>
          <w:szCs w:val="28"/>
          <w:lang w:val="uk-UA"/>
        </w:rPr>
      </w:pPr>
      <w:r>
        <w:rPr>
          <w:sz w:val="28"/>
          <w:szCs w:val="28"/>
          <w:lang w:val="uk-UA"/>
        </w:rPr>
        <w:lastRenderedPageBreak/>
        <w:t>13. Феджага І.В. Корекція зовнішньосекреторної недостатності у хворих на хронічний панкреатит з синдромом шлункової гіперацидності // ІХ з’їзд ВУЛТ (Всеукраїнського лікарського товариства): тези доповідей (Вінниця, 10-12 травня 2007). – Київ, 2007. – С. 139-140.</w:t>
      </w:r>
    </w:p>
    <w:p w:rsidR="009347A9" w:rsidRDefault="009347A9" w:rsidP="009347A9">
      <w:pPr>
        <w:spacing w:line="360" w:lineRule="exact"/>
        <w:ind w:firstLine="709"/>
        <w:jc w:val="both"/>
        <w:rPr>
          <w:sz w:val="28"/>
          <w:szCs w:val="28"/>
          <w:lang w:val="uk-UA"/>
        </w:rPr>
      </w:pPr>
      <w:r>
        <w:rPr>
          <w:sz w:val="28"/>
          <w:szCs w:val="28"/>
          <w:lang w:val="uk-UA"/>
        </w:rPr>
        <w:t>14. Феджага І.В. Диференційований підхід до призначення блокаторів шлункової ацидності при замісній ферментотерапії зовнішньосекреторної недостатності підшлункової залози // Діагностика і терапія поєднаних хвороб органів травлення: Матеріали міжобласної науково-практичної конференції (Терн</w:t>
      </w:r>
      <w:r>
        <w:rPr>
          <w:sz w:val="28"/>
          <w:szCs w:val="28"/>
          <w:lang w:val="uk-UA"/>
        </w:rPr>
        <w:t>о</w:t>
      </w:r>
      <w:r>
        <w:rPr>
          <w:sz w:val="28"/>
          <w:szCs w:val="28"/>
          <w:lang w:val="uk-UA"/>
        </w:rPr>
        <w:t>піль, 22-23 листопада 2007) – Тернопіль, ТДМУ "Укрмедкнига", 2007. – С. 58-59.</w:t>
      </w:r>
    </w:p>
    <w:p w:rsidR="009347A9" w:rsidRDefault="009347A9" w:rsidP="009347A9">
      <w:pPr>
        <w:spacing w:line="360" w:lineRule="exact"/>
        <w:ind w:firstLine="709"/>
        <w:jc w:val="both"/>
        <w:rPr>
          <w:sz w:val="28"/>
          <w:szCs w:val="28"/>
          <w:lang w:val="uk-UA"/>
        </w:rPr>
      </w:pPr>
    </w:p>
    <w:p w:rsidR="009347A9" w:rsidRDefault="009347A9" w:rsidP="009347A9">
      <w:pPr>
        <w:pStyle w:val="40"/>
        <w:keepNext w:val="0"/>
        <w:widowControl w:val="0"/>
        <w:spacing w:line="360" w:lineRule="exact"/>
        <w:rPr>
          <w:sz w:val="28"/>
        </w:rPr>
      </w:pPr>
      <w:r>
        <w:rPr>
          <w:sz w:val="28"/>
        </w:rPr>
        <w:t>АНОТАЦІЯ</w:t>
      </w:r>
    </w:p>
    <w:p w:rsidR="009347A9" w:rsidRDefault="009347A9" w:rsidP="009347A9">
      <w:pPr>
        <w:widowControl w:val="0"/>
        <w:shd w:val="clear" w:color="auto" w:fill="FFFFFF"/>
        <w:tabs>
          <w:tab w:val="left" w:pos="-3960"/>
        </w:tabs>
        <w:spacing w:line="360" w:lineRule="exact"/>
        <w:ind w:firstLine="720"/>
        <w:jc w:val="both"/>
        <w:rPr>
          <w:b/>
          <w:sz w:val="28"/>
          <w:szCs w:val="28"/>
          <w:lang w:val="uk-UA" w:bidi="ar-LB"/>
        </w:rPr>
      </w:pPr>
      <w:r>
        <w:rPr>
          <w:b/>
          <w:sz w:val="28"/>
          <w:szCs w:val="28"/>
          <w:lang w:val="uk-UA"/>
        </w:rPr>
        <w:t>Феджага І.В. Особливості діагностики та лікування хронічного па</w:t>
      </w:r>
      <w:r>
        <w:rPr>
          <w:b/>
          <w:sz w:val="28"/>
          <w:szCs w:val="28"/>
          <w:lang w:val="uk-UA"/>
        </w:rPr>
        <w:t>н</w:t>
      </w:r>
      <w:r>
        <w:rPr>
          <w:b/>
          <w:sz w:val="28"/>
          <w:szCs w:val="28"/>
          <w:lang w:val="uk-UA"/>
        </w:rPr>
        <w:t>креатиту з синдромом шлункової гіперацидності в амбулаторних умовах</w:t>
      </w:r>
      <w:r>
        <w:rPr>
          <w:b/>
          <w:sz w:val="28"/>
          <w:szCs w:val="28"/>
          <w:lang w:val="uk-UA" w:bidi="ar-LB"/>
        </w:rPr>
        <w:t>. – Рукопис.</w:t>
      </w:r>
    </w:p>
    <w:p w:rsidR="009347A9" w:rsidRDefault="009347A9" w:rsidP="009347A9">
      <w:pPr>
        <w:widowControl w:val="0"/>
        <w:shd w:val="clear" w:color="auto" w:fill="FFFFFF"/>
        <w:tabs>
          <w:tab w:val="left" w:pos="-3960"/>
        </w:tabs>
        <w:spacing w:line="360" w:lineRule="exact"/>
        <w:ind w:firstLine="720"/>
        <w:jc w:val="both"/>
        <w:rPr>
          <w:sz w:val="28"/>
          <w:szCs w:val="28"/>
          <w:lang w:val="uk-UA" w:bidi="ar-LB"/>
        </w:rPr>
      </w:pPr>
      <w:r>
        <w:rPr>
          <w:sz w:val="28"/>
          <w:szCs w:val="28"/>
          <w:lang w:val="uk-UA" w:bidi="ar-LB"/>
        </w:rPr>
        <w:t xml:space="preserve">Дисертація на здобуття наукового ступеня кандидата медичних наук </w:t>
      </w:r>
      <w:r>
        <w:rPr>
          <w:sz w:val="28"/>
          <w:szCs w:val="28"/>
          <w:lang w:val="uk-UA"/>
        </w:rPr>
        <w:t xml:space="preserve">за спеціальністю 14.01.36 - гастроентерологія </w:t>
      </w:r>
      <w:r>
        <w:rPr>
          <w:sz w:val="28"/>
          <w:szCs w:val="28"/>
          <w:lang w:val="uk-UA" w:bidi="ar-LB"/>
        </w:rPr>
        <w:t xml:space="preserve">– </w:t>
      </w:r>
      <w:r>
        <w:rPr>
          <w:sz w:val="28"/>
          <w:szCs w:val="28"/>
          <w:lang w:val="uk-UA"/>
        </w:rPr>
        <w:t>Національний медичний універс</w:t>
      </w:r>
      <w:r>
        <w:rPr>
          <w:sz w:val="28"/>
          <w:szCs w:val="28"/>
          <w:lang w:val="uk-UA"/>
        </w:rPr>
        <w:t>и</w:t>
      </w:r>
      <w:r>
        <w:rPr>
          <w:sz w:val="28"/>
          <w:szCs w:val="28"/>
          <w:lang w:val="uk-UA"/>
        </w:rPr>
        <w:t>тет ім. О.О. Богомольця МОЗ України, Київ,</w:t>
      </w:r>
      <w:r>
        <w:rPr>
          <w:sz w:val="28"/>
          <w:szCs w:val="28"/>
          <w:lang w:val="uk-UA" w:bidi="ar-LB"/>
        </w:rPr>
        <w:t xml:space="preserve"> 2008.</w:t>
      </w:r>
    </w:p>
    <w:p w:rsidR="009347A9" w:rsidRDefault="009347A9" w:rsidP="009347A9">
      <w:pPr>
        <w:widowControl w:val="0"/>
        <w:spacing w:line="360" w:lineRule="exact"/>
        <w:ind w:firstLine="709"/>
        <w:jc w:val="both"/>
        <w:rPr>
          <w:sz w:val="28"/>
          <w:szCs w:val="28"/>
          <w:lang w:val="uk-UA"/>
        </w:rPr>
      </w:pPr>
      <w:r>
        <w:rPr>
          <w:sz w:val="28"/>
          <w:szCs w:val="28"/>
          <w:lang w:val="uk-UA" w:bidi="ar-LB"/>
        </w:rPr>
        <w:t xml:space="preserve">Дослідження присвячене вивченню </w:t>
      </w:r>
      <w:r>
        <w:rPr>
          <w:sz w:val="28"/>
          <w:szCs w:val="28"/>
          <w:lang w:val="uk-UA"/>
        </w:rPr>
        <w:t>особливостей діагностики та раціон</w:t>
      </w:r>
      <w:r>
        <w:rPr>
          <w:sz w:val="28"/>
          <w:szCs w:val="28"/>
          <w:lang w:val="uk-UA"/>
        </w:rPr>
        <w:t>а</w:t>
      </w:r>
      <w:r>
        <w:rPr>
          <w:sz w:val="28"/>
          <w:szCs w:val="28"/>
          <w:lang w:val="uk-UA"/>
        </w:rPr>
        <w:t>льного амбулаторного лікування хворих на хронічний панкреатит в залежності від рівня кислотопродукції в шлунку</w:t>
      </w:r>
      <w:r>
        <w:rPr>
          <w:sz w:val="28"/>
          <w:szCs w:val="28"/>
          <w:lang w:val="uk-UA" w:bidi="ar-LB"/>
        </w:rPr>
        <w:t xml:space="preserve">. </w:t>
      </w:r>
      <w:r>
        <w:rPr>
          <w:sz w:val="28"/>
          <w:szCs w:val="28"/>
          <w:lang w:val="uk-UA"/>
        </w:rPr>
        <w:t>Встановлена достовірна різниця між с</w:t>
      </w:r>
      <w:r>
        <w:rPr>
          <w:sz w:val="28"/>
          <w:szCs w:val="28"/>
          <w:lang w:val="uk-UA"/>
        </w:rPr>
        <w:t>е</w:t>
      </w:r>
      <w:r>
        <w:rPr>
          <w:sz w:val="28"/>
          <w:szCs w:val="28"/>
          <w:lang w:val="uk-UA"/>
        </w:rPr>
        <w:t>редніми показниками постпрандіального залуження у хворих з зовнішньосекр</w:t>
      </w:r>
      <w:r>
        <w:rPr>
          <w:sz w:val="28"/>
          <w:szCs w:val="28"/>
          <w:lang w:val="uk-UA"/>
        </w:rPr>
        <w:t>е</w:t>
      </w:r>
      <w:r>
        <w:rPr>
          <w:sz w:val="28"/>
          <w:szCs w:val="28"/>
          <w:lang w:val="uk-UA"/>
        </w:rPr>
        <w:t>торною недостатністю та без неї, що покладено в основу способу діагностики вторинної зовнішньосекреторної недостатності підшлункової залози. Запроп</w:t>
      </w:r>
      <w:r>
        <w:rPr>
          <w:sz w:val="28"/>
          <w:szCs w:val="28"/>
          <w:lang w:val="uk-UA"/>
        </w:rPr>
        <w:t>о</w:t>
      </w:r>
      <w:r>
        <w:rPr>
          <w:sz w:val="28"/>
          <w:szCs w:val="28"/>
          <w:lang w:val="uk-UA"/>
        </w:rPr>
        <w:t>нований показник кількісної оцінки постпрандіального залуження у хворих на хронічний панкреатит, величина як</w:t>
      </w:r>
      <w:r>
        <w:rPr>
          <w:sz w:val="28"/>
          <w:szCs w:val="28"/>
          <w:lang w:val="uk-UA"/>
        </w:rPr>
        <w:t>о</w:t>
      </w:r>
      <w:r>
        <w:rPr>
          <w:sz w:val="28"/>
          <w:szCs w:val="28"/>
          <w:lang w:val="uk-UA"/>
        </w:rPr>
        <w:t>го тісно корелює зі ступенем вираженості зовнішньосекреторної недостатності.</w:t>
      </w:r>
    </w:p>
    <w:p w:rsidR="009347A9" w:rsidRDefault="009347A9" w:rsidP="009347A9">
      <w:pPr>
        <w:widowControl w:val="0"/>
        <w:spacing w:line="360" w:lineRule="exact"/>
        <w:ind w:firstLine="709"/>
        <w:jc w:val="both"/>
        <w:rPr>
          <w:noProof/>
          <w:sz w:val="28"/>
          <w:szCs w:val="28"/>
          <w:lang w:val="uk-UA"/>
        </w:rPr>
      </w:pPr>
      <w:r>
        <w:rPr>
          <w:sz w:val="28"/>
          <w:szCs w:val="28"/>
          <w:lang w:val="uk-UA"/>
        </w:rPr>
        <w:t>Комбінована терапія з короткостроковим трьохдобовим призначенням фамотидину та подовженим призначенням пантопразолу забезпечує зменшення больового синдрому в хворих на хронічний панкреатит найбільш ефективно як за швидкістю так і за інтенсивністю.</w:t>
      </w:r>
    </w:p>
    <w:p w:rsidR="009347A9" w:rsidRDefault="009347A9" w:rsidP="009347A9">
      <w:pPr>
        <w:widowControl w:val="0"/>
        <w:shd w:val="clear" w:color="auto" w:fill="FFFFFF"/>
        <w:tabs>
          <w:tab w:val="left" w:pos="-3960"/>
        </w:tabs>
        <w:spacing w:line="360" w:lineRule="exact"/>
        <w:ind w:firstLine="709"/>
        <w:jc w:val="both"/>
        <w:rPr>
          <w:sz w:val="28"/>
          <w:szCs w:val="28"/>
          <w:lang w:val="uk-UA" w:bidi="ar-LB"/>
        </w:rPr>
      </w:pPr>
      <w:r>
        <w:rPr>
          <w:b/>
          <w:bCs/>
          <w:sz w:val="28"/>
          <w:szCs w:val="28"/>
          <w:lang w:val="uk-UA" w:bidi="ar-LB"/>
        </w:rPr>
        <w:t xml:space="preserve">Ключові слова: </w:t>
      </w:r>
      <w:r>
        <w:rPr>
          <w:sz w:val="28"/>
          <w:szCs w:val="28"/>
          <w:lang w:val="uk-UA"/>
        </w:rPr>
        <w:t>підшлункова залоза, хронічний панкреатит</w:t>
      </w:r>
      <w:r>
        <w:rPr>
          <w:sz w:val="28"/>
          <w:szCs w:val="28"/>
          <w:lang w:val="uk-UA" w:bidi="ar-LB"/>
        </w:rPr>
        <w:t>, внутрі</w:t>
      </w:r>
      <w:r>
        <w:rPr>
          <w:sz w:val="28"/>
          <w:szCs w:val="28"/>
          <w:lang w:val="uk-UA" w:bidi="ar-LB"/>
        </w:rPr>
        <w:t>ш</w:t>
      </w:r>
      <w:r>
        <w:rPr>
          <w:sz w:val="28"/>
          <w:szCs w:val="28"/>
          <w:lang w:val="uk-UA" w:bidi="ar-LB"/>
        </w:rPr>
        <w:t xml:space="preserve">ньошлункова pH-метрія, діагностика, лікування, </w:t>
      </w:r>
      <w:r>
        <w:rPr>
          <w:sz w:val="28"/>
          <w:szCs w:val="28"/>
          <w:lang w:val="uk-UA"/>
        </w:rPr>
        <w:t>блокатори шлункової ацидно</w:t>
      </w:r>
      <w:r>
        <w:rPr>
          <w:sz w:val="28"/>
          <w:szCs w:val="28"/>
          <w:lang w:val="uk-UA"/>
        </w:rPr>
        <w:t>с</w:t>
      </w:r>
      <w:r>
        <w:rPr>
          <w:sz w:val="28"/>
          <w:szCs w:val="28"/>
          <w:lang w:val="uk-UA"/>
        </w:rPr>
        <w:t>ті</w:t>
      </w:r>
      <w:r>
        <w:rPr>
          <w:sz w:val="28"/>
          <w:szCs w:val="28"/>
          <w:lang w:val="uk-UA" w:bidi="ar-LB"/>
        </w:rPr>
        <w:t>.</w:t>
      </w:r>
    </w:p>
    <w:p w:rsidR="009347A9" w:rsidRDefault="009347A9" w:rsidP="009347A9">
      <w:pPr>
        <w:pStyle w:val="40"/>
        <w:keepNext w:val="0"/>
        <w:widowControl w:val="0"/>
        <w:spacing w:line="360" w:lineRule="exact"/>
        <w:rPr>
          <w:sz w:val="28"/>
        </w:rPr>
      </w:pPr>
    </w:p>
    <w:p w:rsidR="009347A9" w:rsidRDefault="009347A9" w:rsidP="009347A9">
      <w:pPr>
        <w:pStyle w:val="40"/>
        <w:keepNext w:val="0"/>
        <w:widowControl w:val="0"/>
        <w:spacing w:line="360" w:lineRule="exact"/>
        <w:rPr>
          <w:sz w:val="28"/>
        </w:rPr>
      </w:pPr>
      <w:r>
        <w:rPr>
          <w:sz w:val="28"/>
        </w:rPr>
        <w:t>АННОТАЦИЯ</w:t>
      </w:r>
    </w:p>
    <w:p w:rsidR="009347A9" w:rsidRDefault="009347A9" w:rsidP="009347A9">
      <w:pPr>
        <w:widowControl w:val="0"/>
        <w:shd w:val="clear" w:color="auto" w:fill="FFFFFF"/>
        <w:tabs>
          <w:tab w:val="left" w:pos="-3960"/>
        </w:tabs>
        <w:spacing w:line="360" w:lineRule="exact"/>
        <w:ind w:firstLine="709"/>
        <w:jc w:val="both"/>
        <w:rPr>
          <w:b/>
          <w:sz w:val="28"/>
          <w:szCs w:val="28"/>
          <w:lang w:bidi="ar-LB"/>
        </w:rPr>
      </w:pPr>
      <w:r>
        <w:rPr>
          <w:b/>
          <w:sz w:val="28"/>
          <w:szCs w:val="28"/>
        </w:rPr>
        <w:t>Феджага И.В. Особенности диагностики и лечения хронического панкреатита с синдромом желудочной гиперацидности в амбулаторных условиях. – Рукопись.</w:t>
      </w:r>
    </w:p>
    <w:p w:rsidR="009347A9" w:rsidRDefault="009347A9" w:rsidP="009347A9">
      <w:pPr>
        <w:widowControl w:val="0"/>
        <w:shd w:val="clear" w:color="auto" w:fill="FFFFFF"/>
        <w:tabs>
          <w:tab w:val="left" w:pos="-3960"/>
        </w:tabs>
        <w:spacing w:line="360" w:lineRule="exact"/>
        <w:ind w:firstLine="709"/>
        <w:jc w:val="both"/>
        <w:rPr>
          <w:sz w:val="28"/>
          <w:szCs w:val="28"/>
          <w:lang w:bidi="ar-LB"/>
        </w:rPr>
      </w:pPr>
      <w:r>
        <w:rPr>
          <w:sz w:val="28"/>
          <w:szCs w:val="28"/>
          <w:lang w:bidi="ar-LB"/>
        </w:rPr>
        <w:t xml:space="preserve">Диссертация на соискание научной степени кандидата медицинских наук за </w:t>
      </w:r>
      <w:r>
        <w:rPr>
          <w:sz w:val="28"/>
          <w:szCs w:val="28"/>
          <w:lang w:bidi="ar-LB"/>
        </w:rPr>
        <w:lastRenderedPageBreak/>
        <w:t>специальностью 14.01.36 - гастроэнтерология – Национальный медицинский университет им. О.О. Богомольца МЗ Украины, Киев, 2008.</w:t>
      </w:r>
    </w:p>
    <w:p w:rsidR="009347A9" w:rsidRDefault="009347A9" w:rsidP="009347A9">
      <w:pPr>
        <w:widowControl w:val="0"/>
        <w:spacing w:line="360" w:lineRule="exact"/>
        <w:ind w:firstLine="709"/>
        <w:jc w:val="both"/>
        <w:rPr>
          <w:sz w:val="28"/>
          <w:szCs w:val="28"/>
        </w:rPr>
      </w:pPr>
      <w:r>
        <w:rPr>
          <w:sz w:val="28"/>
          <w:szCs w:val="28"/>
          <w:lang w:bidi="ar-LB"/>
        </w:rPr>
        <w:t>Диссертация посвящена изучению особенностей диагностики и рационального амбулаторного лечения больных хроническим панкреатитом в зав</w:t>
      </w:r>
      <w:r>
        <w:rPr>
          <w:sz w:val="28"/>
          <w:szCs w:val="28"/>
          <w:lang w:bidi="ar-LB"/>
        </w:rPr>
        <w:t>и</w:t>
      </w:r>
      <w:r>
        <w:rPr>
          <w:sz w:val="28"/>
          <w:szCs w:val="28"/>
          <w:lang w:bidi="ar-LB"/>
        </w:rPr>
        <w:t>симости от уровня кислотопродукции в желудке. Исследование выполнено на 237 больных, которым установлен диагноз хронического панкреатита в фазе обострения.</w:t>
      </w:r>
    </w:p>
    <w:p w:rsidR="009347A9" w:rsidRDefault="009347A9" w:rsidP="009347A9">
      <w:pPr>
        <w:widowControl w:val="0"/>
        <w:spacing w:line="360" w:lineRule="exact"/>
        <w:ind w:firstLine="709"/>
        <w:jc w:val="both"/>
        <w:rPr>
          <w:sz w:val="28"/>
          <w:szCs w:val="28"/>
          <w:lang w:bidi="ar-LB"/>
        </w:rPr>
      </w:pPr>
      <w:r>
        <w:rPr>
          <w:sz w:val="28"/>
          <w:szCs w:val="28"/>
        </w:rPr>
        <w:t>Исследование интенсивности боли по международной бально–ранговой шкале обнаружило наивысший ее уровень у больных хроническим панкреат</w:t>
      </w:r>
      <w:r>
        <w:rPr>
          <w:sz w:val="28"/>
          <w:szCs w:val="28"/>
        </w:rPr>
        <w:t>и</w:t>
      </w:r>
      <w:r>
        <w:rPr>
          <w:sz w:val="28"/>
          <w:szCs w:val="28"/>
        </w:rPr>
        <w:t>том с желудочной гиперацидностью в основной группе (8,28 ± 0,63 балла) В группе сравнения интенсивность болевого синдрома составляла 5,57±0,64 ба</w:t>
      </w:r>
      <w:r>
        <w:rPr>
          <w:sz w:val="28"/>
          <w:szCs w:val="28"/>
        </w:rPr>
        <w:t>л</w:t>
      </w:r>
      <w:r>
        <w:rPr>
          <w:sz w:val="28"/>
          <w:szCs w:val="28"/>
        </w:rPr>
        <w:t>ла. На основе корреляционного анализа нами установлена прямая положител</w:t>
      </w:r>
      <w:r>
        <w:rPr>
          <w:sz w:val="28"/>
          <w:szCs w:val="28"/>
        </w:rPr>
        <w:t>ь</w:t>
      </w:r>
      <w:r>
        <w:rPr>
          <w:sz w:val="28"/>
          <w:szCs w:val="28"/>
        </w:rPr>
        <w:t>ная связь средней силы между величиной интенсивности болевого синдрома и длительностью пребывания значений внутрижелудочного pH в функционал</w:t>
      </w:r>
      <w:r>
        <w:rPr>
          <w:sz w:val="28"/>
          <w:szCs w:val="28"/>
        </w:rPr>
        <w:t>ь</w:t>
      </w:r>
      <w:r>
        <w:rPr>
          <w:sz w:val="28"/>
          <w:szCs w:val="28"/>
        </w:rPr>
        <w:t>ном и</w:t>
      </w:r>
      <w:r>
        <w:rPr>
          <w:sz w:val="28"/>
          <w:szCs w:val="28"/>
        </w:rPr>
        <w:t>н</w:t>
      </w:r>
      <w:r>
        <w:rPr>
          <w:sz w:val="28"/>
          <w:szCs w:val="28"/>
        </w:rPr>
        <w:t>тервале pH 5 и 4 в диапазоне pH 0,86 – 1,59 (r=0,45).</w:t>
      </w:r>
    </w:p>
    <w:p w:rsidR="009347A9" w:rsidRDefault="009347A9" w:rsidP="009347A9">
      <w:pPr>
        <w:widowControl w:val="0"/>
        <w:spacing w:line="360" w:lineRule="exact"/>
        <w:ind w:firstLine="709"/>
        <w:jc w:val="both"/>
        <w:rPr>
          <w:sz w:val="28"/>
          <w:szCs w:val="28"/>
        </w:rPr>
      </w:pPr>
      <w:r>
        <w:rPr>
          <w:sz w:val="28"/>
          <w:szCs w:val="28"/>
        </w:rPr>
        <w:t>Установлена достоверная разница между средними показателями постпрандиального ощелачивания у больных с внешнесекреторной недостаточн</w:t>
      </w:r>
      <w:r>
        <w:rPr>
          <w:sz w:val="28"/>
          <w:szCs w:val="28"/>
        </w:rPr>
        <w:t>о</w:t>
      </w:r>
      <w:r>
        <w:rPr>
          <w:sz w:val="28"/>
          <w:szCs w:val="28"/>
        </w:rPr>
        <w:t>стью и без нее, что положено в основу способа диагностики вторичной внешн</w:t>
      </w:r>
      <w:r>
        <w:rPr>
          <w:sz w:val="28"/>
          <w:szCs w:val="28"/>
        </w:rPr>
        <w:t>е</w:t>
      </w:r>
      <w:r>
        <w:rPr>
          <w:sz w:val="28"/>
          <w:szCs w:val="28"/>
        </w:rPr>
        <w:t>секреторной недостаточности поджелудочной железы. Предложен показатель количественной оценки постпрандиального ощелачивания у больных хронич</w:t>
      </w:r>
      <w:r>
        <w:rPr>
          <w:sz w:val="28"/>
          <w:szCs w:val="28"/>
        </w:rPr>
        <w:t>е</w:t>
      </w:r>
      <w:r>
        <w:rPr>
          <w:sz w:val="28"/>
          <w:szCs w:val="28"/>
        </w:rPr>
        <w:t>ским панкреатитом, величина которого тесно коррелирует со степенью выр</w:t>
      </w:r>
      <w:r>
        <w:rPr>
          <w:sz w:val="28"/>
          <w:szCs w:val="28"/>
        </w:rPr>
        <w:t>а</w:t>
      </w:r>
      <w:r>
        <w:rPr>
          <w:sz w:val="28"/>
          <w:szCs w:val="28"/>
        </w:rPr>
        <w:t>женности внешнесекреторной недостаточности. Определены характерные (т</w:t>
      </w:r>
      <w:r>
        <w:rPr>
          <w:sz w:val="28"/>
          <w:szCs w:val="28"/>
        </w:rPr>
        <w:t>и</w:t>
      </w:r>
      <w:r>
        <w:rPr>
          <w:sz w:val="28"/>
          <w:szCs w:val="28"/>
        </w:rPr>
        <w:t>пичные) параметры постпрандиального ощелачивания для больных хронич</w:t>
      </w:r>
      <w:r>
        <w:rPr>
          <w:sz w:val="28"/>
          <w:szCs w:val="28"/>
        </w:rPr>
        <w:t>е</w:t>
      </w:r>
      <w:r>
        <w:rPr>
          <w:sz w:val="28"/>
          <w:szCs w:val="28"/>
        </w:rPr>
        <w:t>ским панкреатитом.</w:t>
      </w:r>
    </w:p>
    <w:p w:rsidR="009347A9" w:rsidRDefault="009347A9" w:rsidP="009347A9">
      <w:pPr>
        <w:widowControl w:val="0"/>
        <w:spacing w:line="360" w:lineRule="exact"/>
        <w:ind w:firstLine="709"/>
        <w:jc w:val="both"/>
        <w:rPr>
          <w:sz w:val="28"/>
          <w:szCs w:val="28"/>
        </w:rPr>
      </w:pPr>
      <w:r>
        <w:rPr>
          <w:rFonts w:eastAsia="Calibri"/>
          <w:sz w:val="28"/>
          <w:szCs w:val="28"/>
        </w:rPr>
        <w:t>Инфицированные H.pylori больные хроническим панкреатитом по , сра</w:t>
      </w:r>
      <w:r>
        <w:rPr>
          <w:rFonts w:eastAsia="Calibri"/>
          <w:sz w:val="28"/>
          <w:szCs w:val="28"/>
        </w:rPr>
        <w:t>в</w:t>
      </w:r>
      <w:r>
        <w:rPr>
          <w:rFonts w:eastAsia="Calibri"/>
          <w:sz w:val="28"/>
          <w:szCs w:val="28"/>
        </w:rPr>
        <w:t>нению с неинфицированными больными характеризовались значительно более высокими показателями внутрижелудочной ацидности: минимального pH, ма</w:t>
      </w:r>
      <w:r>
        <w:rPr>
          <w:rFonts w:eastAsia="Calibri"/>
          <w:sz w:val="28"/>
          <w:szCs w:val="28"/>
        </w:rPr>
        <w:t>к</w:t>
      </w:r>
      <w:r>
        <w:rPr>
          <w:rFonts w:eastAsia="Calibri"/>
          <w:sz w:val="28"/>
          <w:szCs w:val="28"/>
        </w:rPr>
        <w:t xml:space="preserve">симального pH и медианы внутрижелудочного pH, недостаточно выраженным как по продолжительности так и по глубине феноменом спонтанного ночного </w:t>
      </w:r>
      <w:r>
        <w:rPr>
          <w:sz w:val="28"/>
          <w:szCs w:val="28"/>
        </w:rPr>
        <w:t>ощелачивания</w:t>
      </w:r>
      <w:r>
        <w:rPr>
          <w:rFonts w:eastAsia="Calibri"/>
          <w:sz w:val="28"/>
          <w:szCs w:val="28"/>
        </w:rPr>
        <w:t xml:space="preserve"> желудка или его отсутствием.</w:t>
      </w:r>
    </w:p>
    <w:p w:rsidR="009347A9" w:rsidRDefault="009347A9" w:rsidP="009347A9">
      <w:pPr>
        <w:spacing w:line="360" w:lineRule="exact"/>
        <w:ind w:firstLine="709"/>
        <w:jc w:val="both"/>
        <w:rPr>
          <w:sz w:val="28"/>
          <w:szCs w:val="28"/>
        </w:rPr>
      </w:pPr>
      <w:r>
        <w:rPr>
          <w:sz w:val="28"/>
          <w:szCs w:val="28"/>
        </w:rPr>
        <w:t>Детальное изучение симптомов диспептического синдрома у больных хроническим панкреатитом, у которых была обнаружена желудочная гипер</w:t>
      </w:r>
      <w:r>
        <w:rPr>
          <w:sz w:val="28"/>
          <w:szCs w:val="28"/>
        </w:rPr>
        <w:t>а</w:t>
      </w:r>
      <w:r>
        <w:rPr>
          <w:sz w:val="28"/>
          <w:szCs w:val="28"/>
        </w:rPr>
        <w:t>цидность, показало преобладание или тенденцию к преобладанию симптомов изжоги, тошноты, рвоты, гиперсаливации.</w:t>
      </w:r>
    </w:p>
    <w:p w:rsidR="009347A9" w:rsidRDefault="009347A9" w:rsidP="009347A9">
      <w:pPr>
        <w:spacing w:line="360" w:lineRule="exact"/>
        <w:ind w:firstLine="709"/>
        <w:jc w:val="both"/>
        <w:rPr>
          <w:sz w:val="28"/>
          <w:szCs w:val="28"/>
        </w:rPr>
      </w:pPr>
      <w:r>
        <w:rPr>
          <w:sz w:val="28"/>
          <w:szCs w:val="28"/>
        </w:rPr>
        <w:t>Проведеный ультраструктурный анализ клеток ацинусов поджелудочной железы при хроническом панкреатите с синдромом желудочной гиперацидн</w:t>
      </w:r>
      <w:r>
        <w:rPr>
          <w:sz w:val="28"/>
          <w:szCs w:val="28"/>
        </w:rPr>
        <w:t>о</w:t>
      </w:r>
      <w:r>
        <w:rPr>
          <w:sz w:val="28"/>
          <w:szCs w:val="28"/>
        </w:rPr>
        <w:t>сти свидетельствовал о том, что развитие заболевания связано с первичными деструктивными изменениями в ацинозных и дуктальных клетках. Как правило, патологический процесс протекает на фоне нарастания фиброза и последующ</w:t>
      </w:r>
      <w:r>
        <w:rPr>
          <w:sz w:val="28"/>
          <w:szCs w:val="28"/>
        </w:rPr>
        <w:t>е</w:t>
      </w:r>
      <w:r>
        <w:rPr>
          <w:sz w:val="28"/>
          <w:szCs w:val="28"/>
        </w:rPr>
        <w:t>го повреждения секреторных и протоковых структур органа.</w:t>
      </w:r>
    </w:p>
    <w:p w:rsidR="009347A9" w:rsidRDefault="009347A9" w:rsidP="009347A9">
      <w:pPr>
        <w:widowControl w:val="0"/>
        <w:spacing w:line="360" w:lineRule="exact"/>
        <w:ind w:firstLine="709"/>
        <w:jc w:val="both"/>
        <w:rPr>
          <w:rFonts w:eastAsia="Calibri"/>
          <w:sz w:val="28"/>
          <w:szCs w:val="28"/>
        </w:rPr>
      </w:pPr>
      <w:r>
        <w:rPr>
          <w:rFonts w:eastAsia="Calibri"/>
          <w:noProof/>
          <w:sz w:val="28"/>
          <w:szCs w:val="28"/>
        </w:rPr>
        <w:lastRenderedPageBreak/>
        <w:t>Установлено, что ингибиторы протонной помпы достоверно уменьшают интенсивность болевого синдрома у больных с повышенным и нормальным уровнем ацидности в желудке и гораздо меньше влияют на его интенсивность при гипоацидности желудка.</w:t>
      </w:r>
    </w:p>
    <w:p w:rsidR="009347A9" w:rsidRDefault="009347A9" w:rsidP="009347A9">
      <w:pPr>
        <w:spacing w:line="360" w:lineRule="exact"/>
        <w:ind w:firstLine="709"/>
        <w:jc w:val="both"/>
        <w:rPr>
          <w:sz w:val="28"/>
          <w:szCs w:val="28"/>
        </w:rPr>
      </w:pPr>
      <w:r>
        <w:rPr>
          <w:sz w:val="28"/>
          <w:szCs w:val="28"/>
        </w:rPr>
        <w:t>Обоснованы показания к дифференцированному назначению блокаторов желудочной ацидности в комплексном лечении внешнесекреторной недост</w:t>
      </w:r>
      <w:r>
        <w:rPr>
          <w:sz w:val="28"/>
          <w:szCs w:val="28"/>
        </w:rPr>
        <w:t>а</w:t>
      </w:r>
      <w:r>
        <w:rPr>
          <w:sz w:val="28"/>
          <w:szCs w:val="28"/>
        </w:rPr>
        <w:t>точности поджелудочной железы на основе значения доли эффективного пос</w:t>
      </w:r>
      <w:r>
        <w:rPr>
          <w:sz w:val="28"/>
          <w:szCs w:val="28"/>
        </w:rPr>
        <w:t>т</w:t>
      </w:r>
      <w:r>
        <w:rPr>
          <w:sz w:val="28"/>
          <w:szCs w:val="28"/>
        </w:rPr>
        <w:t>прандиального ощелачивания. На основе полученных данных при обострении хронического панкреатита доказана эффективность дифференцированного, под контролем pH-метрии, назначения ингибитора протонной помпы – пантопраз</w:t>
      </w:r>
      <w:r>
        <w:rPr>
          <w:sz w:val="28"/>
          <w:szCs w:val="28"/>
        </w:rPr>
        <w:t>о</w:t>
      </w:r>
      <w:r>
        <w:rPr>
          <w:sz w:val="28"/>
          <w:szCs w:val="28"/>
        </w:rPr>
        <w:t>ла. В группе больных хроническим панкреатитом с выраженной и умеренной гиперацидностью, а также нормацидностью желудка можно рекомендовать пантопразол в дозе 40 мг 2 раза в сутки, а у больных с умеренной гипоацидн</w:t>
      </w:r>
      <w:r>
        <w:rPr>
          <w:sz w:val="28"/>
          <w:szCs w:val="28"/>
        </w:rPr>
        <w:t>о</w:t>
      </w:r>
      <w:r>
        <w:rPr>
          <w:sz w:val="28"/>
          <w:szCs w:val="28"/>
        </w:rPr>
        <w:t>стью желудка – 40 мг 1 раз в сутки.</w:t>
      </w:r>
    </w:p>
    <w:p w:rsidR="009347A9" w:rsidRDefault="009347A9" w:rsidP="009347A9">
      <w:pPr>
        <w:widowControl w:val="0"/>
        <w:spacing w:line="360" w:lineRule="exact"/>
        <w:ind w:firstLine="709"/>
        <w:jc w:val="both"/>
        <w:rPr>
          <w:sz w:val="28"/>
          <w:szCs w:val="28"/>
        </w:rPr>
      </w:pPr>
      <w:r>
        <w:rPr>
          <w:sz w:val="28"/>
          <w:szCs w:val="28"/>
        </w:rPr>
        <w:t>Комбинированная терапия с краткосрочным трехсуточным назначением фамотидина и продленным назначением пантопразола обеспечивает уменьш</w:t>
      </w:r>
      <w:r>
        <w:rPr>
          <w:sz w:val="28"/>
          <w:szCs w:val="28"/>
        </w:rPr>
        <w:t>е</w:t>
      </w:r>
      <w:r>
        <w:rPr>
          <w:sz w:val="28"/>
          <w:szCs w:val="28"/>
        </w:rPr>
        <w:t>ние болевого синдрома у больных хроническим панкреатитом наиболее эффе</w:t>
      </w:r>
      <w:r>
        <w:rPr>
          <w:sz w:val="28"/>
          <w:szCs w:val="28"/>
        </w:rPr>
        <w:t>к</w:t>
      </w:r>
      <w:r>
        <w:rPr>
          <w:sz w:val="28"/>
          <w:szCs w:val="28"/>
        </w:rPr>
        <w:t>тивно как за скоростью так и за интенсивностью.</w:t>
      </w:r>
    </w:p>
    <w:p w:rsidR="009347A9" w:rsidRDefault="009347A9" w:rsidP="009347A9">
      <w:pPr>
        <w:widowControl w:val="0"/>
        <w:shd w:val="clear" w:color="auto" w:fill="FFFFFF"/>
        <w:tabs>
          <w:tab w:val="left" w:pos="-3960"/>
        </w:tabs>
        <w:spacing w:line="360" w:lineRule="exact"/>
        <w:ind w:firstLine="709"/>
        <w:jc w:val="both"/>
        <w:rPr>
          <w:sz w:val="28"/>
          <w:szCs w:val="28"/>
          <w:lang w:bidi="ar-LB"/>
        </w:rPr>
      </w:pPr>
      <w:r>
        <w:rPr>
          <w:b/>
          <w:bCs/>
          <w:sz w:val="28"/>
          <w:szCs w:val="28"/>
          <w:lang w:bidi="ar-LB"/>
        </w:rPr>
        <w:t xml:space="preserve">Ключевые слова: </w:t>
      </w:r>
      <w:r>
        <w:rPr>
          <w:sz w:val="28"/>
          <w:szCs w:val="28"/>
        </w:rPr>
        <w:t>поджелудочная железа, хронический панкреатит</w:t>
      </w:r>
      <w:r>
        <w:rPr>
          <w:sz w:val="28"/>
          <w:szCs w:val="28"/>
          <w:lang w:bidi="ar-LB"/>
        </w:rPr>
        <w:t>, внутрижелудочная pH-метр</w:t>
      </w:r>
      <w:r>
        <w:rPr>
          <w:sz w:val="28"/>
          <w:szCs w:val="28"/>
          <w:lang w:val="uk-UA" w:bidi="ar-LB"/>
        </w:rPr>
        <w:t>и</w:t>
      </w:r>
      <w:r>
        <w:rPr>
          <w:sz w:val="28"/>
          <w:szCs w:val="28"/>
          <w:lang w:bidi="ar-LB"/>
        </w:rPr>
        <w:t xml:space="preserve">я, диагностика, лечение, </w:t>
      </w:r>
      <w:r>
        <w:rPr>
          <w:sz w:val="28"/>
          <w:szCs w:val="28"/>
        </w:rPr>
        <w:t>блокаторы желудочной ацидности</w:t>
      </w:r>
      <w:r>
        <w:rPr>
          <w:sz w:val="28"/>
          <w:szCs w:val="28"/>
          <w:lang w:bidi="ar-LB"/>
        </w:rPr>
        <w:t>.</w:t>
      </w:r>
    </w:p>
    <w:p w:rsidR="009347A9" w:rsidRDefault="009347A9" w:rsidP="009347A9">
      <w:pPr>
        <w:widowControl w:val="0"/>
        <w:shd w:val="clear" w:color="auto" w:fill="FFFFFF"/>
        <w:tabs>
          <w:tab w:val="left" w:pos="-3960"/>
        </w:tabs>
        <w:spacing w:line="360" w:lineRule="exact"/>
        <w:jc w:val="center"/>
        <w:rPr>
          <w:b/>
          <w:bCs/>
          <w:sz w:val="28"/>
          <w:szCs w:val="28"/>
          <w:lang w:val="en-GB"/>
        </w:rPr>
      </w:pPr>
      <w:r>
        <w:rPr>
          <w:b/>
          <w:bCs/>
          <w:sz w:val="28"/>
          <w:szCs w:val="28"/>
          <w:lang w:val="en-GB"/>
        </w:rPr>
        <w:t>SUMMARY</w:t>
      </w:r>
    </w:p>
    <w:p w:rsidR="009347A9" w:rsidRDefault="009347A9" w:rsidP="009347A9">
      <w:pPr>
        <w:widowControl w:val="0"/>
        <w:shd w:val="clear" w:color="auto" w:fill="FFFFFF"/>
        <w:tabs>
          <w:tab w:val="left" w:pos="-3960"/>
        </w:tabs>
        <w:spacing w:line="360" w:lineRule="exact"/>
        <w:ind w:firstLine="709"/>
        <w:jc w:val="both"/>
        <w:rPr>
          <w:b/>
          <w:sz w:val="28"/>
          <w:szCs w:val="28"/>
          <w:lang w:val="en-GB"/>
        </w:rPr>
      </w:pPr>
      <w:r>
        <w:rPr>
          <w:b/>
          <w:sz w:val="28"/>
          <w:szCs w:val="28"/>
          <w:lang w:val="en-GB"/>
        </w:rPr>
        <w:t>Fedzhaga I.V. Chronic pancreatitis with a syndrome of a stomach hyper</w:t>
      </w:r>
      <w:r>
        <w:rPr>
          <w:b/>
          <w:sz w:val="28"/>
          <w:szCs w:val="28"/>
          <w:lang w:val="en-GB"/>
        </w:rPr>
        <w:t>a</w:t>
      </w:r>
      <w:r>
        <w:rPr>
          <w:b/>
          <w:sz w:val="28"/>
          <w:szCs w:val="28"/>
          <w:lang w:val="en-GB"/>
        </w:rPr>
        <w:t>cidity diagnostic and treatment features in outpatient conditions. – Manuscript.</w:t>
      </w:r>
    </w:p>
    <w:p w:rsidR="009347A9" w:rsidRDefault="009347A9" w:rsidP="009347A9">
      <w:pPr>
        <w:pStyle w:val="affffffff3"/>
        <w:widowControl w:val="0"/>
        <w:spacing w:after="0" w:line="360" w:lineRule="exact"/>
        <w:ind w:firstLine="709"/>
        <w:jc w:val="both"/>
        <w:rPr>
          <w:szCs w:val="28"/>
          <w:lang w:val="en-GB"/>
        </w:rPr>
      </w:pPr>
      <w:bookmarkStart w:id="1" w:name="END_TRAN"/>
      <w:bookmarkEnd w:id="1"/>
      <w:r>
        <w:rPr>
          <w:szCs w:val="28"/>
          <w:lang w:val="en-GB"/>
        </w:rPr>
        <w:t xml:space="preserve">The dissertation for obtaining the scientific degree of a Candidate of Medical Sciences in speciality </w:t>
      </w:r>
      <w:r>
        <w:rPr>
          <w:szCs w:val="28"/>
          <w:lang w:val="en-GB" w:bidi="ar-LB"/>
        </w:rPr>
        <w:t>14.01.36 - Gastroenterology</w:t>
      </w:r>
      <w:r>
        <w:rPr>
          <w:szCs w:val="28"/>
          <w:lang w:val="en-GB"/>
        </w:rPr>
        <w:t>. - National</w:t>
      </w:r>
      <w:r>
        <w:rPr>
          <w:szCs w:val="28"/>
          <w:lang w:val="uk-UA"/>
        </w:rPr>
        <w:t xml:space="preserve"> </w:t>
      </w:r>
      <w:r>
        <w:rPr>
          <w:szCs w:val="28"/>
          <w:lang w:val="en-US"/>
        </w:rPr>
        <w:t>Bogomolets</w:t>
      </w:r>
      <w:r>
        <w:rPr>
          <w:szCs w:val="28"/>
          <w:lang w:val="en-GB"/>
        </w:rPr>
        <w:t xml:space="preserve"> Medical University of the Ministry of Health of Ukraine. Kyiv, 2008. </w:t>
      </w:r>
    </w:p>
    <w:p w:rsidR="009347A9" w:rsidRDefault="009347A9" w:rsidP="009347A9">
      <w:pPr>
        <w:widowControl w:val="0"/>
        <w:spacing w:line="360" w:lineRule="exact"/>
        <w:ind w:firstLine="709"/>
        <w:jc w:val="both"/>
        <w:rPr>
          <w:sz w:val="28"/>
          <w:szCs w:val="28"/>
          <w:lang w:val="en-GB"/>
        </w:rPr>
      </w:pPr>
      <w:r>
        <w:rPr>
          <w:sz w:val="28"/>
          <w:szCs w:val="28"/>
          <w:lang w:val="en-GB" w:bidi="ar-LB"/>
        </w:rPr>
        <w:t>Research is devoted to the study of diagnostic features and rational outpatient treatment in patients with chronic pancreatitis in dependence with the level of a sto</w:t>
      </w:r>
      <w:r>
        <w:rPr>
          <w:sz w:val="28"/>
          <w:szCs w:val="28"/>
          <w:lang w:val="en-GB" w:bidi="ar-LB"/>
        </w:rPr>
        <w:t>m</w:t>
      </w:r>
      <w:r>
        <w:rPr>
          <w:sz w:val="28"/>
          <w:szCs w:val="28"/>
          <w:lang w:val="en-GB" w:bidi="ar-LB"/>
        </w:rPr>
        <w:t>ach acidity. A reliable difference is set between the middle indexes of postprandial alkalization in patients with pancreatic insufficiency and without it, what is taken as a basis of the secondary pancreatic insufficiency diagnostic method . The postprandial alkalization index value closely correlates with pancreatic insufficiency expressiv</w:t>
      </w:r>
      <w:r>
        <w:rPr>
          <w:sz w:val="28"/>
          <w:szCs w:val="28"/>
          <w:lang w:val="en-GB" w:bidi="ar-LB"/>
        </w:rPr>
        <w:t>e</w:t>
      </w:r>
      <w:r>
        <w:rPr>
          <w:sz w:val="28"/>
          <w:szCs w:val="28"/>
          <w:lang w:val="en-GB" w:bidi="ar-LB"/>
        </w:rPr>
        <w:t>ness.</w:t>
      </w:r>
    </w:p>
    <w:p w:rsidR="009347A9" w:rsidRDefault="009347A9" w:rsidP="009347A9">
      <w:pPr>
        <w:widowControl w:val="0"/>
        <w:spacing w:line="360" w:lineRule="exact"/>
        <w:ind w:firstLine="709"/>
        <w:jc w:val="both"/>
        <w:rPr>
          <w:sz w:val="28"/>
          <w:szCs w:val="28"/>
          <w:lang w:val="en-GB"/>
        </w:rPr>
      </w:pPr>
      <w:r>
        <w:rPr>
          <w:sz w:val="28"/>
          <w:szCs w:val="28"/>
          <w:lang w:val="en-GB"/>
        </w:rPr>
        <w:t>The combined therapy with short-term three-day purpose of famotidine and prolonged purpose of pantoprazole provides diminishing of pain syndrome for p</w:t>
      </w:r>
      <w:r>
        <w:rPr>
          <w:sz w:val="28"/>
          <w:szCs w:val="28"/>
          <w:lang w:val="en-GB"/>
        </w:rPr>
        <w:t>a</w:t>
      </w:r>
      <w:r>
        <w:rPr>
          <w:sz w:val="28"/>
          <w:szCs w:val="28"/>
          <w:lang w:val="en-GB"/>
        </w:rPr>
        <w:t>tients with a chronic pancreatitis most effectively.</w:t>
      </w:r>
    </w:p>
    <w:p w:rsidR="009347A9" w:rsidRDefault="009347A9" w:rsidP="009347A9">
      <w:pPr>
        <w:widowControl w:val="0"/>
        <w:shd w:val="clear" w:color="auto" w:fill="FFFFFF"/>
        <w:tabs>
          <w:tab w:val="left" w:pos="-3960"/>
        </w:tabs>
        <w:spacing w:line="360" w:lineRule="exact"/>
        <w:ind w:firstLine="709"/>
        <w:jc w:val="both"/>
        <w:rPr>
          <w:sz w:val="28"/>
          <w:szCs w:val="28"/>
          <w:lang w:val="en-GB"/>
        </w:rPr>
      </w:pPr>
      <w:r>
        <w:rPr>
          <w:b/>
          <w:bCs/>
          <w:sz w:val="28"/>
          <w:szCs w:val="28"/>
          <w:lang w:val="en-GB"/>
        </w:rPr>
        <w:t xml:space="preserve">Key words: </w:t>
      </w:r>
      <w:r>
        <w:rPr>
          <w:sz w:val="28"/>
          <w:szCs w:val="28"/>
          <w:lang w:val="en-GB"/>
        </w:rPr>
        <w:t>pancreas, chronic pancreatitis</w:t>
      </w:r>
      <w:r>
        <w:rPr>
          <w:sz w:val="28"/>
          <w:szCs w:val="28"/>
          <w:lang w:val="en-GB" w:bidi="ar-LB"/>
        </w:rPr>
        <w:t xml:space="preserve">, intragastric pH-metry, diagnostics, treatment, </w:t>
      </w:r>
      <w:r>
        <w:rPr>
          <w:sz w:val="28"/>
          <w:szCs w:val="28"/>
          <w:lang w:val="en-GB"/>
        </w:rPr>
        <w:t>gastric acidity blockers</w:t>
      </w:r>
      <w:r>
        <w:rPr>
          <w:sz w:val="28"/>
          <w:szCs w:val="28"/>
          <w:lang w:val="en-GB" w:bidi="ar-LB"/>
        </w:rPr>
        <w:t>.</w:t>
      </w:r>
    </w:p>
    <w:p w:rsidR="009347A9" w:rsidRDefault="009347A9" w:rsidP="009347A9">
      <w:pPr>
        <w:widowControl w:val="0"/>
        <w:shd w:val="clear" w:color="auto" w:fill="FFFFFF"/>
        <w:autoSpaceDE w:val="0"/>
        <w:autoSpaceDN w:val="0"/>
        <w:adjustRightInd w:val="0"/>
        <w:spacing w:line="360" w:lineRule="auto"/>
        <w:jc w:val="center"/>
        <w:rPr>
          <w:sz w:val="28"/>
          <w:szCs w:val="28"/>
          <w:lang w:val="uk-UA"/>
        </w:rPr>
      </w:pPr>
      <w:r>
        <w:rPr>
          <w:sz w:val="28"/>
          <w:szCs w:val="28"/>
          <w:lang w:val="uk-UA"/>
        </w:rPr>
        <w:br w:type="page"/>
      </w:r>
      <w:r>
        <w:rPr>
          <w:sz w:val="28"/>
          <w:szCs w:val="28"/>
          <w:lang w:val="uk-UA"/>
        </w:rPr>
        <w:lastRenderedPageBreak/>
        <w:t xml:space="preserve"> </w:t>
      </w:r>
    </w:p>
    <w:p w:rsidR="009347A9" w:rsidRDefault="009347A9" w:rsidP="009347A9">
      <w:pPr>
        <w:widowControl w:val="0"/>
        <w:spacing w:line="360" w:lineRule="exact"/>
        <w:rPr>
          <w:sz w:val="28"/>
          <w:szCs w:val="28"/>
          <w:lang w:val="uk-UA"/>
        </w:rPr>
      </w:pPr>
    </w:p>
    <w:p w:rsidR="009347A9" w:rsidRDefault="009347A9" w:rsidP="009347A9">
      <w:pPr>
        <w:widowControl w:val="0"/>
        <w:spacing w:line="360" w:lineRule="exact"/>
        <w:rPr>
          <w:sz w:val="28"/>
          <w:szCs w:val="28"/>
          <w:lang w:val="uk-UA"/>
        </w:rPr>
      </w:pPr>
    </w:p>
    <w:p w:rsidR="009347A9" w:rsidRDefault="009347A9" w:rsidP="009347A9">
      <w:pPr>
        <w:widowControl w:val="0"/>
        <w:spacing w:line="360" w:lineRule="exact"/>
        <w:rPr>
          <w:sz w:val="28"/>
          <w:szCs w:val="28"/>
          <w:lang w:val="uk-UA"/>
        </w:rPr>
      </w:pPr>
    </w:p>
    <w:p w:rsidR="009347A9" w:rsidRDefault="009347A9" w:rsidP="009347A9">
      <w:pPr>
        <w:widowControl w:val="0"/>
        <w:spacing w:line="360" w:lineRule="exact"/>
        <w:rPr>
          <w:sz w:val="28"/>
          <w:szCs w:val="28"/>
          <w:lang w:val="uk-UA"/>
        </w:rPr>
      </w:pPr>
    </w:p>
    <w:p w:rsidR="009347A9" w:rsidRDefault="009347A9" w:rsidP="009347A9">
      <w:pPr>
        <w:widowControl w:val="0"/>
        <w:spacing w:line="360" w:lineRule="exact"/>
        <w:rPr>
          <w:sz w:val="28"/>
          <w:szCs w:val="28"/>
          <w:lang w:val="uk-UA"/>
        </w:rPr>
      </w:pPr>
    </w:p>
    <w:p w:rsidR="009347A9" w:rsidRDefault="009347A9" w:rsidP="009347A9">
      <w:pPr>
        <w:widowControl w:val="0"/>
        <w:spacing w:line="360" w:lineRule="exact"/>
        <w:rPr>
          <w:sz w:val="28"/>
          <w:szCs w:val="28"/>
          <w:lang w:val="uk-UA"/>
        </w:rPr>
      </w:pPr>
    </w:p>
    <w:p w:rsidR="009347A9" w:rsidRDefault="009347A9" w:rsidP="009347A9">
      <w:pPr>
        <w:widowControl w:val="0"/>
        <w:spacing w:line="360" w:lineRule="exact"/>
        <w:rPr>
          <w:sz w:val="28"/>
          <w:szCs w:val="28"/>
          <w:lang w:val="uk-UA"/>
        </w:rPr>
      </w:pPr>
    </w:p>
    <w:p w:rsidR="009347A9" w:rsidRDefault="009347A9" w:rsidP="009347A9">
      <w:pPr>
        <w:widowControl w:val="0"/>
        <w:spacing w:line="360" w:lineRule="exact"/>
        <w:rPr>
          <w:sz w:val="28"/>
          <w:szCs w:val="28"/>
          <w:lang w:val="uk-UA"/>
        </w:rPr>
      </w:pPr>
    </w:p>
    <w:p w:rsidR="009347A9" w:rsidRDefault="009347A9" w:rsidP="009347A9">
      <w:pPr>
        <w:widowControl w:val="0"/>
        <w:spacing w:line="360" w:lineRule="exact"/>
        <w:rPr>
          <w:sz w:val="28"/>
          <w:szCs w:val="28"/>
          <w:lang w:val="uk-UA"/>
        </w:rPr>
      </w:pPr>
    </w:p>
    <w:p w:rsidR="009347A9" w:rsidRDefault="009347A9" w:rsidP="009347A9">
      <w:pPr>
        <w:widowControl w:val="0"/>
        <w:spacing w:line="360" w:lineRule="exact"/>
        <w:rPr>
          <w:sz w:val="28"/>
          <w:szCs w:val="28"/>
          <w:lang w:val="uk-UA"/>
        </w:rPr>
      </w:pPr>
    </w:p>
    <w:p w:rsidR="009347A9" w:rsidRDefault="009347A9" w:rsidP="009347A9">
      <w:pPr>
        <w:widowControl w:val="0"/>
        <w:spacing w:line="360" w:lineRule="exact"/>
        <w:rPr>
          <w:sz w:val="28"/>
          <w:szCs w:val="28"/>
          <w:lang w:val="uk-UA"/>
        </w:rPr>
      </w:pPr>
    </w:p>
    <w:p w:rsidR="009347A9" w:rsidRDefault="009347A9" w:rsidP="009347A9">
      <w:pPr>
        <w:widowControl w:val="0"/>
        <w:spacing w:line="360" w:lineRule="exact"/>
        <w:rPr>
          <w:sz w:val="28"/>
          <w:szCs w:val="28"/>
          <w:lang w:val="uk-UA"/>
        </w:rPr>
      </w:pPr>
    </w:p>
    <w:p w:rsidR="009347A9" w:rsidRDefault="009347A9" w:rsidP="009347A9">
      <w:pPr>
        <w:widowControl w:val="0"/>
        <w:spacing w:line="360" w:lineRule="exact"/>
        <w:rPr>
          <w:sz w:val="28"/>
          <w:szCs w:val="28"/>
          <w:lang w:val="uk-UA"/>
        </w:rPr>
      </w:pPr>
    </w:p>
    <w:p w:rsidR="009347A9" w:rsidRDefault="009347A9" w:rsidP="009347A9">
      <w:pPr>
        <w:widowControl w:val="0"/>
        <w:spacing w:line="360" w:lineRule="exact"/>
        <w:rPr>
          <w:sz w:val="28"/>
          <w:szCs w:val="28"/>
          <w:lang w:val="uk-UA"/>
        </w:rPr>
      </w:pPr>
    </w:p>
    <w:p w:rsidR="009347A9" w:rsidRDefault="009347A9" w:rsidP="009347A9">
      <w:pPr>
        <w:widowControl w:val="0"/>
        <w:spacing w:line="360" w:lineRule="exact"/>
        <w:rPr>
          <w:sz w:val="28"/>
          <w:szCs w:val="28"/>
          <w:lang w:val="uk-UA"/>
        </w:rPr>
      </w:pPr>
    </w:p>
    <w:p w:rsidR="009347A9" w:rsidRDefault="009347A9" w:rsidP="009347A9">
      <w:pPr>
        <w:widowControl w:val="0"/>
        <w:spacing w:line="360" w:lineRule="exact"/>
        <w:rPr>
          <w:sz w:val="28"/>
          <w:szCs w:val="28"/>
          <w:lang w:val="uk-UA"/>
        </w:rPr>
      </w:pPr>
    </w:p>
    <w:p w:rsidR="009347A9" w:rsidRDefault="009347A9" w:rsidP="009347A9">
      <w:pPr>
        <w:widowControl w:val="0"/>
        <w:spacing w:line="360" w:lineRule="exact"/>
        <w:rPr>
          <w:sz w:val="28"/>
          <w:szCs w:val="28"/>
          <w:lang w:val="uk-UA"/>
        </w:rPr>
      </w:pPr>
    </w:p>
    <w:p w:rsidR="009347A9" w:rsidRDefault="009347A9" w:rsidP="009347A9">
      <w:pPr>
        <w:widowControl w:val="0"/>
        <w:spacing w:line="360" w:lineRule="exact"/>
        <w:rPr>
          <w:sz w:val="28"/>
          <w:szCs w:val="28"/>
          <w:lang w:val="uk-UA"/>
        </w:rPr>
      </w:pPr>
    </w:p>
    <w:p w:rsidR="009347A9" w:rsidRDefault="009347A9" w:rsidP="009347A9">
      <w:pPr>
        <w:widowControl w:val="0"/>
        <w:spacing w:line="360" w:lineRule="exact"/>
        <w:rPr>
          <w:sz w:val="28"/>
          <w:szCs w:val="28"/>
          <w:lang w:val="uk-UA"/>
        </w:rPr>
      </w:pPr>
    </w:p>
    <w:p w:rsidR="009347A9" w:rsidRDefault="009347A9" w:rsidP="009347A9">
      <w:pPr>
        <w:widowControl w:val="0"/>
        <w:spacing w:line="360" w:lineRule="exact"/>
        <w:rPr>
          <w:sz w:val="28"/>
          <w:szCs w:val="28"/>
          <w:lang w:val="uk-UA"/>
        </w:rPr>
      </w:pPr>
    </w:p>
    <w:p w:rsidR="009347A9" w:rsidRDefault="009347A9" w:rsidP="009347A9">
      <w:pPr>
        <w:widowControl w:val="0"/>
        <w:spacing w:line="360" w:lineRule="exact"/>
        <w:rPr>
          <w:sz w:val="28"/>
          <w:szCs w:val="28"/>
          <w:lang w:val="uk-UA"/>
        </w:rPr>
      </w:pPr>
    </w:p>
    <w:p w:rsidR="009347A9" w:rsidRDefault="009347A9" w:rsidP="009347A9">
      <w:pPr>
        <w:widowControl w:val="0"/>
        <w:spacing w:line="360" w:lineRule="exact"/>
        <w:rPr>
          <w:sz w:val="28"/>
          <w:szCs w:val="28"/>
          <w:lang w:val="uk-UA"/>
        </w:rPr>
      </w:pPr>
    </w:p>
    <w:p w:rsidR="009347A9" w:rsidRDefault="009347A9" w:rsidP="009347A9">
      <w:pPr>
        <w:widowControl w:val="0"/>
        <w:spacing w:line="360" w:lineRule="exact"/>
        <w:rPr>
          <w:sz w:val="28"/>
          <w:szCs w:val="28"/>
          <w:lang w:val="uk-UA"/>
        </w:rPr>
      </w:pPr>
    </w:p>
    <w:p w:rsidR="009347A9" w:rsidRDefault="009347A9" w:rsidP="009347A9">
      <w:pPr>
        <w:widowControl w:val="0"/>
        <w:spacing w:line="360" w:lineRule="exact"/>
        <w:ind w:firstLine="709"/>
        <w:jc w:val="both"/>
        <w:rPr>
          <w:sz w:val="28"/>
          <w:szCs w:val="28"/>
          <w:lang w:val="uk-UA"/>
        </w:rPr>
      </w:pPr>
    </w:p>
    <w:p w:rsidR="009347A9" w:rsidRDefault="009347A9" w:rsidP="009347A9">
      <w:pPr>
        <w:widowControl w:val="0"/>
        <w:spacing w:line="360" w:lineRule="exact"/>
        <w:ind w:firstLine="709"/>
        <w:jc w:val="both"/>
        <w:rPr>
          <w:sz w:val="28"/>
          <w:szCs w:val="28"/>
          <w:lang w:val="uk-UA"/>
        </w:rPr>
      </w:pPr>
    </w:p>
    <w:p w:rsidR="009347A9" w:rsidRDefault="009347A9" w:rsidP="009347A9">
      <w:pPr>
        <w:widowControl w:val="0"/>
        <w:rPr>
          <w:sz w:val="28"/>
          <w:szCs w:val="28"/>
          <w:lang w:val="uk-UA"/>
        </w:rPr>
      </w:pPr>
    </w:p>
    <w:p w:rsidR="009347A9" w:rsidRDefault="009347A9" w:rsidP="009347A9">
      <w:pPr>
        <w:widowControl w:val="0"/>
        <w:rPr>
          <w:sz w:val="28"/>
          <w:szCs w:val="28"/>
          <w:lang w:val="uk-UA"/>
        </w:rPr>
      </w:pPr>
    </w:p>
    <w:p w:rsidR="009347A9" w:rsidRDefault="009347A9" w:rsidP="009347A9">
      <w:pPr>
        <w:widowControl w:val="0"/>
        <w:rPr>
          <w:sz w:val="28"/>
          <w:szCs w:val="28"/>
          <w:lang w:val="uk-UA"/>
        </w:rPr>
      </w:pPr>
    </w:p>
    <w:p w:rsidR="009347A9" w:rsidRDefault="009347A9" w:rsidP="009347A9">
      <w:pPr>
        <w:widowControl w:val="0"/>
        <w:spacing w:line="360" w:lineRule="exact"/>
        <w:rPr>
          <w:sz w:val="28"/>
          <w:szCs w:val="28"/>
          <w:lang w:val="uk-UA"/>
        </w:rPr>
      </w:pPr>
    </w:p>
    <w:p w:rsidR="009347A9" w:rsidRDefault="009347A9" w:rsidP="009347A9">
      <w:pPr>
        <w:widowControl w:val="0"/>
        <w:spacing w:line="360" w:lineRule="exact"/>
        <w:rPr>
          <w:sz w:val="28"/>
          <w:szCs w:val="28"/>
          <w:lang w:val="uk-UA"/>
        </w:rPr>
      </w:pPr>
      <w:r>
        <w:rPr>
          <w:noProof/>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12065</wp:posOffset>
                </wp:positionH>
                <wp:positionV relativeFrom="paragraph">
                  <wp:posOffset>-5715</wp:posOffset>
                </wp:positionV>
                <wp:extent cx="6309995" cy="635"/>
                <wp:effectExtent l="8255" t="15240" r="6350" b="127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pt" to="497.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wKUAIAAFsEAAAOAAAAZHJzL2Uyb0RvYy54bWysVMFuEzEQvSPxD9be091N0zRZdVOhbMKl&#10;QKWWD3Bsb9bCa1u2m02EkIAzUj+BX+AAUqUC37D5I8bOJmrhghA5OGPPzPObmec9O1/XAq2YsVzJ&#10;PEqPkggxSRTlcplHr6/nvVGErMOSYqEky6MNs9H55OmTs0ZnrK8qJSgzCECkzRqdR5VzOotjSypW&#10;Y3ukNJPgLJWpsYOtWcbU4AbQaxH3k2QYN8pQbRRh1sJpsXNGk4Bfloy4V2VpmUMij4CbC6sJ68Kv&#10;8eQMZ0uDdcVJRwP/A4sacwmXHqAK7DC6MfwPqJoTo6wq3RFRdazKkhMWaoBq0uS3aq4qrFmoBZpj&#10;9aFN9v/BkperS4M4zSMYlMQ1jKj9vH2/vW2/t1+2t2j7of3Zfmu/tnftj/Zu+xHs++0nsL2zve+O&#10;b9HId7LRNgPAqbw0vhdkLa/0hSJvLJJqWmG5ZKGi642Ga1KfET9K8Rurgc+ieaEoxOAbp0Jb16Wp&#10;PSQ0DK3D9DaH6bG1QwQOh8fJeDw+iRAB3/D4JODjbJ+qjXXPmaqRN/JIcOlbizO8urDOU8HZPsQf&#10;SzXnQgR5CIka4Ns/TZKQYZXg1Ht9nDXLxVQYtMJeYeHXXfwozKgbSQNaxTCddbbDXOxsuF1IjwfV&#10;AJ/O2kno7TgZz0az0aA36A9nvUFSFL1n8+mgN5ynpyfFcTGdFuk7Ty0dZBWnlEnPbi/ndPB3cuke&#10;1k6IB0Ef+hA/Rg8NA7L7/0A6jNNPcKeFhaKbS7MfMyg4BHevzT+Rh3uwH34TJr8AAAD//wMAUEsD&#10;BBQABgAIAAAAIQD1qjlN2gAAAAUBAAAPAAAAZHJzL2Rvd25yZXYueG1sTI5BS8NAEIXvgv9hGcFb&#10;u7FgTdJsiiilKF7aCl6nyTQbzc6m2W0b/73jSU/Dx3u8+Yrl6Dp1piG0ng3cTRNQxJWvW24MvO9W&#10;kxRUiMg1dp7JwDcFWJbXVwXmtb/whs7b2CgZ4ZCjARtjn2sdKksOw9T3xJId/OAwCg6Nrge8yLjr&#10;9CxJ5tphy/LBYk9Plqqv7ckZwOf1Jn6ks9eH9sW+fe5Wx7VNj8bc3oyPC1CRxvhXhl99UYdSnPb+&#10;xHVQnXAmRQMTOZJm2f0c1F44BV0W+r99+QMAAP//AwBQSwECLQAUAAYACAAAACEAtoM4kv4AAADh&#10;AQAAEwAAAAAAAAAAAAAAAAAAAAAAW0NvbnRlbnRfVHlwZXNdLnhtbFBLAQItABQABgAIAAAAIQA4&#10;/SH/1gAAAJQBAAALAAAAAAAAAAAAAAAAAC8BAABfcmVscy8ucmVsc1BLAQItABQABgAIAAAAIQAU&#10;mfwKUAIAAFsEAAAOAAAAAAAAAAAAAAAAAC4CAABkcnMvZTJvRG9jLnhtbFBLAQItABQABgAIAAAA&#10;IQD1qjlN2gAAAAUBAAAPAAAAAAAAAAAAAAAAAKoEAABkcnMvZG93bnJldi54bWxQSwUGAAAAAAQA&#10;BADzAAAAsQUAAAAA&#10;" o:allowincell="f" strokeweight="1pt"/>
            </w:pict>
          </mc:Fallback>
        </mc:AlternateContent>
      </w:r>
    </w:p>
    <w:p w:rsidR="009347A9" w:rsidRDefault="009347A9" w:rsidP="009347A9">
      <w:pPr>
        <w:pStyle w:val="affffffff3"/>
        <w:widowControl w:val="0"/>
        <w:spacing w:line="360" w:lineRule="exact"/>
        <w:jc w:val="center"/>
        <w:rPr>
          <w:szCs w:val="28"/>
          <w:lang w:val="uk-UA"/>
        </w:rPr>
      </w:pPr>
      <w:r>
        <w:rPr>
          <w:szCs w:val="28"/>
          <w:lang w:val="uk-UA"/>
        </w:rPr>
        <w:t>Підписано до друку 18.04.2008 р. Замовл. № 577.</w:t>
      </w:r>
    </w:p>
    <w:p w:rsidR="009347A9" w:rsidRDefault="009347A9" w:rsidP="009347A9">
      <w:pPr>
        <w:pStyle w:val="affffffff3"/>
        <w:widowControl w:val="0"/>
        <w:spacing w:line="360" w:lineRule="exact"/>
        <w:jc w:val="center"/>
        <w:rPr>
          <w:szCs w:val="28"/>
          <w:lang w:val="uk-UA"/>
        </w:rPr>
      </w:pPr>
      <w:r>
        <w:rPr>
          <w:szCs w:val="28"/>
          <w:lang w:val="uk-UA"/>
        </w:rPr>
        <w:t xml:space="preserve">Формат 60х90 1/16 Ум. друк. арк. 0,9 Друк офсетний. </w:t>
      </w:r>
    </w:p>
    <w:p w:rsidR="009347A9" w:rsidRDefault="009347A9" w:rsidP="009347A9">
      <w:pPr>
        <w:pStyle w:val="affffffff3"/>
        <w:widowControl w:val="0"/>
        <w:spacing w:line="360" w:lineRule="exact"/>
        <w:jc w:val="center"/>
        <w:rPr>
          <w:szCs w:val="28"/>
          <w:lang w:val="uk-UA"/>
        </w:rPr>
      </w:pPr>
      <w:r>
        <w:rPr>
          <w:szCs w:val="28"/>
          <w:lang w:val="uk-UA"/>
        </w:rPr>
        <w:t>Тираж 100 примірників.</w:t>
      </w:r>
    </w:p>
    <w:p w:rsidR="009347A9" w:rsidRDefault="009347A9" w:rsidP="009347A9">
      <w:pPr>
        <w:pStyle w:val="affffffff3"/>
        <w:widowControl w:val="0"/>
        <w:spacing w:line="360" w:lineRule="exact"/>
        <w:jc w:val="center"/>
        <w:rPr>
          <w:szCs w:val="28"/>
          <w:lang w:val="uk-UA"/>
        </w:rPr>
      </w:pPr>
      <w:r>
        <w:rPr>
          <w:noProof/>
          <w:szCs w:val="28"/>
          <w:lang w:eastAsia="ru-RU"/>
        </w:rPr>
        <mc:AlternateContent>
          <mc:Choice Requires="wps">
            <w:drawing>
              <wp:anchor distT="0" distB="0" distL="114300" distR="114300" simplePos="0" relativeHeight="251660288" behindDoc="0" locked="0" layoutInCell="0" allowOverlap="1">
                <wp:simplePos x="0" y="0"/>
                <wp:positionH relativeFrom="column">
                  <wp:posOffset>12065</wp:posOffset>
                </wp:positionH>
                <wp:positionV relativeFrom="paragraph">
                  <wp:posOffset>82550</wp:posOffset>
                </wp:positionV>
                <wp:extent cx="6309995" cy="635"/>
                <wp:effectExtent l="8255" t="8255" r="6350" b="101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5pt" to="497.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PRUAIAAFsEAAAOAAAAZHJzL2Uyb0RvYy54bWysVMFuEzEQvSPxD9be091N06RZdVOhbMKl&#10;QKWWD3Bsb9bCa1u2m02EkIAzUj+BX+AAUqUC37D5I8bOJmrhghA5OGPPzPObmec9O1/XAq2YsVzJ&#10;PEqPkggxSRTlcplHr6/nvdMIWYclxUJJlkcbZqPzydMnZ43OWF9VSlBmEIBImzU6jyrndBbHllSs&#10;xvZIaSbBWSpTYwdbs4ypwQ2g1yLuJ8kwbpSh2ijCrIXTYueMJgG/LBlxr8rSModEHgE3F1YT1oVf&#10;48kZzpYG64qTjgb+BxY15hIuPUAV2GF0Y/gfUDUnRllVuiOi6liVJScs1ADVpMlv1VxVWLNQCzTH&#10;6kOb7P+DJS9XlwZxmkejCElcw4jaz9v329v2e/tle4u2H9qf7bf2a3vX/mjvth/Bvt9+Ats72/vu&#10;+BaNfCcbbTMAnMpL43tB1vJKXyjyxiKpphWWSxYqut5ouCb1GfGjFL+xGvgsmheKQgy+cSq0dV2a&#10;2kNCw9A6TG9zmB5bO0TgcHicjMfjkwgR8A2PTwI+zvap2lj3nKkaeSOPBJe+tTjDqwvrPBWc7UP8&#10;sVRzLkSQh5CoAb79UZKEDKsEp97r46xZLqbCoBX2Cgu/7uJHYUbdSBrQKobprLMd5mJnw+1Cejyo&#10;Bvh01k5Cb8fJeHY6Ox30Bv3hrDdIiqL3bD4d9IbzdHRSHBfTaZG+89TSQVZxSpn07PZyTgd/J5fu&#10;Ye2EeBD0oQ/xY/TQMCC7/w+kwzj9BHdaWCi6uTT7MYOCQ3D32vwTebgH++E3YfILAAD//wMAUEsD&#10;BBQABgAIAAAAIQDmxK1t3QAAAAcBAAAPAAAAZHJzL2Rvd25yZXYueG1sTI9BT8MwDIXvSPyHyEjc&#10;WLohRluaTgg0TSAu25C4eq1pCo3TNdlW/j3eCU7W83t6/lwsRtepIw2h9WxgOklAEVe+brkx8L5d&#10;3qSgQkSusfNMBn4owKK8vCgwr/2J13TcxEZJCYccDdgY+1zrUFlyGCa+Jxbv0w8Oo8ih0fWAJyl3&#10;nZ4lyVw7bFkuWOzpyVL1vTk4A/i8WsePdPZ6377Yt6/tcr+y6d6Y66vx8QFUpDH+heGML+hQCtPO&#10;H7gOqhOdSVDGrXwkdpbdzUHtzosp6LLQ//nLXwAAAP//AwBQSwECLQAUAAYACAAAACEAtoM4kv4A&#10;AADhAQAAEwAAAAAAAAAAAAAAAAAAAAAAW0NvbnRlbnRfVHlwZXNdLnhtbFBLAQItABQABgAIAAAA&#10;IQA4/SH/1gAAAJQBAAALAAAAAAAAAAAAAAAAAC8BAABfcmVscy8ucmVsc1BLAQItABQABgAIAAAA&#10;IQDmTlPRUAIAAFsEAAAOAAAAAAAAAAAAAAAAAC4CAABkcnMvZTJvRG9jLnhtbFBLAQItABQABgAI&#10;AAAAIQDmxK1t3QAAAAcBAAAPAAAAAAAAAAAAAAAAAKoEAABkcnMvZG93bnJldi54bWxQSwUGAAAA&#10;AAQABADzAAAAtAUAAAAA&#10;" o:allowincell="f" strokeweight="1pt"/>
            </w:pict>
          </mc:Fallback>
        </mc:AlternateContent>
      </w:r>
    </w:p>
    <w:p w:rsidR="009347A9" w:rsidRDefault="009347A9" w:rsidP="009347A9">
      <w:pPr>
        <w:widowControl w:val="0"/>
        <w:spacing w:line="360" w:lineRule="exact"/>
        <w:jc w:val="center"/>
        <w:rPr>
          <w:sz w:val="28"/>
          <w:szCs w:val="28"/>
          <w:lang w:val="uk-UA"/>
        </w:rPr>
      </w:pPr>
      <w:r>
        <w:rPr>
          <w:sz w:val="28"/>
          <w:szCs w:val="28"/>
          <w:lang w:val="uk-UA"/>
        </w:rPr>
        <w:t>Вінниця. Друкарня ВНМУ ім. М.І.Пирогова, Пирогова, 56.</w:t>
      </w:r>
    </w:p>
    <w:p w:rsidR="009347A9" w:rsidRDefault="009347A9" w:rsidP="009347A9">
      <w:pPr>
        <w:widowControl w:val="0"/>
        <w:spacing w:line="360" w:lineRule="exact"/>
        <w:jc w:val="center"/>
        <w:rPr>
          <w:sz w:val="28"/>
          <w:szCs w:val="28"/>
          <w:lang w:val="uk-UA"/>
        </w:rPr>
      </w:pPr>
    </w:p>
    <w:p w:rsidR="009347A9" w:rsidRDefault="009347A9" w:rsidP="009347A9">
      <w:pPr>
        <w:widowControl w:val="0"/>
        <w:spacing w:line="360" w:lineRule="exact"/>
        <w:rPr>
          <w:sz w:val="28"/>
          <w:szCs w:val="28"/>
          <w:lang w:val="uk-UA"/>
        </w:rPr>
      </w:pPr>
    </w:p>
    <w:p w:rsidR="0068362D" w:rsidRPr="00031E5A" w:rsidRDefault="0068362D" w:rsidP="004A6532">
      <w:pPr>
        <w:pStyle w:val="1"/>
        <w:keepNext w:val="0"/>
        <w:spacing w:before="0" w:after="0" w:line="360" w:lineRule="auto"/>
        <w:jc w:val="center"/>
      </w:pPr>
      <w:bookmarkStart w:id="2" w:name="_GoBack"/>
      <w:bookmarkEnd w:id="2"/>
      <w:r>
        <w:rPr>
          <w:color w:val="FF0000"/>
        </w:rPr>
        <w:lastRenderedPageBreak/>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2" w:history="1">
        <w:r w:rsidRPr="004F739D">
          <w:rPr>
            <w:rStyle w:val="afa"/>
            <w:color w:val="0070C0"/>
            <w:lang w:val="en-US"/>
          </w:rPr>
          <w:t>http</w:t>
        </w:r>
        <w:r w:rsidRPr="00031E5A">
          <w:rPr>
            <w:rStyle w:val="afa"/>
            <w:color w:val="0070C0"/>
          </w:rPr>
          <w:t>://</w:t>
        </w:r>
        <w:r w:rsidRPr="004F739D">
          <w:rPr>
            <w:rStyle w:val="afa"/>
            <w:color w:val="0070C0"/>
            <w:lang w:val="en-US"/>
          </w:rPr>
          <w:t>www</w:t>
        </w:r>
        <w:r w:rsidRPr="00031E5A">
          <w:rPr>
            <w:rStyle w:val="afa"/>
            <w:color w:val="0070C0"/>
          </w:rPr>
          <w:t>.</w:t>
        </w:r>
        <w:r w:rsidRPr="004F739D">
          <w:rPr>
            <w:rStyle w:val="afa"/>
            <w:color w:val="0070C0"/>
            <w:lang w:val="en-US"/>
          </w:rPr>
          <w:t>mydisser</w:t>
        </w:r>
        <w:r w:rsidRPr="00031E5A">
          <w:rPr>
            <w:rStyle w:val="afa"/>
            <w:color w:val="0070C0"/>
          </w:rPr>
          <w:t>.</w:t>
        </w:r>
        <w:r w:rsidRPr="004F739D">
          <w:rPr>
            <w:rStyle w:val="afa"/>
            <w:color w:val="0070C0"/>
            <w:lang w:val="en-US"/>
          </w:rPr>
          <w:t>com</w:t>
        </w:r>
        <w:r w:rsidRPr="00031E5A">
          <w:rPr>
            <w:rStyle w:val="afa"/>
            <w:color w:val="0070C0"/>
          </w:rPr>
          <w:t>/</w:t>
        </w:r>
        <w:r w:rsidRPr="004F739D">
          <w:rPr>
            <w:rStyle w:val="afa"/>
            <w:color w:val="0070C0"/>
            <w:lang w:val="en-US"/>
          </w:rPr>
          <w:t>search</w:t>
        </w:r>
        <w:r w:rsidRPr="00031E5A">
          <w:rPr>
            <w:rStyle w:val="afa"/>
            <w:color w:val="0070C0"/>
          </w:rPr>
          <w:t>.</w:t>
        </w:r>
        <w:r w:rsidRPr="004F739D">
          <w:rPr>
            <w:rStyle w:val="afa"/>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A60" w:rsidRDefault="00671A60">
      <w:r>
        <w:separator/>
      </w:r>
    </w:p>
  </w:endnote>
  <w:endnote w:type="continuationSeparator" w:id="0">
    <w:p w:rsidR="00671A60" w:rsidRDefault="0067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A60" w:rsidRDefault="00671A60">
      <w:r>
        <w:separator/>
      </w:r>
    </w:p>
  </w:footnote>
  <w:footnote w:type="continuationSeparator" w:id="0">
    <w:p w:rsidR="00671A60" w:rsidRDefault="00671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0D813351"/>
    <w:multiLevelType w:val="hybridMultilevel"/>
    <w:tmpl w:val="D6FAF7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9">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DD669B2"/>
    <w:multiLevelType w:val="hybridMultilevel"/>
    <w:tmpl w:val="44D61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FE00598"/>
    <w:multiLevelType w:val="hybridMultilevel"/>
    <w:tmpl w:val="84F401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8"/>
  </w:num>
  <w:num w:numId="47">
    <w:abstractNumId w:val="52"/>
  </w:num>
  <w:num w:numId="48">
    <w:abstractNumId w:val="54"/>
  </w:num>
  <w:num w:numId="49">
    <w:abstractNumId w:val="60"/>
  </w:num>
  <w:num w:numId="50">
    <w:abstractNumId w:val="46"/>
  </w:num>
  <w:num w:numId="51">
    <w:abstractNumId w:val="57"/>
  </w:num>
  <w:num w:numId="52">
    <w:abstractNumId w:val="50"/>
  </w:num>
  <w:num w:numId="53">
    <w:abstractNumId w:val="47"/>
  </w:num>
  <w:num w:numId="54">
    <w:abstractNumId w:val="51"/>
  </w:num>
  <w:num w:numId="55">
    <w:abstractNumId w:val="45"/>
  </w:num>
  <w:num w:numId="56">
    <w:abstractNumId w:val="44"/>
  </w:num>
  <w:num w:numId="57">
    <w:abstractNumId w:val="58"/>
  </w:num>
  <w:num w:numId="58">
    <w:abstractNumId w:val="55"/>
  </w:num>
  <w:num w:numId="59">
    <w:abstractNumId w:val="56"/>
  </w:num>
  <w:num w:numId="60">
    <w:abstractNumId w:val="59"/>
  </w:num>
  <w:num w:numId="61">
    <w:abstractNumId w:val="62"/>
  </w:num>
  <w:num w:numId="62">
    <w:abstractNumId w:val="43"/>
  </w:num>
  <w:num w:numId="63">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7FD"/>
    <w:rsid w:val="00027B78"/>
    <w:rsid w:val="00031717"/>
    <w:rsid w:val="00031E2F"/>
    <w:rsid w:val="00031E5A"/>
    <w:rsid w:val="00036922"/>
    <w:rsid w:val="00040AD3"/>
    <w:rsid w:val="000410B3"/>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4737"/>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50725"/>
    <w:rsid w:val="00151077"/>
    <w:rsid w:val="00152934"/>
    <w:rsid w:val="00152F46"/>
    <w:rsid w:val="0015371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2F70"/>
    <w:rsid w:val="00185CF8"/>
    <w:rsid w:val="00187962"/>
    <w:rsid w:val="00187A91"/>
    <w:rsid w:val="001917EA"/>
    <w:rsid w:val="00191E07"/>
    <w:rsid w:val="001927F7"/>
    <w:rsid w:val="001939E6"/>
    <w:rsid w:val="00194099"/>
    <w:rsid w:val="00196964"/>
    <w:rsid w:val="00196EE0"/>
    <w:rsid w:val="001A197B"/>
    <w:rsid w:val="001A2E7E"/>
    <w:rsid w:val="001A581E"/>
    <w:rsid w:val="001A5E82"/>
    <w:rsid w:val="001A6FC9"/>
    <w:rsid w:val="001B1280"/>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85F"/>
    <w:rsid w:val="003022DD"/>
    <w:rsid w:val="00304F1E"/>
    <w:rsid w:val="00305D90"/>
    <w:rsid w:val="0030633C"/>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7D6"/>
    <w:rsid w:val="00344BA3"/>
    <w:rsid w:val="003472F4"/>
    <w:rsid w:val="00347B1A"/>
    <w:rsid w:val="00347B7E"/>
    <w:rsid w:val="003507BE"/>
    <w:rsid w:val="003508EE"/>
    <w:rsid w:val="003538E4"/>
    <w:rsid w:val="00353AD0"/>
    <w:rsid w:val="00353EA5"/>
    <w:rsid w:val="003556FD"/>
    <w:rsid w:val="003571C5"/>
    <w:rsid w:val="00362ED7"/>
    <w:rsid w:val="00363673"/>
    <w:rsid w:val="00366AC8"/>
    <w:rsid w:val="00366FFA"/>
    <w:rsid w:val="003709EE"/>
    <w:rsid w:val="0037133E"/>
    <w:rsid w:val="0037221E"/>
    <w:rsid w:val="003723CF"/>
    <w:rsid w:val="00372848"/>
    <w:rsid w:val="00374D3C"/>
    <w:rsid w:val="0037513E"/>
    <w:rsid w:val="00375439"/>
    <w:rsid w:val="00375964"/>
    <w:rsid w:val="00377750"/>
    <w:rsid w:val="00377A7C"/>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409F4"/>
    <w:rsid w:val="004438E4"/>
    <w:rsid w:val="00444065"/>
    <w:rsid w:val="004446BB"/>
    <w:rsid w:val="00445F2A"/>
    <w:rsid w:val="00446B81"/>
    <w:rsid w:val="00450630"/>
    <w:rsid w:val="0045138D"/>
    <w:rsid w:val="0045213A"/>
    <w:rsid w:val="00452296"/>
    <w:rsid w:val="00453A09"/>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38C5"/>
    <w:rsid w:val="004E495D"/>
    <w:rsid w:val="004E4EAA"/>
    <w:rsid w:val="004F03AF"/>
    <w:rsid w:val="004F05B3"/>
    <w:rsid w:val="004F0E2C"/>
    <w:rsid w:val="004F153C"/>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6060"/>
    <w:rsid w:val="00556BD0"/>
    <w:rsid w:val="00560081"/>
    <w:rsid w:val="005600ED"/>
    <w:rsid w:val="00560B56"/>
    <w:rsid w:val="00561CB2"/>
    <w:rsid w:val="00562772"/>
    <w:rsid w:val="005633A5"/>
    <w:rsid w:val="00565443"/>
    <w:rsid w:val="0056601D"/>
    <w:rsid w:val="00566C2B"/>
    <w:rsid w:val="005709E0"/>
    <w:rsid w:val="00571281"/>
    <w:rsid w:val="00571E03"/>
    <w:rsid w:val="005724A8"/>
    <w:rsid w:val="00572E72"/>
    <w:rsid w:val="00573330"/>
    <w:rsid w:val="00576C1A"/>
    <w:rsid w:val="0057730F"/>
    <w:rsid w:val="005803EE"/>
    <w:rsid w:val="00580891"/>
    <w:rsid w:val="00581579"/>
    <w:rsid w:val="0058163B"/>
    <w:rsid w:val="005818BF"/>
    <w:rsid w:val="00584E00"/>
    <w:rsid w:val="00585759"/>
    <w:rsid w:val="00590AF8"/>
    <w:rsid w:val="00591C62"/>
    <w:rsid w:val="00592471"/>
    <w:rsid w:val="00592A02"/>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7FFC"/>
    <w:rsid w:val="00650A11"/>
    <w:rsid w:val="00650F42"/>
    <w:rsid w:val="00652FD6"/>
    <w:rsid w:val="0065359A"/>
    <w:rsid w:val="006618B8"/>
    <w:rsid w:val="006649E1"/>
    <w:rsid w:val="006655E9"/>
    <w:rsid w:val="00670B57"/>
    <w:rsid w:val="006714CE"/>
    <w:rsid w:val="00671A60"/>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B07B1"/>
    <w:rsid w:val="006B2546"/>
    <w:rsid w:val="006B38AE"/>
    <w:rsid w:val="006B4D7B"/>
    <w:rsid w:val="006B4E57"/>
    <w:rsid w:val="006B4F1B"/>
    <w:rsid w:val="006B5D57"/>
    <w:rsid w:val="006B6A68"/>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890"/>
    <w:rsid w:val="00735E50"/>
    <w:rsid w:val="007406BD"/>
    <w:rsid w:val="0074121F"/>
    <w:rsid w:val="0074314A"/>
    <w:rsid w:val="00743F17"/>
    <w:rsid w:val="00751004"/>
    <w:rsid w:val="00752771"/>
    <w:rsid w:val="007540A1"/>
    <w:rsid w:val="00757648"/>
    <w:rsid w:val="00760C2D"/>
    <w:rsid w:val="00760C9A"/>
    <w:rsid w:val="00763C76"/>
    <w:rsid w:val="00764E0B"/>
    <w:rsid w:val="007711D7"/>
    <w:rsid w:val="00771DB1"/>
    <w:rsid w:val="007734EE"/>
    <w:rsid w:val="007745D4"/>
    <w:rsid w:val="007755D7"/>
    <w:rsid w:val="0078038F"/>
    <w:rsid w:val="00780AF6"/>
    <w:rsid w:val="00783815"/>
    <w:rsid w:val="00785095"/>
    <w:rsid w:val="00785421"/>
    <w:rsid w:val="00790231"/>
    <w:rsid w:val="00790406"/>
    <w:rsid w:val="0079424B"/>
    <w:rsid w:val="00794DF8"/>
    <w:rsid w:val="007955CD"/>
    <w:rsid w:val="00795AA0"/>
    <w:rsid w:val="00796AFC"/>
    <w:rsid w:val="00797515"/>
    <w:rsid w:val="007A0FEC"/>
    <w:rsid w:val="007A128E"/>
    <w:rsid w:val="007A18FB"/>
    <w:rsid w:val="007A3A4A"/>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323C"/>
    <w:rsid w:val="00904C6F"/>
    <w:rsid w:val="009050FC"/>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BC"/>
    <w:rsid w:val="00930753"/>
    <w:rsid w:val="009325EE"/>
    <w:rsid w:val="009347A9"/>
    <w:rsid w:val="009358F5"/>
    <w:rsid w:val="00935F1E"/>
    <w:rsid w:val="00937513"/>
    <w:rsid w:val="00937AFD"/>
    <w:rsid w:val="009415C7"/>
    <w:rsid w:val="00941BB0"/>
    <w:rsid w:val="00943676"/>
    <w:rsid w:val="00944419"/>
    <w:rsid w:val="00945F19"/>
    <w:rsid w:val="00946056"/>
    <w:rsid w:val="00947B0D"/>
    <w:rsid w:val="00953157"/>
    <w:rsid w:val="00953458"/>
    <w:rsid w:val="00956FB0"/>
    <w:rsid w:val="009570E3"/>
    <w:rsid w:val="00957910"/>
    <w:rsid w:val="00964988"/>
    <w:rsid w:val="00965489"/>
    <w:rsid w:val="009667EC"/>
    <w:rsid w:val="00966BDB"/>
    <w:rsid w:val="00966DE0"/>
    <w:rsid w:val="009702DF"/>
    <w:rsid w:val="0097088E"/>
    <w:rsid w:val="00971D0B"/>
    <w:rsid w:val="00972A52"/>
    <w:rsid w:val="009741E6"/>
    <w:rsid w:val="00974EAF"/>
    <w:rsid w:val="00975210"/>
    <w:rsid w:val="009759BC"/>
    <w:rsid w:val="009767F9"/>
    <w:rsid w:val="009806B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99"/>
    <w:rsid w:val="00A473A1"/>
    <w:rsid w:val="00A511E8"/>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A5785"/>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2886"/>
    <w:rsid w:val="00B13E6F"/>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2CE"/>
    <w:rsid w:val="00BA78C6"/>
    <w:rsid w:val="00BA7963"/>
    <w:rsid w:val="00BB1823"/>
    <w:rsid w:val="00BB7690"/>
    <w:rsid w:val="00BC09CD"/>
    <w:rsid w:val="00BC100F"/>
    <w:rsid w:val="00BC313F"/>
    <w:rsid w:val="00BC50B6"/>
    <w:rsid w:val="00BC5A9C"/>
    <w:rsid w:val="00BC6311"/>
    <w:rsid w:val="00BC6813"/>
    <w:rsid w:val="00BC6BEB"/>
    <w:rsid w:val="00BD04B0"/>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3515"/>
    <w:rsid w:val="00C1368C"/>
    <w:rsid w:val="00C1459C"/>
    <w:rsid w:val="00C14C19"/>
    <w:rsid w:val="00C14D26"/>
    <w:rsid w:val="00C1701A"/>
    <w:rsid w:val="00C20830"/>
    <w:rsid w:val="00C20DA6"/>
    <w:rsid w:val="00C222FA"/>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5068"/>
    <w:rsid w:val="00C951A1"/>
    <w:rsid w:val="00C95DD4"/>
    <w:rsid w:val="00C96056"/>
    <w:rsid w:val="00C9608D"/>
    <w:rsid w:val="00C96315"/>
    <w:rsid w:val="00C96B19"/>
    <w:rsid w:val="00C96E21"/>
    <w:rsid w:val="00CA0D1F"/>
    <w:rsid w:val="00CA182C"/>
    <w:rsid w:val="00CA29EF"/>
    <w:rsid w:val="00CA47D6"/>
    <w:rsid w:val="00CA47FB"/>
    <w:rsid w:val="00CA67EA"/>
    <w:rsid w:val="00CA6C26"/>
    <w:rsid w:val="00CA75AE"/>
    <w:rsid w:val="00CA7A2A"/>
    <w:rsid w:val="00CA7E0D"/>
    <w:rsid w:val="00CB0A45"/>
    <w:rsid w:val="00CB1420"/>
    <w:rsid w:val="00CB1C7A"/>
    <w:rsid w:val="00CB2DD4"/>
    <w:rsid w:val="00CB31BA"/>
    <w:rsid w:val="00CB47CF"/>
    <w:rsid w:val="00CB5B02"/>
    <w:rsid w:val="00CB74DD"/>
    <w:rsid w:val="00CB788E"/>
    <w:rsid w:val="00CC0098"/>
    <w:rsid w:val="00CC0A4F"/>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20D7"/>
    <w:rsid w:val="00D62369"/>
    <w:rsid w:val="00D63237"/>
    <w:rsid w:val="00D652CF"/>
    <w:rsid w:val="00D67C6B"/>
    <w:rsid w:val="00D73522"/>
    <w:rsid w:val="00D755B6"/>
    <w:rsid w:val="00D75EC7"/>
    <w:rsid w:val="00D76324"/>
    <w:rsid w:val="00D76930"/>
    <w:rsid w:val="00D815EE"/>
    <w:rsid w:val="00D83FAC"/>
    <w:rsid w:val="00D84658"/>
    <w:rsid w:val="00D8492A"/>
    <w:rsid w:val="00D865BC"/>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321B"/>
    <w:rsid w:val="00DB43FE"/>
    <w:rsid w:val="00DB5A5A"/>
    <w:rsid w:val="00DB5B53"/>
    <w:rsid w:val="00DB621E"/>
    <w:rsid w:val="00DB654A"/>
    <w:rsid w:val="00DB7B78"/>
    <w:rsid w:val="00DC1DB4"/>
    <w:rsid w:val="00DC3342"/>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AFC"/>
    <w:rsid w:val="00E8643B"/>
    <w:rsid w:val="00E8783E"/>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2017"/>
    <w:rsid w:val="00EE42F5"/>
    <w:rsid w:val="00EE55A8"/>
    <w:rsid w:val="00EE6BCB"/>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5879"/>
    <w:rsid w:val="00F25C57"/>
    <w:rsid w:val="00F267D0"/>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uiPriority w:val="99"/>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uiPriority w:val="39"/>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uiPriority w:val="99"/>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uiPriority w:val="39"/>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G:\bol.xls" TargetMode="External"/><Relationship Id="rId1" Type="http://schemas.openxmlformats.org/officeDocument/2006/relationships/image" Target="../media/image1.pn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9230418104091709E-2"/>
          <c:y val="2.4144370013449882E-2"/>
          <c:w val="0.90088378584783513"/>
          <c:h val="0.8225941160340059"/>
        </c:manualLayout>
      </c:layout>
      <c:lineChart>
        <c:grouping val="standard"/>
        <c:varyColors val="0"/>
        <c:ser>
          <c:idx val="0"/>
          <c:order val="0"/>
          <c:tx>
            <c:strRef>
              <c:f>Лист1!$E$3</c:f>
              <c:strCache>
                <c:ptCount val="1"/>
                <c:pt idx="0">
                  <c:v>Без зовнішньосекреторної недостатності ПЗ</c:v>
                </c:pt>
              </c:strCache>
            </c:strRef>
          </c:tx>
          <c:spPr>
            <a:ln cap="flat">
              <a:solidFill>
                <a:srgbClr val="FF0000"/>
              </a:solidFill>
              <a:prstDash val="sysDash"/>
            </a:ln>
          </c:spPr>
          <c:marker>
            <c:symbol val="diamond"/>
            <c:size val="6"/>
            <c:spPr>
              <a:solidFill>
                <a:srgbClr val="FF0000"/>
              </a:solidFill>
              <a:ln cap="rnd" cmpd="dbl">
                <a:solidFill>
                  <a:srgbClr val="FF0000"/>
                </a:solidFill>
                <a:prstDash val="sysDash"/>
              </a:ln>
            </c:spPr>
          </c:marker>
          <c:cat>
            <c:numRef>
              <c:f>Лист1!$A$2:$A$25</c:f>
              <c:numCache>
                <c:formatCode>h:mm:ss</c:formatCode>
                <c:ptCount val="24"/>
                <c:pt idx="0">
                  <c:v>0.91666666666666663</c:v>
                </c:pt>
                <c:pt idx="1">
                  <c:v>0.95833333333333337</c:v>
                </c:pt>
                <c:pt idx="2">
                  <c:v>1</c:v>
                </c:pt>
                <c:pt idx="3">
                  <c:v>4.1666666666666664E-2</c:v>
                </c:pt>
                <c:pt idx="4">
                  <c:v>8.3333333333333329E-2</c:v>
                </c:pt>
                <c:pt idx="5">
                  <c:v>0.125</c:v>
                </c:pt>
                <c:pt idx="6">
                  <c:v>0.16666666666666666</c:v>
                </c:pt>
                <c:pt idx="7">
                  <c:v>0.20833333333333334</c:v>
                </c:pt>
                <c:pt idx="8">
                  <c:v>0.25</c:v>
                </c:pt>
                <c:pt idx="9">
                  <c:v>0.29166666666666669</c:v>
                </c:pt>
                <c:pt idx="10">
                  <c:v>0.33333333333333331</c:v>
                </c:pt>
                <c:pt idx="11">
                  <c:v>0.375</c:v>
                </c:pt>
                <c:pt idx="12">
                  <c:v>0.41666666666666669</c:v>
                </c:pt>
                <c:pt idx="13">
                  <c:v>0.45833333333333331</c:v>
                </c:pt>
                <c:pt idx="14">
                  <c:v>0.5</c:v>
                </c:pt>
                <c:pt idx="15">
                  <c:v>0.54166666666666663</c:v>
                </c:pt>
                <c:pt idx="16">
                  <c:v>0.58333333333333337</c:v>
                </c:pt>
                <c:pt idx="17">
                  <c:v>0.625</c:v>
                </c:pt>
                <c:pt idx="18">
                  <c:v>0.66666666666666663</c:v>
                </c:pt>
                <c:pt idx="19">
                  <c:v>0.70833333333333337</c:v>
                </c:pt>
                <c:pt idx="20">
                  <c:v>0.75</c:v>
                </c:pt>
                <c:pt idx="21">
                  <c:v>0.79166666666666663</c:v>
                </c:pt>
                <c:pt idx="22">
                  <c:v>0.83333333333333337</c:v>
                </c:pt>
                <c:pt idx="23">
                  <c:v>0.875</c:v>
                </c:pt>
              </c:numCache>
            </c:numRef>
          </c:cat>
          <c:val>
            <c:numRef>
              <c:f>Лист1!$B$2:$B$25</c:f>
              <c:numCache>
                <c:formatCode>General</c:formatCode>
                <c:ptCount val="24"/>
                <c:pt idx="0">
                  <c:v>3.26</c:v>
                </c:pt>
                <c:pt idx="1">
                  <c:v>2.0499999999999998</c:v>
                </c:pt>
                <c:pt idx="2">
                  <c:v>1.46</c:v>
                </c:pt>
                <c:pt idx="3">
                  <c:v>2.09</c:v>
                </c:pt>
                <c:pt idx="4">
                  <c:v>2.38</c:v>
                </c:pt>
                <c:pt idx="5">
                  <c:v>4.28</c:v>
                </c:pt>
                <c:pt idx="6">
                  <c:v>4.6500000000000004</c:v>
                </c:pt>
                <c:pt idx="7">
                  <c:v>5.65</c:v>
                </c:pt>
                <c:pt idx="8">
                  <c:v>2.85</c:v>
                </c:pt>
                <c:pt idx="9">
                  <c:v>2.77</c:v>
                </c:pt>
                <c:pt idx="10">
                  <c:v>2.14</c:v>
                </c:pt>
                <c:pt idx="11">
                  <c:v>2.4300000000000002</c:v>
                </c:pt>
                <c:pt idx="12">
                  <c:v>5.23</c:v>
                </c:pt>
                <c:pt idx="13">
                  <c:v>4.25</c:v>
                </c:pt>
                <c:pt idx="14">
                  <c:v>1.68</c:v>
                </c:pt>
                <c:pt idx="15">
                  <c:v>2.0299999999999998</c:v>
                </c:pt>
                <c:pt idx="16">
                  <c:v>1.8</c:v>
                </c:pt>
                <c:pt idx="17">
                  <c:v>6.01</c:v>
                </c:pt>
                <c:pt idx="18">
                  <c:v>4.46</c:v>
                </c:pt>
                <c:pt idx="19">
                  <c:v>3.56</c:v>
                </c:pt>
                <c:pt idx="20">
                  <c:v>3.42</c:v>
                </c:pt>
                <c:pt idx="21">
                  <c:v>1.84</c:v>
                </c:pt>
                <c:pt idx="22">
                  <c:v>5.47</c:v>
                </c:pt>
                <c:pt idx="23">
                  <c:v>4.37</c:v>
                </c:pt>
              </c:numCache>
            </c:numRef>
          </c:val>
          <c:smooth val="0"/>
        </c:ser>
        <c:ser>
          <c:idx val="1"/>
          <c:order val="1"/>
          <c:tx>
            <c:strRef>
              <c:f>Лист1!$E$4</c:f>
              <c:strCache>
                <c:ptCount val="1"/>
                <c:pt idx="0">
                  <c:v>З зовнішньосекреторною недостатністю ПЗ</c:v>
                </c:pt>
              </c:strCache>
            </c:strRef>
          </c:tx>
          <c:spPr>
            <a:ln>
              <a:solidFill>
                <a:srgbClr val="0070C0"/>
              </a:solidFill>
            </a:ln>
          </c:spPr>
          <c:marker>
            <c:spPr>
              <a:solidFill>
                <a:srgbClr val="0070C0"/>
              </a:solidFill>
              <a:ln>
                <a:solidFill>
                  <a:srgbClr val="0070C0"/>
                </a:solidFill>
              </a:ln>
            </c:spPr>
          </c:marker>
          <c:cat>
            <c:numRef>
              <c:f>Лист1!$A$2:$A$25</c:f>
              <c:numCache>
                <c:formatCode>h:mm:ss</c:formatCode>
                <c:ptCount val="24"/>
                <c:pt idx="0">
                  <c:v>0.91666666666666663</c:v>
                </c:pt>
                <c:pt idx="1">
                  <c:v>0.95833333333333337</c:v>
                </c:pt>
                <c:pt idx="2">
                  <c:v>1</c:v>
                </c:pt>
                <c:pt idx="3">
                  <c:v>4.1666666666666664E-2</c:v>
                </c:pt>
                <c:pt idx="4">
                  <c:v>8.3333333333333329E-2</c:v>
                </c:pt>
                <c:pt idx="5">
                  <c:v>0.125</c:v>
                </c:pt>
                <c:pt idx="6">
                  <c:v>0.16666666666666666</c:v>
                </c:pt>
                <c:pt idx="7">
                  <c:v>0.20833333333333334</c:v>
                </c:pt>
                <c:pt idx="8">
                  <c:v>0.25</c:v>
                </c:pt>
                <c:pt idx="9">
                  <c:v>0.29166666666666669</c:v>
                </c:pt>
                <c:pt idx="10">
                  <c:v>0.33333333333333331</c:v>
                </c:pt>
                <c:pt idx="11">
                  <c:v>0.375</c:v>
                </c:pt>
                <c:pt idx="12">
                  <c:v>0.41666666666666669</c:v>
                </c:pt>
                <c:pt idx="13">
                  <c:v>0.45833333333333331</c:v>
                </c:pt>
                <c:pt idx="14">
                  <c:v>0.5</c:v>
                </c:pt>
                <c:pt idx="15">
                  <c:v>0.54166666666666663</c:v>
                </c:pt>
                <c:pt idx="16">
                  <c:v>0.58333333333333337</c:v>
                </c:pt>
                <c:pt idx="17">
                  <c:v>0.625</c:v>
                </c:pt>
                <c:pt idx="18">
                  <c:v>0.66666666666666663</c:v>
                </c:pt>
                <c:pt idx="19">
                  <c:v>0.70833333333333337</c:v>
                </c:pt>
                <c:pt idx="20">
                  <c:v>0.75</c:v>
                </c:pt>
                <c:pt idx="21">
                  <c:v>0.79166666666666663</c:v>
                </c:pt>
                <c:pt idx="22">
                  <c:v>0.83333333333333337</c:v>
                </c:pt>
                <c:pt idx="23">
                  <c:v>0.875</c:v>
                </c:pt>
              </c:numCache>
            </c:numRef>
          </c:cat>
          <c:val>
            <c:numRef>
              <c:f>Лист1!$C$2:$C$25</c:f>
              <c:numCache>
                <c:formatCode>General</c:formatCode>
                <c:ptCount val="24"/>
                <c:pt idx="0">
                  <c:v>2.0299999999999998</c:v>
                </c:pt>
                <c:pt idx="1">
                  <c:v>1.67</c:v>
                </c:pt>
                <c:pt idx="2">
                  <c:v>1.84</c:v>
                </c:pt>
                <c:pt idx="3">
                  <c:v>2.04</c:v>
                </c:pt>
                <c:pt idx="4">
                  <c:v>2.69</c:v>
                </c:pt>
                <c:pt idx="5">
                  <c:v>4.28</c:v>
                </c:pt>
                <c:pt idx="6">
                  <c:v>4.95</c:v>
                </c:pt>
                <c:pt idx="7">
                  <c:v>3.92</c:v>
                </c:pt>
                <c:pt idx="8">
                  <c:v>2.2599999999999998</c:v>
                </c:pt>
                <c:pt idx="9">
                  <c:v>2.13</c:v>
                </c:pt>
                <c:pt idx="10">
                  <c:v>2.75</c:v>
                </c:pt>
                <c:pt idx="11">
                  <c:v>1.43</c:v>
                </c:pt>
                <c:pt idx="12">
                  <c:v>2.13</c:v>
                </c:pt>
                <c:pt idx="13">
                  <c:v>1.24</c:v>
                </c:pt>
                <c:pt idx="14">
                  <c:v>2.15</c:v>
                </c:pt>
                <c:pt idx="15">
                  <c:v>1.82</c:v>
                </c:pt>
                <c:pt idx="16">
                  <c:v>1.67</c:v>
                </c:pt>
                <c:pt idx="17">
                  <c:v>4.04</c:v>
                </c:pt>
                <c:pt idx="18">
                  <c:v>3.14</c:v>
                </c:pt>
                <c:pt idx="19">
                  <c:v>2.23</c:v>
                </c:pt>
                <c:pt idx="20">
                  <c:v>1.68</c:v>
                </c:pt>
                <c:pt idx="21">
                  <c:v>1.58</c:v>
                </c:pt>
                <c:pt idx="22">
                  <c:v>4.3600000000000003</c:v>
                </c:pt>
                <c:pt idx="23">
                  <c:v>3.05</c:v>
                </c:pt>
              </c:numCache>
            </c:numRef>
          </c:val>
          <c:smooth val="0"/>
        </c:ser>
        <c:dLbls>
          <c:showLegendKey val="0"/>
          <c:showVal val="0"/>
          <c:showCatName val="0"/>
          <c:showSerName val="0"/>
          <c:showPercent val="0"/>
          <c:showBubbleSize val="0"/>
        </c:dLbls>
        <c:marker val="1"/>
        <c:smooth val="0"/>
        <c:axId val="219476352"/>
        <c:axId val="219478272"/>
      </c:lineChart>
      <c:catAx>
        <c:axId val="219476352"/>
        <c:scaling>
          <c:orientation val="minMax"/>
        </c:scaling>
        <c:delete val="0"/>
        <c:axPos val="t"/>
        <c:numFmt formatCode="h:mm:ss" sourceLinked="1"/>
        <c:majorTickMark val="out"/>
        <c:minorTickMark val="none"/>
        <c:tickLblPos val="high"/>
        <c:txPr>
          <a:bodyPr rot="-5400000" vert="horz"/>
          <a:lstStyle/>
          <a:p>
            <a:pPr>
              <a:defRPr sz="999" b="0" i="0" u="none" strike="noStrike" baseline="0">
                <a:solidFill>
                  <a:srgbClr val="000000"/>
                </a:solidFill>
                <a:latin typeface="Calibri"/>
                <a:ea typeface="Calibri"/>
                <a:cs typeface="Calibri"/>
              </a:defRPr>
            </a:pPr>
            <a:endParaRPr lang="ru-RU"/>
          </a:p>
        </c:txPr>
        <c:crossAx val="219478272"/>
        <c:crossesAt val="9"/>
        <c:auto val="1"/>
        <c:lblAlgn val="ctr"/>
        <c:lblOffset val="100"/>
        <c:noMultiLvlLbl val="0"/>
      </c:catAx>
      <c:valAx>
        <c:axId val="219478272"/>
        <c:scaling>
          <c:orientation val="maxMin"/>
        </c:scaling>
        <c:delete val="0"/>
        <c:axPos val="l"/>
        <c:majorGridlines/>
        <c:numFmt formatCode="General" sourceLinked="1"/>
        <c:majorTickMark val="out"/>
        <c:minorTickMark val="none"/>
        <c:tickLblPos val="low"/>
        <c:txPr>
          <a:bodyPr rot="0" vert="horz"/>
          <a:lstStyle/>
          <a:p>
            <a:pPr>
              <a:defRPr sz="999" b="0" i="0" u="none" strike="noStrike" baseline="0">
                <a:solidFill>
                  <a:srgbClr val="000000"/>
                </a:solidFill>
                <a:latin typeface="Calibri"/>
                <a:ea typeface="Calibri"/>
                <a:cs typeface="Calibri"/>
              </a:defRPr>
            </a:pPr>
            <a:endParaRPr lang="ru-RU"/>
          </a:p>
        </c:txPr>
        <c:crossAx val="219476352"/>
        <c:crossesAt val="1"/>
        <c:crossBetween val="between"/>
      </c:valAx>
    </c:plotArea>
    <c:legend>
      <c:legendPos val="t"/>
      <c:overlay val="0"/>
      <c:txPr>
        <a:bodyPr/>
        <a:lstStyle/>
        <a:p>
          <a:pPr>
            <a:defRPr sz="919"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manualLayout>
          <c:layoutTarget val="inner"/>
          <c:xMode val="edge"/>
          <c:yMode val="edge"/>
          <c:x val="0.17006840381502453"/>
          <c:y val="7.6470698056494313E-2"/>
          <c:w val="0.46031847965933248"/>
          <c:h val="0.77058934195390327"/>
        </c:manualLayout>
      </c:layout>
      <c:barChart>
        <c:barDir val="col"/>
        <c:grouping val="clustered"/>
        <c:varyColors val="1"/>
        <c:ser>
          <c:idx val="0"/>
          <c:order val="0"/>
          <c:tx>
            <c:strRef>
              <c:f>Лист4!$A$16</c:f>
              <c:strCache>
                <c:ptCount val="1"/>
                <c:pt idx="0">
                  <c:v>фамотидин (20 мг 2 рази на добу)</c:v>
                </c:pt>
              </c:strCache>
            </c:strRef>
          </c:tx>
          <c:invertIfNegative val="1"/>
          <c:errBars>
            <c:errBarType val="both"/>
            <c:errValType val="fixedVal"/>
            <c:noEndCap val="1"/>
            <c:val val="4"/>
            <c:spPr>
              <a:ln w="12700">
                <a:solidFill>
                  <a:srgbClr val="000000"/>
                </a:solidFill>
                <a:prstDash val="solid"/>
              </a:ln>
            </c:spPr>
          </c:errBars>
          <c:cat>
            <c:strRef>
              <c:f>Лист4!$B$15:$E$15</c:f>
              <c:strCache>
                <c:ptCount val="4"/>
                <c:pt idx="0">
                  <c:v>2 доба</c:v>
                </c:pt>
                <c:pt idx="1">
                  <c:v>4 доба</c:v>
                </c:pt>
                <c:pt idx="2">
                  <c:v>7 доба</c:v>
                </c:pt>
                <c:pt idx="3">
                  <c:v>14 доба</c:v>
                </c:pt>
              </c:strCache>
            </c:strRef>
          </c:cat>
          <c:val>
            <c:numRef>
              <c:f>Лист4!$B$16:$E$16</c:f>
              <c:numCache>
                <c:formatCode>0.0</c:formatCode>
                <c:ptCount val="4"/>
                <c:pt idx="0">
                  <c:v>25.429017160686431</c:v>
                </c:pt>
                <c:pt idx="1">
                  <c:v>34.9453978159126</c:v>
                </c:pt>
                <c:pt idx="2">
                  <c:v>50.390015600624032</c:v>
                </c:pt>
                <c:pt idx="3">
                  <c:v>62.246489859594334</c:v>
                </c:pt>
              </c:numCache>
            </c:numRef>
          </c:val>
        </c:ser>
        <c:ser>
          <c:idx val="1"/>
          <c:order val="1"/>
          <c:tx>
            <c:strRef>
              <c:f>Лист4!$A$17</c:f>
              <c:strCache>
                <c:ptCount val="1"/>
                <c:pt idx="0">
                  <c:v>пантопразол (40 мг 1 раз на добу)</c:v>
                </c:pt>
              </c:strCache>
            </c:strRef>
          </c:tx>
          <c:spPr>
            <a:pattFill prst="ltUpDiag">
              <a:fgClr>
                <a:srgbClr val="000000"/>
              </a:fgClr>
              <a:bgClr>
                <a:srgbClr val="FFFFFF"/>
              </a:bgClr>
            </a:pattFill>
            <a:ln w="25400">
              <a:noFill/>
            </a:ln>
          </c:spPr>
          <c:invertIfNegative val="1"/>
          <c:errBars>
            <c:errBarType val="both"/>
            <c:errValType val="fixedVal"/>
            <c:noEndCap val="1"/>
            <c:val val="4"/>
            <c:spPr>
              <a:ln w="12700">
                <a:solidFill>
                  <a:srgbClr val="000000"/>
                </a:solidFill>
                <a:prstDash val="solid"/>
              </a:ln>
            </c:spPr>
          </c:errBars>
          <c:cat>
            <c:strRef>
              <c:f>Лист4!$B$15:$E$15</c:f>
              <c:strCache>
                <c:ptCount val="4"/>
                <c:pt idx="0">
                  <c:v>2 доба</c:v>
                </c:pt>
                <c:pt idx="1">
                  <c:v>4 доба</c:v>
                </c:pt>
                <c:pt idx="2">
                  <c:v>7 доба</c:v>
                </c:pt>
                <c:pt idx="3">
                  <c:v>14 доба</c:v>
                </c:pt>
              </c:strCache>
            </c:strRef>
          </c:cat>
          <c:val>
            <c:numRef>
              <c:f>Лист4!$B$17:$E$17</c:f>
              <c:numCache>
                <c:formatCode>0.0</c:formatCode>
                <c:ptCount val="4"/>
                <c:pt idx="0">
                  <c:v>8.580343213728554</c:v>
                </c:pt>
                <c:pt idx="1">
                  <c:v>39.937597503900115</c:v>
                </c:pt>
                <c:pt idx="2">
                  <c:v>57.410296411856393</c:v>
                </c:pt>
                <c:pt idx="3">
                  <c:v>70.358814352573958</c:v>
                </c:pt>
              </c:numCache>
            </c:numRef>
          </c:val>
        </c:ser>
        <c:ser>
          <c:idx val="2"/>
          <c:order val="2"/>
          <c:tx>
            <c:strRef>
              <c:f>Лист4!$A$18</c:f>
              <c:strCache>
                <c:ptCount val="1"/>
                <c:pt idx="0">
                  <c:v>пантопразол (40 мг 2 рази на добу)</c:v>
                </c:pt>
              </c:strCache>
            </c:strRef>
          </c:tx>
          <c:spPr>
            <a:pattFill prst="ltDnDiag">
              <a:fgClr>
                <a:srgbClr val="000000"/>
              </a:fgClr>
              <a:bgClr>
                <a:srgbClr val="FFFFFF"/>
              </a:bgClr>
            </a:pattFill>
            <a:ln w="25400">
              <a:noFill/>
            </a:ln>
          </c:spPr>
          <c:invertIfNegative val="1"/>
          <c:errBars>
            <c:errBarType val="both"/>
            <c:errValType val="fixedVal"/>
            <c:noEndCap val="1"/>
            <c:val val="4"/>
            <c:spPr>
              <a:ln w="12700">
                <a:solidFill>
                  <a:srgbClr val="000000"/>
                </a:solidFill>
                <a:prstDash val="solid"/>
              </a:ln>
            </c:spPr>
          </c:errBars>
          <c:cat>
            <c:strRef>
              <c:f>Лист4!$B$15:$E$15</c:f>
              <c:strCache>
                <c:ptCount val="4"/>
                <c:pt idx="0">
                  <c:v>2 доба</c:v>
                </c:pt>
                <c:pt idx="1">
                  <c:v>4 доба</c:v>
                </c:pt>
                <c:pt idx="2">
                  <c:v>7 доба</c:v>
                </c:pt>
                <c:pt idx="3">
                  <c:v>14 доба</c:v>
                </c:pt>
              </c:strCache>
            </c:strRef>
          </c:cat>
          <c:val>
            <c:numRef>
              <c:f>Лист4!$B$18:$E$18</c:f>
              <c:numCache>
                <c:formatCode>0.0</c:formatCode>
                <c:ptCount val="4"/>
                <c:pt idx="0">
                  <c:v>18.564742589703556</c:v>
                </c:pt>
                <c:pt idx="1">
                  <c:v>57.410296411856393</c:v>
                </c:pt>
                <c:pt idx="2">
                  <c:v>67.238689547581828</c:v>
                </c:pt>
                <c:pt idx="3">
                  <c:v>77.691107644305887</c:v>
                </c:pt>
              </c:numCache>
            </c:numRef>
          </c:val>
        </c:ser>
        <c:ser>
          <c:idx val="3"/>
          <c:order val="3"/>
          <c:tx>
            <c:strRef>
              <c:f>Лист4!$A$19</c:f>
              <c:strCache>
                <c:ptCount val="1"/>
                <c:pt idx="0">
                  <c:v>фамотидин (20 мг 2 рази на добу) та пантопразол (40 мг 1 раз на добу)</c:v>
                </c:pt>
              </c:strCache>
            </c:strRef>
          </c:tx>
          <c:spPr>
            <a:pattFill prst="trellis">
              <a:fgClr>
                <a:srgbClr val="000000"/>
              </a:fgClr>
              <a:bgClr>
                <a:srgbClr val="FFFFFF"/>
              </a:bgClr>
            </a:pattFill>
            <a:ln w="25400">
              <a:noFill/>
            </a:ln>
          </c:spPr>
          <c:invertIfNegative val="1"/>
          <c:errBars>
            <c:errBarType val="both"/>
            <c:errValType val="percentage"/>
            <c:noEndCap val="1"/>
            <c:val val="5"/>
            <c:spPr>
              <a:ln w="12700">
                <a:solidFill>
                  <a:srgbClr val="000000"/>
                </a:solidFill>
                <a:prstDash val="solid"/>
              </a:ln>
            </c:spPr>
          </c:errBars>
          <c:cat>
            <c:strRef>
              <c:f>Лист4!$B$15:$E$15</c:f>
              <c:strCache>
                <c:ptCount val="4"/>
                <c:pt idx="0">
                  <c:v>2 доба</c:v>
                </c:pt>
                <c:pt idx="1">
                  <c:v>4 доба</c:v>
                </c:pt>
                <c:pt idx="2">
                  <c:v>7 доба</c:v>
                </c:pt>
                <c:pt idx="3">
                  <c:v>14 доба</c:v>
                </c:pt>
              </c:strCache>
            </c:strRef>
          </c:cat>
          <c:val>
            <c:numRef>
              <c:f>Лист4!$B$19:$E$19</c:f>
              <c:numCache>
                <c:formatCode>0.0</c:formatCode>
                <c:ptCount val="4"/>
                <c:pt idx="0">
                  <c:v>29.017160686427481</c:v>
                </c:pt>
                <c:pt idx="1">
                  <c:v>57.098283931357258</c:v>
                </c:pt>
                <c:pt idx="2">
                  <c:v>65.678627145085699</c:v>
                </c:pt>
                <c:pt idx="3">
                  <c:v>77.37909516380644</c:v>
                </c:pt>
              </c:numCache>
            </c:numRef>
          </c:val>
        </c:ser>
        <c:dLbls>
          <c:showLegendKey val="0"/>
          <c:showVal val="0"/>
          <c:showCatName val="0"/>
          <c:showSerName val="0"/>
          <c:showPercent val="0"/>
          <c:showBubbleSize val="0"/>
        </c:dLbls>
        <c:gapWidth val="150"/>
        <c:overlap val="-10"/>
        <c:axId val="219701632"/>
        <c:axId val="219703168"/>
      </c:barChart>
      <c:catAx>
        <c:axId val="219701632"/>
        <c:scaling>
          <c:orientation val="minMax"/>
        </c:scaling>
        <c:delete val="1"/>
        <c:axPos val="b"/>
        <c:numFmt formatCode="General" sourceLinked="1"/>
        <c:majorTickMark val="cross"/>
        <c:minorTickMark val="cross"/>
        <c:tickLblPos val="nextTo"/>
        <c:crossAx val="219703168"/>
        <c:crosses val="autoZero"/>
        <c:auto val="1"/>
        <c:lblAlgn val="ctr"/>
        <c:lblOffset val="100"/>
        <c:noMultiLvlLbl val="1"/>
      </c:catAx>
      <c:valAx>
        <c:axId val="219703168"/>
        <c:scaling>
          <c:orientation val="minMax"/>
        </c:scaling>
        <c:delete val="1"/>
        <c:axPos val="l"/>
        <c:majorGridlines/>
        <c:title>
          <c:tx>
            <c:rich>
              <a:bodyPr/>
              <a:lstStyle/>
              <a:p>
                <a:pPr>
                  <a:defRPr sz="1000" b="1" i="0" u="none" strike="noStrike" baseline="0">
                    <a:solidFill>
                      <a:srgbClr val="000000"/>
                    </a:solidFill>
                    <a:latin typeface="Calibri"/>
                    <a:ea typeface="Calibri"/>
                    <a:cs typeface="Calibri"/>
                  </a:defRPr>
                </a:pPr>
                <a:r>
                  <a:rPr lang="ru-RU" sz="1000">
                    <a:latin typeface="Times New Roman" pitchFamily="18" charset="0"/>
                    <a:cs typeface="Times New Roman" pitchFamily="18" charset="0"/>
                  </a:rPr>
                  <a:t>%</a:t>
                </a:r>
              </a:p>
            </c:rich>
          </c:tx>
          <c:layout>
            <c:manualLayout>
              <c:xMode val="edge"/>
              <c:yMode val="edge"/>
              <c:x val="6.9670272851953624E-2"/>
              <c:y val="0.43478260869565277"/>
            </c:manualLayout>
          </c:layout>
          <c:overlay val="1"/>
          <c:spPr>
            <a:noFill/>
            <a:ln w="25400">
              <a:noFill/>
            </a:ln>
          </c:spPr>
        </c:title>
        <c:numFmt formatCode="0.0" sourceLinked="1"/>
        <c:majorTickMark val="cross"/>
        <c:minorTickMark val="cross"/>
        <c:tickLblPos val="nextTo"/>
        <c:crossAx val="219701632"/>
        <c:crosses val="autoZero"/>
        <c:crossBetween val="between"/>
      </c:valAx>
      <c:spPr>
        <a:blipFill>
          <a:blip xmlns:r="http://schemas.openxmlformats.org/officeDocument/2006/relationships" r:embed="rId1"/>
          <a:stretch>
            <a:fillRect/>
          </a:stretch>
        </a:blipFill>
      </c:spPr>
    </c:plotArea>
    <c:legend>
      <c:legendPos val="r"/>
      <c:layout>
        <c:manualLayout>
          <c:xMode val="edge"/>
          <c:yMode val="edge"/>
          <c:x val="0.66213298551982691"/>
          <c:y val="5.5882433195130546E-2"/>
          <c:w val="0.32199617788977997"/>
          <c:h val="0.81470705237111296"/>
        </c:manualLayout>
      </c:layout>
      <c:overlay val="1"/>
    </c:legend>
    <c:plotVisOnly val="1"/>
    <c:dispBlanksAs val="gap"/>
    <c:showDLblsOverMax val="1"/>
  </c:chart>
  <c:spPr>
    <a:ln w="0">
      <a:solidFill>
        <a:schemeClr val="bg1"/>
      </a:solidFill>
    </a:ln>
  </c:spPr>
  <c:externalData r:id="rId2">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7AC0A-2F8E-46B8-B9D2-0FE6F665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3853</TotalTime>
  <Pages>25</Pages>
  <Words>7694</Words>
  <Characters>43862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51454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636</cp:revision>
  <cp:lastPrinted>2009-02-06T08:36:00Z</cp:lastPrinted>
  <dcterms:created xsi:type="dcterms:W3CDTF">2015-03-22T11:10:00Z</dcterms:created>
  <dcterms:modified xsi:type="dcterms:W3CDTF">2015-09-03T09:58:00Z</dcterms:modified>
</cp:coreProperties>
</file>